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6B" w:rsidRPr="009F2156" w:rsidRDefault="009F2156">
      <w:pPr>
        <w:rPr>
          <w:b/>
        </w:rPr>
      </w:pPr>
      <w:r w:rsidRPr="009F2156">
        <w:rPr>
          <w:b/>
        </w:rPr>
        <w:t>APPENDIX E – HINTS INFORMATION SHEET</w:t>
      </w:r>
    </w:p>
    <w:p w:rsidR="009F2156" w:rsidRDefault="009F21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7506"/>
      </w:tblGrid>
      <w:tr w:rsidR="00647E4E" w:rsidTr="00647E4E">
        <w:trPr>
          <w:trHeight w:val="350"/>
        </w:trPr>
        <w:tc>
          <w:tcPr>
            <w:tcW w:w="2070" w:type="dxa"/>
          </w:tcPr>
          <w:p w:rsidR="00647E4E" w:rsidRDefault="00CF15DE" w:rsidP="00085255">
            <w:pPr>
              <w:spacing w:after="200" w:line="276" w:lineRule="auto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HINTS</w:t>
            </w:r>
          </w:p>
        </w:tc>
        <w:tc>
          <w:tcPr>
            <w:tcW w:w="7506" w:type="dxa"/>
          </w:tcPr>
          <w:p w:rsidR="00647E4E" w:rsidRDefault="00CF15DE">
            <w:pPr>
              <w:spacing w:after="200" w:line="276" w:lineRule="auto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Health Information National Trends Survey</w:t>
            </w:r>
          </w:p>
        </w:tc>
      </w:tr>
      <w:tr w:rsidR="00647E4E" w:rsidTr="00647E4E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647E4E" w:rsidRPr="00647E4E" w:rsidRDefault="009F2156" w:rsidP="00056719">
            <w:pPr>
              <w:spacing w:after="200" w:line="276" w:lineRule="auto"/>
              <w:rPr>
                <w:b/>
                <w:bCs/>
                <w:color w:val="1F497D"/>
              </w:rPr>
            </w:pPr>
            <w:hyperlink r:id="rId6" w:history="1">
              <w:r w:rsidR="00CF15DE" w:rsidRPr="002C3DDD">
                <w:rPr>
                  <w:rStyle w:val="Hyperlink"/>
                  <w:bCs/>
                  <w:sz w:val="20"/>
                  <w:szCs w:val="20"/>
                </w:rPr>
                <w:t>http://hints.cancer.gov</w:t>
              </w:r>
            </w:hyperlink>
          </w:p>
        </w:tc>
      </w:tr>
      <w:tr w:rsidR="0034150E" w:rsidTr="00056719">
        <w:tc>
          <w:tcPr>
            <w:tcW w:w="2070" w:type="dxa"/>
            <w:tcBorders>
              <w:top w:val="double" w:sz="12" w:space="0" w:color="auto"/>
            </w:tcBorders>
          </w:tcPr>
          <w:p w:rsidR="0034150E" w:rsidRPr="00085255" w:rsidRDefault="00CF15D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color w:val="1F497D"/>
                <w:sz w:val="20"/>
                <w:szCs w:val="20"/>
              </w:rPr>
              <w:t>Year begun: 2003</w:t>
            </w:r>
          </w:p>
        </w:tc>
        <w:tc>
          <w:tcPr>
            <w:tcW w:w="7506" w:type="dxa"/>
            <w:tcBorders>
              <w:top w:val="double" w:sz="12" w:space="0" w:color="auto"/>
            </w:tcBorders>
          </w:tcPr>
          <w:p w:rsidR="0034150E" w:rsidRPr="00085255" w:rsidRDefault="00CF15D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color w:val="1F497D"/>
                <w:sz w:val="20"/>
                <w:szCs w:val="20"/>
              </w:rPr>
              <w:t>Periodicity: 2003, 2005, 2007, 2009 (Puerto Rico only), 2011, 2012</w:t>
            </w:r>
            <w:r w:rsidR="00216967">
              <w:rPr>
                <w:bCs/>
                <w:color w:val="1F497D"/>
                <w:sz w:val="20"/>
                <w:szCs w:val="20"/>
              </w:rPr>
              <w:t>, 2013 (proposed), 2014 (proposed)</w:t>
            </w:r>
          </w:p>
        </w:tc>
      </w:tr>
      <w:tr w:rsidR="0034150E" w:rsidTr="00B63292">
        <w:tc>
          <w:tcPr>
            <w:tcW w:w="9576" w:type="dxa"/>
            <w:gridSpan w:val="2"/>
          </w:tcPr>
          <w:p w:rsidR="0034150E" w:rsidRPr="00647E4E" w:rsidRDefault="00CF15D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Design: cross-sectional</w:t>
            </w:r>
          </w:p>
        </w:tc>
      </w:tr>
      <w:tr w:rsidR="0034150E" w:rsidTr="00B63292">
        <w:tc>
          <w:tcPr>
            <w:tcW w:w="9576" w:type="dxa"/>
            <w:gridSpan w:val="2"/>
          </w:tcPr>
          <w:p w:rsidR="0034150E" w:rsidRPr="00647E4E" w:rsidRDefault="00CF15DE" w:rsidP="0034150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Target population:  non-institutionalized adults in the US</w:t>
            </w:r>
          </w:p>
        </w:tc>
      </w:tr>
      <w:tr w:rsidR="0034150E" w:rsidTr="0026651B">
        <w:trPr>
          <w:trHeight w:val="845"/>
        </w:trPr>
        <w:tc>
          <w:tcPr>
            <w:tcW w:w="9576" w:type="dxa"/>
            <w:gridSpan w:val="2"/>
          </w:tcPr>
          <w:p w:rsidR="0034150E" w:rsidRPr="00647E4E" w:rsidRDefault="00CF15DE" w:rsidP="0034150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Sample type:  random selection, representative of non-institutionalized adults in US.  Sampling via either RDD (random digit dial) or ABS (address-based sampling)</w:t>
            </w:r>
            <w:r w:rsidR="00B63292">
              <w:rPr>
                <w:bCs/>
                <w:sz w:val="20"/>
                <w:szCs w:val="20"/>
              </w:rPr>
              <w:t>, depending on year fielded (see “Administration mode,” below</w:t>
            </w:r>
            <w:r>
              <w:rPr>
                <w:bCs/>
                <w:sz w:val="20"/>
                <w:szCs w:val="20"/>
              </w:rPr>
              <w:t>.</w:t>
            </w:r>
            <w:r w:rsidR="00216967">
              <w:rPr>
                <w:bCs/>
                <w:sz w:val="20"/>
                <w:szCs w:val="20"/>
              </w:rPr>
              <w:t>)</w:t>
            </w:r>
          </w:p>
        </w:tc>
      </w:tr>
      <w:tr w:rsidR="0034150E" w:rsidTr="00B63292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34150E" w:rsidRPr="00647E4E" w:rsidRDefault="00CF15DE" w:rsidP="0034150E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Sample size:  </w:t>
            </w:r>
            <w:proofErr w:type="gramStart"/>
            <w:r>
              <w:rPr>
                <w:bCs/>
                <w:sz w:val="20"/>
                <w:szCs w:val="20"/>
              </w:rPr>
              <w:t>between 3,500 – 7,500</w:t>
            </w:r>
            <w:r w:rsidR="00B63292">
              <w:rPr>
                <w:bCs/>
                <w:sz w:val="20"/>
                <w:szCs w:val="20"/>
              </w:rPr>
              <w:t>,</w:t>
            </w:r>
            <w:proofErr w:type="gramEnd"/>
            <w:r w:rsidR="00B63292">
              <w:rPr>
                <w:bCs/>
                <w:sz w:val="20"/>
                <w:szCs w:val="20"/>
              </w:rPr>
              <w:t xml:space="preserve"> depending on year fielded.</w:t>
            </w:r>
          </w:p>
        </w:tc>
      </w:tr>
      <w:tr w:rsidR="0034150E" w:rsidTr="00B63292">
        <w:tc>
          <w:tcPr>
            <w:tcW w:w="9576" w:type="dxa"/>
            <w:gridSpan w:val="2"/>
            <w:tcBorders>
              <w:bottom w:val="double" w:sz="12" w:space="0" w:color="auto"/>
            </w:tcBorders>
          </w:tcPr>
          <w:p w:rsidR="0034150E" w:rsidRDefault="00CF15DE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Admi</w:t>
            </w:r>
            <w:r w:rsidR="00185871">
              <w:rPr>
                <w:bCs/>
                <w:sz w:val="20"/>
                <w:szCs w:val="20"/>
              </w:rPr>
              <w:t>nistration mode: varied by year</w:t>
            </w:r>
          </w:p>
          <w:p w:rsidR="00CF15DE" w:rsidRDefault="00CF15DE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2003: </w:t>
            </w:r>
            <w:r w:rsidR="0086073C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elephone</w:t>
            </w:r>
            <w:r w:rsidR="003F19E6">
              <w:rPr>
                <w:bCs/>
                <w:sz w:val="20"/>
                <w:szCs w:val="20"/>
              </w:rPr>
              <w:t xml:space="preserve"> (RDD)</w:t>
            </w:r>
          </w:p>
          <w:p w:rsidR="00CF15DE" w:rsidRDefault="00CF15DE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2005: </w:t>
            </w:r>
            <w:r w:rsidR="0086073C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elephone and web</w:t>
            </w:r>
            <w:r w:rsidR="003F19E6">
              <w:rPr>
                <w:bCs/>
                <w:sz w:val="20"/>
                <w:szCs w:val="20"/>
              </w:rPr>
              <w:t xml:space="preserve"> (RDD)</w:t>
            </w:r>
          </w:p>
          <w:p w:rsidR="00CF15DE" w:rsidRDefault="00CF15DE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2007:  </w:t>
            </w:r>
            <w:r w:rsidR="0086073C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elephone and mail</w:t>
            </w:r>
            <w:r w:rsidR="003F19E6">
              <w:rPr>
                <w:bCs/>
                <w:sz w:val="20"/>
                <w:szCs w:val="20"/>
              </w:rPr>
              <w:t xml:space="preserve">  (RDD and ABS)</w:t>
            </w:r>
            <w:bookmarkStart w:id="0" w:name="_GoBack"/>
            <w:bookmarkEnd w:id="0"/>
          </w:p>
          <w:p w:rsidR="00CF15DE" w:rsidRDefault="00CF15DE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2009:  </w:t>
            </w:r>
            <w:r w:rsidR="0086073C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elephone</w:t>
            </w:r>
            <w:r w:rsidR="003F19E6">
              <w:rPr>
                <w:bCs/>
                <w:sz w:val="20"/>
                <w:szCs w:val="20"/>
              </w:rPr>
              <w:t xml:space="preserve">  (RDD)</w:t>
            </w:r>
          </w:p>
          <w:p w:rsidR="00CF15DE" w:rsidRDefault="0086073C" w:rsidP="00CF15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2011:  M</w:t>
            </w:r>
            <w:r w:rsidR="00CF15DE">
              <w:rPr>
                <w:bCs/>
                <w:sz w:val="20"/>
                <w:szCs w:val="20"/>
              </w:rPr>
              <w:t>ail</w:t>
            </w:r>
            <w:r w:rsidR="003F19E6">
              <w:rPr>
                <w:bCs/>
                <w:sz w:val="20"/>
                <w:szCs w:val="20"/>
              </w:rPr>
              <w:t xml:space="preserve">  (ABS)</w:t>
            </w:r>
          </w:p>
          <w:p w:rsidR="00CF15DE" w:rsidRPr="00647E4E" w:rsidRDefault="0086073C" w:rsidP="00CF15DE">
            <w:pPr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2012:  M</w:t>
            </w:r>
            <w:r w:rsidR="00CF15DE">
              <w:rPr>
                <w:bCs/>
                <w:sz w:val="20"/>
                <w:szCs w:val="20"/>
              </w:rPr>
              <w:t>ail</w:t>
            </w:r>
            <w:r w:rsidR="003F19E6">
              <w:rPr>
                <w:bCs/>
                <w:sz w:val="20"/>
                <w:szCs w:val="20"/>
              </w:rPr>
              <w:t xml:space="preserve">  (ABS)</w:t>
            </w:r>
          </w:p>
        </w:tc>
      </w:tr>
      <w:tr w:rsidR="0034150E" w:rsidTr="00185871">
        <w:trPr>
          <w:trHeight w:val="765"/>
        </w:trPr>
        <w:tc>
          <w:tcPr>
            <w:tcW w:w="9576" w:type="dxa"/>
            <w:gridSpan w:val="2"/>
            <w:tcBorders>
              <w:top w:val="double" w:sz="12" w:space="0" w:color="auto"/>
            </w:tcBorders>
          </w:tcPr>
          <w:p w:rsidR="0034150E" w:rsidRPr="00056719" w:rsidRDefault="00CF15DE" w:rsidP="003B6EA8">
            <w:pPr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Impetus for survey:</w:t>
            </w:r>
            <w:r w:rsidR="00185871">
              <w:rPr>
                <w:bCs/>
                <w:sz w:val="20"/>
                <w:szCs w:val="20"/>
              </w:rPr>
              <w:t xml:space="preserve">  To collect nationally-representative data on the American public’s need for, access to and use of cancer-related information and to monitor changes in the rapidly evolving health communication </w:t>
            </w:r>
            <w:r w:rsidR="00B63292">
              <w:rPr>
                <w:bCs/>
                <w:sz w:val="20"/>
                <w:szCs w:val="20"/>
              </w:rPr>
              <w:t xml:space="preserve">and media </w:t>
            </w:r>
            <w:r w:rsidR="00185871">
              <w:rPr>
                <w:bCs/>
                <w:sz w:val="20"/>
                <w:szCs w:val="20"/>
              </w:rPr>
              <w:t>environment.</w:t>
            </w:r>
          </w:p>
        </w:tc>
      </w:tr>
      <w:tr w:rsidR="0034150E" w:rsidTr="00056719">
        <w:trPr>
          <w:trHeight w:val="989"/>
        </w:trPr>
        <w:tc>
          <w:tcPr>
            <w:tcW w:w="9576" w:type="dxa"/>
            <w:gridSpan w:val="2"/>
          </w:tcPr>
          <w:p w:rsidR="0034150E" w:rsidRPr="00185871" w:rsidRDefault="00185871" w:rsidP="003B6E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Survey goals and objectives:</w:t>
            </w:r>
            <w:r w:rsidRPr="00185871">
              <w:rPr>
                <w:bCs/>
                <w:sz w:val="20"/>
                <w:szCs w:val="20"/>
              </w:rPr>
              <w:t xml:space="preserve"> The HINTS program aims to </w:t>
            </w:r>
            <w:r w:rsidR="00B63292">
              <w:rPr>
                <w:bCs/>
                <w:sz w:val="20"/>
                <w:szCs w:val="20"/>
              </w:rPr>
              <w:t>provide surveillance for</w:t>
            </w:r>
            <w:r w:rsidR="00B63292" w:rsidRPr="00185871">
              <w:rPr>
                <w:bCs/>
                <w:sz w:val="20"/>
                <w:szCs w:val="20"/>
              </w:rPr>
              <w:t xml:space="preserve"> </w:t>
            </w:r>
            <w:r w:rsidRPr="00185871">
              <w:rPr>
                <w:bCs/>
                <w:sz w:val="20"/>
                <w:szCs w:val="20"/>
              </w:rPr>
              <w:t>the fields of cancer communication</w:t>
            </w:r>
            <w:r w:rsidR="00B63292">
              <w:rPr>
                <w:bCs/>
                <w:sz w:val="20"/>
                <w:szCs w:val="20"/>
              </w:rPr>
              <w:t>, public health, and clinical practice</w:t>
            </w:r>
            <w:r w:rsidRPr="00185871">
              <w:rPr>
                <w:bCs/>
                <w:sz w:val="20"/>
                <w:szCs w:val="20"/>
              </w:rPr>
              <w:t xml:space="preserve"> and to </w:t>
            </w:r>
            <w:r w:rsidR="009D64D3">
              <w:rPr>
                <w:bCs/>
                <w:sz w:val="20"/>
                <w:szCs w:val="20"/>
              </w:rPr>
              <w:t>make available public-use datasets</w:t>
            </w:r>
            <w:r w:rsidRPr="00185871">
              <w:rPr>
                <w:bCs/>
                <w:sz w:val="20"/>
                <w:szCs w:val="20"/>
              </w:rPr>
              <w:t xml:space="preserve"> to </w:t>
            </w:r>
            <w:r w:rsidR="009D64D3">
              <w:rPr>
                <w:bCs/>
                <w:sz w:val="20"/>
                <w:szCs w:val="20"/>
              </w:rPr>
              <w:t xml:space="preserve">enable research and </w:t>
            </w:r>
            <w:r w:rsidRPr="00185871">
              <w:rPr>
                <w:bCs/>
                <w:sz w:val="20"/>
                <w:szCs w:val="20"/>
              </w:rPr>
              <w:t xml:space="preserve">guide the development of </w:t>
            </w:r>
            <w:r w:rsidR="009D64D3">
              <w:rPr>
                <w:bCs/>
                <w:sz w:val="20"/>
                <w:szCs w:val="20"/>
              </w:rPr>
              <w:t xml:space="preserve">cancer prevention and control </w:t>
            </w:r>
            <w:r w:rsidRPr="00185871">
              <w:rPr>
                <w:bCs/>
                <w:sz w:val="20"/>
                <w:szCs w:val="20"/>
              </w:rPr>
              <w:t>policies, programs, and practices at national, state, and local levels.  HINTS provide</w:t>
            </w:r>
            <w:r>
              <w:rPr>
                <w:bCs/>
                <w:sz w:val="20"/>
                <w:szCs w:val="20"/>
              </w:rPr>
              <w:t>s</w:t>
            </w:r>
            <w:r w:rsidRPr="00185871">
              <w:rPr>
                <w:bCs/>
                <w:sz w:val="20"/>
                <w:szCs w:val="20"/>
              </w:rPr>
              <w:t xml:space="preserve"> NCI with a comprehensive assessment of the American public’s current access to, and use of, information about cancer across the cancer </w:t>
            </w:r>
            <w:r w:rsidR="009D64D3">
              <w:rPr>
                <w:bCs/>
                <w:sz w:val="20"/>
                <w:szCs w:val="20"/>
              </w:rPr>
              <w:t>control</w:t>
            </w:r>
            <w:r w:rsidR="009D64D3" w:rsidRPr="00185871">
              <w:rPr>
                <w:bCs/>
                <w:sz w:val="20"/>
                <w:szCs w:val="20"/>
              </w:rPr>
              <w:t xml:space="preserve"> </w:t>
            </w:r>
            <w:r w:rsidRPr="00185871">
              <w:rPr>
                <w:bCs/>
                <w:sz w:val="20"/>
                <w:szCs w:val="20"/>
              </w:rPr>
              <w:t>continuum from cancer prevention, early detection, diagnosis, treatment, and survivorship. The content of the survey focus</w:t>
            </w:r>
            <w:r>
              <w:rPr>
                <w:bCs/>
                <w:sz w:val="20"/>
                <w:szCs w:val="20"/>
              </w:rPr>
              <w:t>es</w:t>
            </w:r>
            <w:r w:rsidRPr="00185871">
              <w:rPr>
                <w:bCs/>
                <w:sz w:val="20"/>
                <w:szCs w:val="20"/>
              </w:rPr>
              <w:t xml:space="preserve"> on understanding the degree to which members of the general population understand vital cancer prevention messages. More importantly, this NCI survey couple</w:t>
            </w:r>
            <w:r>
              <w:rPr>
                <w:bCs/>
                <w:sz w:val="20"/>
                <w:szCs w:val="20"/>
              </w:rPr>
              <w:t>s</w:t>
            </w:r>
            <w:r w:rsidRPr="00185871">
              <w:rPr>
                <w:bCs/>
                <w:sz w:val="20"/>
                <w:szCs w:val="20"/>
              </w:rPr>
              <w:t xml:space="preserve"> knowledge-related questions with inquiries into the </w:t>
            </w:r>
            <w:r w:rsidR="009D64D3">
              <w:rPr>
                <w:bCs/>
                <w:sz w:val="20"/>
                <w:szCs w:val="20"/>
              </w:rPr>
              <w:t xml:space="preserve">media and </w:t>
            </w:r>
            <w:r w:rsidRPr="00185871">
              <w:rPr>
                <w:bCs/>
                <w:sz w:val="20"/>
                <w:szCs w:val="20"/>
              </w:rPr>
              <w:t xml:space="preserve">communication channels through which </w:t>
            </w:r>
            <w:r w:rsidR="009D64D3">
              <w:rPr>
                <w:bCs/>
                <w:sz w:val="20"/>
                <w:szCs w:val="20"/>
              </w:rPr>
              <w:t>health information</w:t>
            </w:r>
            <w:r w:rsidR="009D64D3" w:rsidRPr="00185871">
              <w:rPr>
                <w:bCs/>
                <w:sz w:val="20"/>
                <w:szCs w:val="20"/>
              </w:rPr>
              <w:t xml:space="preserve"> </w:t>
            </w:r>
            <w:r w:rsidRPr="00185871">
              <w:rPr>
                <w:bCs/>
                <w:sz w:val="20"/>
                <w:szCs w:val="20"/>
              </w:rPr>
              <w:t>is being obtained</w:t>
            </w:r>
            <w:r w:rsidR="009D64D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and assesses </w:t>
            </w:r>
            <w:r w:rsidR="009D64D3">
              <w:rPr>
                <w:bCs/>
                <w:sz w:val="20"/>
                <w:szCs w:val="20"/>
              </w:rPr>
              <w:t>how cancer prevention</w:t>
            </w:r>
            <w:r w:rsidRPr="00185871">
              <w:rPr>
                <w:bCs/>
                <w:sz w:val="20"/>
                <w:szCs w:val="20"/>
              </w:rPr>
              <w:t xml:space="preserve"> behavior</w:t>
            </w:r>
            <w:r w:rsidR="009D64D3">
              <w:rPr>
                <w:bCs/>
                <w:sz w:val="20"/>
                <w:szCs w:val="20"/>
              </w:rPr>
              <w:t>s are associated with media exposure, patient-provider communication, and other important health communication constructs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34150E" w:rsidTr="0026651B">
        <w:trPr>
          <w:cantSplit/>
        </w:trPr>
        <w:tc>
          <w:tcPr>
            <w:tcW w:w="9576" w:type="dxa"/>
            <w:gridSpan w:val="2"/>
          </w:tcPr>
          <w:p w:rsidR="0034150E" w:rsidRPr="00056719" w:rsidRDefault="00185871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34150E" w:rsidRPr="00056719">
              <w:rPr>
                <w:bCs/>
                <w:sz w:val="20"/>
                <w:szCs w:val="20"/>
              </w:rPr>
              <w:t xml:space="preserve">revalence estimates to be </w:t>
            </w:r>
            <w:r>
              <w:rPr>
                <w:bCs/>
                <w:sz w:val="20"/>
                <w:szCs w:val="20"/>
              </w:rPr>
              <w:t>generated:</w:t>
            </w:r>
            <w:r w:rsidR="009D64D3">
              <w:rPr>
                <w:bCs/>
                <w:sz w:val="20"/>
                <w:szCs w:val="20"/>
              </w:rPr>
              <w:t xml:space="preserve"> No tobacco use prevalence estimates are generated with HINTS.</w:t>
            </w:r>
          </w:p>
        </w:tc>
      </w:tr>
      <w:tr w:rsidR="0034150E" w:rsidTr="00056719">
        <w:trPr>
          <w:trHeight w:val="1070"/>
        </w:trPr>
        <w:tc>
          <w:tcPr>
            <w:tcW w:w="9576" w:type="dxa"/>
            <w:gridSpan w:val="2"/>
          </w:tcPr>
          <w:p w:rsidR="00B006DC" w:rsidRDefault="00185871" w:rsidP="00B006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Key relationships to be studied:</w:t>
            </w:r>
            <w:r w:rsidR="00B006DC">
              <w:rPr>
                <w:bCs/>
                <w:sz w:val="20"/>
                <w:szCs w:val="20"/>
              </w:rPr>
              <w:t xml:space="preserve">  Research questions to be answered by HINTS include: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 xml:space="preserve">Considering the full range of communication channels, what are the major sources of cancer information for the American public? 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Have there been population shifts over time in use of major sources of cancer information for the American public?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 xml:space="preserve">To what extent is access or lack of access to different sources of health information associated with cancer knowledge or behaviors? 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Have there been population shifts over time in access to different sources of</w:t>
            </w:r>
            <w:r w:rsidR="00F55764">
              <w:rPr>
                <w:bCs/>
                <w:sz w:val="20"/>
              </w:rPr>
              <w:t xml:space="preserve"> health information and are these</w:t>
            </w:r>
            <w:r w:rsidRPr="00B006DC">
              <w:rPr>
                <w:bCs/>
                <w:sz w:val="20"/>
              </w:rPr>
              <w:t xml:space="preserve"> shifts related to changes in cancer knowledge or behavior?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What segments of the U.S. population depend on information technology (i.e., the Internet) to meet at least some of their cancer information needs?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 xml:space="preserve">Have there been population shifts over time in the extent to which segments of the U.S. population depend on </w:t>
            </w:r>
            <w:r w:rsidRPr="00B006DC">
              <w:rPr>
                <w:bCs/>
                <w:sz w:val="20"/>
              </w:rPr>
              <w:lastRenderedPageBreak/>
              <w:t>information technology to meet at least some of their cancer information needs?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How trustworthy are the sources of hea</w:t>
            </w:r>
            <w:r w:rsidR="00F55764">
              <w:rPr>
                <w:bCs/>
                <w:sz w:val="20"/>
              </w:rPr>
              <w:t>lth information perceived to be</w:t>
            </w:r>
            <w:r w:rsidRPr="00B006DC">
              <w:rPr>
                <w:bCs/>
                <w:sz w:val="20"/>
              </w:rPr>
              <w:t xml:space="preserve"> and how satisfied are respondents with </w:t>
            </w:r>
            <w:r w:rsidR="009D64D3">
              <w:rPr>
                <w:bCs/>
                <w:sz w:val="20"/>
              </w:rPr>
              <w:t xml:space="preserve">health </w:t>
            </w:r>
            <w:r w:rsidRPr="00B006DC">
              <w:rPr>
                <w:bCs/>
                <w:sz w:val="20"/>
              </w:rPr>
              <w:t>information access and content?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Have perceptions of trust in and satisfaction with various sources of health information changed over time?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  <w:szCs w:val="20"/>
              </w:rPr>
              <w:t>W</w:t>
            </w:r>
            <w:r w:rsidRPr="00B006DC">
              <w:rPr>
                <w:bCs/>
                <w:sz w:val="20"/>
              </w:rPr>
              <w:t>hat is the level of knowledge about cancer incidence, etiology, prevention, detection, and treatability and what are the psychological and structural</w:t>
            </w:r>
            <w:r>
              <w:rPr>
                <w:bCs/>
                <w:sz w:val="20"/>
              </w:rPr>
              <w:t xml:space="preserve"> determinants of this knowledge?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  <w:szCs w:val="20"/>
              </w:rPr>
              <w:t>Have</w:t>
            </w:r>
            <w:r w:rsidRPr="00B006DC">
              <w:rPr>
                <w:bCs/>
                <w:sz w:val="20"/>
              </w:rPr>
              <w:t xml:space="preserve"> levels of knowledge about cancer incidence, etiology, prevention, detection, and treatability changed over time in the population and are such changes associated with psychological and structural determinants of this knowledge?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 xml:space="preserve">How are cancer prevention behaviors related to sources of information and their use? 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Have there been population shifts in cancer prevention behaviors, and do such shifts correspond to changes in use of information sources?</w:t>
            </w:r>
          </w:p>
          <w:p w:rsid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How do people want to get information about cancer-related issues?</w:t>
            </w:r>
          </w:p>
          <w:p w:rsidR="00B006DC" w:rsidRPr="00B006DC" w:rsidRDefault="00B006DC" w:rsidP="00B006DC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bCs/>
                <w:sz w:val="20"/>
              </w:rPr>
            </w:pPr>
            <w:r w:rsidRPr="00B006DC">
              <w:rPr>
                <w:bCs/>
                <w:sz w:val="20"/>
              </w:rPr>
              <w:t>Have there been population shifts over time in preferences in the ways in which people want to get information about cancer?</w:t>
            </w:r>
          </w:p>
        </w:tc>
      </w:tr>
      <w:tr w:rsidR="0034150E" w:rsidTr="00056719">
        <w:trPr>
          <w:trHeight w:val="1070"/>
        </w:trPr>
        <w:tc>
          <w:tcPr>
            <w:tcW w:w="9576" w:type="dxa"/>
            <w:gridSpan w:val="2"/>
          </w:tcPr>
          <w:p w:rsidR="00096353" w:rsidRDefault="00185871" w:rsidP="003B6E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Types of measures:</w:t>
            </w:r>
            <w:r w:rsidR="00C212E4">
              <w:rPr>
                <w:bCs/>
                <w:sz w:val="20"/>
                <w:szCs w:val="20"/>
              </w:rPr>
              <w:t xml:space="preserve">  HINTS has a core set of measures focusing on </w:t>
            </w:r>
            <w:r w:rsidR="009D64D3">
              <w:rPr>
                <w:bCs/>
                <w:sz w:val="20"/>
                <w:szCs w:val="20"/>
              </w:rPr>
              <w:t>its main content area</w:t>
            </w:r>
            <w:r w:rsidR="008C7DDB">
              <w:rPr>
                <w:bCs/>
                <w:sz w:val="20"/>
                <w:szCs w:val="20"/>
              </w:rPr>
              <w:t xml:space="preserve"> (</w:t>
            </w:r>
            <w:r w:rsidR="009D64D3">
              <w:rPr>
                <w:bCs/>
                <w:sz w:val="20"/>
                <w:szCs w:val="20"/>
              </w:rPr>
              <w:t>health communication</w:t>
            </w:r>
            <w:r w:rsidR="008C7DDB">
              <w:rPr>
                <w:bCs/>
                <w:sz w:val="20"/>
                <w:szCs w:val="20"/>
              </w:rPr>
              <w:t>)</w:t>
            </w:r>
            <w:r w:rsidR="009D64D3">
              <w:rPr>
                <w:bCs/>
                <w:sz w:val="20"/>
                <w:szCs w:val="20"/>
              </w:rPr>
              <w:t xml:space="preserve"> in addition to a core set of measures to provide surveillance on </w:t>
            </w:r>
            <w:r w:rsidR="00C212E4">
              <w:rPr>
                <w:bCs/>
                <w:sz w:val="20"/>
                <w:szCs w:val="20"/>
              </w:rPr>
              <w:t xml:space="preserve">cancer-related behaviors (such as </w:t>
            </w:r>
            <w:r w:rsidR="009D64D3">
              <w:rPr>
                <w:bCs/>
                <w:sz w:val="20"/>
                <w:szCs w:val="20"/>
              </w:rPr>
              <w:t>cancer screening</w:t>
            </w:r>
            <w:r w:rsidR="00C212E4">
              <w:rPr>
                <w:bCs/>
                <w:sz w:val="20"/>
                <w:szCs w:val="20"/>
              </w:rPr>
              <w:t>).  T</w:t>
            </w:r>
            <w:r w:rsidR="00216967">
              <w:rPr>
                <w:bCs/>
                <w:sz w:val="20"/>
                <w:szCs w:val="20"/>
              </w:rPr>
              <w:t xml:space="preserve">hese core questions appear </w:t>
            </w:r>
            <w:proofErr w:type="gramStart"/>
            <w:r w:rsidR="00216967">
              <w:rPr>
                <w:bCs/>
                <w:sz w:val="20"/>
                <w:szCs w:val="20"/>
              </w:rPr>
              <w:t>in each</w:t>
            </w:r>
            <w:r w:rsidR="00C212E4">
              <w:rPr>
                <w:bCs/>
                <w:sz w:val="20"/>
                <w:szCs w:val="20"/>
              </w:rPr>
              <w:t xml:space="preserve"> </w:t>
            </w:r>
            <w:r w:rsidR="009D64D3">
              <w:rPr>
                <w:bCs/>
                <w:sz w:val="20"/>
                <w:szCs w:val="20"/>
              </w:rPr>
              <w:t>iteration</w:t>
            </w:r>
            <w:proofErr w:type="gramEnd"/>
            <w:r w:rsidR="009D64D3">
              <w:rPr>
                <w:bCs/>
                <w:sz w:val="20"/>
                <w:szCs w:val="20"/>
              </w:rPr>
              <w:t xml:space="preserve"> </w:t>
            </w:r>
            <w:r w:rsidR="00C212E4">
              <w:rPr>
                <w:bCs/>
                <w:sz w:val="20"/>
                <w:szCs w:val="20"/>
              </w:rPr>
              <w:t xml:space="preserve">of HINTS and make up </w:t>
            </w:r>
            <w:r w:rsidR="009D64D3">
              <w:rPr>
                <w:bCs/>
                <w:sz w:val="20"/>
                <w:szCs w:val="20"/>
              </w:rPr>
              <w:t xml:space="preserve">approximately </w:t>
            </w:r>
            <w:r w:rsidR="00C212E4">
              <w:rPr>
                <w:bCs/>
                <w:sz w:val="20"/>
                <w:szCs w:val="20"/>
              </w:rPr>
              <w:t>50% of the instrument. The other 50% of the instrument varies</w:t>
            </w:r>
            <w:r w:rsidR="00D05BB0">
              <w:rPr>
                <w:bCs/>
                <w:sz w:val="20"/>
                <w:szCs w:val="20"/>
              </w:rPr>
              <w:t xml:space="preserve"> in order to capture timely issues in cancer control and shifts in the evolving med</w:t>
            </w:r>
            <w:r w:rsidR="00096353" w:rsidRPr="00096353">
              <w:rPr>
                <w:bCs/>
                <w:sz w:val="20"/>
                <w:szCs w:val="20"/>
              </w:rPr>
              <w:t>ia environment.    Below is a list of the types of constructs that have been included in past iterations of HINTS:</w:t>
            </w:r>
          </w:p>
          <w:p w:rsidR="003B6EA8" w:rsidRDefault="003B6EA8" w:rsidP="003B6EA8">
            <w:pPr>
              <w:rPr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8"/>
              <w:gridCol w:w="3150"/>
              <w:gridCol w:w="2700"/>
            </w:tblGrid>
            <w:tr w:rsidR="00096353" w:rsidRPr="00295D2C" w:rsidTr="00DC6A99">
              <w:tc>
                <w:tcPr>
                  <w:tcW w:w="2628" w:type="dxa"/>
                </w:tcPr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Attention to health information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Avoidance of screening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Behavior change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Bodily Pain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Breast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Cancer perceptions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Cancer related knowledge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Cancer Risk Perceptions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Cancer Screening Knowledge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Cancer survivorship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Caregiver Preparedness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Cervical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Chemical Exposures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Clinical Trials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Colorectal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Comorbidity</w:t>
                  </w:r>
                </w:p>
              </w:tc>
              <w:tc>
                <w:tcPr>
                  <w:tcW w:w="3150" w:type="dxa"/>
                </w:tcPr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Consideration of future consequences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Depression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Dietary Assessment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Environment and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Environmental Health Knowledge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Exposure to support Resources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Family History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Genomics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Behavior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Care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information seeking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Information Technology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literacy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Self-Efficacy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Health status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</w:tcPr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Information Seeking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Insurance status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Lung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 xml:space="preserve">Media exposure 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Mental Models of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Numeracy (Health)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Nutrition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Patient-provider communication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Physical Activity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Prostate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Skin cancer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Social Support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Sun Safety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Tobacco Use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Use of Technology</w:t>
                  </w:r>
                </w:p>
                <w:p w:rsidR="00096353" w:rsidRPr="00295D2C" w:rsidRDefault="00096353" w:rsidP="00DC6A99">
                  <w:pPr>
                    <w:rPr>
                      <w:sz w:val="18"/>
                      <w:szCs w:val="18"/>
                    </w:rPr>
                  </w:pPr>
                  <w:r w:rsidRPr="00295D2C">
                    <w:rPr>
                      <w:sz w:val="18"/>
                      <w:szCs w:val="18"/>
                    </w:rPr>
                    <w:t>Weight/Weight Loss</w:t>
                  </w:r>
                </w:p>
              </w:tc>
            </w:tr>
          </w:tbl>
          <w:p w:rsidR="003B6EA8" w:rsidRDefault="003B6EA8" w:rsidP="00096353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                      </w:t>
            </w:r>
          </w:p>
          <w:p w:rsidR="00096353" w:rsidRPr="00096353" w:rsidRDefault="003B6EA8" w:rsidP="00096353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                     </w:t>
            </w:r>
            <w:r w:rsidR="00096353" w:rsidRPr="00096353">
              <w:rPr>
                <w:rFonts w:asciiTheme="minorHAnsi" w:hAnsiTheme="minorHAnsi" w:cstheme="minorBidi"/>
                <w:b/>
                <w:sz w:val="20"/>
                <w:szCs w:val="20"/>
              </w:rPr>
              <w:t>Number of tobacco questions included in HINTS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94"/>
              <w:gridCol w:w="1494"/>
              <w:gridCol w:w="1620"/>
              <w:gridCol w:w="1800"/>
            </w:tblGrid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  <w:t>Year of Administration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  <w:t>Total number of items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  <w:t>Number of tobacco items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b/>
                      <w:sz w:val="20"/>
                      <w:szCs w:val="20"/>
                    </w:rPr>
                    <w:t>Percent of items about tobacco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7.2%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14.4%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10.3%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2009 (PR)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10.3%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2011 (cycle 1)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1.5%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2012 (cycle 2)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5.4%</w:t>
                  </w:r>
                </w:p>
              </w:tc>
            </w:tr>
            <w:tr w:rsidR="00096353" w:rsidRPr="00096353" w:rsidTr="003B6EA8">
              <w:trPr>
                <w:jc w:val="center"/>
              </w:trPr>
              <w:tc>
                <w:tcPr>
                  <w:tcW w:w="2394" w:type="dxa"/>
                </w:tcPr>
                <w:p w:rsidR="00096353" w:rsidRPr="00096353" w:rsidRDefault="00096353" w:rsidP="00096353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2013 (proposed cycle 3)</w:t>
                  </w:r>
                </w:p>
              </w:tc>
              <w:tc>
                <w:tcPr>
                  <w:tcW w:w="1494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62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00" w:type="dxa"/>
                  <w:vAlign w:val="center"/>
                </w:tcPr>
                <w:p w:rsidR="00096353" w:rsidRPr="00096353" w:rsidRDefault="00096353" w:rsidP="00096353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096353">
                    <w:rPr>
                      <w:rFonts w:asciiTheme="minorHAnsi" w:hAnsiTheme="minorHAnsi" w:cstheme="minorBidi"/>
                      <w:sz w:val="20"/>
                      <w:szCs w:val="20"/>
                    </w:rPr>
                    <w:t>7.7%</w:t>
                  </w:r>
                </w:p>
              </w:tc>
            </w:tr>
          </w:tbl>
          <w:p w:rsidR="00D61C33" w:rsidRPr="00056719" w:rsidRDefault="00D61C33" w:rsidP="00096353">
            <w:pPr>
              <w:spacing w:after="200" w:line="276" w:lineRule="auto"/>
              <w:rPr>
                <w:bCs/>
                <w:color w:val="1F497D"/>
                <w:sz w:val="20"/>
                <w:szCs w:val="20"/>
              </w:rPr>
            </w:pPr>
          </w:p>
        </w:tc>
      </w:tr>
    </w:tbl>
    <w:p w:rsidR="003F02D6" w:rsidRDefault="003F02D6">
      <w:pPr>
        <w:spacing w:after="200" w:line="276" w:lineRule="auto"/>
        <w:rPr>
          <w:b/>
          <w:bCs/>
          <w:color w:val="1F497D"/>
        </w:rPr>
      </w:pPr>
    </w:p>
    <w:sectPr w:rsidR="003F02D6" w:rsidSect="009F215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700E0E74"/>
    <w:multiLevelType w:val="hybridMultilevel"/>
    <w:tmpl w:val="59A6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FB"/>
    <w:rsid w:val="00056719"/>
    <w:rsid w:val="00085255"/>
    <w:rsid w:val="00096353"/>
    <w:rsid w:val="000F2DAA"/>
    <w:rsid w:val="00181418"/>
    <w:rsid w:val="00185871"/>
    <w:rsid w:val="00216967"/>
    <w:rsid w:val="0026651B"/>
    <w:rsid w:val="0028240E"/>
    <w:rsid w:val="0034150E"/>
    <w:rsid w:val="003B6EA8"/>
    <w:rsid w:val="003F02D6"/>
    <w:rsid w:val="003F19E6"/>
    <w:rsid w:val="003F27D2"/>
    <w:rsid w:val="0050027B"/>
    <w:rsid w:val="005E1127"/>
    <w:rsid w:val="00647E4E"/>
    <w:rsid w:val="006748F9"/>
    <w:rsid w:val="007231B8"/>
    <w:rsid w:val="00774514"/>
    <w:rsid w:val="007C02FB"/>
    <w:rsid w:val="00804C39"/>
    <w:rsid w:val="0086073C"/>
    <w:rsid w:val="008C0A75"/>
    <w:rsid w:val="008C7DDB"/>
    <w:rsid w:val="009D64D3"/>
    <w:rsid w:val="009F2156"/>
    <w:rsid w:val="00B006DC"/>
    <w:rsid w:val="00B07B06"/>
    <w:rsid w:val="00B63292"/>
    <w:rsid w:val="00C212E4"/>
    <w:rsid w:val="00CF15DE"/>
    <w:rsid w:val="00D05BB0"/>
    <w:rsid w:val="00D22C8C"/>
    <w:rsid w:val="00D61C33"/>
    <w:rsid w:val="00D6346B"/>
    <w:rsid w:val="00DF424B"/>
    <w:rsid w:val="00F252F1"/>
    <w:rsid w:val="00F5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15DE"/>
    <w:rPr>
      <w:color w:val="0000FF" w:themeColor="hyperlink"/>
      <w:u w:val="single"/>
    </w:rPr>
  </w:style>
  <w:style w:type="paragraph" w:customStyle="1" w:styleId="P1-StandPara">
    <w:name w:val="P1-Stand Para"/>
    <w:link w:val="P1-StandParaChar"/>
    <w:rsid w:val="00185871"/>
    <w:pPr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link w:val="P1-StandPara"/>
    <w:rsid w:val="00185871"/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B006DC"/>
    <w:pPr>
      <w:numPr>
        <w:numId w:val="1"/>
      </w:numPr>
      <w:tabs>
        <w:tab w:val="left" w:pos="576"/>
      </w:tabs>
      <w:spacing w:after="120" w:line="240" w:lineRule="atLeast"/>
      <w:ind w:left="576"/>
      <w:jc w:val="both"/>
    </w:pPr>
    <w:rPr>
      <w:rFonts w:ascii="Times New Roman" w:eastAsia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B00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2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29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15DE"/>
    <w:rPr>
      <w:color w:val="0000FF" w:themeColor="hyperlink"/>
      <w:u w:val="single"/>
    </w:rPr>
  </w:style>
  <w:style w:type="paragraph" w:customStyle="1" w:styleId="P1-StandPara">
    <w:name w:val="P1-Stand Para"/>
    <w:link w:val="P1-StandParaChar"/>
    <w:rsid w:val="00185871"/>
    <w:pPr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link w:val="P1-StandPara"/>
    <w:rsid w:val="00185871"/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B006DC"/>
    <w:pPr>
      <w:numPr>
        <w:numId w:val="1"/>
      </w:numPr>
      <w:tabs>
        <w:tab w:val="left" w:pos="576"/>
      </w:tabs>
      <w:spacing w:after="120" w:line="240" w:lineRule="atLeast"/>
      <w:ind w:left="576"/>
      <w:jc w:val="both"/>
    </w:pPr>
    <w:rPr>
      <w:rFonts w:ascii="Times New Roman" w:eastAsia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B00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2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29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nts.cancer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3A478E40.dotm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Terisa Davis</cp:lastModifiedBy>
  <cp:revision>3</cp:revision>
  <dcterms:created xsi:type="dcterms:W3CDTF">2013-05-21T14:19:00Z</dcterms:created>
  <dcterms:modified xsi:type="dcterms:W3CDTF">2013-05-21T14:23:00Z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