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733" w:rsidRDefault="00D75733" w:rsidP="00364CDC">
      <w:pPr>
        <w:jc w:val="center"/>
      </w:pPr>
      <w:r>
        <w:t>Supporting Statement for Paperwork Reduction Act Submissions</w:t>
      </w:r>
    </w:p>
    <w:p w:rsidR="00D75733" w:rsidRDefault="00D75733" w:rsidP="00364CDC">
      <w:pPr>
        <w:jc w:val="center"/>
      </w:pPr>
    </w:p>
    <w:p w:rsidR="00D75733" w:rsidRDefault="00D75733" w:rsidP="00364CDC">
      <w:pPr>
        <w:jc w:val="center"/>
      </w:pPr>
      <w:r>
        <w:t>DEA Form 486 and DEA Form 486A</w:t>
      </w:r>
    </w:p>
    <w:p w:rsidR="00D75733" w:rsidRDefault="00D75733" w:rsidP="005038D3">
      <w:pPr>
        <w:jc w:val="center"/>
      </w:pPr>
      <w:r>
        <w:t>Import/Export Declaration for List I and List II Chemicals</w:t>
      </w:r>
    </w:p>
    <w:p w:rsidR="00D75733" w:rsidRDefault="00D75733" w:rsidP="005038D3">
      <w:pPr>
        <w:jc w:val="center"/>
      </w:pPr>
      <w:r>
        <w:t>[1117-0023]</w:t>
      </w:r>
    </w:p>
    <w:p w:rsidR="00D75733" w:rsidRDefault="00D75733" w:rsidP="005038D3"/>
    <w:p w:rsidR="00D75733" w:rsidRDefault="00D75733" w:rsidP="005038D3">
      <w:r>
        <w:t>Part A.  Justification</w:t>
      </w:r>
    </w:p>
    <w:p w:rsidR="00D75733" w:rsidRDefault="00D75733" w:rsidP="005038D3"/>
    <w:p w:rsidR="00D75733" w:rsidRDefault="00D75733" w:rsidP="005038D3">
      <w:r>
        <w:t xml:space="preserve">1. Necessity of Information: </w:t>
      </w:r>
    </w:p>
    <w:p w:rsidR="00D75733" w:rsidRDefault="00D75733" w:rsidP="005038D3"/>
    <w:p w:rsidR="00D75733" w:rsidRDefault="00D75733" w:rsidP="005038D3">
      <w:r>
        <w:t>Persons who import, export, or conduct international transactions involving list I and list II chemicals are required to report certain information regarding those transactions to the Drug Enforcement Administration.  The chemicals subject to control are used in the clandestine manufacture of controlled substances.  Part 1313, Title 21, Code of Federal Regulations establishes the import and export controls.  These regulations require importers, exporters, brokers and traders of listed chemicals to furnish the Drug Enforcement Administration with a DEA Form 486, Import/Export Declaration for List I and List II Chemicals, not later than 15 days prior to the proposed transaction.  The DEA Form 486 includes information regarding the person(s) to whom the listed chemical is proposed to be transferred and the name and quantity of the chemical proposed to be transferred.</w:t>
      </w:r>
    </w:p>
    <w:p w:rsidR="00D75733" w:rsidRDefault="00D75733" w:rsidP="00193A2A">
      <w:pPr>
        <w:pStyle w:val="NormalWeb"/>
        <w:shd w:val="clear" w:color="auto" w:fill="FFFFFF"/>
        <w:spacing w:before="0" w:beforeAutospacing="0" w:after="0" w:afterAutospacing="0" w:line="480" w:lineRule="auto"/>
      </w:pPr>
    </w:p>
    <w:p w:rsidR="00D75733" w:rsidRDefault="00D75733" w:rsidP="00A60203">
      <w:pPr>
        <w:pStyle w:val="NormalWeb"/>
        <w:shd w:val="clear" w:color="auto" w:fill="FFFFFF"/>
        <w:spacing w:before="0" w:beforeAutospacing="0" w:after="0" w:afterAutospacing="0"/>
        <w:rPr>
          <w:color w:val="auto"/>
        </w:rPr>
      </w:pPr>
      <w:r>
        <w:rPr>
          <w:color w:val="auto"/>
        </w:rPr>
        <w:t>If, after submission of the initial DEA Form 486, Import/Export Declaration, the importer, exporter, broker, or trader will not be transferring the listed chemical to the person initially named on the DEA Form 486, or if the importer or exporter will be transferring a greater quantity than originally indicated on the DEA Form 486, then the importer, exporter, broker, or trader must file an amended DEA Form 486 reporting the change.  This amendment must provide the name of the new prospective customer and/or the greater quantity of the listed chemical to be transferred.  The requirement to notify DEA of a change in the transferee or an increase in the quantity of the chemical to be transferred applies to amended DEA Forms 486 in the same manner that it applies to original submissions.</w:t>
      </w:r>
    </w:p>
    <w:p w:rsidR="00D75733" w:rsidRDefault="00D75733" w:rsidP="00193A2A">
      <w:pPr>
        <w:pStyle w:val="NormalWeb"/>
        <w:shd w:val="clear" w:color="auto" w:fill="FFFFFF"/>
        <w:spacing w:before="0" w:beforeAutospacing="0" w:after="0" w:afterAutospacing="0" w:line="480" w:lineRule="auto"/>
        <w:rPr>
          <w:color w:val="auto"/>
        </w:rPr>
      </w:pPr>
    </w:p>
    <w:p w:rsidR="00D75733" w:rsidRDefault="00D75733" w:rsidP="00116C20">
      <w:pPr>
        <w:pStyle w:val="NormalWeb"/>
        <w:shd w:val="clear" w:color="auto" w:fill="FFFFFF"/>
        <w:spacing w:before="0" w:beforeAutospacing="0" w:after="0" w:afterAutospacing="0"/>
        <w:rPr>
          <w:color w:val="auto"/>
        </w:rPr>
      </w:pPr>
      <w:bookmarkStart w:id="0" w:name="OLE_LINK1"/>
      <w:r>
        <w:rPr>
          <w:color w:val="auto"/>
        </w:rPr>
        <w:t xml:space="preserve">For importers of ephedrine, pseudoephedrine, and phenylpropanolamine, the Controlled Substances Act further requires that the advance notification </w:t>
      </w:r>
      <w:r>
        <w:t xml:space="preserve">“shall include all information known to the importer on the chain of distribution of such chemical from the manufacturer to the importer.”  </w:t>
      </w:r>
      <w:bookmarkEnd w:id="0"/>
      <w:r>
        <w:t>Finally, to comply with the import, manufacturing, and procurement quota provisions for ephedrine, pseudoephedrine, and phenylpropanolamine, of the Controlled Substances Act, importers must provide DEA with certain information regarding the import quota they have been issued.  Importers of ephedrine, pseudoephedrine, and phenylpropanolamine notify DEA of their transactions using a DEA Form 486A.</w:t>
      </w:r>
    </w:p>
    <w:p w:rsidR="00D75733" w:rsidRDefault="00D75733" w:rsidP="00116C20">
      <w:pPr>
        <w:pStyle w:val="NormalWeb"/>
        <w:shd w:val="clear" w:color="auto" w:fill="FFFFFF"/>
        <w:spacing w:before="0" w:beforeAutospacing="0" w:after="0" w:afterAutospacing="0"/>
      </w:pPr>
    </w:p>
    <w:p w:rsidR="00D75733" w:rsidRDefault="00D75733" w:rsidP="00116C20">
      <w:pPr>
        <w:pStyle w:val="NormalWeb"/>
        <w:shd w:val="clear" w:color="auto" w:fill="FFFFFF"/>
        <w:spacing w:before="0" w:beforeAutospacing="0" w:after="0" w:afterAutospacing="0"/>
      </w:pPr>
      <w:r>
        <w:lastRenderedPageBreak/>
        <w:t>The Attorney General, by law, has the authority to suspend the import/export of a listed chemical if evidence reveals the chemical may be diverted to the clandestine manufacture of a controlled substance.</w:t>
      </w:r>
    </w:p>
    <w:p w:rsidR="00D75733" w:rsidRDefault="00D75733" w:rsidP="00193A2A">
      <w:pPr>
        <w:pStyle w:val="NormalWeb"/>
        <w:shd w:val="clear" w:color="auto" w:fill="FFFFFF"/>
        <w:spacing w:before="0" w:beforeAutospacing="0" w:after="0" w:afterAutospacing="0"/>
      </w:pPr>
    </w:p>
    <w:p w:rsidR="00D75733" w:rsidRDefault="00D75733" w:rsidP="00193A2A">
      <w:pPr>
        <w:pStyle w:val="NormalWeb"/>
        <w:shd w:val="clear" w:color="auto" w:fill="FFFFFF"/>
        <w:spacing w:before="0" w:beforeAutospacing="0" w:after="0" w:afterAutospacing="0"/>
      </w:pPr>
      <w:r>
        <w:t>Finally, w</w:t>
      </w:r>
      <w:r w:rsidRPr="00142DD6">
        <w:t xml:space="preserve">ithin 30 days after </w:t>
      </w:r>
      <w:r>
        <w:t xml:space="preserve">the importation, exportation, or international transaction is completed, </w:t>
      </w:r>
      <w:r w:rsidRPr="00142DD6">
        <w:t>the importer</w:t>
      </w:r>
      <w:r>
        <w:t>,</w:t>
      </w:r>
      <w:r w:rsidRPr="00142DD6">
        <w:t xml:space="preserve"> </w:t>
      </w:r>
      <w:r>
        <w:t>exporter, broker, or trader must</w:t>
      </w:r>
      <w:r w:rsidRPr="00142DD6">
        <w:t xml:space="preserve"> send DEA a return declaration containing </w:t>
      </w:r>
      <w:r>
        <w:t xml:space="preserve">information regarding </w:t>
      </w:r>
      <w:r w:rsidRPr="00142DD6">
        <w:t xml:space="preserve">the transaction. </w:t>
      </w:r>
      <w:r>
        <w:t xml:space="preserve"> For importers, a </w:t>
      </w:r>
      <w:r w:rsidRPr="00142DD6">
        <w:t xml:space="preserve">single return declaration may include the </w:t>
      </w:r>
      <w:r>
        <w:t xml:space="preserve">information for </w:t>
      </w:r>
      <w:r w:rsidRPr="00142DD6">
        <w:t xml:space="preserve">both the importation and distribution. </w:t>
      </w:r>
      <w:r>
        <w:t xml:space="preserve"> </w:t>
      </w:r>
      <w:r w:rsidRPr="00142DD6">
        <w:t xml:space="preserve">If the importer has not distributed all chemicals imported by the end of the initial 30-day period, the importer </w:t>
      </w:r>
      <w:r>
        <w:t>must</w:t>
      </w:r>
      <w:r w:rsidRPr="00142DD6">
        <w:t xml:space="preserve"> file supplemental return declarations no later than 30 days from the date of any further distribution, until the distribution or other disposition of all chemicals imported </w:t>
      </w:r>
      <w:r>
        <w:t>under</w:t>
      </w:r>
      <w:r w:rsidRPr="00142DD6">
        <w:t xml:space="preserve"> the import notification or any update are accounted for.</w:t>
      </w:r>
      <w:r>
        <w:t xml:space="preserve">  In addition, if an importer, exporter, broker, or trader files a Form 486, but the transfer covered fails to take place (e.g., the import or export is canceled prior to shipment), the person must file an amended Form 486 to notify DEA of the cancellation.</w:t>
      </w:r>
    </w:p>
    <w:p w:rsidR="00D75733" w:rsidRDefault="00D75733" w:rsidP="00193A2A">
      <w:pPr>
        <w:pStyle w:val="NormalWeb"/>
        <w:shd w:val="clear" w:color="auto" w:fill="FFFFFF"/>
        <w:spacing w:before="0" w:beforeAutospacing="0" w:after="0" w:afterAutospacing="0" w:line="480" w:lineRule="auto"/>
        <w:rPr>
          <w:color w:val="auto"/>
        </w:rPr>
      </w:pPr>
    </w:p>
    <w:p w:rsidR="00D75733" w:rsidRDefault="00D75733" w:rsidP="00364CDC">
      <w:r>
        <w:t>DEA may waive this reporting requirement for a specific listed chemical for which the Administrator of DEA has determined reporting is not necessary for effective chemical diversion control.  DEA has waived the reporting requirements for imports of three List II chemicals: acetone, 2-Butanone, and toluene.  Persons importing these three List II chemicals must provide DEA with quarterly reports regarding those importations.</w:t>
      </w:r>
    </w:p>
    <w:p w:rsidR="00D75733" w:rsidRDefault="00D75733" w:rsidP="00364CDC"/>
    <w:p w:rsidR="00D75733" w:rsidRDefault="00D75733" w:rsidP="00364CDC"/>
    <w:p w:rsidR="00D75733" w:rsidRDefault="00D75733" w:rsidP="00364CDC">
      <w:r>
        <w:t xml:space="preserve">2. Needs and Uses: </w:t>
      </w:r>
    </w:p>
    <w:p w:rsidR="00D75733" w:rsidRDefault="00D75733" w:rsidP="00364CDC"/>
    <w:p w:rsidR="00D75733" w:rsidRDefault="00D75733" w:rsidP="00364CDC">
      <w:r>
        <w:t>The DEA Forms 486 and 486A provide the Drug Enforcement Administration with control measures over the importation, exportation, and international transactions of List I and List II chemicals.  Analysis of these documents provides DEA with important intelligence regarding the international commerce in chemicals.  This information assists DEA in the identification of suspected traffickers and trafficking routes.  The additional requirements imposed by the Combat Methamphetamine Epidemic Act of 2005 ensure that DEA has an accurate record of importations, exportations, and international transactions.</w:t>
      </w:r>
    </w:p>
    <w:p w:rsidR="00D75733" w:rsidRDefault="00D75733" w:rsidP="00364CDC"/>
    <w:p w:rsidR="00D75733" w:rsidRDefault="00D75733" w:rsidP="00364CDC"/>
    <w:p w:rsidR="00D75733" w:rsidRDefault="00D75733" w:rsidP="00364CDC">
      <w:r>
        <w:t>3.</w:t>
      </w:r>
      <w:r w:rsidRPr="00406453">
        <w:t xml:space="preserve"> </w:t>
      </w:r>
      <w:r>
        <w:t xml:space="preserve">Use of Technology: </w:t>
      </w:r>
    </w:p>
    <w:p w:rsidR="00D75733" w:rsidRDefault="00D75733" w:rsidP="00364CDC"/>
    <w:p w:rsidR="00D75733" w:rsidRDefault="00D75733" w:rsidP="00364CDC">
      <w:pPr>
        <w:rPr>
          <w:color w:val="000000"/>
        </w:rPr>
      </w:pPr>
      <w:r>
        <w:t>Currently, approximately 9</w:t>
      </w:r>
      <w:r w:rsidR="00667159">
        <w:t>6</w:t>
      </w:r>
      <w:r>
        <w:t xml:space="preserve">% of all submissions are sent to DEA via facsimile.  The DEA Form 486 </w:t>
      </w:r>
      <w:r>
        <w:rPr>
          <w:color w:val="000000"/>
        </w:rPr>
        <w:t xml:space="preserve">is available on the Diversion Control Program web site, </w:t>
      </w:r>
      <w:hyperlink r:id="rId6" w:history="1">
        <w:r>
          <w:rPr>
            <w:color w:val="0000FF"/>
            <w:u w:val="single"/>
          </w:rPr>
          <w:t>http://www.deadiversion.usdoj.gov</w:t>
        </w:r>
      </w:hyperlink>
      <w:r>
        <w:rPr>
          <w:color w:val="000000"/>
        </w:rPr>
        <w:t xml:space="preserve">, as a partially interactive form.  Registrants may complete the form online, print it, sign it, and send or fax it to DEA.  DEA is currently in the process of making these forms fully interactive.  </w:t>
      </w:r>
    </w:p>
    <w:p w:rsidR="00D75733" w:rsidRDefault="00D75733" w:rsidP="00364CDC">
      <w:pPr>
        <w:rPr>
          <w:color w:val="000000"/>
        </w:rPr>
      </w:pPr>
    </w:p>
    <w:p w:rsidR="00D75733" w:rsidRDefault="00D75733" w:rsidP="00364CDC">
      <w:pPr>
        <w:rPr>
          <w:color w:val="000000"/>
        </w:rPr>
      </w:pPr>
    </w:p>
    <w:p w:rsidR="00D75733" w:rsidRDefault="00D75733" w:rsidP="00364CDC">
      <w:pPr>
        <w:rPr>
          <w:color w:val="000000"/>
        </w:rPr>
      </w:pPr>
    </w:p>
    <w:p w:rsidR="00D75733" w:rsidRDefault="00D75733" w:rsidP="00364CDC">
      <w:pPr>
        <w:rPr>
          <w:color w:val="000000"/>
        </w:rPr>
      </w:pPr>
      <w:r>
        <w:rPr>
          <w:color w:val="000000"/>
        </w:rPr>
        <w:lastRenderedPageBreak/>
        <w:t xml:space="preserve">4. Efforts to Identify Duplication: </w:t>
      </w:r>
    </w:p>
    <w:p w:rsidR="00D75733" w:rsidRDefault="00D75733" w:rsidP="00364CDC">
      <w:pPr>
        <w:rPr>
          <w:color w:val="000000"/>
        </w:rPr>
      </w:pPr>
    </w:p>
    <w:p w:rsidR="00D75733" w:rsidRDefault="00D75733" w:rsidP="00364CDC">
      <w:r>
        <w:t>The import/export control function for these listed chemicals is unique to DEA.  There is no other source of information.</w:t>
      </w:r>
    </w:p>
    <w:p w:rsidR="00D75733" w:rsidRDefault="00D75733" w:rsidP="00364CDC"/>
    <w:p w:rsidR="00D75733" w:rsidRDefault="00D75733" w:rsidP="00364CDC"/>
    <w:p w:rsidR="00D75733" w:rsidRDefault="00D75733" w:rsidP="00364CDC">
      <w:r>
        <w:t>5. Methods to Minimize Burden on Small Businesses:</w:t>
      </w:r>
    </w:p>
    <w:p w:rsidR="00D75733" w:rsidRDefault="00D75733" w:rsidP="00364CDC"/>
    <w:p w:rsidR="00D75733" w:rsidRDefault="00D75733" w:rsidP="00364CDC">
      <w:r>
        <w:t>The collection of information does not impact small businesses or other small entities.</w:t>
      </w:r>
    </w:p>
    <w:p w:rsidR="00D75733" w:rsidRDefault="00D75733" w:rsidP="00364CDC"/>
    <w:p w:rsidR="00D75733" w:rsidRDefault="00D75733" w:rsidP="00364CDC"/>
    <w:p w:rsidR="00D75733" w:rsidRDefault="00D75733" w:rsidP="00364CDC">
      <w:r>
        <w:t xml:space="preserve">6. Consequences of Less Frequent Collection: </w:t>
      </w:r>
    </w:p>
    <w:p w:rsidR="00D75733" w:rsidRDefault="00D75733" w:rsidP="00364CDC"/>
    <w:p w:rsidR="00D75733" w:rsidRDefault="00D75733" w:rsidP="00364CDC">
      <w:r>
        <w:t>The law requires the information to be collected on an as needed basis (which is frequently more often than quarterly), and cannot, therefore, be collected less frequently.  Businesses and other for-profit entities participating in this information collection maintain the requested data as part of usual and customary business practice.</w:t>
      </w:r>
    </w:p>
    <w:p w:rsidR="00D75733" w:rsidRDefault="00D75733" w:rsidP="00364CDC"/>
    <w:p w:rsidR="00D75733" w:rsidRDefault="00D75733" w:rsidP="00364CDC"/>
    <w:p w:rsidR="00D75733" w:rsidRDefault="00D75733" w:rsidP="00364CDC">
      <w:r>
        <w:t xml:space="preserve">7. Special Circumstances Influencing Collection: </w:t>
      </w:r>
    </w:p>
    <w:p w:rsidR="00D75733" w:rsidRDefault="00D75733" w:rsidP="00364CDC"/>
    <w:p w:rsidR="00D75733" w:rsidRDefault="00D75733" w:rsidP="00364CDC">
      <w:r>
        <w:t xml:space="preserve">This collection is required every time a listed chemical is imported or exported from the United States, and every time an international transaction is conducted involving a United States broker or trader.  Therefore, forms are collected as needed, often more than quarterly.  There are no other special circumstances in item 7 of the supporting statement applicable to this information collection.  </w:t>
      </w:r>
    </w:p>
    <w:p w:rsidR="00D75733" w:rsidRDefault="00D75733" w:rsidP="00364CDC"/>
    <w:p w:rsidR="00D75733" w:rsidRDefault="00D75733" w:rsidP="00364CDC"/>
    <w:p w:rsidR="00D75733" w:rsidRDefault="00D75733" w:rsidP="00364CDC">
      <w:r>
        <w:t xml:space="preserve">8. Reasons for Inconsistencies with 5 CFR 1320.6: </w:t>
      </w:r>
    </w:p>
    <w:p w:rsidR="00D75733" w:rsidRDefault="00D75733" w:rsidP="00364CDC"/>
    <w:p w:rsidR="00D75733" w:rsidRDefault="00D75733" w:rsidP="00364CDC">
      <w:r>
        <w:t>There are no circumstances that require the collection of data that would be inconsistent with the guidelines set forth in 5 CFR 1320.6.  DEA meets regularly with the affected industry to discuss policies, programs and regulations.</w:t>
      </w:r>
    </w:p>
    <w:p w:rsidR="00D75733" w:rsidRDefault="00D75733" w:rsidP="00364CDC"/>
    <w:p w:rsidR="00D75733" w:rsidRDefault="00D75733" w:rsidP="00455755"/>
    <w:p w:rsidR="00D75733" w:rsidRDefault="00D75733" w:rsidP="00364CDC">
      <w:r>
        <w:t xml:space="preserve">9. Payment or Gift to Claimants: </w:t>
      </w:r>
    </w:p>
    <w:p w:rsidR="00D75733" w:rsidRDefault="00D75733" w:rsidP="00364CDC"/>
    <w:p w:rsidR="00D75733" w:rsidRDefault="00D75733" w:rsidP="00364CDC">
      <w:r>
        <w:t>There are no payments or gifts to respondents.</w:t>
      </w:r>
    </w:p>
    <w:p w:rsidR="00D75733" w:rsidRDefault="00D75733" w:rsidP="00364CDC"/>
    <w:p w:rsidR="00D75733" w:rsidRDefault="00D75733" w:rsidP="00364CDC"/>
    <w:p w:rsidR="00D75733" w:rsidRDefault="00D75733" w:rsidP="00364CDC">
      <w:r>
        <w:t xml:space="preserve">10. Assurance of Confidentiality: </w:t>
      </w:r>
    </w:p>
    <w:p w:rsidR="00D75733" w:rsidRDefault="00D75733" w:rsidP="00364CDC"/>
    <w:p w:rsidR="0056683E" w:rsidRDefault="0056683E" w:rsidP="00364CDC">
      <w:r w:rsidRPr="0056683E">
        <w:t xml:space="preserve">Information requested in this collection may be considered confidential business information if marked as such pursuant to 28 CFR 16.8(c) and Exemption 4 of the Freedom of Information Act (FOIA).  Submitters who are required to furnish commercial or financial information to the government are protected from the competitive </w:t>
      </w:r>
      <w:r w:rsidRPr="0056683E">
        <w:lastRenderedPageBreak/>
        <w:t>disadvantages that could result from disclosure of such information.  The information is protected by DEA through secure storage, limited access, and federal regulatory and DEA procedures.  In the event a FOIA request is made to obtain information that has been designated business information per 28 CFR 16.8(c) and Exemption 4 of FOIA, DEA will give written notice to the submitter to allow an opportunity to object within a reasonable time prior to any disclosure by DEA.</w:t>
      </w:r>
    </w:p>
    <w:p w:rsidR="0056683E" w:rsidRDefault="0056683E" w:rsidP="00364CDC"/>
    <w:p w:rsidR="00D75733" w:rsidRDefault="00D75733" w:rsidP="00364CDC">
      <w:r>
        <w:t>This information is also governed pursuant to 21 U.S.C. 830.</w:t>
      </w:r>
    </w:p>
    <w:p w:rsidR="00D75733" w:rsidRDefault="00D75733" w:rsidP="00364CDC"/>
    <w:p w:rsidR="00D75733" w:rsidRDefault="00D75733" w:rsidP="00364CDC"/>
    <w:p w:rsidR="00D75733" w:rsidRDefault="00D75733" w:rsidP="00364CDC">
      <w:r>
        <w:t xml:space="preserve">11. Justification for Sensitive Questions: </w:t>
      </w:r>
    </w:p>
    <w:p w:rsidR="00D75733" w:rsidRDefault="00D75733" w:rsidP="00364CDC"/>
    <w:p w:rsidR="00D75733" w:rsidRDefault="00D75733" w:rsidP="00364CDC">
      <w:r>
        <w:t>Questions of a sensitive nature are not included in this information collection.</w:t>
      </w:r>
    </w:p>
    <w:p w:rsidR="00D75733" w:rsidRDefault="00D75733" w:rsidP="00364CDC"/>
    <w:p w:rsidR="00D75733" w:rsidRDefault="00D75733" w:rsidP="00364CDC"/>
    <w:p w:rsidR="00D75733" w:rsidRDefault="00D75733" w:rsidP="001358D7">
      <w:r>
        <w:t>12. Estimate of Hour Burden:</w:t>
      </w:r>
    </w:p>
    <w:p w:rsidR="00D75733" w:rsidRDefault="00D75733" w:rsidP="001358D7"/>
    <w:p w:rsidR="00D75733" w:rsidRDefault="00D75733" w:rsidP="001358D7">
      <w:r>
        <w:t>Respondents report imports, exports and international transactions of listed chemicals using DEA Forms 486 and 486A:</w:t>
      </w:r>
    </w:p>
    <w:p w:rsidR="00D75733" w:rsidRDefault="00D75733" w:rsidP="001358D7"/>
    <w:p w:rsidR="00D75733" w:rsidRPr="00000451" w:rsidRDefault="00D75733" w:rsidP="003D515F">
      <w:pPr>
        <w:tabs>
          <w:tab w:val="left" w:pos="-1440"/>
        </w:tabs>
        <w:spacing w:line="480" w:lineRule="auto"/>
      </w:pPr>
      <w:bookmarkStart w:id="1" w:name="OLE_LINK16"/>
      <w:bookmarkStart w:id="2" w:name="OLE_LINK17"/>
      <w:r>
        <w:t>The below table presents information regarding the number of respondents, responses, and associated burden hours.</w:t>
      </w:r>
      <w:r w:rsidRPr="004A4023">
        <w:t xml:space="preserve"> </w:t>
      </w:r>
      <w:r w:rsidR="0056683E">
        <w:t xml:space="preserve"> Note that all hour calculations have been </w:t>
      </w:r>
      <w:r w:rsidR="00AC47F2">
        <w:t>rounded</w:t>
      </w:r>
      <w:r w:rsidR="0056683E">
        <w:t xml:space="preserve"> up to the nearest hour.</w:t>
      </w:r>
    </w:p>
    <w:bookmarkEnd w:id="1"/>
    <w:bookmarkEnd w:id="2"/>
    <w:p w:rsidR="00D75733" w:rsidRPr="00000451" w:rsidRDefault="00D75733" w:rsidP="003D515F">
      <w:pPr>
        <w:ind w:firstLine="720"/>
      </w:pPr>
    </w:p>
    <w:tbl>
      <w:tblPr>
        <w:tblW w:w="9585" w:type="dxa"/>
        <w:tblLayout w:type="fixed"/>
        <w:tblCellMar>
          <w:left w:w="30" w:type="dxa"/>
          <w:right w:w="30" w:type="dxa"/>
        </w:tblCellMar>
        <w:tblLook w:val="0000" w:firstRow="0" w:lastRow="0" w:firstColumn="0" w:lastColumn="0" w:noHBand="0" w:noVBand="0"/>
      </w:tblPr>
      <w:tblGrid>
        <w:gridCol w:w="3424"/>
        <w:gridCol w:w="798"/>
        <w:gridCol w:w="790"/>
        <w:gridCol w:w="798"/>
        <w:gridCol w:w="766"/>
        <w:gridCol w:w="1099"/>
        <w:gridCol w:w="648"/>
        <w:gridCol w:w="977"/>
        <w:gridCol w:w="285"/>
      </w:tblGrid>
      <w:tr w:rsidR="00667159" w:rsidTr="00DE64CF">
        <w:trPr>
          <w:trHeight w:val="1068"/>
        </w:trPr>
        <w:tc>
          <w:tcPr>
            <w:tcW w:w="3424" w:type="dxa"/>
            <w:tcBorders>
              <w:top w:val="nil"/>
              <w:left w:val="nil"/>
              <w:bottom w:val="nil"/>
              <w:right w:val="nil"/>
            </w:tcBorders>
          </w:tcPr>
          <w:p w:rsidR="00667159" w:rsidRPr="0075258C" w:rsidRDefault="00667159" w:rsidP="00DE64CF">
            <w:pPr>
              <w:jc w:val="center"/>
              <w:rPr>
                <w:rFonts w:ascii="Calibri" w:hAnsi="Calibri" w:cs="Calibri"/>
                <w:b/>
                <w:bCs/>
              </w:rPr>
            </w:pPr>
            <w:r w:rsidRPr="0075258C">
              <w:rPr>
                <w:rFonts w:ascii="Calibri" w:hAnsi="Calibri" w:cs="Calibri"/>
                <w:b/>
                <w:bCs/>
              </w:rPr>
              <w:t>Form</w:t>
            </w:r>
          </w:p>
        </w:tc>
        <w:tc>
          <w:tcPr>
            <w:tcW w:w="1588" w:type="dxa"/>
            <w:gridSpan w:val="2"/>
            <w:tcBorders>
              <w:top w:val="nil"/>
              <w:left w:val="nil"/>
              <w:bottom w:val="nil"/>
              <w:right w:val="nil"/>
            </w:tcBorders>
          </w:tcPr>
          <w:p w:rsidR="00667159" w:rsidRPr="0075258C" w:rsidRDefault="00667159" w:rsidP="00DE64CF">
            <w:pPr>
              <w:jc w:val="center"/>
              <w:rPr>
                <w:rFonts w:ascii="Calibri" w:hAnsi="Calibri" w:cs="Calibri"/>
                <w:b/>
                <w:bCs/>
              </w:rPr>
            </w:pPr>
            <w:r w:rsidRPr="0075258C">
              <w:rPr>
                <w:rFonts w:ascii="Calibri" w:hAnsi="Calibri" w:cs="Calibri"/>
                <w:b/>
                <w:bCs/>
              </w:rPr>
              <w:t>Number of Respondents</w:t>
            </w:r>
          </w:p>
        </w:tc>
        <w:tc>
          <w:tcPr>
            <w:tcW w:w="1564" w:type="dxa"/>
            <w:gridSpan w:val="2"/>
            <w:tcBorders>
              <w:top w:val="nil"/>
              <w:left w:val="nil"/>
              <w:bottom w:val="nil"/>
              <w:right w:val="nil"/>
            </w:tcBorders>
          </w:tcPr>
          <w:p w:rsidR="00667159" w:rsidRPr="0075258C" w:rsidRDefault="00667159" w:rsidP="00DE64CF">
            <w:pPr>
              <w:jc w:val="center"/>
              <w:rPr>
                <w:rFonts w:ascii="Calibri" w:hAnsi="Calibri" w:cs="Calibri"/>
                <w:b/>
                <w:bCs/>
              </w:rPr>
            </w:pPr>
            <w:r w:rsidRPr="0075258C">
              <w:rPr>
                <w:rFonts w:ascii="Calibri" w:hAnsi="Calibri" w:cs="Calibri"/>
                <w:b/>
                <w:bCs/>
              </w:rPr>
              <w:t>Number of Responses</w:t>
            </w:r>
          </w:p>
        </w:tc>
        <w:tc>
          <w:tcPr>
            <w:tcW w:w="1099" w:type="dxa"/>
            <w:tcBorders>
              <w:top w:val="nil"/>
              <w:left w:val="nil"/>
              <w:bottom w:val="nil"/>
              <w:right w:val="nil"/>
            </w:tcBorders>
          </w:tcPr>
          <w:p w:rsidR="00667159" w:rsidRPr="0075258C" w:rsidRDefault="00667159" w:rsidP="00DE64CF">
            <w:pPr>
              <w:jc w:val="center"/>
              <w:rPr>
                <w:rFonts w:ascii="Calibri" w:hAnsi="Calibri" w:cs="Calibri"/>
                <w:b/>
                <w:bCs/>
              </w:rPr>
            </w:pPr>
            <w:r w:rsidRPr="0075258C">
              <w:rPr>
                <w:rFonts w:ascii="Calibri" w:hAnsi="Calibri" w:cs="Calibri"/>
                <w:b/>
                <w:bCs/>
              </w:rPr>
              <w:t xml:space="preserve">Average time per response </w:t>
            </w:r>
          </w:p>
          <w:p w:rsidR="00667159" w:rsidRPr="0075258C" w:rsidRDefault="00667159" w:rsidP="00DE64CF">
            <w:pPr>
              <w:jc w:val="center"/>
              <w:rPr>
                <w:rFonts w:ascii="Calibri" w:hAnsi="Calibri" w:cs="Calibri"/>
                <w:b/>
                <w:bCs/>
              </w:rPr>
            </w:pPr>
            <w:r w:rsidRPr="0075258C">
              <w:rPr>
                <w:rFonts w:ascii="Calibri" w:hAnsi="Calibri" w:cs="Calibri"/>
                <w:b/>
                <w:bCs/>
              </w:rPr>
              <w:t>(Hours)</w:t>
            </w:r>
          </w:p>
        </w:tc>
        <w:tc>
          <w:tcPr>
            <w:tcW w:w="648" w:type="dxa"/>
            <w:tcBorders>
              <w:top w:val="nil"/>
              <w:left w:val="nil"/>
              <w:bottom w:val="nil"/>
              <w:right w:val="nil"/>
            </w:tcBorders>
          </w:tcPr>
          <w:p w:rsidR="00667159" w:rsidRPr="0075258C" w:rsidRDefault="00667159" w:rsidP="00DE64CF">
            <w:pPr>
              <w:jc w:val="center"/>
              <w:rPr>
                <w:rFonts w:ascii="Calibri" w:hAnsi="Calibri" w:cs="Calibri"/>
                <w:b/>
                <w:bCs/>
              </w:rPr>
            </w:pPr>
            <w:proofErr w:type="spellStart"/>
            <w:r w:rsidRPr="0075258C">
              <w:rPr>
                <w:rFonts w:ascii="Calibri" w:hAnsi="Calibri" w:cs="Calibri"/>
                <w:b/>
                <w:bCs/>
              </w:rPr>
              <w:t>Mins</w:t>
            </w:r>
            <w:proofErr w:type="spellEnd"/>
            <w:r w:rsidRPr="0075258C">
              <w:rPr>
                <w:rFonts w:ascii="Calibri" w:hAnsi="Calibri" w:cs="Calibri"/>
                <w:b/>
                <w:bCs/>
              </w:rPr>
              <w:t>.</w:t>
            </w:r>
          </w:p>
        </w:tc>
        <w:tc>
          <w:tcPr>
            <w:tcW w:w="977" w:type="dxa"/>
            <w:tcBorders>
              <w:top w:val="nil"/>
              <w:left w:val="nil"/>
              <w:bottom w:val="nil"/>
              <w:right w:val="nil"/>
            </w:tcBorders>
          </w:tcPr>
          <w:p w:rsidR="00667159" w:rsidRPr="0075258C" w:rsidRDefault="00667159" w:rsidP="00DE64CF">
            <w:pPr>
              <w:jc w:val="center"/>
              <w:rPr>
                <w:rFonts w:ascii="Calibri" w:hAnsi="Calibri" w:cs="Calibri"/>
                <w:b/>
                <w:bCs/>
              </w:rPr>
            </w:pPr>
            <w:r w:rsidRPr="0075258C">
              <w:rPr>
                <w:rFonts w:ascii="Calibri" w:hAnsi="Calibri" w:cs="Calibri"/>
                <w:b/>
                <w:bCs/>
              </w:rPr>
              <w:t>Total Hours</w:t>
            </w:r>
          </w:p>
        </w:tc>
        <w:tc>
          <w:tcPr>
            <w:tcW w:w="285" w:type="dxa"/>
            <w:tcBorders>
              <w:top w:val="nil"/>
              <w:left w:val="nil"/>
              <w:bottom w:val="nil"/>
              <w:right w:val="nil"/>
            </w:tcBorders>
          </w:tcPr>
          <w:p w:rsidR="00667159" w:rsidRDefault="00667159" w:rsidP="00DE64CF">
            <w:pPr>
              <w:jc w:val="center"/>
              <w:rPr>
                <w:rFonts w:ascii="Calibri" w:hAnsi="Calibri" w:cs="Calibri"/>
                <w:b/>
                <w:bCs/>
                <w:color w:val="000000"/>
              </w:rPr>
            </w:pPr>
          </w:p>
        </w:tc>
      </w:tr>
      <w:tr w:rsidR="00667159" w:rsidTr="00DE64CF">
        <w:trPr>
          <w:trHeight w:val="312"/>
        </w:trPr>
        <w:tc>
          <w:tcPr>
            <w:tcW w:w="3424" w:type="dxa"/>
            <w:tcBorders>
              <w:top w:val="nil"/>
              <w:left w:val="nil"/>
              <w:bottom w:val="nil"/>
              <w:right w:val="nil"/>
            </w:tcBorders>
          </w:tcPr>
          <w:p w:rsidR="00667159" w:rsidRPr="0075258C" w:rsidRDefault="00667159" w:rsidP="00DE64CF">
            <w:pPr>
              <w:jc w:val="right"/>
              <w:rPr>
                <w:rFonts w:ascii="Calibri" w:hAnsi="Calibri" w:cs="Calibri"/>
              </w:rPr>
            </w:pPr>
          </w:p>
        </w:tc>
        <w:tc>
          <w:tcPr>
            <w:tcW w:w="798" w:type="dxa"/>
            <w:tcBorders>
              <w:top w:val="nil"/>
              <w:left w:val="nil"/>
              <w:bottom w:val="nil"/>
              <w:right w:val="nil"/>
            </w:tcBorders>
          </w:tcPr>
          <w:p w:rsidR="00667159" w:rsidRPr="0075258C" w:rsidRDefault="00667159" w:rsidP="00DE64CF">
            <w:pPr>
              <w:jc w:val="center"/>
              <w:rPr>
                <w:rFonts w:ascii="Calibri" w:hAnsi="Calibri" w:cs="Calibri"/>
                <w:b/>
                <w:bCs/>
              </w:rPr>
            </w:pPr>
            <w:r w:rsidRPr="0075258C">
              <w:rPr>
                <w:rFonts w:ascii="Calibri" w:hAnsi="Calibri" w:cs="Calibri"/>
                <w:b/>
                <w:bCs/>
              </w:rPr>
              <w:t>2012</w:t>
            </w:r>
          </w:p>
        </w:tc>
        <w:tc>
          <w:tcPr>
            <w:tcW w:w="790" w:type="dxa"/>
            <w:tcBorders>
              <w:top w:val="nil"/>
              <w:left w:val="nil"/>
              <w:bottom w:val="nil"/>
              <w:right w:val="nil"/>
            </w:tcBorders>
          </w:tcPr>
          <w:p w:rsidR="00667159" w:rsidRPr="0075258C" w:rsidRDefault="00667159" w:rsidP="00DE64CF">
            <w:pPr>
              <w:jc w:val="center"/>
              <w:rPr>
                <w:rFonts w:ascii="Calibri" w:hAnsi="Calibri" w:cs="Calibri"/>
                <w:b/>
                <w:bCs/>
              </w:rPr>
            </w:pPr>
          </w:p>
        </w:tc>
        <w:tc>
          <w:tcPr>
            <w:tcW w:w="798" w:type="dxa"/>
            <w:tcBorders>
              <w:top w:val="nil"/>
              <w:left w:val="nil"/>
              <w:bottom w:val="nil"/>
              <w:right w:val="nil"/>
            </w:tcBorders>
          </w:tcPr>
          <w:p w:rsidR="00667159" w:rsidRPr="0075258C" w:rsidRDefault="00667159" w:rsidP="00DE64CF">
            <w:pPr>
              <w:jc w:val="center"/>
              <w:rPr>
                <w:rFonts w:ascii="Calibri" w:hAnsi="Calibri" w:cs="Calibri"/>
                <w:b/>
                <w:bCs/>
              </w:rPr>
            </w:pPr>
            <w:r w:rsidRPr="0075258C">
              <w:rPr>
                <w:rFonts w:ascii="Calibri" w:hAnsi="Calibri" w:cs="Calibri"/>
                <w:b/>
                <w:bCs/>
              </w:rPr>
              <w:t>2012</w:t>
            </w:r>
          </w:p>
        </w:tc>
        <w:tc>
          <w:tcPr>
            <w:tcW w:w="766" w:type="dxa"/>
            <w:tcBorders>
              <w:top w:val="nil"/>
              <w:left w:val="nil"/>
              <w:bottom w:val="nil"/>
              <w:right w:val="nil"/>
            </w:tcBorders>
          </w:tcPr>
          <w:p w:rsidR="00667159" w:rsidRPr="0075258C" w:rsidRDefault="00667159" w:rsidP="00DE64CF">
            <w:pPr>
              <w:jc w:val="center"/>
              <w:rPr>
                <w:rFonts w:ascii="Calibri" w:hAnsi="Calibri" w:cs="Calibri"/>
                <w:b/>
                <w:bCs/>
              </w:rPr>
            </w:pPr>
          </w:p>
        </w:tc>
        <w:tc>
          <w:tcPr>
            <w:tcW w:w="1099" w:type="dxa"/>
            <w:tcBorders>
              <w:top w:val="nil"/>
              <w:left w:val="nil"/>
              <w:bottom w:val="nil"/>
              <w:right w:val="nil"/>
            </w:tcBorders>
          </w:tcPr>
          <w:p w:rsidR="00667159" w:rsidRPr="0075258C" w:rsidRDefault="00667159" w:rsidP="00DE64CF">
            <w:pPr>
              <w:jc w:val="center"/>
              <w:rPr>
                <w:rFonts w:ascii="Calibri" w:hAnsi="Calibri" w:cs="Calibri"/>
                <w:b/>
                <w:bCs/>
              </w:rPr>
            </w:pPr>
          </w:p>
        </w:tc>
        <w:tc>
          <w:tcPr>
            <w:tcW w:w="648" w:type="dxa"/>
            <w:tcBorders>
              <w:top w:val="nil"/>
              <w:left w:val="nil"/>
              <w:bottom w:val="nil"/>
              <w:right w:val="nil"/>
            </w:tcBorders>
          </w:tcPr>
          <w:p w:rsidR="00667159" w:rsidRPr="0075258C" w:rsidRDefault="00667159" w:rsidP="00DE64CF">
            <w:pPr>
              <w:jc w:val="center"/>
              <w:rPr>
                <w:rFonts w:ascii="Calibri" w:hAnsi="Calibri" w:cs="Calibri"/>
                <w:b/>
                <w:bCs/>
              </w:rPr>
            </w:pPr>
          </w:p>
        </w:tc>
        <w:tc>
          <w:tcPr>
            <w:tcW w:w="977" w:type="dxa"/>
            <w:tcBorders>
              <w:top w:val="nil"/>
              <w:left w:val="nil"/>
              <w:bottom w:val="nil"/>
              <w:right w:val="nil"/>
            </w:tcBorders>
          </w:tcPr>
          <w:p w:rsidR="00667159" w:rsidRPr="0075258C" w:rsidRDefault="00667159" w:rsidP="00DE64CF">
            <w:pPr>
              <w:jc w:val="center"/>
              <w:rPr>
                <w:rFonts w:ascii="Calibri" w:hAnsi="Calibri" w:cs="Calibri"/>
                <w:b/>
                <w:bCs/>
              </w:rPr>
            </w:pPr>
            <w:r w:rsidRPr="0075258C">
              <w:rPr>
                <w:rFonts w:ascii="Calibri" w:hAnsi="Calibri" w:cs="Calibri"/>
                <w:b/>
                <w:bCs/>
              </w:rPr>
              <w:t>2012</w:t>
            </w:r>
          </w:p>
        </w:tc>
        <w:tc>
          <w:tcPr>
            <w:tcW w:w="285" w:type="dxa"/>
            <w:tcBorders>
              <w:top w:val="nil"/>
              <w:left w:val="nil"/>
              <w:bottom w:val="nil"/>
              <w:right w:val="nil"/>
            </w:tcBorders>
          </w:tcPr>
          <w:p w:rsidR="00667159" w:rsidRDefault="00667159" w:rsidP="00DE64CF">
            <w:pPr>
              <w:jc w:val="center"/>
              <w:rPr>
                <w:rFonts w:ascii="Calibri" w:hAnsi="Calibri" w:cs="Calibri"/>
                <w:b/>
                <w:bCs/>
                <w:color w:val="000000"/>
              </w:rPr>
            </w:pPr>
          </w:p>
        </w:tc>
      </w:tr>
      <w:tr w:rsidR="00667159" w:rsidTr="00DE64CF">
        <w:trPr>
          <w:trHeight w:val="312"/>
        </w:trPr>
        <w:tc>
          <w:tcPr>
            <w:tcW w:w="3424" w:type="dxa"/>
            <w:tcBorders>
              <w:top w:val="nil"/>
              <w:left w:val="nil"/>
              <w:bottom w:val="nil"/>
              <w:right w:val="nil"/>
            </w:tcBorders>
          </w:tcPr>
          <w:p w:rsidR="00667159" w:rsidRPr="0075258C" w:rsidRDefault="00667159" w:rsidP="00DE64CF">
            <w:pPr>
              <w:rPr>
                <w:rFonts w:ascii="Calibri" w:hAnsi="Calibri" w:cs="Calibri"/>
              </w:rPr>
            </w:pPr>
            <w:r w:rsidRPr="0075258C">
              <w:rPr>
                <w:rFonts w:ascii="Calibri" w:hAnsi="Calibri" w:cs="Calibri"/>
              </w:rPr>
              <w:t>Form 486 - Export (Facsimile)</w:t>
            </w: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189</w:t>
            </w:r>
          </w:p>
        </w:tc>
        <w:tc>
          <w:tcPr>
            <w:tcW w:w="790" w:type="dxa"/>
            <w:tcBorders>
              <w:top w:val="nil"/>
              <w:left w:val="nil"/>
              <w:bottom w:val="nil"/>
              <w:right w:val="nil"/>
            </w:tcBorders>
          </w:tcPr>
          <w:p w:rsidR="00667159" w:rsidRPr="0075258C" w:rsidRDefault="00667159" w:rsidP="00DE64CF">
            <w:pPr>
              <w:jc w:val="center"/>
              <w:rPr>
                <w:rFonts w:ascii="Calibri" w:hAnsi="Calibri" w:cs="Calibri"/>
              </w:rPr>
            </w:pP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8,395</w:t>
            </w:r>
          </w:p>
        </w:tc>
        <w:tc>
          <w:tcPr>
            <w:tcW w:w="766" w:type="dxa"/>
            <w:tcBorders>
              <w:top w:val="nil"/>
              <w:left w:val="nil"/>
              <w:bottom w:val="nil"/>
              <w:right w:val="nil"/>
            </w:tcBorders>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0.2833</w:t>
            </w:r>
          </w:p>
        </w:tc>
        <w:tc>
          <w:tcPr>
            <w:tcW w:w="64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17</w:t>
            </w:r>
          </w:p>
        </w:tc>
        <w:tc>
          <w:tcPr>
            <w:tcW w:w="977"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2,37</w:t>
            </w:r>
            <w:r>
              <w:rPr>
                <w:rFonts w:ascii="Calibri" w:hAnsi="Calibri" w:cs="Calibri"/>
              </w:rPr>
              <w:t>9</w:t>
            </w:r>
          </w:p>
        </w:tc>
        <w:tc>
          <w:tcPr>
            <w:tcW w:w="285" w:type="dxa"/>
            <w:tcBorders>
              <w:top w:val="nil"/>
              <w:left w:val="nil"/>
              <w:bottom w:val="nil"/>
              <w:right w:val="nil"/>
            </w:tcBorders>
          </w:tcPr>
          <w:p w:rsidR="00667159" w:rsidRDefault="00667159" w:rsidP="00DE64CF">
            <w:pPr>
              <w:jc w:val="center"/>
              <w:rPr>
                <w:rFonts w:ascii="Calibri" w:hAnsi="Calibri" w:cs="Calibri"/>
                <w:color w:val="333399"/>
              </w:rPr>
            </w:pPr>
          </w:p>
        </w:tc>
      </w:tr>
      <w:tr w:rsidR="00667159" w:rsidTr="00DE64CF">
        <w:trPr>
          <w:trHeight w:val="312"/>
        </w:trPr>
        <w:tc>
          <w:tcPr>
            <w:tcW w:w="3424" w:type="dxa"/>
            <w:tcBorders>
              <w:top w:val="nil"/>
              <w:left w:val="nil"/>
              <w:bottom w:val="nil"/>
              <w:right w:val="nil"/>
            </w:tcBorders>
            <w:shd w:val="solid" w:color="C0C0C0" w:fill="auto"/>
          </w:tcPr>
          <w:p w:rsidR="00667159" w:rsidRPr="0075258C" w:rsidRDefault="00667159" w:rsidP="00DE64CF">
            <w:pPr>
              <w:rPr>
                <w:rFonts w:ascii="Calibri" w:hAnsi="Calibri" w:cs="Calibri"/>
              </w:rPr>
            </w:pPr>
            <w:r w:rsidRPr="0075258C">
              <w:rPr>
                <w:rFonts w:ascii="Calibri" w:hAnsi="Calibri" w:cs="Calibri"/>
              </w:rPr>
              <w:t>Form 486 - Export (Online)</w:t>
            </w:r>
          </w:p>
        </w:tc>
        <w:tc>
          <w:tcPr>
            <w:tcW w:w="79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25</w:t>
            </w:r>
          </w:p>
        </w:tc>
        <w:tc>
          <w:tcPr>
            <w:tcW w:w="790"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p>
        </w:tc>
        <w:tc>
          <w:tcPr>
            <w:tcW w:w="79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434</w:t>
            </w:r>
          </w:p>
        </w:tc>
        <w:tc>
          <w:tcPr>
            <w:tcW w:w="766"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0.1333</w:t>
            </w:r>
          </w:p>
        </w:tc>
        <w:tc>
          <w:tcPr>
            <w:tcW w:w="64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8</w:t>
            </w:r>
          </w:p>
        </w:tc>
        <w:tc>
          <w:tcPr>
            <w:tcW w:w="977"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5</w:t>
            </w:r>
            <w:r>
              <w:rPr>
                <w:rFonts w:ascii="Calibri" w:hAnsi="Calibri" w:cs="Calibri"/>
              </w:rPr>
              <w:t>8</w:t>
            </w:r>
          </w:p>
        </w:tc>
        <w:tc>
          <w:tcPr>
            <w:tcW w:w="285" w:type="dxa"/>
            <w:tcBorders>
              <w:top w:val="nil"/>
              <w:left w:val="nil"/>
              <w:bottom w:val="nil"/>
              <w:right w:val="nil"/>
            </w:tcBorders>
            <w:shd w:val="solid" w:color="C0C0C0" w:fill="auto"/>
          </w:tcPr>
          <w:p w:rsidR="00667159" w:rsidRDefault="00667159" w:rsidP="00DE64CF">
            <w:pPr>
              <w:jc w:val="center"/>
              <w:rPr>
                <w:rFonts w:ascii="Calibri" w:hAnsi="Calibri" w:cs="Calibri"/>
                <w:color w:val="333399"/>
              </w:rPr>
            </w:pPr>
          </w:p>
        </w:tc>
      </w:tr>
      <w:tr w:rsidR="00667159" w:rsidTr="00DE64CF">
        <w:trPr>
          <w:trHeight w:val="312"/>
        </w:trPr>
        <w:tc>
          <w:tcPr>
            <w:tcW w:w="3424" w:type="dxa"/>
            <w:tcBorders>
              <w:top w:val="nil"/>
              <w:left w:val="nil"/>
              <w:bottom w:val="nil"/>
              <w:right w:val="nil"/>
            </w:tcBorders>
          </w:tcPr>
          <w:p w:rsidR="00667159" w:rsidRPr="0075258C" w:rsidRDefault="00667159" w:rsidP="00DE64CF">
            <w:pPr>
              <w:rPr>
                <w:rFonts w:ascii="Calibri" w:hAnsi="Calibri" w:cs="Calibri"/>
              </w:rPr>
            </w:pPr>
            <w:r w:rsidRPr="0075258C">
              <w:rPr>
                <w:rFonts w:ascii="Calibri" w:hAnsi="Calibri" w:cs="Calibri"/>
              </w:rPr>
              <w:t>Fo</w:t>
            </w:r>
            <w:bookmarkStart w:id="3" w:name="_GoBack"/>
            <w:bookmarkEnd w:id="3"/>
            <w:r w:rsidRPr="0075258C">
              <w:rPr>
                <w:rFonts w:ascii="Calibri" w:hAnsi="Calibri" w:cs="Calibri"/>
              </w:rPr>
              <w:t>rm 486 - Export Return Declaration (Facsimile)</w:t>
            </w: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189</w:t>
            </w:r>
          </w:p>
        </w:tc>
        <w:tc>
          <w:tcPr>
            <w:tcW w:w="790" w:type="dxa"/>
            <w:tcBorders>
              <w:top w:val="nil"/>
              <w:left w:val="nil"/>
              <w:bottom w:val="nil"/>
              <w:right w:val="nil"/>
            </w:tcBorders>
          </w:tcPr>
          <w:p w:rsidR="00667159" w:rsidRPr="0075258C" w:rsidRDefault="00667159" w:rsidP="00DE64CF">
            <w:pPr>
              <w:jc w:val="center"/>
              <w:rPr>
                <w:rFonts w:ascii="Calibri" w:hAnsi="Calibri" w:cs="Calibri"/>
              </w:rPr>
            </w:pP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5,357</w:t>
            </w:r>
          </w:p>
        </w:tc>
        <w:tc>
          <w:tcPr>
            <w:tcW w:w="766" w:type="dxa"/>
            <w:tcBorders>
              <w:top w:val="nil"/>
              <w:left w:val="nil"/>
              <w:bottom w:val="nil"/>
              <w:right w:val="nil"/>
            </w:tcBorders>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0.1166</w:t>
            </w:r>
          </w:p>
        </w:tc>
        <w:tc>
          <w:tcPr>
            <w:tcW w:w="64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7</w:t>
            </w:r>
          </w:p>
        </w:tc>
        <w:tc>
          <w:tcPr>
            <w:tcW w:w="977" w:type="dxa"/>
            <w:tcBorders>
              <w:top w:val="nil"/>
              <w:left w:val="nil"/>
              <w:bottom w:val="nil"/>
              <w:right w:val="nil"/>
            </w:tcBorders>
          </w:tcPr>
          <w:p w:rsidR="00667159" w:rsidRPr="0075258C" w:rsidRDefault="00667159" w:rsidP="00DE64CF">
            <w:pPr>
              <w:jc w:val="center"/>
              <w:rPr>
                <w:rFonts w:ascii="Calibri" w:hAnsi="Calibri" w:cs="Calibri"/>
              </w:rPr>
            </w:pPr>
            <w:r>
              <w:rPr>
                <w:rFonts w:ascii="Calibri" w:hAnsi="Calibri" w:cs="Calibri"/>
              </w:rPr>
              <w:t>625</w:t>
            </w:r>
          </w:p>
        </w:tc>
        <w:tc>
          <w:tcPr>
            <w:tcW w:w="285" w:type="dxa"/>
            <w:tcBorders>
              <w:top w:val="nil"/>
              <w:left w:val="nil"/>
              <w:bottom w:val="nil"/>
              <w:right w:val="nil"/>
            </w:tcBorders>
          </w:tcPr>
          <w:p w:rsidR="00667159" w:rsidRDefault="00667159" w:rsidP="00DE64CF">
            <w:pPr>
              <w:jc w:val="center"/>
              <w:rPr>
                <w:rFonts w:ascii="Calibri" w:hAnsi="Calibri" w:cs="Calibri"/>
                <w:color w:val="333399"/>
              </w:rPr>
            </w:pPr>
          </w:p>
        </w:tc>
      </w:tr>
      <w:tr w:rsidR="00667159" w:rsidTr="00DE64CF">
        <w:trPr>
          <w:trHeight w:val="312"/>
        </w:trPr>
        <w:tc>
          <w:tcPr>
            <w:tcW w:w="3424" w:type="dxa"/>
            <w:tcBorders>
              <w:top w:val="nil"/>
              <w:left w:val="nil"/>
              <w:bottom w:val="nil"/>
              <w:right w:val="nil"/>
            </w:tcBorders>
            <w:shd w:val="solid" w:color="C0C0C0" w:fill="auto"/>
          </w:tcPr>
          <w:p w:rsidR="00667159" w:rsidRPr="0075258C" w:rsidRDefault="00667159" w:rsidP="00DE64CF">
            <w:pPr>
              <w:rPr>
                <w:rFonts w:ascii="Calibri" w:hAnsi="Calibri" w:cs="Calibri"/>
              </w:rPr>
            </w:pPr>
            <w:r w:rsidRPr="0075258C">
              <w:rPr>
                <w:rFonts w:ascii="Calibri" w:hAnsi="Calibri" w:cs="Calibri"/>
              </w:rPr>
              <w:t>Form 486 - Export Return Declaration (Online)</w:t>
            </w:r>
          </w:p>
        </w:tc>
        <w:tc>
          <w:tcPr>
            <w:tcW w:w="79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25</w:t>
            </w:r>
          </w:p>
        </w:tc>
        <w:tc>
          <w:tcPr>
            <w:tcW w:w="790"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p>
        </w:tc>
        <w:tc>
          <w:tcPr>
            <w:tcW w:w="79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311</w:t>
            </w:r>
          </w:p>
        </w:tc>
        <w:tc>
          <w:tcPr>
            <w:tcW w:w="766"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0.0833</w:t>
            </w:r>
          </w:p>
        </w:tc>
        <w:tc>
          <w:tcPr>
            <w:tcW w:w="64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5</w:t>
            </w:r>
          </w:p>
        </w:tc>
        <w:tc>
          <w:tcPr>
            <w:tcW w:w="977"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2</w:t>
            </w:r>
            <w:r>
              <w:rPr>
                <w:rFonts w:ascii="Calibri" w:hAnsi="Calibri" w:cs="Calibri"/>
              </w:rPr>
              <w:t>6</w:t>
            </w:r>
          </w:p>
        </w:tc>
        <w:tc>
          <w:tcPr>
            <w:tcW w:w="285" w:type="dxa"/>
            <w:tcBorders>
              <w:top w:val="nil"/>
              <w:left w:val="nil"/>
              <w:bottom w:val="nil"/>
              <w:right w:val="nil"/>
            </w:tcBorders>
            <w:shd w:val="solid" w:color="C0C0C0" w:fill="auto"/>
          </w:tcPr>
          <w:p w:rsidR="00667159" w:rsidRDefault="00667159" w:rsidP="00DE64CF">
            <w:pPr>
              <w:jc w:val="center"/>
              <w:rPr>
                <w:rFonts w:ascii="Calibri" w:hAnsi="Calibri" w:cs="Calibri"/>
                <w:color w:val="333399"/>
              </w:rPr>
            </w:pPr>
          </w:p>
        </w:tc>
      </w:tr>
      <w:tr w:rsidR="00667159" w:rsidTr="00DE64CF">
        <w:trPr>
          <w:trHeight w:val="312"/>
        </w:trPr>
        <w:tc>
          <w:tcPr>
            <w:tcW w:w="3424" w:type="dxa"/>
            <w:tcBorders>
              <w:top w:val="nil"/>
              <w:left w:val="nil"/>
              <w:bottom w:val="nil"/>
              <w:right w:val="nil"/>
            </w:tcBorders>
          </w:tcPr>
          <w:p w:rsidR="00667159" w:rsidRPr="0075258C" w:rsidRDefault="00667159" w:rsidP="00DE64CF">
            <w:pPr>
              <w:rPr>
                <w:rFonts w:ascii="Calibri" w:hAnsi="Calibri" w:cs="Calibri"/>
              </w:rPr>
            </w:pPr>
            <w:r w:rsidRPr="0075258C">
              <w:rPr>
                <w:rFonts w:ascii="Calibri" w:hAnsi="Calibri" w:cs="Calibri"/>
              </w:rPr>
              <w:t>Form 486 - Import (Facsimile)</w:t>
            </w: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119</w:t>
            </w:r>
          </w:p>
        </w:tc>
        <w:tc>
          <w:tcPr>
            <w:tcW w:w="790" w:type="dxa"/>
            <w:tcBorders>
              <w:top w:val="nil"/>
              <w:left w:val="nil"/>
              <w:bottom w:val="nil"/>
              <w:right w:val="nil"/>
            </w:tcBorders>
          </w:tcPr>
          <w:p w:rsidR="00667159" w:rsidRPr="0075258C" w:rsidRDefault="00667159" w:rsidP="00DE64CF">
            <w:pPr>
              <w:jc w:val="center"/>
              <w:rPr>
                <w:rFonts w:ascii="Calibri" w:hAnsi="Calibri" w:cs="Calibri"/>
              </w:rPr>
            </w:pP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1,593</w:t>
            </w:r>
          </w:p>
        </w:tc>
        <w:tc>
          <w:tcPr>
            <w:tcW w:w="766" w:type="dxa"/>
            <w:tcBorders>
              <w:top w:val="nil"/>
              <w:left w:val="nil"/>
              <w:bottom w:val="nil"/>
              <w:right w:val="nil"/>
            </w:tcBorders>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0.3330</w:t>
            </w:r>
          </w:p>
        </w:tc>
        <w:tc>
          <w:tcPr>
            <w:tcW w:w="64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20</w:t>
            </w:r>
          </w:p>
        </w:tc>
        <w:tc>
          <w:tcPr>
            <w:tcW w:w="977" w:type="dxa"/>
            <w:tcBorders>
              <w:top w:val="nil"/>
              <w:left w:val="nil"/>
              <w:bottom w:val="nil"/>
              <w:right w:val="nil"/>
            </w:tcBorders>
          </w:tcPr>
          <w:p w:rsidR="00667159" w:rsidRPr="0075258C" w:rsidRDefault="00667159" w:rsidP="00DE64CF">
            <w:pPr>
              <w:jc w:val="center"/>
              <w:rPr>
                <w:rFonts w:ascii="Calibri" w:hAnsi="Calibri" w:cs="Calibri"/>
              </w:rPr>
            </w:pPr>
            <w:r>
              <w:rPr>
                <w:rFonts w:ascii="Calibri" w:hAnsi="Calibri" w:cs="Calibri"/>
              </w:rPr>
              <w:t>531</w:t>
            </w:r>
          </w:p>
        </w:tc>
        <w:tc>
          <w:tcPr>
            <w:tcW w:w="285" w:type="dxa"/>
            <w:tcBorders>
              <w:top w:val="nil"/>
              <w:left w:val="nil"/>
              <w:bottom w:val="nil"/>
              <w:right w:val="nil"/>
            </w:tcBorders>
          </w:tcPr>
          <w:p w:rsidR="00667159" w:rsidRDefault="00667159" w:rsidP="00DE64CF">
            <w:pPr>
              <w:jc w:val="center"/>
              <w:rPr>
                <w:rFonts w:ascii="Calibri" w:hAnsi="Calibri" w:cs="Calibri"/>
                <w:color w:val="993300"/>
              </w:rPr>
            </w:pPr>
          </w:p>
        </w:tc>
      </w:tr>
      <w:tr w:rsidR="00667159" w:rsidTr="00DE64CF">
        <w:trPr>
          <w:trHeight w:val="312"/>
        </w:trPr>
        <w:tc>
          <w:tcPr>
            <w:tcW w:w="3424" w:type="dxa"/>
            <w:tcBorders>
              <w:top w:val="nil"/>
              <w:left w:val="nil"/>
              <w:bottom w:val="nil"/>
              <w:right w:val="nil"/>
            </w:tcBorders>
            <w:shd w:val="solid" w:color="C0C0C0" w:fill="auto"/>
          </w:tcPr>
          <w:p w:rsidR="00667159" w:rsidRPr="0075258C" w:rsidRDefault="00667159" w:rsidP="00DE64CF">
            <w:pPr>
              <w:rPr>
                <w:rFonts w:ascii="Calibri" w:hAnsi="Calibri" w:cs="Calibri"/>
              </w:rPr>
            </w:pPr>
            <w:r w:rsidRPr="0075258C">
              <w:rPr>
                <w:rFonts w:ascii="Calibri" w:hAnsi="Calibri" w:cs="Calibri"/>
              </w:rPr>
              <w:t>Form 486 - Import (Online)</w:t>
            </w:r>
          </w:p>
        </w:tc>
        <w:tc>
          <w:tcPr>
            <w:tcW w:w="79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2</w:t>
            </w:r>
          </w:p>
        </w:tc>
        <w:tc>
          <w:tcPr>
            <w:tcW w:w="790"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p>
        </w:tc>
        <w:tc>
          <w:tcPr>
            <w:tcW w:w="79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3</w:t>
            </w:r>
          </w:p>
        </w:tc>
        <w:tc>
          <w:tcPr>
            <w:tcW w:w="766"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0.1167</w:t>
            </w:r>
          </w:p>
        </w:tc>
        <w:tc>
          <w:tcPr>
            <w:tcW w:w="64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10</w:t>
            </w:r>
          </w:p>
        </w:tc>
        <w:tc>
          <w:tcPr>
            <w:tcW w:w="977"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Pr>
                <w:rFonts w:ascii="Calibri" w:hAnsi="Calibri" w:cs="Calibri"/>
              </w:rPr>
              <w:t>1</w:t>
            </w:r>
          </w:p>
        </w:tc>
        <w:tc>
          <w:tcPr>
            <w:tcW w:w="285" w:type="dxa"/>
            <w:tcBorders>
              <w:top w:val="nil"/>
              <w:left w:val="nil"/>
              <w:bottom w:val="nil"/>
              <w:right w:val="nil"/>
            </w:tcBorders>
            <w:shd w:val="solid" w:color="C0C0C0" w:fill="auto"/>
          </w:tcPr>
          <w:p w:rsidR="00667159" w:rsidRDefault="00667159" w:rsidP="00DE64CF">
            <w:pPr>
              <w:jc w:val="center"/>
              <w:rPr>
                <w:rFonts w:ascii="Calibri" w:hAnsi="Calibri" w:cs="Calibri"/>
                <w:color w:val="993300"/>
              </w:rPr>
            </w:pPr>
          </w:p>
        </w:tc>
      </w:tr>
      <w:tr w:rsidR="00667159" w:rsidTr="00DE64CF">
        <w:trPr>
          <w:trHeight w:val="312"/>
        </w:trPr>
        <w:tc>
          <w:tcPr>
            <w:tcW w:w="3424" w:type="dxa"/>
            <w:tcBorders>
              <w:top w:val="nil"/>
              <w:left w:val="nil"/>
              <w:bottom w:val="nil"/>
              <w:right w:val="nil"/>
            </w:tcBorders>
          </w:tcPr>
          <w:p w:rsidR="00667159" w:rsidRPr="0075258C" w:rsidRDefault="00667159" w:rsidP="00DE64CF">
            <w:pPr>
              <w:rPr>
                <w:rFonts w:ascii="Calibri" w:hAnsi="Calibri" w:cs="Calibri"/>
              </w:rPr>
            </w:pPr>
            <w:r w:rsidRPr="0075258C">
              <w:rPr>
                <w:rFonts w:ascii="Calibri" w:hAnsi="Calibri" w:cs="Calibri"/>
              </w:rPr>
              <w:t>Form 486 - Import Return Declaration* (Facsimile)</w:t>
            </w: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119</w:t>
            </w:r>
          </w:p>
        </w:tc>
        <w:tc>
          <w:tcPr>
            <w:tcW w:w="790" w:type="dxa"/>
            <w:tcBorders>
              <w:top w:val="nil"/>
              <w:left w:val="nil"/>
              <w:bottom w:val="nil"/>
              <w:right w:val="nil"/>
            </w:tcBorders>
          </w:tcPr>
          <w:p w:rsidR="00667159" w:rsidRPr="0075258C" w:rsidRDefault="00667159" w:rsidP="00DE64CF">
            <w:pPr>
              <w:jc w:val="center"/>
              <w:rPr>
                <w:rFonts w:ascii="Calibri" w:hAnsi="Calibri" w:cs="Calibri"/>
              </w:rPr>
            </w:pP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1,138</w:t>
            </w:r>
          </w:p>
        </w:tc>
        <w:tc>
          <w:tcPr>
            <w:tcW w:w="766" w:type="dxa"/>
            <w:tcBorders>
              <w:top w:val="nil"/>
              <w:left w:val="nil"/>
              <w:bottom w:val="nil"/>
              <w:right w:val="nil"/>
            </w:tcBorders>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0.2000</w:t>
            </w:r>
          </w:p>
        </w:tc>
        <w:tc>
          <w:tcPr>
            <w:tcW w:w="64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12</w:t>
            </w:r>
          </w:p>
        </w:tc>
        <w:tc>
          <w:tcPr>
            <w:tcW w:w="977"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22</w:t>
            </w:r>
            <w:r>
              <w:rPr>
                <w:rFonts w:ascii="Calibri" w:hAnsi="Calibri" w:cs="Calibri"/>
              </w:rPr>
              <w:t>8</w:t>
            </w:r>
          </w:p>
        </w:tc>
        <w:tc>
          <w:tcPr>
            <w:tcW w:w="285" w:type="dxa"/>
            <w:tcBorders>
              <w:top w:val="nil"/>
              <w:left w:val="nil"/>
              <w:bottom w:val="nil"/>
              <w:right w:val="nil"/>
            </w:tcBorders>
          </w:tcPr>
          <w:p w:rsidR="00667159" w:rsidRDefault="00667159" w:rsidP="00DE64CF">
            <w:pPr>
              <w:jc w:val="center"/>
              <w:rPr>
                <w:rFonts w:ascii="Calibri" w:hAnsi="Calibri" w:cs="Calibri"/>
                <w:color w:val="993300"/>
              </w:rPr>
            </w:pPr>
          </w:p>
        </w:tc>
      </w:tr>
      <w:tr w:rsidR="00667159" w:rsidTr="00DE64CF">
        <w:trPr>
          <w:trHeight w:val="312"/>
        </w:trPr>
        <w:tc>
          <w:tcPr>
            <w:tcW w:w="3424" w:type="dxa"/>
            <w:tcBorders>
              <w:top w:val="nil"/>
              <w:left w:val="nil"/>
              <w:bottom w:val="nil"/>
              <w:right w:val="nil"/>
            </w:tcBorders>
            <w:shd w:val="solid" w:color="C0C0C0" w:fill="auto"/>
          </w:tcPr>
          <w:p w:rsidR="00667159" w:rsidRPr="0075258C" w:rsidRDefault="00667159" w:rsidP="00DE64CF">
            <w:pPr>
              <w:rPr>
                <w:rFonts w:ascii="Calibri" w:hAnsi="Calibri" w:cs="Calibri"/>
              </w:rPr>
            </w:pPr>
            <w:r w:rsidRPr="0075258C">
              <w:rPr>
                <w:rFonts w:ascii="Calibri" w:hAnsi="Calibri" w:cs="Calibri"/>
              </w:rPr>
              <w:t>Form 486 - Import Return Declaration* (Online)</w:t>
            </w:r>
          </w:p>
        </w:tc>
        <w:tc>
          <w:tcPr>
            <w:tcW w:w="79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2</w:t>
            </w:r>
          </w:p>
        </w:tc>
        <w:tc>
          <w:tcPr>
            <w:tcW w:w="790"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p>
        </w:tc>
        <w:tc>
          <w:tcPr>
            <w:tcW w:w="79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3</w:t>
            </w:r>
          </w:p>
        </w:tc>
        <w:tc>
          <w:tcPr>
            <w:tcW w:w="766"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0.1000</w:t>
            </w:r>
          </w:p>
        </w:tc>
        <w:tc>
          <w:tcPr>
            <w:tcW w:w="64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6</w:t>
            </w:r>
          </w:p>
        </w:tc>
        <w:tc>
          <w:tcPr>
            <w:tcW w:w="977"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Pr>
                <w:rFonts w:ascii="Calibri" w:hAnsi="Calibri" w:cs="Calibri"/>
              </w:rPr>
              <w:t>1</w:t>
            </w:r>
          </w:p>
        </w:tc>
        <w:tc>
          <w:tcPr>
            <w:tcW w:w="285" w:type="dxa"/>
            <w:tcBorders>
              <w:top w:val="nil"/>
              <w:left w:val="nil"/>
              <w:bottom w:val="nil"/>
              <w:right w:val="nil"/>
            </w:tcBorders>
            <w:shd w:val="solid" w:color="C0C0C0" w:fill="auto"/>
          </w:tcPr>
          <w:p w:rsidR="00667159" w:rsidRDefault="00667159" w:rsidP="00DE64CF">
            <w:pPr>
              <w:jc w:val="center"/>
              <w:rPr>
                <w:rFonts w:ascii="Calibri" w:hAnsi="Calibri" w:cs="Calibri"/>
                <w:color w:val="993300"/>
              </w:rPr>
            </w:pPr>
          </w:p>
        </w:tc>
      </w:tr>
      <w:tr w:rsidR="00667159" w:rsidTr="00DE64CF">
        <w:trPr>
          <w:trHeight w:val="312"/>
        </w:trPr>
        <w:tc>
          <w:tcPr>
            <w:tcW w:w="3424" w:type="dxa"/>
            <w:tcBorders>
              <w:top w:val="nil"/>
              <w:left w:val="nil"/>
              <w:bottom w:val="nil"/>
              <w:right w:val="nil"/>
            </w:tcBorders>
          </w:tcPr>
          <w:p w:rsidR="00667159" w:rsidRPr="0075258C" w:rsidRDefault="00667159" w:rsidP="00DE64CF">
            <w:pPr>
              <w:rPr>
                <w:rFonts w:ascii="Calibri" w:hAnsi="Calibri" w:cs="Calibri"/>
              </w:rPr>
            </w:pPr>
            <w:r w:rsidRPr="0075258C">
              <w:rPr>
                <w:rFonts w:ascii="Calibri" w:hAnsi="Calibri" w:cs="Calibri"/>
              </w:rPr>
              <w:t>Form 486A - Import (Facsimile)</w:t>
            </w: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26</w:t>
            </w:r>
          </w:p>
        </w:tc>
        <w:tc>
          <w:tcPr>
            <w:tcW w:w="790" w:type="dxa"/>
            <w:tcBorders>
              <w:top w:val="nil"/>
              <w:left w:val="nil"/>
              <w:bottom w:val="nil"/>
              <w:right w:val="nil"/>
            </w:tcBorders>
          </w:tcPr>
          <w:p w:rsidR="00667159" w:rsidRPr="0075258C" w:rsidRDefault="00667159" w:rsidP="00DE64CF">
            <w:pPr>
              <w:jc w:val="center"/>
              <w:rPr>
                <w:rFonts w:ascii="Calibri" w:hAnsi="Calibri" w:cs="Calibri"/>
              </w:rPr>
            </w:pP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336</w:t>
            </w:r>
          </w:p>
        </w:tc>
        <w:tc>
          <w:tcPr>
            <w:tcW w:w="766" w:type="dxa"/>
            <w:tcBorders>
              <w:top w:val="nil"/>
              <w:left w:val="nil"/>
              <w:bottom w:val="nil"/>
              <w:right w:val="nil"/>
            </w:tcBorders>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0.4000</w:t>
            </w:r>
          </w:p>
        </w:tc>
        <w:tc>
          <w:tcPr>
            <w:tcW w:w="64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24</w:t>
            </w:r>
          </w:p>
        </w:tc>
        <w:tc>
          <w:tcPr>
            <w:tcW w:w="977"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13</w:t>
            </w:r>
            <w:r>
              <w:rPr>
                <w:rFonts w:ascii="Calibri" w:hAnsi="Calibri" w:cs="Calibri"/>
              </w:rPr>
              <w:t>5</w:t>
            </w:r>
          </w:p>
        </w:tc>
        <w:tc>
          <w:tcPr>
            <w:tcW w:w="285" w:type="dxa"/>
            <w:tcBorders>
              <w:top w:val="nil"/>
              <w:left w:val="nil"/>
              <w:bottom w:val="nil"/>
              <w:right w:val="nil"/>
            </w:tcBorders>
          </w:tcPr>
          <w:p w:rsidR="00667159" w:rsidRDefault="00667159" w:rsidP="00DE64CF">
            <w:pPr>
              <w:jc w:val="center"/>
              <w:rPr>
                <w:rFonts w:ascii="Calibri" w:hAnsi="Calibri" w:cs="Calibri"/>
                <w:color w:val="008000"/>
              </w:rPr>
            </w:pPr>
          </w:p>
        </w:tc>
      </w:tr>
      <w:tr w:rsidR="00667159" w:rsidTr="00DE64CF">
        <w:trPr>
          <w:trHeight w:val="312"/>
        </w:trPr>
        <w:tc>
          <w:tcPr>
            <w:tcW w:w="3424" w:type="dxa"/>
            <w:tcBorders>
              <w:top w:val="nil"/>
              <w:left w:val="nil"/>
              <w:bottom w:val="nil"/>
              <w:right w:val="nil"/>
            </w:tcBorders>
            <w:shd w:val="solid" w:color="C0C0C0" w:fill="auto"/>
          </w:tcPr>
          <w:p w:rsidR="00667159" w:rsidRPr="0075258C" w:rsidRDefault="00667159" w:rsidP="00DE64CF">
            <w:pPr>
              <w:rPr>
                <w:rFonts w:ascii="Calibri" w:hAnsi="Calibri" w:cs="Calibri"/>
              </w:rPr>
            </w:pPr>
            <w:r w:rsidRPr="0075258C">
              <w:rPr>
                <w:rFonts w:ascii="Calibri" w:hAnsi="Calibri" w:cs="Calibri"/>
              </w:rPr>
              <w:lastRenderedPageBreak/>
              <w:t>Form 486A - Import (Online)</w:t>
            </w:r>
          </w:p>
        </w:tc>
        <w:tc>
          <w:tcPr>
            <w:tcW w:w="79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0</w:t>
            </w:r>
          </w:p>
        </w:tc>
        <w:tc>
          <w:tcPr>
            <w:tcW w:w="790"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p>
        </w:tc>
        <w:tc>
          <w:tcPr>
            <w:tcW w:w="79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0</w:t>
            </w:r>
          </w:p>
        </w:tc>
        <w:tc>
          <w:tcPr>
            <w:tcW w:w="766"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Pr>
                <w:rFonts w:ascii="Calibri" w:hAnsi="Calibri" w:cs="Calibri"/>
              </w:rPr>
              <w:t>0.1167</w:t>
            </w:r>
          </w:p>
        </w:tc>
        <w:tc>
          <w:tcPr>
            <w:tcW w:w="64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Pr>
                <w:rFonts w:ascii="Calibri" w:hAnsi="Calibri" w:cs="Calibri"/>
              </w:rPr>
              <w:t>10</w:t>
            </w:r>
          </w:p>
        </w:tc>
        <w:tc>
          <w:tcPr>
            <w:tcW w:w="977"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Pr>
                <w:rFonts w:ascii="Calibri" w:hAnsi="Calibri" w:cs="Calibri"/>
              </w:rPr>
              <w:t>1</w:t>
            </w:r>
          </w:p>
        </w:tc>
        <w:tc>
          <w:tcPr>
            <w:tcW w:w="285" w:type="dxa"/>
            <w:tcBorders>
              <w:top w:val="nil"/>
              <w:left w:val="nil"/>
              <w:bottom w:val="nil"/>
              <w:right w:val="nil"/>
            </w:tcBorders>
            <w:shd w:val="solid" w:color="C0C0C0" w:fill="auto"/>
          </w:tcPr>
          <w:p w:rsidR="00667159" w:rsidRDefault="00667159" w:rsidP="00DE64CF">
            <w:pPr>
              <w:jc w:val="center"/>
              <w:rPr>
                <w:rFonts w:ascii="Calibri" w:hAnsi="Calibri" w:cs="Calibri"/>
                <w:color w:val="008000"/>
              </w:rPr>
            </w:pPr>
          </w:p>
        </w:tc>
      </w:tr>
      <w:tr w:rsidR="00667159" w:rsidTr="00DE64CF">
        <w:trPr>
          <w:trHeight w:val="312"/>
        </w:trPr>
        <w:tc>
          <w:tcPr>
            <w:tcW w:w="3424" w:type="dxa"/>
            <w:tcBorders>
              <w:top w:val="nil"/>
              <w:left w:val="nil"/>
              <w:bottom w:val="nil"/>
              <w:right w:val="nil"/>
            </w:tcBorders>
          </w:tcPr>
          <w:p w:rsidR="00667159" w:rsidRPr="0075258C" w:rsidRDefault="00667159" w:rsidP="00DE64CF">
            <w:pPr>
              <w:rPr>
                <w:rFonts w:ascii="Calibri" w:hAnsi="Calibri" w:cs="Calibri"/>
              </w:rPr>
            </w:pPr>
            <w:r w:rsidRPr="0075258C">
              <w:rPr>
                <w:rFonts w:ascii="Calibri" w:hAnsi="Calibri" w:cs="Calibri"/>
              </w:rPr>
              <w:t>Form 486A - Import Return Declaration* (Facsimile)</w:t>
            </w: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26</w:t>
            </w:r>
          </w:p>
        </w:tc>
        <w:tc>
          <w:tcPr>
            <w:tcW w:w="790" w:type="dxa"/>
            <w:tcBorders>
              <w:top w:val="nil"/>
              <w:left w:val="nil"/>
              <w:bottom w:val="nil"/>
              <w:right w:val="nil"/>
            </w:tcBorders>
          </w:tcPr>
          <w:p w:rsidR="00667159" w:rsidRPr="0075258C" w:rsidRDefault="00667159" w:rsidP="00DE64CF">
            <w:pPr>
              <w:jc w:val="center"/>
              <w:rPr>
                <w:rFonts w:ascii="Calibri" w:hAnsi="Calibri" w:cs="Calibri"/>
              </w:rPr>
            </w:pP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213</w:t>
            </w:r>
          </w:p>
        </w:tc>
        <w:tc>
          <w:tcPr>
            <w:tcW w:w="766" w:type="dxa"/>
            <w:tcBorders>
              <w:top w:val="nil"/>
              <w:left w:val="nil"/>
              <w:bottom w:val="nil"/>
              <w:right w:val="nil"/>
            </w:tcBorders>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0.2000</w:t>
            </w:r>
          </w:p>
        </w:tc>
        <w:tc>
          <w:tcPr>
            <w:tcW w:w="64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12</w:t>
            </w:r>
          </w:p>
        </w:tc>
        <w:tc>
          <w:tcPr>
            <w:tcW w:w="977"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4</w:t>
            </w:r>
            <w:r>
              <w:rPr>
                <w:rFonts w:ascii="Calibri" w:hAnsi="Calibri" w:cs="Calibri"/>
              </w:rPr>
              <w:t>3</w:t>
            </w:r>
          </w:p>
        </w:tc>
        <w:tc>
          <w:tcPr>
            <w:tcW w:w="285" w:type="dxa"/>
            <w:tcBorders>
              <w:top w:val="nil"/>
              <w:left w:val="nil"/>
              <w:bottom w:val="nil"/>
              <w:right w:val="nil"/>
            </w:tcBorders>
          </w:tcPr>
          <w:p w:rsidR="00667159" w:rsidRDefault="00667159" w:rsidP="00DE64CF">
            <w:pPr>
              <w:jc w:val="center"/>
              <w:rPr>
                <w:rFonts w:ascii="Calibri" w:hAnsi="Calibri" w:cs="Calibri"/>
                <w:color w:val="008000"/>
              </w:rPr>
            </w:pPr>
          </w:p>
        </w:tc>
      </w:tr>
      <w:tr w:rsidR="00667159" w:rsidTr="00DE64CF">
        <w:trPr>
          <w:trHeight w:val="312"/>
        </w:trPr>
        <w:tc>
          <w:tcPr>
            <w:tcW w:w="3424" w:type="dxa"/>
            <w:tcBorders>
              <w:top w:val="nil"/>
              <w:left w:val="nil"/>
              <w:bottom w:val="nil"/>
              <w:right w:val="nil"/>
            </w:tcBorders>
            <w:shd w:val="solid" w:color="C0C0C0" w:fill="auto"/>
          </w:tcPr>
          <w:p w:rsidR="00667159" w:rsidRPr="0075258C" w:rsidRDefault="00667159" w:rsidP="00DE64CF">
            <w:pPr>
              <w:rPr>
                <w:rFonts w:ascii="Calibri" w:hAnsi="Calibri" w:cs="Calibri"/>
              </w:rPr>
            </w:pPr>
            <w:r w:rsidRPr="0075258C">
              <w:rPr>
                <w:rFonts w:ascii="Calibri" w:hAnsi="Calibri" w:cs="Calibri"/>
              </w:rPr>
              <w:t>Form 486A - Import Return Declaration* (Online)</w:t>
            </w:r>
          </w:p>
        </w:tc>
        <w:tc>
          <w:tcPr>
            <w:tcW w:w="79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0</w:t>
            </w:r>
          </w:p>
        </w:tc>
        <w:tc>
          <w:tcPr>
            <w:tcW w:w="790"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p>
        </w:tc>
        <w:tc>
          <w:tcPr>
            <w:tcW w:w="79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sidRPr="0075258C">
              <w:rPr>
                <w:rFonts w:ascii="Calibri" w:hAnsi="Calibri" w:cs="Calibri"/>
              </w:rPr>
              <w:t>0</w:t>
            </w:r>
          </w:p>
        </w:tc>
        <w:tc>
          <w:tcPr>
            <w:tcW w:w="766"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Pr>
                <w:rFonts w:ascii="Calibri" w:hAnsi="Calibri" w:cs="Calibri"/>
              </w:rPr>
              <w:t>0.1000</w:t>
            </w:r>
          </w:p>
        </w:tc>
        <w:tc>
          <w:tcPr>
            <w:tcW w:w="648"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Pr>
                <w:rFonts w:ascii="Calibri" w:hAnsi="Calibri" w:cs="Calibri"/>
              </w:rPr>
              <w:t>6</w:t>
            </w:r>
          </w:p>
        </w:tc>
        <w:tc>
          <w:tcPr>
            <w:tcW w:w="977" w:type="dxa"/>
            <w:tcBorders>
              <w:top w:val="nil"/>
              <w:left w:val="nil"/>
              <w:bottom w:val="nil"/>
              <w:right w:val="nil"/>
            </w:tcBorders>
            <w:shd w:val="solid" w:color="C0C0C0" w:fill="auto"/>
          </w:tcPr>
          <w:p w:rsidR="00667159" w:rsidRPr="0075258C" w:rsidRDefault="00667159" w:rsidP="00DE64CF">
            <w:pPr>
              <w:jc w:val="center"/>
              <w:rPr>
                <w:rFonts w:ascii="Calibri" w:hAnsi="Calibri" w:cs="Calibri"/>
              </w:rPr>
            </w:pPr>
            <w:r>
              <w:rPr>
                <w:rFonts w:ascii="Calibri" w:hAnsi="Calibri" w:cs="Calibri"/>
              </w:rPr>
              <w:t>1</w:t>
            </w:r>
          </w:p>
        </w:tc>
        <w:tc>
          <w:tcPr>
            <w:tcW w:w="285" w:type="dxa"/>
            <w:tcBorders>
              <w:top w:val="nil"/>
              <w:left w:val="nil"/>
              <w:bottom w:val="nil"/>
              <w:right w:val="nil"/>
            </w:tcBorders>
            <w:shd w:val="solid" w:color="C0C0C0" w:fill="auto"/>
          </w:tcPr>
          <w:p w:rsidR="00667159" w:rsidRDefault="00667159" w:rsidP="00DE64CF">
            <w:pPr>
              <w:jc w:val="center"/>
              <w:rPr>
                <w:rFonts w:ascii="Calibri" w:hAnsi="Calibri" w:cs="Calibri"/>
                <w:color w:val="008000"/>
              </w:rPr>
            </w:pPr>
          </w:p>
        </w:tc>
      </w:tr>
      <w:tr w:rsidR="00667159" w:rsidTr="00DE64CF">
        <w:trPr>
          <w:trHeight w:val="312"/>
        </w:trPr>
        <w:tc>
          <w:tcPr>
            <w:tcW w:w="3424" w:type="dxa"/>
            <w:tcBorders>
              <w:top w:val="nil"/>
              <w:left w:val="nil"/>
              <w:bottom w:val="nil"/>
              <w:right w:val="nil"/>
            </w:tcBorders>
          </w:tcPr>
          <w:p w:rsidR="00667159" w:rsidRPr="0075258C" w:rsidRDefault="00667159" w:rsidP="00DE64CF">
            <w:pPr>
              <w:rPr>
                <w:rFonts w:ascii="Calibri" w:hAnsi="Calibri" w:cs="Calibri"/>
              </w:rPr>
            </w:pPr>
            <w:r w:rsidRPr="0075258C">
              <w:rPr>
                <w:rFonts w:ascii="Calibri" w:hAnsi="Calibri" w:cs="Calibri"/>
              </w:rPr>
              <w:t>Form 486 - International (brokered)</w:t>
            </w: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15</w:t>
            </w:r>
          </w:p>
        </w:tc>
        <w:tc>
          <w:tcPr>
            <w:tcW w:w="790" w:type="dxa"/>
            <w:tcBorders>
              <w:top w:val="nil"/>
              <w:left w:val="nil"/>
              <w:bottom w:val="nil"/>
              <w:right w:val="nil"/>
            </w:tcBorders>
          </w:tcPr>
          <w:p w:rsidR="00667159" w:rsidRPr="0075258C" w:rsidRDefault="00667159" w:rsidP="00DE64CF">
            <w:pPr>
              <w:jc w:val="center"/>
              <w:rPr>
                <w:rFonts w:ascii="Calibri" w:hAnsi="Calibri" w:cs="Calibri"/>
              </w:rPr>
            </w:pP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366</w:t>
            </w:r>
          </w:p>
        </w:tc>
        <w:tc>
          <w:tcPr>
            <w:tcW w:w="766" w:type="dxa"/>
            <w:tcBorders>
              <w:top w:val="nil"/>
              <w:left w:val="nil"/>
              <w:bottom w:val="nil"/>
              <w:right w:val="nil"/>
            </w:tcBorders>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0.2833</w:t>
            </w:r>
          </w:p>
        </w:tc>
        <w:tc>
          <w:tcPr>
            <w:tcW w:w="64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17</w:t>
            </w:r>
          </w:p>
        </w:tc>
        <w:tc>
          <w:tcPr>
            <w:tcW w:w="977"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w:t>
            </w:r>
            <w:r>
              <w:rPr>
                <w:rFonts w:ascii="Calibri" w:hAnsi="Calibri" w:cs="Calibri"/>
              </w:rPr>
              <w:t>04</w:t>
            </w:r>
          </w:p>
        </w:tc>
        <w:tc>
          <w:tcPr>
            <w:tcW w:w="285" w:type="dxa"/>
            <w:tcBorders>
              <w:top w:val="nil"/>
              <w:left w:val="nil"/>
              <w:bottom w:val="nil"/>
              <w:right w:val="nil"/>
            </w:tcBorders>
          </w:tcPr>
          <w:p w:rsidR="00667159" w:rsidRDefault="00667159" w:rsidP="00DE64CF">
            <w:pPr>
              <w:jc w:val="center"/>
              <w:rPr>
                <w:rFonts w:ascii="Calibri" w:hAnsi="Calibri" w:cs="Calibri"/>
                <w:color w:val="000000"/>
              </w:rPr>
            </w:pPr>
          </w:p>
        </w:tc>
      </w:tr>
      <w:tr w:rsidR="00667159" w:rsidTr="00DE64CF">
        <w:trPr>
          <w:trHeight w:val="312"/>
        </w:trPr>
        <w:tc>
          <w:tcPr>
            <w:tcW w:w="3424" w:type="dxa"/>
            <w:tcBorders>
              <w:top w:val="nil"/>
              <w:left w:val="nil"/>
              <w:bottom w:val="nil"/>
              <w:right w:val="nil"/>
            </w:tcBorders>
          </w:tcPr>
          <w:p w:rsidR="00667159" w:rsidRPr="0075258C" w:rsidRDefault="00667159" w:rsidP="00DE64CF">
            <w:pPr>
              <w:rPr>
                <w:rFonts w:ascii="Calibri" w:hAnsi="Calibri" w:cs="Calibri"/>
              </w:rPr>
            </w:pPr>
            <w:r w:rsidRPr="0075258C">
              <w:rPr>
                <w:rFonts w:ascii="Calibri" w:hAnsi="Calibri" w:cs="Calibri"/>
              </w:rPr>
              <w:t>Form 486 - International (brokered) Return Declaration</w:t>
            </w: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15</w:t>
            </w:r>
          </w:p>
        </w:tc>
        <w:tc>
          <w:tcPr>
            <w:tcW w:w="790" w:type="dxa"/>
            <w:tcBorders>
              <w:top w:val="nil"/>
              <w:left w:val="nil"/>
              <w:bottom w:val="nil"/>
              <w:right w:val="nil"/>
            </w:tcBorders>
          </w:tcPr>
          <w:p w:rsidR="00667159" w:rsidRPr="0075258C" w:rsidRDefault="00667159" w:rsidP="00DE64CF">
            <w:pPr>
              <w:jc w:val="center"/>
              <w:rPr>
                <w:rFonts w:ascii="Calibri" w:hAnsi="Calibri" w:cs="Calibri"/>
              </w:rPr>
            </w:pP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83</w:t>
            </w:r>
          </w:p>
        </w:tc>
        <w:tc>
          <w:tcPr>
            <w:tcW w:w="766" w:type="dxa"/>
            <w:tcBorders>
              <w:top w:val="nil"/>
              <w:left w:val="nil"/>
              <w:bottom w:val="nil"/>
              <w:right w:val="nil"/>
            </w:tcBorders>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0.1333</w:t>
            </w:r>
          </w:p>
        </w:tc>
        <w:tc>
          <w:tcPr>
            <w:tcW w:w="64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8</w:t>
            </w:r>
          </w:p>
        </w:tc>
        <w:tc>
          <w:tcPr>
            <w:tcW w:w="977"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w:t>
            </w:r>
            <w:r>
              <w:rPr>
                <w:rFonts w:ascii="Calibri" w:hAnsi="Calibri" w:cs="Calibri"/>
              </w:rPr>
              <w:t>2</w:t>
            </w:r>
          </w:p>
        </w:tc>
        <w:tc>
          <w:tcPr>
            <w:tcW w:w="285" w:type="dxa"/>
            <w:tcBorders>
              <w:top w:val="nil"/>
              <w:left w:val="nil"/>
              <w:bottom w:val="nil"/>
              <w:right w:val="nil"/>
            </w:tcBorders>
          </w:tcPr>
          <w:p w:rsidR="00667159" w:rsidRDefault="00667159" w:rsidP="00DE64CF">
            <w:pPr>
              <w:jc w:val="center"/>
              <w:rPr>
                <w:rFonts w:ascii="Calibri" w:hAnsi="Calibri" w:cs="Calibri"/>
                <w:color w:val="000000"/>
              </w:rPr>
            </w:pPr>
          </w:p>
        </w:tc>
      </w:tr>
      <w:tr w:rsidR="00667159" w:rsidTr="00DE64CF">
        <w:trPr>
          <w:trHeight w:val="623"/>
        </w:trPr>
        <w:tc>
          <w:tcPr>
            <w:tcW w:w="3424" w:type="dxa"/>
            <w:tcBorders>
              <w:top w:val="nil"/>
              <w:left w:val="nil"/>
              <w:bottom w:val="nil"/>
              <w:right w:val="nil"/>
            </w:tcBorders>
          </w:tcPr>
          <w:p w:rsidR="00667159" w:rsidRPr="0075258C" w:rsidRDefault="00667159" w:rsidP="00DE64CF">
            <w:pPr>
              <w:rPr>
                <w:rFonts w:ascii="Calibri" w:hAnsi="Calibri" w:cs="Calibri"/>
              </w:rPr>
            </w:pPr>
            <w:r w:rsidRPr="0075258C">
              <w:rPr>
                <w:rFonts w:ascii="Calibri" w:hAnsi="Calibri" w:cs="Calibri"/>
              </w:rPr>
              <w:t xml:space="preserve">Quarterly Reports for Imports of </w:t>
            </w:r>
          </w:p>
          <w:p w:rsidR="00667159" w:rsidRPr="0075258C" w:rsidRDefault="00667159" w:rsidP="00DE64CF">
            <w:pPr>
              <w:rPr>
                <w:rFonts w:ascii="Calibri" w:hAnsi="Calibri" w:cs="Calibri"/>
              </w:rPr>
            </w:pPr>
            <w:r w:rsidRPr="0075258C">
              <w:rPr>
                <w:rFonts w:ascii="Calibri" w:hAnsi="Calibri" w:cs="Calibri"/>
              </w:rPr>
              <w:t>Acetone, 2-Butanone, and Toluene</w:t>
            </w: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50</w:t>
            </w:r>
          </w:p>
        </w:tc>
        <w:tc>
          <w:tcPr>
            <w:tcW w:w="790" w:type="dxa"/>
            <w:tcBorders>
              <w:top w:val="nil"/>
              <w:left w:val="nil"/>
              <w:bottom w:val="nil"/>
              <w:right w:val="nil"/>
            </w:tcBorders>
          </w:tcPr>
          <w:p w:rsidR="00667159" w:rsidRPr="0075258C" w:rsidRDefault="00667159" w:rsidP="00DE64CF">
            <w:pPr>
              <w:jc w:val="center"/>
              <w:rPr>
                <w:rFonts w:ascii="Calibri" w:hAnsi="Calibri" w:cs="Calibri"/>
              </w:rPr>
            </w:pP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150</w:t>
            </w:r>
          </w:p>
        </w:tc>
        <w:tc>
          <w:tcPr>
            <w:tcW w:w="766" w:type="dxa"/>
            <w:tcBorders>
              <w:top w:val="nil"/>
              <w:left w:val="nil"/>
              <w:bottom w:val="nil"/>
              <w:right w:val="nil"/>
            </w:tcBorders>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0.5</w:t>
            </w:r>
          </w:p>
        </w:tc>
        <w:tc>
          <w:tcPr>
            <w:tcW w:w="64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30</w:t>
            </w:r>
          </w:p>
        </w:tc>
        <w:tc>
          <w:tcPr>
            <w:tcW w:w="977"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75</w:t>
            </w:r>
          </w:p>
        </w:tc>
        <w:tc>
          <w:tcPr>
            <w:tcW w:w="285" w:type="dxa"/>
            <w:tcBorders>
              <w:top w:val="nil"/>
              <w:left w:val="nil"/>
              <w:bottom w:val="nil"/>
              <w:right w:val="nil"/>
            </w:tcBorders>
          </w:tcPr>
          <w:p w:rsidR="00667159" w:rsidRDefault="00667159" w:rsidP="00DE64CF">
            <w:pPr>
              <w:jc w:val="center"/>
              <w:rPr>
                <w:rFonts w:ascii="Calibri" w:hAnsi="Calibri" w:cs="Calibri"/>
                <w:color w:val="000000"/>
              </w:rPr>
            </w:pPr>
          </w:p>
        </w:tc>
      </w:tr>
      <w:tr w:rsidR="00667159" w:rsidTr="00DE64CF">
        <w:trPr>
          <w:trHeight w:val="312"/>
        </w:trPr>
        <w:tc>
          <w:tcPr>
            <w:tcW w:w="3424" w:type="dxa"/>
            <w:tcBorders>
              <w:top w:val="nil"/>
              <w:left w:val="nil"/>
              <w:bottom w:val="nil"/>
              <w:right w:val="nil"/>
            </w:tcBorders>
          </w:tcPr>
          <w:p w:rsidR="00667159" w:rsidRPr="0075258C" w:rsidRDefault="00667159" w:rsidP="00DE64CF">
            <w:pPr>
              <w:rPr>
                <w:rFonts w:ascii="Calibri" w:hAnsi="Calibri" w:cs="Calibri"/>
              </w:rPr>
            </w:pPr>
            <w:r w:rsidRPr="0075258C">
              <w:rPr>
                <w:rFonts w:ascii="Calibri" w:hAnsi="Calibri" w:cs="Calibri"/>
              </w:rPr>
              <w:t>Total</w:t>
            </w: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802</w:t>
            </w:r>
          </w:p>
        </w:tc>
        <w:tc>
          <w:tcPr>
            <w:tcW w:w="790" w:type="dxa"/>
            <w:tcBorders>
              <w:top w:val="nil"/>
              <w:left w:val="nil"/>
              <w:bottom w:val="nil"/>
              <w:right w:val="nil"/>
            </w:tcBorders>
          </w:tcPr>
          <w:p w:rsidR="00667159" w:rsidRPr="0075258C" w:rsidRDefault="00667159" w:rsidP="00DE64CF">
            <w:pPr>
              <w:jc w:val="center"/>
              <w:rPr>
                <w:rFonts w:ascii="Calibri" w:hAnsi="Calibri" w:cs="Calibri"/>
              </w:rPr>
            </w:pPr>
          </w:p>
        </w:tc>
        <w:tc>
          <w:tcPr>
            <w:tcW w:w="798" w:type="dxa"/>
            <w:tcBorders>
              <w:top w:val="nil"/>
              <w:left w:val="nil"/>
              <w:bottom w:val="nil"/>
              <w:right w:val="nil"/>
            </w:tcBorders>
          </w:tcPr>
          <w:p w:rsidR="00667159" w:rsidRPr="0075258C" w:rsidRDefault="00667159" w:rsidP="00DE64CF">
            <w:pPr>
              <w:jc w:val="center"/>
              <w:rPr>
                <w:rFonts w:ascii="Calibri" w:hAnsi="Calibri" w:cs="Calibri"/>
              </w:rPr>
            </w:pPr>
            <w:r w:rsidRPr="0075258C">
              <w:rPr>
                <w:rFonts w:ascii="Calibri" w:hAnsi="Calibri" w:cs="Calibri"/>
              </w:rPr>
              <w:t>18,382</w:t>
            </w:r>
          </w:p>
        </w:tc>
        <w:tc>
          <w:tcPr>
            <w:tcW w:w="766" w:type="dxa"/>
            <w:tcBorders>
              <w:top w:val="nil"/>
              <w:left w:val="nil"/>
              <w:bottom w:val="nil"/>
              <w:right w:val="nil"/>
            </w:tcBorders>
          </w:tcPr>
          <w:p w:rsidR="00667159" w:rsidRPr="0075258C" w:rsidRDefault="00667159" w:rsidP="00DE64CF">
            <w:pPr>
              <w:jc w:val="center"/>
              <w:rPr>
                <w:rFonts w:ascii="Calibri" w:hAnsi="Calibri" w:cs="Calibri"/>
              </w:rPr>
            </w:pPr>
          </w:p>
        </w:tc>
        <w:tc>
          <w:tcPr>
            <w:tcW w:w="1099" w:type="dxa"/>
            <w:tcBorders>
              <w:top w:val="nil"/>
              <w:left w:val="nil"/>
              <w:bottom w:val="nil"/>
              <w:right w:val="nil"/>
            </w:tcBorders>
          </w:tcPr>
          <w:p w:rsidR="00667159" w:rsidRPr="0075258C" w:rsidRDefault="00667159" w:rsidP="00DE64CF">
            <w:pPr>
              <w:jc w:val="center"/>
              <w:rPr>
                <w:rFonts w:ascii="Calibri" w:hAnsi="Calibri" w:cs="Calibri"/>
              </w:rPr>
            </w:pPr>
          </w:p>
        </w:tc>
        <w:tc>
          <w:tcPr>
            <w:tcW w:w="648" w:type="dxa"/>
            <w:tcBorders>
              <w:top w:val="nil"/>
              <w:left w:val="nil"/>
              <w:bottom w:val="nil"/>
              <w:right w:val="nil"/>
            </w:tcBorders>
          </w:tcPr>
          <w:p w:rsidR="00667159" w:rsidRPr="0075258C" w:rsidRDefault="00667159" w:rsidP="00DE64CF">
            <w:pPr>
              <w:jc w:val="center"/>
              <w:rPr>
                <w:rFonts w:ascii="Calibri" w:hAnsi="Calibri" w:cs="Calibri"/>
              </w:rPr>
            </w:pPr>
          </w:p>
        </w:tc>
        <w:tc>
          <w:tcPr>
            <w:tcW w:w="977" w:type="dxa"/>
            <w:tcBorders>
              <w:top w:val="nil"/>
              <w:left w:val="nil"/>
              <w:bottom w:val="nil"/>
              <w:right w:val="nil"/>
            </w:tcBorders>
          </w:tcPr>
          <w:p w:rsidR="00667159" w:rsidRPr="0075258C" w:rsidRDefault="00667159" w:rsidP="00DE64CF">
            <w:pPr>
              <w:jc w:val="center"/>
              <w:rPr>
                <w:rFonts w:ascii="Calibri" w:hAnsi="Calibri" w:cs="Calibri"/>
              </w:rPr>
            </w:pPr>
            <w:r>
              <w:rPr>
                <w:rFonts w:ascii="Calibri" w:hAnsi="Calibri" w:cs="Calibri"/>
              </w:rPr>
              <w:t>4,220</w:t>
            </w:r>
          </w:p>
        </w:tc>
        <w:tc>
          <w:tcPr>
            <w:tcW w:w="285" w:type="dxa"/>
            <w:tcBorders>
              <w:top w:val="nil"/>
              <w:left w:val="nil"/>
              <w:bottom w:val="nil"/>
              <w:right w:val="nil"/>
            </w:tcBorders>
          </w:tcPr>
          <w:p w:rsidR="00667159" w:rsidRDefault="00667159" w:rsidP="00DE64CF">
            <w:pPr>
              <w:jc w:val="center"/>
              <w:rPr>
                <w:rFonts w:ascii="Calibri" w:hAnsi="Calibri" w:cs="Calibri"/>
                <w:color w:val="000000"/>
              </w:rPr>
            </w:pPr>
          </w:p>
        </w:tc>
      </w:tr>
    </w:tbl>
    <w:p w:rsidR="00D75733" w:rsidRPr="00000451" w:rsidRDefault="00D75733" w:rsidP="003D515F"/>
    <w:p w:rsidR="00D75733" w:rsidRDefault="00D75733" w:rsidP="003D515F">
      <w:pPr>
        <w:keepNext/>
        <w:keepLines/>
        <w:tabs>
          <w:tab w:val="left" w:pos="-1440"/>
        </w:tabs>
      </w:pPr>
      <w:bookmarkStart w:id="4" w:name="OLE_LINK10"/>
      <w:bookmarkStart w:id="5" w:name="OLE_LINK11"/>
      <w:r w:rsidRPr="00000451">
        <w:t>* DEA assumes 10% of all imports will not be transferred in the first thirty days and will necessitate submission of a subsequent return declaration.</w:t>
      </w:r>
      <w:bookmarkEnd w:id="4"/>
      <w:bookmarkEnd w:id="5"/>
    </w:p>
    <w:p w:rsidR="00D75733" w:rsidRDefault="00D75733" w:rsidP="00364CDC">
      <w:pPr>
        <w:numPr>
          <w:ins w:id="6" w:author="Unknown" w:date="2006-08-10T11:36:00Z"/>
        </w:numPr>
      </w:pPr>
    </w:p>
    <w:p w:rsidR="00D75733" w:rsidRDefault="003700D3" w:rsidP="009304DC">
      <w:bookmarkStart w:id="7" w:name="OLE_LINK7"/>
      <w:bookmarkStart w:id="8" w:name="OLE_LINK8"/>
      <w:r w:rsidRPr="003700D3">
        <w:t xml:space="preserve">Estimates are based on the population of the regulated industry participating in this business activity.  DEA assumes that a </w:t>
      </w:r>
      <w:r w:rsidR="007045BD">
        <w:t xml:space="preserve">purchasing </w:t>
      </w:r>
      <w:r w:rsidRPr="003700D3">
        <w:t>manager (SOC 11-</w:t>
      </w:r>
      <w:r w:rsidR="007045BD">
        <w:t>3061</w:t>
      </w:r>
      <w:r w:rsidRPr="003700D3">
        <w:t>, 2010 Standard Occupational Classification) (</w:t>
      </w:r>
      <w:r w:rsidRPr="00950226">
        <w:t>http://www.bls.gov/soc/2010/soc_alph.htm)</w:t>
      </w:r>
      <w:r w:rsidRPr="003700D3">
        <w:t xml:space="preserve"> will complete the form on behalf of the </w:t>
      </w:r>
      <w:r>
        <w:t>importer or exporter</w:t>
      </w:r>
      <w:r w:rsidRPr="003700D3">
        <w:t>.  The median hourly wage for that position according to the Bureau of Labor Statistics’ 20</w:t>
      </w:r>
      <w:r w:rsidR="00A2599B">
        <w:t>11</w:t>
      </w:r>
      <w:r w:rsidRPr="003700D3">
        <w:t xml:space="preserve"> National Industry-Specific Occupational Employment and Wage Estimates, NAICS 4246</w:t>
      </w:r>
      <w:r w:rsidR="007045BD">
        <w:t>00</w:t>
      </w:r>
      <w:r w:rsidRPr="003700D3">
        <w:t xml:space="preserve"> – Chemical and Allied Products Merchant Wholesalers</w:t>
      </w:r>
      <w:r w:rsidR="00E0772C">
        <w:t xml:space="preserve"> (2012 NAICS)</w:t>
      </w:r>
      <w:r w:rsidRPr="003700D3">
        <w:t xml:space="preserve"> (</w:t>
      </w:r>
      <w:hyperlink r:id="rId7" w:anchor="11" w:history="1">
        <w:r w:rsidR="007045BD" w:rsidRPr="004106BA">
          <w:rPr>
            <w:rStyle w:val="Hyperlink"/>
          </w:rPr>
          <w:t>http://www.bls.gov/oes/201</w:t>
        </w:r>
        <w:r w:rsidR="007045BD" w:rsidRPr="004106BA">
          <w:rPr>
            <w:rStyle w:val="Hyperlink"/>
          </w:rPr>
          <w:t>1</w:t>
        </w:r>
        <w:r w:rsidR="007045BD" w:rsidRPr="004106BA">
          <w:rPr>
            <w:rStyle w:val="Hyperlink"/>
          </w:rPr>
          <w:t>/may/naics4_424600.htm#11</w:t>
        </w:r>
      </w:hyperlink>
      <w:r w:rsidR="007045BD">
        <w:t xml:space="preserve">) </w:t>
      </w:r>
      <w:r w:rsidRPr="003700D3">
        <w:t>is $</w:t>
      </w:r>
      <w:r w:rsidR="007045BD" w:rsidRPr="00950226">
        <w:t>42.58</w:t>
      </w:r>
      <w:r>
        <w:t>.</w:t>
      </w:r>
      <w:r w:rsidR="005D018F">
        <w:t xml:space="preserve">  Therefore, for the 4</w:t>
      </w:r>
      <w:r w:rsidR="007045BD">
        <w:t>,</w:t>
      </w:r>
      <w:r w:rsidR="005D018F">
        <w:t>220</w:t>
      </w:r>
      <w:r w:rsidR="007045BD">
        <w:t xml:space="preserve"> hours estimated to complete these forms, the labor cost </w:t>
      </w:r>
      <w:r w:rsidR="007045BD" w:rsidRPr="00950226">
        <w:t>is $</w:t>
      </w:r>
      <w:r w:rsidR="00950226" w:rsidRPr="00950226">
        <w:t>179</w:t>
      </w:r>
      <w:r w:rsidR="007045BD" w:rsidRPr="00950226">
        <w:t>,</w:t>
      </w:r>
      <w:r w:rsidR="00950226" w:rsidRPr="00950226">
        <w:t>687.60</w:t>
      </w:r>
      <w:r w:rsidR="007045BD" w:rsidRPr="00950226">
        <w:t>.</w:t>
      </w:r>
    </w:p>
    <w:bookmarkEnd w:id="7"/>
    <w:bookmarkEnd w:id="8"/>
    <w:p w:rsidR="00D75733" w:rsidRDefault="00D75733" w:rsidP="009304DC"/>
    <w:p w:rsidR="00993508" w:rsidRDefault="00993508" w:rsidP="009304DC"/>
    <w:p w:rsidR="00D75733" w:rsidRDefault="00D75733" w:rsidP="009304DC">
      <w:r>
        <w:t xml:space="preserve">13. Estimate of Cost Burden:  </w:t>
      </w:r>
    </w:p>
    <w:p w:rsidR="00D75733" w:rsidRDefault="00D75733" w:rsidP="009304DC"/>
    <w:p w:rsidR="00D75733" w:rsidRDefault="00D75733" w:rsidP="009304DC">
      <w:r>
        <w:t>There are no cost burdens beyond those acknowledged in item 12 of the supporting statement.</w:t>
      </w:r>
    </w:p>
    <w:p w:rsidR="00D75733" w:rsidRDefault="00D75733" w:rsidP="009304DC"/>
    <w:p w:rsidR="00D75733" w:rsidRDefault="00D75733" w:rsidP="009304DC">
      <w:r>
        <w:t>There is no other cost associated with this collection as the vast majority of forms are sent to DEA via facsimile.</w:t>
      </w:r>
    </w:p>
    <w:p w:rsidR="00D75733" w:rsidRDefault="00D75733" w:rsidP="009304DC"/>
    <w:p w:rsidR="00D75733" w:rsidRDefault="00D75733" w:rsidP="009304DC"/>
    <w:p w:rsidR="00D75733" w:rsidRDefault="00D75733" w:rsidP="009304DC">
      <w:r>
        <w:t>14. Estimated Annualized Cost to Federal Government:</w:t>
      </w:r>
    </w:p>
    <w:p w:rsidR="00D75733" w:rsidRDefault="00D75733" w:rsidP="009304DC">
      <w:r>
        <w:t>Cost to Federal Government:</w:t>
      </w:r>
    </w:p>
    <w:p w:rsidR="00D75733" w:rsidRDefault="00D75733" w:rsidP="009304DC"/>
    <w:p w:rsidR="00D75733" w:rsidRDefault="0081176C" w:rsidP="00A74C21">
      <w:r w:rsidRPr="0081176C">
        <w:t xml:space="preserve">All labor costs are rounded up to the nearest dollar.  Costs are calculated </w:t>
      </w:r>
      <w:r w:rsidR="002532E0">
        <w:t xml:space="preserve">by </w:t>
      </w:r>
      <w:r w:rsidRPr="0081176C">
        <w:t>using the DC-Baltimore pay tables for the grade listed, step 5.</w:t>
      </w:r>
    </w:p>
    <w:p w:rsidR="00551C53" w:rsidRDefault="00551C53" w:rsidP="00A74C21"/>
    <w:p w:rsidR="00551C53" w:rsidRPr="00EE3A7F" w:rsidRDefault="002532E0" w:rsidP="00A74C21">
      <w:r w:rsidRPr="00EE3A7F">
        <w:t>1 GS-7 5% of time:</w:t>
      </w:r>
      <w:r w:rsidRPr="00EE3A7F">
        <w:tab/>
      </w:r>
      <w:r w:rsidRPr="00EE3A7F">
        <w:tab/>
        <w:t>$2,392</w:t>
      </w:r>
    </w:p>
    <w:p w:rsidR="00551C53" w:rsidRPr="00EE3A7F" w:rsidRDefault="00551C53" w:rsidP="00A74C21">
      <w:r w:rsidRPr="00EE3A7F">
        <w:t>3 GS-9 100% of time:</w:t>
      </w:r>
      <w:r w:rsidR="002532E0" w:rsidRPr="00EE3A7F">
        <w:tab/>
      </w:r>
      <w:r w:rsidR="002532E0" w:rsidRPr="00EE3A7F">
        <w:tab/>
        <w:t>$175,533</w:t>
      </w:r>
    </w:p>
    <w:p w:rsidR="00551C53" w:rsidRPr="00EE3A7F" w:rsidRDefault="00551C53" w:rsidP="00A74C21">
      <w:r w:rsidRPr="00EE3A7F">
        <w:t>1 GS-13 25% of time:</w:t>
      </w:r>
      <w:r w:rsidR="002532E0" w:rsidRPr="00EE3A7F">
        <w:tab/>
      </w:r>
      <w:r w:rsidR="002532E0" w:rsidRPr="00EE3A7F">
        <w:tab/>
        <w:t>$25,226</w:t>
      </w:r>
    </w:p>
    <w:p w:rsidR="00551C53" w:rsidRPr="00EE3A7F" w:rsidRDefault="00551C53" w:rsidP="00A74C21">
      <w:r w:rsidRPr="00EE3A7F">
        <w:lastRenderedPageBreak/>
        <w:t>1 GS-13 95% of time:</w:t>
      </w:r>
      <w:r w:rsidR="002532E0" w:rsidRPr="00EE3A7F">
        <w:tab/>
      </w:r>
      <w:r w:rsidR="002532E0" w:rsidRPr="00EE3A7F">
        <w:tab/>
        <w:t>$95,859</w:t>
      </w:r>
    </w:p>
    <w:p w:rsidR="00551C53" w:rsidRDefault="00551C53" w:rsidP="00A74C21">
      <w:r w:rsidRPr="00EE3A7F">
        <w:t>2 GS-14 20% of time:</w:t>
      </w:r>
      <w:r w:rsidR="002532E0" w:rsidRPr="00EE3A7F">
        <w:tab/>
      </w:r>
      <w:r w:rsidR="002532E0" w:rsidRPr="00EE3A7F">
        <w:tab/>
        <w:t>$47,696</w:t>
      </w:r>
    </w:p>
    <w:p w:rsidR="00551C53" w:rsidRDefault="00551C53" w:rsidP="00A74C21"/>
    <w:p w:rsidR="00551C53" w:rsidRPr="00A74C21" w:rsidRDefault="00551C53" w:rsidP="00A74C21">
      <w:r>
        <w:t>Total:</w:t>
      </w:r>
      <w:r w:rsidR="002532E0">
        <w:tab/>
      </w:r>
      <w:r w:rsidR="002532E0">
        <w:tab/>
      </w:r>
      <w:r w:rsidR="002532E0">
        <w:tab/>
      </w:r>
      <w:r w:rsidR="002532E0">
        <w:tab/>
        <w:t>$346,706</w:t>
      </w:r>
    </w:p>
    <w:p w:rsidR="0081176C" w:rsidRDefault="0081176C" w:rsidP="00A74C21"/>
    <w:p w:rsidR="0081176C" w:rsidRDefault="0081176C" w:rsidP="00A74C21">
      <w:r w:rsidRPr="0081176C">
        <w:t>All costs to the Federal Government for these activities are recovered from registrants through registration fees, as required by the Departments of Commerce, Justice, and State, the Judiciary, and Related Agencies Appropriations Act of 1993.</w:t>
      </w:r>
    </w:p>
    <w:p w:rsidR="0081176C" w:rsidRDefault="0081176C" w:rsidP="00A74C21"/>
    <w:p w:rsidR="0081176C" w:rsidRDefault="0081176C" w:rsidP="00A74C21"/>
    <w:p w:rsidR="00D75733" w:rsidRPr="00A74C21" w:rsidRDefault="00D75733" w:rsidP="00A74C21">
      <w:r w:rsidRPr="00A74C21">
        <w:t xml:space="preserve">15. Reasons for Change in Burden:  </w:t>
      </w:r>
    </w:p>
    <w:p w:rsidR="00D75733" w:rsidRDefault="00D75733" w:rsidP="00364CDC"/>
    <w:p w:rsidR="00D75733" w:rsidRDefault="0081176C" w:rsidP="00364CDC">
      <w:r>
        <w:t xml:space="preserve">All changes are due to population adjustments.  There have been no statutory or program changes </w:t>
      </w:r>
      <w:r w:rsidR="00AC47F2">
        <w:t>related</w:t>
      </w:r>
      <w:r>
        <w:t xml:space="preserve"> to this information collection.  The table below summarizes the changes since the last renewal of this information collection.</w:t>
      </w:r>
    </w:p>
    <w:p w:rsidR="0081176C" w:rsidRDefault="0081176C" w:rsidP="00364CDC"/>
    <w:tbl>
      <w:tblPr>
        <w:tblStyle w:val="TableGrid"/>
        <w:tblW w:w="0" w:type="auto"/>
        <w:tblLook w:val="04A0" w:firstRow="1" w:lastRow="0" w:firstColumn="1" w:lastColumn="0" w:noHBand="0" w:noVBand="1"/>
      </w:tblPr>
      <w:tblGrid>
        <w:gridCol w:w="2214"/>
        <w:gridCol w:w="2214"/>
        <w:gridCol w:w="2214"/>
        <w:gridCol w:w="2214"/>
      </w:tblGrid>
      <w:tr w:rsidR="0081176C" w:rsidRPr="0081176C" w:rsidTr="0081176C">
        <w:tc>
          <w:tcPr>
            <w:tcW w:w="2214" w:type="dxa"/>
          </w:tcPr>
          <w:p w:rsidR="0081176C" w:rsidRPr="003319DE" w:rsidRDefault="0081176C" w:rsidP="00364CDC">
            <w:pPr>
              <w:rPr>
                <w:rFonts w:ascii="Arial" w:hAnsi="Arial" w:cs="Arial"/>
                <w:sz w:val="20"/>
                <w:szCs w:val="20"/>
              </w:rPr>
            </w:pPr>
          </w:p>
        </w:tc>
        <w:tc>
          <w:tcPr>
            <w:tcW w:w="2214" w:type="dxa"/>
          </w:tcPr>
          <w:p w:rsidR="0081176C" w:rsidRPr="003319DE" w:rsidRDefault="003319DE" w:rsidP="003319DE">
            <w:pPr>
              <w:rPr>
                <w:rFonts w:ascii="Arial" w:hAnsi="Arial" w:cs="Arial"/>
                <w:b/>
                <w:sz w:val="20"/>
                <w:szCs w:val="20"/>
              </w:rPr>
            </w:pPr>
            <w:r w:rsidRPr="003319DE">
              <w:rPr>
                <w:rFonts w:ascii="Arial" w:hAnsi="Arial" w:cs="Arial"/>
                <w:b/>
                <w:sz w:val="20"/>
                <w:szCs w:val="20"/>
              </w:rPr>
              <w:t>2012</w:t>
            </w:r>
            <w:r w:rsidR="0081176C" w:rsidRPr="003319DE">
              <w:rPr>
                <w:rFonts w:ascii="Arial" w:hAnsi="Arial" w:cs="Arial"/>
                <w:b/>
                <w:sz w:val="20"/>
                <w:szCs w:val="20"/>
              </w:rPr>
              <w:t xml:space="preserve"> Approved Burden</w:t>
            </w:r>
          </w:p>
        </w:tc>
        <w:tc>
          <w:tcPr>
            <w:tcW w:w="2214" w:type="dxa"/>
          </w:tcPr>
          <w:p w:rsidR="0081176C" w:rsidRPr="003319DE" w:rsidRDefault="0081176C" w:rsidP="003319DE">
            <w:pPr>
              <w:rPr>
                <w:rFonts w:ascii="Arial" w:hAnsi="Arial" w:cs="Arial"/>
                <w:b/>
                <w:sz w:val="20"/>
                <w:szCs w:val="20"/>
                <w:highlight w:val="yellow"/>
              </w:rPr>
            </w:pPr>
            <w:r w:rsidRPr="003319DE">
              <w:rPr>
                <w:rFonts w:ascii="Arial" w:hAnsi="Arial" w:cs="Arial"/>
                <w:b/>
                <w:sz w:val="20"/>
                <w:szCs w:val="20"/>
              </w:rPr>
              <w:t>201</w:t>
            </w:r>
            <w:r w:rsidR="003319DE" w:rsidRPr="003319DE">
              <w:rPr>
                <w:rFonts w:ascii="Arial" w:hAnsi="Arial" w:cs="Arial"/>
                <w:b/>
                <w:sz w:val="20"/>
                <w:szCs w:val="20"/>
              </w:rPr>
              <w:t>3</w:t>
            </w:r>
            <w:r w:rsidRPr="003319DE">
              <w:rPr>
                <w:rFonts w:ascii="Arial" w:hAnsi="Arial" w:cs="Arial"/>
                <w:b/>
                <w:sz w:val="20"/>
                <w:szCs w:val="20"/>
              </w:rPr>
              <w:t xml:space="preserve"> Requested Burden</w:t>
            </w:r>
          </w:p>
        </w:tc>
        <w:tc>
          <w:tcPr>
            <w:tcW w:w="2214" w:type="dxa"/>
          </w:tcPr>
          <w:p w:rsidR="0081176C" w:rsidRPr="003319DE" w:rsidRDefault="0081176C" w:rsidP="00364CDC">
            <w:pPr>
              <w:rPr>
                <w:rFonts w:ascii="Arial" w:hAnsi="Arial" w:cs="Arial"/>
                <w:b/>
                <w:sz w:val="20"/>
                <w:szCs w:val="20"/>
              </w:rPr>
            </w:pPr>
            <w:r w:rsidRPr="003319DE">
              <w:rPr>
                <w:rFonts w:ascii="Arial" w:hAnsi="Arial" w:cs="Arial"/>
                <w:b/>
                <w:sz w:val="20"/>
                <w:szCs w:val="20"/>
              </w:rPr>
              <w:t>Difference</w:t>
            </w:r>
          </w:p>
        </w:tc>
      </w:tr>
      <w:tr w:rsidR="0081176C" w:rsidRPr="0081176C" w:rsidTr="0081176C">
        <w:tc>
          <w:tcPr>
            <w:tcW w:w="2214" w:type="dxa"/>
          </w:tcPr>
          <w:p w:rsidR="0081176C" w:rsidRPr="003319DE" w:rsidRDefault="0081176C" w:rsidP="00364CDC">
            <w:pPr>
              <w:rPr>
                <w:rFonts w:ascii="Arial" w:hAnsi="Arial" w:cs="Arial"/>
                <w:sz w:val="20"/>
                <w:szCs w:val="20"/>
              </w:rPr>
            </w:pPr>
            <w:r w:rsidRPr="003319DE">
              <w:rPr>
                <w:rFonts w:ascii="Arial" w:hAnsi="Arial" w:cs="Arial"/>
                <w:sz w:val="20"/>
                <w:szCs w:val="20"/>
              </w:rPr>
              <w:t>Annual Respondents</w:t>
            </w:r>
          </w:p>
        </w:tc>
        <w:tc>
          <w:tcPr>
            <w:tcW w:w="2214" w:type="dxa"/>
          </w:tcPr>
          <w:p w:rsidR="0081176C" w:rsidRPr="003319DE" w:rsidRDefault="003319DE" w:rsidP="00364CDC">
            <w:pPr>
              <w:rPr>
                <w:rFonts w:ascii="Arial" w:hAnsi="Arial" w:cs="Arial"/>
                <w:sz w:val="20"/>
                <w:szCs w:val="20"/>
              </w:rPr>
            </w:pPr>
            <w:r>
              <w:rPr>
                <w:rFonts w:ascii="Arial" w:hAnsi="Arial" w:cs="Arial"/>
                <w:sz w:val="20"/>
                <w:szCs w:val="20"/>
              </w:rPr>
              <w:t>271</w:t>
            </w:r>
          </w:p>
        </w:tc>
        <w:tc>
          <w:tcPr>
            <w:tcW w:w="2214" w:type="dxa"/>
          </w:tcPr>
          <w:p w:rsidR="0081176C" w:rsidRPr="003319DE" w:rsidRDefault="003319DE" w:rsidP="00364CDC">
            <w:pPr>
              <w:rPr>
                <w:rFonts w:ascii="Arial" w:hAnsi="Arial" w:cs="Arial"/>
                <w:sz w:val="20"/>
                <w:szCs w:val="20"/>
                <w:highlight w:val="yellow"/>
              </w:rPr>
            </w:pPr>
            <w:r w:rsidRPr="003319DE">
              <w:rPr>
                <w:rFonts w:ascii="Arial" w:hAnsi="Arial" w:cs="Arial"/>
                <w:sz w:val="20"/>
                <w:szCs w:val="20"/>
              </w:rPr>
              <w:t>802</w:t>
            </w:r>
          </w:p>
        </w:tc>
        <w:tc>
          <w:tcPr>
            <w:tcW w:w="2214" w:type="dxa"/>
          </w:tcPr>
          <w:p w:rsidR="0081176C" w:rsidRPr="003319DE" w:rsidRDefault="003319DE" w:rsidP="00364CDC">
            <w:pPr>
              <w:rPr>
                <w:rFonts w:ascii="Arial" w:hAnsi="Arial" w:cs="Arial"/>
                <w:sz w:val="20"/>
                <w:szCs w:val="20"/>
              </w:rPr>
            </w:pPr>
            <w:r>
              <w:rPr>
                <w:rFonts w:ascii="Arial" w:hAnsi="Arial" w:cs="Arial"/>
                <w:sz w:val="20"/>
                <w:szCs w:val="20"/>
              </w:rPr>
              <w:t>531</w:t>
            </w:r>
          </w:p>
        </w:tc>
      </w:tr>
      <w:tr w:rsidR="0081176C" w:rsidRPr="0081176C" w:rsidTr="0081176C">
        <w:tc>
          <w:tcPr>
            <w:tcW w:w="2214" w:type="dxa"/>
          </w:tcPr>
          <w:p w:rsidR="0081176C" w:rsidRPr="003319DE" w:rsidRDefault="0081176C" w:rsidP="00364CDC">
            <w:pPr>
              <w:rPr>
                <w:rFonts w:ascii="Arial" w:hAnsi="Arial" w:cs="Arial"/>
                <w:sz w:val="20"/>
                <w:szCs w:val="20"/>
              </w:rPr>
            </w:pPr>
            <w:r w:rsidRPr="003319DE">
              <w:rPr>
                <w:rFonts w:ascii="Arial" w:hAnsi="Arial" w:cs="Arial"/>
                <w:sz w:val="20"/>
                <w:szCs w:val="20"/>
              </w:rPr>
              <w:t>Annual Burden Hours</w:t>
            </w:r>
          </w:p>
        </w:tc>
        <w:tc>
          <w:tcPr>
            <w:tcW w:w="2214" w:type="dxa"/>
          </w:tcPr>
          <w:p w:rsidR="0081176C" w:rsidRPr="003319DE" w:rsidRDefault="003319DE" w:rsidP="003319DE">
            <w:pPr>
              <w:rPr>
                <w:rFonts w:ascii="Arial" w:hAnsi="Arial" w:cs="Arial"/>
                <w:sz w:val="20"/>
                <w:szCs w:val="20"/>
              </w:rPr>
            </w:pPr>
            <w:r>
              <w:rPr>
                <w:rFonts w:ascii="Arial" w:hAnsi="Arial" w:cs="Arial"/>
                <w:sz w:val="20"/>
                <w:szCs w:val="20"/>
              </w:rPr>
              <w:t>5,</w:t>
            </w:r>
            <w:r w:rsidR="00860814" w:rsidRPr="003319DE">
              <w:rPr>
                <w:rFonts w:ascii="Arial" w:hAnsi="Arial" w:cs="Arial"/>
                <w:sz w:val="20"/>
                <w:szCs w:val="20"/>
              </w:rPr>
              <w:t>6</w:t>
            </w:r>
            <w:r>
              <w:rPr>
                <w:rFonts w:ascii="Arial" w:hAnsi="Arial" w:cs="Arial"/>
                <w:sz w:val="20"/>
                <w:szCs w:val="20"/>
              </w:rPr>
              <w:t>95</w:t>
            </w:r>
          </w:p>
        </w:tc>
        <w:tc>
          <w:tcPr>
            <w:tcW w:w="2214" w:type="dxa"/>
          </w:tcPr>
          <w:p w:rsidR="0081176C" w:rsidRPr="003319DE" w:rsidRDefault="003319DE" w:rsidP="003319DE">
            <w:pPr>
              <w:rPr>
                <w:rFonts w:ascii="Arial" w:hAnsi="Arial" w:cs="Arial"/>
                <w:sz w:val="20"/>
                <w:szCs w:val="20"/>
              </w:rPr>
            </w:pPr>
            <w:r w:rsidRPr="003319DE">
              <w:rPr>
                <w:rFonts w:ascii="Arial" w:hAnsi="Arial" w:cs="Arial"/>
                <w:sz w:val="20"/>
                <w:szCs w:val="20"/>
              </w:rPr>
              <w:t>4</w:t>
            </w:r>
            <w:r w:rsidR="00860814" w:rsidRPr="003319DE">
              <w:rPr>
                <w:rFonts w:ascii="Arial" w:hAnsi="Arial" w:cs="Arial"/>
                <w:sz w:val="20"/>
                <w:szCs w:val="20"/>
              </w:rPr>
              <w:t>,</w:t>
            </w:r>
            <w:r w:rsidRPr="003319DE">
              <w:rPr>
                <w:rFonts w:ascii="Arial" w:hAnsi="Arial" w:cs="Arial"/>
                <w:sz w:val="20"/>
                <w:szCs w:val="20"/>
              </w:rPr>
              <w:t>220</w:t>
            </w:r>
          </w:p>
        </w:tc>
        <w:tc>
          <w:tcPr>
            <w:tcW w:w="2214" w:type="dxa"/>
          </w:tcPr>
          <w:p w:rsidR="0081176C" w:rsidRPr="003319DE" w:rsidRDefault="00860814" w:rsidP="003319DE">
            <w:pPr>
              <w:rPr>
                <w:rFonts w:ascii="Arial" w:hAnsi="Arial" w:cs="Arial"/>
                <w:sz w:val="20"/>
                <w:szCs w:val="20"/>
              </w:rPr>
            </w:pPr>
            <w:r w:rsidRPr="003319DE">
              <w:rPr>
                <w:rFonts w:ascii="Arial" w:hAnsi="Arial" w:cs="Arial"/>
                <w:sz w:val="20"/>
                <w:szCs w:val="20"/>
              </w:rPr>
              <w:t>(14</w:t>
            </w:r>
            <w:r w:rsidR="003319DE">
              <w:rPr>
                <w:rFonts w:ascii="Arial" w:hAnsi="Arial" w:cs="Arial"/>
                <w:sz w:val="20"/>
                <w:szCs w:val="20"/>
              </w:rPr>
              <w:t>75</w:t>
            </w:r>
            <w:r w:rsidRPr="003319DE">
              <w:rPr>
                <w:rFonts w:ascii="Arial" w:hAnsi="Arial" w:cs="Arial"/>
                <w:sz w:val="20"/>
                <w:szCs w:val="20"/>
              </w:rPr>
              <w:t>)</w:t>
            </w:r>
          </w:p>
        </w:tc>
      </w:tr>
      <w:tr w:rsidR="00860814" w:rsidRPr="0081176C" w:rsidTr="0081176C">
        <w:tc>
          <w:tcPr>
            <w:tcW w:w="2214" w:type="dxa"/>
          </w:tcPr>
          <w:p w:rsidR="00860814" w:rsidRPr="003319DE" w:rsidRDefault="00860814" w:rsidP="00364CDC">
            <w:pPr>
              <w:rPr>
                <w:rFonts w:ascii="Arial" w:hAnsi="Arial" w:cs="Arial"/>
                <w:sz w:val="20"/>
                <w:szCs w:val="20"/>
              </w:rPr>
            </w:pPr>
            <w:r w:rsidRPr="003319DE">
              <w:rPr>
                <w:rFonts w:ascii="Arial" w:hAnsi="Arial" w:cs="Arial"/>
                <w:sz w:val="20"/>
                <w:szCs w:val="20"/>
              </w:rPr>
              <w:t>Annual Cost</w:t>
            </w:r>
          </w:p>
        </w:tc>
        <w:tc>
          <w:tcPr>
            <w:tcW w:w="2214" w:type="dxa"/>
          </w:tcPr>
          <w:p w:rsidR="00860814" w:rsidRPr="003319DE" w:rsidRDefault="00860814" w:rsidP="00364CDC">
            <w:pPr>
              <w:rPr>
                <w:rFonts w:ascii="Arial" w:hAnsi="Arial" w:cs="Arial"/>
                <w:sz w:val="20"/>
                <w:szCs w:val="20"/>
              </w:rPr>
            </w:pPr>
            <w:r w:rsidRPr="003319DE">
              <w:rPr>
                <w:rFonts w:ascii="Arial" w:hAnsi="Arial" w:cs="Arial"/>
                <w:sz w:val="20"/>
                <w:szCs w:val="20"/>
              </w:rPr>
              <w:t>$0</w:t>
            </w:r>
          </w:p>
        </w:tc>
        <w:tc>
          <w:tcPr>
            <w:tcW w:w="2214" w:type="dxa"/>
          </w:tcPr>
          <w:p w:rsidR="00860814" w:rsidRPr="003319DE" w:rsidRDefault="00860814" w:rsidP="00364CDC">
            <w:pPr>
              <w:rPr>
                <w:rFonts w:ascii="Arial" w:hAnsi="Arial" w:cs="Arial"/>
                <w:sz w:val="20"/>
                <w:szCs w:val="20"/>
              </w:rPr>
            </w:pPr>
            <w:r w:rsidRPr="003319DE">
              <w:rPr>
                <w:rFonts w:ascii="Arial" w:hAnsi="Arial" w:cs="Arial"/>
                <w:sz w:val="20"/>
                <w:szCs w:val="20"/>
              </w:rPr>
              <w:t>$0</w:t>
            </w:r>
          </w:p>
        </w:tc>
        <w:tc>
          <w:tcPr>
            <w:tcW w:w="2214" w:type="dxa"/>
          </w:tcPr>
          <w:p w:rsidR="00860814" w:rsidRPr="003319DE" w:rsidRDefault="00860814" w:rsidP="00364CDC">
            <w:pPr>
              <w:rPr>
                <w:rFonts w:ascii="Arial" w:hAnsi="Arial" w:cs="Arial"/>
                <w:sz w:val="20"/>
                <w:szCs w:val="20"/>
              </w:rPr>
            </w:pPr>
            <w:r w:rsidRPr="003319DE">
              <w:rPr>
                <w:rFonts w:ascii="Arial" w:hAnsi="Arial" w:cs="Arial"/>
                <w:sz w:val="20"/>
                <w:szCs w:val="20"/>
              </w:rPr>
              <w:t>$0</w:t>
            </w:r>
          </w:p>
        </w:tc>
      </w:tr>
    </w:tbl>
    <w:p w:rsidR="0081176C" w:rsidRDefault="0081176C" w:rsidP="00364CDC"/>
    <w:p w:rsidR="00D75733" w:rsidRDefault="00D75733" w:rsidP="00364CDC"/>
    <w:p w:rsidR="00D75733" w:rsidRDefault="00D75733" w:rsidP="00364CDC">
      <w:r>
        <w:t xml:space="preserve">16. Plans for Publication: </w:t>
      </w:r>
    </w:p>
    <w:p w:rsidR="00D75733" w:rsidRDefault="00D75733" w:rsidP="00364CDC"/>
    <w:p w:rsidR="00D75733" w:rsidRDefault="00D75733" w:rsidP="00364CDC">
      <w:r>
        <w:t xml:space="preserve">There are no plans to publish this information.  </w:t>
      </w:r>
    </w:p>
    <w:p w:rsidR="00D75733" w:rsidRDefault="00D75733" w:rsidP="00364CDC"/>
    <w:p w:rsidR="00D75733" w:rsidRDefault="00D75733" w:rsidP="00364CDC"/>
    <w:p w:rsidR="00D75733" w:rsidRDefault="00D75733" w:rsidP="00364CDC">
      <w:r>
        <w:t xml:space="preserve">17. Expiration Date Approval: </w:t>
      </w:r>
    </w:p>
    <w:p w:rsidR="00D75733" w:rsidRDefault="00D75733" w:rsidP="00364CDC"/>
    <w:p w:rsidR="00D75733" w:rsidRDefault="00D75733" w:rsidP="00364CDC">
      <w:r>
        <w:t>DEA is not seeking permission to not display the expiration date.</w:t>
      </w:r>
    </w:p>
    <w:p w:rsidR="00D75733" w:rsidRDefault="00D75733" w:rsidP="00364CDC"/>
    <w:p w:rsidR="00D75733" w:rsidRDefault="00D75733" w:rsidP="00364CDC"/>
    <w:p w:rsidR="00D75733" w:rsidRDefault="00D75733" w:rsidP="00364CDC">
      <w:r>
        <w:t xml:space="preserve">18. Exceptions to the Certification Statement: </w:t>
      </w:r>
    </w:p>
    <w:p w:rsidR="00D75733" w:rsidRDefault="00D75733" w:rsidP="00364CDC"/>
    <w:p w:rsidR="00D75733" w:rsidRDefault="00D75733" w:rsidP="00364CDC">
      <w:r>
        <w:t>There are no exceptions to the certification requirement.</w:t>
      </w:r>
    </w:p>
    <w:p w:rsidR="00D75733" w:rsidRDefault="00D75733" w:rsidP="00364CDC"/>
    <w:p w:rsidR="00D75733" w:rsidRDefault="00D75733" w:rsidP="00364CDC"/>
    <w:p w:rsidR="00D75733" w:rsidRDefault="00D75733" w:rsidP="00364CDC">
      <w:r>
        <w:t>Part B.  Statistical Methods</w:t>
      </w:r>
    </w:p>
    <w:p w:rsidR="00D75733" w:rsidRDefault="00D75733" w:rsidP="00364CDC">
      <w:r>
        <w:t>The Drug Enforcement Administration will not be employing statistical methods in this information collection.</w:t>
      </w:r>
    </w:p>
    <w:sectPr w:rsidR="00D75733" w:rsidSect="000637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31F"/>
    <w:multiLevelType w:val="hybridMultilevel"/>
    <w:tmpl w:val="134A4CF8"/>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DC04D85"/>
    <w:multiLevelType w:val="hybridMultilevel"/>
    <w:tmpl w:val="235251A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34D5AF8"/>
    <w:multiLevelType w:val="hybridMultilevel"/>
    <w:tmpl w:val="6810B0A6"/>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42D0768E"/>
    <w:multiLevelType w:val="hybridMultilevel"/>
    <w:tmpl w:val="A4ACD778"/>
    <w:lvl w:ilvl="0" w:tplc="0409000F">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4B0B1D3E"/>
    <w:multiLevelType w:val="hybridMultilevel"/>
    <w:tmpl w:val="2196CE0E"/>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5B7F5929"/>
    <w:multiLevelType w:val="hybridMultilevel"/>
    <w:tmpl w:val="F304A842"/>
    <w:lvl w:ilvl="0" w:tplc="0409000F">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755F029F"/>
    <w:multiLevelType w:val="multilevel"/>
    <w:tmpl w:val="235251A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7BCE4F0A"/>
    <w:multiLevelType w:val="hybridMultilevel"/>
    <w:tmpl w:val="51766EA8"/>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0"/>
  </w:num>
  <w:num w:numId="4">
    <w:abstractNumId w:val="3"/>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0451"/>
    <w:rsid w:val="0001368B"/>
    <w:rsid w:val="00015C6C"/>
    <w:rsid w:val="00022843"/>
    <w:rsid w:val="00034EA6"/>
    <w:rsid w:val="0006372E"/>
    <w:rsid w:val="00065AA1"/>
    <w:rsid w:val="00075D28"/>
    <w:rsid w:val="00080F18"/>
    <w:rsid w:val="000B10DF"/>
    <w:rsid w:val="00116C20"/>
    <w:rsid w:val="0013097C"/>
    <w:rsid w:val="001358D7"/>
    <w:rsid w:val="00142DD6"/>
    <w:rsid w:val="00151EBF"/>
    <w:rsid w:val="00153D60"/>
    <w:rsid w:val="00156A7C"/>
    <w:rsid w:val="00173B0E"/>
    <w:rsid w:val="00177D9B"/>
    <w:rsid w:val="00193A2A"/>
    <w:rsid w:val="001C0719"/>
    <w:rsid w:val="001D57E4"/>
    <w:rsid w:val="00206FBD"/>
    <w:rsid w:val="00212C00"/>
    <w:rsid w:val="00213157"/>
    <w:rsid w:val="00231A4D"/>
    <w:rsid w:val="00245D20"/>
    <w:rsid w:val="002532E0"/>
    <w:rsid w:val="003062B2"/>
    <w:rsid w:val="003319DE"/>
    <w:rsid w:val="00364CDC"/>
    <w:rsid w:val="003700D3"/>
    <w:rsid w:val="003824C9"/>
    <w:rsid w:val="00384B3A"/>
    <w:rsid w:val="003D515F"/>
    <w:rsid w:val="003E0C24"/>
    <w:rsid w:val="00406453"/>
    <w:rsid w:val="00410863"/>
    <w:rsid w:val="004150F8"/>
    <w:rsid w:val="00455755"/>
    <w:rsid w:val="00493CC5"/>
    <w:rsid w:val="004A4023"/>
    <w:rsid w:val="004C6FBD"/>
    <w:rsid w:val="005038D3"/>
    <w:rsid w:val="00525BF2"/>
    <w:rsid w:val="00533C25"/>
    <w:rsid w:val="00540F9C"/>
    <w:rsid w:val="00551C53"/>
    <w:rsid w:val="00562827"/>
    <w:rsid w:val="0056683E"/>
    <w:rsid w:val="005708BB"/>
    <w:rsid w:val="005D018F"/>
    <w:rsid w:val="005D6B8B"/>
    <w:rsid w:val="005D7FD2"/>
    <w:rsid w:val="005E6B75"/>
    <w:rsid w:val="0062322F"/>
    <w:rsid w:val="00666907"/>
    <w:rsid w:val="00667159"/>
    <w:rsid w:val="00670012"/>
    <w:rsid w:val="006A518E"/>
    <w:rsid w:val="006D55C0"/>
    <w:rsid w:val="00700DA6"/>
    <w:rsid w:val="007045BD"/>
    <w:rsid w:val="00742AC1"/>
    <w:rsid w:val="007B20B9"/>
    <w:rsid w:val="007B51EB"/>
    <w:rsid w:val="007B6879"/>
    <w:rsid w:val="007C695C"/>
    <w:rsid w:val="00801C74"/>
    <w:rsid w:val="00806C78"/>
    <w:rsid w:val="0081176C"/>
    <w:rsid w:val="00823725"/>
    <w:rsid w:val="0084346A"/>
    <w:rsid w:val="00860814"/>
    <w:rsid w:val="00867042"/>
    <w:rsid w:val="00881086"/>
    <w:rsid w:val="00885142"/>
    <w:rsid w:val="00886498"/>
    <w:rsid w:val="008D242E"/>
    <w:rsid w:val="008E7D12"/>
    <w:rsid w:val="00923609"/>
    <w:rsid w:val="00926093"/>
    <w:rsid w:val="009304DC"/>
    <w:rsid w:val="00950226"/>
    <w:rsid w:val="009720C2"/>
    <w:rsid w:val="00977C25"/>
    <w:rsid w:val="00986288"/>
    <w:rsid w:val="00993508"/>
    <w:rsid w:val="009B7731"/>
    <w:rsid w:val="009E7E3D"/>
    <w:rsid w:val="00A2599B"/>
    <w:rsid w:val="00A262E2"/>
    <w:rsid w:val="00A34480"/>
    <w:rsid w:val="00A60203"/>
    <w:rsid w:val="00A72B23"/>
    <w:rsid w:val="00A74C21"/>
    <w:rsid w:val="00A7508F"/>
    <w:rsid w:val="00AC47F2"/>
    <w:rsid w:val="00AC4C1F"/>
    <w:rsid w:val="00AF19D8"/>
    <w:rsid w:val="00B15827"/>
    <w:rsid w:val="00B26399"/>
    <w:rsid w:val="00B856C1"/>
    <w:rsid w:val="00BF21C2"/>
    <w:rsid w:val="00BF773A"/>
    <w:rsid w:val="00C03A7A"/>
    <w:rsid w:val="00C42A4D"/>
    <w:rsid w:val="00C70976"/>
    <w:rsid w:val="00C72F57"/>
    <w:rsid w:val="00CD64AC"/>
    <w:rsid w:val="00CD6ED6"/>
    <w:rsid w:val="00CE3AA4"/>
    <w:rsid w:val="00D53744"/>
    <w:rsid w:val="00D75733"/>
    <w:rsid w:val="00DA66EF"/>
    <w:rsid w:val="00E0772C"/>
    <w:rsid w:val="00E2099F"/>
    <w:rsid w:val="00E31271"/>
    <w:rsid w:val="00E57BDC"/>
    <w:rsid w:val="00E67DF1"/>
    <w:rsid w:val="00E76F31"/>
    <w:rsid w:val="00E91224"/>
    <w:rsid w:val="00E9124B"/>
    <w:rsid w:val="00E97AF0"/>
    <w:rsid w:val="00EA0412"/>
    <w:rsid w:val="00EB7A44"/>
    <w:rsid w:val="00EE3A7F"/>
    <w:rsid w:val="00EF128B"/>
    <w:rsid w:val="00F1145F"/>
    <w:rsid w:val="00F16B86"/>
    <w:rsid w:val="00F63376"/>
    <w:rsid w:val="00F73DE8"/>
    <w:rsid w:val="00F90349"/>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72E"/>
    <w:rPr>
      <w:sz w:val="24"/>
      <w:szCs w:val="24"/>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045BD"/>
    <w:rPr>
      <w:color w:val="0000FF" w:themeColor="hyperlink"/>
      <w:u w:val="single"/>
    </w:rPr>
  </w:style>
  <w:style w:type="character" w:styleId="FollowedHyperlink">
    <w:name w:val="FollowedHyperlink"/>
    <w:basedOn w:val="DefaultParagraphFont"/>
    <w:rsid w:val="0092609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372E"/>
    <w:rPr>
      <w:sz w:val="24"/>
      <w:szCs w:val="24"/>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045BD"/>
    <w:rPr>
      <w:color w:val="0000FF" w:themeColor="hyperlink"/>
      <w:u w:val="single"/>
    </w:rPr>
  </w:style>
  <w:style w:type="character" w:styleId="FollowedHyperlink">
    <w:name w:val="FollowedHyperlink"/>
    <w:basedOn w:val="DefaultParagraphFont"/>
    <w:rsid w:val="00926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ls.gov/oes/2011/may/naics4_4246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adiversion.usdoj.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6</Pages>
  <Words>1769</Words>
  <Characters>10177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11923</CharactersWithSpaces>
  <SharedDoc>false</SharedDoc>
  <HLinks>
    <vt:vector size="6" baseType="variant">
      <vt:variant>
        <vt:i4>6422584</vt:i4>
      </vt:variant>
      <vt:variant>
        <vt:i4>0</vt:i4>
      </vt:variant>
      <vt:variant>
        <vt:i4>0</vt:i4>
      </vt:variant>
      <vt:variant>
        <vt:i4>5</vt:i4>
      </vt:variant>
      <vt:variant>
        <vt:lpwstr>http://www.deadiversion.usdoj.gov/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Morgan, Brian G.</cp:lastModifiedBy>
  <cp:revision>7</cp:revision>
  <cp:lastPrinted>2009-09-02T14:06:00Z</cp:lastPrinted>
  <dcterms:created xsi:type="dcterms:W3CDTF">2013-04-11T16:05:00Z</dcterms:created>
  <dcterms:modified xsi:type="dcterms:W3CDTF">2013-04-16T13:10:00Z</dcterms:modified>
</cp:coreProperties>
</file>