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DCB" w:rsidRPr="00B36304" w:rsidRDefault="00154DCB" w:rsidP="00CD38C1">
      <w:pPr>
        <w:pBdr>
          <w:bottom w:val="single" w:sz="4" w:space="1" w:color="auto"/>
        </w:pBdr>
        <w:tabs>
          <w:tab w:val="left" w:pos="10242"/>
        </w:tabs>
        <w:rPr>
          <w:rFonts w:ascii="Calibri" w:hAnsi="Calibri"/>
          <w:b/>
          <w:sz w:val="24"/>
          <w:szCs w:val="24"/>
        </w:rPr>
      </w:pPr>
      <w:bookmarkStart w:id="0" w:name="_GoBack"/>
      <w:bookmarkEnd w:id="0"/>
      <w:r w:rsidRPr="00B36304">
        <w:rPr>
          <w:rFonts w:ascii="Calibri" w:hAnsi="Calibri"/>
          <w:b/>
          <w:noProof/>
          <w:sz w:val="24"/>
          <w:szCs w:val="24"/>
        </w:rPr>
        <w:drawing>
          <wp:anchor distT="0" distB="0" distL="114300" distR="114300" simplePos="0" relativeHeight="251659264" behindDoc="1" locked="0" layoutInCell="1" allowOverlap="1">
            <wp:simplePos x="0" y="0"/>
            <wp:positionH relativeFrom="column">
              <wp:posOffset>-28575</wp:posOffset>
            </wp:positionH>
            <wp:positionV relativeFrom="paragraph">
              <wp:posOffset>255270</wp:posOffset>
            </wp:positionV>
            <wp:extent cx="4956175" cy="450850"/>
            <wp:effectExtent l="19050" t="0" r="0" b="0"/>
            <wp:wrapTight wrapText="bothSides">
              <wp:wrapPolygon edited="0">
                <wp:start x="-83" y="0"/>
                <wp:lineTo x="-83" y="20992"/>
                <wp:lineTo x="21586" y="20992"/>
                <wp:lineTo x="21586" y="0"/>
                <wp:lineTo x="-83" y="0"/>
              </wp:wrapPolygon>
            </wp:wrapTight>
            <wp:docPr id="13" name="Picture 1" descr="SBLF_Logo_HorizontalOneLine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LF_Logo_HorizontalOneLine_Black.jpg"/>
                    <pic:cNvPicPr/>
                  </pic:nvPicPr>
                  <pic:blipFill>
                    <a:blip r:embed="rId9" cstate="print"/>
                    <a:stretch>
                      <a:fillRect/>
                    </a:stretch>
                  </pic:blipFill>
                  <pic:spPr>
                    <a:xfrm>
                      <a:off x="0" y="0"/>
                      <a:ext cx="4956175" cy="450850"/>
                    </a:xfrm>
                    <a:prstGeom prst="rect">
                      <a:avLst/>
                    </a:prstGeom>
                  </pic:spPr>
                </pic:pic>
              </a:graphicData>
            </a:graphic>
          </wp:anchor>
        </w:drawing>
      </w:r>
      <w:r w:rsidRPr="00B36304">
        <w:rPr>
          <w:rFonts w:ascii="Calibri" w:hAnsi="Calibri"/>
          <w:b/>
          <w:sz w:val="24"/>
          <w:szCs w:val="24"/>
        </w:rPr>
        <w:t>U.S. Department of the Treasury</w:t>
      </w:r>
    </w:p>
    <w:p w:rsidR="00154DCB" w:rsidRDefault="00154DCB" w:rsidP="00154DCB">
      <w:pPr>
        <w:rPr>
          <w:rFonts w:ascii="Calibri" w:hAnsi="Calibri"/>
          <w:sz w:val="24"/>
          <w:szCs w:val="24"/>
        </w:rPr>
      </w:pPr>
    </w:p>
    <w:p w:rsidR="00287209" w:rsidRPr="00F64474" w:rsidRDefault="00287209" w:rsidP="00287209">
      <w:pPr>
        <w:pBdr>
          <w:top w:val="single" w:sz="4" w:space="1" w:color="auto"/>
          <w:bottom w:val="single" w:sz="4" w:space="3" w:color="auto"/>
        </w:pBdr>
        <w:spacing w:before="240" w:after="0" w:line="240" w:lineRule="auto"/>
        <w:rPr>
          <w:rFonts w:ascii="Calibri" w:hAnsi="Calibri"/>
          <w:b/>
        </w:rPr>
      </w:pPr>
      <w:r>
        <w:rPr>
          <w:rFonts w:ascii="Calibri" w:hAnsi="Calibri"/>
          <w:b/>
        </w:rPr>
        <w:t>Quarterly</w:t>
      </w:r>
      <w:r w:rsidRPr="00F64474">
        <w:rPr>
          <w:rFonts w:ascii="Calibri" w:hAnsi="Calibri"/>
          <w:b/>
        </w:rPr>
        <w:t xml:space="preserve"> </w:t>
      </w:r>
      <w:r>
        <w:rPr>
          <w:rFonts w:ascii="Calibri" w:hAnsi="Calibri"/>
          <w:b/>
        </w:rPr>
        <w:t>S</w:t>
      </w:r>
      <w:r w:rsidRPr="00F64474">
        <w:rPr>
          <w:rFonts w:ascii="Calibri" w:hAnsi="Calibri"/>
          <w:b/>
        </w:rPr>
        <w:t xml:space="preserve">upplemental Report for Banks </w:t>
      </w:r>
      <w:r w:rsidR="00DF7D0C">
        <w:rPr>
          <w:rFonts w:ascii="Calibri" w:hAnsi="Calibri"/>
          <w:b/>
        </w:rPr>
        <w:t xml:space="preserve">and Savings Associations </w:t>
      </w:r>
      <w:r w:rsidRPr="00F64474">
        <w:rPr>
          <w:rFonts w:ascii="Calibri" w:hAnsi="Calibri"/>
          <w:b/>
        </w:rPr>
        <w:t>Participating in the Small Business Lending Fund</w:t>
      </w:r>
    </w:p>
    <w:p w:rsidR="00154DCB" w:rsidRPr="00DC566A" w:rsidRDefault="00CF0DB3" w:rsidP="005471F7">
      <w:pPr>
        <w:tabs>
          <w:tab w:val="right" w:leader="underscore" w:pos="4950"/>
          <w:tab w:val="left" w:pos="5040"/>
        </w:tabs>
        <w:spacing w:before="120" w:after="120" w:line="240" w:lineRule="auto"/>
        <w:rPr>
          <w:rFonts w:ascii="Calibri" w:hAnsi="Calibri"/>
          <w:sz w:val="16"/>
          <w:szCs w:val="16"/>
        </w:rPr>
      </w:pPr>
      <w:r>
        <w:rPr>
          <w:rFonts w:ascii="Calibri" w:hAnsi="Calibri"/>
          <w:b/>
          <w:sz w:val="20"/>
          <w:szCs w:val="20"/>
        </w:rPr>
        <w:t>Call Report used to complete</w:t>
      </w:r>
      <w:r w:rsidR="00154DCB" w:rsidRPr="00F64474">
        <w:rPr>
          <w:rFonts w:ascii="Calibri" w:hAnsi="Calibri"/>
          <w:b/>
          <w:sz w:val="20"/>
          <w:szCs w:val="20"/>
        </w:rPr>
        <w:t>:</w:t>
      </w:r>
      <w:r w:rsidR="00A430AD">
        <w:rPr>
          <w:rFonts w:ascii="Calibri" w:hAnsi="Calibri"/>
          <w:b/>
          <w:sz w:val="20"/>
          <w:szCs w:val="20"/>
        </w:rPr>
        <w:t xml:space="preserve">  </w:t>
      </w:r>
      <w:r w:rsidR="00020B7B" w:rsidRPr="00020B7B">
        <w:rPr>
          <w:rFonts w:ascii="Calibri" w:hAnsi="Calibri"/>
          <w:sz w:val="20"/>
          <w:szCs w:val="20"/>
        </w:rPr>
        <w:t>______________________</w:t>
      </w:r>
    </w:p>
    <w:p w:rsidR="00154DCB" w:rsidRDefault="00154DCB" w:rsidP="002E4246">
      <w:pPr>
        <w:pBdr>
          <w:top w:val="single" w:sz="4" w:space="1" w:color="auto"/>
          <w:bottom w:val="single" w:sz="4" w:space="1" w:color="auto"/>
        </w:pBdr>
        <w:spacing w:after="60" w:line="240" w:lineRule="auto"/>
        <w:rPr>
          <w:rFonts w:ascii="Calibri" w:hAnsi="Calibri"/>
          <w:sz w:val="18"/>
          <w:szCs w:val="18"/>
        </w:rPr>
      </w:pPr>
      <w:r w:rsidRPr="00154DCB">
        <w:rPr>
          <w:rFonts w:ascii="Calibri" w:hAnsi="Calibri"/>
          <w:color w:val="211D1E"/>
          <w:sz w:val="18"/>
          <w:szCs w:val="18"/>
        </w:rPr>
        <w:t xml:space="preserve">This Quarterly Supplemental Report supplements the </w:t>
      </w:r>
      <w:r w:rsidR="00B57ED7">
        <w:rPr>
          <w:rFonts w:ascii="Calibri" w:hAnsi="Calibri"/>
          <w:color w:val="211D1E"/>
          <w:sz w:val="18"/>
          <w:szCs w:val="18"/>
        </w:rPr>
        <w:t xml:space="preserve">Consolidated </w:t>
      </w:r>
      <w:r w:rsidRPr="00154DCB">
        <w:rPr>
          <w:rFonts w:ascii="Calibri" w:hAnsi="Calibri"/>
          <w:color w:val="211D1E"/>
          <w:sz w:val="18"/>
          <w:szCs w:val="18"/>
        </w:rPr>
        <w:t>Report</w:t>
      </w:r>
      <w:r w:rsidR="00B57ED7">
        <w:rPr>
          <w:rFonts w:ascii="Calibri" w:hAnsi="Calibri"/>
          <w:color w:val="211D1E"/>
          <w:sz w:val="18"/>
          <w:szCs w:val="18"/>
        </w:rPr>
        <w:t>s</w:t>
      </w:r>
      <w:r w:rsidRPr="00154DCB">
        <w:rPr>
          <w:rFonts w:ascii="Calibri" w:hAnsi="Calibri"/>
          <w:color w:val="211D1E"/>
          <w:sz w:val="18"/>
          <w:szCs w:val="18"/>
        </w:rPr>
        <w:t xml:space="preserve"> of Condition</w:t>
      </w:r>
      <w:r w:rsidR="004D7462">
        <w:rPr>
          <w:rFonts w:ascii="Calibri" w:hAnsi="Calibri"/>
          <w:color w:val="211D1E"/>
          <w:sz w:val="18"/>
          <w:szCs w:val="18"/>
        </w:rPr>
        <w:t xml:space="preserve"> </w:t>
      </w:r>
      <w:r w:rsidRPr="00154DCB">
        <w:rPr>
          <w:rFonts w:ascii="Calibri" w:hAnsi="Calibri"/>
          <w:color w:val="211D1E"/>
          <w:sz w:val="18"/>
          <w:szCs w:val="18"/>
        </w:rPr>
        <w:t xml:space="preserve">and Income </w:t>
      </w:r>
      <w:r w:rsidR="00997A91">
        <w:rPr>
          <w:rFonts w:ascii="Calibri" w:hAnsi="Calibri"/>
          <w:color w:val="211D1E"/>
          <w:sz w:val="18"/>
          <w:szCs w:val="18"/>
        </w:rPr>
        <w:t>(Call Reports)</w:t>
      </w:r>
      <w:r w:rsidR="00997A91" w:rsidRPr="00154DCB">
        <w:rPr>
          <w:rFonts w:ascii="Calibri" w:hAnsi="Calibri"/>
          <w:color w:val="211D1E"/>
          <w:sz w:val="18"/>
          <w:szCs w:val="18"/>
        </w:rPr>
        <w:t xml:space="preserve"> </w:t>
      </w:r>
      <w:r w:rsidRPr="00154DCB">
        <w:rPr>
          <w:rFonts w:ascii="Calibri" w:hAnsi="Calibri"/>
          <w:color w:val="211D1E"/>
          <w:sz w:val="18"/>
          <w:szCs w:val="18"/>
        </w:rPr>
        <w:t>filed by a bank</w:t>
      </w:r>
      <w:r w:rsidR="00DF7D0C">
        <w:rPr>
          <w:rFonts w:ascii="Calibri" w:hAnsi="Calibri"/>
          <w:color w:val="211D1E"/>
          <w:sz w:val="18"/>
          <w:szCs w:val="18"/>
        </w:rPr>
        <w:t xml:space="preserve"> or savings association</w:t>
      </w:r>
      <w:r w:rsidRPr="00154DCB">
        <w:rPr>
          <w:rFonts w:ascii="Calibri" w:hAnsi="Calibri"/>
          <w:color w:val="211D1E"/>
          <w:sz w:val="18"/>
          <w:szCs w:val="18"/>
        </w:rPr>
        <w:t xml:space="preserve"> that has received capital from the U.S. Department of the Treasury (Treasury) through the Small Business Lending Fund.  This Quarterly Supplemental Report must be filed no more than 30 </w:t>
      </w:r>
      <w:r w:rsidR="005471F7">
        <w:rPr>
          <w:rFonts w:ascii="Calibri" w:hAnsi="Calibri"/>
          <w:color w:val="211D1E"/>
          <w:sz w:val="18"/>
          <w:szCs w:val="18"/>
        </w:rPr>
        <w:t xml:space="preserve">calendar </w:t>
      </w:r>
      <w:r w:rsidRPr="00154DCB">
        <w:rPr>
          <w:rFonts w:ascii="Calibri" w:hAnsi="Calibri"/>
          <w:color w:val="211D1E"/>
          <w:sz w:val="18"/>
          <w:szCs w:val="18"/>
        </w:rPr>
        <w:t xml:space="preserve">days after the end of the calendar quarter, must be signed by the Chief Executive Officer (CEO) and the Chief Financial Officer (CFO) of the reporting </w:t>
      </w:r>
      <w:r w:rsidR="00827C3F">
        <w:rPr>
          <w:rFonts w:ascii="Calibri" w:hAnsi="Calibri"/>
          <w:color w:val="211D1E"/>
          <w:sz w:val="18"/>
          <w:szCs w:val="18"/>
        </w:rPr>
        <w:t>bank or savings association</w:t>
      </w:r>
      <w:r w:rsidRPr="00154DCB">
        <w:rPr>
          <w:rFonts w:ascii="Calibri" w:hAnsi="Calibri"/>
          <w:color w:val="211D1E"/>
          <w:sz w:val="18"/>
          <w:szCs w:val="18"/>
        </w:rPr>
        <w:t xml:space="preserve"> (or by the individuals performing equivalent functions), and must be attested to by not fewer than two directors (trustees) for </w:t>
      </w:r>
      <w:r w:rsidR="00706995">
        <w:rPr>
          <w:rFonts w:ascii="Calibri" w:hAnsi="Calibri"/>
          <w:color w:val="211D1E"/>
          <w:sz w:val="18"/>
          <w:szCs w:val="18"/>
        </w:rPr>
        <w:t>s</w:t>
      </w:r>
      <w:r w:rsidRPr="00154DCB">
        <w:rPr>
          <w:rFonts w:ascii="Calibri" w:hAnsi="Calibri"/>
          <w:color w:val="211D1E"/>
          <w:sz w:val="18"/>
          <w:szCs w:val="18"/>
        </w:rPr>
        <w:t xml:space="preserve">tate nonmember banks and three directors for </w:t>
      </w:r>
      <w:r w:rsidR="00B16BE7">
        <w:rPr>
          <w:rFonts w:ascii="Calibri" w:hAnsi="Calibri"/>
          <w:color w:val="211D1E"/>
          <w:sz w:val="18"/>
          <w:szCs w:val="18"/>
        </w:rPr>
        <w:t>s</w:t>
      </w:r>
      <w:r w:rsidRPr="00154DCB">
        <w:rPr>
          <w:rFonts w:ascii="Calibri" w:hAnsi="Calibri"/>
          <w:color w:val="211D1E"/>
          <w:sz w:val="18"/>
          <w:szCs w:val="18"/>
        </w:rPr>
        <w:t>tate member</w:t>
      </w:r>
      <w:r w:rsidR="005731C0">
        <w:rPr>
          <w:rFonts w:ascii="Calibri" w:hAnsi="Calibri"/>
          <w:color w:val="211D1E"/>
          <w:sz w:val="18"/>
          <w:szCs w:val="18"/>
        </w:rPr>
        <w:t xml:space="preserve"> banks,</w:t>
      </w:r>
      <w:r w:rsidRPr="00154DCB">
        <w:rPr>
          <w:rFonts w:ascii="Calibri" w:hAnsi="Calibri"/>
          <w:color w:val="211D1E"/>
          <w:sz w:val="18"/>
          <w:szCs w:val="18"/>
        </w:rPr>
        <w:t xml:space="preserve"> </w:t>
      </w:r>
      <w:r w:rsidR="00B16BE7">
        <w:rPr>
          <w:rFonts w:ascii="Calibri" w:hAnsi="Calibri"/>
          <w:color w:val="211D1E"/>
          <w:sz w:val="18"/>
          <w:szCs w:val="18"/>
        </w:rPr>
        <w:t>n</w:t>
      </w:r>
      <w:r w:rsidRPr="00154DCB">
        <w:rPr>
          <w:rFonts w:ascii="Calibri" w:hAnsi="Calibri"/>
          <w:color w:val="211D1E"/>
          <w:sz w:val="18"/>
          <w:szCs w:val="18"/>
        </w:rPr>
        <w:t>ational banks</w:t>
      </w:r>
      <w:r w:rsidR="00183946">
        <w:rPr>
          <w:rFonts w:ascii="Calibri" w:hAnsi="Calibri"/>
          <w:color w:val="211D1E"/>
          <w:sz w:val="18"/>
          <w:szCs w:val="18"/>
        </w:rPr>
        <w:t>,</w:t>
      </w:r>
      <w:r w:rsidR="005731C0">
        <w:rPr>
          <w:rFonts w:ascii="Calibri" w:hAnsi="Calibri"/>
          <w:color w:val="211D1E"/>
          <w:sz w:val="18"/>
          <w:szCs w:val="18"/>
        </w:rPr>
        <w:t xml:space="preserve"> and savings associations</w:t>
      </w:r>
      <w:r w:rsidRPr="00507A8B">
        <w:rPr>
          <w:rFonts w:ascii="Calibri" w:hAnsi="Calibri"/>
          <w:sz w:val="18"/>
          <w:szCs w:val="18"/>
        </w:rPr>
        <w:t>.</w:t>
      </w:r>
    </w:p>
    <w:p w:rsidR="00154DCB" w:rsidRDefault="00154DCB" w:rsidP="00154DCB">
      <w:pPr>
        <w:pBdr>
          <w:top w:val="single" w:sz="4" w:space="1" w:color="auto"/>
        </w:pBdr>
        <w:spacing w:after="0" w:line="240" w:lineRule="auto"/>
        <w:rPr>
          <w:rFonts w:ascii="Calibri" w:hAnsi="Calibri"/>
          <w:sz w:val="18"/>
          <w:szCs w:val="18"/>
        </w:rPr>
        <w:sectPr w:rsidR="00154DCB" w:rsidSect="00B249E0">
          <w:footerReference w:type="default" r:id="rId10"/>
          <w:pgSz w:w="12240" w:h="15840" w:code="1"/>
          <w:pgMar w:top="720" w:right="720" w:bottom="720" w:left="720" w:header="432" w:footer="720" w:gutter="0"/>
          <w:cols w:space="720"/>
          <w:docGrid w:linePitch="360"/>
        </w:sectPr>
      </w:pPr>
    </w:p>
    <w:p w:rsidR="00154DCB" w:rsidRPr="00EB405C" w:rsidRDefault="00154DCB" w:rsidP="00CA50CC">
      <w:pPr>
        <w:spacing w:after="0" w:line="240" w:lineRule="auto"/>
        <w:rPr>
          <w:rFonts w:ascii="Calibri" w:hAnsi="Calibri" w:cs="Arial"/>
          <w:sz w:val="18"/>
          <w:szCs w:val="18"/>
        </w:rPr>
      </w:pPr>
      <w:r w:rsidRPr="00EB405C">
        <w:rPr>
          <w:rFonts w:ascii="Calibri" w:hAnsi="Calibri" w:cs="Arial"/>
          <w:sz w:val="18"/>
          <w:szCs w:val="18"/>
        </w:rPr>
        <w:lastRenderedPageBreak/>
        <w:t>We, the undersigned CEO and CFO (or equivalents) of the named bank</w:t>
      </w:r>
      <w:r w:rsidR="00EB405C" w:rsidRPr="00EB405C">
        <w:rPr>
          <w:rFonts w:ascii="Calibri" w:hAnsi="Calibri" w:cs="Arial"/>
          <w:sz w:val="18"/>
          <w:szCs w:val="18"/>
        </w:rPr>
        <w:t xml:space="preserve"> or savings association</w:t>
      </w:r>
      <w:r w:rsidRPr="00EB405C">
        <w:rPr>
          <w:rFonts w:ascii="Calibri" w:hAnsi="Calibri" w:cs="Arial"/>
          <w:sz w:val="18"/>
          <w:szCs w:val="18"/>
        </w:rPr>
        <w:t xml:space="preserve">, attest that the </w:t>
      </w:r>
      <w:r w:rsidRPr="00EB405C">
        <w:rPr>
          <w:rFonts w:ascii="Calibri" w:hAnsi="Calibri"/>
          <w:color w:val="211D1E"/>
          <w:sz w:val="18"/>
          <w:szCs w:val="18"/>
        </w:rPr>
        <w:t xml:space="preserve">Quarterly </w:t>
      </w:r>
      <w:r w:rsidRPr="00EB405C">
        <w:rPr>
          <w:rFonts w:ascii="Calibri" w:hAnsi="Calibri" w:cs="Arial"/>
          <w:sz w:val="18"/>
          <w:szCs w:val="18"/>
        </w:rPr>
        <w:t>Supplemental Report for this report date has been prepared in conformance with the instructions issued by the Treasury and is true and correct to the best of our knowledge and belief.</w:t>
      </w:r>
      <w:r w:rsidRPr="00EB405C">
        <w:rPr>
          <w:rFonts w:ascii="Calibri" w:hAnsi="Calibri"/>
          <w:sz w:val="18"/>
          <w:szCs w:val="18"/>
        </w:rPr>
        <w:t xml:space="preserve"> </w:t>
      </w:r>
    </w:p>
    <w:p w:rsidR="005471F7" w:rsidRDefault="005471F7" w:rsidP="00022C18">
      <w:pPr>
        <w:pStyle w:val="Default"/>
        <w:tabs>
          <w:tab w:val="right" w:leader="underscore" w:pos="5040"/>
        </w:tabs>
        <w:spacing w:before="120"/>
        <w:rPr>
          <w:rFonts w:ascii="Calibri" w:hAnsi="Calibri"/>
          <w:color w:val="211D1E"/>
          <w:sz w:val="18"/>
          <w:szCs w:val="18"/>
          <w:u w:val="single"/>
        </w:rPr>
      </w:pPr>
      <w:r>
        <w:rPr>
          <w:rFonts w:ascii="Calibri" w:hAnsi="Calibri"/>
          <w:color w:val="211D1E"/>
          <w:sz w:val="18"/>
          <w:szCs w:val="18"/>
          <w:u w:val="single"/>
        </w:rPr>
        <w:tab/>
      </w:r>
    </w:p>
    <w:p w:rsidR="005471F7" w:rsidRPr="00F64474" w:rsidRDefault="005471F7" w:rsidP="00C85675">
      <w:pPr>
        <w:pStyle w:val="Default"/>
        <w:tabs>
          <w:tab w:val="left" w:pos="3420"/>
        </w:tabs>
        <w:rPr>
          <w:rFonts w:ascii="Calibri" w:hAnsi="Calibri"/>
          <w:color w:val="211D1E"/>
          <w:sz w:val="18"/>
          <w:szCs w:val="18"/>
          <w:u w:val="single"/>
        </w:rPr>
      </w:pPr>
      <w:r w:rsidRPr="00F64474">
        <w:rPr>
          <w:rFonts w:ascii="Calibri" w:hAnsi="Calibri"/>
          <w:color w:val="211D1E"/>
          <w:sz w:val="18"/>
          <w:szCs w:val="18"/>
        </w:rPr>
        <w:t xml:space="preserve">Signature of </w:t>
      </w:r>
      <w:r w:rsidR="00F03065">
        <w:rPr>
          <w:rFonts w:ascii="Calibri" w:hAnsi="Calibri"/>
          <w:color w:val="211D1E"/>
          <w:sz w:val="18"/>
          <w:szCs w:val="18"/>
        </w:rPr>
        <w:t>CEO</w:t>
      </w:r>
      <w:r w:rsidRPr="00F64474">
        <w:rPr>
          <w:rFonts w:ascii="Calibri" w:hAnsi="Calibri"/>
          <w:color w:val="211D1E"/>
          <w:sz w:val="18"/>
          <w:szCs w:val="18"/>
        </w:rPr>
        <w:t xml:space="preserve"> (or Equivalent)</w:t>
      </w:r>
    </w:p>
    <w:p w:rsidR="005471F7" w:rsidRDefault="005471F7" w:rsidP="00022C18">
      <w:pPr>
        <w:pStyle w:val="Default"/>
        <w:tabs>
          <w:tab w:val="right" w:leader="underscore" w:pos="5040"/>
        </w:tabs>
        <w:spacing w:before="40"/>
        <w:rPr>
          <w:rFonts w:ascii="Calibri" w:hAnsi="Calibri"/>
          <w:color w:val="211D1E"/>
          <w:sz w:val="18"/>
          <w:szCs w:val="18"/>
          <w:u w:val="single"/>
        </w:rPr>
      </w:pPr>
      <w:r>
        <w:rPr>
          <w:rFonts w:ascii="Calibri" w:hAnsi="Calibri"/>
          <w:color w:val="211D1E"/>
          <w:sz w:val="18"/>
          <w:szCs w:val="18"/>
          <w:u w:val="single"/>
        </w:rPr>
        <w:tab/>
      </w:r>
    </w:p>
    <w:p w:rsidR="005471F7" w:rsidRPr="00F64474" w:rsidRDefault="00956EA1" w:rsidP="00022C18">
      <w:pPr>
        <w:pStyle w:val="Default"/>
        <w:tabs>
          <w:tab w:val="left" w:pos="3960"/>
        </w:tabs>
        <w:rPr>
          <w:rFonts w:ascii="Calibri" w:hAnsi="Calibri"/>
          <w:color w:val="211D1E"/>
          <w:sz w:val="18"/>
          <w:szCs w:val="18"/>
          <w:u w:val="single"/>
        </w:rPr>
      </w:pPr>
      <w:r>
        <w:rPr>
          <w:rFonts w:ascii="Calibri" w:hAnsi="Calibri"/>
          <w:color w:val="211D1E"/>
          <w:sz w:val="18"/>
          <w:szCs w:val="18"/>
        </w:rPr>
        <w:t>Name</w:t>
      </w:r>
      <w:r w:rsidR="00022C18">
        <w:rPr>
          <w:rFonts w:ascii="Calibri" w:hAnsi="Calibri"/>
          <w:color w:val="211D1E"/>
          <w:sz w:val="18"/>
          <w:szCs w:val="18"/>
        </w:rPr>
        <w:tab/>
        <w:t>Date</w:t>
      </w:r>
    </w:p>
    <w:p w:rsidR="005471F7" w:rsidRDefault="005471F7" w:rsidP="00022C18">
      <w:pPr>
        <w:pStyle w:val="Default"/>
        <w:tabs>
          <w:tab w:val="right" w:leader="underscore" w:pos="5040"/>
        </w:tabs>
        <w:spacing w:before="40"/>
        <w:rPr>
          <w:rFonts w:ascii="Calibri" w:hAnsi="Calibri"/>
          <w:color w:val="211D1E"/>
          <w:sz w:val="18"/>
          <w:szCs w:val="18"/>
          <w:u w:val="single"/>
        </w:rPr>
      </w:pPr>
      <w:r>
        <w:rPr>
          <w:rFonts w:ascii="Calibri" w:hAnsi="Calibri"/>
          <w:color w:val="211D1E"/>
          <w:sz w:val="18"/>
          <w:szCs w:val="18"/>
          <w:u w:val="single"/>
        </w:rPr>
        <w:tab/>
      </w:r>
    </w:p>
    <w:p w:rsidR="005471F7" w:rsidRPr="00F64474" w:rsidRDefault="005471F7" w:rsidP="00C85675">
      <w:pPr>
        <w:pStyle w:val="Default"/>
        <w:tabs>
          <w:tab w:val="left" w:pos="3420"/>
        </w:tabs>
        <w:rPr>
          <w:rFonts w:ascii="Calibri" w:hAnsi="Calibri"/>
          <w:color w:val="211D1E"/>
          <w:sz w:val="18"/>
          <w:szCs w:val="18"/>
          <w:u w:val="single"/>
        </w:rPr>
      </w:pPr>
      <w:r w:rsidRPr="00F64474">
        <w:rPr>
          <w:rFonts w:ascii="Calibri" w:hAnsi="Calibri"/>
          <w:color w:val="211D1E"/>
          <w:sz w:val="18"/>
          <w:szCs w:val="18"/>
        </w:rPr>
        <w:t xml:space="preserve">Signature of </w:t>
      </w:r>
      <w:r w:rsidR="00C85675">
        <w:rPr>
          <w:rFonts w:ascii="Calibri" w:hAnsi="Calibri"/>
          <w:color w:val="211D1E"/>
          <w:sz w:val="18"/>
          <w:szCs w:val="18"/>
        </w:rPr>
        <w:t>CFO</w:t>
      </w:r>
      <w:r w:rsidRPr="00F64474">
        <w:rPr>
          <w:rFonts w:ascii="Calibri" w:hAnsi="Calibri"/>
          <w:color w:val="211D1E"/>
          <w:sz w:val="18"/>
          <w:szCs w:val="18"/>
        </w:rPr>
        <w:t xml:space="preserve"> (or Equivalent)</w:t>
      </w:r>
      <w:r w:rsidR="00C85675" w:rsidRPr="00C85675">
        <w:rPr>
          <w:rFonts w:ascii="Calibri" w:hAnsi="Calibri"/>
          <w:color w:val="211D1E"/>
          <w:sz w:val="18"/>
          <w:szCs w:val="18"/>
        </w:rPr>
        <w:t xml:space="preserve"> </w:t>
      </w:r>
    </w:p>
    <w:p w:rsidR="005471F7" w:rsidRDefault="005471F7" w:rsidP="00022C18">
      <w:pPr>
        <w:pStyle w:val="Default"/>
        <w:tabs>
          <w:tab w:val="right" w:leader="underscore" w:pos="5040"/>
        </w:tabs>
        <w:spacing w:before="40"/>
        <w:rPr>
          <w:rFonts w:ascii="Calibri" w:hAnsi="Calibri"/>
          <w:color w:val="211D1E"/>
          <w:sz w:val="18"/>
          <w:szCs w:val="18"/>
          <w:u w:val="single"/>
        </w:rPr>
      </w:pPr>
      <w:r>
        <w:rPr>
          <w:rFonts w:ascii="Calibri" w:hAnsi="Calibri"/>
          <w:color w:val="211D1E"/>
          <w:sz w:val="18"/>
          <w:szCs w:val="18"/>
          <w:u w:val="single"/>
        </w:rPr>
        <w:tab/>
      </w:r>
    </w:p>
    <w:p w:rsidR="005471F7" w:rsidRPr="00A00250" w:rsidRDefault="00956EA1" w:rsidP="00022C18">
      <w:pPr>
        <w:pStyle w:val="Default"/>
        <w:tabs>
          <w:tab w:val="left" w:pos="3960"/>
        </w:tabs>
        <w:rPr>
          <w:rFonts w:ascii="Calibri" w:hAnsi="Calibri"/>
          <w:color w:val="211D1E"/>
          <w:sz w:val="18"/>
          <w:szCs w:val="18"/>
        </w:rPr>
      </w:pPr>
      <w:r>
        <w:rPr>
          <w:rFonts w:ascii="Calibri" w:hAnsi="Calibri"/>
          <w:color w:val="211D1E"/>
          <w:sz w:val="18"/>
          <w:szCs w:val="18"/>
        </w:rPr>
        <w:t>Name</w:t>
      </w:r>
      <w:r w:rsidR="00022C18">
        <w:rPr>
          <w:rFonts w:ascii="Calibri" w:hAnsi="Calibri"/>
          <w:color w:val="211D1E"/>
          <w:sz w:val="18"/>
          <w:szCs w:val="18"/>
        </w:rPr>
        <w:tab/>
        <w:t>Date</w:t>
      </w:r>
    </w:p>
    <w:p w:rsidR="005471F7" w:rsidRDefault="005471F7" w:rsidP="00022C18">
      <w:pPr>
        <w:pStyle w:val="Default"/>
        <w:tabs>
          <w:tab w:val="left" w:leader="underscore" w:pos="5040"/>
        </w:tabs>
        <w:spacing w:before="40"/>
        <w:rPr>
          <w:rFonts w:ascii="Calibri" w:hAnsi="Calibri"/>
          <w:color w:val="211D1E"/>
          <w:sz w:val="18"/>
          <w:szCs w:val="18"/>
          <w:u w:val="single"/>
        </w:rPr>
      </w:pPr>
      <w:r>
        <w:rPr>
          <w:rFonts w:ascii="Calibri" w:hAnsi="Calibri"/>
          <w:color w:val="211D1E"/>
          <w:sz w:val="18"/>
          <w:szCs w:val="18"/>
          <w:u w:val="single"/>
        </w:rPr>
        <w:tab/>
      </w:r>
    </w:p>
    <w:p w:rsidR="005471F7" w:rsidRPr="00F64474" w:rsidRDefault="005471F7" w:rsidP="005471F7">
      <w:pPr>
        <w:pStyle w:val="Default"/>
        <w:tabs>
          <w:tab w:val="right" w:leader="underscore" w:pos="4320"/>
        </w:tabs>
        <w:rPr>
          <w:rFonts w:ascii="Calibri" w:hAnsi="Calibri"/>
          <w:color w:val="211D1E"/>
          <w:sz w:val="18"/>
          <w:szCs w:val="18"/>
          <w:u w:val="single"/>
        </w:rPr>
      </w:pPr>
      <w:r>
        <w:rPr>
          <w:rFonts w:ascii="Calibri" w:hAnsi="Calibri"/>
          <w:color w:val="211D1E"/>
          <w:sz w:val="18"/>
          <w:szCs w:val="18"/>
        </w:rPr>
        <w:t xml:space="preserve">Legal Title of </w:t>
      </w:r>
      <w:r w:rsidR="00827C3F">
        <w:rPr>
          <w:rFonts w:ascii="Calibri" w:hAnsi="Calibri"/>
          <w:color w:val="211D1E"/>
          <w:sz w:val="18"/>
          <w:szCs w:val="18"/>
        </w:rPr>
        <w:t>Bank or Savings Association</w:t>
      </w:r>
    </w:p>
    <w:p w:rsidR="005471F7" w:rsidRDefault="005471F7" w:rsidP="00022C18">
      <w:pPr>
        <w:pStyle w:val="Default"/>
        <w:tabs>
          <w:tab w:val="left" w:leader="underscore" w:pos="5040"/>
        </w:tabs>
        <w:spacing w:before="40"/>
        <w:rPr>
          <w:rFonts w:ascii="Calibri" w:hAnsi="Calibri"/>
          <w:color w:val="211D1E"/>
          <w:sz w:val="18"/>
          <w:szCs w:val="18"/>
          <w:u w:val="single"/>
        </w:rPr>
      </w:pPr>
      <w:r>
        <w:rPr>
          <w:rFonts w:ascii="Calibri" w:hAnsi="Calibri"/>
          <w:color w:val="211D1E"/>
          <w:sz w:val="18"/>
          <w:szCs w:val="18"/>
          <w:u w:val="single"/>
        </w:rPr>
        <w:tab/>
      </w:r>
    </w:p>
    <w:p w:rsidR="00154DCB" w:rsidRDefault="005471F7" w:rsidP="004857C4">
      <w:pPr>
        <w:pStyle w:val="Default"/>
        <w:tabs>
          <w:tab w:val="left" w:pos="2700"/>
          <w:tab w:val="left" w:pos="3240"/>
        </w:tabs>
        <w:spacing w:after="180"/>
        <w:rPr>
          <w:rFonts w:ascii="Calibri" w:hAnsi="Calibri"/>
          <w:color w:val="211D1E"/>
          <w:sz w:val="18"/>
          <w:szCs w:val="18"/>
        </w:rPr>
      </w:pPr>
      <w:r>
        <w:rPr>
          <w:rFonts w:ascii="Calibri" w:hAnsi="Calibri"/>
          <w:color w:val="211D1E"/>
          <w:sz w:val="18"/>
          <w:szCs w:val="18"/>
        </w:rPr>
        <w:t xml:space="preserve">City </w:t>
      </w:r>
      <w:r>
        <w:rPr>
          <w:rFonts w:ascii="Calibri" w:hAnsi="Calibri"/>
          <w:color w:val="211D1E"/>
          <w:sz w:val="18"/>
          <w:szCs w:val="18"/>
        </w:rPr>
        <w:tab/>
        <w:t xml:space="preserve">State </w:t>
      </w:r>
      <w:r>
        <w:rPr>
          <w:rFonts w:ascii="Calibri" w:hAnsi="Calibri"/>
          <w:color w:val="211D1E"/>
          <w:sz w:val="18"/>
          <w:szCs w:val="18"/>
        </w:rPr>
        <w:tab/>
        <w:t>Zip</w:t>
      </w:r>
    </w:p>
    <w:tbl>
      <w:tblPr>
        <w:tblStyle w:val="TableGrid"/>
        <w:tblW w:w="0" w:type="auto"/>
        <w:tblInd w:w="108" w:type="dxa"/>
        <w:tblLook w:val="04A0" w:firstRow="1" w:lastRow="0" w:firstColumn="1" w:lastColumn="0" w:noHBand="0" w:noVBand="1"/>
      </w:tblPr>
      <w:tblGrid>
        <w:gridCol w:w="645"/>
        <w:gridCol w:w="329"/>
        <w:gridCol w:w="360"/>
        <w:gridCol w:w="360"/>
        <w:gridCol w:w="360"/>
        <w:gridCol w:w="270"/>
        <w:gridCol w:w="810"/>
        <w:gridCol w:w="1906"/>
      </w:tblGrid>
      <w:tr w:rsidR="00FC4868" w:rsidTr="004857C4">
        <w:trPr>
          <w:trHeight w:val="188"/>
        </w:trPr>
        <w:tc>
          <w:tcPr>
            <w:tcW w:w="645" w:type="dxa"/>
          </w:tcPr>
          <w:p w:rsidR="00FC4868" w:rsidRDefault="00FC4868" w:rsidP="00FC4868">
            <w:pPr>
              <w:pStyle w:val="Default"/>
              <w:tabs>
                <w:tab w:val="left" w:pos="2700"/>
                <w:tab w:val="left" w:pos="3240"/>
              </w:tabs>
              <w:rPr>
                <w:rFonts w:ascii="Calibri" w:hAnsi="Calibri"/>
                <w:color w:val="211D1E"/>
                <w:sz w:val="18"/>
                <w:szCs w:val="18"/>
              </w:rPr>
            </w:pPr>
            <w:r>
              <w:rPr>
                <w:rFonts w:ascii="Calibri" w:hAnsi="Calibri"/>
                <w:color w:val="211D1E"/>
                <w:sz w:val="18"/>
                <w:szCs w:val="18"/>
              </w:rPr>
              <w:t>SBLF#</w:t>
            </w:r>
          </w:p>
        </w:tc>
        <w:tc>
          <w:tcPr>
            <w:tcW w:w="329" w:type="dxa"/>
          </w:tcPr>
          <w:p w:rsidR="00FC4868" w:rsidRDefault="00FC4868" w:rsidP="00FC4868">
            <w:pPr>
              <w:pStyle w:val="Default"/>
              <w:tabs>
                <w:tab w:val="left" w:pos="2700"/>
                <w:tab w:val="left" w:pos="3240"/>
              </w:tabs>
              <w:rPr>
                <w:rFonts w:ascii="Calibri" w:hAnsi="Calibri"/>
                <w:color w:val="211D1E"/>
                <w:sz w:val="18"/>
                <w:szCs w:val="18"/>
              </w:rPr>
            </w:pPr>
            <w:r>
              <w:rPr>
                <w:rFonts w:ascii="Calibri" w:hAnsi="Calibri"/>
                <w:color w:val="211D1E"/>
                <w:sz w:val="18"/>
                <w:szCs w:val="18"/>
              </w:rPr>
              <w:t>0</w:t>
            </w:r>
          </w:p>
        </w:tc>
        <w:tc>
          <w:tcPr>
            <w:tcW w:w="360" w:type="dxa"/>
          </w:tcPr>
          <w:p w:rsidR="00FC4868" w:rsidRDefault="00FC4868" w:rsidP="00FC4868">
            <w:pPr>
              <w:pStyle w:val="Default"/>
              <w:tabs>
                <w:tab w:val="left" w:pos="2700"/>
                <w:tab w:val="left" w:pos="3240"/>
              </w:tabs>
              <w:rPr>
                <w:rFonts w:ascii="Calibri" w:hAnsi="Calibri"/>
                <w:color w:val="211D1E"/>
                <w:sz w:val="18"/>
                <w:szCs w:val="18"/>
              </w:rPr>
            </w:pPr>
          </w:p>
        </w:tc>
        <w:tc>
          <w:tcPr>
            <w:tcW w:w="360" w:type="dxa"/>
          </w:tcPr>
          <w:p w:rsidR="00FC4868" w:rsidRDefault="00FC4868" w:rsidP="00FC4868">
            <w:pPr>
              <w:pStyle w:val="Default"/>
              <w:tabs>
                <w:tab w:val="left" w:pos="2700"/>
                <w:tab w:val="left" w:pos="3240"/>
              </w:tabs>
              <w:rPr>
                <w:rFonts w:ascii="Calibri" w:hAnsi="Calibri"/>
                <w:color w:val="211D1E"/>
                <w:sz w:val="18"/>
                <w:szCs w:val="18"/>
              </w:rPr>
            </w:pPr>
          </w:p>
        </w:tc>
        <w:tc>
          <w:tcPr>
            <w:tcW w:w="360" w:type="dxa"/>
          </w:tcPr>
          <w:p w:rsidR="00FC4868" w:rsidRDefault="00FC4868" w:rsidP="00FC4868">
            <w:pPr>
              <w:pStyle w:val="Default"/>
              <w:tabs>
                <w:tab w:val="left" w:pos="2700"/>
                <w:tab w:val="left" w:pos="3240"/>
              </w:tabs>
              <w:rPr>
                <w:rFonts w:ascii="Calibri" w:hAnsi="Calibri"/>
                <w:color w:val="211D1E"/>
                <w:sz w:val="18"/>
                <w:szCs w:val="18"/>
              </w:rPr>
            </w:pPr>
          </w:p>
        </w:tc>
        <w:tc>
          <w:tcPr>
            <w:tcW w:w="270" w:type="dxa"/>
            <w:tcBorders>
              <w:top w:val="nil"/>
              <w:bottom w:val="nil"/>
            </w:tcBorders>
          </w:tcPr>
          <w:p w:rsidR="00FC4868" w:rsidRDefault="00FC4868" w:rsidP="00FC4868">
            <w:pPr>
              <w:pStyle w:val="Default"/>
              <w:tabs>
                <w:tab w:val="left" w:pos="2700"/>
                <w:tab w:val="left" w:pos="3240"/>
              </w:tabs>
              <w:rPr>
                <w:rFonts w:ascii="Calibri" w:hAnsi="Calibri"/>
                <w:color w:val="211D1E"/>
                <w:sz w:val="18"/>
                <w:szCs w:val="18"/>
              </w:rPr>
            </w:pPr>
          </w:p>
        </w:tc>
        <w:tc>
          <w:tcPr>
            <w:tcW w:w="810" w:type="dxa"/>
          </w:tcPr>
          <w:p w:rsidR="00FC4868" w:rsidRDefault="00FC4868" w:rsidP="00FC4868">
            <w:pPr>
              <w:pStyle w:val="Default"/>
              <w:tabs>
                <w:tab w:val="left" w:pos="2700"/>
                <w:tab w:val="left" w:pos="3240"/>
              </w:tabs>
              <w:rPr>
                <w:rFonts w:ascii="Calibri" w:hAnsi="Calibri"/>
                <w:color w:val="211D1E"/>
                <w:sz w:val="18"/>
                <w:szCs w:val="18"/>
              </w:rPr>
            </w:pPr>
            <w:r>
              <w:rPr>
                <w:rFonts w:ascii="Calibri" w:hAnsi="Calibri"/>
                <w:color w:val="211D1E"/>
                <w:sz w:val="18"/>
                <w:szCs w:val="18"/>
              </w:rPr>
              <w:t>RSSD#</w:t>
            </w:r>
          </w:p>
        </w:tc>
        <w:tc>
          <w:tcPr>
            <w:tcW w:w="1906" w:type="dxa"/>
          </w:tcPr>
          <w:p w:rsidR="00FC4868" w:rsidRDefault="00FC4868" w:rsidP="00FC4868">
            <w:pPr>
              <w:pStyle w:val="Default"/>
              <w:tabs>
                <w:tab w:val="left" w:pos="2700"/>
                <w:tab w:val="left" w:pos="3240"/>
              </w:tabs>
              <w:rPr>
                <w:rFonts w:ascii="Calibri" w:hAnsi="Calibri"/>
                <w:color w:val="211D1E"/>
                <w:sz w:val="18"/>
                <w:szCs w:val="18"/>
              </w:rPr>
            </w:pPr>
          </w:p>
        </w:tc>
      </w:tr>
    </w:tbl>
    <w:p w:rsidR="00154DCB" w:rsidRPr="00EB405C" w:rsidRDefault="00154DCB" w:rsidP="00956EA1">
      <w:pPr>
        <w:autoSpaceDE w:val="0"/>
        <w:autoSpaceDN w:val="0"/>
        <w:adjustRightInd w:val="0"/>
        <w:spacing w:after="120" w:line="240" w:lineRule="auto"/>
        <w:rPr>
          <w:rFonts w:ascii="Calibri" w:hAnsi="Calibri" w:cs="Arial"/>
          <w:sz w:val="18"/>
          <w:szCs w:val="18"/>
        </w:rPr>
      </w:pPr>
      <w:r w:rsidRPr="00EB405C">
        <w:rPr>
          <w:rFonts w:ascii="Calibri" w:hAnsi="Calibri" w:cs="Arial"/>
          <w:sz w:val="18"/>
          <w:szCs w:val="18"/>
        </w:rPr>
        <w:lastRenderedPageBreak/>
        <w:t xml:space="preserve">We, the undersigned directors (trustees), attest to the correctness of </w:t>
      </w:r>
      <w:r w:rsidRPr="00EB405C">
        <w:rPr>
          <w:rFonts w:ascii="Calibri" w:hAnsi="Calibri" w:cs="Arial"/>
          <w:spacing w:val="-4"/>
          <w:sz w:val="18"/>
          <w:szCs w:val="18"/>
        </w:rPr>
        <w:t>the Quarterly Supplemental Report for this report date and declare that</w:t>
      </w:r>
      <w:r w:rsidRPr="00EB405C">
        <w:rPr>
          <w:rFonts w:ascii="Calibri" w:hAnsi="Calibri" w:cs="Arial"/>
          <w:sz w:val="18"/>
          <w:szCs w:val="18"/>
        </w:rPr>
        <w:t xml:space="preserve"> the Quarterly Supplemental Report has been examined by us</w:t>
      </w:r>
      <w:r w:rsidR="004D7462" w:rsidRPr="00EB405C">
        <w:rPr>
          <w:rFonts w:ascii="Calibri" w:hAnsi="Calibri" w:cs="Arial"/>
          <w:sz w:val="18"/>
          <w:szCs w:val="18"/>
        </w:rPr>
        <w:t>,</w:t>
      </w:r>
      <w:r w:rsidRPr="00EB405C">
        <w:rPr>
          <w:rFonts w:ascii="Calibri" w:hAnsi="Calibri" w:cs="Arial"/>
          <w:sz w:val="18"/>
          <w:szCs w:val="18"/>
        </w:rPr>
        <w:t xml:space="preserve"> and to </w:t>
      </w:r>
      <w:r w:rsidRPr="00EB405C">
        <w:rPr>
          <w:rFonts w:ascii="Calibri" w:hAnsi="Calibri" w:cs="Arial"/>
          <w:spacing w:val="-4"/>
          <w:sz w:val="18"/>
          <w:szCs w:val="18"/>
        </w:rPr>
        <w:t>the best of our knowledge and belief</w:t>
      </w:r>
      <w:r w:rsidR="004D7462" w:rsidRPr="00EB405C">
        <w:rPr>
          <w:rFonts w:ascii="Calibri" w:hAnsi="Calibri" w:cs="Arial"/>
          <w:spacing w:val="-4"/>
          <w:sz w:val="18"/>
          <w:szCs w:val="18"/>
        </w:rPr>
        <w:t>,</w:t>
      </w:r>
      <w:r w:rsidRPr="00EB405C">
        <w:rPr>
          <w:rFonts w:ascii="Calibri" w:hAnsi="Calibri" w:cs="Arial"/>
          <w:spacing w:val="-4"/>
          <w:sz w:val="18"/>
          <w:szCs w:val="18"/>
        </w:rPr>
        <w:t xml:space="preserve"> has been prepared in conformance</w:t>
      </w:r>
      <w:r w:rsidRPr="00EB405C">
        <w:rPr>
          <w:rFonts w:ascii="Calibri" w:hAnsi="Calibri" w:cs="Arial"/>
          <w:sz w:val="18"/>
          <w:szCs w:val="18"/>
        </w:rPr>
        <w:t xml:space="preserve"> with the instructions issued by the Treasury and is true and correct.</w:t>
      </w:r>
    </w:p>
    <w:p w:rsidR="00341998" w:rsidRDefault="00341998" w:rsidP="00C85675">
      <w:pPr>
        <w:pStyle w:val="Default"/>
        <w:tabs>
          <w:tab w:val="right" w:leader="underscore" w:pos="5040"/>
        </w:tabs>
        <w:rPr>
          <w:rFonts w:ascii="Calibri" w:hAnsi="Calibri"/>
          <w:color w:val="211D1E"/>
          <w:sz w:val="18"/>
          <w:szCs w:val="18"/>
          <w:u w:val="single"/>
        </w:rPr>
      </w:pPr>
      <w:r>
        <w:rPr>
          <w:rFonts w:ascii="Calibri" w:hAnsi="Calibri"/>
          <w:color w:val="211D1E"/>
          <w:sz w:val="18"/>
          <w:szCs w:val="18"/>
          <w:u w:val="single"/>
        </w:rPr>
        <w:tab/>
      </w:r>
    </w:p>
    <w:p w:rsidR="00341998" w:rsidRPr="00341998" w:rsidRDefault="00341998" w:rsidP="00956EA1">
      <w:pPr>
        <w:pStyle w:val="Default"/>
        <w:tabs>
          <w:tab w:val="left" w:pos="3960"/>
        </w:tabs>
        <w:rPr>
          <w:rFonts w:ascii="Calibri" w:hAnsi="Calibri"/>
          <w:color w:val="211D1E"/>
          <w:sz w:val="18"/>
          <w:szCs w:val="18"/>
        </w:rPr>
      </w:pPr>
      <w:r w:rsidRPr="00341998">
        <w:rPr>
          <w:rFonts w:ascii="Calibri" w:hAnsi="Calibri"/>
          <w:color w:val="211D1E"/>
          <w:sz w:val="18"/>
          <w:szCs w:val="18"/>
        </w:rPr>
        <w:t>Signature of Director (Trustee)</w:t>
      </w:r>
    </w:p>
    <w:p w:rsidR="00154DCB" w:rsidRDefault="00154DCB" w:rsidP="00896C0F">
      <w:pPr>
        <w:pStyle w:val="Default"/>
        <w:tabs>
          <w:tab w:val="right" w:leader="underscore" w:pos="5040"/>
        </w:tabs>
        <w:spacing w:before="40"/>
        <w:rPr>
          <w:rFonts w:ascii="Calibri" w:hAnsi="Calibri"/>
          <w:color w:val="211D1E"/>
          <w:sz w:val="18"/>
          <w:szCs w:val="18"/>
          <w:u w:val="single"/>
        </w:rPr>
      </w:pPr>
      <w:r>
        <w:rPr>
          <w:rFonts w:ascii="Calibri" w:hAnsi="Calibri"/>
          <w:color w:val="211D1E"/>
          <w:sz w:val="18"/>
          <w:szCs w:val="18"/>
          <w:u w:val="single"/>
        </w:rPr>
        <w:tab/>
      </w:r>
    </w:p>
    <w:p w:rsidR="00154DCB" w:rsidRDefault="00022C18" w:rsidP="00022C18">
      <w:pPr>
        <w:pStyle w:val="Default"/>
        <w:tabs>
          <w:tab w:val="left" w:pos="3960"/>
        </w:tabs>
        <w:rPr>
          <w:rFonts w:ascii="Calibri" w:hAnsi="Calibri"/>
          <w:color w:val="211D1E"/>
          <w:sz w:val="18"/>
          <w:szCs w:val="18"/>
        </w:rPr>
      </w:pPr>
      <w:r>
        <w:rPr>
          <w:rFonts w:ascii="Calibri" w:hAnsi="Calibri"/>
          <w:color w:val="211D1E"/>
          <w:sz w:val="18"/>
          <w:szCs w:val="18"/>
        </w:rPr>
        <w:t>Name</w:t>
      </w:r>
      <w:r>
        <w:rPr>
          <w:rFonts w:ascii="Calibri" w:hAnsi="Calibri"/>
          <w:color w:val="211D1E"/>
          <w:sz w:val="18"/>
          <w:szCs w:val="18"/>
        </w:rPr>
        <w:tab/>
        <w:t>Date</w:t>
      </w:r>
    </w:p>
    <w:p w:rsidR="001A5253" w:rsidRDefault="001A5253" w:rsidP="001A5253">
      <w:pPr>
        <w:pStyle w:val="Default"/>
        <w:tabs>
          <w:tab w:val="right" w:leader="underscore" w:pos="5040"/>
        </w:tabs>
        <w:spacing w:before="120"/>
        <w:rPr>
          <w:rFonts w:ascii="Calibri" w:hAnsi="Calibri"/>
          <w:color w:val="211D1E"/>
          <w:sz w:val="18"/>
          <w:szCs w:val="18"/>
          <w:u w:val="single"/>
        </w:rPr>
      </w:pPr>
      <w:r>
        <w:rPr>
          <w:rFonts w:ascii="Calibri" w:hAnsi="Calibri"/>
          <w:color w:val="211D1E"/>
          <w:sz w:val="18"/>
          <w:szCs w:val="18"/>
          <w:u w:val="single"/>
        </w:rPr>
        <w:tab/>
      </w:r>
    </w:p>
    <w:p w:rsidR="00956EA1" w:rsidRDefault="00956EA1" w:rsidP="00956EA1">
      <w:pPr>
        <w:pStyle w:val="Default"/>
        <w:tabs>
          <w:tab w:val="left" w:pos="3960"/>
        </w:tabs>
        <w:rPr>
          <w:rFonts w:ascii="Calibri" w:hAnsi="Calibri"/>
          <w:color w:val="211D1E"/>
          <w:sz w:val="18"/>
          <w:szCs w:val="18"/>
        </w:rPr>
      </w:pPr>
      <w:r>
        <w:rPr>
          <w:rFonts w:ascii="Calibri" w:hAnsi="Calibri"/>
          <w:color w:val="211D1E"/>
          <w:sz w:val="18"/>
          <w:szCs w:val="18"/>
        </w:rPr>
        <w:t>Signature of Director (Trustee)</w:t>
      </w:r>
    </w:p>
    <w:p w:rsidR="001A5253" w:rsidRDefault="001A5253" w:rsidP="00896C0F">
      <w:pPr>
        <w:pStyle w:val="Default"/>
        <w:tabs>
          <w:tab w:val="right" w:leader="underscore" w:pos="5040"/>
        </w:tabs>
        <w:spacing w:before="40"/>
        <w:rPr>
          <w:rFonts w:ascii="Calibri" w:hAnsi="Calibri"/>
          <w:color w:val="211D1E"/>
          <w:sz w:val="18"/>
          <w:szCs w:val="18"/>
          <w:u w:val="single"/>
        </w:rPr>
      </w:pPr>
      <w:r>
        <w:rPr>
          <w:rFonts w:ascii="Calibri" w:hAnsi="Calibri"/>
          <w:color w:val="211D1E"/>
          <w:sz w:val="18"/>
          <w:szCs w:val="18"/>
          <w:u w:val="single"/>
        </w:rPr>
        <w:tab/>
      </w:r>
    </w:p>
    <w:p w:rsidR="00956EA1" w:rsidRDefault="00022C18" w:rsidP="00022C18">
      <w:pPr>
        <w:pStyle w:val="Default"/>
        <w:tabs>
          <w:tab w:val="left" w:pos="3960"/>
        </w:tabs>
        <w:rPr>
          <w:rFonts w:ascii="Calibri" w:hAnsi="Calibri"/>
          <w:color w:val="211D1E"/>
          <w:sz w:val="18"/>
          <w:szCs w:val="18"/>
        </w:rPr>
      </w:pPr>
      <w:r>
        <w:rPr>
          <w:rFonts w:ascii="Calibri" w:hAnsi="Calibri"/>
          <w:color w:val="211D1E"/>
          <w:sz w:val="18"/>
          <w:szCs w:val="18"/>
        </w:rPr>
        <w:t>Name</w:t>
      </w:r>
      <w:r>
        <w:rPr>
          <w:rFonts w:ascii="Calibri" w:hAnsi="Calibri"/>
          <w:color w:val="211D1E"/>
          <w:sz w:val="18"/>
          <w:szCs w:val="18"/>
        </w:rPr>
        <w:tab/>
        <w:t>Date</w:t>
      </w:r>
    </w:p>
    <w:p w:rsidR="001A5253" w:rsidRDefault="001A5253" w:rsidP="001A5253">
      <w:pPr>
        <w:pStyle w:val="Default"/>
        <w:tabs>
          <w:tab w:val="right" w:leader="underscore" w:pos="5040"/>
        </w:tabs>
        <w:spacing w:before="120"/>
        <w:rPr>
          <w:rFonts w:ascii="Calibri" w:hAnsi="Calibri"/>
          <w:color w:val="211D1E"/>
          <w:sz w:val="18"/>
          <w:szCs w:val="18"/>
          <w:u w:val="single"/>
        </w:rPr>
      </w:pPr>
      <w:r>
        <w:rPr>
          <w:rFonts w:ascii="Calibri" w:hAnsi="Calibri"/>
          <w:color w:val="211D1E"/>
          <w:sz w:val="18"/>
          <w:szCs w:val="18"/>
          <w:u w:val="single"/>
        </w:rPr>
        <w:tab/>
      </w:r>
    </w:p>
    <w:p w:rsidR="00956EA1" w:rsidRDefault="00956EA1" w:rsidP="00956EA1">
      <w:pPr>
        <w:pStyle w:val="Default"/>
        <w:tabs>
          <w:tab w:val="left" w:pos="3960"/>
        </w:tabs>
        <w:rPr>
          <w:rFonts w:ascii="Calibri" w:hAnsi="Calibri"/>
          <w:color w:val="211D1E"/>
          <w:sz w:val="18"/>
          <w:szCs w:val="18"/>
        </w:rPr>
      </w:pPr>
      <w:r>
        <w:rPr>
          <w:rFonts w:ascii="Calibri" w:hAnsi="Calibri"/>
          <w:color w:val="211D1E"/>
          <w:sz w:val="18"/>
          <w:szCs w:val="18"/>
        </w:rPr>
        <w:t>Signature of Director (Trustee)</w:t>
      </w:r>
    </w:p>
    <w:p w:rsidR="001A5253" w:rsidRDefault="001A5253" w:rsidP="00896C0F">
      <w:pPr>
        <w:pStyle w:val="Default"/>
        <w:tabs>
          <w:tab w:val="right" w:leader="underscore" w:pos="5040"/>
        </w:tabs>
        <w:spacing w:before="40"/>
        <w:rPr>
          <w:rFonts w:ascii="Calibri" w:hAnsi="Calibri"/>
          <w:color w:val="211D1E"/>
          <w:sz w:val="18"/>
          <w:szCs w:val="18"/>
          <w:u w:val="single"/>
        </w:rPr>
      </w:pPr>
      <w:r>
        <w:rPr>
          <w:rFonts w:ascii="Calibri" w:hAnsi="Calibri"/>
          <w:color w:val="211D1E"/>
          <w:sz w:val="18"/>
          <w:szCs w:val="18"/>
          <w:u w:val="single"/>
        </w:rPr>
        <w:tab/>
      </w:r>
    </w:p>
    <w:p w:rsidR="009D39BA" w:rsidRPr="00022C18" w:rsidRDefault="00956EA1" w:rsidP="00022C18">
      <w:pPr>
        <w:pStyle w:val="Default"/>
        <w:tabs>
          <w:tab w:val="left" w:pos="3960"/>
        </w:tabs>
        <w:rPr>
          <w:rFonts w:ascii="Calibri" w:hAnsi="Calibri"/>
          <w:color w:val="211D1E"/>
          <w:sz w:val="18"/>
          <w:szCs w:val="18"/>
          <w:u w:val="single"/>
        </w:rPr>
        <w:sectPr w:rsidR="009D39BA" w:rsidRPr="00022C18" w:rsidSect="00154DCB">
          <w:type w:val="continuous"/>
          <w:pgSz w:w="12240" w:h="15840" w:code="1"/>
          <w:pgMar w:top="720" w:right="720" w:bottom="720" w:left="720" w:header="720" w:footer="720" w:gutter="0"/>
          <w:cols w:num="2" w:space="360"/>
          <w:docGrid w:linePitch="360"/>
        </w:sectPr>
      </w:pPr>
      <w:r>
        <w:rPr>
          <w:rFonts w:ascii="Calibri" w:hAnsi="Calibri"/>
          <w:color w:val="211D1E"/>
          <w:sz w:val="18"/>
          <w:szCs w:val="18"/>
        </w:rPr>
        <w:t>Name</w:t>
      </w:r>
      <w:r w:rsidR="00022C18">
        <w:rPr>
          <w:rFonts w:ascii="Calibri" w:hAnsi="Calibri"/>
          <w:color w:val="211D1E"/>
          <w:sz w:val="18"/>
          <w:szCs w:val="18"/>
        </w:rPr>
        <w:tab/>
        <w:t>Date</w:t>
      </w:r>
    </w:p>
    <w:p w:rsidR="005471F7" w:rsidRPr="00B36304" w:rsidRDefault="005471F7" w:rsidP="005471F7">
      <w:pPr>
        <w:pBdr>
          <w:bottom w:val="single" w:sz="4" w:space="1" w:color="auto"/>
        </w:pBdr>
        <w:spacing w:before="120" w:after="0" w:line="240" w:lineRule="auto"/>
        <w:rPr>
          <w:rFonts w:ascii="Calibri" w:hAnsi="Calibri"/>
          <w:b/>
          <w:sz w:val="16"/>
          <w:szCs w:val="16"/>
        </w:rPr>
      </w:pPr>
    </w:p>
    <w:p w:rsidR="005471F7" w:rsidRPr="00A00250" w:rsidRDefault="005471F7" w:rsidP="009D39BA">
      <w:pPr>
        <w:spacing w:before="120" w:after="120" w:line="240" w:lineRule="auto"/>
        <w:rPr>
          <w:rFonts w:ascii="Calibri" w:hAnsi="Calibri"/>
          <w:sz w:val="18"/>
          <w:szCs w:val="18"/>
        </w:rPr>
      </w:pPr>
      <w:r w:rsidRPr="00A00250">
        <w:rPr>
          <w:rFonts w:ascii="Calibri" w:hAnsi="Calibri"/>
          <w:b/>
          <w:sz w:val="18"/>
          <w:szCs w:val="18"/>
        </w:rPr>
        <w:t>Submission of Report:</w:t>
      </w:r>
      <w:r w:rsidRPr="00A00250">
        <w:rPr>
          <w:rFonts w:ascii="Calibri" w:hAnsi="Calibri"/>
          <w:sz w:val="18"/>
          <w:szCs w:val="18"/>
        </w:rPr>
        <w:t xml:space="preserve">  Please refer to Instructions for </w:t>
      </w:r>
      <w:r w:rsidR="00197C68">
        <w:rPr>
          <w:rFonts w:ascii="Calibri" w:hAnsi="Calibri"/>
          <w:sz w:val="18"/>
          <w:szCs w:val="18"/>
        </w:rPr>
        <w:t>Quarterly</w:t>
      </w:r>
      <w:r w:rsidRPr="00A00250">
        <w:rPr>
          <w:rFonts w:ascii="Calibri" w:hAnsi="Calibri"/>
          <w:sz w:val="18"/>
          <w:szCs w:val="18"/>
        </w:rPr>
        <w:t xml:space="preserve"> Supplemental Report document for submission information.</w:t>
      </w:r>
    </w:p>
    <w:p w:rsidR="009D39BA" w:rsidRDefault="009D39BA" w:rsidP="005471F7">
      <w:pPr>
        <w:pBdr>
          <w:bottom w:val="single" w:sz="4" w:space="1" w:color="auto"/>
        </w:pBdr>
        <w:spacing w:after="0" w:line="240" w:lineRule="auto"/>
        <w:rPr>
          <w:rFonts w:ascii="Calibri" w:hAnsi="Calibri"/>
          <w:sz w:val="20"/>
          <w:szCs w:val="20"/>
        </w:rPr>
        <w:sectPr w:rsidR="009D39BA" w:rsidSect="00341998">
          <w:type w:val="continuous"/>
          <w:pgSz w:w="12240" w:h="15840"/>
          <w:pgMar w:top="720" w:right="720" w:bottom="720" w:left="720" w:header="720" w:footer="720" w:gutter="0"/>
          <w:cols w:space="720"/>
          <w:docGrid w:linePitch="360"/>
        </w:sectPr>
      </w:pPr>
    </w:p>
    <w:p w:rsidR="009D39BA" w:rsidRPr="00EB4303" w:rsidRDefault="009D39BA" w:rsidP="009D39BA">
      <w:pPr>
        <w:pStyle w:val="PlainText"/>
        <w:pBdr>
          <w:top w:val="single" w:sz="4" w:space="1" w:color="auto"/>
        </w:pBdr>
        <w:rPr>
          <w:rFonts w:asciiTheme="minorHAnsi" w:hAnsiTheme="minorHAnsi" w:cs="Arial"/>
          <w:b/>
          <w:sz w:val="12"/>
          <w:szCs w:val="12"/>
        </w:rPr>
      </w:pPr>
    </w:p>
    <w:p w:rsidR="00E276AF" w:rsidRDefault="00E276AF" w:rsidP="00933ADD">
      <w:pPr>
        <w:pStyle w:val="PlainText"/>
        <w:rPr>
          <w:rFonts w:asciiTheme="minorHAnsi" w:hAnsiTheme="minorHAnsi" w:cs="Arial"/>
          <w:b/>
          <w:sz w:val="18"/>
          <w:szCs w:val="18"/>
        </w:rPr>
        <w:sectPr w:rsidR="00E276AF" w:rsidSect="009D39BA">
          <w:type w:val="continuous"/>
          <w:pgSz w:w="12240" w:h="15840" w:code="1"/>
          <w:pgMar w:top="720" w:right="720" w:bottom="720" w:left="720" w:header="720" w:footer="720" w:gutter="0"/>
          <w:cols w:space="360"/>
          <w:docGrid w:linePitch="360"/>
        </w:sectPr>
      </w:pPr>
    </w:p>
    <w:p w:rsidR="00933ADD" w:rsidRPr="008B7E47" w:rsidRDefault="00933ADD" w:rsidP="00933ADD">
      <w:pPr>
        <w:pStyle w:val="PlainText"/>
        <w:rPr>
          <w:rFonts w:asciiTheme="minorHAnsi" w:hAnsiTheme="minorHAnsi" w:cs="Arial"/>
          <w:b/>
          <w:sz w:val="18"/>
          <w:szCs w:val="18"/>
        </w:rPr>
      </w:pPr>
      <w:r w:rsidRPr="008B7E47">
        <w:rPr>
          <w:rFonts w:asciiTheme="minorHAnsi" w:hAnsiTheme="minorHAnsi" w:cs="Arial"/>
          <w:b/>
          <w:sz w:val="18"/>
          <w:szCs w:val="18"/>
        </w:rPr>
        <w:lastRenderedPageBreak/>
        <w:t>Freedom of Information Act</w:t>
      </w:r>
    </w:p>
    <w:p w:rsidR="00933ADD" w:rsidRPr="008B7E47" w:rsidRDefault="00933ADD" w:rsidP="00933ADD">
      <w:pPr>
        <w:pStyle w:val="PlainText"/>
        <w:rPr>
          <w:rFonts w:asciiTheme="minorHAnsi" w:hAnsiTheme="minorHAnsi" w:cs="Arial"/>
          <w:sz w:val="18"/>
          <w:szCs w:val="18"/>
        </w:rPr>
      </w:pPr>
      <w:r w:rsidRPr="008B7E47">
        <w:rPr>
          <w:rFonts w:asciiTheme="minorHAnsi" w:hAnsiTheme="minorHAnsi" w:cs="Arial"/>
          <w:sz w:val="18"/>
          <w:szCs w:val="18"/>
        </w:rPr>
        <w:t>Please note that any information submitted by applicants may become subject to public disclosure pursuant to the terms of the Freedom of Information Act, 5 U.S.C. 552 (FOIA) and its exemptions.  Nevertheless, Treasury’s FOIA reg</w:t>
      </w:r>
      <w:r>
        <w:rPr>
          <w:rFonts w:asciiTheme="minorHAnsi" w:hAnsiTheme="minorHAnsi" w:cs="Arial"/>
          <w:sz w:val="18"/>
          <w:szCs w:val="18"/>
        </w:rPr>
        <w:t>ulation, 31 C.F.R. 1.1 et seq.,</w:t>
      </w:r>
      <w:r w:rsidRPr="008B7E47">
        <w:rPr>
          <w:rFonts w:asciiTheme="minorHAnsi" w:hAnsiTheme="minorHAnsi" w:cs="Arial"/>
          <w:sz w:val="18"/>
          <w:szCs w:val="18"/>
        </w:rPr>
        <w:t xml:space="preserve"> provides that, in certain cases, businesses that submit information to Treasury shall receive notice of a pending FOIA request for that information</w:t>
      </w:r>
      <w:r w:rsidR="008F400D">
        <w:rPr>
          <w:rFonts w:asciiTheme="minorHAnsi" w:hAnsiTheme="minorHAnsi" w:cs="Arial"/>
          <w:sz w:val="18"/>
          <w:szCs w:val="18"/>
        </w:rPr>
        <w:t>,</w:t>
      </w:r>
      <w:r w:rsidRPr="008B7E47">
        <w:rPr>
          <w:rFonts w:asciiTheme="minorHAnsi" w:hAnsiTheme="minorHAnsi" w:cs="Arial"/>
          <w:sz w:val="18"/>
          <w:szCs w:val="18"/>
        </w:rPr>
        <w:t xml:space="preserve"> as well as an opportunity to object to the disclosure of any or all of that information on the grounds that the information qualifies for withholding under FOIA Exemption 4.  See </w:t>
      </w:r>
      <w:proofErr w:type="gramStart"/>
      <w:r w:rsidRPr="008B7E47">
        <w:rPr>
          <w:rFonts w:asciiTheme="minorHAnsi" w:hAnsiTheme="minorHAnsi" w:cs="Arial"/>
          <w:sz w:val="18"/>
          <w:szCs w:val="18"/>
        </w:rPr>
        <w:t>31 C.F.R. 1.6</w:t>
      </w:r>
      <w:proofErr w:type="gramEnd"/>
      <w:r w:rsidRPr="008B7E47">
        <w:rPr>
          <w:rFonts w:asciiTheme="minorHAnsi" w:hAnsiTheme="minorHAnsi" w:cs="Arial"/>
          <w:sz w:val="18"/>
          <w:szCs w:val="18"/>
        </w:rPr>
        <w:t xml:space="preserve">.  </w:t>
      </w:r>
    </w:p>
    <w:p w:rsidR="00933ADD" w:rsidRDefault="00933ADD" w:rsidP="00933ADD">
      <w:pPr>
        <w:pStyle w:val="PlainText"/>
        <w:rPr>
          <w:rFonts w:asciiTheme="minorHAnsi" w:hAnsiTheme="minorHAnsi" w:cs="Arial"/>
          <w:sz w:val="18"/>
          <w:szCs w:val="18"/>
        </w:rPr>
      </w:pPr>
    </w:p>
    <w:p w:rsidR="00933ADD" w:rsidRPr="008B7E47" w:rsidRDefault="00933ADD" w:rsidP="00933ADD">
      <w:pPr>
        <w:pStyle w:val="PlainText"/>
        <w:rPr>
          <w:rFonts w:asciiTheme="minorHAnsi" w:hAnsiTheme="minorHAnsi" w:cs="Arial"/>
          <w:sz w:val="18"/>
          <w:szCs w:val="18"/>
        </w:rPr>
      </w:pPr>
      <w:r w:rsidRPr="008B7E47">
        <w:rPr>
          <w:rFonts w:asciiTheme="minorHAnsi" w:hAnsiTheme="minorHAnsi" w:cs="Arial"/>
          <w:sz w:val="18"/>
          <w:szCs w:val="18"/>
        </w:rPr>
        <w:lastRenderedPageBreak/>
        <w:t>To facilitate this business submitter notification process, Treasury encourages applicants to designate any such information that they believe, in good faith, is subject to FOIA Exemption 4.  Such designations will help Treasury to recognize instances in which business submitter notification may be appropriate.  Treasury reserves sole discretion to determine whether such designated information indeed qualifies for business submitter notification and</w:t>
      </w:r>
      <w:r w:rsidR="008F400D">
        <w:rPr>
          <w:rFonts w:asciiTheme="minorHAnsi" w:hAnsiTheme="minorHAnsi" w:cs="Arial"/>
          <w:sz w:val="18"/>
          <w:szCs w:val="18"/>
        </w:rPr>
        <w:t>,</w:t>
      </w:r>
      <w:r w:rsidRPr="008B7E47">
        <w:rPr>
          <w:rFonts w:asciiTheme="minorHAnsi" w:hAnsiTheme="minorHAnsi" w:cs="Arial"/>
          <w:sz w:val="18"/>
          <w:szCs w:val="18"/>
        </w:rPr>
        <w:t xml:space="preserve"> ultimately, whether it qualifies for withholding pursuant to FOIA Exemption 4.  </w:t>
      </w:r>
    </w:p>
    <w:p w:rsidR="00933ADD" w:rsidRPr="008B7E47" w:rsidRDefault="00933ADD" w:rsidP="00933ADD">
      <w:pPr>
        <w:pStyle w:val="PlainText"/>
        <w:rPr>
          <w:rFonts w:asciiTheme="minorHAnsi" w:hAnsiTheme="minorHAnsi" w:cs="Arial"/>
          <w:sz w:val="18"/>
          <w:szCs w:val="18"/>
        </w:rPr>
      </w:pPr>
    </w:p>
    <w:p w:rsidR="00E276AF" w:rsidRDefault="00933ADD" w:rsidP="002E4246">
      <w:pPr>
        <w:pStyle w:val="PlainText"/>
        <w:rPr>
          <w:rFonts w:asciiTheme="minorHAnsi" w:hAnsiTheme="minorHAnsi" w:cs="Arial"/>
          <w:sz w:val="18"/>
          <w:szCs w:val="18"/>
        </w:rPr>
        <w:sectPr w:rsidR="00E276AF" w:rsidSect="00E276AF">
          <w:type w:val="continuous"/>
          <w:pgSz w:w="12240" w:h="15840" w:code="1"/>
          <w:pgMar w:top="720" w:right="720" w:bottom="720" w:left="720" w:header="720" w:footer="720" w:gutter="0"/>
          <w:cols w:num="2" w:space="360"/>
          <w:docGrid w:linePitch="360"/>
        </w:sectPr>
      </w:pPr>
      <w:r w:rsidRPr="008B7E47">
        <w:rPr>
          <w:rFonts w:asciiTheme="minorHAnsi" w:hAnsiTheme="minorHAnsi" w:cs="Arial"/>
          <w:sz w:val="18"/>
          <w:szCs w:val="18"/>
        </w:rPr>
        <w:t>If you wish to identify any information on this form that you believe is subject to FOIA Exemption 4, please identify that information and the reasons for your request on attached pages.</w:t>
      </w:r>
    </w:p>
    <w:p w:rsidR="009D39BA" w:rsidRPr="00EB4303" w:rsidRDefault="009D39BA" w:rsidP="002E4246">
      <w:pPr>
        <w:pStyle w:val="PlainText"/>
        <w:pBdr>
          <w:bottom w:val="single" w:sz="4" w:space="0" w:color="auto"/>
        </w:pBdr>
        <w:rPr>
          <w:rFonts w:asciiTheme="minorHAnsi" w:hAnsiTheme="minorHAnsi" w:cs="Arial"/>
          <w:sz w:val="12"/>
          <w:szCs w:val="12"/>
        </w:rPr>
      </w:pPr>
    </w:p>
    <w:p w:rsidR="009D39BA" w:rsidRDefault="009D39BA" w:rsidP="00933ADD">
      <w:pPr>
        <w:pStyle w:val="PlainText"/>
        <w:rPr>
          <w:rFonts w:asciiTheme="minorHAnsi" w:hAnsiTheme="minorHAnsi" w:cs="Arial"/>
          <w:sz w:val="18"/>
          <w:szCs w:val="18"/>
        </w:rPr>
        <w:sectPr w:rsidR="009D39BA" w:rsidSect="009D39BA">
          <w:type w:val="continuous"/>
          <w:pgSz w:w="12240" w:h="15840" w:code="1"/>
          <w:pgMar w:top="720" w:right="720" w:bottom="720" w:left="720" w:header="720" w:footer="720" w:gutter="0"/>
          <w:cols w:space="360"/>
          <w:docGrid w:linePitch="360"/>
        </w:sectPr>
      </w:pPr>
    </w:p>
    <w:p w:rsidR="009D39BA" w:rsidRPr="00362630" w:rsidRDefault="009D39BA" w:rsidP="002E4246">
      <w:pPr>
        <w:spacing w:before="120" w:after="0" w:line="240" w:lineRule="auto"/>
        <w:rPr>
          <w:b/>
          <w:sz w:val="18"/>
          <w:szCs w:val="18"/>
        </w:rPr>
      </w:pPr>
      <w:r w:rsidRPr="004D7462">
        <w:rPr>
          <w:b/>
          <w:sz w:val="18"/>
          <w:szCs w:val="18"/>
        </w:rPr>
        <w:lastRenderedPageBreak/>
        <w:t>Wire Information SBLF Institutions Should Use to Make Dividend or Interest Payments to Treasury:</w:t>
      </w:r>
    </w:p>
    <w:p w:rsidR="009D39BA" w:rsidRDefault="009D39BA" w:rsidP="009D39BA">
      <w:pPr>
        <w:tabs>
          <w:tab w:val="left" w:pos="1800"/>
        </w:tabs>
        <w:spacing w:after="0" w:line="240" w:lineRule="auto"/>
        <w:rPr>
          <w:sz w:val="18"/>
          <w:szCs w:val="18"/>
        </w:rPr>
      </w:pPr>
      <w:r>
        <w:rPr>
          <w:sz w:val="18"/>
          <w:szCs w:val="18"/>
        </w:rPr>
        <w:t>Bank Name:</w:t>
      </w:r>
      <w:r>
        <w:rPr>
          <w:sz w:val="18"/>
          <w:szCs w:val="18"/>
        </w:rPr>
        <w:tab/>
        <w:t>The Bank of New York Mellon</w:t>
      </w:r>
    </w:p>
    <w:p w:rsidR="009D39BA" w:rsidRDefault="009D39BA" w:rsidP="009D39BA">
      <w:pPr>
        <w:tabs>
          <w:tab w:val="left" w:pos="1800"/>
        </w:tabs>
        <w:spacing w:after="0" w:line="240" w:lineRule="auto"/>
        <w:rPr>
          <w:sz w:val="18"/>
          <w:szCs w:val="18"/>
        </w:rPr>
      </w:pPr>
      <w:r>
        <w:rPr>
          <w:sz w:val="18"/>
          <w:szCs w:val="18"/>
        </w:rPr>
        <w:t>ABA (Routing) Number:</w:t>
      </w:r>
      <w:r>
        <w:rPr>
          <w:sz w:val="18"/>
          <w:szCs w:val="18"/>
        </w:rPr>
        <w:tab/>
      </w:r>
      <w:r w:rsidRPr="008B7E47">
        <w:rPr>
          <w:sz w:val="18"/>
          <w:szCs w:val="18"/>
        </w:rPr>
        <w:t>021000018</w:t>
      </w:r>
    </w:p>
    <w:p w:rsidR="009D39BA" w:rsidRPr="008B7E47" w:rsidRDefault="009D39BA" w:rsidP="009D39BA">
      <w:pPr>
        <w:tabs>
          <w:tab w:val="left" w:pos="1800"/>
        </w:tabs>
        <w:spacing w:after="0" w:line="240" w:lineRule="auto"/>
        <w:rPr>
          <w:sz w:val="18"/>
          <w:szCs w:val="18"/>
        </w:rPr>
      </w:pPr>
      <w:r w:rsidRPr="008B7E47">
        <w:rPr>
          <w:sz w:val="18"/>
          <w:szCs w:val="18"/>
        </w:rPr>
        <w:t>BNF Acct Name:</w:t>
      </w:r>
      <w:r>
        <w:rPr>
          <w:sz w:val="18"/>
          <w:szCs w:val="18"/>
        </w:rPr>
        <w:tab/>
      </w:r>
      <w:r w:rsidRPr="008B7E47">
        <w:rPr>
          <w:sz w:val="18"/>
          <w:szCs w:val="18"/>
        </w:rPr>
        <w:t xml:space="preserve">Income Collection </w:t>
      </w:r>
    </w:p>
    <w:p w:rsidR="009D39BA" w:rsidRPr="008B7E47" w:rsidRDefault="009D39BA" w:rsidP="009D39BA">
      <w:pPr>
        <w:tabs>
          <w:tab w:val="left" w:pos="1800"/>
        </w:tabs>
        <w:spacing w:after="0" w:line="240" w:lineRule="auto"/>
        <w:rPr>
          <w:sz w:val="18"/>
          <w:szCs w:val="18"/>
        </w:rPr>
      </w:pPr>
      <w:r w:rsidRPr="008B7E47">
        <w:rPr>
          <w:sz w:val="18"/>
          <w:szCs w:val="18"/>
        </w:rPr>
        <w:t>BNF Acct Number:</w:t>
      </w:r>
      <w:r>
        <w:rPr>
          <w:sz w:val="18"/>
          <w:szCs w:val="18"/>
        </w:rPr>
        <w:tab/>
      </w:r>
      <w:r w:rsidRPr="008B7E47">
        <w:rPr>
          <w:sz w:val="18"/>
          <w:szCs w:val="18"/>
        </w:rPr>
        <w:t>111566</w:t>
      </w:r>
    </w:p>
    <w:p w:rsidR="009D39BA" w:rsidRPr="008B7E47" w:rsidRDefault="009D39BA" w:rsidP="009D39BA">
      <w:pPr>
        <w:tabs>
          <w:tab w:val="left" w:pos="1800"/>
        </w:tabs>
        <w:spacing w:after="0" w:line="240" w:lineRule="auto"/>
        <w:rPr>
          <w:sz w:val="18"/>
          <w:szCs w:val="18"/>
        </w:rPr>
      </w:pPr>
      <w:r w:rsidRPr="008B7E47">
        <w:rPr>
          <w:sz w:val="18"/>
          <w:szCs w:val="18"/>
        </w:rPr>
        <w:t>REF:</w:t>
      </w:r>
      <w:r>
        <w:rPr>
          <w:sz w:val="18"/>
          <w:szCs w:val="18"/>
        </w:rPr>
        <w:tab/>
      </w:r>
      <w:r w:rsidRPr="008B7E47">
        <w:rPr>
          <w:sz w:val="18"/>
          <w:szCs w:val="18"/>
        </w:rPr>
        <w:t>Private Placements – SBJA</w:t>
      </w:r>
    </w:p>
    <w:p w:rsidR="009D39BA" w:rsidRDefault="009D39BA" w:rsidP="009D39BA">
      <w:pPr>
        <w:tabs>
          <w:tab w:val="left" w:pos="1800"/>
        </w:tabs>
        <w:spacing w:after="0" w:line="240" w:lineRule="auto"/>
        <w:rPr>
          <w:sz w:val="18"/>
          <w:szCs w:val="18"/>
        </w:rPr>
      </w:pPr>
      <w:r>
        <w:rPr>
          <w:sz w:val="18"/>
          <w:szCs w:val="18"/>
        </w:rPr>
        <w:tab/>
      </w:r>
      <w:r w:rsidRPr="008B7E47">
        <w:rPr>
          <w:sz w:val="18"/>
          <w:szCs w:val="18"/>
        </w:rPr>
        <w:t>Security Name &amp; C</w:t>
      </w:r>
      <w:r w:rsidR="00B16BE7">
        <w:rPr>
          <w:sz w:val="18"/>
          <w:szCs w:val="18"/>
        </w:rPr>
        <w:t>USIP</w:t>
      </w:r>
    </w:p>
    <w:p w:rsidR="009D39BA" w:rsidRDefault="009D39BA" w:rsidP="00933ADD">
      <w:pPr>
        <w:spacing w:after="0" w:line="240" w:lineRule="auto"/>
        <w:rPr>
          <w:b/>
          <w:sz w:val="18"/>
          <w:szCs w:val="18"/>
        </w:rPr>
        <w:sectPr w:rsidR="009D39BA" w:rsidSect="009D39BA">
          <w:type w:val="continuous"/>
          <w:pgSz w:w="12240" w:h="15840" w:code="1"/>
          <w:pgMar w:top="720" w:right="720" w:bottom="720" w:left="720" w:header="720" w:footer="720" w:gutter="0"/>
          <w:cols w:space="360"/>
          <w:docGrid w:linePitch="360"/>
        </w:sectPr>
      </w:pPr>
    </w:p>
    <w:p w:rsidR="00124866" w:rsidRPr="00124866" w:rsidRDefault="004144E6" w:rsidP="002C0D40">
      <w:pPr>
        <w:pStyle w:val="Default"/>
        <w:rPr>
          <w:rFonts w:ascii="Calibri" w:hAnsi="Calibri"/>
          <w:b/>
          <w:sz w:val="52"/>
          <w:szCs w:val="52"/>
        </w:rPr>
      </w:pPr>
      <w:r w:rsidRPr="004144E6">
        <w:rPr>
          <w:rFonts w:ascii="Calibri" w:hAnsi="Calibri"/>
          <w:b/>
          <w:sz w:val="52"/>
          <w:szCs w:val="52"/>
        </w:rPr>
        <w:lastRenderedPageBreak/>
        <w:t>Quarterly</w:t>
      </w:r>
      <w:r w:rsidR="003A66F6">
        <w:rPr>
          <w:rFonts w:ascii="Calibri" w:hAnsi="Calibri"/>
          <w:color w:val="211D1E"/>
          <w:spacing w:val="-4"/>
          <w:sz w:val="20"/>
          <w:szCs w:val="20"/>
        </w:rPr>
        <w:t xml:space="preserve"> </w:t>
      </w:r>
      <w:r w:rsidR="002C0D40" w:rsidRPr="00124866">
        <w:rPr>
          <w:rFonts w:ascii="Calibri" w:hAnsi="Calibri"/>
          <w:b/>
          <w:sz w:val="52"/>
          <w:szCs w:val="52"/>
        </w:rPr>
        <w:t>Supplemental Report</w:t>
      </w:r>
    </w:p>
    <w:p w:rsidR="002C0D40" w:rsidRPr="00124866" w:rsidRDefault="002C0D40" w:rsidP="002C0D40">
      <w:pPr>
        <w:pStyle w:val="Default"/>
        <w:rPr>
          <w:rFonts w:ascii="Calibri" w:hAnsi="Calibri"/>
          <w:color w:val="211D1E"/>
          <w:sz w:val="36"/>
          <w:szCs w:val="36"/>
        </w:rPr>
      </w:pPr>
      <w:proofErr w:type="gramStart"/>
      <w:r w:rsidRPr="00124866">
        <w:rPr>
          <w:rFonts w:ascii="Calibri" w:hAnsi="Calibri"/>
          <w:color w:val="211D1E"/>
          <w:sz w:val="28"/>
          <w:szCs w:val="28"/>
        </w:rPr>
        <w:t>for</w:t>
      </w:r>
      <w:proofErr w:type="gramEnd"/>
      <w:r w:rsidRPr="00124866">
        <w:rPr>
          <w:rFonts w:ascii="Calibri" w:hAnsi="Calibri"/>
          <w:color w:val="211D1E"/>
          <w:sz w:val="28"/>
          <w:szCs w:val="28"/>
        </w:rPr>
        <w:t xml:space="preserve"> </w:t>
      </w:r>
      <w:r w:rsidR="00827C3F">
        <w:rPr>
          <w:rFonts w:ascii="Calibri" w:hAnsi="Calibri"/>
          <w:color w:val="211D1E"/>
          <w:sz w:val="28"/>
          <w:szCs w:val="28"/>
        </w:rPr>
        <w:t>Banks and Savings Associations</w:t>
      </w:r>
      <w:r w:rsidR="007B2EC8">
        <w:rPr>
          <w:rFonts w:ascii="Calibri" w:hAnsi="Calibri"/>
          <w:color w:val="211D1E"/>
          <w:sz w:val="28"/>
          <w:szCs w:val="28"/>
        </w:rPr>
        <w:t xml:space="preserve"> </w:t>
      </w:r>
      <w:r w:rsidR="003535F8">
        <w:rPr>
          <w:rFonts w:ascii="Calibri" w:hAnsi="Calibri"/>
          <w:color w:val="211D1E"/>
          <w:sz w:val="28"/>
          <w:szCs w:val="28"/>
        </w:rPr>
        <w:t>Participating in</w:t>
      </w:r>
      <w:r w:rsidRPr="00124866">
        <w:rPr>
          <w:rFonts w:ascii="Calibri" w:hAnsi="Calibri"/>
          <w:color w:val="211D1E"/>
          <w:sz w:val="28"/>
          <w:szCs w:val="28"/>
        </w:rPr>
        <w:t xml:space="preserve"> the Small Business </w:t>
      </w:r>
      <w:r w:rsidR="00A67D33">
        <w:rPr>
          <w:rFonts w:ascii="Calibri" w:hAnsi="Calibri"/>
          <w:color w:val="211D1E"/>
          <w:sz w:val="28"/>
          <w:szCs w:val="28"/>
        </w:rPr>
        <w:t xml:space="preserve">Lending </w:t>
      </w:r>
      <w:r w:rsidRPr="00124866">
        <w:rPr>
          <w:rFonts w:ascii="Calibri" w:hAnsi="Calibri"/>
          <w:color w:val="211D1E"/>
          <w:sz w:val="28"/>
          <w:szCs w:val="28"/>
        </w:rPr>
        <w:t>Fund</w:t>
      </w:r>
    </w:p>
    <w:p w:rsidR="002C0D40" w:rsidRDefault="002C0D40" w:rsidP="009A37F3">
      <w:pPr>
        <w:rPr>
          <w:rFonts w:ascii="Calibri" w:hAnsi="Calibri" w:cs="Arial"/>
          <w:b/>
          <w:sz w:val="36"/>
          <w:szCs w:val="36"/>
        </w:rPr>
      </w:pPr>
    </w:p>
    <w:p w:rsidR="002C0D40" w:rsidRPr="00124866" w:rsidRDefault="002C0D40" w:rsidP="009A37F3">
      <w:pPr>
        <w:rPr>
          <w:rFonts w:ascii="Calibri" w:hAnsi="Calibri" w:cs="Arial"/>
          <w:b/>
          <w:sz w:val="28"/>
          <w:szCs w:val="28"/>
        </w:rPr>
      </w:pPr>
      <w:r w:rsidRPr="00124866">
        <w:rPr>
          <w:rFonts w:ascii="Calibri" w:hAnsi="Calibri" w:cs="Arial"/>
          <w:b/>
          <w:sz w:val="28"/>
          <w:szCs w:val="28"/>
        </w:rPr>
        <w:t>Table of Contents</w:t>
      </w:r>
    </w:p>
    <w:p w:rsidR="008170B8" w:rsidRPr="00C65748" w:rsidRDefault="0090224E" w:rsidP="008170B8">
      <w:pPr>
        <w:spacing w:after="120" w:line="240" w:lineRule="auto"/>
        <w:rPr>
          <w:rFonts w:ascii="Calibri" w:hAnsi="Calibri" w:cs="Arial"/>
          <w:b/>
          <w:sz w:val="24"/>
          <w:szCs w:val="24"/>
        </w:rPr>
      </w:pPr>
      <w:hyperlink w:anchor="QuarterEndAdjBaseline" w:history="1">
        <w:r w:rsidR="008170B8" w:rsidRPr="008170B8">
          <w:rPr>
            <w:rStyle w:val="Hyperlink"/>
            <w:rFonts w:ascii="Calibri" w:hAnsi="Calibri" w:cs="Arial"/>
            <w:b/>
            <w:sz w:val="24"/>
            <w:szCs w:val="24"/>
          </w:rPr>
          <w:t>Quarter-End Adjusted Baseline Calculation</w:t>
        </w:r>
      </w:hyperlink>
    </w:p>
    <w:p w:rsidR="003535F8" w:rsidRPr="00C65748" w:rsidRDefault="0090224E" w:rsidP="00AA6B67">
      <w:pPr>
        <w:spacing w:after="120" w:line="240" w:lineRule="auto"/>
        <w:rPr>
          <w:rFonts w:ascii="Calibri" w:hAnsi="Calibri" w:cs="Arial"/>
          <w:b/>
          <w:sz w:val="24"/>
          <w:szCs w:val="24"/>
        </w:rPr>
      </w:pPr>
      <w:hyperlink w:anchor="QuarterEndQualifiedSmallBus" w:history="1">
        <w:r w:rsidR="003535F8" w:rsidRPr="008170B8">
          <w:rPr>
            <w:rStyle w:val="Hyperlink"/>
            <w:rFonts w:ascii="Calibri" w:hAnsi="Calibri" w:cs="Arial"/>
            <w:b/>
            <w:sz w:val="24"/>
            <w:szCs w:val="24"/>
          </w:rPr>
          <w:t>Quarter</w:t>
        </w:r>
        <w:r w:rsidR="00313753" w:rsidRPr="008170B8">
          <w:rPr>
            <w:rStyle w:val="Hyperlink"/>
            <w:rFonts w:ascii="Calibri" w:hAnsi="Calibri" w:cs="Arial"/>
            <w:b/>
            <w:sz w:val="24"/>
            <w:szCs w:val="24"/>
          </w:rPr>
          <w:t>-End</w:t>
        </w:r>
        <w:r w:rsidR="003535F8" w:rsidRPr="008170B8">
          <w:rPr>
            <w:rStyle w:val="Hyperlink"/>
            <w:rFonts w:ascii="Calibri" w:hAnsi="Calibri" w:cs="Arial"/>
            <w:b/>
            <w:sz w:val="24"/>
            <w:szCs w:val="24"/>
          </w:rPr>
          <w:t xml:space="preserve"> Qualified Small Business Lending</w:t>
        </w:r>
      </w:hyperlink>
    </w:p>
    <w:p w:rsidR="002C0D40" w:rsidRPr="00C65748" w:rsidRDefault="0090224E" w:rsidP="00AA6B67">
      <w:pPr>
        <w:spacing w:after="0" w:line="240" w:lineRule="auto"/>
        <w:rPr>
          <w:rFonts w:ascii="Calibri" w:hAnsi="Calibri" w:cs="Arial"/>
          <w:b/>
          <w:sz w:val="24"/>
          <w:szCs w:val="24"/>
        </w:rPr>
      </w:pPr>
      <w:hyperlink w:anchor="DividendOrInterestRateCalc" w:history="1">
        <w:r w:rsidR="003535F8" w:rsidRPr="005546CC">
          <w:rPr>
            <w:rStyle w:val="Hyperlink"/>
            <w:rFonts w:ascii="Calibri" w:hAnsi="Calibri" w:cs="Arial"/>
            <w:b/>
            <w:sz w:val="24"/>
            <w:szCs w:val="24"/>
          </w:rPr>
          <w:t xml:space="preserve">Dividend </w:t>
        </w:r>
        <w:r w:rsidR="005546CC" w:rsidRPr="005546CC">
          <w:rPr>
            <w:rStyle w:val="Hyperlink"/>
            <w:rFonts w:ascii="Calibri" w:hAnsi="Calibri" w:cs="Arial"/>
            <w:b/>
            <w:sz w:val="24"/>
            <w:szCs w:val="24"/>
          </w:rPr>
          <w:t xml:space="preserve">or Interest </w:t>
        </w:r>
        <w:r w:rsidR="003535F8" w:rsidRPr="005546CC">
          <w:rPr>
            <w:rStyle w:val="Hyperlink"/>
            <w:rFonts w:ascii="Calibri" w:hAnsi="Calibri" w:cs="Arial"/>
            <w:b/>
            <w:sz w:val="24"/>
            <w:szCs w:val="24"/>
          </w:rPr>
          <w:t>Rate Calculation</w:t>
        </w:r>
      </w:hyperlink>
    </w:p>
    <w:p w:rsidR="0077603A" w:rsidRDefault="0077603A" w:rsidP="00AA6B67">
      <w:pPr>
        <w:spacing w:after="0"/>
        <w:rPr>
          <w:rFonts w:ascii="Calibri" w:hAnsi="Calibri" w:cs="Arial"/>
          <w:sz w:val="18"/>
          <w:szCs w:val="18"/>
        </w:rPr>
      </w:pPr>
    </w:p>
    <w:p w:rsidR="00AA6B67" w:rsidRDefault="00AA6B67" w:rsidP="00AA6B67">
      <w:pPr>
        <w:spacing w:after="0"/>
        <w:rPr>
          <w:rFonts w:ascii="Calibri" w:hAnsi="Calibri" w:cs="Arial"/>
          <w:sz w:val="18"/>
          <w:szCs w:val="18"/>
        </w:rPr>
      </w:pPr>
    </w:p>
    <w:p w:rsidR="004F691A" w:rsidRPr="004F691A" w:rsidRDefault="004F691A" w:rsidP="004F691A">
      <w:pPr>
        <w:rPr>
          <w:rFonts w:cs="Arial"/>
          <w:color w:val="000000"/>
          <w:sz w:val="20"/>
          <w:szCs w:val="20"/>
        </w:rPr>
      </w:pPr>
      <w:r w:rsidRPr="004F691A">
        <w:rPr>
          <w:rFonts w:cs="Arial"/>
          <w:color w:val="000000"/>
          <w:sz w:val="20"/>
          <w:szCs w:val="20"/>
        </w:rPr>
        <w:t xml:space="preserve">Every bank </w:t>
      </w:r>
      <w:r>
        <w:rPr>
          <w:rFonts w:cs="Arial"/>
          <w:color w:val="000000"/>
          <w:sz w:val="20"/>
          <w:szCs w:val="20"/>
        </w:rPr>
        <w:t>and savings association</w:t>
      </w:r>
      <w:r w:rsidRPr="004F691A">
        <w:rPr>
          <w:rFonts w:cs="Arial"/>
          <w:color w:val="000000"/>
          <w:sz w:val="20"/>
          <w:szCs w:val="20"/>
        </w:rPr>
        <w:t xml:space="preserve"> participating in the Small Business Lending Fund (SBLF) is required to submit a Quarterly Supplemental Report no more than 30 calendar days after the quarter in which SBLF funding is received and in each of the following quarters until all SBLF securities have been redeemed. Please refer to the Instructions for the Quarterly Supplemental Report for Bank</w:t>
      </w:r>
      <w:r>
        <w:rPr>
          <w:rFonts w:cs="Arial"/>
          <w:color w:val="000000"/>
          <w:sz w:val="20"/>
          <w:szCs w:val="20"/>
        </w:rPr>
        <w:t xml:space="preserve">s and Savings Associations </w:t>
      </w:r>
      <w:r w:rsidRPr="004F691A">
        <w:rPr>
          <w:rFonts w:cs="Arial"/>
          <w:color w:val="000000"/>
          <w:sz w:val="20"/>
          <w:szCs w:val="20"/>
        </w:rPr>
        <w:t>Participating in the Small Business Lending Fund for guidance.</w:t>
      </w:r>
    </w:p>
    <w:p w:rsidR="004F691A" w:rsidRPr="004F691A" w:rsidRDefault="004F691A" w:rsidP="004F691A">
      <w:pPr>
        <w:rPr>
          <w:rFonts w:cs="Arial"/>
          <w:color w:val="000000"/>
          <w:sz w:val="20"/>
          <w:szCs w:val="20"/>
        </w:rPr>
      </w:pPr>
      <w:r w:rsidRPr="004F691A">
        <w:rPr>
          <w:rFonts w:cs="Arial"/>
          <w:color w:val="000000"/>
          <w:sz w:val="20"/>
          <w:szCs w:val="20"/>
        </w:rPr>
        <w:t xml:space="preserve">If you have general questions regarding this form, please contact the information line for the Small Business Lending Fund at </w:t>
      </w:r>
      <w:r>
        <w:rPr>
          <w:rFonts w:cs="Arial"/>
          <w:color w:val="000000"/>
          <w:sz w:val="20"/>
          <w:szCs w:val="20"/>
        </w:rPr>
        <w:br/>
      </w:r>
      <w:r w:rsidRPr="004F691A">
        <w:rPr>
          <w:rFonts w:cs="Arial"/>
          <w:color w:val="000000"/>
          <w:sz w:val="20"/>
          <w:szCs w:val="20"/>
        </w:rPr>
        <w:t>888-832-1147 (Mond</w:t>
      </w:r>
      <w:r>
        <w:rPr>
          <w:rFonts w:cs="Arial"/>
          <w:color w:val="000000"/>
          <w:sz w:val="20"/>
          <w:szCs w:val="20"/>
        </w:rPr>
        <w:t>ay-Friday, 9:00 AM-5:00 PM ET).</w:t>
      </w:r>
    </w:p>
    <w:p w:rsidR="005471F7" w:rsidRDefault="005471F7" w:rsidP="00C067E5">
      <w:pPr>
        <w:rPr>
          <w:rFonts w:ascii="Calibri" w:hAnsi="Calibri" w:cs="Arial"/>
          <w:b/>
          <w:sz w:val="36"/>
          <w:szCs w:val="36"/>
        </w:rPr>
      </w:pPr>
    </w:p>
    <w:p w:rsidR="005471F7" w:rsidRDefault="005471F7" w:rsidP="00C067E5">
      <w:pPr>
        <w:rPr>
          <w:rFonts w:ascii="Calibri" w:hAnsi="Calibri" w:cs="Arial"/>
          <w:b/>
          <w:sz w:val="36"/>
          <w:szCs w:val="36"/>
        </w:rPr>
      </w:pPr>
    </w:p>
    <w:p w:rsidR="005471F7" w:rsidRDefault="005471F7" w:rsidP="00C067E5">
      <w:pPr>
        <w:rPr>
          <w:rFonts w:ascii="Calibri" w:hAnsi="Calibri" w:cs="Arial"/>
          <w:b/>
          <w:sz w:val="36"/>
          <w:szCs w:val="36"/>
        </w:rPr>
      </w:pPr>
    </w:p>
    <w:p w:rsidR="005471F7" w:rsidRDefault="005471F7" w:rsidP="00C067E5">
      <w:pPr>
        <w:rPr>
          <w:rFonts w:ascii="Calibri" w:hAnsi="Calibri" w:cs="Arial"/>
          <w:b/>
          <w:sz w:val="36"/>
          <w:szCs w:val="36"/>
        </w:rPr>
      </w:pPr>
    </w:p>
    <w:p w:rsidR="005471F7" w:rsidRDefault="005471F7" w:rsidP="00C067E5">
      <w:pPr>
        <w:rPr>
          <w:rFonts w:ascii="Calibri" w:hAnsi="Calibri" w:cs="Arial"/>
          <w:b/>
          <w:sz w:val="36"/>
          <w:szCs w:val="36"/>
        </w:rPr>
      </w:pPr>
    </w:p>
    <w:p w:rsidR="005471F7" w:rsidRDefault="005471F7" w:rsidP="00C067E5">
      <w:pPr>
        <w:rPr>
          <w:rFonts w:ascii="Calibri" w:hAnsi="Calibri" w:cs="Arial"/>
          <w:b/>
          <w:sz w:val="36"/>
          <w:szCs w:val="36"/>
        </w:rPr>
      </w:pPr>
    </w:p>
    <w:p w:rsidR="005471F7" w:rsidRDefault="005471F7" w:rsidP="00C067E5">
      <w:pPr>
        <w:rPr>
          <w:rFonts w:ascii="Calibri" w:hAnsi="Calibri" w:cs="Arial"/>
          <w:b/>
          <w:sz w:val="36"/>
          <w:szCs w:val="36"/>
        </w:rPr>
      </w:pPr>
    </w:p>
    <w:p w:rsidR="005471F7" w:rsidRDefault="005471F7" w:rsidP="00C067E5">
      <w:pPr>
        <w:rPr>
          <w:rFonts w:ascii="Calibri" w:hAnsi="Calibri" w:cs="Arial"/>
          <w:b/>
          <w:sz w:val="36"/>
          <w:szCs w:val="36"/>
        </w:rPr>
      </w:pPr>
    </w:p>
    <w:p w:rsidR="005471F7" w:rsidRDefault="005471F7" w:rsidP="005471F7">
      <w:pPr>
        <w:spacing w:after="0" w:line="240" w:lineRule="auto"/>
        <w:rPr>
          <w:sz w:val="14"/>
          <w:szCs w:val="14"/>
        </w:rPr>
      </w:pPr>
    </w:p>
    <w:p w:rsidR="005471F7" w:rsidRDefault="005471F7" w:rsidP="005471F7">
      <w:pPr>
        <w:spacing w:after="0" w:line="240" w:lineRule="auto"/>
        <w:rPr>
          <w:sz w:val="14"/>
          <w:szCs w:val="14"/>
        </w:rPr>
      </w:pPr>
    </w:p>
    <w:p w:rsidR="00B249E0" w:rsidRDefault="00B249E0" w:rsidP="005471F7">
      <w:pPr>
        <w:spacing w:after="0" w:line="240" w:lineRule="auto"/>
        <w:rPr>
          <w:sz w:val="14"/>
          <w:szCs w:val="14"/>
        </w:rPr>
      </w:pPr>
    </w:p>
    <w:p w:rsidR="00B249E0" w:rsidRDefault="00B249E0" w:rsidP="005471F7">
      <w:pPr>
        <w:spacing w:after="0" w:line="240" w:lineRule="auto"/>
        <w:rPr>
          <w:sz w:val="14"/>
          <w:szCs w:val="14"/>
        </w:rPr>
      </w:pPr>
    </w:p>
    <w:p w:rsidR="00B249E0" w:rsidRDefault="00B249E0" w:rsidP="005471F7">
      <w:pPr>
        <w:spacing w:after="0" w:line="240" w:lineRule="auto"/>
        <w:rPr>
          <w:sz w:val="14"/>
          <w:szCs w:val="14"/>
        </w:rPr>
      </w:pPr>
    </w:p>
    <w:p w:rsidR="00B249E0" w:rsidRDefault="00B249E0" w:rsidP="005471F7">
      <w:pPr>
        <w:spacing w:after="0" w:line="240" w:lineRule="auto"/>
        <w:rPr>
          <w:sz w:val="14"/>
          <w:szCs w:val="14"/>
        </w:rPr>
      </w:pPr>
    </w:p>
    <w:p w:rsidR="005471F7" w:rsidRDefault="005471F7" w:rsidP="005471F7">
      <w:pPr>
        <w:spacing w:after="0" w:line="240" w:lineRule="auto"/>
        <w:rPr>
          <w:sz w:val="14"/>
          <w:szCs w:val="14"/>
        </w:rPr>
      </w:pPr>
    </w:p>
    <w:p w:rsidR="002C0D40" w:rsidRPr="005471F7" w:rsidRDefault="005471F7" w:rsidP="005471F7">
      <w:pPr>
        <w:spacing w:after="0" w:line="240" w:lineRule="auto"/>
        <w:rPr>
          <w:sz w:val="14"/>
          <w:szCs w:val="14"/>
        </w:rPr>
      </w:pPr>
      <w:r w:rsidRPr="00A00250">
        <w:rPr>
          <w:sz w:val="14"/>
          <w:szCs w:val="14"/>
        </w:rPr>
        <w:t xml:space="preserve">The Federal Government may not collect, and the public is not required to respond to, a collection of information that does not display a currently valid OMB Control Number.  The control number for this collection is 1505-0228. </w:t>
      </w:r>
      <w:r w:rsidR="002C0D40">
        <w:rPr>
          <w:rFonts w:ascii="Calibri" w:hAnsi="Calibri" w:cs="Arial"/>
          <w:b/>
          <w:sz w:val="36"/>
          <w:szCs w:val="36"/>
        </w:rPr>
        <w:br w:type="page"/>
      </w:r>
    </w:p>
    <w:p w:rsidR="00124866" w:rsidRPr="00124866" w:rsidRDefault="003A66F6" w:rsidP="001C0F0F">
      <w:pPr>
        <w:pStyle w:val="Default"/>
        <w:pBdr>
          <w:bottom w:val="single" w:sz="4" w:space="1" w:color="auto"/>
        </w:pBdr>
        <w:rPr>
          <w:rFonts w:ascii="Calibri" w:hAnsi="Calibri"/>
          <w:color w:val="211D1E"/>
          <w:sz w:val="36"/>
          <w:szCs w:val="36"/>
        </w:rPr>
      </w:pPr>
      <w:r>
        <w:rPr>
          <w:rFonts w:ascii="Calibri" w:hAnsi="Calibri"/>
          <w:sz w:val="36"/>
          <w:szCs w:val="36"/>
        </w:rPr>
        <w:lastRenderedPageBreak/>
        <w:t xml:space="preserve">Quarterly </w:t>
      </w:r>
      <w:r w:rsidR="00124866" w:rsidRPr="00124866">
        <w:rPr>
          <w:rFonts w:ascii="Calibri" w:hAnsi="Calibri"/>
          <w:sz w:val="36"/>
          <w:szCs w:val="36"/>
        </w:rPr>
        <w:t>Supplemental Report</w:t>
      </w:r>
      <w:r w:rsidR="00124866" w:rsidRPr="00124866">
        <w:rPr>
          <w:rFonts w:ascii="Calibri" w:hAnsi="Calibri"/>
          <w:sz w:val="36"/>
          <w:szCs w:val="36"/>
        </w:rPr>
        <w:br/>
      </w:r>
      <w:r w:rsidR="00124866" w:rsidRPr="00124866">
        <w:rPr>
          <w:rFonts w:ascii="Calibri" w:hAnsi="Calibri"/>
          <w:color w:val="211D1E"/>
          <w:sz w:val="28"/>
          <w:szCs w:val="28"/>
        </w:rPr>
        <w:t xml:space="preserve">for </w:t>
      </w:r>
      <w:r w:rsidR="00A67D33">
        <w:rPr>
          <w:rFonts w:ascii="Calibri" w:hAnsi="Calibri"/>
          <w:color w:val="211D1E"/>
          <w:sz w:val="28"/>
          <w:szCs w:val="28"/>
        </w:rPr>
        <w:t>B</w:t>
      </w:r>
      <w:r w:rsidR="00124866" w:rsidRPr="00124866">
        <w:rPr>
          <w:rFonts w:ascii="Calibri" w:hAnsi="Calibri"/>
          <w:color w:val="211D1E"/>
          <w:sz w:val="28"/>
          <w:szCs w:val="28"/>
        </w:rPr>
        <w:t xml:space="preserve">anks </w:t>
      </w:r>
      <w:r w:rsidR="00A430AD">
        <w:rPr>
          <w:rFonts w:ascii="Calibri" w:hAnsi="Calibri"/>
          <w:color w:val="211D1E"/>
          <w:sz w:val="28"/>
          <w:szCs w:val="28"/>
        </w:rPr>
        <w:t xml:space="preserve">and Savings Associations </w:t>
      </w:r>
      <w:r w:rsidR="003535F8">
        <w:rPr>
          <w:rFonts w:ascii="Calibri" w:hAnsi="Calibri"/>
          <w:color w:val="211D1E"/>
          <w:sz w:val="28"/>
          <w:szCs w:val="28"/>
        </w:rPr>
        <w:t>Participating in</w:t>
      </w:r>
      <w:r w:rsidR="00124866" w:rsidRPr="00124866">
        <w:rPr>
          <w:rFonts w:ascii="Calibri" w:hAnsi="Calibri"/>
          <w:color w:val="211D1E"/>
          <w:sz w:val="28"/>
          <w:szCs w:val="28"/>
        </w:rPr>
        <w:t xml:space="preserve"> the Small Business </w:t>
      </w:r>
      <w:r w:rsidR="00A67D33">
        <w:rPr>
          <w:rFonts w:ascii="Calibri" w:hAnsi="Calibri"/>
          <w:color w:val="211D1E"/>
          <w:sz w:val="28"/>
          <w:szCs w:val="28"/>
        </w:rPr>
        <w:t xml:space="preserve">Lending </w:t>
      </w:r>
      <w:r w:rsidR="00124866" w:rsidRPr="00124866">
        <w:rPr>
          <w:rFonts w:ascii="Calibri" w:hAnsi="Calibri"/>
          <w:color w:val="211D1E"/>
          <w:sz w:val="28"/>
          <w:szCs w:val="28"/>
        </w:rPr>
        <w:t>Fund</w:t>
      </w:r>
    </w:p>
    <w:p w:rsidR="003535F8" w:rsidRPr="00072B02" w:rsidRDefault="00CB1BF2" w:rsidP="00072B02">
      <w:pPr>
        <w:spacing w:before="120" w:after="0" w:line="240" w:lineRule="auto"/>
        <w:rPr>
          <w:rFonts w:ascii="Calibri" w:hAnsi="Calibri" w:cs="Arial"/>
          <w:sz w:val="32"/>
          <w:szCs w:val="32"/>
        </w:rPr>
      </w:pPr>
      <w:bookmarkStart w:id="1" w:name="QuarterEndAdjBaseline"/>
      <w:r>
        <w:rPr>
          <w:rFonts w:ascii="Calibri" w:hAnsi="Calibri" w:cs="Arial"/>
          <w:b/>
          <w:sz w:val="32"/>
          <w:szCs w:val="32"/>
        </w:rPr>
        <w:t xml:space="preserve">Quarter-End </w:t>
      </w:r>
      <w:r w:rsidR="003535F8" w:rsidRPr="004F2CD3">
        <w:rPr>
          <w:rFonts w:ascii="Calibri" w:hAnsi="Calibri" w:cs="Arial"/>
          <w:b/>
          <w:sz w:val="32"/>
          <w:szCs w:val="32"/>
        </w:rPr>
        <w:t>Adjusted Base</w:t>
      </w:r>
      <w:r w:rsidR="00541768" w:rsidRPr="004F2CD3">
        <w:rPr>
          <w:rFonts w:ascii="Calibri" w:hAnsi="Calibri" w:cs="Arial"/>
          <w:b/>
          <w:sz w:val="32"/>
          <w:szCs w:val="32"/>
        </w:rPr>
        <w:t>line</w:t>
      </w:r>
      <w:r w:rsidR="003535F8" w:rsidRPr="004F2CD3">
        <w:rPr>
          <w:rFonts w:ascii="Calibri" w:hAnsi="Calibri" w:cs="Arial"/>
          <w:b/>
          <w:sz w:val="32"/>
          <w:szCs w:val="32"/>
        </w:rPr>
        <w:t xml:space="preserve"> Calculation</w:t>
      </w:r>
    </w:p>
    <w:bookmarkEnd w:id="1"/>
    <w:p w:rsidR="00D045DA" w:rsidRDefault="003535F8" w:rsidP="007776FD">
      <w:pPr>
        <w:autoSpaceDE w:val="0"/>
        <w:autoSpaceDN w:val="0"/>
        <w:adjustRightInd w:val="0"/>
        <w:spacing w:after="0" w:line="240" w:lineRule="auto"/>
        <w:rPr>
          <w:rFonts w:cs="Arial"/>
          <w:sz w:val="20"/>
          <w:szCs w:val="20"/>
        </w:rPr>
      </w:pPr>
      <w:r w:rsidRPr="007776FD">
        <w:rPr>
          <w:sz w:val="20"/>
          <w:szCs w:val="20"/>
        </w:rPr>
        <w:t>All banks</w:t>
      </w:r>
      <w:r w:rsidR="00857392" w:rsidRPr="007776FD">
        <w:rPr>
          <w:sz w:val="20"/>
          <w:szCs w:val="20"/>
        </w:rPr>
        <w:t xml:space="preserve"> and savings associations</w:t>
      </w:r>
      <w:r w:rsidRPr="007776FD">
        <w:rPr>
          <w:sz w:val="20"/>
          <w:szCs w:val="20"/>
        </w:rPr>
        <w:t xml:space="preserve"> </w:t>
      </w:r>
      <w:r w:rsidR="00F55516" w:rsidRPr="007776FD">
        <w:rPr>
          <w:sz w:val="20"/>
          <w:szCs w:val="20"/>
        </w:rPr>
        <w:t>participating in</w:t>
      </w:r>
      <w:r w:rsidRPr="007776FD">
        <w:rPr>
          <w:sz w:val="20"/>
          <w:szCs w:val="20"/>
        </w:rPr>
        <w:t xml:space="preserve"> the Small Business Lending Fund must complete this </w:t>
      </w:r>
      <w:r w:rsidR="00574D91" w:rsidRPr="007776FD">
        <w:rPr>
          <w:sz w:val="20"/>
          <w:szCs w:val="20"/>
        </w:rPr>
        <w:t>section</w:t>
      </w:r>
      <w:r w:rsidRPr="007776FD">
        <w:rPr>
          <w:sz w:val="20"/>
          <w:szCs w:val="20"/>
        </w:rPr>
        <w:t xml:space="preserve">.  </w:t>
      </w:r>
      <w:r w:rsidR="007776FD">
        <w:rPr>
          <w:rFonts w:cs="Arial"/>
          <w:sz w:val="20"/>
          <w:szCs w:val="20"/>
        </w:rPr>
        <w:t xml:space="preserve">All figures are to be </w:t>
      </w:r>
      <w:r w:rsidRPr="007776FD">
        <w:rPr>
          <w:rFonts w:cs="Arial"/>
          <w:sz w:val="20"/>
          <w:szCs w:val="20"/>
        </w:rPr>
        <w:t>reported in thousands of dollars</w:t>
      </w:r>
      <w:r w:rsidRPr="007776FD">
        <w:rPr>
          <w:sz w:val="20"/>
          <w:szCs w:val="20"/>
        </w:rPr>
        <w:t xml:space="preserve">.  </w:t>
      </w:r>
      <w:r w:rsidRPr="007776FD">
        <w:rPr>
          <w:rFonts w:cs="Arial"/>
          <w:sz w:val="20"/>
          <w:szCs w:val="20"/>
        </w:rPr>
        <w:t>Amounts should reflect information on the Call Report with which the Quarterly Supplem</w:t>
      </w:r>
      <w:r w:rsidR="007776FD">
        <w:rPr>
          <w:rFonts w:cs="Arial"/>
          <w:sz w:val="20"/>
          <w:szCs w:val="20"/>
        </w:rPr>
        <w:t xml:space="preserve">ental </w:t>
      </w:r>
      <w:r w:rsidRPr="007776FD">
        <w:rPr>
          <w:rFonts w:cs="Arial"/>
          <w:sz w:val="20"/>
          <w:szCs w:val="20"/>
        </w:rPr>
        <w:t>Report is being filed.</w:t>
      </w:r>
      <w:r w:rsidR="00E330D2" w:rsidRPr="007776FD">
        <w:rPr>
          <w:rFonts w:cs="Arial"/>
          <w:sz w:val="20"/>
          <w:szCs w:val="20"/>
        </w:rPr>
        <w:t xml:space="preserve">  For ease of use, </w:t>
      </w:r>
      <w:r w:rsidR="0065108F">
        <w:rPr>
          <w:rFonts w:cs="Arial"/>
          <w:sz w:val="20"/>
          <w:szCs w:val="20"/>
        </w:rPr>
        <w:t xml:space="preserve">lines pre-populated with zeros are automatically </w:t>
      </w:r>
      <w:r w:rsidR="00E330D2" w:rsidRPr="007776FD">
        <w:rPr>
          <w:rFonts w:cs="Arial"/>
          <w:sz w:val="20"/>
          <w:szCs w:val="20"/>
        </w:rPr>
        <w:t>calculated and will not accept manual entry.</w:t>
      </w:r>
    </w:p>
    <w:p w:rsidR="005B4B78" w:rsidRPr="007776FD" w:rsidRDefault="005B4B78" w:rsidP="007776FD">
      <w:pPr>
        <w:autoSpaceDE w:val="0"/>
        <w:autoSpaceDN w:val="0"/>
        <w:adjustRightInd w:val="0"/>
        <w:spacing w:after="0" w:line="240" w:lineRule="auto"/>
        <w:rPr>
          <w:rFonts w:cs="Arial"/>
          <w:sz w:val="20"/>
          <w:szCs w:val="20"/>
        </w:rPr>
      </w:pPr>
    </w:p>
    <w:tbl>
      <w:tblPr>
        <w:tblStyle w:val="TableGrid"/>
        <w:tblW w:w="11088" w:type="dxa"/>
        <w:tblLayout w:type="fixed"/>
        <w:tblCellMar>
          <w:left w:w="43" w:type="dxa"/>
          <w:right w:w="43" w:type="dxa"/>
        </w:tblCellMar>
        <w:tblLook w:val="04A0" w:firstRow="1" w:lastRow="0" w:firstColumn="1" w:lastColumn="0" w:noHBand="0" w:noVBand="1"/>
      </w:tblPr>
      <w:tblGrid>
        <w:gridCol w:w="9168"/>
        <w:gridCol w:w="480"/>
        <w:gridCol w:w="480"/>
        <w:gridCol w:w="480"/>
        <w:gridCol w:w="480"/>
      </w:tblGrid>
      <w:tr w:rsidR="004E68AE" w:rsidRPr="001B2B02" w:rsidTr="00341998">
        <w:trPr>
          <w:trHeight w:hRule="exact" w:val="187"/>
        </w:trPr>
        <w:tc>
          <w:tcPr>
            <w:tcW w:w="9168" w:type="dxa"/>
            <w:tcBorders>
              <w:top w:val="nil"/>
              <w:left w:val="nil"/>
              <w:bottom w:val="single" w:sz="4" w:space="0" w:color="auto"/>
              <w:right w:val="single" w:sz="4" w:space="0" w:color="auto"/>
            </w:tcBorders>
            <w:vAlign w:val="center"/>
          </w:tcPr>
          <w:p w:rsidR="004E68AE" w:rsidRPr="003740A3" w:rsidRDefault="004E68AE" w:rsidP="004E68AE">
            <w:pPr>
              <w:pStyle w:val="ListParagraph"/>
              <w:tabs>
                <w:tab w:val="center" w:pos="4680"/>
                <w:tab w:val="right" w:pos="9360"/>
              </w:tabs>
              <w:autoSpaceDE w:val="0"/>
              <w:autoSpaceDN w:val="0"/>
              <w:adjustRightInd w:val="0"/>
              <w:ind w:left="216"/>
              <w:jc w:val="right"/>
              <w:rPr>
                <w:rFonts w:eastAsia="Times New Roman"/>
                <w:color w:val="000000"/>
                <w:sz w:val="14"/>
                <w:szCs w:val="14"/>
              </w:rPr>
            </w:pPr>
            <w:r>
              <w:rPr>
                <w:rFonts w:eastAsia="Times New Roman"/>
                <w:color w:val="000000"/>
                <w:sz w:val="14"/>
                <w:szCs w:val="14"/>
              </w:rPr>
              <w:t>Dollar amounts in thousands</w:t>
            </w:r>
          </w:p>
        </w:tc>
        <w:tc>
          <w:tcPr>
            <w:tcW w:w="480" w:type="dxa"/>
            <w:tcBorders>
              <w:left w:val="single" w:sz="4" w:space="0" w:color="auto"/>
            </w:tcBorders>
            <w:shd w:val="clear" w:color="auto" w:fill="auto"/>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shd w:val="clear" w:color="auto" w:fill="auto"/>
          </w:tcPr>
          <w:p w:rsidR="004E68AE" w:rsidRPr="00964F0A" w:rsidRDefault="0057364E" w:rsidP="00E92ACD">
            <w:pPr>
              <w:autoSpaceDE w:val="0"/>
              <w:autoSpaceDN w:val="0"/>
              <w:adjustRightInd w:val="0"/>
              <w:ind w:left="216" w:hanging="216"/>
              <w:rPr>
                <w:rFonts w:cs="Arial"/>
                <w:color w:val="000000" w:themeColor="text1"/>
                <w:sz w:val="14"/>
                <w:szCs w:val="14"/>
              </w:rPr>
            </w:pPr>
            <w:proofErr w:type="spellStart"/>
            <w:r>
              <w:rPr>
                <w:rFonts w:cs="Arial"/>
                <w:color w:val="000000" w:themeColor="text1"/>
                <w:sz w:val="14"/>
                <w:szCs w:val="14"/>
              </w:rPr>
              <w:t>Bil</w:t>
            </w:r>
            <w:proofErr w:type="spellEnd"/>
          </w:p>
        </w:tc>
        <w:tc>
          <w:tcPr>
            <w:tcW w:w="480" w:type="dxa"/>
            <w:tcBorders>
              <w:left w:val="single" w:sz="4" w:space="0" w:color="auto"/>
            </w:tcBorders>
            <w:shd w:val="clear" w:color="auto" w:fill="auto"/>
          </w:tcPr>
          <w:p w:rsidR="004E68AE" w:rsidRPr="00964F0A" w:rsidRDefault="0057364E" w:rsidP="00E92ACD">
            <w:pPr>
              <w:autoSpaceDE w:val="0"/>
              <w:autoSpaceDN w:val="0"/>
              <w:adjustRightInd w:val="0"/>
              <w:ind w:left="216" w:hanging="216"/>
              <w:rPr>
                <w:rFonts w:cs="Arial"/>
                <w:color w:val="000000" w:themeColor="text1"/>
                <w:sz w:val="14"/>
                <w:szCs w:val="14"/>
              </w:rPr>
            </w:pPr>
            <w:r>
              <w:rPr>
                <w:rFonts w:cs="Arial"/>
                <w:color w:val="000000" w:themeColor="text1"/>
                <w:sz w:val="14"/>
                <w:szCs w:val="14"/>
              </w:rPr>
              <w:t>Mil</w:t>
            </w:r>
          </w:p>
        </w:tc>
        <w:tc>
          <w:tcPr>
            <w:tcW w:w="480" w:type="dxa"/>
            <w:tcBorders>
              <w:left w:val="single" w:sz="4" w:space="0" w:color="auto"/>
            </w:tcBorders>
            <w:shd w:val="clear" w:color="auto" w:fill="auto"/>
          </w:tcPr>
          <w:p w:rsidR="004E68AE" w:rsidRPr="00964F0A" w:rsidRDefault="0057364E" w:rsidP="00E92ACD">
            <w:pPr>
              <w:autoSpaceDE w:val="0"/>
              <w:autoSpaceDN w:val="0"/>
              <w:adjustRightInd w:val="0"/>
              <w:ind w:left="216" w:hanging="216"/>
              <w:rPr>
                <w:rFonts w:cs="Arial"/>
                <w:color w:val="000000" w:themeColor="text1"/>
                <w:sz w:val="14"/>
                <w:szCs w:val="14"/>
              </w:rPr>
            </w:pPr>
            <w:r>
              <w:rPr>
                <w:rFonts w:cs="Arial"/>
                <w:color w:val="000000" w:themeColor="text1"/>
                <w:sz w:val="14"/>
                <w:szCs w:val="14"/>
              </w:rPr>
              <w:t>Thou</w:t>
            </w:r>
          </w:p>
        </w:tc>
      </w:tr>
      <w:tr w:rsidR="004E68AE" w:rsidRPr="001B2B02" w:rsidTr="004E68AE">
        <w:trPr>
          <w:trHeight w:hRule="exact" w:val="187"/>
        </w:trPr>
        <w:tc>
          <w:tcPr>
            <w:tcW w:w="9168" w:type="dxa"/>
            <w:vMerge w:val="restart"/>
            <w:tcBorders>
              <w:top w:val="single" w:sz="4" w:space="0" w:color="auto"/>
              <w:left w:val="single" w:sz="4" w:space="0" w:color="auto"/>
              <w:right w:val="single" w:sz="4" w:space="0" w:color="auto"/>
            </w:tcBorders>
            <w:vAlign w:val="center"/>
          </w:tcPr>
          <w:p w:rsidR="004E68AE" w:rsidRPr="003740A3" w:rsidRDefault="004E68AE" w:rsidP="004E68AE">
            <w:pPr>
              <w:pStyle w:val="ListParagraph"/>
              <w:numPr>
                <w:ilvl w:val="0"/>
                <w:numId w:val="12"/>
              </w:numPr>
              <w:tabs>
                <w:tab w:val="center" w:pos="4680"/>
                <w:tab w:val="right" w:pos="9360"/>
              </w:tabs>
              <w:autoSpaceDE w:val="0"/>
              <w:autoSpaceDN w:val="0"/>
              <w:adjustRightInd w:val="0"/>
              <w:ind w:left="216" w:hanging="216"/>
              <w:rPr>
                <w:rFonts w:eastAsia="Times New Roman"/>
                <w:color w:val="000000"/>
                <w:sz w:val="14"/>
                <w:szCs w:val="14"/>
              </w:rPr>
            </w:pPr>
            <w:r>
              <w:rPr>
                <w:rFonts w:eastAsia="Times New Roman"/>
                <w:color w:val="000000"/>
                <w:sz w:val="14"/>
                <w:szCs w:val="14"/>
              </w:rPr>
              <w:t>Initial Small Business Lending Baseline (line 12 in the Initial Supplemental Report)</w:t>
            </w:r>
          </w:p>
        </w:tc>
        <w:tc>
          <w:tcPr>
            <w:tcW w:w="1920" w:type="dxa"/>
            <w:gridSpan w:val="4"/>
            <w:tcBorders>
              <w:left w:val="single" w:sz="4" w:space="0" w:color="auto"/>
            </w:tcBorders>
            <w:shd w:val="clear" w:color="auto" w:fill="D9D9D9" w:themeFill="background1" w:themeFillShade="D9"/>
          </w:tcPr>
          <w:p w:rsidR="004E68AE" w:rsidRPr="00964F0A" w:rsidRDefault="004E68AE" w:rsidP="00E92ACD">
            <w:pPr>
              <w:autoSpaceDE w:val="0"/>
              <w:autoSpaceDN w:val="0"/>
              <w:adjustRightInd w:val="0"/>
              <w:ind w:left="216" w:hanging="216"/>
              <w:rPr>
                <w:rFonts w:cs="Arial"/>
                <w:color w:val="000000" w:themeColor="text1"/>
                <w:sz w:val="14"/>
                <w:szCs w:val="14"/>
              </w:rPr>
            </w:pPr>
          </w:p>
        </w:tc>
      </w:tr>
      <w:tr w:rsidR="004E68AE" w:rsidRPr="001B2B02" w:rsidTr="00E114E8">
        <w:trPr>
          <w:trHeight w:hRule="exact" w:val="187"/>
        </w:trPr>
        <w:tc>
          <w:tcPr>
            <w:tcW w:w="9168" w:type="dxa"/>
            <w:vMerge/>
            <w:tcBorders>
              <w:left w:val="single" w:sz="4" w:space="0" w:color="auto"/>
              <w:bottom w:val="single" w:sz="4" w:space="0" w:color="auto"/>
              <w:right w:val="single" w:sz="4" w:space="0" w:color="auto"/>
            </w:tcBorders>
            <w:vAlign w:val="center"/>
          </w:tcPr>
          <w:p w:rsidR="004E68AE" w:rsidRPr="003740A3" w:rsidRDefault="004E68AE" w:rsidP="00E92ACD">
            <w:pPr>
              <w:pStyle w:val="ListParagraph"/>
              <w:numPr>
                <w:ilvl w:val="0"/>
                <w:numId w:val="12"/>
              </w:numPr>
              <w:tabs>
                <w:tab w:val="center" w:pos="4680"/>
                <w:tab w:val="right" w:pos="9360"/>
              </w:tabs>
              <w:autoSpaceDE w:val="0"/>
              <w:autoSpaceDN w:val="0"/>
              <w:adjustRightInd w:val="0"/>
              <w:ind w:left="216" w:hanging="216"/>
              <w:rPr>
                <w:rFonts w:eastAsia="Times New Roman"/>
                <w:color w:val="000000"/>
                <w:sz w:val="14"/>
                <w:szCs w:val="14"/>
              </w:rPr>
            </w:pPr>
          </w:p>
        </w:tc>
        <w:tc>
          <w:tcPr>
            <w:tcW w:w="480" w:type="dxa"/>
            <w:tcBorders>
              <w:left w:val="single" w:sz="4" w:space="0" w:color="auto"/>
              <w:bottom w:val="single" w:sz="4" w:space="0" w:color="auto"/>
            </w:tcBorders>
            <w:shd w:val="clear" w:color="auto" w:fill="auto"/>
          </w:tcPr>
          <w:p w:rsidR="004E68AE" w:rsidRPr="00964F0A" w:rsidRDefault="004E68AE" w:rsidP="00E92ACD">
            <w:pPr>
              <w:autoSpaceDE w:val="0"/>
              <w:autoSpaceDN w:val="0"/>
              <w:adjustRightInd w:val="0"/>
              <w:ind w:left="216" w:hanging="216"/>
              <w:rPr>
                <w:rFonts w:cs="Arial"/>
                <w:color w:val="000000" w:themeColor="text1"/>
                <w:sz w:val="14"/>
                <w:szCs w:val="14"/>
              </w:rPr>
            </w:pPr>
            <w:r>
              <w:rPr>
                <w:rFonts w:cs="Arial"/>
                <w:color w:val="000000" w:themeColor="text1"/>
                <w:sz w:val="14"/>
                <w:szCs w:val="14"/>
              </w:rPr>
              <w:t>1</w:t>
            </w:r>
          </w:p>
        </w:tc>
        <w:tc>
          <w:tcPr>
            <w:tcW w:w="480" w:type="dxa"/>
            <w:tcBorders>
              <w:left w:val="single" w:sz="4" w:space="0" w:color="auto"/>
              <w:bottom w:val="single" w:sz="4" w:space="0" w:color="auto"/>
            </w:tcBorders>
            <w:shd w:val="clear" w:color="auto" w:fill="auto"/>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bottom w:val="single" w:sz="4" w:space="0" w:color="auto"/>
            </w:tcBorders>
            <w:shd w:val="clear" w:color="auto" w:fill="auto"/>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bottom w:val="single" w:sz="4" w:space="0" w:color="auto"/>
            </w:tcBorders>
            <w:shd w:val="clear" w:color="auto" w:fill="auto"/>
          </w:tcPr>
          <w:p w:rsidR="004E68AE" w:rsidRPr="00964F0A" w:rsidRDefault="004E68AE" w:rsidP="00E92ACD">
            <w:pPr>
              <w:autoSpaceDE w:val="0"/>
              <w:autoSpaceDN w:val="0"/>
              <w:adjustRightInd w:val="0"/>
              <w:ind w:left="216" w:hanging="216"/>
              <w:rPr>
                <w:rFonts w:cs="Arial"/>
                <w:color w:val="000000" w:themeColor="text1"/>
                <w:sz w:val="14"/>
                <w:szCs w:val="14"/>
              </w:rPr>
            </w:pPr>
          </w:p>
        </w:tc>
      </w:tr>
      <w:tr w:rsidR="004E68AE" w:rsidRPr="001B2B02" w:rsidTr="00E114E8">
        <w:trPr>
          <w:trHeight w:hRule="exact" w:val="187"/>
        </w:trPr>
        <w:tc>
          <w:tcPr>
            <w:tcW w:w="11088" w:type="dxa"/>
            <w:gridSpan w:val="5"/>
            <w:tcBorders>
              <w:top w:val="single" w:sz="4" w:space="0" w:color="auto"/>
              <w:left w:val="nil"/>
              <w:bottom w:val="single" w:sz="4" w:space="0" w:color="auto"/>
              <w:right w:val="nil"/>
            </w:tcBorders>
            <w:vAlign w:val="center"/>
          </w:tcPr>
          <w:p w:rsidR="004E68AE" w:rsidRPr="00964F0A" w:rsidRDefault="004E68AE" w:rsidP="00E92ACD">
            <w:pPr>
              <w:autoSpaceDE w:val="0"/>
              <w:autoSpaceDN w:val="0"/>
              <w:adjustRightInd w:val="0"/>
              <w:ind w:left="216" w:hanging="216"/>
              <w:rPr>
                <w:rFonts w:cs="Arial"/>
                <w:color w:val="000000" w:themeColor="text1"/>
                <w:sz w:val="14"/>
                <w:szCs w:val="14"/>
              </w:rPr>
            </w:pPr>
          </w:p>
        </w:tc>
      </w:tr>
      <w:tr w:rsidR="00D045DA" w:rsidRPr="001B2B02" w:rsidTr="004E68AE">
        <w:trPr>
          <w:trHeight w:hRule="exact" w:val="187"/>
        </w:trPr>
        <w:tc>
          <w:tcPr>
            <w:tcW w:w="9168" w:type="dxa"/>
            <w:vMerge w:val="restart"/>
            <w:tcBorders>
              <w:top w:val="single" w:sz="4" w:space="0" w:color="auto"/>
              <w:left w:val="single" w:sz="4" w:space="0" w:color="auto"/>
              <w:bottom w:val="single" w:sz="4" w:space="0" w:color="auto"/>
              <w:right w:val="single" w:sz="4" w:space="0" w:color="auto"/>
            </w:tcBorders>
            <w:vAlign w:val="center"/>
          </w:tcPr>
          <w:p w:rsidR="00D045DA" w:rsidRPr="00964F0A" w:rsidRDefault="00D045DA" w:rsidP="00CF61D5">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r w:rsidRPr="003740A3">
              <w:rPr>
                <w:rFonts w:eastAsia="Times New Roman"/>
                <w:color w:val="000000"/>
                <w:sz w:val="14"/>
                <w:szCs w:val="14"/>
              </w:rPr>
              <w:t xml:space="preserve">Prior quarter cumulative </w:t>
            </w:r>
            <w:r w:rsidR="004A6A44">
              <w:rPr>
                <w:rFonts w:eastAsia="Times New Roman"/>
                <w:color w:val="000000"/>
                <w:sz w:val="14"/>
                <w:szCs w:val="14"/>
              </w:rPr>
              <w:t>reported qualified small business lending increase</w:t>
            </w:r>
            <w:r>
              <w:rPr>
                <w:rFonts w:eastAsia="Times New Roman"/>
                <w:color w:val="000000"/>
                <w:sz w:val="14"/>
                <w:szCs w:val="14"/>
              </w:rPr>
              <w:t xml:space="preserve">s </w:t>
            </w:r>
            <w:r w:rsidRPr="003740A3">
              <w:rPr>
                <w:rFonts w:eastAsia="Times New Roman"/>
                <w:color w:val="000000"/>
                <w:sz w:val="14"/>
                <w:szCs w:val="14"/>
              </w:rPr>
              <w:t>resulting from an acquisition of, or merger with, another institution, and</w:t>
            </w:r>
            <w:r w:rsidR="00F365C6">
              <w:rPr>
                <w:rFonts w:eastAsia="Times New Roman"/>
                <w:color w:val="000000"/>
                <w:sz w:val="14"/>
                <w:szCs w:val="14"/>
              </w:rPr>
              <w:t>/or</w:t>
            </w:r>
            <w:r w:rsidRPr="003740A3">
              <w:rPr>
                <w:rFonts w:eastAsia="Times New Roman"/>
                <w:color w:val="000000"/>
                <w:sz w:val="14"/>
                <w:szCs w:val="14"/>
              </w:rPr>
              <w:t xml:space="preserve"> purchases of such loans </w:t>
            </w:r>
            <w:r w:rsidR="00CF61D5">
              <w:rPr>
                <w:rFonts w:eastAsia="Times New Roman"/>
                <w:color w:val="000000"/>
                <w:sz w:val="14"/>
                <w:szCs w:val="14"/>
              </w:rPr>
              <w:t>a</w:t>
            </w:r>
            <w:r w:rsidR="0026340B" w:rsidRPr="0026340B">
              <w:rPr>
                <w:rFonts w:eastAsia="Times New Roman"/>
                <w:color w:val="000000"/>
                <w:sz w:val="14"/>
                <w:szCs w:val="14"/>
              </w:rPr>
              <w:t>s w</w:t>
            </w:r>
            <w:r w:rsidR="00CF61D5">
              <w:rPr>
                <w:rFonts w:eastAsia="Times New Roman"/>
                <w:color w:val="000000"/>
                <w:sz w:val="14"/>
                <w:szCs w:val="14"/>
              </w:rPr>
              <w:t>ere</w:t>
            </w:r>
            <w:r w:rsidR="0026340B" w:rsidRPr="0026340B">
              <w:rPr>
                <w:rFonts w:eastAsia="Times New Roman"/>
                <w:color w:val="000000"/>
                <w:sz w:val="14"/>
                <w:szCs w:val="14"/>
              </w:rPr>
              <w:t xml:space="preserve"> reported on line 1</w:t>
            </w:r>
            <w:r w:rsidR="00CF61D5">
              <w:rPr>
                <w:rFonts w:eastAsia="Times New Roman"/>
                <w:color w:val="000000"/>
                <w:sz w:val="14"/>
                <w:szCs w:val="14"/>
              </w:rPr>
              <w:t>2</w:t>
            </w:r>
            <w:r w:rsidR="0026340B" w:rsidRPr="0026340B">
              <w:rPr>
                <w:rFonts w:eastAsia="Times New Roman"/>
                <w:color w:val="000000"/>
                <w:sz w:val="14"/>
                <w:szCs w:val="14"/>
              </w:rPr>
              <w:t xml:space="preserve"> of the prior quarter's submitted Quarterly Supplemental Report</w:t>
            </w:r>
          </w:p>
        </w:tc>
        <w:tc>
          <w:tcPr>
            <w:tcW w:w="1920" w:type="dxa"/>
            <w:gridSpan w:val="4"/>
            <w:tcBorders>
              <w:left w:val="single" w:sz="4" w:space="0" w:color="auto"/>
            </w:tcBorders>
            <w:shd w:val="clear" w:color="auto" w:fill="D9D9D9" w:themeFill="background1" w:themeFillShade="D9"/>
          </w:tcPr>
          <w:p w:rsidR="00D045DA" w:rsidRPr="00964F0A" w:rsidRDefault="00D045DA" w:rsidP="00E92ACD">
            <w:pPr>
              <w:autoSpaceDE w:val="0"/>
              <w:autoSpaceDN w:val="0"/>
              <w:adjustRightInd w:val="0"/>
              <w:ind w:left="216" w:hanging="216"/>
              <w:rPr>
                <w:rFonts w:cs="Arial"/>
                <w:color w:val="000000" w:themeColor="text1"/>
                <w:sz w:val="14"/>
                <w:szCs w:val="14"/>
              </w:rPr>
            </w:pPr>
          </w:p>
        </w:tc>
      </w:tr>
      <w:tr w:rsidR="004E68AE" w:rsidRPr="001B2B02" w:rsidTr="00CF61D5">
        <w:trPr>
          <w:trHeight w:hRule="exact" w:val="187"/>
        </w:trPr>
        <w:tc>
          <w:tcPr>
            <w:tcW w:w="9168" w:type="dxa"/>
            <w:vMerge/>
            <w:tcBorders>
              <w:top w:val="single" w:sz="4" w:space="0" w:color="auto"/>
              <w:left w:val="single" w:sz="4" w:space="0" w:color="auto"/>
              <w:bottom w:val="single" w:sz="4" w:space="0" w:color="auto"/>
              <w:right w:val="single" w:sz="4" w:space="0" w:color="auto"/>
            </w:tcBorders>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r>
              <w:rPr>
                <w:rFonts w:cs="Arial"/>
                <w:color w:val="000000" w:themeColor="text1"/>
                <w:sz w:val="14"/>
                <w:szCs w:val="14"/>
              </w:rPr>
              <w:t>2</w:t>
            </w: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r>
      <w:tr w:rsidR="00E92ACD" w:rsidRPr="001B2B02" w:rsidTr="004E68AE">
        <w:trPr>
          <w:trHeight w:hRule="exact" w:val="187"/>
        </w:trPr>
        <w:tc>
          <w:tcPr>
            <w:tcW w:w="9168" w:type="dxa"/>
            <w:vMerge w:val="restart"/>
            <w:tcBorders>
              <w:top w:val="single" w:sz="4" w:space="0" w:color="auto"/>
              <w:left w:val="single" w:sz="4" w:space="0" w:color="auto"/>
              <w:bottom w:val="single" w:sz="4" w:space="0" w:color="auto"/>
              <w:right w:val="single" w:sz="4" w:space="0" w:color="auto"/>
            </w:tcBorders>
            <w:vAlign w:val="center"/>
          </w:tcPr>
          <w:p w:rsidR="00E92ACD" w:rsidRPr="00964F0A" w:rsidRDefault="009A74FA" w:rsidP="002E4246">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r>
              <w:rPr>
                <w:rFonts w:eastAsia="Times New Roman"/>
                <w:color w:val="000000"/>
                <w:sz w:val="14"/>
                <w:szCs w:val="14"/>
              </w:rPr>
              <w:t>B</w:t>
            </w:r>
            <w:r w:rsidR="00E92ACD">
              <w:rPr>
                <w:rFonts w:eastAsia="Times New Roman"/>
                <w:color w:val="000000"/>
                <w:sz w:val="14"/>
                <w:szCs w:val="14"/>
              </w:rPr>
              <w:t xml:space="preserve">alance </w:t>
            </w:r>
            <w:r w:rsidR="00E92ACD" w:rsidRPr="003740A3">
              <w:rPr>
                <w:rFonts w:eastAsia="Times New Roman"/>
                <w:color w:val="000000"/>
                <w:sz w:val="14"/>
                <w:szCs w:val="14"/>
              </w:rPr>
              <w:t>increases in commercial and industrial loan</w:t>
            </w:r>
            <w:r w:rsidR="00E92ACD">
              <w:rPr>
                <w:rFonts w:eastAsia="Times New Roman"/>
                <w:color w:val="000000"/>
                <w:sz w:val="14"/>
                <w:szCs w:val="14"/>
              </w:rPr>
              <w:t>s r</w:t>
            </w:r>
            <w:r w:rsidR="00E92ACD" w:rsidRPr="003740A3">
              <w:rPr>
                <w:rFonts w:eastAsia="Times New Roman"/>
                <w:color w:val="000000"/>
                <w:sz w:val="14"/>
                <w:szCs w:val="14"/>
              </w:rPr>
              <w:t>esulting from an acquisition of, or merger with, another institution, and</w:t>
            </w:r>
            <w:r w:rsidR="002E4246">
              <w:rPr>
                <w:rFonts w:eastAsia="Times New Roman"/>
                <w:color w:val="000000"/>
                <w:sz w:val="14"/>
                <w:szCs w:val="14"/>
              </w:rPr>
              <w:t xml:space="preserve">/or </w:t>
            </w:r>
            <w:r w:rsidR="00E92ACD" w:rsidRPr="003740A3">
              <w:rPr>
                <w:rFonts w:eastAsia="Times New Roman"/>
                <w:color w:val="000000"/>
                <w:sz w:val="14"/>
                <w:szCs w:val="14"/>
              </w:rPr>
              <w:t>purchases of such loans</w:t>
            </w:r>
          </w:p>
        </w:tc>
        <w:tc>
          <w:tcPr>
            <w:tcW w:w="1920" w:type="dxa"/>
            <w:gridSpan w:val="4"/>
            <w:tcBorders>
              <w:left w:val="single" w:sz="4" w:space="0" w:color="auto"/>
            </w:tcBorders>
            <w:shd w:val="clear" w:color="auto" w:fill="D9D9D9" w:themeFill="background1" w:themeFillShade="D9"/>
          </w:tcPr>
          <w:p w:rsidR="00E92ACD" w:rsidRPr="00964F0A" w:rsidRDefault="00E92ACD" w:rsidP="00341998">
            <w:pPr>
              <w:autoSpaceDE w:val="0"/>
              <w:autoSpaceDN w:val="0"/>
              <w:adjustRightInd w:val="0"/>
              <w:ind w:left="216" w:hanging="216"/>
              <w:rPr>
                <w:rFonts w:cs="Arial"/>
                <w:color w:val="000000" w:themeColor="text1"/>
                <w:sz w:val="14"/>
                <w:szCs w:val="14"/>
              </w:rPr>
            </w:pPr>
          </w:p>
        </w:tc>
      </w:tr>
      <w:tr w:rsidR="004E68AE" w:rsidRPr="001B2B02" w:rsidTr="00341998">
        <w:trPr>
          <w:trHeight w:hRule="exact" w:val="187"/>
        </w:trPr>
        <w:tc>
          <w:tcPr>
            <w:tcW w:w="9168" w:type="dxa"/>
            <w:vMerge/>
            <w:tcBorders>
              <w:top w:val="single" w:sz="4" w:space="0" w:color="auto"/>
              <w:left w:val="single" w:sz="4" w:space="0" w:color="auto"/>
              <w:bottom w:val="single" w:sz="4" w:space="0" w:color="auto"/>
              <w:right w:val="single" w:sz="4" w:space="0" w:color="auto"/>
            </w:tcBorders>
            <w:vAlign w:val="center"/>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r>
              <w:rPr>
                <w:rFonts w:cs="Arial"/>
                <w:color w:val="000000" w:themeColor="text1"/>
                <w:sz w:val="14"/>
                <w:szCs w:val="14"/>
              </w:rPr>
              <w:t>3</w:t>
            </w: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r>
      <w:tr w:rsidR="00E92ACD" w:rsidRPr="001B2B02" w:rsidTr="004E68AE">
        <w:trPr>
          <w:trHeight w:hRule="exact" w:val="187"/>
        </w:trPr>
        <w:tc>
          <w:tcPr>
            <w:tcW w:w="9168" w:type="dxa"/>
            <w:vMerge w:val="restart"/>
            <w:tcBorders>
              <w:top w:val="single" w:sz="4" w:space="0" w:color="auto"/>
              <w:left w:val="single" w:sz="4" w:space="0" w:color="auto"/>
              <w:bottom w:val="single" w:sz="4" w:space="0" w:color="auto"/>
              <w:right w:val="single" w:sz="4" w:space="0" w:color="auto"/>
            </w:tcBorders>
            <w:vAlign w:val="center"/>
          </w:tcPr>
          <w:p w:rsidR="00E92ACD" w:rsidRPr="00964F0A" w:rsidRDefault="009A74FA" w:rsidP="002E4246">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r>
              <w:rPr>
                <w:rFonts w:eastAsia="Times New Roman"/>
                <w:color w:val="000000"/>
                <w:sz w:val="14"/>
                <w:szCs w:val="14"/>
              </w:rPr>
              <w:t>B</w:t>
            </w:r>
            <w:r w:rsidR="00E92ACD" w:rsidRPr="006C4C48">
              <w:rPr>
                <w:rFonts w:eastAsia="Times New Roman"/>
                <w:color w:val="000000"/>
                <w:sz w:val="14"/>
                <w:szCs w:val="14"/>
              </w:rPr>
              <w:t xml:space="preserve">alance increases in loans secured by owner-occupied </w:t>
            </w:r>
            <w:r w:rsidR="004D7462">
              <w:rPr>
                <w:rFonts w:eastAsia="Times New Roman"/>
                <w:color w:val="000000"/>
                <w:sz w:val="14"/>
                <w:szCs w:val="14"/>
              </w:rPr>
              <w:t>nonfarm, nonresidential</w:t>
            </w:r>
            <w:r w:rsidR="00E92ACD" w:rsidRPr="006C4C48">
              <w:rPr>
                <w:rFonts w:eastAsia="Times New Roman"/>
                <w:color w:val="000000"/>
                <w:sz w:val="14"/>
                <w:szCs w:val="14"/>
              </w:rPr>
              <w:t xml:space="preserve"> properties resulting from an acquisition of, or merger with, another institution, and</w:t>
            </w:r>
            <w:r w:rsidR="002E4246">
              <w:rPr>
                <w:rFonts w:eastAsia="Times New Roman"/>
                <w:color w:val="000000"/>
                <w:sz w:val="14"/>
                <w:szCs w:val="14"/>
              </w:rPr>
              <w:t>/or</w:t>
            </w:r>
            <w:r w:rsidR="00E92ACD" w:rsidRPr="006C4C48">
              <w:rPr>
                <w:rFonts w:eastAsia="Times New Roman"/>
                <w:color w:val="000000"/>
                <w:sz w:val="14"/>
                <w:szCs w:val="14"/>
              </w:rPr>
              <w:t xml:space="preserve"> purchases of such loans</w:t>
            </w:r>
          </w:p>
        </w:tc>
        <w:tc>
          <w:tcPr>
            <w:tcW w:w="1920" w:type="dxa"/>
            <w:gridSpan w:val="4"/>
            <w:tcBorders>
              <w:left w:val="single" w:sz="4" w:space="0" w:color="auto"/>
            </w:tcBorders>
            <w:shd w:val="clear" w:color="auto" w:fill="D9D9D9" w:themeFill="background1" w:themeFillShade="D9"/>
          </w:tcPr>
          <w:p w:rsidR="00E92ACD" w:rsidRPr="00964F0A" w:rsidRDefault="00E92ACD" w:rsidP="00E92ACD">
            <w:pPr>
              <w:autoSpaceDE w:val="0"/>
              <w:autoSpaceDN w:val="0"/>
              <w:adjustRightInd w:val="0"/>
              <w:ind w:left="216" w:hanging="216"/>
              <w:rPr>
                <w:rFonts w:cs="Arial"/>
                <w:color w:val="000000" w:themeColor="text1"/>
                <w:sz w:val="14"/>
                <w:szCs w:val="14"/>
              </w:rPr>
            </w:pPr>
          </w:p>
        </w:tc>
      </w:tr>
      <w:tr w:rsidR="004E68AE" w:rsidRPr="001B2B02" w:rsidTr="00341998">
        <w:trPr>
          <w:trHeight w:hRule="exact" w:val="187"/>
        </w:trPr>
        <w:tc>
          <w:tcPr>
            <w:tcW w:w="9168" w:type="dxa"/>
            <w:vMerge/>
            <w:tcBorders>
              <w:top w:val="single" w:sz="4" w:space="0" w:color="auto"/>
              <w:left w:val="single" w:sz="4" w:space="0" w:color="auto"/>
              <w:bottom w:val="single" w:sz="4" w:space="0" w:color="auto"/>
              <w:right w:val="single" w:sz="4" w:space="0" w:color="auto"/>
            </w:tcBorders>
            <w:vAlign w:val="center"/>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r>
              <w:rPr>
                <w:rFonts w:cs="Arial"/>
                <w:color w:val="000000" w:themeColor="text1"/>
                <w:sz w:val="14"/>
                <w:szCs w:val="14"/>
              </w:rPr>
              <w:t>4</w:t>
            </w: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r>
      <w:tr w:rsidR="00E92ACD" w:rsidRPr="001B2B02" w:rsidTr="004E68AE">
        <w:trPr>
          <w:trHeight w:hRule="exact" w:val="187"/>
        </w:trPr>
        <w:tc>
          <w:tcPr>
            <w:tcW w:w="9168" w:type="dxa"/>
            <w:vMerge w:val="restart"/>
            <w:tcBorders>
              <w:top w:val="single" w:sz="4" w:space="0" w:color="auto"/>
              <w:left w:val="single" w:sz="4" w:space="0" w:color="auto"/>
              <w:bottom w:val="single" w:sz="4" w:space="0" w:color="auto"/>
              <w:right w:val="single" w:sz="4" w:space="0" w:color="auto"/>
            </w:tcBorders>
            <w:vAlign w:val="center"/>
          </w:tcPr>
          <w:p w:rsidR="00E92ACD" w:rsidRPr="00964F0A" w:rsidRDefault="009A74FA" w:rsidP="002E4246">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r>
              <w:rPr>
                <w:rFonts w:eastAsia="Times New Roman"/>
                <w:color w:val="000000"/>
                <w:sz w:val="14"/>
                <w:szCs w:val="14"/>
              </w:rPr>
              <w:t>B</w:t>
            </w:r>
            <w:r w:rsidR="00E92ACD" w:rsidRPr="006C4C48">
              <w:rPr>
                <w:rFonts w:eastAsia="Times New Roman"/>
                <w:color w:val="000000"/>
                <w:sz w:val="14"/>
                <w:szCs w:val="14"/>
              </w:rPr>
              <w:t>alance increases in loans to finance agricultural production and other loans to farmers resulting from an acquisition of, or merger with, another institution, and</w:t>
            </w:r>
            <w:r w:rsidR="002E4246">
              <w:rPr>
                <w:rFonts w:eastAsia="Times New Roman"/>
                <w:color w:val="000000"/>
                <w:sz w:val="14"/>
                <w:szCs w:val="14"/>
              </w:rPr>
              <w:t>/or</w:t>
            </w:r>
            <w:r w:rsidR="00E92ACD" w:rsidRPr="006C4C48">
              <w:rPr>
                <w:rFonts w:eastAsia="Times New Roman"/>
                <w:color w:val="000000"/>
                <w:sz w:val="14"/>
                <w:szCs w:val="14"/>
              </w:rPr>
              <w:t xml:space="preserve"> purchases of such loans</w:t>
            </w:r>
          </w:p>
        </w:tc>
        <w:tc>
          <w:tcPr>
            <w:tcW w:w="1920" w:type="dxa"/>
            <w:gridSpan w:val="4"/>
            <w:tcBorders>
              <w:left w:val="single" w:sz="4" w:space="0" w:color="auto"/>
            </w:tcBorders>
            <w:shd w:val="clear" w:color="auto" w:fill="D9D9D9" w:themeFill="background1" w:themeFillShade="D9"/>
          </w:tcPr>
          <w:p w:rsidR="00E92ACD" w:rsidRPr="00964F0A" w:rsidRDefault="00E92ACD" w:rsidP="00E92ACD">
            <w:pPr>
              <w:autoSpaceDE w:val="0"/>
              <w:autoSpaceDN w:val="0"/>
              <w:adjustRightInd w:val="0"/>
              <w:ind w:left="216" w:hanging="216"/>
              <w:rPr>
                <w:rFonts w:cs="Arial"/>
                <w:color w:val="000000" w:themeColor="text1"/>
                <w:sz w:val="14"/>
                <w:szCs w:val="14"/>
              </w:rPr>
            </w:pPr>
          </w:p>
        </w:tc>
      </w:tr>
      <w:tr w:rsidR="004E68AE" w:rsidRPr="001B2B02" w:rsidTr="00341998">
        <w:trPr>
          <w:trHeight w:hRule="exact" w:val="187"/>
        </w:trPr>
        <w:tc>
          <w:tcPr>
            <w:tcW w:w="9168" w:type="dxa"/>
            <w:vMerge/>
            <w:tcBorders>
              <w:top w:val="single" w:sz="4" w:space="0" w:color="auto"/>
              <w:left w:val="single" w:sz="4" w:space="0" w:color="auto"/>
              <w:bottom w:val="single" w:sz="4" w:space="0" w:color="auto"/>
              <w:right w:val="single" w:sz="4" w:space="0" w:color="auto"/>
            </w:tcBorders>
            <w:vAlign w:val="center"/>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r>
              <w:rPr>
                <w:rFonts w:cs="Arial"/>
                <w:color w:val="000000" w:themeColor="text1"/>
                <w:sz w:val="14"/>
                <w:szCs w:val="14"/>
              </w:rPr>
              <w:t>5</w:t>
            </w: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r>
      <w:tr w:rsidR="00E92ACD" w:rsidRPr="001B2B02" w:rsidTr="004E68AE">
        <w:trPr>
          <w:trHeight w:hRule="exact" w:val="187"/>
        </w:trPr>
        <w:tc>
          <w:tcPr>
            <w:tcW w:w="9168" w:type="dxa"/>
            <w:vMerge w:val="restart"/>
            <w:tcBorders>
              <w:top w:val="single" w:sz="4" w:space="0" w:color="auto"/>
              <w:left w:val="single" w:sz="4" w:space="0" w:color="auto"/>
              <w:bottom w:val="single" w:sz="4" w:space="0" w:color="auto"/>
              <w:right w:val="single" w:sz="4" w:space="0" w:color="auto"/>
            </w:tcBorders>
            <w:vAlign w:val="center"/>
          </w:tcPr>
          <w:p w:rsidR="00E92ACD" w:rsidRPr="00964F0A" w:rsidRDefault="009A74FA" w:rsidP="009A74FA">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r>
              <w:rPr>
                <w:rFonts w:eastAsia="Times New Roman"/>
                <w:color w:val="000000"/>
                <w:sz w:val="14"/>
                <w:szCs w:val="14"/>
              </w:rPr>
              <w:t>Balance</w:t>
            </w:r>
            <w:r w:rsidR="00E92ACD" w:rsidRPr="006C4C48">
              <w:rPr>
                <w:rFonts w:eastAsia="Times New Roman"/>
                <w:color w:val="000000"/>
                <w:sz w:val="14"/>
                <w:szCs w:val="14"/>
              </w:rPr>
              <w:t xml:space="preserve"> increases in loans secured by farmland resulting from an acquisition of, or merger with, another institution, and</w:t>
            </w:r>
            <w:r w:rsidR="002E4246">
              <w:rPr>
                <w:rFonts w:eastAsia="Times New Roman"/>
                <w:color w:val="000000"/>
                <w:sz w:val="14"/>
                <w:szCs w:val="14"/>
              </w:rPr>
              <w:t>/or</w:t>
            </w:r>
            <w:r w:rsidR="00E92ACD" w:rsidRPr="006C4C48">
              <w:rPr>
                <w:rFonts w:eastAsia="Times New Roman"/>
                <w:color w:val="000000"/>
                <w:sz w:val="14"/>
                <w:szCs w:val="14"/>
              </w:rPr>
              <w:t xml:space="preserve"> purchases of such loans</w:t>
            </w:r>
          </w:p>
        </w:tc>
        <w:tc>
          <w:tcPr>
            <w:tcW w:w="1920" w:type="dxa"/>
            <w:gridSpan w:val="4"/>
            <w:tcBorders>
              <w:left w:val="single" w:sz="4" w:space="0" w:color="auto"/>
            </w:tcBorders>
            <w:shd w:val="clear" w:color="auto" w:fill="D9D9D9" w:themeFill="background1" w:themeFillShade="D9"/>
          </w:tcPr>
          <w:p w:rsidR="00E92ACD" w:rsidRPr="00964F0A" w:rsidRDefault="00E92ACD" w:rsidP="00E92ACD">
            <w:pPr>
              <w:autoSpaceDE w:val="0"/>
              <w:autoSpaceDN w:val="0"/>
              <w:adjustRightInd w:val="0"/>
              <w:ind w:left="216" w:hanging="216"/>
              <w:rPr>
                <w:rFonts w:cs="Arial"/>
                <w:color w:val="000000" w:themeColor="text1"/>
                <w:sz w:val="14"/>
                <w:szCs w:val="14"/>
              </w:rPr>
            </w:pPr>
          </w:p>
        </w:tc>
      </w:tr>
      <w:tr w:rsidR="004E68AE" w:rsidRPr="001B2B02" w:rsidTr="00857392">
        <w:trPr>
          <w:trHeight w:hRule="exact" w:val="187"/>
        </w:trPr>
        <w:tc>
          <w:tcPr>
            <w:tcW w:w="9168" w:type="dxa"/>
            <w:vMerge/>
            <w:tcBorders>
              <w:top w:val="single" w:sz="4" w:space="0" w:color="auto"/>
              <w:left w:val="single" w:sz="4" w:space="0" w:color="auto"/>
              <w:bottom w:val="single" w:sz="4" w:space="0" w:color="auto"/>
              <w:right w:val="single" w:sz="4" w:space="0" w:color="auto"/>
            </w:tcBorders>
            <w:vAlign w:val="center"/>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bottom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r>
              <w:rPr>
                <w:rFonts w:cs="Arial"/>
                <w:color w:val="000000" w:themeColor="text1"/>
                <w:sz w:val="14"/>
                <w:szCs w:val="14"/>
              </w:rPr>
              <w:t>6</w:t>
            </w:r>
          </w:p>
        </w:tc>
        <w:tc>
          <w:tcPr>
            <w:tcW w:w="480" w:type="dxa"/>
            <w:tcBorders>
              <w:left w:val="single" w:sz="4" w:space="0" w:color="auto"/>
              <w:bottom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bottom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bottom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r>
      <w:tr w:rsidR="00A430AD" w:rsidRPr="001B2B02" w:rsidTr="00A430AD">
        <w:trPr>
          <w:trHeight w:hRule="exact" w:val="187"/>
        </w:trPr>
        <w:tc>
          <w:tcPr>
            <w:tcW w:w="9168" w:type="dxa"/>
            <w:vMerge w:val="restart"/>
            <w:tcBorders>
              <w:top w:val="single" w:sz="4" w:space="0" w:color="auto"/>
              <w:left w:val="single" w:sz="4" w:space="0" w:color="auto"/>
              <w:right w:val="single" w:sz="4" w:space="0" w:color="auto"/>
            </w:tcBorders>
            <w:vAlign w:val="center"/>
          </w:tcPr>
          <w:p w:rsidR="00A430AD" w:rsidRPr="00106AC6" w:rsidRDefault="00A430AD" w:rsidP="00A430AD">
            <w:pPr>
              <w:pStyle w:val="ListParagraph"/>
              <w:numPr>
                <w:ilvl w:val="0"/>
                <w:numId w:val="12"/>
              </w:numPr>
              <w:autoSpaceDE w:val="0"/>
              <w:autoSpaceDN w:val="0"/>
              <w:adjustRightInd w:val="0"/>
              <w:ind w:left="216" w:hanging="216"/>
              <w:rPr>
                <w:rFonts w:cs="Arial"/>
                <w:color w:val="000000" w:themeColor="text1"/>
                <w:sz w:val="14"/>
                <w:szCs w:val="14"/>
              </w:rPr>
            </w:pPr>
            <w:r w:rsidRPr="00106AC6">
              <w:rPr>
                <w:rFonts w:eastAsia="Times New Roman"/>
                <w:color w:val="000000"/>
                <w:sz w:val="14"/>
                <w:szCs w:val="14"/>
              </w:rPr>
              <w:t>Subtotal (sum lines 3, 4, 5, and 6)</w:t>
            </w:r>
          </w:p>
        </w:tc>
        <w:tc>
          <w:tcPr>
            <w:tcW w:w="19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430AD" w:rsidRPr="00964F0A" w:rsidRDefault="00A430AD" w:rsidP="00E92ACD">
            <w:pPr>
              <w:autoSpaceDE w:val="0"/>
              <w:autoSpaceDN w:val="0"/>
              <w:adjustRightInd w:val="0"/>
              <w:ind w:left="216" w:hanging="216"/>
              <w:rPr>
                <w:rFonts w:cs="Arial"/>
                <w:color w:val="000000" w:themeColor="text1"/>
                <w:sz w:val="14"/>
                <w:szCs w:val="14"/>
              </w:rPr>
            </w:pPr>
          </w:p>
        </w:tc>
      </w:tr>
      <w:tr w:rsidR="00A430AD" w:rsidRPr="00964F0A" w:rsidTr="00A430AD">
        <w:trPr>
          <w:trHeight w:val="187"/>
        </w:trPr>
        <w:tc>
          <w:tcPr>
            <w:tcW w:w="9168" w:type="dxa"/>
            <w:vMerge/>
            <w:tcBorders>
              <w:left w:val="single" w:sz="4" w:space="0" w:color="auto"/>
              <w:bottom w:val="single" w:sz="4" w:space="0" w:color="auto"/>
              <w:right w:val="single" w:sz="4" w:space="0" w:color="auto"/>
            </w:tcBorders>
            <w:vAlign w:val="center"/>
          </w:tcPr>
          <w:p w:rsidR="00A430AD" w:rsidRPr="00964F0A" w:rsidRDefault="00A430AD" w:rsidP="00CC7294">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p>
        </w:tc>
        <w:tc>
          <w:tcPr>
            <w:tcW w:w="480" w:type="dxa"/>
            <w:tcBorders>
              <w:left w:val="single" w:sz="4" w:space="0" w:color="auto"/>
            </w:tcBorders>
            <w:shd w:val="clear" w:color="auto" w:fill="FFFFFF" w:themeFill="background1"/>
            <w:vAlign w:val="center"/>
          </w:tcPr>
          <w:p w:rsidR="00A430AD" w:rsidRPr="00106AC6" w:rsidRDefault="00A430AD" w:rsidP="00CC7294">
            <w:pPr>
              <w:autoSpaceDE w:val="0"/>
              <w:autoSpaceDN w:val="0"/>
              <w:adjustRightInd w:val="0"/>
              <w:ind w:left="216" w:hanging="216"/>
              <w:rPr>
                <w:rFonts w:cs="Arial"/>
                <w:color w:val="000000" w:themeColor="text1"/>
                <w:sz w:val="14"/>
                <w:szCs w:val="14"/>
              </w:rPr>
            </w:pPr>
            <w:r w:rsidRPr="00106AC6">
              <w:rPr>
                <w:rFonts w:cs="Arial"/>
                <w:color w:val="000000" w:themeColor="text1"/>
                <w:sz w:val="14"/>
                <w:szCs w:val="14"/>
              </w:rPr>
              <w:t>7</w:t>
            </w:r>
          </w:p>
        </w:tc>
        <w:tc>
          <w:tcPr>
            <w:tcW w:w="480" w:type="dxa"/>
            <w:tcBorders>
              <w:left w:val="single" w:sz="4" w:space="0" w:color="auto"/>
            </w:tcBorders>
            <w:shd w:val="clear" w:color="auto" w:fill="FFFFFF" w:themeFill="background1"/>
            <w:vAlign w:val="center"/>
          </w:tcPr>
          <w:p w:rsidR="00A430AD" w:rsidRPr="00964F0A" w:rsidRDefault="00A430AD" w:rsidP="00CC7294">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shd w:val="clear" w:color="auto" w:fill="FFFFFF" w:themeFill="background1"/>
            <w:vAlign w:val="center"/>
          </w:tcPr>
          <w:p w:rsidR="00A430AD" w:rsidRPr="00964F0A" w:rsidRDefault="00A430AD" w:rsidP="00CC7294">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shd w:val="clear" w:color="auto" w:fill="FFFFFF" w:themeFill="background1"/>
            <w:vAlign w:val="center"/>
          </w:tcPr>
          <w:p w:rsidR="00A430AD" w:rsidRPr="00964F0A" w:rsidRDefault="00A430AD" w:rsidP="00CC7294">
            <w:pPr>
              <w:autoSpaceDE w:val="0"/>
              <w:autoSpaceDN w:val="0"/>
              <w:adjustRightInd w:val="0"/>
              <w:ind w:left="216" w:hanging="216"/>
              <w:rPr>
                <w:rFonts w:cs="Arial"/>
                <w:color w:val="000000" w:themeColor="text1"/>
                <w:sz w:val="14"/>
                <w:szCs w:val="14"/>
              </w:rPr>
            </w:pPr>
          </w:p>
        </w:tc>
      </w:tr>
      <w:tr w:rsidR="00E92ACD" w:rsidRPr="00964F0A" w:rsidTr="004E68AE">
        <w:trPr>
          <w:trHeight w:hRule="exact" w:val="187"/>
        </w:trPr>
        <w:tc>
          <w:tcPr>
            <w:tcW w:w="9168" w:type="dxa"/>
            <w:vMerge w:val="restart"/>
            <w:tcBorders>
              <w:top w:val="single" w:sz="4" w:space="0" w:color="auto"/>
              <w:left w:val="single" w:sz="4" w:space="0" w:color="auto"/>
              <w:bottom w:val="single" w:sz="4" w:space="0" w:color="auto"/>
              <w:right w:val="single" w:sz="4" w:space="0" w:color="auto"/>
            </w:tcBorders>
            <w:vAlign w:val="center"/>
          </w:tcPr>
          <w:p w:rsidR="00E92ACD" w:rsidRPr="00964F0A" w:rsidRDefault="00E92ACD" w:rsidP="00E92ACD">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r w:rsidRPr="003740A3">
              <w:rPr>
                <w:rFonts w:eastAsia="Times New Roman"/>
                <w:color w:val="000000"/>
                <w:sz w:val="14"/>
                <w:szCs w:val="14"/>
              </w:rPr>
              <w:t>Dollar portion of any such loan</w:t>
            </w:r>
            <w:r>
              <w:rPr>
                <w:rFonts w:eastAsia="Times New Roman"/>
                <w:color w:val="000000"/>
                <w:sz w:val="14"/>
                <w:szCs w:val="14"/>
              </w:rPr>
              <w:t>s</w:t>
            </w:r>
            <w:r w:rsidRPr="003740A3">
              <w:rPr>
                <w:rFonts w:eastAsia="Times New Roman"/>
                <w:color w:val="000000"/>
                <w:sz w:val="14"/>
                <w:szCs w:val="14"/>
              </w:rPr>
              <w:t xml:space="preserve"> or group of such loans to the same borrower and its affiliates with an original principal or commitment amount greater than $10 million</w:t>
            </w:r>
          </w:p>
        </w:tc>
        <w:tc>
          <w:tcPr>
            <w:tcW w:w="1920" w:type="dxa"/>
            <w:gridSpan w:val="4"/>
            <w:tcBorders>
              <w:left w:val="single" w:sz="4" w:space="0" w:color="auto"/>
            </w:tcBorders>
            <w:shd w:val="clear" w:color="auto" w:fill="D9D9D9" w:themeFill="background1" w:themeFillShade="D9"/>
          </w:tcPr>
          <w:p w:rsidR="00E92ACD" w:rsidRPr="00964F0A" w:rsidRDefault="00E92ACD" w:rsidP="00E92ACD">
            <w:pPr>
              <w:autoSpaceDE w:val="0"/>
              <w:autoSpaceDN w:val="0"/>
              <w:adjustRightInd w:val="0"/>
              <w:ind w:left="216" w:hanging="216"/>
              <w:rPr>
                <w:rFonts w:cs="Arial"/>
                <w:color w:val="000000" w:themeColor="text1"/>
                <w:sz w:val="14"/>
                <w:szCs w:val="14"/>
              </w:rPr>
            </w:pPr>
          </w:p>
        </w:tc>
      </w:tr>
      <w:tr w:rsidR="004E68AE" w:rsidRPr="00964F0A" w:rsidTr="00341998">
        <w:trPr>
          <w:trHeight w:hRule="exact" w:val="187"/>
        </w:trPr>
        <w:tc>
          <w:tcPr>
            <w:tcW w:w="9168" w:type="dxa"/>
            <w:vMerge/>
            <w:tcBorders>
              <w:top w:val="single" w:sz="4" w:space="0" w:color="auto"/>
              <w:left w:val="single" w:sz="4" w:space="0" w:color="auto"/>
              <w:bottom w:val="single" w:sz="4" w:space="0" w:color="auto"/>
              <w:right w:val="single" w:sz="4" w:space="0" w:color="auto"/>
            </w:tcBorders>
            <w:vAlign w:val="center"/>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r>
              <w:rPr>
                <w:rFonts w:cs="Arial"/>
                <w:color w:val="000000" w:themeColor="text1"/>
                <w:sz w:val="14"/>
                <w:szCs w:val="14"/>
              </w:rPr>
              <w:t>8</w:t>
            </w: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r>
      <w:tr w:rsidR="00E92ACD" w:rsidRPr="00964F0A" w:rsidTr="004E68AE">
        <w:trPr>
          <w:trHeight w:hRule="exact" w:val="187"/>
        </w:trPr>
        <w:tc>
          <w:tcPr>
            <w:tcW w:w="9168" w:type="dxa"/>
            <w:vMerge w:val="restart"/>
            <w:tcBorders>
              <w:top w:val="single" w:sz="4" w:space="0" w:color="auto"/>
              <w:left w:val="single" w:sz="4" w:space="0" w:color="auto"/>
              <w:bottom w:val="single" w:sz="4" w:space="0" w:color="auto"/>
              <w:right w:val="single" w:sz="4" w:space="0" w:color="auto"/>
            </w:tcBorders>
            <w:vAlign w:val="center"/>
          </w:tcPr>
          <w:p w:rsidR="00E92ACD" w:rsidRPr="00964F0A" w:rsidRDefault="00E92ACD" w:rsidP="00E92ACD">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r w:rsidRPr="003740A3">
              <w:rPr>
                <w:rFonts w:eastAsia="Times New Roman"/>
                <w:color w:val="000000"/>
                <w:sz w:val="14"/>
                <w:szCs w:val="14"/>
              </w:rPr>
              <w:t xml:space="preserve">Dollar portion of such loans to businesses with more than $50 million in revenues, unless included in line </w:t>
            </w:r>
            <w:r>
              <w:rPr>
                <w:rFonts w:eastAsia="Times New Roman"/>
                <w:color w:val="000000"/>
                <w:sz w:val="14"/>
                <w:szCs w:val="14"/>
              </w:rPr>
              <w:t>8</w:t>
            </w:r>
          </w:p>
        </w:tc>
        <w:tc>
          <w:tcPr>
            <w:tcW w:w="1920" w:type="dxa"/>
            <w:gridSpan w:val="4"/>
            <w:tcBorders>
              <w:left w:val="single" w:sz="4" w:space="0" w:color="auto"/>
            </w:tcBorders>
            <w:shd w:val="clear" w:color="auto" w:fill="D9D9D9" w:themeFill="background1" w:themeFillShade="D9"/>
          </w:tcPr>
          <w:p w:rsidR="00E92ACD" w:rsidRPr="00964F0A" w:rsidRDefault="00E92ACD" w:rsidP="00E92ACD">
            <w:pPr>
              <w:autoSpaceDE w:val="0"/>
              <w:autoSpaceDN w:val="0"/>
              <w:adjustRightInd w:val="0"/>
              <w:ind w:left="216" w:hanging="216"/>
              <w:rPr>
                <w:rFonts w:cs="Arial"/>
                <w:color w:val="000000" w:themeColor="text1"/>
                <w:sz w:val="14"/>
                <w:szCs w:val="14"/>
              </w:rPr>
            </w:pPr>
          </w:p>
        </w:tc>
      </w:tr>
      <w:tr w:rsidR="004E68AE" w:rsidRPr="00964F0A" w:rsidTr="00341998">
        <w:trPr>
          <w:trHeight w:hRule="exact" w:val="187"/>
        </w:trPr>
        <w:tc>
          <w:tcPr>
            <w:tcW w:w="9168" w:type="dxa"/>
            <w:vMerge/>
            <w:tcBorders>
              <w:top w:val="single" w:sz="4" w:space="0" w:color="auto"/>
              <w:left w:val="single" w:sz="4" w:space="0" w:color="auto"/>
              <w:bottom w:val="single" w:sz="4" w:space="0" w:color="auto"/>
              <w:right w:val="single" w:sz="4" w:space="0" w:color="auto"/>
            </w:tcBorders>
            <w:vAlign w:val="center"/>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r>
              <w:rPr>
                <w:rFonts w:cs="Arial"/>
                <w:color w:val="000000" w:themeColor="text1"/>
                <w:sz w:val="14"/>
                <w:szCs w:val="14"/>
              </w:rPr>
              <w:t>9</w:t>
            </w: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r>
      <w:tr w:rsidR="00E92ACD" w:rsidRPr="00964F0A" w:rsidTr="004E68AE">
        <w:trPr>
          <w:trHeight w:hRule="exact" w:val="187"/>
        </w:trPr>
        <w:tc>
          <w:tcPr>
            <w:tcW w:w="9168" w:type="dxa"/>
            <w:vMerge w:val="restart"/>
            <w:tcBorders>
              <w:top w:val="single" w:sz="4" w:space="0" w:color="auto"/>
              <w:left w:val="single" w:sz="4" w:space="0" w:color="auto"/>
              <w:bottom w:val="single" w:sz="4" w:space="0" w:color="auto"/>
              <w:right w:val="single" w:sz="4" w:space="0" w:color="auto"/>
            </w:tcBorders>
            <w:vAlign w:val="center"/>
          </w:tcPr>
          <w:p w:rsidR="00E92ACD" w:rsidRPr="00964F0A" w:rsidRDefault="00E92ACD" w:rsidP="00E92ACD">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r w:rsidRPr="003740A3">
              <w:rPr>
                <w:rFonts w:eastAsia="Times New Roman"/>
                <w:color w:val="000000"/>
                <w:sz w:val="14"/>
                <w:szCs w:val="14"/>
              </w:rPr>
              <w:t xml:space="preserve">Dollar portion of line </w:t>
            </w:r>
            <w:r>
              <w:rPr>
                <w:rFonts w:eastAsia="Times New Roman"/>
                <w:color w:val="000000"/>
                <w:sz w:val="14"/>
                <w:szCs w:val="14"/>
              </w:rPr>
              <w:t>7</w:t>
            </w:r>
            <w:r w:rsidRPr="003740A3">
              <w:rPr>
                <w:rFonts w:eastAsia="Times New Roman"/>
                <w:color w:val="000000"/>
                <w:sz w:val="14"/>
                <w:szCs w:val="14"/>
              </w:rPr>
              <w:t xml:space="preserve"> guaranteed by the U.S. government, unless included in lines </w:t>
            </w:r>
            <w:r>
              <w:rPr>
                <w:rFonts w:eastAsia="Times New Roman"/>
                <w:color w:val="000000"/>
                <w:sz w:val="14"/>
                <w:szCs w:val="14"/>
              </w:rPr>
              <w:t>8</w:t>
            </w:r>
            <w:r w:rsidRPr="003740A3">
              <w:rPr>
                <w:rFonts w:eastAsia="Times New Roman"/>
                <w:color w:val="000000"/>
                <w:sz w:val="14"/>
                <w:szCs w:val="14"/>
              </w:rPr>
              <w:t xml:space="preserve"> or </w:t>
            </w:r>
            <w:r>
              <w:rPr>
                <w:rFonts w:eastAsia="Times New Roman"/>
                <w:color w:val="000000"/>
                <w:sz w:val="14"/>
                <w:szCs w:val="14"/>
              </w:rPr>
              <w:t>9</w:t>
            </w:r>
          </w:p>
        </w:tc>
        <w:tc>
          <w:tcPr>
            <w:tcW w:w="1920" w:type="dxa"/>
            <w:gridSpan w:val="4"/>
            <w:tcBorders>
              <w:left w:val="single" w:sz="4" w:space="0" w:color="auto"/>
            </w:tcBorders>
            <w:shd w:val="clear" w:color="auto" w:fill="D9D9D9" w:themeFill="background1" w:themeFillShade="D9"/>
          </w:tcPr>
          <w:p w:rsidR="00E92ACD" w:rsidRPr="00964F0A" w:rsidRDefault="00E92ACD" w:rsidP="00E92ACD">
            <w:pPr>
              <w:autoSpaceDE w:val="0"/>
              <w:autoSpaceDN w:val="0"/>
              <w:adjustRightInd w:val="0"/>
              <w:ind w:left="216" w:hanging="216"/>
              <w:rPr>
                <w:rFonts w:cs="Arial"/>
                <w:color w:val="000000" w:themeColor="text1"/>
                <w:sz w:val="14"/>
                <w:szCs w:val="14"/>
              </w:rPr>
            </w:pPr>
          </w:p>
        </w:tc>
      </w:tr>
      <w:tr w:rsidR="004E68AE" w:rsidRPr="00964F0A" w:rsidTr="00341998">
        <w:trPr>
          <w:trHeight w:hRule="exact" w:val="187"/>
        </w:trPr>
        <w:tc>
          <w:tcPr>
            <w:tcW w:w="9168" w:type="dxa"/>
            <w:vMerge/>
            <w:tcBorders>
              <w:top w:val="single" w:sz="4" w:space="0" w:color="auto"/>
              <w:left w:val="single" w:sz="4" w:space="0" w:color="auto"/>
              <w:bottom w:val="single" w:sz="4" w:space="0" w:color="auto"/>
              <w:right w:val="single" w:sz="4" w:space="0" w:color="auto"/>
            </w:tcBorders>
            <w:vAlign w:val="center"/>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r>
              <w:rPr>
                <w:rFonts w:cs="Arial"/>
                <w:color w:val="000000" w:themeColor="text1"/>
                <w:sz w:val="14"/>
                <w:szCs w:val="14"/>
              </w:rPr>
              <w:t>10</w:t>
            </w: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r>
      <w:tr w:rsidR="00E92ACD" w:rsidRPr="00964F0A" w:rsidTr="004E68AE">
        <w:trPr>
          <w:trHeight w:hRule="exact" w:val="187"/>
        </w:trPr>
        <w:tc>
          <w:tcPr>
            <w:tcW w:w="9168" w:type="dxa"/>
            <w:vMerge w:val="restart"/>
            <w:tcBorders>
              <w:top w:val="single" w:sz="4" w:space="0" w:color="auto"/>
              <w:left w:val="single" w:sz="4" w:space="0" w:color="auto"/>
              <w:bottom w:val="single" w:sz="4" w:space="0" w:color="auto"/>
              <w:right w:val="single" w:sz="4" w:space="0" w:color="auto"/>
            </w:tcBorders>
            <w:vAlign w:val="center"/>
          </w:tcPr>
          <w:p w:rsidR="00E92ACD" w:rsidRPr="00964F0A" w:rsidRDefault="00E92ACD" w:rsidP="00E92ACD">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r w:rsidRPr="003740A3">
              <w:rPr>
                <w:rFonts w:eastAsia="Times New Roman"/>
                <w:color w:val="000000"/>
                <w:sz w:val="14"/>
                <w:szCs w:val="14"/>
              </w:rPr>
              <w:t xml:space="preserve">Dollar portion of line </w:t>
            </w:r>
            <w:r>
              <w:rPr>
                <w:rFonts w:eastAsia="Times New Roman"/>
                <w:color w:val="000000"/>
                <w:sz w:val="14"/>
                <w:szCs w:val="14"/>
              </w:rPr>
              <w:t>7</w:t>
            </w:r>
            <w:r w:rsidRPr="003740A3">
              <w:rPr>
                <w:rFonts w:eastAsia="Times New Roman"/>
                <w:color w:val="000000"/>
                <w:sz w:val="14"/>
                <w:szCs w:val="14"/>
              </w:rPr>
              <w:t xml:space="preserve"> where a third party has assumed an inte</w:t>
            </w:r>
            <w:r>
              <w:rPr>
                <w:rFonts w:eastAsia="Times New Roman"/>
                <w:color w:val="000000"/>
                <w:sz w:val="14"/>
                <w:szCs w:val="14"/>
              </w:rPr>
              <w:t>rest, unless included in lines 8,</w:t>
            </w:r>
            <w:r w:rsidRPr="003740A3">
              <w:rPr>
                <w:rFonts w:eastAsia="Times New Roman"/>
                <w:color w:val="000000"/>
                <w:sz w:val="14"/>
                <w:szCs w:val="14"/>
              </w:rPr>
              <w:t xml:space="preserve"> </w:t>
            </w:r>
            <w:r>
              <w:rPr>
                <w:rFonts w:eastAsia="Times New Roman"/>
                <w:color w:val="000000"/>
                <w:sz w:val="14"/>
                <w:szCs w:val="14"/>
              </w:rPr>
              <w:t>9</w:t>
            </w:r>
            <w:r w:rsidRPr="003740A3">
              <w:rPr>
                <w:rFonts w:eastAsia="Times New Roman"/>
                <w:color w:val="000000"/>
                <w:sz w:val="14"/>
                <w:szCs w:val="14"/>
              </w:rPr>
              <w:t xml:space="preserve">, or </w:t>
            </w:r>
            <w:r>
              <w:rPr>
                <w:rFonts w:eastAsia="Times New Roman"/>
                <w:color w:val="000000"/>
                <w:sz w:val="14"/>
                <w:szCs w:val="14"/>
              </w:rPr>
              <w:t>10</w:t>
            </w:r>
          </w:p>
        </w:tc>
        <w:tc>
          <w:tcPr>
            <w:tcW w:w="1920" w:type="dxa"/>
            <w:gridSpan w:val="4"/>
            <w:tcBorders>
              <w:left w:val="single" w:sz="4" w:space="0" w:color="auto"/>
            </w:tcBorders>
            <w:shd w:val="clear" w:color="auto" w:fill="D9D9D9" w:themeFill="background1" w:themeFillShade="D9"/>
          </w:tcPr>
          <w:p w:rsidR="00E92ACD" w:rsidRPr="00964F0A" w:rsidRDefault="00E92ACD" w:rsidP="00E92ACD">
            <w:pPr>
              <w:autoSpaceDE w:val="0"/>
              <w:autoSpaceDN w:val="0"/>
              <w:adjustRightInd w:val="0"/>
              <w:ind w:left="216" w:hanging="216"/>
              <w:rPr>
                <w:rFonts w:cs="Arial"/>
                <w:color w:val="000000" w:themeColor="text1"/>
                <w:sz w:val="14"/>
                <w:szCs w:val="14"/>
              </w:rPr>
            </w:pPr>
          </w:p>
        </w:tc>
      </w:tr>
      <w:tr w:rsidR="004E68AE" w:rsidRPr="00964F0A" w:rsidTr="00341998">
        <w:trPr>
          <w:trHeight w:hRule="exact" w:val="187"/>
        </w:trPr>
        <w:tc>
          <w:tcPr>
            <w:tcW w:w="9168" w:type="dxa"/>
            <w:vMerge/>
            <w:tcBorders>
              <w:top w:val="single" w:sz="4" w:space="0" w:color="auto"/>
              <w:left w:val="single" w:sz="4" w:space="0" w:color="auto"/>
              <w:bottom w:val="single" w:sz="4" w:space="0" w:color="auto"/>
              <w:right w:val="single" w:sz="4" w:space="0" w:color="auto"/>
            </w:tcBorders>
            <w:vAlign w:val="center"/>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bottom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r>
              <w:rPr>
                <w:rFonts w:cs="Arial"/>
                <w:color w:val="000000" w:themeColor="text1"/>
                <w:sz w:val="14"/>
                <w:szCs w:val="14"/>
              </w:rPr>
              <w:t>11</w:t>
            </w:r>
          </w:p>
        </w:tc>
        <w:tc>
          <w:tcPr>
            <w:tcW w:w="480" w:type="dxa"/>
            <w:tcBorders>
              <w:left w:val="single" w:sz="4" w:space="0" w:color="auto"/>
              <w:bottom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bottom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bottom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r>
      <w:tr w:rsidR="004E68AE" w:rsidRPr="00964F0A" w:rsidTr="004E68AE">
        <w:trPr>
          <w:trHeight w:hRule="exact" w:val="187"/>
        </w:trPr>
        <w:tc>
          <w:tcPr>
            <w:tcW w:w="11088" w:type="dxa"/>
            <w:gridSpan w:val="5"/>
            <w:tcBorders>
              <w:top w:val="single" w:sz="4" w:space="0" w:color="auto"/>
              <w:left w:val="nil"/>
              <w:bottom w:val="single" w:sz="4" w:space="0" w:color="auto"/>
              <w:right w:val="nil"/>
            </w:tcBorders>
            <w:vAlign w:val="center"/>
          </w:tcPr>
          <w:p w:rsidR="004E68AE" w:rsidRPr="00964F0A" w:rsidRDefault="004E68AE" w:rsidP="00E92ACD">
            <w:pPr>
              <w:autoSpaceDE w:val="0"/>
              <w:autoSpaceDN w:val="0"/>
              <w:adjustRightInd w:val="0"/>
              <w:ind w:left="216" w:hanging="216"/>
              <w:rPr>
                <w:rFonts w:cs="Arial"/>
                <w:color w:val="000000" w:themeColor="text1"/>
                <w:sz w:val="14"/>
                <w:szCs w:val="14"/>
              </w:rPr>
            </w:pPr>
          </w:p>
        </w:tc>
      </w:tr>
      <w:tr w:rsidR="00A430AD" w:rsidRPr="00964F0A" w:rsidTr="00A430AD">
        <w:trPr>
          <w:trHeight w:hRule="exact" w:val="187"/>
        </w:trPr>
        <w:tc>
          <w:tcPr>
            <w:tcW w:w="9168" w:type="dxa"/>
            <w:vMerge w:val="restart"/>
            <w:tcBorders>
              <w:top w:val="single" w:sz="4" w:space="0" w:color="auto"/>
              <w:left w:val="single" w:sz="4" w:space="0" w:color="auto"/>
              <w:right w:val="single" w:sz="4" w:space="0" w:color="auto"/>
            </w:tcBorders>
            <w:vAlign w:val="center"/>
          </w:tcPr>
          <w:p w:rsidR="00A430AD" w:rsidRPr="00106AC6" w:rsidRDefault="00A430AD" w:rsidP="002E4246">
            <w:pPr>
              <w:pStyle w:val="ListParagraph"/>
              <w:numPr>
                <w:ilvl w:val="0"/>
                <w:numId w:val="12"/>
              </w:numPr>
              <w:autoSpaceDE w:val="0"/>
              <w:autoSpaceDN w:val="0"/>
              <w:adjustRightInd w:val="0"/>
              <w:ind w:left="216" w:hanging="216"/>
              <w:rPr>
                <w:rFonts w:cs="Arial"/>
                <w:color w:val="000000" w:themeColor="text1"/>
                <w:sz w:val="14"/>
                <w:szCs w:val="14"/>
              </w:rPr>
            </w:pPr>
            <w:r w:rsidRPr="00106AC6">
              <w:rPr>
                <w:rFonts w:eastAsia="Times New Roman"/>
                <w:color w:val="000000"/>
                <w:sz w:val="14"/>
                <w:szCs w:val="14"/>
              </w:rPr>
              <w:t>Total cumulative reported qualified business lending increases resulting from an acquisition of, or merger with, another institution, and/or purchases of such loans (line 12 equals line 2 plus line 7 minus lines 8, 9, 10, and 11)</w:t>
            </w:r>
          </w:p>
        </w:tc>
        <w:tc>
          <w:tcPr>
            <w:tcW w:w="480" w:type="dxa"/>
            <w:tcBorders>
              <w:left w:val="single" w:sz="4" w:space="0" w:color="auto"/>
              <w:bottom w:val="nil"/>
            </w:tcBorders>
            <w:vAlign w:val="bottom"/>
          </w:tcPr>
          <w:p w:rsidR="00A430AD" w:rsidRPr="00106AC6" w:rsidRDefault="00A430AD"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bottom w:val="nil"/>
            </w:tcBorders>
            <w:vAlign w:val="bottom"/>
          </w:tcPr>
          <w:p w:rsidR="00A430AD" w:rsidRPr="00964F0A" w:rsidRDefault="00A430AD"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bottom w:val="nil"/>
            </w:tcBorders>
            <w:vAlign w:val="bottom"/>
          </w:tcPr>
          <w:p w:rsidR="00A430AD" w:rsidRPr="00964F0A" w:rsidRDefault="00A430AD"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bottom w:val="nil"/>
            </w:tcBorders>
            <w:vAlign w:val="bottom"/>
          </w:tcPr>
          <w:p w:rsidR="00A430AD" w:rsidRPr="00964F0A" w:rsidRDefault="00A430AD" w:rsidP="00E92ACD">
            <w:pPr>
              <w:autoSpaceDE w:val="0"/>
              <w:autoSpaceDN w:val="0"/>
              <w:adjustRightInd w:val="0"/>
              <w:ind w:left="216" w:hanging="216"/>
              <w:rPr>
                <w:rFonts w:cs="Arial"/>
                <w:color w:val="000000" w:themeColor="text1"/>
                <w:sz w:val="14"/>
                <w:szCs w:val="14"/>
              </w:rPr>
            </w:pPr>
          </w:p>
        </w:tc>
      </w:tr>
      <w:tr w:rsidR="00A430AD" w:rsidRPr="00964F0A" w:rsidTr="00A430AD">
        <w:trPr>
          <w:trHeight w:hRule="exact" w:val="187"/>
        </w:trPr>
        <w:tc>
          <w:tcPr>
            <w:tcW w:w="9168" w:type="dxa"/>
            <w:vMerge/>
            <w:tcBorders>
              <w:left w:val="single" w:sz="4" w:space="0" w:color="auto"/>
              <w:bottom w:val="single" w:sz="4" w:space="0" w:color="auto"/>
              <w:right w:val="single" w:sz="4" w:space="0" w:color="auto"/>
            </w:tcBorders>
            <w:vAlign w:val="center"/>
          </w:tcPr>
          <w:p w:rsidR="00A430AD" w:rsidRPr="00106AC6" w:rsidRDefault="00A430AD" w:rsidP="004E68AE">
            <w:pPr>
              <w:pStyle w:val="ListParagraph"/>
              <w:numPr>
                <w:ilvl w:val="0"/>
                <w:numId w:val="12"/>
              </w:numPr>
              <w:autoSpaceDE w:val="0"/>
              <w:autoSpaceDN w:val="0"/>
              <w:adjustRightInd w:val="0"/>
              <w:ind w:left="216" w:hanging="216"/>
              <w:rPr>
                <w:rFonts w:eastAsia="Times New Roman"/>
                <w:color w:val="000000"/>
                <w:sz w:val="14"/>
                <w:szCs w:val="14"/>
              </w:rPr>
            </w:pPr>
          </w:p>
        </w:tc>
        <w:tc>
          <w:tcPr>
            <w:tcW w:w="480" w:type="dxa"/>
            <w:tcBorders>
              <w:top w:val="nil"/>
              <w:left w:val="single" w:sz="4" w:space="0" w:color="auto"/>
            </w:tcBorders>
            <w:vAlign w:val="bottom"/>
          </w:tcPr>
          <w:p w:rsidR="00A430AD" w:rsidRPr="00106AC6" w:rsidRDefault="00A430AD" w:rsidP="00E92ACD">
            <w:pPr>
              <w:autoSpaceDE w:val="0"/>
              <w:autoSpaceDN w:val="0"/>
              <w:adjustRightInd w:val="0"/>
              <w:ind w:left="216" w:hanging="216"/>
              <w:rPr>
                <w:rFonts w:cs="Arial"/>
                <w:color w:val="000000" w:themeColor="text1"/>
                <w:sz w:val="14"/>
                <w:szCs w:val="14"/>
              </w:rPr>
            </w:pPr>
            <w:r w:rsidRPr="00106AC6">
              <w:rPr>
                <w:rFonts w:cs="Arial"/>
                <w:color w:val="000000" w:themeColor="text1"/>
                <w:sz w:val="14"/>
                <w:szCs w:val="14"/>
              </w:rPr>
              <w:t>12</w:t>
            </w:r>
          </w:p>
        </w:tc>
        <w:tc>
          <w:tcPr>
            <w:tcW w:w="480" w:type="dxa"/>
            <w:tcBorders>
              <w:top w:val="nil"/>
              <w:left w:val="single" w:sz="4" w:space="0" w:color="auto"/>
            </w:tcBorders>
            <w:vAlign w:val="bottom"/>
          </w:tcPr>
          <w:p w:rsidR="00A430AD" w:rsidRPr="00964F0A" w:rsidRDefault="00A430AD" w:rsidP="00E92ACD">
            <w:pPr>
              <w:autoSpaceDE w:val="0"/>
              <w:autoSpaceDN w:val="0"/>
              <w:adjustRightInd w:val="0"/>
              <w:ind w:left="216" w:hanging="216"/>
              <w:rPr>
                <w:rFonts w:cs="Arial"/>
                <w:color w:val="000000" w:themeColor="text1"/>
                <w:sz w:val="14"/>
                <w:szCs w:val="14"/>
              </w:rPr>
            </w:pPr>
          </w:p>
        </w:tc>
        <w:tc>
          <w:tcPr>
            <w:tcW w:w="480" w:type="dxa"/>
            <w:tcBorders>
              <w:top w:val="nil"/>
              <w:left w:val="single" w:sz="4" w:space="0" w:color="auto"/>
            </w:tcBorders>
            <w:vAlign w:val="bottom"/>
          </w:tcPr>
          <w:p w:rsidR="00A430AD" w:rsidRPr="00964F0A" w:rsidRDefault="00A430AD" w:rsidP="00E92ACD">
            <w:pPr>
              <w:autoSpaceDE w:val="0"/>
              <w:autoSpaceDN w:val="0"/>
              <w:adjustRightInd w:val="0"/>
              <w:ind w:left="216" w:hanging="216"/>
              <w:rPr>
                <w:rFonts w:cs="Arial"/>
                <w:color w:val="000000" w:themeColor="text1"/>
                <w:sz w:val="14"/>
                <w:szCs w:val="14"/>
              </w:rPr>
            </w:pPr>
          </w:p>
        </w:tc>
        <w:tc>
          <w:tcPr>
            <w:tcW w:w="480" w:type="dxa"/>
            <w:tcBorders>
              <w:top w:val="nil"/>
              <w:left w:val="single" w:sz="4" w:space="0" w:color="auto"/>
            </w:tcBorders>
            <w:vAlign w:val="bottom"/>
          </w:tcPr>
          <w:p w:rsidR="00A430AD" w:rsidRPr="00964F0A" w:rsidRDefault="00A430AD" w:rsidP="00E92ACD">
            <w:pPr>
              <w:autoSpaceDE w:val="0"/>
              <w:autoSpaceDN w:val="0"/>
              <w:adjustRightInd w:val="0"/>
              <w:ind w:left="216" w:hanging="216"/>
              <w:rPr>
                <w:rFonts w:cs="Arial"/>
                <w:color w:val="000000" w:themeColor="text1"/>
                <w:sz w:val="14"/>
                <w:szCs w:val="14"/>
              </w:rPr>
            </w:pPr>
          </w:p>
        </w:tc>
      </w:tr>
      <w:tr w:rsidR="00A430AD" w:rsidRPr="00964F0A" w:rsidTr="00A430AD">
        <w:trPr>
          <w:trHeight w:hRule="exact" w:val="187"/>
        </w:trPr>
        <w:tc>
          <w:tcPr>
            <w:tcW w:w="9168" w:type="dxa"/>
            <w:tcBorders>
              <w:top w:val="single" w:sz="4" w:space="0" w:color="auto"/>
              <w:left w:val="single" w:sz="4" w:space="0" w:color="auto"/>
              <w:bottom w:val="single" w:sz="4" w:space="0" w:color="auto"/>
              <w:right w:val="single" w:sz="4" w:space="0" w:color="auto"/>
            </w:tcBorders>
            <w:vAlign w:val="center"/>
          </w:tcPr>
          <w:p w:rsidR="00A430AD" w:rsidRPr="00106AC6" w:rsidRDefault="00A430AD" w:rsidP="004E68AE">
            <w:pPr>
              <w:pStyle w:val="ListParagraph"/>
              <w:numPr>
                <w:ilvl w:val="0"/>
                <w:numId w:val="12"/>
              </w:numPr>
              <w:autoSpaceDE w:val="0"/>
              <w:autoSpaceDN w:val="0"/>
              <w:adjustRightInd w:val="0"/>
              <w:ind w:left="216" w:hanging="216"/>
              <w:rPr>
                <w:rFonts w:cs="Arial"/>
                <w:color w:val="000000" w:themeColor="text1"/>
                <w:sz w:val="14"/>
                <w:szCs w:val="14"/>
              </w:rPr>
            </w:pPr>
            <w:r w:rsidRPr="00106AC6">
              <w:rPr>
                <w:rFonts w:eastAsia="Times New Roman"/>
                <w:color w:val="000000"/>
                <w:sz w:val="14"/>
                <w:szCs w:val="14"/>
              </w:rPr>
              <w:t>Quarter-End Adjusted Small Business Lending Baseline (line 13 equals line 1 plus line 12)</w:t>
            </w:r>
          </w:p>
        </w:tc>
        <w:tc>
          <w:tcPr>
            <w:tcW w:w="480" w:type="dxa"/>
            <w:tcBorders>
              <w:left w:val="single" w:sz="4" w:space="0" w:color="auto"/>
            </w:tcBorders>
            <w:vAlign w:val="bottom"/>
          </w:tcPr>
          <w:p w:rsidR="00A430AD" w:rsidRPr="00106AC6" w:rsidRDefault="00A430AD" w:rsidP="00E92ACD">
            <w:pPr>
              <w:autoSpaceDE w:val="0"/>
              <w:autoSpaceDN w:val="0"/>
              <w:adjustRightInd w:val="0"/>
              <w:ind w:left="216" w:hanging="216"/>
              <w:rPr>
                <w:rFonts w:cs="Arial"/>
                <w:color w:val="000000" w:themeColor="text1"/>
                <w:sz w:val="14"/>
                <w:szCs w:val="14"/>
              </w:rPr>
            </w:pPr>
            <w:r w:rsidRPr="00106AC6">
              <w:rPr>
                <w:rFonts w:cs="Arial"/>
                <w:color w:val="000000" w:themeColor="text1"/>
                <w:sz w:val="14"/>
                <w:szCs w:val="14"/>
              </w:rPr>
              <w:t>13</w:t>
            </w:r>
          </w:p>
        </w:tc>
        <w:tc>
          <w:tcPr>
            <w:tcW w:w="480" w:type="dxa"/>
            <w:tcBorders>
              <w:left w:val="single" w:sz="4" w:space="0" w:color="auto"/>
            </w:tcBorders>
            <w:vAlign w:val="bottom"/>
          </w:tcPr>
          <w:p w:rsidR="00A430AD" w:rsidRPr="00964F0A" w:rsidRDefault="00A430AD"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A430AD" w:rsidRPr="00964F0A" w:rsidRDefault="00A430AD"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A430AD" w:rsidRPr="00964F0A" w:rsidRDefault="00A430AD" w:rsidP="00E92ACD">
            <w:pPr>
              <w:autoSpaceDE w:val="0"/>
              <w:autoSpaceDN w:val="0"/>
              <w:adjustRightInd w:val="0"/>
              <w:ind w:left="216" w:hanging="216"/>
              <w:rPr>
                <w:rFonts w:cs="Arial"/>
                <w:color w:val="000000" w:themeColor="text1"/>
                <w:sz w:val="14"/>
                <w:szCs w:val="14"/>
              </w:rPr>
            </w:pPr>
          </w:p>
        </w:tc>
      </w:tr>
    </w:tbl>
    <w:p w:rsidR="0077603A" w:rsidRDefault="0077603A" w:rsidP="003535F8">
      <w:pPr>
        <w:autoSpaceDE w:val="0"/>
        <w:autoSpaceDN w:val="0"/>
        <w:adjustRightInd w:val="0"/>
        <w:spacing w:after="0" w:line="240" w:lineRule="auto"/>
        <w:rPr>
          <w:rFonts w:ascii="Calibri" w:hAnsi="Calibri" w:cs="Arial"/>
          <w:sz w:val="20"/>
          <w:szCs w:val="20"/>
        </w:rPr>
      </w:pPr>
    </w:p>
    <w:p w:rsidR="003535F8" w:rsidRPr="00072B02" w:rsidRDefault="009E28BB" w:rsidP="00947DC7">
      <w:pPr>
        <w:autoSpaceDE w:val="0"/>
        <w:autoSpaceDN w:val="0"/>
        <w:adjustRightInd w:val="0"/>
        <w:spacing w:after="0" w:line="240" w:lineRule="auto"/>
        <w:rPr>
          <w:rFonts w:ascii="Calibri" w:hAnsi="Calibri" w:cs="Arial"/>
          <w:b/>
          <w:sz w:val="32"/>
          <w:szCs w:val="32"/>
        </w:rPr>
      </w:pPr>
      <w:bookmarkStart w:id="2" w:name="QuarterEndQualifiedSmallBus"/>
      <w:r w:rsidRPr="004F2CD3">
        <w:rPr>
          <w:rFonts w:ascii="Calibri" w:hAnsi="Calibri" w:cs="Arial"/>
          <w:b/>
          <w:sz w:val="32"/>
          <w:szCs w:val="32"/>
        </w:rPr>
        <w:t>Quarter</w:t>
      </w:r>
      <w:r w:rsidR="00313753">
        <w:rPr>
          <w:rFonts w:ascii="Calibri" w:hAnsi="Calibri" w:cs="Arial"/>
          <w:b/>
          <w:sz w:val="32"/>
          <w:szCs w:val="32"/>
        </w:rPr>
        <w:t>-End</w:t>
      </w:r>
      <w:r w:rsidR="003535F8" w:rsidRPr="004F2CD3">
        <w:rPr>
          <w:rFonts w:ascii="Calibri" w:hAnsi="Calibri" w:cs="Arial"/>
          <w:b/>
          <w:sz w:val="32"/>
          <w:szCs w:val="32"/>
        </w:rPr>
        <w:t xml:space="preserve"> Qualified Small Business Lending</w:t>
      </w:r>
    </w:p>
    <w:bookmarkEnd w:id="2"/>
    <w:p w:rsidR="00362630" w:rsidRDefault="00BA0808" w:rsidP="006C4C48">
      <w:pPr>
        <w:spacing w:after="0" w:line="240" w:lineRule="auto"/>
        <w:rPr>
          <w:rFonts w:cs="Arial"/>
          <w:sz w:val="20"/>
          <w:szCs w:val="20"/>
        </w:rPr>
      </w:pPr>
      <w:r w:rsidRPr="007776FD">
        <w:rPr>
          <w:rFonts w:ascii="Calibri" w:hAnsi="Calibri" w:cs="Arial"/>
          <w:sz w:val="20"/>
          <w:szCs w:val="20"/>
        </w:rPr>
        <w:t xml:space="preserve">All banks </w:t>
      </w:r>
      <w:r w:rsidR="00857392" w:rsidRPr="007776FD">
        <w:rPr>
          <w:rFonts w:ascii="Calibri" w:hAnsi="Calibri" w:cs="Arial"/>
          <w:sz w:val="20"/>
          <w:szCs w:val="20"/>
        </w:rPr>
        <w:t xml:space="preserve">and savings associations </w:t>
      </w:r>
      <w:r w:rsidR="003535F8" w:rsidRPr="007776FD">
        <w:rPr>
          <w:rFonts w:ascii="Calibri" w:hAnsi="Calibri" w:cs="Arial"/>
          <w:sz w:val="20"/>
          <w:szCs w:val="20"/>
        </w:rPr>
        <w:t>participating in</w:t>
      </w:r>
      <w:r w:rsidRPr="007776FD">
        <w:rPr>
          <w:rFonts w:ascii="Calibri" w:hAnsi="Calibri" w:cs="Arial"/>
          <w:sz w:val="20"/>
          <w:szCs w:val="20"/>
        </w:rPr>
        <w:t xml:space="preserve"> the Small Business Lending Fund must complete this </w:t>
      </w:r>
      <w:r w:rsidR="003535F8" w:rsidRPr="007776FD">
        <w:rPr>
          <w:rFonts w:ascii="Calibri" w:hAnsi="Calibri" w:cs="Arial"/>
          <w:sz w:val="20"/>
          <w:szCs w:val="20"/>
        </w:rPr>
        <w:t>section</w:t>
      </w:r>
      <w:r w:rsidRPr="007776FD">
        <w:rPr>
          <w:rFonts w:ascii="Calibri" w:hAnsi="Calibri" w:cs="Arial"/>
          <w:sz w:val="20"/>
          <w:szCs w:val="20"/>
        </w:rPr>
        <w:t>.</w:t>
      </w:r>
      <w:r w:rsidR="00DC4F59" w:rsidRPr="007776FD">
        <w:rPr>
          <w:rFonts w:ascii="Calibri" w:hAnsi="Calibri" w:cs="Arial"/>
          <w:sz w:val="20"/>
          <w:szCs w:val="20"/>
        </w:rPr>
        <w:t xml:space="preserve"> </w:t>
      </w:r>
      <w:r w:rsidR="003B6E9C" w:rsidRPr="007776FD">
        <w:rPr>
          <w:rFonts w:ascii="Calibri" w:hAnsi="Calibri" w:cs="Arial"/>
          <w:sz w:val="20"/>
          <w:szCs w:val="20"/>
        </w:rPr>
        <w:t xml:space="preserve"> </w:t>
      </w:r>
      <w:r w:rsidR="003763E5" w:rsidRPr="007776FD">
        <w:rPr>
          <w:rFonts w:ascii="Calibri" w:hAnsi="Calibri" w:cs="Arial"/>
          <w:sz w:val="20"/>
          <w:szCs w:val="20"/>
        </w:rPr>
        <w:t>All figures are to be reported in thousands of dollars.</w:t>
      </w:r>
      <w:r w:rsidR="003B6E9C" w:rsidRPr="007776FD">
        <w:rPr>
          <w:rFonts w:ascii="Calibri" w:hAnsi="Calibri" w:cs="Arial"/>
          <w:sz w:val="20"/>
          <w:szCs w:val="20"/>
        </w:rPr>
        <w:t xml:space="preserve">  </w:t>
      </w:r>
      <w:r w:rsidR="005F511F" w:rsidRPr="007776FD">
        <w:rPr>
          <w:rFonts w:ascii="Calibri" w:hAnsi="Calibri" w:cs="Arial"/>
          <w:sz w:val="20"/>
          <w:szCs w:val="20"/>
        </w:rPr>
        <w:t>A</w:t>
      </w:r>
      <w:r w:rsidR="00E159C1" w:rsidRPr="007776FD">
        <w:rPr>
          <w:rFonts w:ascii="Calibri" w:hAnsi="Calibri" w:cs="Arial"/>
          <w:sz w:val="20"/>
          <w:szCs w:val="20"/>
        </w:rPr>
        <w:t xml:space="preserve">mounts should reflect information </w:t>
      </w:r>
      <w:r w:rsidR="00526C48" w:rsidRPr="007776FD">
        <w:rPr>
          <w:rFonts w:ascii="Calibri" w:hAnsi="Calibri" w:cs="Arial"/>
          <w:sz w:val="20"/>
          <w:szCs w:val="20"/>
        </w:rPr>
        <w:t xml:space="preserve">on the Call Report with which the </w:t>
      </w:r>
      <w:r w:rsidR="000A221D" w:rsidRPr="007776FD">
        <w:rPr>
          <w:rFonts w:ascii="Calibri" w:hAnsi="Calibri" w:cs="Arial"/>
          <w:sz w:val="20"/>
          <w:szCs w:val="20"/>
        </w:rPr>
        <w:t xml:space="preserve">Quarterly </w:t>
      </w:r>
      <w:r w:rsidR="00526C48" w:rsidRPr="007776FD">
        <w:rPr>
          <w:rFonts w:ascii="Calibri" w:hAnsi="Calibri" w:cs="Arial"/>
          <w:sz w:val="20"/>
          <w:szCs w:val="20"/>
        </w:rPr>
        <w:t>Supplemental Report is being filed</w:t>
      </w:r>
      <w:r w:rsidR="00E159C1" w:rsidRPr="007776FD">
        <w:rPr>
          <w:rFonts w:ascii="Calibri" w:hAnsi="Calibri" w:cs="Arial"/>
          <w:sz w:val="20"/>
          <w:szCs w:val="20"/>
        </w:rPr>
        <w:t>.</w:t>
      </w:r>
      <w:r w:rsidR="00E330D2" w:rsidRPr="007776FD">
        <w:rPr>
          <w:rFonts w:ascii="Calibri" w:hAnsi="Calibri" w:cs="Arial"/>
          <w:sz w:val="20"/>
          <w:szCs w:val="20"/>
        </w:rPr>
        <w:t xml:space="preserve"> </w:t>
      </w:r>
      <w:r w:rsidR="0065108F" w:rsidRPr="007776FD">
        <w:rPr>
          <w:rFonts w:cs="Arial"/>
          <w:sz w:val="20"/>
          <w:szCs w:val="20"/>
        </w:rPr>
        <w:t xml:space="preserve">For ease of use, </w:t>
      </w:r>
      <w:r w:rsidR="0065108F">
        <w:rPr>
          <w:rFonts w:cs="Arial"/>
          <w:sz w:val="20"/>
          <w:szCs w:val="20"/>
        </w:rPr>
        <w:t xml:space="preserve">lines pre-populated with zeros are automatically </w:t>
      </w:r>
      <w:r w:rsidR="0065108F" w:rsidRPr="007776FD">
        <w:rPr>
          <w:rFonts w:cs="Arial"/>
          <w:sz w:val="20"/>
          <w:szCs w:val="20"/>
        </w:rPr>
        <w:t>calculated and will not accept manual entry.</w:t>
      </w:r>
    </w:p>
    <w:p w:rsidR="005B4B78" w:rsidRPr="007776FD" w:rsidRDefault="005B4B78" w:rsidP="006C4C48">
      <w:pPr>
        <w:spacing w:after="0" w:line="240" w:lineRule="auto"/>
        <w:rPr>
          <w:rFonts w:ascii="Calibri" w:hAnsi="Calibri" w:cs="Arial"/>
          <w:sz w:val="20"/>
          <w:szCs w:val="20"/>
        </w:rPr>
      </w:pPr>
    </w:p>
    <w:tbl>
      <w:tblPr>
        <w:tblStyle w:val="TableGrid"/>
        <w:tblW w:w="11071" w:type="dxa"/>
        <w:tblLayout w:type="fixed"/>
        <w:tblCellMar>
          <w:left w:w="43" w:type="dxa"/>
          <w:right w:w="43" w:type="dxa"/>
        </w:tblCellMar>
        <w:tblLook w:val="04A0" w:firstRow="1" w:lastRow="0" w:firstColumn="1" w:lastColumn="0" w:noHBand="0" w:noVBand="1"/>
      </w:tblPr>
      <w:tblGrid>
        <w:gridCol w:w="9102"/>
        <w:gridCol w:w="479"/>
        <w:gridCol w:w="477"/>
        <w:gridCol w:w="19"/>
        <w:gridCol w:w="458"/>
        <w:gridCol w:w="38"/>
        <w:gridCol w:w="498"/>
      </w:tblGrid>
      <w:tr w:rsidR="004E68AE" w:rsidRPr="004E68AE" w:rsidTr="00A430AD">
        <w:trPr>
          <w:trHeight w:hRule="exact" w:val="187"/>
        </w:trPr>
        <w:tc>
          <w:tcPr>
            <w:tcW w:w="9103" w:type="dxa"/>
            <w:tcBorders>
              <w:top w:val="nil"/>
              <w:left w:val="nil"/>
              <w:bottom w:val="nil"/>
              <w:right w:val="single" w:sz="4" w:space="0" w:color="auto"/>
            </w:tcBorders>
            <w:vAlign w:val="center"/>
          </w:tcPr>
          <w:p w:rsidR="004E68AE" w:rsidRPr="004E68AE" w:rsidRDefault="004E68AE" w:rsidP="004E68AE">
            <w:pPr>
              <w:autoSpaceDE w:val="0"/>
              <w:autoSpaceDN w:val="0"/>
              <w:adjustRightInd w:val="0"/>
              <w:ind w:firstLine="72"/>
              <w:jc w:val="right"/>
              <w:rPr>
                <w:rFonts w:cs="Arial"/>
                <w:b/>
                <w:sz w:val="14"/>
                <w:szCs w:val="14"/>
              </w:rPr>
            </w:pPr>
          </w:p>
        </w:tc>
        <w:tc>
          <w:tcPr>
            <w:tcW w:w="1968" w:type="dxa"/>
            <w:gridSpan w:val="6"/>
            <w:tcBorders>
              <w:left w:val="single" w:sz="4" w:space="0" w:color="auto"/>
            </w:tcBorders>
            <w:vAlign w:val="center"/>
          </w:tcPr>
          <w:p w:rsidR="004E68AE" w:rsidRPr="004E68AE" w:rsidRDefault="004E68AE" w:rsidP="004E68AE">
            <w:pPr>
              <w:autoSpaceDE w:val="0"/>
              <w:autoSpaceDN w:val="0"/>
              <w:adjustRightInd w:val="0"/>
              <w:jc w:val="center"/>
              <w:rPr>
                <w:rFonts w:cs="Arial"/>
                <w:sz w:val="14"/>
                <w:szCs w:val="14"/>
              </w:rPr>
            </w:pPr>
            <w:r w:rsidRPr="004E68AE">
              <w:rPr>
                <w:rFonts w:cs="Arial"/>
                <w:sz w:val="14"/>
                <w:szCs w:val="14"/>
              </w:rPr>
              <w:t>Quarter end</w:t>
            </w:r>
          </w:p>
        </w:tc>
      </w:tr>
      <w:tr w:rsidR="004E68AE" w:rsidRPr="004E68AE" w:rsidTr="00431C6A">
        <w:trPr>
          <w:trHeight w:hRule="exact" w:val="187"/>
        </w:trPr>
        <w:tc>
          <w:tcPr>
            <w:tcW w:w="9103" w:type="dxa"/>
            <w:tcBorders>
              <w:top w:val="nil"/>
              <w:left w:val="nil"/>
              <w:bottom w:val="single" w:sz="4" w:space="0" w:color="auto"/>
              <w:right w:val="single" w:sz="4" w:space="0" w:color="auto"/>
            </w:tcBorders>
          </w:tcPr>
          <w:p w:rsidR="004E68AE" w:rsidRPr="004E68AE" w:rsidRDefault="004E68AE" w:rsidP="004E68AE">
            <w:pPr>
              <w:autoSpaceDE w:val="0"/>
              <w:autoSpaceDN w:val="0"/>
              <w:adjustRightInd w:val="0"/>
              <w:ind w:firstLine="72"/>
              <w:jc w:val="right"/>
              <w:rPr>
                <w:rFonts w:cs="Arial"/>
                <w:sz w:val="14"/>
                <w:szCs w:val="14"/>
              </w:rPr>
            </w:pPr>
            <w:r w:rsidRPr="004E68AE">
              <w:rPr>
                <w:sz w:val="14"/>
                <w:szCs w:val="14"/>
              </w:rPr>
              <w:t>Dollar amounts in thousands</w:t>
            </w:r>
          </w:p>
        </w:tc>
        <w:tc>
          <w:tcPr>
            <w:tcW w:w="479" w:type="dxa"/>
            <w:tcBorders>
              <w:left w:val="single" w:sz="4" w:space="0" w:color="auto"/>
              <w:bottom w:val="single" w:sz="4" w:space="0" w:color="auto"/>
            </w:tcBorders>
          </w:tcPr>
          <w:p w:rsidR="004E68AE" w:rsidRPr="004E68AE" w:rsidRDefault="004E68AE" w:rsidP="004E68AE">
            <w:pPr>
              <w:autoSpaceDE w:val="0"/>
              <w:autoSpaceDN w:val="0"/>
              <w:adjustRightInd w:val="0"/>
              <w:jc w:val="center"/>
              <w:rPr>
                <w:rFonts w:cs="Arial"/>
                <w:sz w:val="14"/>
                <w:szCs w:val="14"/>
              </w:rPr>
            </w:pPr>
          </w:p>
        </w:tc>
        <w:tc>
          <w:tcPr>
            <w:tcW w:w="477" w:type="dxa"/>
            <w:tcBorders>
              <w:left w:val="single" w:sz="4" w:space="0" w:color="auto"/>
              <w:bottom w:val="single" w:sz="4" w:space="0" w:color="auto"/>
            </w:tcBorders>
          </w:tcPr>
          <w:p w:rsidR="004E68AE" w:rsidRPr="004E68AE" w:rsidRDefault="004E68AE" w:rsidP="004E68AE">
            <w:pPr>
              <w:autoSpaceDE w:val="0"/>
              <w:autoSpaceDN w:val="0"/>
              <w:adjustRightInd w:val="0"/>
              <w:jc w:val="center"/>
              <w:rPr>
                <w:rFonts w:cs="Arial"/>
                <w:sz w:val="14"/>
                <w:szCs w:val="14"/>
              </w:rPr>
            </w:pPr>
            <w:proofErr w:type="spellStart"/>
            <w:r w:rsidRPr="004E68AE">
              <w:rPr>
                <w:rFonts w:cs="Arial"/>
                <w:sz w:val="14"/>
                <w:szCs w:val="14"/>
              </w:rPr>
              <w:t>Bil</w:t>
            </w:r>
            <w:proofErr w:type="spellEnd"/>
          </w:p>
        </w:tc>
        <w:tc>
          <w:tcPr>
            <w:tcW w:w="477" w:type="dxa"/>
            <w:gridSpan w:val="2"/>
            <w:tcBorders>
              <w:left w:val="single" w:sz="4" w:space="0" w:color="auto"/>
              <w:bottom w:val="single" w:sz="4" w:space="0" w:color="auto"/>
            </w:tcBorders>
          </w:tcPr>
          <w:p w:rsidR="004E68AE" w:rsidRPr="004E68AE" w:rsidRDefault="004E68AE" w:rsidP="004E68AE">
            <w:pPr>
              <w:autoSpaceDE w:val="0"/>
              <w:autoSpaceDN w:val="0"/>
              <w:adjustRightInd w:val="0"/>
              <w:jc w:val="center"/>
              <w:rPr>
                <w:rFonts w:cs="Arial"/>
                <w:sz w:val="14"/>
                <w:szCs w:val="14"/>
              </w:rPr>
            </w:pPr>
            <w:r w:rsidRPr="004E68AE">
              <w:rPr>
                <w:rFonts w:cs="Arial"/>
                <w:sz w:val="14"/>
                <w:szCs w:val="14"/>
              </w:rPr>
              <w:t>Mil</w:t>
            </w:r>
          </w:p>
        </w:tc>
        <w:tc>
          <w:tcPr>
            <w:tcW w:w="535" w:type="dxa"/>
            <w:gridSpan w:val="2"/>
            <w:tcBorders>
              <w:left w:val="single" w:sz="4" w:space="0" w:color="auto"/>
              <w:bottom w:val="single" w:sz="4" w:space="0" w:color="auto"/>
            </w:tcBorders>
          </w:tcPr>
          <w:p w:rsidR="004E68AE" w:rsidRPr="004E68AE" w:rsidRDefault="004E68AE" w:rsidP="004E68AE">
            <w:pPr>
              <w:autoSpaceDE w:val="0"/>
              <w:autoSpaceDN w:val="0"/>
              <w:adjustRightInd w:val="0"/>
              <w:jc w:val="center"/>
              <w:rPr>
                <w:rFonts w:cs="Arial"/>
                <w:sz w:val="14"/>
                <w:szCs w:val="14"/>
              </w:rPr>
            </w:pPr>
            <w:r w:rsidRPr="004E68AE">
              <w:rPr>
                <w:rFonts w:cs="Arial"/>
                <w:sz w:val="14"/>
                <w:szCs w:val="14"/>
              </w:rPr>
              <w:t>Thou</w:t>
            </w:r>
          </w:p>
        </w:tc>
      </w:tr>
      <w:tr w:rsidR="00C665B1" w:rsidRPr="004E68AE" w:rsidTr="00A430AD">
        <w:trPr>
          <w:trHeight w:hRule="exact" w:val="187"/>
        </w:trPr>
        <w:tc>
          <w:tcPr>
            <w:tcW w:w="9103" w:type="dxa"/>
            <w:vMerge w:val="restart"/>
            <w:tcBorders>
              <w:top w:val="single" w:sz="4" w:space="0" w:color="auto"/>
              <w:left w:val="single" w:sz="4" w:space="0" w:color="auto"/>
              <w:bottom w:val="single" w:sz="4" w:space="0" w:color="auto"/>
              <w:right w:val="single" w:sz="4" w:space="0" w:color="auto"/>
            </w:tcBorders>
            <w:vAlign w:val="center"/>
          </w:tcPr>
          <w:p w:rsidR="00C665B1" w:rsidRPr="004E68AE" w:rsidRDefault="008C7968" w:rsidP="004E68AE">
            <w:pPr>
              <w:pStyle w:val="ListParagraph"/>
              <w:numPr>
                <w:ilvl w:val="0"/>
                <w:numId w:val="12"/>
              </w:numPr>
              <w:ind w:left="216" w:hanging="216"/>
              <w:rPr>
                <w:rFonts w:asciiTheme="minorHAnsi" w:eastAsia="Times New Roman" w:hAnsiTheme="minorHAnsi"/>
                <w:color w:val="000000"/>
                <w:sz w:val="14"/>
                <w:szCs w:val="14"/>
              </w:rPr>
            </w:pPr>
            <w:r w:rsidRPr="004E68AE">
              <w:rPr>
                <w:rFonts w:asciiTheme="minorHAnsi" w:eastAsia="Times New Roman" w:hAnsiTheme="minorHAnsi"/>
                <w:color w:val="000000"/>
                <w:sz w:val="14"/>
                <w:szCs w:val="14"/>
              </w:rPr>
              <w:t>B</w:t>
            </w:r>
            <w:r w:rsidR="00C665B1" w:rsidRPr="004E68AE">
              <w:rPr>
                <w:rFonts w:asciiTheme="minorHAnsi" w:eastAsia="Times New Roman" w:hAnsiTheme="minorHAnsi"/>
                <w:color w:val="000000"/>
                <w:sz w:val="14"/>
                <w:szCs w:val="14"/>
              </w:rPr>
              <w:t>alances of commercial and industrial loans (as reflected on Call Report Schedule RC-C, Part I, item 4)</w:t>
            </w:r>
          </w:p>
        </w:tc>
        <w:tc>
          <w:tcPr>
            <w:tcW w:w="1968" w:type="dxa"/>
            <w:gridSpan w:val="6"/>
            <w:tcBorders>
              <w:top w:val="single" w:sz="4" w:space="0" w:color="auto"/>
              <w:left w:val="single" w:sz="4" w:space="0" w:color="auto"/>
              <w:bottom w:val="single" w:sz="4" w:space="0" w:color="auto"/>
            </w:tcBorders>
            <w:shd w:val="clear" w:color="auto" w:fill="D9D9D9" w:themeFill="background1" w:themeFillShade="D9"/>
          </w:tcPr>
          <w:p w:rsidR="00C665B1" w:rsidRPr="004E68AE" w:rsidRDefault="00C665B1" w:rsidP="004E68AE">
            <w:pPr>
              <w:autoSpaceDE w:val="0"/>
              <w:autoSpaceDN w:val="0"/>
              <w:adjustRightInd w:val="0"/>
              <w:rPr>
                <w:rFonts w:cs="Arial"/>
                <w:color w:val="C4C4C4"/>
                <w:sz w:val="14"/>
                <w:szCs w:val="14"/>
              </w:rPr>
            </w:pPr>
          </w:p>
        </w:tc>
      </w:tr>
      <w:tr w:rsidR="004E68AE" w:rsidRPr="004E68AE" w:rsidTr="00A430AD">
        <w:trPr>
          <w:trHeight w:hRule="exact" w:val="187"/>
        </w:trPr>
        <w:tc>
          <w:tcPr>
            <w:tcW w:w="9103" w:type="dxa"/>
            <w:vMerge/>
            <w:tcBorders>
              <w:top w:val="single" w:sz="4" w:space="0" w:color="auto"/>
              <w:left w:val="single" w:sz="4" w:space="0" w:color="auto"/>
              <w:bottom w:val="single" w:sz="4" w:space="0" w:color="auto"/>
              <w:right w:val="single" w:sz="4" w:space="0" w:color="auto"/>
            </w:tcBorders>
          </w:tcPr>
          <w:p w:rsidR="004E68AE" w:rsidRPr="004E68AE" w:rsidRDefault="004E68AE" w:rsidP="004E68AE">
            <w:pPr>
              <w:pStyle w:val="ListParagraph"/>
              <w:numPr>
                <w:ilvl w:val="0"/>
                <w:numId w:val="12"/>
              </w:numPr>
              <w:ind w:left="216" w:hanging="216"/>
              <w:rPr>
                <w:rFonts w:asciiTheme="minorHAnsi" w:eastAsia="Times New Roman" w:hAnsiTheme="minorHAnsi"/>
                <w:color w:val="000000"/>
                <w:sz w:val="14"/>
                <w:szCs w:val="14"/>
              </w:rPr>
            </w:pPr>
          </w:p>
        </w:tc>
        <w:tc>
          <w:tcPr>
            <w:tcW w:w="479" w:type="dxa"/>
            <w:tcBorders>
              <w:top w:val="single" w:sz="4" w:space="0" w:color="auto"/>
              <w:left w:val="single" w:sz="4" w:space="0" w:color="auto"/>
              <w:bottom w:val="single" w:sz="4" w:space="0" w:color="auto"/>
            </w:tcBorders>
            <w:vAlign w:val="bottom"/>
          </w:tcPr>
          <w:p w:rsidR="004E68AE" w:rsidRPr="004E68AE" w:rsidRDefault="005D0881" w:rsidP="004E68AE">
            <w:pPr>
              <w:autoSpaceDE w:val="0"/>
              <w:autoSpaceDN w:val="0"/>
              <w:adjustRightInd w:val="0"/>
              <w:rPr>
                <w:rFonts w:cs="Arial"/>
                <w:sz w:val="14"/>
                <w:szCs w:val="14"/>
              </w:rPr>
            </w:pPr>
            <w:r>
              <w:rPr>
                <w:rFonts w:cs="Arial"/>
                <w:sz w:val="14"/>
                <w:szCs w:val="14"/>
              </w:rPr>
              <w:t>14</w:t>
            </w:r>
          </w:p>
        </w:tc>
        <w:tc>
          <w:tcPr>
            <w:tcW w:w="477" w:type="dxa"/>
            <w:tcBorders>
              <w:top w:val="single" w:sz="4" w:space="0" w:color="auto"/>
              <w:left w:val="single" w:sz="4" w:space="0" w:color="auto"/>
              <w:bottom w:val="single" w:sz="4" w:space="0" w:color="auto"/>
            </w:tcBorders>
            <w:vAlign w:val="bottom"/>
          </w:tcPr>
          <w:p w:rsidR="004E68AE" w:rsidRPr="004E68AE" w:rsidRDefault="004E68AE" w:rsidP="004E68AE">
            <w:pPr>
              <w:autoSpaceDE w:val="0"/>
              <w:autoSpaceDN w:val="0"/>
              <w:adjustRightInd w:val="0"/>
              <w:rPr>
                <w:rFonts w:cs="Arial"/>
                <w:sz w:val="14"/>
                <w:szCs w:val="14"/>
              </w:rPr>
            </w:pPr>
          </w:p>
        </w:tc>
        <w:tc>
          <w:tcPr>
            <w:tcW w:w="477" w:type="dxa"/>
            <w:gridSpan w:val="2"/>
            <w:tcBorders>
              <w:top w:val="single" w:sz="4" w:space="0" w:color="auto"/>
              <w:left w:val="single" w:sz="4" w:space="0" w:color="auto"/>
              <w:bottom w:val="single" w:sz="4" w:space="0" w:color="auto"/>
            </w:tcBorders>
            <w:vAlign w:val="bottom"/>
          </w:tcPr>
          <w:p w:rsidR="004E68AE" w:rsidRPr="004E68AE" w:rsidRDefault="004E68AE" w:rsidP="004E68AE">
            <w:pPr>
              <w:autoSpaceDE w:val="0"/>
              <w:autoSpaceDN w:val="0"/>
              <w:adjustRightInd w:val="0"/>
              <w:rPr>
                <w:rFonts w:cs="Arial"/>
                <w:sz w:val="14"/>
                <w:szCs w:val="14"/>
              </w:rPr>
            </w:pPr>
          </w:p>
        </w:tc>
        <w:tc>
          <w:tcPr>
            <w:tcW w:w="535" w:type="dxa"/>
            <w:gridSpan w:val="2"/>
            <w:tcBorders>
              <w:top w:val="single" w:sz="4" w:space="0" w:color="auto"/>
              <w:left w:val="single" w:sz="4" w:space="0" w:color="auto"/>
              <w:bottom w:val="single" w:sz="4" w:space="0" w:color="auto"/>
            </w:tcBorders>
            <w:vAlign w:val="bottom"/>
          </w:tcPr>
          <w:p w:rsidR="004E68AE" w:rsidRPr="004E68AE" w:rsidRDefault="004E68AE" w:rsidP="004E68AE">
            <w:pPr>
              <w:autoSpaceDE w:val="0"/>
              <w:autoSpaceDN w:val="0"/>
              <w:adjustRightInd w:val="0"/>
              <w:rPr>
                <w:rFonts w:cs="Arial"/>
                <w:sz w:val="14"/>
                <w:szCs w:val="14"/>
              </w:rPr>
            </w:pPr>
          </w:p>
        </w:tc>
      </w:tr>
      <w:tr w:rsidR="00C665B1" w:rsidRPr="004E68AE" w:rsidTr="00A430AD">
        <w:trPr>
          <w:trHeight w:hRule="exact" w:val="187"/>
        </w:trPr>
        <w:tc>
          <w:tcPr>
            <w:tcW w:w="9103" w:type="dxa"/>
            <w:vMerge w:val="restart"/>
            <w:tcBorders>
              <w:top w:val="single" w:sz="4" w:space="0" w:color="auto"/>
              <w:left w:val="single" w:sz="4" w:space="0" w:color="auto"/>
              <w:bottom w:val="single" w:sz="4" w:space="0" w:color="auto"/>
              <w:right w:val="single" w:sz="4" w:space="0" w:color="auto"/>
            </w:tcBorders>
            <w:vAlign w:val="center"/>
          </w:tcPr>
          <w:p w:rsidR="00C665B1" w:rsidRPr="004E68AE" w:rsidRDefault="008C7968" w:rsidP="004E68AE">
            <w:pPr>
              <w:pStyle w:val="ListParagraph"/>
              <w:numPr>
                <w:ilvl w:val="0"/>
                <w:numId w:val="12"/>
              </w:numPr>
              <w:ind w:left="216" w:hanging="216"/>
              <w:rPr>
                <w:rFonts w:asciiTheme="minorHAnsi" w:eastAsia="Times New Roman" w:hAnsiTheme="minorHAnsi"/>
                <w:color w:val="000000"/>
                <w:sz w:val="14"/>
                <w:szCs w:val="14"/>
              </w:rPr>
            </w:pPr>
            <w:r w:rsidRPr="004E68AE">
              <w:rPr>
                <w:rFonts w:asciiTheme="minorHAnsi" w:eastAsia="Times New Roman" w:hAnsiTheme="minorHAnsi"/>
                <w:color w:val="000000"/>
                <w:sz w:val="14"/>
                <w:szCs w:val="14"/>
              </w:rPr>
              <w:t>B</w:t>
            </w:r>
            <w:r w:rsidR="00072B02" w:rsidRPr="004E68AE">
              <w:rPr>
                <w:rFonts w:asciiTheme="minorHAnsi" w:eastAsia="Times New Roman" w:hAnsiTheme="minorHAnsi"/>
                <w:color w:val="000000"/>
                <w:sz w:val="14"/>
                <w:szCs w:val="14"/>
              </w:rPr>
              <w:t xml:space="preserve">alances of loans secured by owner-occupied </w:t>
            </w:r>
            <w:r w:rsidR="004D7462">
              <w:rPr>
                <w:rFonts w:asciiTheme="minorHAnsi" w:eastAsia="Times New Roman" w:hAnsiTheme="minorHAnsi"/>
                <w:color w:val="000000"/>
                <w:sz w:val="14"/>
                <w:szCs w:val="14"/>
              </w:rPr>
              <w:t>nonfarm, nonresidential</w:t>
            </w:r>
            <w:r w:rsidR="00072B02" w:rsidRPr="004E68AE">
              <w:rPr>
                <w:rFonts w:asciiTheme="minorHAnsi" w:eastAsia="Times New Roman" w:hAnsiTheme="minorHAnsi"/>
                <w:color w:val="000000"/>
                <w:sz w:val="14"/>
                <w:szCs w:val="14"/>
              </w:rPr>
              <w:t xml:space="preserve"> properties (as reflected on Call Report Schedule RC-C, Part I, item 1.e.(1))</w:t>
            </w:r>
          </w:p>
        </w:tc>
        <w:tc>
          <w:tcPr>
            <w:tcW w:w="1968" w:type="dxa"/>
            <w:gridSpan w:val="6"/>
            <w:tcBorders>
              <w:top w:val="single" w:sz="4" w:space="0" w:color="auto"/>
              <w:left w:val="single" w:sz="4" w:space="0" w:color="auto"/>
              <w:bottom w:val="single" w:sz="4" w:space="0" w:color="auto"/>
            </w:tcBorders>
            <w:shd w:val="clear" w:color="auto" w:fill="D9D9D9" w:themeFill="background1" w:themeFillShade="D9"/>
          </w:tcPr>
          <w:p w:rsidR="00C665B1" w:rsidRPr="004E68AE" w:rsidRDefault="00C665B1" w:rsidP="004E68AE">
            <w:pPr>
              <w:rPr>
                <w:rFonts w:eastAsia="Times New Roman" w:cs="Times New Roman"/>
                <w:color w:val="000000"/>
                <w:sz w:val="14"/>
                <w:szCs w:val="14"/>
              </w:rPr>
            </w:pPr>
          </w:p>
        </w:tc>
      </w:tr>
      <w:tr w:rsidR="004E68AE" w:rsidRPr="004E68AE" w:rsidTr="00A430AD">
        <w:trPr>
          <w:trHeight w:hRule="exact" w:val="187"/>
        </w:trPr>
        <w:tc>
          <w:tcPr>
            <w:tcW w:w="9103" w:type="dxa"/>
            <w:vMerge/>
            <w:tcBorders>
              <w:top w:val="single" w:sz="4" w:space="0" w:color="auto"/>
              <w:left w:val="single" w:sz="4" w:space="0" w:color="auto"/>
              <w:bottom w:val="single" w:sz="4" w:space="0" w:color="auto"/>
              <w:right w:val="single" w:sz="4" w:space="0" w:color="auto"/>
            </w:tcBorders>
            <w:vAlign w:val="center"/>
          </w:tcPr>
          <w:p w:rsidR="004E68AE" w:rsidRPr="004E68AE" w:rsidRDefault="004E68AE" w:rsidP="004E68AE">
            <w:pPr>
              <w:pStyle w:val="ListParagraph"/>
              <w:numPr>
                <w:ilvl w:val="0"/>
                <w:numId w:val="12"/>
              </w:numPr>
              <w:ind w:left="216" w:hanging="216"/>
              <w:rPr>
                <w:rFonts w:asciiTheme="minorHAnsi" w:eastAsia="Times New Roman" w:hAnsiTheme="minorHAnsi"/>
                <w:color w:val="000000"/>
                <w:sz w:val="14"/>
                <w:szCs w:val="14"/>
              </w:rPr>
            </w:pPr>
          </w:p>
        </w:tc>
        <w:tc>
          <w:tcPr>
            <w:tcW w:w="479" w:type="dxa"/>
            <w:tcBorders>
              <w:top w:val="single" w:sz="4" w:space="0" w:color="auto"/>
              <w:left w:val="single" w:sz="4" w:space="0" w:color="auto"/>
              <w:bottom w:val="single" w:sz="4" w:space="0" w:color="auto"/>
            </w:tcBorders>
            <w:vAlign w:val="bottom"/>
          </w:tcPr>
          <w:p w:rsidR="004E68AE" w:rsidRPr="004E68AE" w:rsidRDefault="005D0881" w:rsidP="004E68AE">
            <w:pPr>
              <w:autoSpaceDE w:val="0"/>
              <w:autoSpaceDN w:val="0"/>
              <w:adjustRightInd w:val="0"/>
              <w:rPr>
                <w:rFonts w:cs="Arial"/>
                <w:sz w:val="14"/>
                <w:szCs w:val="14"/>
              </w:rPr>
            </w:pPr>
            <w:r>
              <w:rPr>
                <w:rFonts w:cs="Arial"/>
                <w:sz w:val="14"/>
                <w:szCs w:val="14"/>
              </w:rPr>
              <w:t>15</w:t>
            </w:r>
          </w:p>
        </w:tc>
        <w:tc>
          <w:tcPr>
            <w:tcW w:w="477" w:type="dxa"/>
            <w:tcBorders>
              <w:top w:val="single" w:sz="4" w:space="0" w:color="auto"/>
              <w:left w:val="single" w:sz="4" w:space="0" w:color="auto"/>
              <w:bottom w:val="single" w:sz="4" w:space="0" w:color="auto"/>
            </w:tcBorders>
            <w:vAlign w:val="bottom"/>
          </w:tcPr>
          <w:p w:rsidR="004E68AE" w:rsidRPr="004E68AE" w:rsidRDefault="004E68AE" w:rsidP="004E68AE">
            <w:pPr>
              <w:autoSpaceDE w:val="0"/>
              <w:autoSpaceDN w:val="0"/>
              <w:adjustRightInd w:val="0"/>
              <w:rPr>
                <w:rFonts w:cs="Arial"/>
                <w:sz w:val="14"/>
                <w:szCs w:val="14"/>
              </w:rPr>
            </w:pPr>
          </w:p>
        </w:tc>
        <w:tc>
          <w:tcPr>
            <w:tcW w:w="477" w:type="dxa"/>
            <w:gridSpan w:val="2"/>
            <w:tcBorders>
              <w:top w:val="single" w:sz="4" w:space="0" w:color="auto"/>
              <w:left w:val="single" w:sz="4" w:space="0" w:color="auto"/>
              <w:bottom w:val="single" w:sz="4" w:space="0" w:color="auto"/>
            </w:tcBorders>
            <w:vAlign w:val="bottom"/>
          </w:tcPr>
          <w:p w:rsidR="004E68AE" w:rsidRPr="004E68AE" w:rsidRDefault="004E68AE" w:rsidP="004E68AE">
            <w:pPr>
              <w:autoSpaceDE w:val="0"/>
              <w:autoSpaceDN w:val="0"/>
              <w:adjustRightInd w:val="0"/>
              <w:rPr>
                <w:rFonts w:cs="Arial"/>
                <w:sz w:val="14"/>
                <w:szCs w:val="14"/>
              </w:rPr>
            </w:pPr>
          </w:p>
        </w:tc>
        <w:tc>
          <w:tcPr>
            <w:tcW w:w="535" w:type="dxa"/>
            <w:gridSpan w:val="2"/>
            <w:tcBorders>
              <w:top w:val="single" w:sz="4" w:space="0" w:color="auto"/>
              <w:left w:val="single" w:sz="4" w:space="0" w:color="auto"/>
              <w:bottom w:val="single" w:sz="4" w:space="0" w:color="auto"/>
            </w:tcBorders>
            <w:vAlign w:val="bottom"/>
          </w:tcPr>
          <w:p w:rsidR="004E68AE" w:rsidRPr="004E68AE" w:rsidRDefault="004E68AE" w:rsidP="004E68AE">
            <w:pPr>
              <w:autoSpaceDE w:val="0"/>
              <w:autoSpaceDN w:val="0"/>
              <w:adjustRightInd w:val="0"/>
              <w:rPr>
                <w:rFonts w:cs="Arial"/>
                <w:sz w:val="14"/>
                <w:szCs w:val="14"/>
              </w:rPr>
            </w:pPr>
          </w:p>
        </w:tc>
      </w:tr>
      <w:tr w:rsidR="00C665B1" w:rsidRPr="004E68AE" w:rsidTr="00A430AD">
        <w:trPr>
          <w:trHeight w:hRule="exact" w:val="187"/>
        </w:trPr>
        <w:tc>
          <w:tcPr>
            <w:tcW w:w="9103" w:type="dxa"/>
            <w:vMerge w:val="restart"/>
            <w:tcBorders>
              <w:top w:val="single" w:sz="4" w:space="0" w:color="auto"/>
              <w:left w:val="single" w:sz="4" w:space="0" w:color="auto"/>
              <w:bottom w:val="single" w:sz="4" w:space="0" w:color="auto"/>
              <w:right w:val="single" w:sz="4" w:space="0" w:color="auto"/>
            </w:tcBorders>
            <w:vAlign w:val="center"/>
          </w:tcPr>
          <w:p w:rsidR="00C665B1" w:rsidRPr="004E68AE" w:rsidRDefault="008C7968" w:rsidP="004E68AE">
            <w:pPr>
              <w:pStyle w:val="ListParagraph"/>
              <w:numPr>
                <w:ilvl w:val="0"/>
                <w:numId w:val="12"/>
              </w:numPr>
              <w:ind w:left="216" w:hanging="216"/>
              <w:rPr>
                <w:rFonts w:asciiTheme="minorHAnsi" w:eastAsia="Times New Roman" w:hAnsiTheme="minorHAnsi"/>
                <w:color w:val="000000"/>
                <w:sz w:val="14"/>
                <w:szCs w:val="14"/>
              </w:rPr>
            </w:pPr>
            <w:r w:rsidRPr="004E68AE">
              <w:rPr>
                <w:rFonts w:asciiTheme="minorHAnsi" w:eastAsia="Times New Roman" w:hAnsiTheme="minorHAnsi"/>
                <w:color w:val="000000"/>
                <w:sz w:val="14"/>
                <w:szCs w:val="14"/>
              </w:rPr>
              <w:t>B</w:t>
            </w:r>
            <w:r w:rsidR="00072B02" w:rsidRPr="004E68AE">
              <w:rPr>
                <w:rFonts w:asciiTheme="minorHAnsi" w:eastAsia="Times New Roman" w:hAnsiTheme="minorHAnsi"/>
                <w:color w:val="000000"/>
                <w:sz w:val="14"/>
                <w:szCs w:val="14"/>
              </w:rPr>
              <w:t>alances of loans to finance agricultural production and other loans to farmers (as reflected on Call Report Schedule RC-C, Part I, item 3)</w:t>
            </w:r>
          </w:p>
        </w:tc>
        <w:tc>
          <w:tcPr>
            <w:tcW w:w="1968" w:type="dxa"/>
            <w:gridSpan w:val="6"/>
            <w:tcBorders>
              <w:top w:val="single" w:sz="4" w:space="0" w:color="auto"/>
              <w:left w:val="single" w:sz="4" w:space="0" w:color="auto"/>
              <w:bottom w:val="single" w:sz="4" w:space="0" w:color="auto"/>
            </w:tcBorders>
            <w:shd w:val="clear" w:color="auto" w:fill="D9D9D9" w:themeFill="background1" w:themeFillShade="D9"/>
          </w:tcPr>
          <w:p w:rsidR="00C665B1" w:rsidRPr="004E68AE" w:rsidRDefault="00C665B1" w:rsidP="004E68AE">
            <w:pPr>
              <w:rPr>
                <w:rFonts w:eastAsia="Times New Roman" w:cs="Times New Roman"/>
                <w:color w:val="000000"/>
                <w:sz w:val="14"/>
                <w:szCs w:val="14"/>
              </w:rPr>
            </w:pPr>
          </w:p>
        </w:tc>
      </w:tr>
      <w:tr w:rsidR="004E68AE" w:rsidRPr="004E68AE" w:rsidTr="00A430AD">
        <w:trPr>
          <w:trHeight w:hRule="exact" w:val="187"/>
        </w:trPr>
        <w:tc>
          <w:tcPr>
            <w:tcW w:w="9103" w:type="dxa"/>
            <w:vMerge/>
            <w:tcBorders>
              <w:top w:val="single" w:sz="4" w:space="0" w:color="auto"/>
              <w:left w:val="single" w:sz="4" w:space="0" w:color="auto"/>
              <w:bottom w:val="single" w:sz="4" w:space="0" w:color="auto"/>
              <w:right w:val="single" w:sz="4" w:space="0" w:color="auto"/>
            </w:tcBorders>
            <w:vAlign w:val="center"/>
          </w:tcPr>
          <w:p w:rsidR="004E68AE" w:rsidRPr="004E68AE" w:rsidRDefault="004E68AE" w:rsidP="004E68AE">
            <w:pPr>
              <w:pStyle w:val="ListParagraph"/>
              <w:numPr>
                <w:ilvl w:val="0"/>
                <w:numId w:val="12"/>
              </w:numPr>
              <w:ind w:left="216" w:hanging="216"/>
              <w:rPr>
                <w:rFonts w:asciiTheme="minorHAnsi" w:eastAsia="Times New Roman" w:hAnsiTheme="minorHAnsi"/>
                <w:color w:val="000000"/>
                <w:sz w:val="14"/>
                <w:szCs w:val="14"/>
              </w:rPr>
            </w:pPr>
          </w:p>
        </w:tc>
        <w:tc>
          <w:tcPr>
            <w:tcW w:w="479" w:type="dxa"/>
            <w:tcBorders>
              <w:top w:val="single" w:sz="4" w:space="0" w:color="auto"/>
              <w:left w:val="single" w:sz="4" w:space="0" w:color="auto"/>
              <w:bottom w:val="single" w:sz="4" w:space="0" w:color="auto"/>
            </w:tcBorders>
            <w:vAlign w:val="bottom"/>
          </w:tcPr>
          <w:p w:rsidR="004E68AE" w:rsidRPr="004E68AE" w:rsidRDefault="005D0881" w:rsidP="004E68AE">
            <w:pPr>
              <w:autoSpaceDE w:val="0"/>
              <w:autoSpaceDN w:val="0"/>
              <w:adjustRightInd w:val="0"/>
              <w:rPr>
                <w:rFonts w:cs="Arial"/>
                <w:sz w:val="14"/>
                <w:szCs w:val="14"/>
              </w:rPr>
            </w:pPr>
            <w:r>
              <w:rPr>
                <w:rFonts w:cs="Arial"/>
                <w:sz w:val="14"/>
                <w:szCs w:val="14"/>
              </w:rPr>
              <w:t>16</w:t>
            </w:r>
          </w:p>
        </w:tc>
        <w:tc>
          <w:tcPr>
            <w:tcW w:w="477" w:type="dxa"/>
            <w:tcBorders>
              <w:top w:val="single" w:sz="4" w:space="0" w:color="auto"/>
              <w:left w:val="single" w:sz="4" w:space="0" w:color="auto"/>
              <w:bottom w:val="single" w:sz="4" w:space="0" w:color="auto"/>
            </w:tcBorders>
            <w:vAlign w:val="bottom"/>
          </w:tcPr>
          <w:p w:rsidR="004E68AE" w:rsidRPr="004E68AE" w:rsidRDefault="004E68AE" w:rsidP="004E68AE">
            <w:pPr>
              <w:autoSpaceDE w:val="0"/>
              <w:autoSpaceDN w:val="0"/>
              <w:adjustRightInd w:val="0"/>
              <w:rPr>
                <w:rFonts w:cs="Arial"/>
                <w:sz w:val="14"/>
                <w:szCs w:val="14"/>
              </w:rPr>
            </w:pPr>
          </w:p>
        </w:tc>
        <w:tc>
          <w:tcPr>
            <w:tcW w:w="477" w:type="dxa"/>
            <w:gridSpan w:val="2"/>
            <w:tcBorders>
              <w:top w:val="single" w:sz="4" w:space="0" w:color="auto"/>
              <w:left w:val="single" w:sz="4" w:space="0" w:color="auto"/>
              <w:bottom w:val="single" w:sz="4" w:space="0" w:color="auto"/>
            </w:tcBorders>
            <w:vAlign w:val="bottom"/>
          </w:tcPr>
          <w:p w:rsidR="004E68AE" w:rsidRPr="004E68AE" w:rsidRDefault="004E68AE" w:rsidP="004E68AE">
            <w:pPr>
              <w:autoSpaceDE w:val="0"/>
              <w:autoSpaceDN w:val="0"/>
              <w:adjustRightInd w:val="0"/>
              <w:rPr>
                <w:rFonts w:cs="Arial"/>
                <w:sz w:val="14"/>
                <w:szCs w:val="14"/>
              </w:rPr>
            </w:pPr>
          </w:p>
        </w:tc>
        <w:tc>
          <w:tcPr>
            <w:tcW w:w="535" w:type="dxa"/>
            <w:gridSpan w:val="2"/>
            <w:tcBorders>
              <w:top w:val="single" w:sz="4" w:space="0" w:color="auto"/>
              <w:left w:val="single" w:sz="4" w:space="0" w:color="auto"/>
              <w:bottom w:val="single" w:sz="4" w:space="0" w:color="auto"/>
            </w:tcBorders>
            <w:vAlign w:val="bottom"/>
          </w:tcPr>
          <w:p w:rsidR="004E68AE" w:rsidRPr="004E68AE" w:rsidRDefault="004E68AE" w:rsidP="004E68AE">
            <w:pPr>
              <w:autoSpaceDE w:val="0"/>
              <w:autoSpaceDN w:val="0"/>
              <w:adjustRightInd w:val="0"/>
              <w:rPr>
                <w:rFonts w:cs="Arial"/>
                <w:sz w:val="14"/>
                <w:szCs w:val="14"/>
              </w:rPr>
            </w:pPr>
          </w:p>
        </w:tc>
      </w:tr>
      <w:tr w:rsidR="00C665B1" w:rsidRPr="004E68AE" w:rsidTr="00A430AD">
        <w:trPr>
          <w:trHeight w:hRule="exact" w:val="187"/>
        </w:trPr>
        <w:tc>
          <w:tcPr>
            <w:tcW w:w="9103" w:type="dxa"/>
            <w:vMerge w:val="restart"/>
            <w:tcBorders>
              <w:top w:val="single" w:sz="4" w:space="0" w:color="auto"/>
              <w:left w:val="single" w:sz="4" w:space="0" w:color="auto"/>
              <w:bottom w:val="single" w:sz="4" w:space="0" w:color="auto"/>
              <w:right w:val="single" w:sz="4" w:space="0" w:color="auto"/>
            </w:tcBorders>
            <w:vAlign w:val="center"/>
          </w:tcPr>
          <w:p w:rsidR="00C665B1" w:rsidRPr="004E68AE" w:rsidRDefault="008C7968" w:rsidP="004E68AE">
            <w:pPr>
              <w:pStyle w:val="ListParagraph"/>
              <w:numPr>
                <w:ilvl w:val="0"/>
                <w:numId w:val="12"/>
              </w:numPr>
              <w:ind w:left="216" w:hanging="216"/>
              <w:rPr>
                <w:rFonts w:asciiTheme="minorHAnsi" w:eastAsia="Times New Roman" w:hAnsiTheme="minorHAnsi"/>
                <w:color w:val="000000"/>
                <w:sz w:val="14"/>
                <w:szCs w:val="14"/>
              </w:rPr>
            </w:pPr>
            <w:r w:rsidRPr="004E68AE">
              <w:rPr>
                <w:rFonts w:asciiTheme="minorHAnsi" w:eastAsia="Times New Roman" w:hAnsiTheme="minorHAnsi"/>
                <w:color w:val="000000"/>
                <w:sz w:val="14"/>
                <w:szCs w:val="14"/>
              </w:rPr>
              <w:t>B</w:t>
            </w:r>
            <w:r w:rsidR="00072B02" w:rsidRPr="004E68AE">
              <w:rPr>
                <w:rFonts w:asciiTheme="minorHAnsi" w:eastAsia="Times New Roman" w:hAnsiTheme="minorHAnsi"/>
                <w:color w:val="000000"/>
                <w:sz w:val="14"/>
                <w:szCs w:val="14"/>
              </w:rPr>
              <w:t>alances of loans secured by farmland (as reflected on Call Report Schedule RC-C, Part I, item 1.b)</w:t>
            </w:r>
          </w:p>
        </w:tc>
        <w:tc>
          <w:tcPr>
            <w:tcW w:w="1968" w:type="dxa"/>
            <w:gridSpan w:val="6"/>
            <w:tcBorders>
              <w:top w:val="single" w:sz="4" w:space="0" w:color="auto"/>
              <w:left w:val="single" w:sz="4" w:space="0" w:color="auto"/>
              <w:bottom w:val="single" w:sz="4" w:space="0" w:color="auto"/>
            </w:tcBorders>
            <w:shd w:val="clear" w:color="auto" w:fill="D9D9D9" w:themeFill="background1" w:themeFillShade="D9"/>
          </w:tcPr>
          <w:p w:rsidR="00C665B1" w:rsidRPr="004E68AE" w:rsidRDefault="00C665B1" w:rsidP="004E68AE">
            <w:pPr>
              <w:rPr>
                <w:rFonts w:eastAsia="Times New Roman" w:cs="Times New Roman"/>
                <w:color w:val="000000"/>
                <w:sz w:val="14"/>
                <w:szCs w:val="14"/>
              </w:rPr>
            </w:pPr>
          </w:p>
        </w:tc>
      </w:tr>
      <w:tr w:rsidR="004E68AE" w:rsidRPr="004E68AE" w:rsidTr="00A430AD">
        <w:trPr>
          <w:trHeight w:hRule="exact" w:val="187"/>
        </w:trPr>
        <w:tc>
          <w:tcPr>
            <w:tcW w:w="9103" w:type="dxa"/>
            <w:vMerge/>
            <w:tcBorders>
              <w:top w:val="single" w:sz="4" w:space="0" w:color="auto"/>
              <w:left w:val="single" w:sz="4" w:space="0" w:color="auto"/>
              <w:bottom w:val="single" w:sz="4" w:space="0" w:color="auto"/>
              <w:right w:val="single" w:sz="4" w:space="0" w:color="auto"/>
            </w:tcBorders>
            <w:vAlign w:val="center"/>
          </w:tcPr>
          <w:p w:rsidR="004E68AE" w:rsidRPr="004E68AE" w:rsidRDefault="004E68AE" w:rsidP="004E68AE">
            <w:pPr>
              <w:pStyle w:val="ListParagraph"/>
              <w:numPr>
                <w:ilvl w:val="0"/>
                <w:numId w:val="12"/>
              </w:numPr>
              <w:ind w:left="216" w:hanging="216"/>
              <w:rPr>
                <w:rFonts w:asciiTheme="minorHAnsi" w:eastAsia="Times New Roman" w:hAnsiTheme="minorHAnsi"/>
                <w:color w:val="000000"/>
                <w:sz w:val="14"/>
                <w:szCs w:val="14"/>
              </w:rPr>
            </w:pPr>
          </w:p>
        </w:tc>
        <w:tc>
          <w:tcPr>
            <w:tcW w:w="479" w:type="dxa"/>
            <w:tcBorders>
              <w:top w:val="single" w:sz="4" w:space="0" w:color="auto"/>
              <w:left w:val="single" w:sz="4" w:space="0" w:color="auto"/>
              <w:bottom w:val="single" w:sz="4" w:space="0" w:color="auto"/>
            </w:tcBorders>
            <w:vAlign w:val="bottom"/>
          </w:tcPr>
          <w:p w:rsidR="004E68AE" w:rsidRPr="004E68AE" w:rsidRDefault="005D0881" w:rsidP="004E68AE">
            <w:pPr>
              <w:autoSpaceDE w:val="0"/>
              <w:autoSpaceDN w:val="0"/>
              <w:adjustRightInd w:val="0"/>
              <w:rPr>
                <w:rFonts w:cs="Arial"/>
                <w:sz w:val="14"/>
                <w:szCs w:val="14"/>
              </w:rPr>
            </w:pPr>
            <w:r>
              <w:rPr>
                <w:rFonts w:cs="Arial"/>
                <w:sz w:val="14"/>
                <w:szCs w:val="14"/>
              </w:rPr>
              <w:t>17</w:t>
            </w:r>
          </w:p>
        </w:tc>
        <w:tc>
          <w:tcPr>
            <w:tcW w:w="477" w:type="dxa"/>
            <w:tcBorders>
              <w:top w:val="single" w:sz="4" w:space="0" w:color="auto"/>
              <w:left w:val="single" w:sz="4" w:space="0" w:color="auto"/>
              <w:bottom w:val="single" w:sz="4" w:space="0" w:color="auto"/>
            </w:tcBorders>
            <w:vAlign w:val="bottom"/>
          </w:tcPr>
          <w:p w:rsidR="004E68AE" w:rsidRPr="004E68AE" w:rsidRDefault="004E68AE" w:rsidP="004E68AE">
            <w:pPr>
              <w:autoSpaceDE w:val="0"/>
              <w:autoSpaceDN w:val="0"/>
              <w:adjustRightInd w:val="0"/>
              <w:rPr>
                <w:rFonts w:cs="Arial"/>
                <w:sz w:val="14"/>
                <w:szCs w:val="14"/>
              </w:rPr>
            </w:pPr>
          </w:p>
        </w:tc>
        <w:tc>
          <w:tcPr>
            <w:tcW w:w="477" w:type="dxa"/>
            <w:gridSpan w:val="2"/>
            <w:tcBorders>
              <w:top w:val="single" w:sz="4" w:space="0" w:color="auto"/>
              <w:left w:val="single" w:sz="4" w:space="0" w:color="auto"/>
              <w:bottom w:val="single" w:sz="4" w:space="0" w:color="auto"/>
            </w:tcBorders>
            <w:vAlign w:val="bottom"/>
          </w:tcPr>
          <w:p w:rsidR="004E68AE" w:rsidRPr="004E68AE" w:rsidRDefault="004E68AE" w:rsidP="004E68AE">
            <w:pPr>
              <w:autoSpaceDE w:val="0"/>
              <w:autoSpaceDN w:val="0"/>
              <w:adjustRightInd w:val="0"/>
              <w:rPr>
                <w:rFonts w:cs="Arial"/>
                <w:sz w:val="14"/>
                <w:szCs w:val="14"/>
              </w:rPr>
            </w:pPr>
          </w:p>
        </w:tc>
        <w:tc>
          <w:tcPr>
            <w:tcW w:w="535" w:type="dxa"/>
            <w:gridSpan w:val="2"/>
            <w:tcBorders>
              <w:top w:val="single" w:sz="4" w:space="0" w:color="auto"/>
              <w:left w:val="single" w:sz="4" w:space="0" w:color="auto"/>
              <w:bottom w:val="single" w:sz="4" w:space="0" w:color="auto"/>
            </w:tcBorders>
            <w:vAlign w:val="bottom"/>
          </w:tcPr>
          <w:p w:rsidR="004E68AE" w:rsidRPr="004E68AE" w:rsidRDefault="004E68AE" w:rsidP="004E68AE">
            <w:pPr>
              <w:autoSpaceDE w:val="0"/>
              <w:autoSpaceDN w:val="0"/>
              <w:adjustRightInd w:val="0"/>
              <w:rPr>
                <w:rFonts w:cs="Arial"/>
                <w:sz w:val="14"/>
                <w:szCs w:val="14"/>
              </w:rPr>
            </w:pPr>
          </w:p>
        </w:tc>
      </w:tr>
      <w:tr w:rsidR="00A430AD" w:rsidRPr="004E68AE" w:rsidTr="00A430AD">
        <w:trPr>
          <w:trHeight w:val="187"/>
        </w:trPr>
        <w:tc>
          <w:tcPr>
            <w:tcW w:w="9103" w:type="dxa"/>
            <w:vMerge w:val="restart"/>
            <w:tcBorders>
              <w:top w:val="single" w:sz="4" w:space="0" w:color="auto"/>
              <w:left w:val="single" w:sz="4" w:space="0" w:color="auto"/>
              <w:right w:val="single" w:sz="4" w:space="0" w:color="auto"/>
            </w:tcBorders>
            <w:vAlign w:val="center"/>
          </w:tcPr>
          <w:p w:rsidR="00A430AD" w:rsidRPr="00106AC6" w:rsidRDefault="00A430AD" w:rsidP="00CC7294">
            <w:pPr>
              <w:pStyle w:val="ListParagraph"/>
              <w:numPr>
                <w:ilvl w:val="0"/>
                <w:numId w:val="12"/>
              </w:numPr>
              <w:ind w:left="216" w:hanging="216"/>
              <w:rPr>
                <w:rFonts w:asciiTheme="minorHAnsi" w:eastAsia="Times New Roman" w:hAnsiTheme="minorHAnsi"/>
                <w:color w:val="000000"/>
                <w:sz w:val="14"/>
                <w:szCs w:val="14"/>
              </w:rPr>
            </w:pPr>
            <w:r w:rsidRPr="00106AC6">
              <w:rPr>
                <w:rFonts w:asciiTheme="minorHAnsi" w:eastAsia="Times New Roman" w:hAnsiTheme="minorHAnsi"/>
                <w:color w:val="000000"/>
                <w:sz w:val="14"/>
                <w:szCs w:val="14"/>
              </w:rPr>
              <w:t>Subtotal (sum lines 14, 15, 16, and 17)</w:t>
            </w:r>
          </w:p>
        </w:tc>
        <w:tc>
          <w:tcPr>
            <w:tcW w:w="196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rsidR="00A430AD" w:rsidRPr="00106AC6" w:rsidRDefault="00A430AD" w:rsidP="00CC7294">
            <w:pPr>
              <w:rPr>
                <w:rFonts w:eastAsia="Times New Roman" w:cs="Times New Roman"/>
                <w:color w:val="000000"/>
                <w:sz w:val="14"/>
                <w:szCs w:val="14"/>
              </w:rPr>
            </w:pPr>
          </w:p>
        </w:tc>
      </w:tr>
      <w:tr w:rsidR="00431C6A" w:rsidRPr="004E68AE" w:rsidTr="00431C6A">
        <w:trPr>
          <w:trHeight w:hRule="exact" w:val="187"/>
        </w:trPr>
        <w:tc>
          <w:tcPr>
            <w:tcW w:w="9103" w:type="dxa"/>
            <w:vMerge/>
            <w:tcBorders>
              <w:left w:val="single" w:sz="4" w:space="0" w:color="auto"/>
              <w:bottom w:val="single" w:sz="4" w:space="0" w:color="auto"/>
              <w:right w:val="single" w:sz="4" w:space="0" w:color="auto"/>
            </w:tcBorders>
            <w:vAlign w:val="center"/>
          </w:tcPr>
          <w:p w:rsidR="00431C6A" w:rsidRPr="00106AC6" w:rsidRDefault="00431C6A" w:rsidP="004E68AE">
            <w:pPr>
              <w:autoSpaceDE w:val="0"/>
              <w:autoSpaceDN w:val="0"/>
              <w:adjustRightInd w:val="0"/>
              <w:rPr>
                <w:rFonts w:cs="Arial"/>
                <w:sz w:val="14"/>
                <w:szCs w:val="14"/>
              </w:rPr>
            </w:pPr>
          </w:p>
        </w:tc>
        <w:tc>
          <w:tcPr>
            <w:tcW w:w="479" w:type="dxa"/>
            <w:tcBorders>
              <w:top w:val="single" w:sz="4" w:space="0" w:color="auto"/>
              <w:left w:val="single" w:sz="4" w:space="0" w:color="auto"/>
              <w:bottom w:val="single" w:sz="4" w:space="0" w:color="auto"/>
              <w:right w:val="single" w:sz="4" w:space="0" w:color="auto"/>
            </w:tcBorders>
            <w:vAlign w:val="center"/>
          </w:tcPr>
          <w:p w:rsidR="00431C6A" w:rsidRPr="00106AC6" w:rsidRDefault="00431C6A" w:rsidP="004E68AE">
            <w:pPr>
              <w:autoSpaceDE w:val="0"/>
              <w:autoSpaceDN w:val="0"/>
              <w:adjustRightInd w:val="0"/>
              <w:rPr>
                <w:rFonts w:cs="Arial"/>
                <w:sz w:val="14"/>
                <w:szCs w:val="14"/>
              </w:rPr>
            </w:pPr>
            <w:r w:rsidRPr="00106AC6">
              <w:rPr>
                <w:rFonts w:cs="Arial"/>
                <w:sz w:val="14"/>
                <w:szCs w:val="14"/>
              </w:rPr>
              <w:t>18</w:t>
            </w:r>
          </w:p>
        </w:tc>
        <w:tc>
          <w:tcPr>
            <w:tcW w:w="496" w:type="dxa"/>
            <w:gridSpan w:val="2"/>
            <w:tcBorders>
              <w:top w:val="single" w:sz="4" w:space="0" w:color="auto"/>
              <w:left w:val="single" w:sz="4" w:space="0" w:color="auto"/>
              <w:bottom w:val="single" w:sz="4" w:space="0" w:color="auto"/>
              <w:right w:val="single" w:sz="4" w:space="0" w:color="auto"/>
            </w:tcBorders>
            <w:vAlign w:val="bottom"/>
          </w:tcPr>
          <w:p w:rsidR="00431C6A" w:rsidRPr="004E68AE" w:rsidRDefault="00431C6A" w:rsidP="00FB0071">
            <w:pPr>
              <w:autoSpaceDE w:val="0"/>
              <w:autoSpaceDN w:val="0"/>
              <w:adjustRightInd w:val="0"/>
              <w:rPr>
                <w:rFonts w:cs="Arial"/>
                <w:sz w:val="14"/>
                <w:szCs w:val="14"/>
              </w:rPr>
            </w:pPr>
          </w:p>
        </w:tc>
        <w:tc>
          <w:tcPr>
            <w:tcW w:w="495" w:type="dxa"/>
            <w:gridSpan w:val="2"/>
            <w:tcBorders>
              <w:top w:val="single" w:sz="4" w:space="0" w:color="auto"/>
              <w:left w:val="single" w:sz="4" w:space="0" w:color="auto"/>
              <w:bottom w:val="single" w:sz="4" w:space="0" w:color="auto"/>
              <w:right w:val="single" w:sz="4" w:space="0" w:color="auto"/>
            </w:tcBorders>
            <w:vAlign w:val="bottom"/>
          </w:tcPr>
          <w:p w:rsidR="00431C6A" w:rsidRPr="004E68AE" w:rsidRDefault="00431C6A" w:rsidP="00FB0071">
            <w:pPr>
              <w:autoSpaceDE w:val="0"/>
              <w:autoSpaceDN w:val="0"/>
              <w:adjustRightInd w:val="0"/>
              <w:rPr>
                <w:rFonts w:cs="Arial"/>
                <w:sz w:val="14"/>
                <w:szCs w:val="14"/>
              </w:rPr>
            </w:pPr>
          </w:p>
        </w:tc>
        <w:tc>
          <w:tcPr>
            <w:tcW w:w="498" w:type="dxa"/>
            <w:tcBorders>
              <w:top w:val="single" w:sz="4" w:space="0" w:color="auto"/>
              <w:left w:val="single" w:sz="4" w:space="0" w:color="auto"/>
              <w:bottom w:val="single" w:sz="4" w:space="0" w:color="auto"/>
              <w:right w:val="single" w:sz="4" w:space="0" w:color="auto"/>
            </w:tcBorders>
            <w:vAlign w:val="bottom"/>
          </w:tcPr>
          <w:p w:rsidR="00431C6A" w:rsidRPr="004E68AE" w:rsidRDefault="00431C6A" w:rsidP="00FB0071">
            <w:pPr>
              <w:autoSpaceDE w:val="0"/>
              <w:autoSpaceDN w:val="0"/>
              <w:adjustRightInd w:val="0"/>
              <w:rPr>
                <w:rFonts w:cs="Arial"/>
                <w:sz w:val="14"/>
                <w:szCs w:val="14"/>
              </w:rPr>
            </w:pPr>
          </w:p>
        </w:tc>
      </w:tr>
      <w:tr w:rsidR="00C665B1" w:rsidRPr="004E68AE" w:rsidTr="00A430AD">
        <w:trPr>
          <w:trHeight w:hRule="exact" w:val="187"/>
        </w:trPr>
        <w:tc>
          <w:tcPr>
            <w:tcW w:w="9103" w:type="dxa"/>
            <w:vMerge w:val="restart"/>
            <w:tcBorders>
              <w:top w:val="single" w:sz="4" w:space="0" w:color="auto"/>
              <w:left w:val="single" w:sz="4" w:space="0" w:color="auto"/>
              <w:bottom w:val="single" w:sz="4" w:space="0" w:color="auto"/>
              <w:right w:val="single" w:sz="4" w:space="0" w:color="auto"/>
            </w:tcBorders>
            <w:vAlign w:val="center"/>
          </w:tcPr>
          <w:p w:rsidR="00C665B1" w:rsidRPr="004E68AE" w:rsidRDefault="00947DC7" w:rsidP="00997A91">
            <w:pPr>
              <w:pStyle w:val="ListParagraph"/>
              <w:numPr>
                <w:ilvl w:val="0"/>
                <w:numId w:val="12"/>
              </w:numPr>
              <w:ind w:left="216" w:hanging="216"/>
              <w:rPr>
                <w:rFonts w:asciiTheme="minorHAnsi" w:eastAsia="Times New Roman" w:hAnsiTheme="minorHAnsi"/>
                <w:color w:val="000000"/>
                <w:sz w:val="14"/>
                <w:szCs w:val="14"/>
              </w:rPr>
            </w:pPr>
            <w:r w:rsidRPr="004E68AE">
              <w:rPr>
                <w:rFonts w:asciiTheme="minorHAnsi" w:eastAsia="Times New Roman" w:hAnsiTheme="minorHAnsi"/>
                <w:color w:val="000000"/>
                <w:sz w:val="14"/>
                <w:szCs w:val="14"/>
              </w:rPr>
              <w:t>Dollar portion of any loan</w:t>
            </w:r>
            <w:r w:rsidR="000A32BF" w:rsidRPr="004E68AE">
              <w:rPr>
                <w:rFonts w:asciiTheme="minorHAnsi" w:eastAsia="Times New Roman" w:hAnsiTheme="minorHAnsi"/>
                <w:color w:val="000000"/>
                <w:sz w:val="14"/>
                <w:szCs w:val="14"/>
              </w:rPr>
              <w:t>s</w:t>
            </w:r>
            <w:r w:rsidRPr="004E68AE">
              <w:rPr>
                <w:rFonts w:asciiTheme="minorHAnsi" w:eastAsia="Times New Roman" w:hAnsiTheme="minorHAnsi"/>
                <w:color w:val="000000"/>
                <w:sz w:val="14"/>
                <w:szCs w:val="14"/>
              </w:rPr>
              <w:t xml:space="preserve"> or group of loans to the same borrower and its affiliates with an original principal or commitment amount greater than $10</w:t>
            </w:r>
            <w:r w:rsidR="00997A91">
              <w:rPr>
                <w:rFonts w:asciiTheme="minorHAnsi" w:eastAsia="Times New Roman" w:hAnsiTheme="minorHAnsi"/>
                <w:color w:val="000000"/>
                <w:sz w:val="14"/>
                <w:szCs w:val="14"/>
              </w:rPr>
              <w:t> </w:t>
            </w:r>
            <w:r w:rsidRPr="004E68AE">
              <w:rPr>
                <w:rFonts w:asciiTheme="minorHAnsi" w:eastAsia="Times New Roman" w:hAnsiTheme="minorHAnsi"/>
                <w:color w:val="000000"/>
                <w:sz w:val="14"/>
                <w:szCs w:val="14"/>
              </w:rPr>
              <w:t>million</w:t>
            </w:r>
          </w:p>
        </w:tc>
        <w:tc>
          <w:tcPr>
            <w:tcW w:w="1968" w:type="dxa"/>
            <w:gridSpan w:val="6"/>
            <w:tcBorders>
              <w:top w:val="single" w:sz="4" w:space="0" w:color="auto"/>
              <w:left w:val="single" w:sz="4" w:space="0" w:color="auto"/>
              <w:bottom w:val="single" w:sz="4" w:space="0" w:color="auto"/>
            </w:tcBorders>
            <w:shd w:val="clear" w:color="auto" w:fill="D9D9D9" w:themeFill="background1" w:themeFillShade="D9"/>
          </w:tcPr>
          <w:p w:rsidR="00C665B1" w:rsidRPr="004E68AE" w:rsidRDefault="00C665B1" w:rsidP="004E68AE">
            <w:pPr>
              <w:rPr>
                <w:rFonts w:eastAsia="Times New Roman" w:cs="Times New Roman"/>
                <w:color w:val="000000"/>
                <w:sz w:val="14"/>
                <w:szCs w:val="14"/>
              </w:rPr>
            </w:pPr>
          </w:p>
        </w:tc>
      </w:tr>
      <w:tr w:rsidR="004E68AE" w:rsidRPr="004E68AE" w:rsidTr="00A430AD">
        <w:trPr>
          <w:trHeight w:hRule="exact" w:val="187"/>
        </w:trPr>
        <w:tc>
          <w:tcPr>
            <w:tcW w:w="9103" w:type="dxa"/>
            <w:vMerge/>
            <w:tcBorders>
              <w:top w:val="single" w:sz="4" w:space="0" w:color="auto"/>
              <w:left w:val="single" w:sz="4" w:space="0" w:color="auto"/>
              <w:bottom w:val="single" w:sz="4" w:space="0" w:color="auto"/>
              <w:right w:val="single" w:sz="4" w:space="0" w:color="auto"/>
            </w:tcBorders>
          </w:tcPr>
          <w:p w:rsidR="004E68AE" w:rsidRPr="004E68AE" w:rsidRDefault="004E68AE" w:rsidP="004E68AE">
            <w:pPr>
              <w:autoSpaceDE w:val="0"/>
              <w:autoSpaceDN w:val="0"/>
              <w:adjustRightInd w:val="0"/>
              <w:ind w:left="216" w:hanging="216"/>
              <w:rPr>
                <w:rFonts w:cs="Arial"/>
                <w:sz w:val="14"/>
                <w:szCs w:val="14"/>
              </w:rPr>
            </w:pPr>
          </w:p>
        </w:tc>
        <w:tc>
          <w:tcPr>
            <w:tcW w:w="479" w:type="dxa"/>
            <w:tcBorders>
              <w:top w:val="single" w:sz="4" w:space="0" w:color="auto"/>
              <w:left w:val="single" w:sz="4" w:space="0" w:color="auto"/>
              <w:bottom w:val="single" w:sz="4" w:space="0" w:color="auto"/>
            </w:tcBorders>
            <w:vAlign w:val="bottom"/>
          </w:tcPr>
          <w:p w:rsidR="004E68AE" w:rsidRPr="004E68AE" w:rsidRDefault="005D0881" w:rsidP="004E68AE">
            <w:pPr>
              <w:autoSpaceDE w:val="0"/>
              <w:autoSpaceDN w:val="0"/>
              <w:adjustRightInd w:val="0"/>
              <w:rPr>
                <w:rFonts w:cs="Arial"/>
                <w:sz w:val="14"/>
                <w:szCs w:val="14"/>
              </w:rPr>
            </w:pPr>
            <w:r>
              <w:rPr>
                <w:rFonts w:cs="Arial"/>
                <w:sz w:val="14"/>
                <w:szCs w:val="14"/>
              </w:rPr>
              <w:t>19</w:t>
            </w:r>
          </w:p>
        </w:tc>
        <w:tc>
          <w:tcPr>
            <w:tcW w:w="477" w:type="dxa"/>
            <w:tcBorders>
              <w:top w:val="single" w:sz="4" w:space="0" w:color="auto"/>
              <w:left w:val="single" w:sz="4" w:space="0" w:color="auto"/>
              <w:bottom w:val="single" w:sz="4" w:space="0" w:color="auto"/>
            </w:tcBorders>
            <w:vAlign w:val="bottom"/>
          </w:tcPr>
          <w:p w:rsidR="004E68AE" w:rsidRPr="004E68AE" w:rsidRDefault="004E68AE" w:rsidP="004E68AE">
            <w:pPr>
              <w:autoSpaceDE w:val="0"/>
              <w:autoSpaceDN w:val="0"/>
              <w:adjustRightInd w:val="0"/>
              <w:rPr>
                <w:rFonts w:cs="Arial"/>
                <w:sz w:val="14"/>
                <w:szCs w:val="14"/>
              </w:rPr>
            </w:pPr>
          </w:p>
        </w:tc>
        <w:tc>
          <w:tcPr>
            <w:tcW w:w="477" w:type="dxa"/>
            <w:gridSpan w:val="2"/>
            <w:tcBorders>
              <w:top w:val="single" w:sz="4" w:space="0" w:color="auto"/>
              <w:left w:val="single" w:sz="4" w:space="0" w:color="auto"/>
              <w:bottom w:val="single" w:sz="4" w:space="0" w:color="auto"/>
            </w:tcBorders>
            <w:vAlign w:val="bottom"/>
          </w:tcPr>
          <w:p w:rsidR="004E68AE" w:rsidRPr="004E68AE" w:rsidRDefault="004E68AE" w:rsidP="004E68AE">
            <w:pPr>
              <w:autoSpaceDE w:val="0"/>
              <w:autoSpaceDN w:val="0"/>
              <w:adjustRightInd w:val="0"/>
              <w:rPr>
                <w:rFonts w:cs="Arial"/>
                <w:sz w:val="14"/>
                <w:szCs w:val="14"/>
              </w:rPr>
            </w:pPr>
          </w:p>
        </w:tc>
        <w:tc>
          <w:tcPr>
            <w:tcW w:w="535" w:type="dxa"/>
            <w:gridSpan w:val="2"/>
            <w:tcBorders>
              <w:top w:val="single" w:sz="4" w:space="0" w:color="auto"/>
              <w:left w:val="single" w:sz="4" w:space="0" w:color="auto"/>
              <w:bottom w:val="single" w:sz="4" w:space="0" w:color="auto"/>
            </w:tcBorders>
            <w:vAlign w:val="bottom"/>
          </w:tcPr>
          <w:p w:rsidR="004E68AE" w:rsidRPr="004E68AE" w:rsidRDefault="004E68AE" w:rsidP="004E68AE">
            <w:pPr>
              <w:autoSpaceDE w:val="0"/>
              <w:autoSpaceDN w:val="0"/>
              <w:adjustRightInd w:val="0"/>
              <w:rPr>
                <w:rFonts w:cs="Arial"/>
                <w:sz w:val="14"/>
                <w:szCs w:val="14"/>
              </w:rPr>
            </w:pPr>
          </w:p>
        </w:tc>
      </w:tr>
      <w:tr w:rsidR="00072B02" w:rsidRPr="004E68AE" w:rsidTr="00A430AD">
        <w:trPr>
          <w:trHeight w:hRule="exact" w:val="187"/>
        </w:trPr>
        <w:tc>
          <w:tcPr>
            <w:tcW w:w="9103" w:type="dxa"/>
            <w:vMerge w:val="restart"/>
            <w:tcBorders>
              <w:top w:val="single" w:sz="4" w:space="0" w:color="auto"/>
              <w:left w:val="single" w:sz="4" w:space="0" w:color="auto"/>
              <w:bottom w:val="single" w:sz="4" w:space="0" w:color="auto"/>
              <w:right w:val="single" w:sz="4" w:space="0" w:color="auto"/>
            </w:tcBorders>
            <w:vAlign w:val="center"/>
          </w:tcPr>
          <w:p w:rsidR="00072B02" w:rsidRPr="004E68AE" w:rsidRDefault="00947DC7" w:rsidP="004E68AE">
            <w:pPr>
              <w:pStyle w:val="ListParagraph"/>
              <w:numPr>
                <w:ilvl w:val="0"/>
                <w:numId w:val="12"/>
              </w:numPr>
              <w:ind w:left="216" w:hanging="216"/>
              <w:rPr>
                <w:rFonts w:asciiTheme="minorHAnsi" w:eastAsia="Times New Roman" w:hAnsiTheme="minorHAnsi"/>
                <w:color w:val="000000"/>
                <w:sz w:val="14"/>
                <w:szCs w:val="14"/>
              </w:rPr>
            </w:pPr>
            <w:r w:rsidRPr="004E68AE">
              <w:rPr>
                <w:rFonts w:asciiTheme="minorHAnsi" w:eastAsia="Times New Roman" w:hAnsiTheme="minorHAnsi"/>
                <w:color w:val="000000"/>
                <w:sz w:val="14"/>
                <w:szCs w:val="14"/>
              </w:rPr>
              <w:t xml:space="preserve">Dollar portion of </w:t>
            </w:r>
            <w:r w:rsidR="00340FC1" w:rsidRPr="004E68AE">
              <w:rPr>
                <w:rFonts w:asciiTheme="minorHAnsi" w:eastAsia="Times New Roman" w:hAnsiTheme="minorHAnsi"/>
                <w:color w:val="000000"/>
                <w:sz w:val="14"/>
                <w:szCs w:val="14"/>
              </w:rPr>
              <w:t xml:space="preserve">such </w:t>
            </w:r>
            <w:r w:rsidRPr="004E68AE">
              <w:rPr>
                <w:rFonts w:asciiTheme="minorHAnsi" w:eastAsia="Times New Roman" w:hAnsiTheme="minorHAnsi"/>
                <w:color w:val="000000"/>
                <w:sz w:val="14"/>
                <w:szCs w:val="14"/>
              </w:rPr>
              <w:t xml:space="preserve">loans to businesses with more than $50 million in revenues, unless included in line </w:t>
            </w:r>
            <w:r w:rsidR="008E71D0" w:rsidRPr="004E68AE">
              <w:rPr>
                <w:rFonts w:asciiTheme="minorHAnsi" w:eastAsia="Times New Roman" w:hAnsiTheme="minorHAnsi"/>
                <w:color w:val="000000"/>
                <w:sz w:val="14"/>
                <w:szCs w:val="14"/>
              </w:rPr>
              <w:t>19</w:t>
            </w:r>
          </w:p>
        </w:tc>
        <w:tc>
          <w:tcPr>
            <w:tcW w:w="1968" w:type="dxa"/>
            <w:gridSpan w:val="6"/>
            <w:tcBorders>
              <w:left w:val="single" w:sz="4" w:space="0" w:color="auto"/>
            </w:tcBorders>
            <w:shd w:val="clear" w:color="auto" w:fill="D9D9D9" w:themeFill="background1" w:themeFillShade="D9"/>
            <w:vAlign w:val="bottom"/>
          </w:tcPr>
          <w:p w:rsidR="00072B02" w:rsidRPr="004E68AE" w:rsidRDefault="00072B02" w:rsidP="004E68AE">
            <w:pPr>
              <w:rPr>
                <w:rFonts w:eastAsia="Times New Roman" w:cs="Times New Roman"/>
                <w:color w:val="000000"/>
                <w:sz w:val="14"/>
                <w:szCs w:val="14"/>
              </w:rPr>
            </w:pPr>
          </w:p>
        </w:tc>
      </w:tr>
      <w:tr w:rsidR="004E68AE" w:rsidRPr="004E68AE" w:rsidTr="00A430AD">
        <w:trPr>
          <w:trHeight w:hRule="exact" w:val="187"/>
        </w:trPr>
        <w:tc>
          <w:tcPr>
            <w:tcW w:w="9103" w:type="dxa"/>
            <w:vMerge/>
            <w:tcBorders>
              <w:top w:val="single" w:sz="4" w:space="0" w:color="auto"/>
              <w:left w:val="single" w:sz="4" w:space="0" w:color="auto"/>
              <w:bottom w:val="single" w:sz="4" w:space="0" w:color="auto"/>
              <w:right w:val="single" w:sz="4" w:space="0" w:color="auto"/>
            </w:tcBorders>
            <w:vAlign w:val="center"/>
          </w:tcPr>
          <w:p w:rsidR="004E68AE" w:rsidRPr="004E68AE" w:rsidRDefault="004E68AE" w:rsidP="004E68AE">
            <w:pPr>
              <w:pStyle w:val="ListParagraph"/>
              <w:numPr>
                <w:ilvl w:val="0"/>
                <w:numId w:val="12"/>
              </w:numPr>
              <w:ind w:left="216" w:hanging="216"/>
              <w:rPr>
                <w:rFonts w:asciiTheme="minorHAnsi" w:eastAsia="Times New Roman" w:hAnsiTheme="minorHAnsi"/>
                <w:color w:val="000000"/>
                <w:sz w:val="14"/>
                <w:szCs w:val="14"/>
              </w:rPr>
            </w:pPr>
          </w:p>
        </w:tc>
        <w:tc>
          <w:tcPr>
            <w:tcW w:w="479" w:type="dxa"/>
            <w:tcBorders>
              <w:left w:val="single" w:sz="4" w:space="0" w:color="auto"/>
            </w:tcBorders>
            <w:vAlign w:val="bottom"/>
          </w:tcPr>
          <w:p w:rsidR="004E68AE" w:rsidRPr="004E68AE" w:rsidRDefault="005D0881" w:rsidP="004E68AE">
            <w:pPr>
              <w:autoSpaceDE w:val="0"/>
              <w:autoSpaceDN w:val="0"/>
              <w:adjustRightInd w:val="0"/>
              <w:rPr>
                <w:rFonts w:cs="Arial"/>
                <w:sz w:val="14"/>
                <w:szCs w:val="14"/>
              </w:rPr>
            </w:pPr>
            <w:r>
              <w:rPr>
                <w:rFonts w:cs="Arial"/>
                <w:sz w:val="14"/>
                <w:szCs w:val="14"/>
              </w:rPr>
              <w:t>20</w:t>
            </w:r>
          </w:p>
        </w:tc>
        <w:tc>
          <w:tcPr>
            <w:tcW w:w="477" w:type="dxa"/>
            <w:tcBorders>
              <w:left w:val="single" w:sz="4" w:space="0" w:color="auto"/>
            </w:tcBorders>
            <w:vAlign w:val="bottom"/>
          </w:tcPr>
          <w:p w:rsidR="004E68AE" w:rsidRPr="004E68AE" w:rsidRDefault="004E68AE" w:rsidP="004E68AE">
            <w:pPr>
              <w:autoSpaceDE w:val="0"/>
              <w:autoSpaceDN w:val="0"/>
              <w:adjustRightInd w:val="0"/>
              <w:rPr>
                <w:rFonts w:cs="Arial"/>
                <w:sz w:val="14"/>
                <w:szCs w:val="14"/>
              </w:rPr>
            </w:pPr>
          </w:p>
        </w:tc>
        <w:tc>
          <w:tcPr>
            <w:tcW w:w="477" w:type="dxa"/>
            <w:gridSpan w:val="2"/>
            <w:tcBorders>
              <w:left w:val="single" w:sz="4" w:space="0" w:color="auto"/>
            </w:tcBorders>
            <w:vAlign w:val="bottom"/>
          </w:tcPr>
          <w:p w:rsidR="004E68AE" w:rsidRPr="004E68AE" w:rsidRDefault="004E68AE" w:rsidP="004E68AE">
            <w:pPr>
              <w:autoSpaceDE w:val="0"/>
              <w:autoSpaceDN w:val="0"/>
              <w:adjustRightInd w:val="0"/>
              <w:rPr>
                <w:rFonts w:cs="Arial"/>
                <w:sz w:val="14"/>
                <w:szCs w:val="14"/>
              </w:rPr>
            </w:pPr>
          </w:p>
        </w:tc>
        <w:tc>
          <w:tcPr>
            <w:tcW w:w="535" w:type="dxa"/>
            <w:gridSpan w:val="2"/>
            <w:tcBorders>
              <w:left w:val="single" w:sz="4" w:space="0" w:color="auto"/>
            </w:tcBorders>
            <w:vAlign w:val="bottom"/>
          </w:tcPr>
          <w:p w:rsidR="004E68AE" w:rsidRPr="004E68AE" w:rsidRDefault="004E68AE" w:rsidP="004E68AE">
            <w:pPr>
              <w:autoSpaceDE w:val="0"/>
              <w:autoSpaceDN w:val="0"/>
              <w:adjustRightInd w:val="0"/>
              <w:rPr>
                <w:rFonts w:cs="Arial"/>
                <w:sz w:val="14"/>
                <w:szCs w:val="14"/>
              </w:rPr>
            </w:pPr>
          </w:p>
        </w:tc>
      </w:tr>
      <w:tr w:rsidR="00072B02" w:rsidRPr="004E68AE" w:rsidTr="00A430AD">
        <w:trPr>
          <w:trHeight w:hRule="exact" w:val="187"/>
        </w:trPr>
        <w:tc>
          <w:tcPr>
            <w:tcW w:w="9103" w:type="dxa"/>
            <w:vMerge w:val="restart"/>
            <w:tcBorders>
              <w:top w:val="single" w:sz="4" w:space="0" w:color="auto"/>
              <w:left w:val="single" w:sz="4" w:space="0" w:color="auto"/>
              <w:bottom w:val="single" w:sz="4" w:space="0" w:color="auto"/>
              <w:right w:val="single" w:sz="4" w:space="0" w:color="auto"/>
            </w:tcBorders>
            <w:vAlign w:val="center"/>
          </w:tcPr>
          <w:p w:rsidR="00072B02" w:rsidRPr="004E68AE" w:rsidRDefault="00947DC7" w:rsidP="004E68AE">
            <w:pPr>
              <w:pStyle w:val="ListParagraph"/>
              <w:numPr>
                <w:ilvl w:val="0"/>
                <w:numId w:val="12"/>
              </w:numPr>
              <w:ind w:left="216" w:hanging="216"/>
              <w:rPr>
                <w:rFonts w:asciiTheme="minorHAnsi" w:eastAsia="Times New Roman" w:hAnsiTheme="minorHAnsi"/>
                <w:color w:val="000000"/>
                <w:sz w:val="14"/>
                <w:szCs w:val="14"/>
              </w:rPr>
            </w:pPr>
            <w:r w:rsidRPr="004E68AE">
              <w:rPr>
                <w:rFonts w:asciiTheme="minorHAnsi" w:eastAsia="Times New Roman" w:hAnsiTheme="minorHAnsi"/>
                <w:color w:val="000000"/>
                <w:sz w:val="14"/>
                <w:szCs w:val="14"/>
              </w:rPr>
              <w:t xml:space="preserve">Dollar portion of line </w:t>
            </w:r>
            <w:r w:rsidR="000A32BF" w:rsidRPr="004E68AE">
              <w:rPr>
                <w:rFonts w:asciiTheme="minorHAnsi" w:eastAsia="Times New Roman" w:hAnsiTheme="minorHAnsi"/>
                <w:color w:val="000000"/>
                <w:sz w:val="14"/>
                <w:szCs w:val="14"/>
              </w:rPr>
              <w:t>18</w:t>
            </w:r>
            <w:r w:rsidRPr="004E68AE">
              <w:rPr>
                <w:rFonts w:asciiTheme="minorHAnsi" w:eastAsia="Times New Roman" w:hAnsiTheme="minorHAnsi"/>
                <w:color w:val="000000"/>
                <w:sz w:val="14"/>
                <w:szCs w:val="14"/>
              </w:rPr>
              <w:t xml:space="preserve"> guaranteed by the U.S. government, unless included in lines </w:t>
            </w:r>
            <w:r w:rsidR="000A32BF" w:rsidRPr="004E68AE">
              <w:rPr>
                <w:rFonts w:asciiTheme="minorHAnsi" w:eastAsia="Times New Roman" w:hAnsiTheme="minorHAnsi"/>
                <w:color w:val="000000"/>
                <w:sz w:val="14"/>
                <w:szCs w:val="14"/>
              </w:rPr>
              <w:t>19</w:t>
            </w:r>
            <w:r w:rsidR="008E71D0" w:rsidRPr="004E68AE">
              <w:rPr>
                <w:rFonts w:asciiTheme="minorHAnsi" w:eastAsia="Times New Roman" w:hAnsiTheme="minorHAnsi"/>
                <w:color w:val="000000"/>
                <w:sz w:val="14"/>
                <w:szCs w:val="14"/>
              </w:rPr>
              <w:t xml:space="preserve"> or </w:t>
            </w:r>
            <w:r w:rsidR="000A32BF" w:rsidRPr="004E68AE">
              <w:rPr>
                <w:rFonts w:asciiTheme="minorHAnsi" w:eastAsia="Times New Roman" w:hAnsiTheme="minorHAnsi"/>
                <w:color w:val="000000"/>
                <w:sz w:val="14"/>
                <w:szCs w:val="14"/>
              </w:rPr>
              <w:t>20</w:t>
            </w:r>
          </w:p>
        </w:tc>
        <w:tc>
          <w:tcPr>
            <w:tcW w:w="1968" w:type="dxa"/>
            <w:gridSpan w:val="6"/>
            <w:tcBorders>
              <w:left w:val="single" w:sz="4" w:space="0" w:color="auto"/>
            </w:tcBorders>
            <w:shd w:val="clear" w:color="auto" w:fill="D9D9D9" w:themeFill="background1" w:themeFillShade="D9"/>
            <w:vAlign w:val="bottom"/>
          </w:tcPr>
          <w:p w:rsidR="00072B02" w:rsidRPr="004E68AE" w:rsidRDefault="00072B02" w:rsidP="004E68AE">
            <w:pPr>
              <w:rPr>
                <w:rFonts w:eastAsia="Times New Roman" w:cs="Times New Roman"/>
                <w:color w:val="000000"/>
                <w:sz w:val="14"/>
                <w:szCs w:val="14"/>
              </w:rPr>
            </w:pPr>
          </w:p>
        </w:tc>
      </w:tr>
      <w:tr w:rsidR="004E68AE" w:rsidRPr="004E68AE" w:rsidTr="00A430AD">
        <w:trPr>
          <w:trHeight w:hRule="exact" w:val="187"/>
        </w:trPr>
        <w:tc>
          <w:tcPr>
            <w:tcW w:w="9103" w:type="dxa"/>
            <w:vMerge/>
            <w:tcBorders>
              <w:top w:val="single" w:sz="4" w:space="0" w:color="auto"/>
              <w:left w:val="single" w:sz="4" w:space="0" w:color="auto"/>
              <w:bottom w:val="single" w:sz="4" w:space="0" w:color="auto"/>
              <w:right w:val="single" w:sz="4" w:space="0" w:color="auto"/>
            </w:tcBorders>
            <w:vAlign w:val="center"/>
          </w:tcPr>
          <w:p w:rsidR="004E68AE" w:rsidRPr="004E68AE" w:rsidRDefault="004E68AE" w:rsidP="004E68AE">
            <w:pPr>
              <w:pStyle w:val="ListParagraph"/>
              <w:numPr>
                <w:ilvl w:val="0"/>
                <w:numId w:val="12"/>
              </w:numPr>
              <w:ind w:left="216" w:hanging="216"/>
              <w:rPr>
                <w:rFonts w:asciiTheme="minorHAnsi" w:eastAsia="Times New Roman" w:hAnsiTheme="minorHAnsi"/>
                <w:color w:val="000000"/>
                <w:sz w:val="14"/>
                <w:szCs w:val="14"/>
              </w:rPr>
            </w:pPr>
          </w:p>
        </w:tc>
        <w:tc>
          <w:tcPr>
            <w:tcW w:w="479" w:type="dxa"/>
            <w:tcBorders>
              <w:left w:val="single" w:sz="4" w:space="0" w:color="auto"/>
            </w:tcBorders>
            <w:vAlign w:val="bottom"/>
          </w:tcPr>
          <w:p w:rsidR="004E68AE" w:rsidRPr="004E68AE" w:rsidRDefault="005D0881" w:rsidP="004E68AE">
            <w:pPr>
              <w:autoSpaceDE w:val="0"/>
              <w:autoSpaceDN w:val="0"/>
              <w:adjustRightInd w:val="0"/>
              <w:rPr>
                <w:rFonts w:cs="Arial"/>
                <w:sz w:val="14"/>
                <w:szCs w:val="14"/>
              </w:rPr>
            </w:pPr>
            <w:r>
              <w:rPr>
                <w:rFonts w:cs="Arial"/>
                <w:sz w:val="14"/>
                <w:szCs w:val="14"/>
              </w:rPr>
              <w:t>21</w:t>
            </w:r>
          </w:p>
        </w:tc>
        <w:tc>
          <w:tcPr>
            <w:tcW w:w="477" w:type="dxa"/>
            <w:tcBorders>
              <w:left w:val="single" w:sz="4" w:space="0" w:color="auto"/>
            </w:tcBorders>
            <w:vAlign w:val="bottom"/>
          </w:tcPr>
          <w:p w:rsidR="004E68AE" w:rsidRPr="004E68AE" w:rsidRDefault="004E68AE" w:rsidP="004E68AE">
            <w:pPr>
              <w:autoSpaceDE w:val="0"/>
              <w:autoSpaceDN w:val="0"/>
              <w:adjustRightInd w:val="0"/>
              <w:rPr>
                <w:rFonts w:cs="Arial"/>
                <w:sz w:val="14"/>
                <w:szCs w:val="14"/>
              </w:rPr>
            </w:pPr>
          </w:p>
        </w:tc>
        <w:tc>
          <w:tcPr>
            <w:tcW w:w="477" w:type="dxa"/>
            <w:gridSpan w:val="2"/>
            <w:tcBorders>
              <w:left w:val="single" w:sz="4" w:space="0" w:color="auto"/>
            </w:tcBorders>
            <w:vAlign w:val="bottom"/>
          </w:tcPr>
          <w:p w:rsidR="004E68AE" w:rsidRPr="004E68AE" w:rsidRDefault="004E68AE" w:rsidP="004E68AE">
            <w:pPr>
              <w:autoSpaceDE w:val="0"/>
              <w:autoSpaceDN w:val="0"/>
              <w:adjustRightInd w:val="0"/>
              <w:rPr>
                <w:rFonts w:cs="Arial"/>
                <w:sz w:val="14"/>
                <w:szCs w:val="14"/>
              </w:rPr>
            </w:pPr>
          </w:p>
        </w:tc>
        <w:tc>
          <w:tcPr>
            <w:tcW w:w="535" w:type="dxa"/>
            <w:gridSpan w:val="2"/>
            <w:tcBorders>
              <w:left w:val="single" w:sz="4" w:space="0" w:color="auto"/>
            </w:tcBorders>
            <w:vAlign w:val="bottom"/>
          </w:tcPr>
          <w:p w:rsidR="004E68AE" w:rsidRPr="004E68AE" w:rsidRDefault="004E68AE" w:rsidP="004E68AE">
            <w:pPr>
              <w:autoSpaceDE w:val="0"/>
              <w:autoSpaceDN w:val="0"/>
              <w:adjustRightInd w:val="0"/>
              <w:rPr>
                <w:rFonts w:cs="Arial"/>
                <w:sz w:val="14"/>
                <w:szCs w:val="14"/>
              </w:rPr>
            </w:pPr>
          </w:p>
        </w:tc>
      </w:tr>
      <w:tr w:rsidR="00947DC7" w:rsidRPr="004E68AE" w:rsidTr="00A430AD">
        <w:trPr>
          <w:trHeight w:hRule="exact" w:val="187"/>
        </w:trPr>
        <w:tc>
          <w:tcPr>
            <w:tcW w:w="9103" w:type="dxa"/>
            <w:vMerge w:val="restart"/>
            <w:tcBorders>
              <w:top w:val="single" w:sz="4" w:space="0" w:color="auto"/>
              <w:left w:val="single" w:sz="4" w:space="0" w:color="auto"/>
              <w:bottom w:val="single" w:sz="4" w:space="0" w:color="auto"/>
              <w:right w:val="single" w:sz="4" w:space="0" w:color="auto"/>
            </w:tcBorders>
            <w:vAlign w:val="center"/>
          </w:tcPr>
          <w:p w:rsidR="00947DC7" w:rsidRPr="004E68AE" w:rsidRDefault="00947DC7" w:rsidP="004E68AE">
            <w:pPr>
              <w:pStyle w:val="ListParagraph"/>
              <w:numPr>
                <w:ilvl w:val="0"/>
                <w:numId w:val="12"/>
              </w:numPr>
              <w:ind w:left="216" w:hanging="216"/>
              <w:rPr>
                <w:rFonts w:asciiTheme="minorHAnsi" w:eastAsia="Times New Roman" w:hAnsiTheme="minorHAnsi"/>
                <w:color w:val="000000"/>
                <w:sz w:val="14"/>
                <w:szCs w:val="14"/>
              </w:rPr>
            </w:pPr>
            <w:r w:rsidRPr="004E68AE">
              <w:rPr>
                <w:rFonts w:asciiTheme="minorHAnsi" w:eastAsia="Times New Roman" w:hAnsiTheme="minorHAnsi"/>
                <w:color w:val="000000"/>
                <w:sz w:val="14"/>
                <w:szCs w:val="14"/>
              </w:rPr>
              <w:t xml:space="preserve">Dollar portion of line </w:t>
            </w:r>
            <w:r w:rsidR="000A32BF" w:rsidRPr="004E68AE">
              <w:rPr>
                <w:rFonts w:asciiTheme="minorHAnsi" w:eastAsia="Times New Roman" w:hAnsiTheme="minorHAnsi"/>
                <w:color w:val="000000"/>
                <w:sz w:val="14"/>
                <w:szCs w:val="14"/>
              </w:rPr>
              <w:t>18</w:t>
            </w:r>
            <w:r w:rsidRPr="004E68AE">
              <w:rPr>
                <w:rFonts w:asciiTheme="minorHAnsi" w:eastAsia="Times New Roman" w:hAnsiTheme="minorHAnsi"/>
                <w:color w:val="000000"/>
                <w:sz w:val="14"/>
                <w:szCs w:val="14"/>
              </w:rPr>
              <w:t xml:space="preserve"> where a third party has assumed an interest, unless included in lines </w:t>
            </w:r>
            <w:r w:rsidR="000A32BF" w:rsidRPr="004E68AE">
              <w:rPr>
                <w:rFonts w:asciiTheme="minorHAnsi" w:eastAsia="Times New Roman" w:hAnsiTheme="minorHAnsi"/>
                <w:color w:val="000000"/>
                <w:sz w:val="14"/>
                <w:szCs w:val="14"/>
              </w:rPr>
              <w:t>19, 20</w:t>
            </w:r>
            <w:r w:rsidR="008E71D0" w:rsidRPr="004E68AE">
              <w:rPr>
                <w:rFonts w:asciiTheme="minorHAnsi" w:eastAsia="Times New Roman" w:hAnsiTheme="minorHAnsi"/>
                <w:color w:val="000000"/>
                <w:sz w:val="14"/>
                <w:szCs w:val="14"/>
              </w:rPr>
              <w:t>, or 2</w:t>
            </w:r>
            <w:r w:rsidR="000A32BF" w:rsidRPr="004E68AE">
              <w:rPr>
                <w:rFonts w:asciiTheme="minorHAnsi" w:eastAsia="Times New Roman" w:hAnsiTheme="minorHAnsi"/>
                <w:color w:val="000000"/>
                <w:sz w:val="14"/>
                <w:szCs w:val="14"/>
              </w:rPr>
              <w:t>1</w:t>
            </w:r>
          </w:p>
        </w:tc>
        <w:tc>
          <w:tcPr>
            <w:tcW w:w="1968" w:type="dxa"/>
            <w:gridSpan w:val="6"/>
            <w:tcBorders>
              <w:left w:val="single" w:sz="4" w:space="0" w:color="auto"/>
            </w:tcBorders>
            <w:shd w:val="clear" w:color="auto" w:fill="D9D9D9" w:themeFill="background1" w:themeFillShade="D9"/>
            <w:vAlign w:val="bottom"/>
          </w:tcPr>
          <w:p w:rsidR="00947DC7" w:rsidRPr="004E68AE" w:rsidRDefault="00947DC7" w:rsidP="004E68AE">
            <w:pPr>
              <w:rPr>
                <w:rFonts w:eastAsia="Times New Roman" w:cs="Times New Roman"/>
                <w:color w:val="000000"/>
                <w:sz w:val="14"/>
                <w:szCs w:val="14"/>
              </w:rPr>
            </w:pPr>
          </w:p>
        </w:tc>
      </w:tr>
      <w:tr w:rsidR="005D0881" w:rsidRPr="004E68AE" w:rsidTr="00A430AD">
        <w:trPr>
          <w:trHeight w:hRule="exact" w:val="187"/>
        </w:trPr>
        <w:tc>
          <w:tcPr>
            <w:tcW w:w="9103" w:type="dxa"/>
            <w:vMerge/>
            <w:tcBorders>
              <w:top w:val="single" w:sz="4" w:space="0" w:color="auto"/>
              <w:left w:val="single" w:sz="4" w:space="0" w:color="auto"/>
              <w:bottom w:val="single" w:sz="4" w:space="0" w:color="auto"/>
              <w:right w:val="single" w:sz="4" w:space="0" w:color="auto"/>
            </w:tcBorders>
            <w:vAlign w:val="center"/>
          </w:tcPr>
          <w:p w:rsidR="005D0881" w:rsidRPr="004E68AE" w:rsidRDefault="005D0881" w:rsidP="004E68AE">
            <w:pPr>
              <w:pStyle w:val="ListParagraph"/>
              <w:numPr>
                <w:ilvl w:val="0"/>
                <w:numId w:val="12"/>
              </w:numPr>
              <w:ind w:left="0" w:firstLine="72"/>
              <w:rPr>
                <w:rFonts w:asciiTheme="minorHAnsi" w:eastAsia="Times New Roman" w:hAnsiTheme="minorHAnsi"/>
                <w:color w:val="000000"/>
                <w:sz w:val="14"/>
                <w:szCs w:val="14"/>
              </w:rPr>
            </w:pPr>
          </w:p>
        </w:tc>
        <w:tc>
          <w:tcPr>
            <w:tcW w:w="479" w:type="dxa"/>
            <w:tcBorders>
              <w:left w:val="single" w:sz="4" w:space="0" w:color="auto"/>
              <w:bottom w:val="single" w:sz="4" w:space="0" w:color="auto"/>
            </w:tcBorders>
            <w:vAlign w:val="bottom"/>
          </w:tcPr>
          <w:p w:rsidR="005D0881" w:rsidRPr="004E68AE" w:rsidRDefault="005D0881" w:rsidP="004E68AE">
            <w:pPr>
              <w:autoSpaceDE w:val="0"/>
              <w:autoSpaceDN w:val="0"/>
              <w:adjustRightInd w:val="0"/>
              <w:rPr>
                <w:rFonts w:cs="Arial"/>
                <w:sz w:val="14"/>
                <w:szCs w:val="14"/>
              </w:rPr>
            </w:pPr>
            <w:r>
              <w:rPr>
                <w:rFonts w:cs="Arial"/>
                <w:sz w:val="14"/>
                <w:szCs w:val="14"/>
              </w:rPr>
              <w:t>22</w:t>
            </w:r>
          </w:p>
        </w:tc>
        <w:tc>
          <w:tcPr>
            <w:tcW w:w="477" w:type="dxa"/>
            <w:tcBorders>
              <w:left w:val="single" w:sz="4" w:space="0" w:color="auto"/>
              <w:bottom w:val="single" w:sz="4" w:space="0" w:color="auto"/>
            </w:tcBorders>
            <w:vAlign w:val="bottom"/>
          </w:tcPr>
          <w:p w:rsidR="005D0881" w:rsidRPr="004E68AE" w:rsidRDefault="005D0881" w:rsidP="004E68AE">
            <w:pPr>
              <w:autoSpaceDE w:val="0"/>
              <w:autoSpaceDN w:val="0"/>
              <w:adjustRightInd w:val="0"/>
              <w:rPr>
                <w:rFonts w:cs="Arial"/>
                <w:sz w:val="14"/>
                <w:szCs w:val="14"/>
              </w:rPr>
            </w:pPr>
          </w:p>
        </w:tc>
        <w:tc>
          <w:tcPr>
            <w:tcW w:w="477" w:type="dxa"/>
            <w:gridSpan w:val="2"/>
            <w:tcBorders>
              <w:left w:val="single" w:sz="4" w:space="0" w:color="auto"/>
              <w:bottom w:val="single" w:sz="4" w:space="0" w:color="auto"/>
            </w:tcBorders>
            <w:vAlign w:val="bottom"/>
          </w:tcPr>
          <w:p w:rsidR="005D0881" w:rsidRPr="004E68AE" w:rsidRDefault="005D0881" w:rsidP="004E68AE">
            <w:pPr>
              <w:autoSpaceDE w:val="0"/>
              <w:autoSpaceDN w:val="0"/>
              <w:adjustRightInd w:val="0"/>
              <w:rPr>
                <w:rFonts w:cs="Arial"/>
                <w:sz w:val="14"/>
                <w:szCs w:val="14"/>
              </w:rPr>
            </w:pPr>
          </w:p>
        </w:tc>
        <w:tc>
          <w:tcPr>
            <w:tcW w:w="535" w:type="dxa"/>
            <w:gridSpan w:val="2"/>
            <w:tcBorders>
              <w:left w:val="single" w:sz="4" w:space="0" w:color="auto"/>
              <w:bottom w:val="single" w:sz="4" w:space="0" w:color="auto"/>
            </w:tcBorders>
            <w:vAlign w:val="bottom"/>
          </w:tcPr>
          <w:p w:rsidR="005D0881" w:rsidRPr="004E68AE" w:rsidRDefault="005D0881" w:rsidP="004E68AE">
            <w:pPr>
              <w:autoSpaceDE w:val="0"/>
              <w:autoSpaceDN w:val="0"/>
              <w:adjustRightInd w:val="0"/>
              <w:rPr>
                <w:rFonts w:cs="Arial"/>
                <w:sz w:val="14"/>
                <w:szCs w:val="14"/>
              </w:rPr>
            </w:pPr>
          </w:p>
        </w:tc>
      </w:tr>
      <w:tr w:rsidR="005D0881" w:rsidRPr="004E68AE" w:rsidTr="005D0881">
        <w:trPr>
          <w:trHeight w:hRule="exact" w:val="187"/>
        </w:trPr>
        <w:tc>
          <w:tcPr>
            <w:tcW w:w="11071" w:type="dxa"/>
            <w:gridSpan w:val="7"/>
            <w:tcBorders>
              <w:top w:val="single" w:sz="4" w:space="0" w:color="auto"/>
              <w:left w:val="nil"/>
              <w:bottom w:val="single" w:sz="4" w:space="0" w:color="auto"/>
              <w:right w:val="nil"/>
            </w:tcBorders>
            <w:vAlign w:val="center"/>
          </w:tcPr>
          <w:p w:rsidR="005D0881" w:rsidRDefault="005D0881" w:rsidP="004E68AE">
            <w:pPr>
              <w:autoSpaceDE w:val="0"/>
              <w:autoSpaceDN w:val="0"/>
              <w:adjustRightInd w:val="0"/>
              <w:rPr>
                <w:rFonts w:cs="Arial"/>
                <w:sz w:val="14"/>
                <w:szCs w:val="14"/>
              </w:rPr>
            </w:pPr>
          </w:p>
        </w:tc>
      </w:tr>
      <w:tr w:rsidR="00A430AD" w:rsidRPr="004E68AE" w:rsidTr="00A430AD">
        <w:trPr>
          <w:trHeight w:hRule="exact" w:val="187"/>
        </w:trPr>
        <w:tc>
          <w:tcPr>
            <w:tcW w:w="9103" w:type="dxa"/>
            <w:tcBorders>
              <w:top w:val="single" w:sz="4" w:space="0" w:color="auto"/>
              <w:left w:val="single" w:sz="4" w:space="0" w:color="auto"/>
              <w:bottom w:val="single" w:sz="4" w:space="0" w:color="auto"/>
              <w:right w:val="single" w:sz="4" w:space="0" w:color="auto"/>
            </w:tcBorders>
            <w:vAlign w:val="center"/>
          </w:tcPr>
          <w:p w:rsidR="00A430AD" w:rsidRPr="00106AC6" w:rsidRDefault="00A430AD" w:rsidP="005D0881">
            <w:pPr>
              <w:pStyle w:val="ListParagraph"/>
              <w:numPr>
                <w:ilvl w:val="0"/>
                <w:numId w:val="12"/>
              </w:numPr>
              <w:ind w:left="216" w:hanging="216"/>
              <w:rPr>
                <w:rFonts w:asciiTheme="minorHAnsi" w:eastAsia="Times New Roman" w:hAnsiTheme="minorHAnsi"/>
                <w:color w:val="000000"/>
                <w:sz w:val="14"/>
                <w:szCs w:val="14"/>
              </w:rPr>
            </w:pPr>
            <w:r w:rsidRPr="00106AC6">
              <w:rPr>
                <w:rFonts w:eastAsia="Times New Roman"/>
                <w:color w:val="000000"/>
                <w:sz w:val="14"/>
                <w:szCs w:val="14"/>
              </w:rPr>
              <w:t>Total quarter-end qualified small business loans (line 23 equals line 18 minus lines 19, 20, 21, and 22)</w:t>
            </w:r>
          </w:p>
        </w:tc>
        <w:tc>
          <w:tcPr>
            <w:tcW w:w="479" w:type="dxa"/>
            <w:tcBorders>
              <w:left w:val="single" w:sz="4" w:space="0" w:color="auto"/>
            </w:tcBorders>
            <w:vAlign w:val="bottom"/>
          </w:tcPr>
          <w:p w:rsidR="00A430AD" w:rsidRPr="00106AC6" w:rsidRDefault="00A430AD" w:rsidP="004E68AE">
            <w:pPr>
              <w:autoSpaceDE w:val="0"/>
              <w:autoSpaceDN w:val="0"/>
              <w:adjustRightInd w:val="0"/>
              <w:rPr>
                <w:rFonts w:cs="Arial"/>
                <w:sz w:val="14"/>
                <w:szCs w:val="14"/>
              </w:rPr>
            </w:pPr>
            <w:r w:rsidRPr="00106AC6">
              <w:rPr>
                <w:rFonts w:cs="Arial"/>
                <w:sz w:val="14"/>
                <w:szCs w:val="14"/>
              </w:rPr>
              <w:t>23</w:t>
            </w:r>
          </w:p>
        </w:tc>
        <w:tc>
          <w:tcPr>
            <w:tcW w:w="496" w:type="dxa"/>
            <w:gridSpan w:val="2"/>
            <w:tcBorders>
              <w:left w:val="single" w:sz="4" w:space="0" w:color="auto"/>
            </w:tcBorders>
            <w:vAlign w:val="bottom"/>
          </w:tcPr>
          <w:p w:rsidR="00A430AD" w:rsidRDefault="00A430AD" w:rsidP="004E68AE">
            <w:pPr>
              <w:autoSpaceDE w:val="0"/>
              <w:autoSpaceDN w:val="0"/>
              <w:adjustRightInd w:val="0"/>
              <w:rPr>
                <w:rFonts w:cs="Arial"/>
                <w:sz w:val="14"/>
                <w:szCs w:val="14"/>
              </w:rPr>
            </w:pPr>
          </w:p>
        </w:tc>
        <w:tc>
          <w:tcPr>
            <w:tcW w:w="496" w:type="dxa"/>
            <w:gridSpan w:val="2"/>
            <w:tcBorders>
              <w:left w:val="single" w:sz="4" w:space="0" w:color="auto"/>
            </w:tcBorders>
            <w:vAlign w:val="bottom"/>
          </w:tcPr>
          <w:p w:rsidR="00A430AD" w:rsidRDefault="00A430AD" w:rsidP="004E68AE">
            <w:pPr>
              <w:autoSpaceDE w:val="0"/>
              <w:autoSpaceDN w:val="0"/>
              <w:adjustRightInd w:val="0"/>
              <w:rPr>
                <w:rFonts w:cs="Arial"/>
                <w:sz w:val="14"/>
                <w:szCs w:val="14"/>
              </w:rPr>
            </w:pPr>
          </w:p>
        </w:tc>
        <w:tc>
          <w:tcPr>
            <w:tcW w:w="497" w:type="dxa"/>
            <w:tcBorders>
              <w:left w:val="single" w:sz="4" w:space="0" w:color="auto"/>
            </w:tcBorders>
            <w:vAlign w:val="bottom"/>
          </w:tcPr>
          <w:p w:rsidR="00A430AD" w:rsidRDefault="00A430AD" w:rsidP="004E68AE">
            <w:pPr>
              <w:autoSpaceDE w:val="0"/>
              <w:autoSpaceDN w:val="0"/>
              <w:adjustRightInd w:val="0"/>
              <w:rPr>
                <w:rFonts w:cs="Arial"/>
                <w:sz w:val="14"/>
                <w:szCs w:val="14"/>
              </w:rPr>
            </w:pPr>
          </w:p>
        </w:tc>
      </w:tr>
    </w:tbl>
    <w:p w:rsidR="00A430AD" w:rsidRDefault="00A430AD" w:rsidP="001C0F0F">
      <w:pPr>
        <w:pStyle w:val="Default"/>
        <w:pBdr>
          <w:bottom w:val="single" w:sz="4" w:space="1" w:color="auto"/>
        </w:pBdr>
        <w:rPr>
          <w:rFonts w:ascii="Calibri" w:hAnsi="Calibri"/>
          <w:sz w:val="36"/>
          <w:szCs w:val="36"/>
        </w:rPr>
      </w:pPr>
    </w:p>
    <w:p w:rsidR="001C0F0F" w:rsidRPr="00124866" w:rsidRDefault="001C0F0F" w:rsidP="001C0F0F">
      <w:pPr>
        <w:pStyle w:val="Default"/>
        <w:pBdr>
          <w:bottom w:val="single" w:sz="4" w:space="1" w:color="auto"/>
        </w:pBdr>
        <w:rPr>
          <w:rFonts w:ascii="Calibri" w:hAnsi="Calibri"/>
          <w:color w:val="211D1E"/>
          <w:sz w:val="36"/>
          <w:szCs w:val="36"/>
        </w:rPr>
      </w:pPr>
      <w:r>
        <w:rPr>
          <w:rFonts w:ascii="Calibri" w:hAnsi="Calibri"/>
          <w:sz w:val="36"/>
          <w:szCs w:val="36"/>
        </w:rPr>
        <w:lastRenderedPageBreak/>
        <w:t xml:space="preserve">Quarterly </w:t>
      </w:r>
      <w:r w:rsidRPr="00124866">
        <w:rPr>
          <w:rFonts w:ascii="Calibri" w:hAnsi="Calibri"/>
          <w:sz w:val="36"/>
          <w:szCs w:val="36"/>
        </w:rPr>
        <w:t>Supplemental Report</w:t>
      </w:r>
      <w:r w:rsidRPr="00124866">
        <w:rPr>
          <w:rFonts w:ascii="Calibri" w:hAnsi="Calibri"/>
          <w:sz w:val="36"/>
          <w:szCs w:val="36"/>
        </w:rPr>
        <w:br/>
      </w:r>
      <w:r w:rsidRPr="00124866">
        <w:rPr>
          <w:rFonts w:ascii="Calibri" w:hAnsi="Calibri"/>
          <w:color w:val="211D1E"/>
          <w:sz w:val="28"/>
          <w:szCs w:val="28"/>
        </w:rPr>
        <w:t xml:space="preserve">for </w:t>
      </w:r>
      <w:r>
        <w:rPr>
          <w:rFonts w:ascii="Calibri" w:hAnsi="Calibri"/>
          <w:color w:val="211D1E"/>
          <w:sz w:val="28"/>
          <w:szCs w:val="28"/>
        </w:rPr>
        <w:t>B</w:t>
      </w:r>
      <w:r w:rsidRPr="00124866">
        <w:rPr>
          <w:rFonts w:ascii="Calibri" w:hAnsi="Calibri"/>
          <w:color w:val="211D1E"/>
          <w:sz w:val="28"/>
          <w:szCs w:val="28"/>
        </w:rPr>
        <w:t xml:space="preserve">anks </w:t>
      </w:r>
      <w:r w:rsidR="00A430AD">
        <w:rPr>
          <w:rFonts w:ascii="Calibri" w:hAnsi="Calibri"/>
          <w:color w:val="211D1E"/>
          <w:sz w:val="28"/>
          <w:szCs w:val="28"/>
        </w:rPr>
        <w:t xml:space="preserve">and Savings Associations </w:t>
      </w:r>
      <w:r>
        <w:rPr>
          <w:rFonts w:ascii="Calibri" w:hAnsi="Calibri"/>
          <w:color w:val="211D1E"/>
          <w:sz w:val="28"/>
          <w:szCs w:val="28"/>
        </w:rPr>
        <w:t>Participating in</w:t>
      </w:r>
      <w:r w:rsidRPr="00124866">
        <w:rPr>
          <w:rFonts w:ascii="Calibri" w:hAnsi="Calibri"/>
          <w:color w:val="211D1E"/>
          <w:sz w:val="28"/>
          <w:szCs w:val="28"/>
        </w:rPr>
        <w:t xml:space="preserve"> the Small Business </w:t>
      </w:r>
      <w:r>
        <w:rPr>
          <w:rFonts w:ascii="Calibri" w:hAnsi="Calibri"/>
          <w:color w:val="211D1E"/>
          <w:sz w:val="28"/>
          <w:szCs w:val="28"/>
        </w:rPr>
        <w:t xml:space="preserve">Lending </w:t>
      </w:r>
      <w:r w:rsidRPr="00124866">
        <w:rPr>
          <w:rFonts w:ascii="Calibri" w:hAnsi="Calibri"/>
          <w:color w:val="211D1E"/>
          <w:sz w:val="28"/>
          <w:szCs w:val="28"/>
        </w:rPr>
        <w:t>Fund</w:t>
      </w:r>
    </w:p>
    <w:p w:rsidR="000A221D" w:rsidRDefault="009E4448" w:rsidP="001C0F0F">
      <w:pPr>
        <w:autoSpaceDE w:val="0"/>
        <w:autoSpaceDN w:val="0"/>
        <w:adjustRightInd w:val="0"/>
        <w:spacing w:before="120" w:after="0" w:line="240" w:lineRule="auto"/>
        <w:ind w:left="360" w:hanging="360"/>
        <w:rPr>
          <w:rFonts w:ascii="Calibri" w:hAnsi="Calibri" w:cs="Arial"/>
          <w:b/>
          <w:sz w:val="28"/>
          <w:szCs w:val="28"/>
        </w:rPr>
      </w:pPr>
      <w:r>
        <w:rPr>
          <w:rFonts w:ascii="Calibri" w:hAnsi="Calibri" w:cs="Arial"/>
          <w:b/>
          <w:sz w:val="28"/>
          <w:szCs w:val="28"/>
        </w:rPr>
        <w:t xml:space="preserve">Net </w:t>
      </w:r>
      <w:r w:rsidR="000A221D" w:rsidRPr="004F2CD3">
        <w:rPr>
          <w:rFonts w:ascii="Calibri" w:hAnsi="Calibri" w:cs="Arial"/>
          <w:b/>
          <w:sz w:val="28"/>
          <w:szCs w:val="28"/>
        </w:rPr>
        <w:t>Charge-</w:t>
      </w:r>
      <w:r w:rsidR="00247CC9">
        <w:rPr>
          <w:rFonts w:ascii="Calibri" w:hAnsi="Calibri" w:cs="Arial"/>
          <w:b/>
          <w:sz w:val="28"/>
          <w:szCs w:val="28"/>
        </w:rPr>
        <w:t>O</w:t>
      </w:r>
      <w:r w:rsidR="000A221D" w:rsidRPr="004F2CD3">
        <w:rPr>
          <w:rFonts w:ascii="Calibri" w:hAnsi="Calibri" w:cs="Arial"/>
          <w:b/>
          <w:sz w:val="28"/>
          <w:szCs w:val="28"/>
        </w:rPr>
        <w:t>ff Adjustments</w:t>
      </w:r>
    </w:p>
    <w:p w:rsidR="00B61165" w:rsidRDefault="00646FD3" w:rsidP="001A5253">
      <w:pPr>
        <w:autoSpaceDE w:val="0"/>
        <w:autoSpaceDN w:val="0"/>
        <w:adjustRightInd w:val="0"/>
        <w:spacing w:after="0" w:line="240" w:lineRule="auto"/>
        <w:rPr>
          <w:rFonts w:ascii="Calibri" w:hAnsi="Calibri" w:cs="Arial"/>
          <w:sz w:val="20"/>
          <w:szCs w:val="20"/>
        </w:rPr>
      </w:pPr>
      <w:r>
        <w:rPr>
          <w:sz w:val="20"/>
          <w:szCs w:val="20"/>
        </w:rPr>
        <w:t>When completing this section, if net charge-offs are negative (i.e., recoveries exceed charge-offs), type a minus symbol (-) in the “</w:t>
      </w:r>
      <w:proofErr w:type="spellStart"/>
      <w:r>
        <w:rPr>
          <w:sz w:val="20"/>
          <w:szCs w:val="20"/>
        </w:rPr>
        <w:t>Neg</w:t>
      </w:r>
      <w:proofErr w:type="spellEnd"/>
      <w:r>
        <w:rPr>
          <w:sz w:val="20"/>
          <w:szCs w:val="20"/>
        </w:rPr>
        <w:t xml:space="preserve"> (-)” column that corresponds to that line</w:t>
      </w:r>
      <w:r>
        <w:rPr>
          <w:rFonts w:ascii="Calibri" w:hAnsi="Calibri" w:cs="Arial"/>
          <w:sz w:val="20"/>
          <w:szCs w:val="20"/>
        </w:rPr>
        <w:t xml:space="preserve">.  Amounts should reflect </w:t>
      </w:r>
      <w:r w:rsidR="0065108F">
        <w:rPr>
          <w:rFonts w:ascii="Calibri" w:hAnsi="Calibri" w:cs="Arial"/>
          <w:sz w:val="20"/>
          <w:szCs w:val="20"/>
        </w:rPr>
        <w:t xml:space="preserve">the net charge-offs reported </w:t>
      </w:r>
      <w:r>
        <w:rPr>
          <w:rFonts w:ascii="Calibri" w:hAnsi="Calibri" w:cs="Arial"/>
          <w:sz w:val="20"/>
          <w:szCs w:val="20"/>
        </w:rPr>
        <w:t xml:space="preserve">on the Call Report </w:t>
      </w:r>
      <w:r w:rsidR="0065108F">
        <w:rPr>
          <w:rFonts w:ascii="Calibri" w:hAnsi="Calibri" w:cs="Arial"/>
          <w:sz w:val="20"/>
          <w:szCs w:val="20"/>
        </w:rPr>
        <w:t>filed for the same period as this</w:t>
      </w:r>
      <w:r>
        <w:rPr>
          <w:rFonts w:ascii="Calibri" w:hAnsi="Calibri" w:cs="Arial"/>
          <w:sz w:val="20"/>
          <w:szCs w:val="20"/>
        </w:rPr>
        <w:t xml:space="preserve"> Quarterly Supplemental Report.  Charge-off amounts must be </w:t>
      </w:r>
      <w:r w:rsidR="007A2F89">
        <w:rPr>
          <w:rFonts w:ascii="Calibri" w:hAnsi="Calibri" w:cs="Arial"/>
          <w:sz w:val="20"/>
          <w:szCs w:val="20"/>
        </w:rPr>
        <w:t>reported</w:t>
      </w:r>
      <w:r w:rsidR="0065108F">
        <w:rPr>
          <w:rFonts w:ascii="Calibri" w:hAnsi="Calibri" w:cs="Arial"/>
          <w:sz w:val="20"/>
          <w:szCs w:val="20"/>
        </w:rPr>
        <w:t xml:space="preserve"> below as </w:t>
      </w:r>
      <w:r>
        <w:rPr>
          <w:rFonts w:ascii="Calibri" w:hAnsi="Calibri" w:cs="Arial"/>
          <w:sz w:val="20"/>
          <w:szCs w:val="20"/>
        </w:rPr>
        <w:t xml:space="preserve">quarterly figures and not </w:t>
      </w:r>
      <w:r w:rsidR="0065108F">
        <w:rPr>
          <w:rFonts w:ascii="Calibri" w:hAnsi="Calibri" w:cs="Arial"/>
          <w:sz w:val="20"/>
          <w:szCs w:val="20"/>
        </w:rPr>
        <w:t xml:space="preserve">on a </w:t>
      </w:r>
      <w:r>
        <w:rPr>
          <w:rFonts w:ascii="Calibri" w:hAnsi="Calibri" w:cs="Arial"/>
          <w:sz w:val="20"/>
          <w:szCs w:val="20"/>
        </w:rPr>
        <w:t>year-to-date</w:t>
      </w:r>
      <w:r w:rsidR="0065108F">
        <w:rPr>
          <w:rFonts w:ascii="Calibri" w:hAnsi="Calibri" w:cs="Arial"/>
          <w:sz w:val="20"/>
          <w:szCs w:val="20"/>
        </w:rPr>
        <w:t xml:space="preserve"> basis</w:t>
      </w:r>
      <w:r>
        <w:rPr>
          <w:rFonts w:ascii="Calibri" w:hAnsi="Calibri" w:cs="Arial"/>
          <w:sz w:val="20"/>
          <w:szCs w:val="20"/>
        </w:rPr>
        <w:t xml:space="preserve">.  </w:t>
      </w:r>
      <w:r w:rsidR="0065108F" w:rsidRPr="007776FD">
        <w:rPr>
          <w:rFonts w:cs="Arial"/>
          <w:sz w:val="20"/>
          <w:szCs w:val="20"/>
        </w:rPr>
        <w:t xml:space="preserve">For ease of use, </w:t>
      </w:r>
      <w:r w:rsidR="0065108F">
        <w:rPr>
          <w:rFonts w:cs="Arial"/>
          <w:sz w:val="20"/>
          <w:szCs w:val="20"/>
        </w:rPr>
        <w:t xml:space="preserve">lines pre-populated with zeros are automatically </w:t>
      </w:r>
      <w:r w:rsidR="0065108F" w:rsidRPr="007776FD">
        <w:rPr>
          <w:rFonts w:cs="Arial"/>
          <w:sz w:val="20"/>
          <w:szCs w:val="20"/>
        </w:rPr>
        <w:t>calculated and will not accept manual entry.</w:t>
      </w:r>
    </w:p>
    <w:p w:rsidR="00B61165" w:rsidRDefault="00B61165" w:rsidP="001A5253">
      <w:pPr>
        <w:autoSpaceDE w:val="0"/>
        <w:autoSpaceDN w:val="0"/>
        <w:adjustRightInd w:val="0"/>
        <w:spacing w:after="0" w:line="240" w:lineRule="auto"/>
        <w:rPr>
          <w:rFonts w:ascii="Calibri" w:hAnsi="Calibri" w:cs="Arial"/>
          <w:sz w:val="20"/>
          <w:szCs w:val="20"/>
        </w:rPr>
      </w:pPr>
    </w:p>
    <w:tbl>
      <w:tblPr>
        <w:tblStyle w:val="TableGrid"/>
        <w:tblW w:w="11061" w:type="dxa"/>
        <w:tblLayout w:type="fixed"/>
        <w:tblCellMar>
          <w:left w:w="43" w:type="dxa"/>
          <w:right w:w="43" w:type="dxa"/>
        </w:tblCellMar>
        <w:tblLook w:val="04A0" w:firstRow="1" w:lastRow="0" w:firstColumn="1" w:lastColumn="0" w:noHBand="0" w:noVBand="1"/>
      </w:tblPr>
      <w:tblGrid>
        <w:gridCol w:w="9146"/>
        <w:gridCol w:w="478"/>
        <w:gridCol w:w="479"/>
        <w:gridCol w:w="479"/>
        <w:gridCol w:w="479"/>
      </w:tblGrid>
      <w:tr w:rsidR="00B61165" w:rsidRPr="001B2B02" w:rsidTr="007B0F70">
        <w:trPr>
          <w:trHeight w:hRule="exact" w:val="187"/>
        </w:trPr>
        <w:tc>
          <w:tcPr>
            <w:tcW w:w="9146" w:type="dxa"/>
            <w:tcBorders>
              <w:top w:val="nil"/>
              <w:left w:val="nil"/>
              <w:bottom w:val="nil"/>
              <w:right w:val="single" w:sz="4" w:space="0" w:color="auto"/>
            </w:tcBorders>
            <w:vAlign w:val="center"/>
          </w:tcPr>
          <w:p w:rsidR="00B61165" w:rsidRPr="001B2B02" w:rsidRDefault="00B61165" w:rsidP="007B0F70">
            <w:pPr>
              <w:autoSpaceDE w:val="0"/>
              <w:autoSpaceDN w:val="0"/>
              <w:adjustRightInd w:val="0"/>
              <w:ind w:left="216" w:hanging="216"/>
              <w:jc w:val="right"/>
              <w:rPr>
                <w:rFonts w:cs="Arial"/>
                <w:b/>
              </w:rPr>
            </w:pPr>
          </w:p>
        </w:tc>
        <w:tc>
          <w:tcPr>
            <w:tcW w:w="1915" w:type="dxa"/>
            <w:gridSpan w:val="4"/>
            <w:tcBorders>
              <w:left w:val="single" w:sz="4" w:space="0" w:color="auto"/>
            </w:tcBorders>
            <w:vAlign w:val="center"/>
          </w:tcPr>
          <w:p w:rsidR="00B61165" w:rsidRPr="001B2B02" w:rsidRDefault="00B61165" w:rsidP="007B0F70">
            <w:pPr>
              <w:autoSpaceDE w:val="0"/>
              <w:autoSpaceDN w:val="0"/>
              <w:adjustRightInd w:val="0"/>
              <w:ind w:left="216" w:hanging="216"/>
              <w:jc w:val="center"/>
              <w:rPr>
                <w:rFonts w:cs="Arial"/>
                <w:sz w:val="14"/>
                <w:szCs w:val="14"/>
              </w:rPr>
            </w:pPr>
            <w:r>
              <w:rPr>
                <w:rFonts w:cs="Arial"/>
                <w:sz w:val="14"/>
                <w:szCs w:val="14"/>
              </w:rPr>
              <w:t xml:space="preserve">Net charge-offs </w:t>
            </w:r>
          </w:p>
        </w:tc>
      </w:tr>
      <w:tr w:rsidR="00B61165" w:rsidRPr="001B2B02" w:rsidTr="007B0F70">
        <w:trPr>
          <w:trHeight w:hRule="exact" w:val="187"/>
        </w:trPr>
        <w:tc>
          <w:tcPr>
            <w:tcW w:w="9146" w:type="dxa"/>
            <w:tcBorders>
              <w:top w:val="nil"/>
              <w:left w:val="nil"/>
              <w:bottom w:val="single" w:sz="4" w:space="0" w:color="auto"/>
              <w:right w:val="single" w:sz="4" w:space="0" w:color="auto"/>
            </w:tcBorders>
          </w:tcPr>
          <w:p w:rsidR="00B61165" w:rsidRPr="001B2B02" w:rsidRDefault="00B61165" w:rsidP="007B0F70">
            <w:pPr>
              <w:autoSpaceDE w:val="0"/>
              <w:autoSpaceDN w:val="0"/>
              <w:adjustRightInd w:val="0"/>
              <w:ind w:left="216" w:hanging="216"/>
              <w:jc w:val="right"/>
              <w:rPr>
                <w:rFonts w:cs="Arial"/>
                <w:sz w:val="14"/>
                <w:szCs w:val="14"/>
              </w:rPr>
            </w:pPr>
            <w:r w:rsidRPr="00A00250">
              <w:rPr>
                <w:sz w:val="14"/>
                <w:szCs w:val="14"/>
              </w:rPr>
              <w:t>Dollar amounts in thousands</w:t>
            </w:r>
          </w:p>
        </w:tc>
        <w:tc>
          <w:tcPr>
            <w:tcW w:w="478" w:type="dxa"/>
            <w:tcBorders>
              <w:left w:val="single" w:sz="4" w:space="0" w:color="auto"/>
              <w:bottom w:val="single" w:sz="4" w:space="0" w:color="auto"/>
            </w:tcBorders>
          </w:tcPr>
          <w:p w:rsidR="00B61165" w:rsidRPr="001B2B02" w:rsidRDefault="00B61165" w:rsidP="007B0F70">
            <w:pPr>
              <w:autoSpaceDE w:val="0"/>
              <w:autoSpaceDN w:val="0"/>
              <w:adjustRightInd w:val="0"/>
              <w:ind w:left="216" w:hanging="216"/>
              <w:rPr>
                <w:rFonts w:cs="Arial"/>
                <w:sz w:val="14"/>
                <w:szCs w:val="14"/>
              </w:rPr>
            </w:pPr>
          </w:p>
        </w:tc>
        <w:tc>
          <w:tcPr>
            <w:tcW w:w="479" w:type="dxa"/>
            <w:tcBorders>
              <w:left w:val="single" w:sz="4" w:space="0" w:color="auto"/>
              <w:bottom w:val="single" w:sz="4" w:space="0" w:color="auto"/>
            </w:tcBorders>
          </w:tcPr>
          <w:p w:rsidR="00B61165" w:rsidRPr="001B2B02" w:rsidRDefault="00B61165" w:rsidP="007B0F70">
            <w:pPr>
              <w:autoSpaceDE w:val="0"/>
              <w:autoSpaceDN w:val="0"/>
              <w:adjustRightInd w:val="0"/>
              <w:ind w:left="216" w:hanging="216"/>
              <w:jc w:val="center"/>
              <w:rPr>
                <w:rFonts w:cs="Arial"/>
                <w:sz w:val="14"/>
                <w:szCs w:val="14"/>
              </w:rPr>
            </w:pPr>
            <w:proofErr w:type="spellStart"/>
            <w:r>
              <w:rPr>
                <w:rFonts w:cs="Arial"/>
                <w:sz w:val="14"/>
                <w:szCs w:val="14"/>
              </w:rPr>
              <w:t>Neg</w:t>
            </w:r>
            <w:proofErr w:type="spellEnd"/>
            <w:r>
              <w:rPr>
                <w:rFonts w:cs="Arial"/>
                <w:sz w:val="14"/>
                <w:szCs w:val="14"/>
              </w:rPr>
              <w:t xml:space="preserve"> (-)</w:t>
            </w:r>
          </w:p>
        </w:tc>
        <w:tc>
          <w:tcPr>
            <w:tcW w:w="479" w:type="dxa"/>
            <w:tcBorders>
              <w:left w:val="single" w:sz="4" w:space="0" w:color="auto"/>
              <w:bottom w:val="single" w:sz="4" w:space="0" w:color="auto"/>
            </w:tcBorders>
          </w:tcPr>
          <w:p w:rsidR="00B61165" w:rsidRPr="001B2B02" w:rsidRDefault="00B61165" w:rsidP="007B0F70">
            <w:pPr>
              <w:autoSpaceDE w:val="0"/>
              <w:autoSpaceDN w:val="0"/>
              <w:adjustRightInd w:val="0"/>
              <w:ind w:left="216" w:hanging="216"/>
              <w:jc w:val="center"/>
              <w:rPr>
                <w:rFonts w:cs="Arial"/>
                <w:sz w:val="14"/>
                <w:szCs w:val="14"/>
              </w:rPr>
            </w:pPr>
            <w:r>
              <w:rPr>
                <w:rFonts w:cs="Arial"/>
                <w:sz w:val="14"/>
                <w:szCs w:val="14"/>
              </w:rPr>
              <w:t>Mil</w:t>
            </w:r>
          </w:p>
        </w:tc>
        <w:tc>
          <w:tcPr>
            <w:tcW w:w="479" w:type="dxa"/>
            <w:tcBorders>
              <w:left w:val="single" w:sz="4" w:space="0" w:color="auto"/>
              <w:bottom w:val="single" w:sz="4" w:space="0" w:color="auto"/>
            </w:tcBorders>
          </w:tcPr>
          <w:p w:rsidR="00B61165" w:rsidRPr="001B2B02" w:rsidRDefault="00B61165" w:rsidP="007B0F70">
            <w:pPr>
              <w:autoSpaceDE w:val="0"/>
              <w:autoSpaceDN w:val="0"/>
              <w:adjustRightInd w:val="0"/>
              <w:ind w:left="216" w:hanging="216"/>
              <w:jc w:val="center"/>
              <w:rPr>
                <w:rFonts w:cs="Arial"/>
                <w:sz w:val="14"/>
                <w:szCs w:val="14"/>
              </w:rPr>
            </w:pPr>
            <w:r>
              <w:rPr>
                <w:rFonts w:cs="Arial"/>
                <w:sz w:val="14"/>
                <w:szCs w:val="14"/>
              </w:rPr>
              <w:t>Thou</w:t>
            </w:r>
          </w:p>
        </w:tc>
      </w:tr>
      <w:tr w:rsidR="00B61165" w:rsidRPr="001B2B02" w:rsidTr="007B0F70">
        <w:trPr>
          <w:trHeight w:hRule="exact" w:val="187"/>
        </w:trPr>
        <w:tc>
          <w:tcPr>
            <w:tcW w:w="9146" w:type="dxa"/>
            <w:vMerge w:val="restart"/>
            <w:tcBorders>
              <w:top w:val="single" w:sz="4" w:space="0" w:color="auto"/>
              <w:left w:val="single" w:sz="4" w:space="0" w:color="auto"/>
              <w:bottom w:val="single" w:sz="4" w:space="0" w:color="auto"/>
              <w:right w:val="single" w:sz="4" w:space="0" w:color="auto"/>
            </w:tcBorders>
            <w:vAlign w:val="center"/>
          </w:tcPr>
          <w:p w:rsidR="00B61165" w:rsidRDefault="00B61165" w:rsidP="007B0F70">
            <w:pPr>
              <w:pStyle w:val="ListParagraph"/>
              <w:numPr>
                <w:ilvl w:val="0"/>
                <w:numId w:val="12"/>
              </w:numPr>
              <w:autoSpaceDE w:val="0"/>
              <w:autoSpaceDN w:val="0"/>
              <w:adjustRightInd w:val="0"/>
              <w:ind w:left="216" w:hanging="216"/>
              <w:rPr>
                <w:rFonts w:asciiTheme="minorHAnsi" w:hAnsiTheme="minorHAnsi" w:cs="Arial"/>
                <w:sz w:val="14"/>
                <w:szCs w:val="14"/>
              </w:rPr>
            </w:pPr>
            <w:r>
              <w:rPr>
                <w:rFonts w:asciiTheme="minorHAnsi" w:hAnsiTheme="minorHAnsi" w:cs="Arial"/>
                <w:sz w:val="14"/>
                <w:szCs w:val="14"/>
              </w:rPr>
              <w:t>Cumulative net charge-offs before this quarter (line 34 from prior quarter’s report)</w:t>
            </w:r>
          </w:p>
        </w:tc>
        <w:tc>
          <w:tcPr>
            <w:tcW w:w="1915" w:type="dxa"/>
            <w:gridSpan w:val="4"/>
            <w:tcBorders>
              <w:left w:val="single" w:sz="4" w:space="0" w:color="auto"/>
            </w:tcBorders>
            <w:shd w:val="clear" w:color="auto" w:fill="D9D9D9" w:themeFill="background1" w:themeFillShade="D9"/>
          </w:tcPr>
          <w:p w:rsidR="00B61165" w:rsidRPr="001B2B02" w:rsidRDefault="00B61165" w:rsidP="007B0F70">
            <w:pPr>
              <w:autoSpaceDE w:val="0"/>
              <w:autoSpaceDN w:val="0"/>
              <w:adjustRightInd w:val="0"/>
              <w:ind w:left="216" w:hanging="216"/>
              <w:rPr>
                <w:rFonts w:cs="Arial"/>
                <w:color w:val="C4C4C4"/>
                <w:sz w:val="14"/>
                <w:szCs w:val="14"/>
              </w:rPr>
            </w:pPr>
          </w:p>
        </w:tc>
      </w:tr>
      <w:tr w:rsidR="00B61165" w:rsidRPr="001B2B02" w:rsidTr="007B0F70">
        <w:trPr>
          <w:trHeight w:hRule="exact" w:val="187"/>
        </w:trPr>
        <w:tc>
          <w:tcPr>
            <w:tcW w:w="9146" w:type="dxa"/>
            <w:vMerge/>
            <w:tcBorders>
              <w:top w:val="single" w:sz="4" w:space="0" w:color="auto"/>
              <w:left w:val="single" w:sz="4" w:space="0" w:color="auto"/>
              <w:bottom w:val="single" w:sz="4" w:space="0" w:color="auto"/>
              <w:right w:val="single" w:sz="4" w:space="0" w:color="auto"/>
            </w:tcBorders>
          </w:tcPr>
          <w:p w:rsidR="00B61165" w:rsidRPr="001B2B02" w:rsidRDefault="00B61165" w:rsidP="007B0F70">
            <w:pPr>
              <w:autoSpaceDE w:val="0"/>
              <w:autoSpaceDN w:val="0"/>
              <w:adjustRightInd w:val="0"/>
              <w:ind w:left="216" w:hanging="216"/>
              <w:rPr>
                <w:rFonts w:cs="Arial"/>
                <w:sz w:val="14"/>
                <w:szCs w:val="14"/>
              </w:rPr>
            </w:pPr>
          </w:p>
        </w:tc>
        <w:tc>
          <w:tcPr>
            <w:tcW w:w="478"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r>
              <w:rPr>
                <w:rFonts w:cs="Arial"/>
                <w:sz w:val="14"/>
                <w:szCs w:val="14"/>
              </w:rPr>
              <w:t>24</w:t>
            </w:r>
          </w:p>
        </w:tc>
        <w:tc>
          <w:tcPr>
            <w:tcW w:w="479"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p>
        </w:tc>
        <w:tc>
          <w:tcPr>
            <w:tcW w:w="479"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p>
        </w:tc>
        <w:tc>
          <w:tcPr>
            <w:tcW w:w="479"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p>
        </w:tc>
      </w:tr>
      <w:tr w:rsidR="00B61165" w:rsidRPr="001B2B02" w:rsidTr="007B0F70">
        <w:trPr>
          <w:trHeight w:hRule="exact" w:val="187"/>
        </w:trPr>
        <w:tc>
          <w:tcPr>
            <w:tcW w:w="9146" w:type="dxa"/>
            <w:vMerge w:val="restart"/>
            <w:tcBorders>
              <w:top w:val="single" w:sz="4" w:space="0" w:color="auto"/>
              <w:left w:val="single" w:sz="4" w:space="0" w:color="auto"/>
              <w:bottom w:val="single" w:sz="4" w:space="0" w:color="auto"/>
              <w:right w:val="single" w:sz="4" w:space="0" w:color="auto"/>
            </w:tcBorders>
            <w:vAlign w:val="center"/>
          </w:tcPr>
          <w:p w:rsidR="00B61165" w:rsidRPr="001B2B02" w:rsidRDefault="00B61165" w:rsidP="007B0F70">
            <w:pPr>
              <w:pStyle w:val="ListParagraph"/>
              <w:numPr>
                <w:ilvl w:val="0"/>
                <w:numId w:val="12"/>
              </w:numPr>
              <w:autoSpaceDE w:val="0"/>
              <w:autoSpaceDN w:val="0"/>
              <w:adjustRightInd w:val="0"/>
              <w:ind w:left="216" w:hanging="216"/>
              <w:rPr>
                <w:rFonts w:asciiTheme="minorHAnsi" w:hAnsiTheme="minorHAnsi" w:cs="Arial"/>
                <w:sz w:val="14"/>
                <w:szCs w:val="14"/>
              </w:rPr>
            </w:pPr>
            <w:r>
              <w:rPr>
                <w:rFonts w:cs="Arial"/>
                <w:sz w:val="14"/>
                <w:szCs w:val="14"/>
              </w:rPr>
              <w:t xml:space="preserve">Net charge-offs on </w:t>
            </w:r>
            <w:r w:rsidRPr="006C4C48">
              <w:rPr>
                <w:rFonts w:eastAsia="Times New Roman"/>
                <w:color w:val="000000"/>
                <w:sz w:val="14"/>
                <w:szCs w:val="14"/>
              </w:rPr>
              <w:t xml:space="preserve">commercial and industrial loans </w:t>
            </w:r>
          </w:p>
        </w:tc>
        <w:tc>
          <w:tcPr>
            <w:tcW w:w="1915" w:type="dxa"/>
            <w:gridSpan w:val="4"/>
            <w:tcBorders>
              <w:left w:val="single" w:sz="4" w:space="0" w:color="auto"/>
            </w:tcBorders>
            <w:shd w:val="clear" w:color="auto" w:fill="D9D9D9" w:themeFill="background1" w:themeFillShade="D9"/>
          </w:tcPr>
          <w:p w:rsidR="00B61165" w:rsidRPr="001B2B02" w:rsidRDefault="00B61165" w:rsidP="007B0F70">
            <w:pPr>
              <w:autoSpaceDE w:val="0"/>
              <w:autoSpaceDN w:val="0"/>
              <w:adjustRightInd w:val="0"/>
              <w:ind w:left="216" w:hanging="216"/>
              <w:rPr>
                <w:rFonts w:cs="Arial"/>
                <w:sz w:val="14"/>
                <w:szCs w:val="14"/>
              </w:rPr>
            </w:pPr>
          </w:p>
        </w:tc>
      </w:tr>
      <w:tr w:rsidR="00B61165" w:rsidRPr="001B2B02" w:rsidTr="007B0F70">
        <w:trPr>
          <w:trHeight w:hRule="exact" w:val="187"/>
        </w:trPr>
        <w:tc>
          <w:tcPr>
            <w:tcW w:w="9146" w:type="dxa"/>
            <w:vMerge/>
            <w:tcBorders>
              <w:top w:val="single" w:sz="4" w:space="0" w:color="auto"/>
              <w:left w:val="single" w:sz="4" w:space="0" w:color="auto"/>
              <w:bottom w:val="single" w:sz="4" w:space="0" w:color="auto"/>
              <w:right w:val="single" w:sz="4" w:space="0" w:color="auto"/>
            </w:tcBorders>
            <w:vAlign w:val="center"/>
          </w:tcPr>
          <w:p w:rsidR="00B61165" w:rsidRPr="001C3F6A" w:rsidRDefault="00B61165" w:rsidP="007B0F70">
            <w:pPr>
              <w:pStyle w:val="ListParagraph"/>
              <w:numPr>
                <w:ilvl w:val="0"/>
                <w:numId w:val="12"/>
              </w:numPr>
              <w:autoSpaceDE w:val="0"/>
              <w:autoSpaceDN w:val="0"/>
              <w:adjustRightInd w:val="0"/>
              <w:ind w:left="216" w:hanging="216"/>
              <w:rPr>
                <w:rFonts w:asciiTheme="minorHAnsi" w:hAnsiTheme="minorHAnsi" w:cs="Arial"/>
                <w:sz w:val="14"/>
                <w:szCs w:val="14"/>
              </w:rPr>
            </w:pPr>
          </w:p>
        </w:tc>
        <w:tc>
          <w:tcPr>
            <w:tcW w:w="478"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r>
              <w:rPr>
                <w:rFonts w:cs="Arial"/>
                <w:sz w:val="14"/>
                <w:szCs w:val="14"/>
              </w:rPr>
              <w:t>25</w:t>
            </w:r>
          </w:p>
        </w:tc>
        <w:tc>
          <w:tcPr>
            <w:tcW w:w="479"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p>
        </w:tc>
        <w:tc>
          <w:tcPr>
            <w:tcW w:w="479"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p>
        </w:tc>
        <w:tc>
          <w:tcPr>
            <w:tcW w:w="479"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p>
        </w:tc>
      </w:tr>
      <w:tr w:rsidR="00B61165" w:rsidRPr="001B2B02" w:rsidTr="007B0F70">
        <w:trPr>
          <w:trHeight w:hRule="exact" w:val="187"/>
        </w:trPr>
        <w:tc>
          <w:tcPr>
            <w:tcW w:w="9146" w:type="dxa"/>
            <w:vMerge w:val="restart"/>
            <w:tcBorders>
              <w:top w:val="single" w:sz="4" w:space="0" w:color="auto"/>
              <w:left w:val="single" w:sz="4" w:space="0" w:color="auto"/>
              <w:bottom w:val="single" w:sz="4" w:space="0" w:color="auto"/>
              <w:right w:val="single" w:sz="4" w:space="0" w:color="auto"/>
            </w:tcBorders>
            <w:vAlign w:val="center"/>
          </w:tcPr>
          <w:p w:rsidR="00B61165" w:rsidRDefault="00B61165" w:rsidP="007B0F70">
            <w:pPr>
              <w:pStyle w:val="ListParagraph"/>
              <w:numPr>
                <w:ilvl w:val="0"/>
                <w:numId w:val="12"/>
              </w:numPr>
              <w:autoSpaceDE w:val="0"/>
              <w:autoSpaceDN w:val="0"/>
              <w:adjustRightInd w:val="0"/>
              <w:ind w:left="216" w:hanging="216"/>
              <w:rPr>
                <w:rFonts w:asciiTheme="minorHAnsi" w:hAnsiTheme="minorHAnsi" w:cs="Arial"/>
                <w:sz w:val="14"/>
                <w:szCs w:val="14"/>
              </w:rPr>
            </w:pPr>
            <w:r>
              <w:rPr>
                <w:rFonts w:cs="Arial"/>
                <w:sz w:val="14"/>
                <w:szCs w:val="14"/>
              </w:rPr>
              <w:t xml:space="preserve">Net charge-offs on </w:t>
            </w:r>
            <w:r w:rsidRPr="00540096">
              <w:rPr>
                <w:rFonts w:eastAsia="Times New Roman"/>
                <w:color w:val="000000"/>
                <w:sz w:val="14"/>
                <w:szCs w:val="14"/>
              </w:rPr>
              <w:t xml:space="preserve">loans secured by owner-occupied </w:t>
            </w:r>
            <w:r>
              <w:rPr>
                <w:rFonts w:eastAsia="Times New Roman"/>
                <w:color w:val="000000"/>
                <w:sz w:val="14"/>
                <w:szCs w:val="14"/>
              </w:rPr>
              <w:t>nonfarm, nonresidential</w:t>
            </w:r>
            <w:r w:rsidRPr="00540096">
              <w:rPr>
                <w:rFonts w:eastAsia="Times New Roman"/>
                <w:color w:val="000000"/>
                <w:sz w:val="14"/>
                <w:szCs w:val="14"/>
              </w:rPr>
              <w:t xml:space="preserve"> properties </w:t>
            </w:r>
          </w:p>
        </w:tc>
        <w:tc>
          <w:tcPr>
            <w:tcW w:w="1915" w:type="dxa"/>
            <w:gridSpan w:val="4"/>
            <w:tcBorders>
              <w:left w:val="single" w:sz="4" w:space="0" w:color="auto"/>
            </w:tcBorders>
            <w:shd w:val="clear" w:color="auto" w:fill="D9D9D9" w:themeFill="background1" w:themeFillShade="D9"/>
          </w:tcPr>
          <w:p w:rsidR="00B61165" w:rsidRPr="001B2B02" w:rsidRDefault="00B61165" w:rsidP="007B0F70">
            <w:pPr>
              <w:autoSpaceDE w:val="0"/>
              <w:autoSpaceDN w:val="0"/>
              <w:adjustRightInd w:val="0"/>
              <w:ind w:left="216" w:hanging="216"/>
              <w:rPr>
                <w:rFonts w:cs="Arial"/>
                <w:sz w:val="14"/>
                <w:szCs w:val="14"/>
              </w:rPr>
            </w:pPr>
          </w:p>
        </w:tc>
      </w:tr>
      <w:tr w:rsidR="00B61165" w:rsidRPr="001B2B02" w:rsidTr="007B0F70">
        <w:trPr>
          <w:trHeight w:hRule="exact" w:val="187"/>
        </w:trPr>
        <w:tc>
          <w:tcPr>
            <w:tcW w:w="9146" w:type="dxa"/>
            <w:vMerge/>
            <w:tcBorders>
              <w:top w:val="single" w:sz="4" w:space="0" w:color="auto"/>
              <w:left w:val="single" w:sz="4" w:space="0" w:color="auto"/>
              <w:bottom w:val="single" w:sz="4" w:space="0" w:color="auto"/>
              <w:right w:val="single" w:sz="4" w:space="0" w:color="auto"/>
            </w:tcBorders>
            <w:vAlign w:val="center"/>
          </w:tcPr>
          <w:p w:rsidR="00B61165" w:rsidRPr="001C3F6A" w:rsidRDefault="00B61165" w:rsidP="007B0F70">
            <w:pPr>
              <w:pStyle w:val="ListParagraph"/>
              <w:numPr>
                <w:ilvl w:val="0"/>
                <w:numId w:val="12"/>
              </w:numPr>
              <w:autoSpaceDE w:val="0"/>
              <w:autoSpaceDN w:val="0"/>
              <w:adjustRightInd w:val="0"/>
              <w:ind w:left="216" w:hanging="216"/>
              <w:rPr>
                <w:rFonts w:asciiTheme="minorHAnsi" w:hAnsiTheme="minorHAnsi" w:cs="Arial"/>
                <w:sz w:val="14"/>
                <w:szCs w:val="14"/>
              </w:rPr>
            </w:pPr>
          </w:p>
        </w:tc>
        <w:tc>
          <w:tcPr>
            <w:tcW w:w="478"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r>
              <w:rPr>
                <w:rFonts w:cs="Arial"/>
                <w:sz w:val="14"/>
                <w:szCs w:val="14"/>
              </w:rPr>
              <w:t>26</w:t>
            </w:r>
          </w:p>
        </w:tc>
        <w:tc>
          <w:tcPr>
            <w:tcW w:w="479"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p>
        </w:tc>
        <w:tc>
          <w:tcPr>
            <w:tcW w:w="479"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p>
        </w:tc>
        <w:tc>
          <w:tcPr>
            <w:tcW w:w="479"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p>
        </w:tc>
      </w:tr>
      <w:tr w:rsidR="00B61165" w:rsidRPr="001B2B02" w:rsidTr="007B0F70">
        <w:trPr>
          <w:trHeight w:hRule="exact" w:val="187"/>
        </w:trPr>
        <w:tc>
          <w:tcPr>
            <w:tcW w:w="9146" w:type="dxa"/>
            <w:vMerge w:val="restart"/>
            <w:tcBorders>
              <w:top w:val="single" w:sz="4" w:space="0" w:color="auto"/>
              <w:left w:val="single" w:sz="4" w:space="0" w:color="auto"/>
              <w:bottom w:val="single" w:sz="4" w:space="0" w:color="auto"/>
              <w:right w:val="single" w:sz="4" w:space="0" w:color="auto"/>
            </w:tcBorders>
            <w:vAlign w:val="center"/>
          </w:tcPr>
          <w:p w:rsidR="00B61165" w:rsidRDefault="00B61165" w:rsidP="007B0F70">
            <w:pPr>
              <w:pStyle w:val="ListParagraph"/>
              <w:numPr>
                <w:ilvl w:val="0"/>
                <w:numId w:val="12"/>
              </w:numPr>
              <w:autoSpaceDE w:val="0"/>
              <w:autoSpaceDN w:val="0"/>
              <w:adjustRightInd w:val="0"/>
              <w:ind w:left="216" w:hanging="216"/>
              <w:rPr>
                <w:rFonts w:asciiTheme="minorHAnsi" w:hAnsiTheme="minorHAnsi" w:cs="Arial"/>
                <w:sz w:val="14"/>
                <w:szCs w:val="14"/>
              </w:rPr>
            </w:pPr>
            <w:r>
              <w:rPr>
                <w:rFonts w:cs="Arial"/>
                <w:sz w:val="14"/>
                <w:szCs w:val="14"/>
              </w:rPr>
              <w:t xml:space="preserve">Net charge-offs on </w:t>
            </w:r>
            <w:r>
              <w:rPr>
                <w:rFonts w:eastAsia="Times New Roman"/>
                <w:color w:val="000000"/>
                <w:sz w:val="14"/>
                <w:szCs w:val="14"/>
              </w:rPr>
              <w:t xml:space="preserve">loans to </w:t>
            </w:r>
            <w:r w:rsidRPr="006C4C48">
              <w:rPr>
                <w:rFonts w:eastAsia="Times New Roman"/>
                <w:color w:val="000000"/>
                <w:sz w:val="14"/>
                <w:szCs w:val="14"/>
              </w:rPr>
              <w:t xml:space="preserve">finance agricultural production and other loans to farmers </w:t>
            </w:r>
          </w:p>
        </w:tc>
        <w:tc>
          <w:tcPr>
            <w:tcW w:w="1915" w:type="dxa"/>
            <w:gridSpan w:val="4"/>
            <w:tcBorders>
              <w:left w:val="single" w:sz="4" w:space="0" w:color="auto"/>
            </w:tcBorders>
            <w:shd w:val="clear" w:color="auto" w:fill="D9D9D9" w:themeFill="background1" w:themeFillShade="D9"/>
          </w:tcPr>
          <w:p w:rsidR="00B61165" w:rsidRPr="001B2B02" w:rsidRDefault="00B61165" w:rsidP="007B0F70">
            <w:pPr>
              <w:autoSpaceDE w:val="0"/>
              <w:autoSpaceDN w:val="0"/>
              <w:adjustRightInd w:val="0"/>
              <w:ind w:left="216" w:hanging="216"/>
              <w:rPr>
                <w:rFonts w:cs="Arial"/>
                <w:sz w:val="14"/>
                <w:szCs w:val="14"/>
              </w:rPr>
            </w:pPr>
          </w:p>
        </w:tc>
      </w:tr>
      <w:tr w:rsidR="00B61165" w:rsidRPr="001B2B02" w:rsidTr="007B0F70">
        <w:trPr>
          <w:trHeight w:hRule="exact" w:val="187"/>
        </w:trPr>
        <w:tc>
          <w:tcPr>
            <w:tcW w:w="9146" w:type="dxa"/>
            <w:vMerge/>
            <w:tcBorders>
              <w:top w:val="single" w:sz="4" w:space="0" w:color="auto"/>
              <w:left w:val="single" w:sz="4" w:space="0" w:color="auto"/>
              <w:bottom w:val="single" w:sz="4" w:space="0" w:color="auto"/>
              <w:right w:val="single" w:sz="4" w:space="0" w:color="auto"/>
            </w:tcBorders>
            <w:vAlign w:val="center"/>
          </w:tcPr>
          <w:p w:rsidR="00B61165" w:rsidRPr="001C3F6A" w:rsidRDefault="00B61165" w:rsidP="007B0F70">
            <w:pPr>
              <w:pStyle w:val="ListParagraph"/>
              <w:numPr>
                <w:ilvl w:val="0"/>
                <w:numId w:val="12"/>
              </w:numPr>
              <w:autoSpaceDE w:val="0"/>
              <w:autoSpaceDN w:val="0"/>
              <w:adjustRightInd w:val="0"/>
              <w:ind w:left="216" w:hanging="216"/>
              <w:rPr>
                <w:rFonts w:asciiTheme="minorHAnsi" w:hAnsiTheme="minorHAnsi" w:cs="Arial"/>
                <w:sz w:val="14"/>
                <w:szCs w:val="14"/>
              </w:rPr>
            </w:pPr>
          </w:p>
        </w:tc>
        <w:tc>
          <w:tcPr>
            <w:tcW w:w="478"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r>
              <w:rPr>
                <w:rFonts w:cs="Arial"/>
                <w:sz w:val="14"/>
                <w:szCs w:val="14"/>
              </w:rPr>
              <w:t>27</w:t>
            </w:r>
          </w:p>
        </w:tc>
        <w:tc>
          <w:tcPr>
            <w:tcW w:w="479"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p>
        </w:tc>
        <w:tc>
          <w:tcPr>
            <w:tcW w:w="479"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p>
        </w:tc>
        <w:tc>
          <w:tcPr>
            <w:tcW w:w="479"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p>
        </w:tc>
      </w:tr>
      <w:tr w:rsidR="00B61165" w:rsidRPr="00964F0A" w:rsidTr="007B0F70">
        <w:trPr>
          <w:trHeight w:hRule="exact" w:val="187"/>
        </w:trPr>
        <w:tc>
          <w:tcPr>
            <w:tcW w:w="9146" w:type="dxa"/>
            <w:vMerge w:val="restart"/>
            <w:tcBorders>
              <w:top w:val="single" w:sz="4" w:space="0" w:color="auto"/>
              <w:left w:val="single" w:sz="4" w:space="0" w:color="auto"/>
              <w:bottom w:val="single" w:sz="4" w:space="0" w:color="auto"/>
              <w:right w:val="single" w:sz="4" w:space="0" w:color="auto"/>
            </w:tcBorders>
            <w:vAlign w:val="center"/>
          </w:tcPr>
          <w:p w:rsidR="00B61165" w:rsidRPr="00964F0A" w:rsidRDefault="00B61165" w:rsidP="007B0F70">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r>
              <w:rPr>
                <w:rFonts w:cs="Arial"/>
                <w:sz w:val="14"/>
                <w:szCs w:val="14"/>
              </w:rPr>
              <w:t xml:space="preserve">Net charge-offs on </w:t>
            </w:r>
            <w:r w:rsidRPr="006C4C48">
              <w:rPr>
                <w:rFonts w:eastAsia="Times New Roman"/>
                <w:color w:val="000000"/>
                <w:sz w:val="14"/>
                <w:szCs w:val="14"/>
              </w:rPr>
              <w:t xml:space="preserve">loans secured by farmland </w:t>
            </w:r>
          </w:p>
        </w:tc>
        <w:tc>
          <w:tcPr>
            <w:tcW w:w="1915" w:type="dxa"/>
            <w:gridSpan w:val="4"/>
            <w:tcBorders>
              <w:left w:val="single" w:sz="4" w:space="0" w:color="auto"/>
            </w:tcBorders>
            <w:shd w:val="clear" w:color="auto" w:fill="D9D9D9" w:themeFill="background1" w:themeFillShade="D9"/>
          </w:tcPr>
          <w:p w:rsidR="00B61165" w:rsidRPr="00964F0A" w:rsidRDefault="00B61165" w:rsidP="007B0F70">
            <w:pPr>
              <w:autoSpaceDE w:val="0"/>
              <w:autoSpaceDN w:val="0"/>
              <w:adjustRightInd w:val="0"/>
              <w:ind w:left="216" w:hanging="216"/>
              <w:rPr>
                <w:rFonts w:cs="Arial"/>
                <w:color w:val="000000" w:themeColor="text1"/>
                <w:sz w:val="14"/>
                <w:szCs w:val="14"/>
              </w:rPr>
            </w:pPr>
          </w:p>
        </w:tc>
      </w:tr>
      <w:tr w:rsidR="00B61165" w:rsidRPr="00964F0A" w:rsidTr="007B0F70">
        <w:trPr>
          <w:trHeight w:hRule="exact" w:val="187"/>
        </w:trPr>
        <w:tc>
          <w:tcPr>
            <w:tcW w:w="9146" w:type="dxa"/>
            <w:vMerge/>
            <w:tcBorders>
              <w:top w:val="single" w:sz="4" w:space="0" w:color="auto"/>
              <w:left w:val="single" w:sz="4" w:space="0" w:color="auto"/>
              <w:bottom w:val="single" w:sz="4" w:space="0" w:color="auto"/>
              <w:right w:val="single" w:sz="4" w:space="0" w:color="auto"/>
            </w:tcBorders>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8"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r>
              <w:rPr>
                <w:rFonts w:cs="Arial"/>
                <w:color w:val="000000" w:themeColor="text1"/>
                <w:sz w:val="14"/>
                <w:szCs w:val="14"/>
              </w:rPr>
              <w:t>28</w:t>
            </w: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r>
      <w:tr w:rsidR="00B61165" w:rsidRPr="00964F0A" w:rsidTr="007B0F70">
        <w:trPr>
          <w:trHeight w:hRule="exact" w:val="187"/>
        </w:trPr>
        <w:tc>
          <w:tcPr>
            <w:tcW w:w="9146" w:type="dxa"/>
            <w:vMerge w:val="restart"/>
            <w:tcBorders>
              <w:top w:val="single" w:sz="4" w:space="0" w:color="auto"/>
              <w:left w:val="single" w:sz="4" w:space="0" w:color="auto"/>
              <w:bottom w:val="single" w:sz="4" w:space="0" w:color="auto"/>
              <w:right w:val="single" w:sz="4" w:space="0" w:color="auto"/>
            </w:tcBorders>
            <w:vAlign w:val="center"/>
          </w:tcPr>
          <w:p w:rsidR="00B61165" w:rsidRPr="00106AC6" w:rsidRDefault="00B61165" w:rsidP="007B0F70">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r w:rsidRPr="00106AC6">
              <w:rPr>
                <w:sz w:val="14"/>
                <w:szCs w:val="14"/>
              </w:rPr>
              <w:t>Subtotal (sum lines 24, 25, 26, 27, and 28)</w:t>
            </w:r>
          </w:p>
        </w:tc>
        <w:tc>
          <w:tcPr>
            <w:tcW w:w="1915" w:type="dxa"/>
            <w:gridSpan w:val="4"/>
            <w:tcBorders>
              <w:left w:val="single" w:sz="4" w:space="0" w:color="auto"/>
            </w:tcBorders>
            <w:shd w:val="clear" w:color="auto" w:fill="D9D9D9" w:themeFill="background1" w:themeFillShade="D9"/>
          </w:tcPr>
          <w:p w:rsidR="00B61165" w:rsidRPr="00964F0A" w:rsidRDefault="00B61165" w:rsidP="007B0F70">
            <w:pPr>
              <w:autoSpaceDE w:val="0"/>
              <w:autoSpaceDN w:val="0"/>
              <w:adjustRightInd w:val="0"/>
              <w:ind w:left="216" w:hanging="216"/>
              <w:rPr>
                <w:rFonts w:cs="Arial"/>
                <w:color w:val="000000" w:themeColor="text1"/>
                <w:sz w:val="14"/>
                <w:szCs w:val="14"/>
              </w:rPr>
            </w:pPr>
          </w:p>
        </w:tc>
      </w:tr>
      <w:tr w:rsidR="00B61165" w:rsidRPr="00964F0A" w:rsidTr="007B0F70">
        <w:trPr>
          <w:trHeight w:hRule="exact" w:val="187"/>
        </w:trPr>
        <w:tc>
          <w:tcPr>
            <w:tcW w:w="9146" w:type="dxa"/>
            <w:vMerge/>
            <w:tcBorders>
              <w:top w:val="single" w:sz="4" w:space="0" w:color="auto"/>
              <w:left w:val="single" w:sz="4" w:space="0" w:color="auto"/>
              <w:bottom w:val="single" w:sz="4" w:space="0" w:color="auto"/>
              <w:right w:val="single" w:sz="4" w:space="0" w:color="auto"/>
            </w:tcBorders>
            <w:vAlign w:val="center"/>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8"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r>
              <w:rPr>
                <w:rFonts w:cs="Arial"/>
                <w:color w:val="000000" w:themeColor="text1"/>
                <w:sz w:val="14"/>
                <w:szCs w:val="14"/>
              </w:rPr>
              <w:t>29</w:t>
            </w: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r>
      <w:tr w:rsidR="00B61165" w:rsidRPr="00964F0A" w:rsidTr="007B0F70">
        <w:trPr>
          <w:trHeight w:hRule="exact" w:val="187"/>
        </w:trPr>
        <w:tc>
          <w:tcPr>
            <w:tcW w:w="9146" w:type="dxa"/>
            <w:vMerge w:val="restart"/>
            <w:tcBorders>
              <w:top w:val="single" w:sz="4" w:space="0" w:color="auto"/>
              <w:left w:val="single" w:sz="4" w:space="0" w:color="auto"/>
              <w:bottom w:val="single" w:sz="4" w:space="0" w:color="auto"/>
              <w:right w:val="single" w:sz="4" w:space="0" w:color="auto"/>
            </w:tcBorders>
            <w:vAlign w:val="center"/>
          </w:tcPr>
          <w:p w:rsidR="00B61165" w:rsidRPr="00964F0A" w:rsidRDefault="00B61165" w:rsidP="007B0F70">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r>
              <w:rPr>
                <w:color w:val="000000" w:themeColor="text1"/>
                <w:sz w:val="14"/>
                <w:szCs w:val="14"/>
              </w:rPr>
              <w:t xml:space="preserve">Dollar portion of </w:t>
            </w:r>
            <w:r>
              <w:rPr>
                <w:rFonts w:cs="Arial"/>
                <w:sz w:val="14"/>
                <w:szCs w:val="14"/>
              </w:rPr>
              <w:t xml:space="preserve">net charge-offs on </w:t>
            </w:r>
            <w:r>
              <w:rPr>
                <w:color w:val="000000" w:themeColor="text1"/>
                <w:sz w:val="14"/>
                <w:szCs w:val="14"/>
              </w:rPr>
              <w:t>any such loans or group of such loans (from lines 25, 26, 27, and 28) to the same borrower and its affiliates with an original principal or commitment amount greater than $10 million</w:t>
            </w:r>
          </w:p>
        </w:tc>
        <w:tc>
          <w:tcPr>
            <w:tcW w:w="1915" w:type="dxa"/>
            <w:gridSpan w:val="4"/>
            <w:tcBorders>
              <w:left w:val="single" w:sz="4" w:space="0" w:color="auto"/>
            </w:tcBorders>
            <w:shd w:val="clear" w:color="auto" w:fill="D9D9D9" w:themeFill="background1" w:themeFillShade="D9"/>
          </w:tcPr>
          <w:p w:rsidR="00B61165" w:rsidRPr="00964F0A" w:rsidRDefault="00B61165" w:rsidP="007B0F70">
            <w:pPr>
              <w:autoSpaceDE w:val="0"/>
              <w:autoSpaceDN w:val="0"/>
              <w:adjustRightInd w:val="0"/>
              <w:ind w:left="216" w:hanging="216"/>
              <w:rPr>
                <w:rFonts w:cs="Arial"/>
                <w:color w:val="000000" w:themeColor="text1"/>
                <w:sz w:val="14"/>
                <w:szCs w:val="14"/>
              </w:rPr>
            </w:pPr>
          </w:p>
        </w:tc>
      </w:tr>
      <w:tr w:rsidR="00B61165" w:rsidRPr="00964F0A" w:rsidTr="007B0F70">
        <w:trPr>
          <w:trHeight w:hRule="exact" w:val="187"/>
        </w:trPr>
        <w:tc>
          <w:tcPr>
            <w:tcW w:w="9146" w:type="dxa"/>
            <w:vMerge/>
            <w:tcBorders>
              <w:top w:val="single" w:sz="4" w:space="0" w:color="auto"/>
              <w:left w:val="single" w:sz="4" w:space="0" w:color="auto"/>
              <w:bottom w:val="single" w:sz="4" w:space="0" w:color="auto"/>
              <w:right w:val="single" w:sz="4" w:space="0" w:color="auto"/>
            </w:tcBorders>
            <w:vAlign w:val="center"/>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8"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r>
              <w:rPr>
                <w:rFonts w:cs="Arial"/>
                <w:color w:val="000000" w:themeColor="text1"/>
                <w:sz w:val="14"/>
                <w:szCs w:val="14"/>
              </w:rPr>
              <w:t>30</w:t>
            </w: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r>
      <w:tr w:rsidR="00B61165" w:rsidRPr="00964F0A" w:rsidTr="007B0F70">
        <w:trPr>
          <w:trHeight w:hRule="exact" w:val="187"/>
        </w:trPr>
        <w:tc>
          <w:tcPr>
            <w:tcW w:w="9146" w:type="dxa"/>
            <w:vMerge w:val="restart"/>
            <w:tcBorders>
              <w:top w:val="single" w:sz="4" w:space="0" w:color="auto"/>
              <w:left w:val="single" w:sz="4" w:space="0" w:color="auto"/>
              <w:bottom w:val="single" w:sz="4" w:space="0" w:color="auto"/>
              <w:right w:val="single" w:sz="4" w:space="0" w:color="auto"/>
            </w:tcBorders>
            <w:vAlign w:val="center"/>
          </w:tcPr>
          <w:p w:rsidR="00B61165" w:rsidRPr="00964F0A" w:rsidRDefault="00B61165" w:rsidP="007B0F70">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r w:rsidRPr="00646FD3">
              <w:rPr>
                <w:color w:val="000000" w:themeColor="text1"/>
                <w:sz w:val="14"/>
                <w:szCs w:val="14"/>
              </w:rPr>
              <w:t xml:space="preserve">Dollar portion of net charge-offs on such loans (from lines 25, 26, 27, and 28) to businesses with more than $50 million in revenues, unless included in </w:t>
            </w:r>
            <w:r>
              <w:rPr>
                <w:color w:val="000000" w:themeColor="text1"/>
                <w:sz w:val="14"/>
                <w:szCs w:val="14"/>
              </w:rPr>
              <w:br/>
            </w:r>
            <w:r w:rsidRPr="00646FD3">
              <w:rPr>
                <w:color w:val="000000" w:themeColor="text1"/>
                <w:sz w:val="14"/>
                <w:szCs w:val="14"/>
              </w:rPr>
              <w:t>line 30</w:t>
            </w:r>
          </w:p>
        </w:tc>
        <w:tc>
          <w:tcPr>
            <w:tcW w:w="1915" w:type="dxa"/>
            <w:gridSpan w:val="4"/>
            <w:tcBorders>
              <w:left w:val="single" w:sz="4" w:space="0" w:color="auto"/>
            </w:tcBorders>
            <w:shd w:val="clear" w:color="auto" w:fill="D9D9D9" w:themeFill="background1" w:themeFillShade="D9"/>
          </w:tcPr>
          <w:p w:rsidR="00B61165" w:rsidRPr="00964F0A" w:rsidRDefault="00B61165" w:rsidP="007B0F70">
            <w:pPr>
              <w:autoSpaceDE w:val="0"/>
              <w:autoSpaceDN w:val="0"/>
              <w:adjustRightInd w:val="0"/>
              <w:ind w:left="216" w:hanging="216"/>
              <w:rPr>
                <w:rFonts w:cs="Arial"/>
                <w:color w:val="000000" w:themeColor="text1"/>
                <w:sz w:val="14"/>
                <w:szCs w:val="14"/>
              </w:rPr>
            </w:pPr>
          </w:p>
        </w:tc>
      </w:tr>
      <w:tr w:rsidR="00B61165" w:rsidRPr="00964F0A" w:rsidTr="007B0F70">
        <w:trPr>
          <w:trHeight w:hRule="exact" w:val="187"/>
        </w:trPr>
        <w:tc>
          <w:tcPr>
            <w:tcW w:w="9146" w:type="dxa"/>
            <w:vMerge/>
            <w:tcBorders>
              <w:top w:val="single" w:sz="4" w:space="0" w:color="auto"/>
              <w:left w:val="single" w:sz="4" w:space="0" w:color="auto"/>
              <w:bottom w:val="single" w:sz="4" w:space="0" w:color="auto"/>
              <w:right w:val="single" w:sz="4" w:space="0" w:color="auto"/>
            </w:tcBorders>
            <w:vAlign w:val="center"/>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8"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r>
              <w:rPr>
                <w:rFonts w:cs="Arial"/>
                <w:color w:val="000000" w:themeColor="text1"/>
                <w:sz w:val="14"/>
                <w:szCs w:val="14"/>
              </w:rPr>
              <w:t>31</w:t>
            </w: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r>
      <w:tr w:rsidR="00B61165" w:rsidRPr="00964F0A" w:rsidTr="007B0F70">
        <w:trPr>
          <w:trHeight w:hRule="exact" w:val="187"/>
        </w:trPr>
        <w:tc>
          <w:tcPr>
            <w:tcW w:w="9146" w:type="dxa"/>
            <w:vMerge w:val="restart"/>
            <w:tcBorders>
              <w:top w:val="single" w:sz="4" w:space="0" w:color="auto"/>
              <w:left w:val="single" w:sz="4" w:space="0" w:color="auto"/>
              <w:bottom w:val="single" w:sz="4" w:space="0" w:color="auto"/>
              <w:right w:val="single" w:sz="4" w:space="0" w:color="auto"/>
            </w:tcBorders>
            <w:vAlign w:val="center"/>
          </w:tcPr>
          <w:p w:rsidR="00B61165" w:rsidRPr="00964F0A" w:rsidRDefault="00B61165" w:rsidP="007B0F70">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r>
              <w:rPr>
                <w:color w:val="000000" w:themeColor="text1"/>
                <w:sz w:val="14"/>
                <w:szCs w:val="14"/>
              </w:rPr>
              <w:t xml:space="preserve">Dollar portion of </w:t>
            </w:r>
            <w:r>
              <w:rPr>
                <w:rFonts w:cs="Arial"/>
                <w:sz w:val="14"/>
                <w:szCs w:val="14"/>
              </w:rPr>
              <w:t xml:space="preserve">net charge-offs on </w:t>
            </w:r>
            <w:r>
              <w:rPr>
                <w:color w:val="000000" w:themeColor="text1"/>
                <w:sz w:val="14"/>
                <w:szCs w:val="14"/>
              </w:rPr>
              <w:t>loans (from lines 25, 26, 27, and 28) guaranteed by the U.S. government, unless included in line 30 or 31</w:t>
            </w:r>
          </w:p>
        </w:tc>
        <w:tc>
          <w:tcPr>
            <w:tcW w:w="1915" w:type="dxa"/>
            <w:gridSpan w:val="4"/>
            <w:tcBorders>
              <w:left w:val="single" w:sz="4" w:space="0" w:color="auto"/>
            </w:tcBorders>
            <w:shd w:val="clear" w:color="auto" w:fill="D9D9D9" w:themeFill="background1" w:themeFillShade="D9"/>
          </w:tcPr>
          <w:p w:rsidR="00B61165" w:rsidRPr="00964F0A" w:rsidRDefault="00B61165" w:rsidP="007B0F70">
            <w:pPr>
              <w:autoSpaceDE w:val="0"/>
              <w:autoSpaceDN w:val="0"/>
              <w:adjustRightInd w:val="0"/>
              <w:ind w:left="216" w:hanging="216"/>
              <w:rPr>
                <w:rFonts w:cs="Arial"/>
                <w:color w:val="000000" w:themeColor="text1"/>
                <w:sz w:val="14"/>
                <w:szCs w:val="14"/>
              </w:rPr>
            </w:pPr>
          </w:p>
        </w:tc>
      </w:tr>
      <w:tr w:rsidR="00B61165" w:rsidRPr="00964F0A" w:rsidTr="007B0F70">
        <w:trPr>
          <w:trHeight w:hRule="exact" w:val="187"/>
        </w:trPr>
        <w:tc>
          <w:tcPr>
            <w:tcW w:w="9146" w:type="dxa"/>
            <w:vMerge/>
            <w:tcBorders>
              <w:top w:val="single" w:sz="4" w:space="0" w:color="auto"/>
              <w:left w:val="single" w:sz="4" w:space="0" w:color="auto"/>
              <w:bottom w:val="single" w:sz="4" w:space="0" w:color="auto"/>
              <w:right w:val="single" w:sz="4" w:space="0" w:color="auto"/>
            </w:tcBorders>
            <w:vAlign w:val="center"/>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8"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r>
              <w:rPr>
                <w:rFonts w:cs="Arial"/>
                <w:color w:val="000000" w:themeColor="text1"/>
                <w:sz w:val="14"/>
                <w:szCs w:val="14"/>
              </w:rPr>
              <w:t>32</w:t>
            </w: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r>
      <w:tr w:rsidR="00B61165" w:rsidRPr="00964F0A" w:rsidTr="007B0F70">
        <w:trPr>
          <w:trHeight w:hRule="exact" w:val="187"/>
        </w:trPr>
        <w:tc>
          <w:tcPr>
            <w:tcW w:w="9146" w:type="dxa"/>
            <w:vMerge w:val="restart"/>
            <w:tcBorders>
              <w:top w:val="single" w:sz="4" w:space="0" w:color="auto"/>
              <w:left w:val="single" w:sz="4" w:space="0" w:color="auto"/>
              <w:bottom w:val="single" w:sz="4" w:space="0" w:color="auto"/>
              <w:right w:val="single" w:sz="4" w:space="0" w:color="auto"/>
            </w:tcBorders>
            <w:vAlign w:val="center"/>
          </w:tcPr>
          <w:p w:rsidR="00B61165" w:rsidRPr="00964F0A" w:rsidRDefault="00B61165" w:rsidP="007B0F70">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r>
              <w:rPr>
                <w:color w:val="000000" w:themeColor="text1"/>
                <w:sz w:val="14"/>
                <w:szCs w:val="14"/>
              </w:rPr>
              <w:t xml:space="preserve">Dollar portion of </w:t>
            </w:r>
            <w:r>
              <w:rPr>
                <w:rFonts w:cs="Arial"/>
                <w:sz w:val="14"/>
                <w:szCs w:val="14"/>
              </w:rPr>
              <w:t xml:space="preserve">net charge-offs on </w:t>
            </w:r>
            <w:r>
              <w:rPr>
                <w:color w:val="000000" w:themeColor="text1"/>
                <w:sz w:val="14"/>
                <w:szCs w:val="14"/>
              </w:rPr>
              <w:t>loans (from lines 25, 26, 27, and 28) where a third party has assumed an interest, unless included in line 30, 31, or 32</w:t>
            </w:r>
          </w:p>
        </w:tc>
        <w:tc>
          <w:tcPr>
            <w:tcW w:w="1915" w:type="dxa"/>
            <w:gridSpan w:val="4"/>
            <w:tcBorders>
              <w:left w:val="single" w:sz="4" w:space="0" w:color="auto"/>
            </w:tcBorders>
            <w:shd w:val="clear" w:color="auto" w:fill="D9D9D9" w:themeFill="background1" w:themeFillShade="D9"/>
          </w:tcPr>
          <w:p w:rsidR="00B61165" w:rsidRPr="00964F0A" w:rsidRDefault="00B61165" w:rsidP="007B0F70">
            <w:pPr>
              <w:autoSpaceDE w:val="0"/>
              <w:autoSpaceDN w:val="0"/>
              <w:adjustRightInd w:val="0"/>
              <w:ind w:left="216" w:hanging="216"/>
              <w:rPr>
                <w:rFonts w:cs="Arial"/>
                <w:color w:val="000000" w:themeColor="text1"/>
                <w:sz w:val="14"/>
                <w:szCs w:val="14"/>
              </w:rPr>
            </w:pPr>
          </w:p>
        </w:tc>
      </w:tr>
      <w:tr w:rsidR="00B61165" w:rsidRPr="00964F0A" w:rsidTr="007B0F70">
        <w:trPr>
          <w:trHeight w:hRule="exact" w:val="187"/>
        </w:trPr>
        <w:tc>
          <w:tcPr>
            <w:tcW w:w="9146" w:type="dxa"/>
            <w:vMerge/>
            <w:tcBorders>
              <w:top w:val="single" w:sz="4" w:space="0" w:color="auto"/>
              <w:left w:val="single" w:sz="4" w:space="0" w:color="auto"/>
              <w:bottom w:val="single" w:sz="4" w:space="0" w:color="auto"/>
              <w:right w:val="single" w:sz="4" w:space="0" w:color="auto"/>
            </w:tcBorders>
            <w:vAlign w:val="center"/>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8" w:type="dxa"/>
            <w:tcBorders>
              <w:left w:val="single" w:sz="4" w:space="0" w:color="auto"/>
              <w:bottom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r>
              <w:rPr>
                <w:rFonts w:cs="Arial"/>
                <w:color w:val="000000" w:themeColor="text1"/>
                <w:sz w:val="14"/>
                <w:szCs w:val="14"/>
              </w:rPr>
              <w:t>33</w:t>
            </w:r>
          </w:p>
        </w:tc>
        <w:tc>
          <w:tcPr>
            <w:tcW w:w="479" w:type="dxa"/>
            <w:tcBorders>
              <w:left w:val="single" w:sz="4" w:space="0" w:color="auto"/>
              <w:bottom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bottom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bottom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r>
      <w:tr w:rsidR="00B61165" w:rsidRPr="00964F0A" w:rsidTr="007B0F70">
        <w:trPr>
          <w:trHeight w:hRule="exact" w:val="187"/>
        </w:trPr>
        <w:tc>
          <w:tcPr>
            <w:tcW w:w="11061" w:type="dxa"/>
            <w:gridSpan w:val="5"/>
            <w:tcBorders>
              <w:top w:val="single" w:sz="4" w:space="0" w:color="auto"/>
              <w:left w:val="nil"/>
              <w:bottom w:val="single" w:sz="4" w:space="0" w:color="auto"/>
              <w:right w:val="nil"/>
            </w:tcBorders>
            <w:vAlign w:val="center"/>
          </w:tcPr>
          <w:p w:rsidR="00B61165" w:rsidRPr="00964F0A" w:rsidRDefault="00B61165" w:rsidP="007B0F70">
            <w:pPr>
              <w:autoSpaceDE w:val="0"/>
              <w:autoSpaceDN w:val="0"/>
              <w:adjustRightInd w:val="0"/>
              <w:ind w:left="216" w:hanging="216"/>
              <w:rPr>
                <w:rFonts w:cs="Arial"/>
                <w:color w:val="000000" w:themeColor="text1"/>
                <w:sz w:val="14"/>
                <w:szCs w:val="14"/>
              </w:rPr>
            </w:pPr>
          </w:p>
        </w:tc>
      </w:tr>
      <w:tr w:rsidR="00B61165" w:rsidRPr="00964F0A" w:rsidTr="007B0F70">
        <w:trPr>
          <w:trHeight w:hRule="exact" w:val="187"/>
        </w:trPr>
        <w:tc>
          <w:tcPr>
            <w:tcW w:w="9146" w:type="dxa"/>
            <w:tcBorders>
              <w:top w:val="single" w:sz="4" w:space="0" w:color="auto"/>
              <w:left w:val="single" w:sz="4" w:space="0" w:color="auto"/>
              <w:bottom w:val="single" w:sz="4" w:space="0" w:color="auto"/>
              <w:right w:val="single" w:sz="4" w:space="0" w:color="auto"/>
            </w:tcBorders>
            <w:vAlign w:val="center"/>
          </w:tcPr>
          <w:p w:rsidR="00B61165" w:rsidRPr="00106AC6" w:rsidRDefault="00B61165" w:rsidP="007B0F70">
            <w:pPr>
              <w:pStyle w:val="ListParagraph"/>
              <w:numPr>
                <w:ilvl w:val="0"/>
                <w:numId w:val="12"/>
              </w:numPr>
              <w:autoSpaceDE w:val="0"/>
              <w:autoSpaceDN w:val="0"/>
              <w:adjustRightInd w:val="0"/>
              <w:ind w:left="216" w:hanging="216"/>
              <w:rPr>
                <w:rFonts w:cs="Arial"/>
                <w:color w:val="000000" w:themeColor="text1"/>
                <w:sz w:val="14"/>
                <w:szCs w:val="14"/>
              </w:rPr>
            </w:pPr>
            <w:r w:rsidRPr="00106AC6">
              <w:rPr>
                <w:rFonts w:eastAsia="Times New Roman"/>
                <w:color w:val="000000"/>
                <w:sz w:val="14"/>
                <w:szCs w:val="14"/>
              </w:rPr>
              <w:t xml:space="preserve">Total cumulative </w:t>
            </w:r>
            <w:r w:rsidRPr="00106AC6">
              <w:rPr>
                <w:color w:val="000000" w:themeColor="text1"/>
                <w:sz w:val="14"/>
                <w:szCs w:val="14"/>
              </w:rPr>
              <w:t xml:space="preserve">net charge-offs </w:t>
            </w:r>
            <w:r w:rsidRPr="00106AC6">
              <w:rPr>
                <w:rFonts w:eastAsia="Times New Roman"/>
                <w:color w:val="000000"/>
                <w:sz w:val="14"/>
                <w:szCs w:val="14"/>
              </w:rPr>
              <w:t>(line 34 equals line 29 minus lines 30, 31, 32, and 33)</w:t>
            </w:r>
          </w:p>
        </w:tc>
        <w:tc>
          <w:tcPr>
            <w:tcW w:w="478" w:type="dxa"/>
            <w:tcBorders>
              <w:left w:val="single" w:sz="4" w:space="0" w:color="auto"/>
              <w:bottom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r>
              <w:rPr>
                <w:rFonts w:cs="Arial"/>
                <w:color w:val="000000" w:themeColor="text1"/>
                <w:sz w:val="14"/>
                <w:szCs w:val="14"/>
              </w:rPr>
              <w:t>34</w:t>
            </w:r>
          </w:p>
        </w:tc>
        <w:tc>
          <w:tcPr>
            <w:tcW w:w="479" w:type="dxa"/>
            <w:tcBorders>
              <w:left w:val="single" w:sz="4" w:space="0" w:color="auto"/>
              <w:bottom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bottom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bottom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r>
      <w:tr w:rsidR="00B61165" w:rsidRPr="00964F0A" w:rsidTr="007B0F70">
        <w:trPr>
          <w:trHeight w:hRule="exact" w:val="187"/>
        </w:trPr>
        <w:tc>
          <w:tcPr>
            <w:tcW w:w="9146" w:type="dxa"/>
            <w:tcBorders>
              <w:top w:val="single" w:sz="4" w:space="0" w:color="auto"/>
              <w:left w:val="nil"/>
              <w:bottom w:val="nil"/>
              <w:right w:val="nil"/>
            </w:tcBorders>
            <w:vAlign w:val="center"/>
          </w:tcPr>
          <w:p w:rsidR="00B61165" w:rsidRPr="00166486" w:rsidRDefault="00B61165" w:rsidP="007B0F70">
            <w:pPr>
              <w:pStyle w:val="ListParagraph"/>
              <w:autoSpaceDE w:val="0"/>
              <w:autoSpaceDN w:val="0"/>
              <w:adjustRightInd w:val="0"/>
              <w:ind w:left="216"/>
              <w:rPr>
                <w:rFonts w:eastAsia="Times New Roman"/>
                <w:color w:val="000000"/>
                <w:sz w:val="14"/>
                <w:szCs w:val="14"/>
              </w:rPr>
            </w:pPr>
          </w:p>
        </w:tc>
        <w:tc>
          <w:tcPr>
            <w:tcW w:w="478" w:type="dxa"/>
            <w:tcBorders>
              <w:left w:val="nil"/>
              <w:right w:val="nil"/>
            </w:tcBorders>
            <w:vAlign w:val="bottom"/>
          </w:tcPr>
          <w:p w:rsidR="00B61165" w:rsidRDefault="00B61165" w:rsidP="007B0F70">
            <w:pPr>
              <w:autoSpaceDE w:val="0"/>
              <w:autoSpaceDN w:val="0"/>
              <w:adjustRightInd w:val="0"/>
              <w:ind w:left="216" w:hanging="216"/>
              <w:rPr>
                <w:rFonts w:cs="Arial"/>
                <w:color w:val="000000" w:themeColor="text1"/>
                <w:sz w:val="14"/>
                <w:szCs w:val="14"/>
              </w:rPr>
            </w:pPr>
          </w:p>
        </w:tc>
        <w:tc>
          <w:tcPr>
            <w:tcW w:w="479" w:type="dxa"/>
            <w:tcBorders>
              <w:left w:val="nil"/>
              <w:right w:val="nil"/>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nil"/>
              <w:right w:val="nil"/>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nil"/>
              <w:right w:val="nil"/>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r>
      <w:tr w:rsidR="00B61165" w:rsidRPr="00964F0A" w:rsidTr="007B0F70">
        <w:trPr>
          <w:trHeight w:hRule="exact" w:val="187"/>
        </w:trPr>
        <w:tc>
          <w:tcPr>
            <w:tcW w:w="9146" w:type="dxa"/>
            <w:tcBorders>
              <w:top w:val="nil"/>
              <w:left w:val="nil"/>
              <w:bottom w:val="single" w:sz="4" w:space="0" w:color="auto"/>
              <w:right w:val="single" w:sz="4" w:space="0" w:color="auto"/>
            </w:tcBorders>
            <w:vAlign w:val="center"/>
          </w:tcPr>
          <w:p w:rsidR="00B61165" w:rsidRPr="00166486" w:rsidRDefault="00B61165" w:rsidP="007B0F70">
            <w:pPr>
              <w:pStyle w:val="ListParagraph"/>
              <w:autoSpaceDE w:val="0"/>
              <w:autoSpaceDN w:val="0"/>
              <w:adjustRightInd w:val="0"/>
              <w:ind w:left="216"/>
              <w:rPr>
                <w:rFonts w:eastAsia="Times New Roman"/>
                <w:color w:val="000000"/>
                <w:sz w:val="14"/>
                <w:szCs w:val="14"/>
              </w:rPr>
            </w:pPr>
          </w:p>
        </w:tc>
        <w:tc>
          <w:tcPr>
            <w:tcW w:w="478" w:type="dxa"/>
            <w:tcBorders>
              <w:left w:val="single" w:sz="4" w:space="0" w:color="auto"/>
            </w:tcBorders>
            <w:vAlign w:val="bottom"/>
          </w:tcPr>
          <w:p w:rsidR="00B61165"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roofErr w:type="spellStart"/>
            <w:r>
              <w:rPr>
                <w:rFonts w:cs="Arial"/>
                <w:color w:val="000000" w:themeColor="text1"/>
                <w:sz w:val="14"/>
                <w:szCs w:val="14"/>
              </w:rPr>
              <w:t>Bil</w:t>
            </w:r>
            <w:proofErr w:type="spellEnd"/>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r>
              <w:rPr>
                <w:rFonts w:cs="Arial"/>
                <w:color w:val="000000" w:themeColor="text1"/>
                <w:sz w:val="14"/>
                <w:szCs w:val="14"/>
              </w:rPr>
              <w:t>Mil</w:t>
            </w: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r>
              <w:rPr>
                <w:rFonts w:cs="Arial"/>
                <w:color w:val="000000" w:themeColor="text1"/>
                <w:sz w:val="14"/>
                <w:szCs w:val="14"/>
              </w:rPr>
              <w:t>Thou</w:t>
            </w:r>
          </w:p>
        </w:tc>
      </w:tr>
      <w:tr w:rsidR="00B61165" w:rsidRPr="00964F0A" w:rsidTr="007B0F70">
        <w:trPr>
          <w:trHeight w:hRule="exact" w:val="187"/>
        </w:trPr>
        <w:tc>
          <w:tcPr>
            <w:tcW w:w="9146" w:type="dxa"/>
            <w:tcBorders>
              <w:top w:val="single" w:sz="4" w:space="0" w:color="auto"/>
              <w:left w:val="single" w:sz="4" w:space="0" w:color="auto"/>
              <w:bottom w:val="single" w:sz="4" w:space="0" w:color="auto"/>
              <w:right w:val="single" w:sz="4" w:space="0" w:color="auto"/>
            </w:tcBorders>
            <w:vAlign w:val="center"/>
          </w:tcPr>
          <w:p w:rsidR="00B61165" w:rsidRPr="00106AC6" w:rsidRDefault="00B61165" w:rsidP="007B0F70">
            <w:pPr>
              <w:pStyle w:val="ListParagraph"/>
              <w:numPr>
                <w:ilvl w:val="0"/>
                <w:numId w:val="12"/>
              </w:numPr>
              <w:autoSpaceDE w:val="0"/>
              <w:autoSpaceDN w:val="0"/>
              <w:adjustRightInd w:val="0"/>
              <w:ind w:left="216" w:hanging="216"/>
              <w:rPr>
                <w:rFonts w:cs="Arial"/>
                <w:color w:val="000000" w:themeColor="text1"/>
                <w:sz w:val="14"/>
                <w:szCs w:val="14"/>
              </w:rPr>
            </w:pPr>
            <w:r w:rsidRPr="00106AC6">
              <w:rPr>
                <w:rFonts w:eastAsia="Times New Roman"/>
                <w:color w:val="000000"/>
                <w:sz w:val="14"/>
                <w:szCs w:val="14"/>
              </w:rPr>
              <w:t>Quarter-End Adjusted Qualified Small Business Lending (line 35 equals line 23 plus line 34)</w:t>
            </w:r>
          </w:p>
        </w:tc>
        <w:tc>
          <w:tcPr>
            <w:tcW w:w="478"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r>
              <w:rPr>
                <w:rFonts w:cs="Arial"/>
                <w:color w:val="000000" w:themeColor="text1"/>
                <w:sz w:val="14"/>
                <w:szCs w:val="14"/>
              </w:rPr>
              <w:t>35</w:t>
            </w: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r>
    </w:tbl>
    <w:p w:rsidR="00B61165" w:rsidRDefault="00B61165" w:rsidP="001A5253">
      <w:pPr>
        <w:autoSpaceDE w:val="0"/>
        <w:autoSpaceDN w:val="0"/>
        <w:adjustRightInd w:val="0"/>
        <w:spacing w:after="0" w:line="240" w:lineRule="auto"/>
        <w:rPr>
          <w:rFonts w:ascii="Calibri" w:hAnsi="Calibri" w:cs="Arial"/>
          <w:sz w:val="20"/>
          <w:szCs w:val="20"/>
        </w:rPr>
      </w:pPr>
    </w:p>
    <w:p w:rsidR="00646FD3" w:rsidRPr="001A5253" w:rsidRDefault="00646FD3" w:rsidP="001A5253">
      <w:pPr>
        <w:autoSpaceDE w:val="0"/>
        <w:autoSpaceDN w:val="0"/>
        <w:adjustRightInd w:val="0"/>
        <w:spacing w:after="0" w:line="240" w:lineRule="auto"/>
        <w:rPr>
          <w:rFonts w:ascii="Calibri" w:hAnsi="Calibri" w:cs="Arial"/>
          <w:sz w:val="20"/>
          <w:szCs w:val="20"/>
        </w:rPr>
      </w:pPr>
    </w:p>
    <w:p w:rsidR="007641E2" w:rsidRDefault="007641E2" w:rsidP="00D54F25">
      <w:pPr>
        <w:autoSpaceDE w:val="0"/>
        <w:autoSpaceDN w:val="0"/>
        <w:adjustRightInd w:val="0"/>
        <w:spacing w:after="0" w:line="240" w:lineRule="auto"/>
        <w:ind w:left="360" w:hanging="360"/>
        <w:rPr>
          <w:rFonts w:ascii="Calibri" w:hAnsi="Calibri" w:cs="Arial"/>
          <w:b/>
          <w:sz w:val="16"/>
          <w:szCs w:val="16"/>
        </w:rPr>
      </w:pPr>
    </w:p>
    <w:p w:rsidR="006667B5" w:rsidRPr="00CC7294" w:rsidRDefault="006667B5">
      <w:pPr>
        <w:rPr>
          <w:rFonts w:ascii="Calibri" w:hAnsi="Calibri" w:cs="Arial"/>
          <w:b/>
          <w:sz w:val="20"/>
          <w:szCs w:val="20"/>
        </w:rPr>
      </w:pPr>
      <w:r>
        <w:rPr>
          <w:rFonts w:ascii="Calibri" w:hAnsi="Calibri" w:cs="Arial"/>
          <w:b/>
          <w:sz w:val="32"/>
          <w:szCs w:val="32"/>
        </w:rPr>
        <w:br w:type="page"/>
      </w:r>
    </w:p>
    <w:p w:rsidR="001C0F0F" w:rsidRPr="00124866" w:rsidRDefault="001C0F0F" w:rsidP="001C0F0F">
      <w:pPr>
        <w:pStyle w:val="Default"/>
        <w:pBdr>
          <w:bottom w:val="single" w:sz="4" w:space="1" w:color="auto"/>
        </w:pBdr>
        <w:rPr>
          <w:rFonts w:ascii="Calibri" w:hAnsi="Calibri"/>
          <w:color w:val="211D1E"/>
          <w:sz w:val="36"/>
          <w:szCs w:val="36"/>
        </w:rPr>
      </w:pPr>
      <w:r>
        <w:rPr>
          <w:rFonts w:ascii="Calibri" w:hAnsi="Calibri"/>
          <w:sz w:val="36"/>
          <w:szCs w:val="36"/>
        </w:rPr>
        <w:lastRenderedPageBreak/>
        <w:t xml:space="preserve">Quarterly </w:t>
      </w:r>
      <w:r w:rsidRPr="00124866">
        <w:rPr>
          <w:rFonts w:ascii="Calibri" w:hAnsi="Calibri"/>
          <w:sz w:val="36"/>
          <w:szCs w:val="36"/>
        </w:rPr>
        <w:t>Supplemental Report</w:t>
      </w:r>
      <w:r w:rsidRPr="00124866">
        <w:rPr>
          <w:rFonts w:ascii="Calibri" w:hAnsi="Calibri"/>
          <w:sz w:val="36"/>
          <w:szCs w:val="36"/>
        </w:rPr>
        <w:br/>
      </w:r>
      <w:r w:rsidRPr="00124866">
        <w:rPr>
          <w:rFonts w:ascii="Calibri" w:hAnsi="Calibri"/>
          <w:color w:val="211D1E"/>
          <w:sz w:val="28"/>
          <w:szCs w:val="28"/>
        </w:rPr>
        <w:t xml:space="preserve">for </w:t>
      </w:r>
      <w:r>
        <w:rPr>
          <w:rFonts w:ascii="Calibri" w:hAnsi="Calibri"/>
          <w:color w:val="211D1E"/>
          <w:sz w:val="28"/>
          <w:szCs w:val="28"/>
        </w:rPr>
        <w:t>B</w:t>
      </w:r>
      <w:r w:rsidRPr="00124866">
        <w:rPr>
          <w:rFonts w:ascii="Calibri" w:hAnsi="Calibri"/>
          <w:color w:val="211D1E"/>
          <w:sz w:val="28"/>
          <w:szCs w:val="28"/>
        </w:rPr>
        <w:t xml:space="preserve">anks </w:t>
      </w:r>
      <w:r w:rsidR="00A430AD">
        <w:rPr>
          <w:rFonts w:ascii="Calibri" w:hAnsi="Calibri"/>
          <w:color w:val="211D1E"/>
          <w:sz w:val="28"/>
          <w:szCs w:val="28"/>
        </w:rPr>
        <w:t xml:space="preserve">and Savings Associations </w:t>
      </w:r>
      <w:r>
        <w:rPr>
          <w:rFonts w:ascii="Calibri" w:hAnsi="Calibri"/>
          <w:color w:val="211D1E"/>
          <w:sz w:val="28"/>
          <w:szCs w:val="28"/>
        </w:rPr>
        <w:t>Participating in</w:t>
      </w:r>
      <w:r w:rsidRPr="00124866">
        <w:rPr>
          <w:rFonts w:ascii="Calibri" w:hAnsi="Calibri"/>
          <w:color w:val="211D1E"/>
          <w:sz w:val="28"/>
          <w:szCs w:val="28"/>
        </w:rPr>
        <w:t xml:space="preserve"> the Small Business </w:t>
      </w:r>
      <w:r>
        <w:rPr>
          <w:rFonts w:ascii="Calibri" w:hAnsi="Calibri"/>
          <w:color w:val="211D1E"/>
          <w:sz w:val="28"/>
          <w:szCs w:val="28"/>
        </w:rPr>
        <w:t xml:space="preserve">Lending </w:t>
      </w:r>
      <w:r w:rsidRPr="00124866">
        <w:rPr>
          <w:rFonts w:ascii="Calibri" w:hAnsi="Calibri"/>
          <w:color w:val="211D1E"/>
          <w:sz w:val="28"/>
          <w:szCs w:val="28"/>
        </w:rPr>
        <w:t>Fund</w:t>
      </w:r>
    </w:p>
    <w:p w:rsidR="00B25109" w:rsidRPr="000F7481" w:rsidRDefault="00B25109" w:rsidP="00247CC9">
      <w:pPr>
        <w:spacing w:before="120" w:after="0" w:line="240" w:lineRule="auto"/>
        <w:rPr>
          <w:rFonts w:ascii="Calibri" w:hAnsi="Calibri" w:cs="Arial"/>
          <w:sz w:val="32"/>
          <w:szCs w:val="32"/>
        </w:rPr>
      </w:pPr>
      <w:bookmarkStart w:id="3" w:name="DividendOrInterestRateCalc"/>
      <w:r w:rsidRPr="000F7481">
        <w:rPr>
          <w:rFonts w:ascii="Calibri" w:hAnsi="Calibri" w:cs="Arial"/>
          <w:b/>
          <w:sz w:val="32"/>
          <w:szCs w:val="32"/>
        </w:rPr>
        <w:t xml:space="preserve">Dividend </w:t>
      </w:r>
      <w:r w:rsidR="005546CC">
        <w:rPr>
          <w:rFonts w:ascii="Calibri" w:hAnsi="Calibri" w:cs="Arial"/>
          <w:b/>
          <w:sz w:val="32"/>
          <w:szCs w:val="32"/>
        </w:rPr>
        <w:t xml:space="preserve">or Interest </w:t>
      </w:r>
      <w:r w:rsidRPr="000F7481">
        <w:rPr>
          <w:rFonts w:ascii="Calibri" w:hAnsi="Calibri" w:cs="Arial"/>
          <w:b/>
          <w:sz w:val="32"/>
          <w:szCs w:val="32"/>
        </w:rPr>
        <w:t xml:space="preserve">Rate </w:t>
      </w:r>
      <w:r w:rsidR="0077603A" w:rsidRPr="000F7481">
        <w:rPr>
          <w:rFonts w:ascii="Calibri" w:hAnsi="Calibri" w:cs="Arial"/>
          <w:b/>
          <w:sz w:val="32"/>
          <w:szCs w:val="32"/>
        </w:rPr>
        <w:t>Calculation</w:t>
      </w:r>
    </w:p>
    <w:bookmarkEnd w:id="3"/>
    <w:p w:rsidR="00716D53" w:rsidRDefault="005F511F" w:rsidP="006C4C48">
      <w:pPr>
        <w:spacing w:after="0" w:line="240" w:lineRule="auto"/>
        <w:rPr>
          <w:rFonts w:cs="Arial"/>
          <w:sz w:val="20"/>
          <w:szCs w:val="20"/>
        </w:rPr>
      </w:pPr>
      <w:r w:rsidRPr="00247CC9">
        <w:rPr>
          <w:spacing w:val="-2"/>
          <w:sz w:val="20"/>
          <w:szCs w:val="20"/>
        </w:rPr>
        <w:t>C</w:t>
      </w:r>
      <w:r w:rsidR="00B25109" w:rsidRPr="00247CC9">
        <w:rPr>
          <w:spacing w:val="-2"/>
          <w:sz w:val="20"/>
          <w:szCs w:val="20"/>
        </w:rPr>
        <w:t xml:space="preserve">omplete this section to determine the Dividend </w:t>
      </w:r>
      <w:r w:rsidR="005546CC">
        <w:rPr>
          <w:spacing w:val="-2"/>
          <w:sz w:val="20"/>
          <w:szCs w:val="20"/>
        </w:rPr>
        <w:t xml:space="preserve">or Interest </w:t>
      </w:r>
      <w:r w:rsidR="00B25109" w:rsidRPr="00247CC9">
        <w:rPr>
          <w:spacing w:val="-2"/>
          <w:sz w:val="20"/>
          <w:szCs w:val="20"/>
        </w:rPr>
        <w:t>Rate for the quarter</w:t>
      </w:r>
      <w:r w:rsidR="00526C48" w:rsidRPr="00247CC9">
        <w:rPr>
          <w:spacing w:val="-2"/>
          <w:sz w:val="20"/>
          <w:szCs w:val="20"/>
        </w:rPr>
        <w:t xml:space="preserve"> immediately following the quarter in which the report is filed</w:t>
      </w:r>
      <w:r w:rsidR="00CB1BF2" w:rsidRPr="00247CC9">
        <w:rPr>
          <w:spacing w:val="-2"/>
          <w:sz w:val="20"/>
          <w:szCs w:val="20"/>
        </w:rPr>
        <w:t>.</w:t>
      </w:r>
      <w:r w:rsidR="00EA289A">
        <w:rPr>
          <w:spacing w:val="-2"/>
          <w:sz w:val="20"/>
          <w:szCs w:val="20"/>
        </w:rPr>
        <w:t xml:space="preserve">  </w:t>
      </w:r>
      <w:r w:rsidR="0065108F" w:rsidRPr="007776FD">
        <w:rPr>
          <w:rFonts w:cs="Arial"/>
          <w:sz w:val="20"/>
          <w:szCs w:val="20"/>
        </w:rPr>
        <w:t xml:space="preserve">For ease of use, </w:t>
      </w:r>
      <w:r w:rsidR="0065108F">
        <w:rPr>
          <w:rFonts w:cs="Arial"/>
          <w:sz w:val="20"/>
          <w:szCs w:val="20"/>
        </w:rPr>
        <w:t xml:space="preserve">lines pre-populated with zeros are automatically </w:t>
      </w:r>
      <w:r w:rsidR="0065108F" w:rsidRPr="007776FD">
        <w:rPr>
          <w:rFonts w:cs="Arial"/>
          <w:sz w:val="20"/>
          <w:szCs w:val="20"/>
        </w:rPr>
        <w:t>calculated and will not accept manual entry.</w:t>
      </w:r>
    </w:p>
    <w:p w:rsidR="005B4B78" w:rsidRPr="00247CC9" w:rsidRDefault="005B4B78" w:rsidP="006C4C48">
      <w:pPr>
        <w:spacing w:after="0" w:line="240" w:lineRule="auto"/>
        <w:rPr>
          <w:spacing w:val="-2"/>
          <w:sz w:val="20"/>
          <w:szCs w:val="20"/>
        </w:rPr>
      </w:pPr>
    </w:p>
    <w:tbl>
      <w:tblPr>
        <w:tblStyle w:val="TableGrid"/>
        <w:tblW w:w="10947" w:type="dxa"/>
        <w:tblLayout w:type="fixed"/>
        <w:tblCellMar>
          <w:left w:w="43" w:type="dxa"/>
          <w:right w:w="43" w:type="dxa"/>
        </w:tblCellMar>
        <w:tblLook w:val="04A0" w:firstRow="1" w:lastRow="0" w:firstColumn="1" w:lastColumn="0" w:noHBand="0" w:noVBand="1"/>
      </w:tblPr>
      <w:tblGrid>
        <w:gridCol w:w="8572"/>
        <w:gridCol w:w="475"/>
        <w:gridCol w:w="475"/>
        <w:gridCol w:w="475"/>
        <w:gridCol w:w="475"/>
        <w:gridCol w:w="475"/>
      </w:tblGrid>
      <w:tr w:rsidR="00371570" w:rsidRPr="001B2B02" w:rsidTr="000D5235">
        <w:trPr>
          <w:trHeight w:hRule="exact" w:val="187"/>
        </w:trPr>
        <w:tc>
          <w:tcPr>
            <w:tcW w:w="8572" w:type="dxa"/>
            <w:tcBorders>
              <w:top w:val="nil"/>
              <w:left w:val="nil"/>
              <w:bottom w:val="single" w:sz="4" w:space="0" w:color="auto"/>
              <w:right w:val="single" w:sz="4" w:space="0" w:color="auto"/>
            </w:tcBorders>
            <w:vAlign w:val="center"/>
          </w:tcPr>
          <w:p w:rsidR="00371570" w:rsidRPr="001B2B02" w:rsidRDefault="00371570" w:rsidP="00341998">
            <w:pPr>
              <w:autoSpaceDE w:val="0"/>
              <w:autoSpaceDN w:val="0"/>
              <w:adjustRightInd w:val="0"/>
              <w:ind w:left="216" w:hanging="216"/>
              <w:jc w:val="right"/>
              <w:rPr>
                <w:rFonts w:ascii="Calibri" w:hAnsi="Calibri" w:cs="Arial"/>
                <w:sz w:val="14"/>
                <w:szCs w:val="14"/>
              </w:rPr>
            </w:pPr>
          </w:p>
        </w:tc>
        <w:tc>
          <w:tcPr>
            <w:tcW w:w="475" w:type="dxa"/>
            <w:tcBorders>
              <w:left w:val="single" w:sz="4" w:space="0" w:color="auto"/>
            </w:tcBorders>
            <w:vAlign w:val="center"/>
          </w:tcPr>
          <w:p w:rsidR="00371570" w:rsidRPr="001B2B02" w:rsidRDefault="00371570" w:rsidP="00341998">
            <w:pPr>
              <w:autoSpaceDE w:val="0"/>
              <w:autoSpaceDN w:val="0"/>
              <w:adjustRightInd w:val="0"/>
              <w:ind w:left="216" w:hanging="216"/>
              <w:rPr>
                <w:rFonts w:ascii="Calibri" w:hAnsi="Calibri" w:cs="Arial"/>
                <w:sz w:val="14"/>
                <w:szCs w:val="14"/>
              </w:rPr>
            </w:pPr>
          </w:p>
        </w:tc>
        <w:tc>
          <w:tcPr>
            <w:tcW w:w="475" w:type="dxa"/>
            <w:tcBorders>
              <w:left w:val="single" w:sz="4" w:space="0" w:color="auto"/>
            </w:tcBorders>
            <w:vAlign w:val="bottom"/>
          </w:tcPr>
          <w:p w:rsidR="00371570" w:rsidRPr="001B2B02" w:rsidRDefault="00371570" w:rsidP="000D5235">
            <w:pPr>
              <w:autoSpaceDE w:val="0"/>
              <w:autoSpaceDN w:val="0"/>
              <w:adjustRightInd w:val="0"/>
              <w:ind w:left="216" w:hanging="216"/>
              <w:rPr>
                <w:rFonts w:ascii="Calibri" w:hAnsi="Calibri" w:cs="Arial"/>
                <w:sz w:val="14"/>
                <w:szCs w:val="14"/>
              </w:rPr>
            </w:pPr>
            <w:proofErr w:type="spellStart"/>
            <w:r>
              <w:rPr>
                <w:rFonts w:ascii="Calibri" w:hAnsi="Calibri" w:cs="Arial"/>
                <w:sz w:val="14"/>
                <w:szCs w:val="14"/>
              </w:rPr>
              <w:t>Bil</w:t>
            </w:r>
            <w:proofErr w:type="spellEnd"/>
          </w:p>
        </w:tc>
        <w:tc>
          <w:tcPr>
            <w:tcW w:w="475" w:type="dxa"/>
            <w:tcBorders>
              <w:left w:val="single" w:sz="4" w:space="0" w:color="auto"/>
            </w:tcBorders>
            <w:vAlign w:val="bottom"/>
          </w:tcPr>
          <w:p w:rsidR="00371570" w:rsidRPr="001B2B02" w:rsidRDefault="00371570" w:rsidP="000D5235">
            <w:pPr>
              <w:autoSpaceDE w:val="0"/>
              <w:autoSpaceDN w:val="0"/>
              <w:adjustRightInd w:val="0"/>
              <w:ind w:left="216" w:hanging="216"/>
              <w:rPr>
                <w:rFonts w:ascii="Calibri" w:hAnsi="Calibri" w:cs="Arial"/>
                <w:sz w:val="14"/>
                <w:szCs w:val="14"/>
              </w:rPr>
            </w:pPr>
            <w:r>
              <w:rPr>
                <w:rFonts w:ascii="Calibri" w:hAnsi="Calibri" w:cs="Arial"/>
                <w:sz w:val="14"/>
                <w:szCs w:val="14"/>
              </w:rPr>
              <w:t>Mil</w:t>
            </w:r>
          </w:p>
        </w:tc>
        <w:tc>
          <w:tcPr>
            <w:tcW w:w="475" w:type="dxa"/>
            <w:tcBorders>
              <w:left w:val="single" w:sz="4" w:space="0" w:color="auto"/>
            </w:tcBorders>
            <w:vAlign w:val="bottom"/>
          </w:tcPr>
          <w:p w:rsidR="00371570" w:rsidRPr="001B2B02" w:rsidRDefault="00371570" w:rsidP="000D5235">
            <w:pPr>
              <w:autoSpaceDE w:val="0"/>
              <w:autoSpaceDN w:val="0"/>
              <w:adjustRightInd w:val="0"/>
              <w:ind w:left="216" w:hanging="216"/>
              <w:rPr>
                <w:rFonts w:ascii="Calibri" w:hAnsi="Calibri" w:cs="Arial"/>
                <w:sz w:val="14"/>
                <w:szCs w:val="14"/>
              </w:rPr>
            </w:pPr>
            <w:r>
              <w:rPr>
                <w:rFonts w:ascii="Calibri" w:hAnsi="Calibri" w:cs="Arial"/>
                <w:sz w:val="14"/>
                <w:szCs w:val="14"/>
              </w:rPr>
              <w:t>Thou</w:t>
            </w:r>
          </w:p>
        </w:tc>
        <w:tc>
          <w:tcPr>
            <w:tcW w:w="475" w:type="dxa"/>
            <w:tcBorders>
              <w:left w:val="single" w:sz="4" w:space="0" w:color="auto"/>
            </w:tcBorders>
            <w:vAlign w:val="bottom"/>
          </w:tcPr>
          <w:p w:rsidR="00371570" w:rsidRDefault="00371570" w:rsidP="000D5235">
            <w:pPr>
              <w:autoSpaceDE w:val="0"/>
              <w:autoSpaceDN w:val="0"/>
              <w:adjustRightInd w:val="0"/>
              <w:ind w:left="216" w:hanging="216"/>
              <w:rPr>
                <w:rFonts w:ascii="Calibri" w:hAnsi="Calibri" w:cs="Arial"/>
                <w:sz w:val="14"/>
                <w:szCs w:val="14"/>
              </w:rPr>
            </w:pPr>
            <w:proofErr w:type="spellStart"/>
            <w:r>
              <w:rPr>
                <w:rFonts w:ascii="Calibri" w:hAnsi="Calibri" w:cs="Arial"/>
                <w:sz w:val="14"/>
                <w:szCs w:val="14"/>
              </w:rPr>
              <w:t>Hund</w:t>
            </w:r>
            <w:proofErr w:type="spellEnd"/>
          </w:p>
        </w:tc>
      </w:tr>
      <w:tr w:rsidR="00371570" w:rsidRPr="001B2B02" w:rsidTr="000D5235">
        <w:trPr>
          <w:trHeight w:hRule="exact" w:val="187"/>
        </w:trPr>
        <w:tc>
          <w:tcPr>
            <w:tcW w:w="8572" w:type="dxa"/>
            <w:tcBorders>
              <w:top w:val="single" w:sz="4" w:space="0" w:color="auto"/>
            </w:tcBorders>
            <w:vAlign w:val="center"/>
          </w:tcPr>
          <w:p w:rsidR="00371570" w:rsidRDefault="00371570" w:rsidP="00506860">
            <w:pPr>
              <w:pStyle w:val="ListParagraph"/>
              <w:numPr>
                <w:ilvl w:val="0"/>
                <w:numId w:val="12"/>
              </w:numPr>
              <w:ind w:left="216" w:hanging="216"/>
              <w:rPr>
                <w:rFonts w:asciiTheme="minorHAnsi" w:hAnsiTheme="minorHAnsi" w:cs="Arial"/>
                <w:sz w:val="14"/>
                <w:szCs w:val="14"/>
              </w:rPr>
            </w:pPr>
            <w:r>
              <w:rPr>
                <w:rFonts w:asciiTheme="minorHAnsi" w:hAnsiTheme="minorHAnsi" w:cs="Arial"/>
                <w:sz w:val="14"/>
                <w:szCs w:val="14"/>
              </w:rPr>
              <w:t xml:space="preserve">Dollar value </w:t>
            </w:r>
            <w:r w:rsidR="002A3F56">
              <w:rPr>
                <w:rFonts w:asciiTheme="minorHAnsi" w:hAnsiTheme="minorHAnsi" w:cs="Arial"/>
                <w:sz w:val="14"/>
                <w:szCs w:val="14"/>
              </w:rPr>
              <w:t>of current balance</w:t>
            </w:r>
            <w:r w:rsidR="0003130A">
              <w:rPr>
                <w:rFonts w:asciiTheme="minorHAnsi" w:hAnsiTheme="minorHAnsi" w:cs="Arial"/>
                <w:sz w:val="14"/>
                <w:szCs w:val="14"/>
              </w:rPr>
              <w:t>s</w:t>
            </w:r>
            <w:r w:rsidR="002A3F56">
              <w:rPr>
                <w:rFonts w:asciiTheme="minorHAnsi" w:hAnsiTheme="minorHAnsi" w:cs="Arial"/>
                <w:sz w:val="14"/>
                <w:szCs w:val="14"/>
              </w:rPr>
              <w:t xml:space="preserve"> </w:t>
            </w:r>
            <w:r w:rsidR="001A5253">
              <w:rPr>
                <w:rFonts w:asciiTheme="minorHAnsi" w:hAnsiTheme="minorHAnsi" w:cs="Arial"/>
                <w:sz w:val="14"/>
                <w:szCs w:val="14"/>
              </w:rPr>
              <w:t>with</w:t>
            </w:r>
            <w:r w:rsidR="002A3F56">
              <w:rPr>
                <w:rFonts w:asciiTheme="minorHAnsi" w:hAnsiTheme="minorHAnsi" w:cs="Arial"/>
                <w:sz w:val="14"/>
                <w:szCs w:val="14"/>
              </w:rPr>
              <w:t xml:space="preserve"> </w:t>
            </w:r>
            <w:r>
              <w:rPr>
                <w:rFonts w:asciiTheme="minorHAnsi" w:hAnsiTheme="minorHAnsi" w:cs="Arial"/>
                <w:sz w:val="14"/>
                <w:szCs w:val="14"/>
              </w:rPr>
              <w:t>the Small Business Lending Fund</w:t>
            </w:r>
          </w:p>
        </w:tc>
        <w:tc>
          <w:tcPr>
            <w:tcW w:w="475" w:type="dxa"/>
            <w:shd w:val="clear" w:color="auto" w:fill="FFFFFF" w:themeFill="background1"/>
            <w:vAlign w:val="bottom"/>
          </w:tcPr>
          <w:p w:rsidR="00371570" w:rsidRPr="001B2B02" w:rsidRDefault="00371570" w:rsidP="00341998">
            <w:pPr>
              <w:autoSpaceDE w:val="0"/>
              <w:autoSpaceDN w:val="0"/>
              <w:adjustRightInd w:val="0"/>
              <w:ind w:left="216" w:hanging="216"/>
              <w:rPr>
                <w:rFonts w:ascii="Calibri" w:hAnsi="Calibri" w:cs="Arial"/>
                <w:sz w:val="14"/>
                <w:szCs w:val="14"/>
              </w:rPr>
            </w:pPr>
            <w:r>
              <w:rPr>
                <w:rFonts w:ascii="Calibri" w:hAnsi="Calibri" w:cs="Arial"/>
                <w:sz w:val="14"/>
                <w:szCs w:val="14"/>
              </w:rPr>
              <w:t>36</w:t>
            </w:r>
          </w:p>
        </w:tc>
        <w:tc>
          <w:tcPr>
            <w:tcW w:w="475" w:type="dxa"/>
            <w:shd w:val="clear" w:color="auto" w:fill="FFFFFF" w:themeFill="background1"/>
            <w:vAlign w:val="bottom"/>
          </w:tcPr>
          <w:p w:rsidR="00371570" w:rsidRPr="001B2B02" w:rsidRDefault="00371570" w:rsidP="000D5235">
            <w:pPr>
              <w:autoSpaceDE w:val="0"/>
              <w:autoSpaceDN w:val="0"/>
              <w:adjustRightInd w:val="0"/>
              <w:ind w:left="216" w:hanging="216"/>
              <w:rPr>
                <w:rFonts w:ascii="Calibri" w:hAnsi="Calibri" w:cs="Arial"/>
                <w:sz w:val="14"/>
                <w:szCs w:val="14"/>
              </w:rPr>
            </w:pPr>
          </w:p>
        </w:tc>
        <w:tc>
          <w:tcPr>
            <w:tcW w:w="475" w:type="dxa"/>
            <w:shd w:val="clear" w:color="auto" w:fill="FFFFFF" w:themeFill="background1"/>
            <w:vAlign w:val="bottom"/>
          </w:tcPr>
          <w:p w:rsidR="00371570" w:rsidRPr="001B2B02" w:rsidRDefault="00371570" w:rsidP="000D5235">
            <w:pPr>
              <w:autoSpaceDE w:val="0"/>
              <w:autoSpaceDN w:val="0"/>
              <w:adjustRightInd w:val="0"/>
              <w:ind w:left="216" w:hanging="216"/>
              <w:rPr>
                <w:rFonts w:ascii="Calibri" w:hAnsi="Calibri" w:cs="Arial"/>
                <w:sz w:val="14"/>
                <w:szCs w:val="14"/>
              </w:rPr>
            </w:pPr>
          </w:p>
        </w:tc>
        <w:tc>
          <w:tcPr>
            <w:tcW w:w="475" w:type="dxa"/>
            <w:shd w:val="clear" w:color="auto" w:fill="FFFFFF" w:themeFill="background1"/>
            <w:vAlign w:val="bottom"/>
          </w:tcPr>
          <w:p w:rsidR="00371570" w:rsidRPr="001B2B02" w:rsidRDefault="00371570" w:rsidP="000D5235">
            <w:pPr>
              <w:autoSpaceDE w:val="0"/>
              <w:autoSpaceDN w:val="0"/>
              <w:adjustRightInd w:val="0"/>
              <w:ind w:left="216" w:hanging="216"/>
              <w:rPr>
                <w:rFonts w:ascii="Calibri" w:hAnsi="Calibri" w:cs="Arial"/>
                <w:sz w:val="14"/>
                <w:szCs w:val="14"/>
              </w:rPr>
            </w:pPr>
          </w:p>
        </w:tc>
        <w:tc>
          <w:tcPr>
            <w:tcW w:w="475" w:type="dxa"/>
            <w:shd w:val="clear" w:color="auto" w:fill="FFFFFF" w:themeFill="background1"/>
            <w:vAlign w:val="bottom"/>
          </w:tcPr>
          <w:p w:rsidR="00371570" w:rsidRPr="001B2B02" w:rsidRDefault="00371570" w:rsidP="000D5235">
            <w:pPr>
              <w:autoSpaceDE w:val="0"/>
              <w:autoSpaceDN w:val="0"/>
              <w:adjustRightInd w:val="0"/>
              <w:ind w:left="216" w:hanging="216"/>
              <w:rPr>
                <w:rFonts w:ascii="Calibri" w:hAnsi="Calibri" w:cs="Arial"/>
                <w:sz w:val="14"/>
                <w:szCs w:val="14"/>
              </w:rPr>
            </w:pPr>
          </w:p>
        </w:tc>
      </w:tr>
      <w:tr w:rsidR="00371570" w:rsidRPr="001B2B02" w:rsidTr="000D5235">
        <w:trPr>
          <w:trHeight w:hRule="exact" w:val="187"/>
        </w:trPr>
        <w:tc>
          <w:tcPr>
            <w:tcW w:w="8572" w:type="dxa"/>
            <w:vAlign w:val="center"/>
          </w:tcPr>
          <w:p w:rsidR="00371570" w:rsidRPr="00106AC6" w:rsidRDefault="00371570" w:rsidP="00341998">
            <w:pPr>
              <w:pStyle w:val="ListParagraph"/>
              <w:numPr>
                <w:ilvl w:val="0"/>
                <w:numId w:val="12"/>
              </w:numPr>
              <w:ind w:left="216" w:hanging="216"/>
              <w:rPr>
                <w:rFonts w:asciiTheme="minorHAnsi" w:hAnsiTheme="minorHAnsi" w:cs="Arial"/>
                <w:sz w:val="14"/>
                <w:szCs w:val="14"/>
              </w:rPr>
            </w:pPr>
            <w:r w:rsidRPr="00106AC6">
              <w:rPr>
                <w:rFonts w:asciiTheme="minorHAnsi" w:hAnsiTheme="minorHAnsi" w:cs="Arial"/>
                <w:sz w:val="14"/>
                <w:szCs w:val="14"/>
              </w:rPr>
              <w:t>Dollar value of Quarter-End Adjusted Small Business Lending Baseline (line 13)</w:t>
            </w:r>
          </w:p>
        </w:tc>
        <w:tc>
          <w:tcPr>
            <w:tcW w:w="475" w:type="dxa"/>
            <w:shd w:val="clear" w:color="auto" w:fill="FFFFFF" w:themeFill="background1"/>
            <w:vAlign w:val="bottom"/>
          </w:tcPr>
          <w:p w:rsidR="00371570" w:rsidRPr="00106AC6" w:rsidRDefault="00371570" w:rsidP="00341998">
            <w:pPr>
              <w:autoSpaceDE w:val="0"/>
              <w:autoSpaceDN w:val="0"/>
              <w:adjustRightInd w:val="0"/>
              <w:ind w:left="216" w:hanging="216"/>
              <w:rPr>
                <w:rFonts w:ascii="Calibri" w:hAnsi="Calibri" w:cs="Arial"/>
                <w:sz w:val="14"/>
                <w:szCs w:val="14"/>
              </w:rPr>
            </w:pPr>
            <w:r w:rsidRPr="00106AC6">
              <w:rPr>
                <w:rFonts w:ascii="Calibri" w:hAnsi="Calibri" w:cs="Arial"/>
                <w:sz w:val="14"/>
                <w:szCs w:val="14"/>
              </w:rPr>
              <w:t>37</w:t>
            </w:r>
          </w:p>
        </w:tc>
        <w:tc>
          <w:tcPr>
            <w:tcW w:w="475" w:type="dxa"/>
            <w:shd w:val="clear" w:color="auto" w:fill="FFFFFF" w:themeFill="background1"/>
            <w:vAlign w:val="bottom"/>
          </w:tcPr>
          <w:p w:rsidR="00371570" w:rsidRPr="001B2B02" w:rsidRDefault="00371570" w:rsidP="000D5235">
            <w:pPr>
              <w:autoSpaceDE w:val="0"/>
              <w:autoSpaceDN w:val="0"/>
              <w:adjustRightInd w:val="0"/>
              <w:ind w:left="216" w:hanging="216"/>
              <w:rPr>
                <w:rFonts w:ascii="Calibri" w:hAnsi="Calibri" w:cs="Arial"/>
                <w:sz w:val="14"/>
                <w:szCs w:val="14"/>
              </w:rPr>
            </w:pPr>
          </w:p>
        </w:tc>
        <w:tc>
          <w:tcPr>
            <w:tcW w:w="475" w:type="dxa"/>
            <w:shd w:val="clear" w:color="auto" w:fill="FFFFFF" w:themeFill="background1"/>
            <w:vAlign w:val="bottom"/>
          </w:tcPr>
          <w:p w:rsidR="00371570" w:rsidRPr="001B2B02" w:rsidRDefault="00371570" w:rsidP="000D5235">
            <w:pPr>
              <w:autoSpaceDE w:val="0"/>
              <w:autoSpaceDN w:val="0"/>
              <w:adjustRightInd w:val="0"/>
              <w:ind w:left="216" w:hanging="216"/>
              <w:rPr>
                <w:rFonts w:ascii="Calibri" w:hAnsi="Calibri" w:cs="Arial"/>
                <w:sz w:val="14"/>
                <w:szCs w:val="14"/>
              </w:rPr>
            </w:pPr>
          </w:p>
        </w:tc>
        <w:tc>
          <w:tcPr>
            <w:tcW w:w="475" w:type="dxa"/>
            <w:shd w:val="clear" w:color="auto" w:fill="FFFFFF" w:themeFill="background1"/>
            <w:vAlign w:val="bottom"/>
          </w:tcPr>
          <w:p w:rsidR="00371570" w:rsidRPr="001B2B02" w:rsidRDefault="00371570" w:rsidP="000D5235">
            <w:pPr>
              <w:autoSpaceDE w:val="0"/>
              <w:autoSpaceDN w:val="0"/>
              <w:adjustRightInd w:val="0"/>
              <w:ind w:left="216" w:hanging="216"/>
              <w:rPr>
                <w:rFonts w:ascii="Calibri" w:hAnsi="Calibri" w:cs="Arial"/>
                <w:sz w:val="14"/>
                <w:szCs w:val="14"/>
              </w:rPr>
            </w:pPr>
          </w:p>
        </w:tc>
        <w:tc>
          <w:tcPr>
            <w:tcW w:w="475" w:type="dxa"/>
            <w:shd w:val="clear" w:color="auto" w:fill="FFFFFF" w:themeFill="background1"/>
            <w:vAlign w:val="bottom"/>
          </w:tcPr>
          <w:p w:rsidR="00371570" w:rsidRPr="001B2B02" w:rsidRDefault="00371570" w:rsidP="000D5235">
            <w:pPr>
              <w:autoSpaceDE w:val="0"/>
              <w:autoSpaceDN w:val="0"/>
              <w:adjustRightInd w:val="0"/>
              <w:ind w:left="216" w:hanging="216"/>
              <w:rPr>
                <w:rFonts w:ascii="Calibri" w:hAnsi="Calibri" w:cs="Arial"/>
                <w:sz w:val="14"/>
                <w:szCs w:val="14"/>
              </w:rPr>
            </w:pPr>
            <w:r>
              <w:rPr>
                <w:rFonts w:ascii="Calibri" w:hAnsi="Calibri" w:cs="Arial"/>
                <w:sz w:val="14"/>
                <w:szCs w:val="14"/>
              </w:rPr>
              <w:t>000</w:t>
            </w:r>
          </w:p>
        </w:tc>
      </w:tr>
      <w:tr w:rsidR="00371570" w:rsidRPr="001B2B02" w:rsidTr="000D5235">
        <w:trPr>
          <w:trHeight w:hRule="exact" w:val="187"/>
        </w:trPr>
        <w:tc>
          <w:tcPr>
            <w:tcW w:w="8572" w:type="dxa"/>
            <w:tcBorders>
              <w:bottom w:val="single" w:sz="4" w:space="0" w:color="auto"/>
            </w:tcBorders>
            <w:vAlign w:val="center"/>
          </w:tcPr>
          <w:p w:rsidR="00371570" w:rsidRPr="00106AC6" w:rsidRDefault="00371570" w:rsidP="00341998">
            <w:pPr>
              <w:pStyle w:val="ListParagraph"/>
              <w:numPr>
                <w:ilvl w:val="0"/>
                <w:numId w:val="12"/>
              </w:numPr>
              <w:ind w:left="216" w:hanging="216"/>
              <w:rPr>
                <w:rFonts w:asciiTheme="minorHAnsi" w:hAnsiTheme="minorHAnsi" w:cs="Arial"/>
                <w:sz w:val="14"/>
                <w:szCs w:val="14"/>
              </w:rPr>
            </w:pPr>
            <w:r w:rsidRPr="00106AC6">
              <w:rPr>
                <w:rFonts w:asciiTheme="minorHAnsi" w:hAnsiTheme="minorHAnsi" w:cs="Arial"/>
                <w:sz w:val="14"/>
                <w:szCs w:val="14"/>
              </w:rPr>
              <w:t xml:space="preserve">Dollar value of Quarter-End Adjusted Qualified Small Business Lending (line 35) </w:t>
            </w:r>
          </w:p>
        </w:tc>
        <w:tc>
          <w:tcPr>
            <w:tcW w:w="475" w:type="dxa"/>
            <w:tcBorders>
              <w:bottom w:val="single" w:sz="4" w:space="0" w:color="auto"/>
            </w:tcBorders>
            <w:shd w:val="clear" w:color="auto" w:fill="FFFFFF" w:themeFill="background1"/>
            <w:vAlign w:val="bottom"/>
          </w:tcPr>
          <w:p w:rsidR="00371570" w:rsidRPr="00106AC6" w:rsidRDefault="00371570" w:rsidP="00341998">
            <w:pPr>
              <w:autoSpaceDE w:val="0"/>
              <w:autoSpaceDN w:val="0"/>
              <w:adjustRightInd w:val="0"/>
              <w:ind w:left="216" w:hanging="216"/>
              <w:rPr>
                <w:rFonts w:ascii="Calibri" w:hAnsi="Calibri" w:cs="Arial"/>
                <w:sz w:val="14"/>
                <w:szCs w:val="14"/>
              </w:rPr>
            </w:pPr>
            <w:r w:rsidRPr="00106AC6">
              <w:rPr>
                <w:rFonts w:ascii="Calibri" w:hAnsi="Calibri" w:cs="Arial"/>
                <w:sz w:val="14"/>
                <w:szCs w:val="14"/>
              </w:rPr>
              <w:t>38</w:t>
            </w:r>
          </w:p>
        </w:tc>
        <w:tc>
          <w:tcPr>
            <w:tcW w:w="475" w:type="dxa"/>
            <w:tcBorders>
              <w:bottom w:val="single" w:sz="4" w:space="0" w:color="auto"/>
            </w:tcBorders>
            <w:shd w:val="clear" w:color="auto" w:fill="FFFFFF" w:themeFill="background1"/>
            <w:vAlign w:val="bottom"/>
          </w:tcPr>
          <w:p w:rsidR="00371570" w:rsidRPr="001B2B02" w:rsidRDefault="00371570" w:rsidP="000D5235">
            <w:pPr>
              <w:autoSpaceDE w:val="0"/>
              <w:autoSpaceDN w:val="0"/>
              <w:adjustRightInd w:val="0"/>
              <w:ind w:left="216" w:hanging="216"/>
              <w:rPr>
                <w:rFonts w:ascii="Calibri" w:hAnsi="Calibri" w:cs="Arial"/>
                <w:sz w:val="14"/>
                <w:szCs w:val="14"/>
              </w:rPr>
            </w:pPr>
          </w:p>
        </w:tc>
        <w:tc>
          <w:tcPr>
            <w:tcW w:w="475" w:type="dxa"/>
            <w:tcBorders>
              <w:bottom w:val="single" w:sz="4" w:space="0" w:color="auto"/>
            </w:tcBorders>
            <w:shd w:val="clear" w:color="auto" w:fill="FFFFFF" w:themeFill="background1"/>
            <w:vAlign w:val="bottom"/>
          </w:tcPr>
          <w:p w:rsidR="00371570" w:rsidRPr="001B2B02" w:rsidRDefault="00371570" w:rsidP="000D5235">
            <w:pPr>
              <w:autoSpaceDE w:val="0"/>
              <w:autoSpaceDN w:val="0"/>
              <w:adjustRightInd w:val="0"/>
              <w:ind w:left="216" w:hanging="216"/>
              <w:rPr>
                <w:rFonts w:ascii="Calibri" w:hAnsi="Calibri" w:cs="Arial"/>
                <w:sz w:val="14"/>
                <w:szCs w:val="14"/>
              </w:rPr>
            </w:pPr>
          </w:p>
        </w:tc>
        <w:tc>
          <w:tcPr>
            <w:tcW w:w="475" w:type="dxa"/>
            <w:tcBorders>
              <w:bottom w:val="single" w:sz="4" w:space="0" w:color="auto"/>
            </w:tcBorders>
            <w:shd w:val="clear" w:color="auto" w:fill="FFFFFF" w:themeFill="background1"/>
            <w:vAlign w:val="bottom"/>
          </w:tcPr>
          <w:p w:rsidR="00371570" w:rsidRPr="001B2B02" w:rsidRDefault="00371570" w:rsidP="000D5235">
            <w:pPr>
              <w:autoSpaceDE w:val="0"/>
              <w:autoSpaceDN w:val="0"/>
              <w:adjustRightInd w:val="0"/>
              <w:ind w:left="216" w:hanging="216"/>
              <w:rPr>
                <w:rFonts w:ascii="Calibri" w:hAnsi="Calibri" w:cs="Arial"/>
                <w:sz w:val="14"/>
                <w:szCs w:val="14"/>
              </w:rPr>
            </w:pPr>
          </w:p>
        </w:tc>
        <w:tc>
          <w:tcPr>
            <w:tcW w:w="475" w:type="dxa"/>
            <w:tcBorders>
              <w:bottom w:val="single" w:sz="4" w:space="0" w:color="auto"/>
            </w:tcBorders>
            <w:shd w:val="clear" w:color="auto" w:fill="FFFFFF" w:themeFill="background1"/>
            <w:vAlign w:val="bottom"/>
          </w:tcPr>
          <w:p w:rsidR="00371570" w:rsidRPr="001B2B02" w:rsidRDefault="00371570" w:rsidP="000D5235">
            <w:pPr>
              <w:autoSpaceDE w:val="0"/>
              <w:autoSpaceDN w:val="0"/>
              <w:adjustRightInd w:val="0"/>
              <w:ind w:left="216" w:hanging="216"/>
              <w:rPr>
                <w:rFonts w:ascii="Calibri" w:hAnsi="Calibri" w:cs="Arial"/>
                <w:sz w:val="14"/>
                <w:szCs w:val="14"/>
              </w:rPr>
            </w:pPr>
            <w:r>
              <w:rPr>
                <w:rFonts w:ascii="Calibri" w:hAnsi="Calibri" w:cs="Arial"/>
                <w:sz w:val="14"/>
                <w:szCs w:val="14"/>
              </w:rPr>
              <w:t>000</w:t>
            </w:r>
          </w:p>
        </w:tc>
      </w:tr>
      <w:tr w:rsidR="00371570" w:rsidRPr="001B2B02" w:rsidTr="00883BCA">
        <w:trPr>
          <w:trHeight w:hRule="exact" w:val="187"/>
        </w:trPr>
        <w:tc>
          <w:tcPr>
            <w:tcW w:w="8572" w:type="dxa"/>
            <w:tcBorders>
              <w:top w:val="single" w:sz="4" w:space="0" w:color="auto"/>
              <w:bottom w:val="single" w:sz="4" w:space="0" w:color="auto"/>
            </w:tcBorders>
            <w:vAlign w:val="center"/>
          </w:tcPr>
          <w:p w:rsidR="00371570" w:rsidRPr="00106AC6" w:rsidRDefault="00371570" w:rsidP="00CD7DC1">
            <w:pPr>
              <w:pStyle w:val="ListParagraph"/>
              <w:numPr>
                <w:ilvl w:val="0"/>
                <w:numId w:val="12"/>
              </w:numPr>
              <w:ind w:left="216" w:hanging="216"/>
              <w:rPr>
                <w:rFonts w:asciiTheme="minorHAnsi" w:hAnsiTheme="minorHAnsi" w:cs="Arial"/>
                <w:b/>
                <w:bCs/>
                <w:color w:val="4F81BD" w:themeColor="accent1"/>
                <w:sz w:val="14"/>
                <w:szCs w:val="14"/>
              </w:rPr>
            </w:pPr>
            <w:r w:rsidRPr="00106AC6">
              <w:rPr>
                <w:rFonts w:asciiTheme="minorHAnsi" w:hAnsiTheme="minorHAnsi" w:cs="Arial"/>
                <w:sz w:val="14"/>
                <w:szCs w:val="14"/>
              </w:rPr>
              <w:t>Dollar value of increase in Qualified Small Business Lending from baseline (</w:t>
            </w:r>
            <w:r w:rsidRPr="00106AC6">
              <w:rPr>
                <w:rFonts w:eastAsia="Times New Roman"/>
                <w:color w:val="000000"/>
                <w:sz w:val="14"/>
                <w:szCs w:val="14"/>
              </w:rPr>
              <w:t>line 39 equals line 38 minus line 37</w:t>
            </w:r>
            <w:r w:rsidR="00B2124E" w:rsidRPr="00106AC6">
              <w:rPr>
                <w:rFonts w:eastAsia="Times New Roman"/>
                <w:color w:val="000000"/>
                <w:sz w:val="14"/>
                <w:szCs w:val="14"/>
              </w:rPr>
              <w:t>; if negative</w:t>
            </w:r>
            <w:r w:rsidR="00ED2415" w:rsidRPr="00106AC6">
              <w:rPr>
                <w:rFonts w:eastAsia="Times New Roman"/>
                <w:color w:val="000000"/>
                <w:sz w:val="14"/>
                <w:szCs w:val="14"/>
              </w:rPr>
              <w:t>,</w:t>
            </w:r>
            <w:r w:rsidR="00B2124E" w:rsidRPr="00106AC6">
              <w:rPr>
                <w:rFonts w:eastAsia="Times New Roman"/>
                <w:color w:val="000000"/>
                <w:sz w:val="14"/>
                <w:szCs w:val="14"/>
              </w:rPr>
              <w:t xml:space="preserve"> </w:t>
            </w:r>
            <w:r w:rsidR="00CA46D3" w:rsidRPr="00106AC6">
              <w:rPr>
                <w:rFonts w:eastAsia="Times New Roman"/>
                <w:color w:val="000000"/>
                <w:sz w:val="14"/>
                <w:szCs w:val="14"/>
              </w:rPr>
              <w:t>enter 0 on line 39</w:t>
            </w:r>
            <w:r w:rsidR="00CD7DC1" w:rsidRPr="00106AC6">
              <w:rPr>
                <w:rFonts w:eastAsia="Times New Roman"/>
                <w:color w:val="000000"/>
                <w:sz w:val="14"/>
                <w:szCs w:val="14"/>
              </w:rPr>
              <w:t>)</w:t>
            </w:r>
            <w:r w:rsidR="005759B5" w:rsidRPr="00106AC6">
              <w:rPr>
                <w:rFonts w:eastAsia="Times New Roman"/>
                <w:color w:val="000000"/>
                <w:sz w:val="14"/>
                <w:szCs w:val="14"/>
              </w:rPr>
              <w:t xml:space="preserve"> </w:t>
            </w:r>
          </w:p>
        </w:tc>
        <w:tc>
          <w:tcPr>
            <w:tcW w:w="475" w:type="dxa"/>
            <w:tcBorders>
              <w:bottom w:val="single" w:sz="4" w:space="0" w:color="auto"/>
            </w:tcBorders>
            <w:shd w:val="clear" w:color="auto" w:fill="FFFFFF" w:themeFill="background1"/>
            <w:vAlign w:val="bottom"/>
          </w:tcPr>
          <w:p w:rsidR="00371570" w:rsidRPr="00106AC6" w:rsidRDefault="00371570" w:rsidP="00341998">
            <w:pPr>
              <w:autoSpaceDE w:val="0"/>
              <w:autoSpaceDN w:val="0"/>
              <w:adjustRightInd w:val="0"/>
              <w:ind w:left="216" w:hanging="216"/>
              <w:rPr>
                <w:rFonts w:ascii="Calibri" w:hAnsi="Calibri" w:cs="Arial"/>
                <w:sz w:val="14"/>
                <w:szCs w:val="14"/>
              </w:rPr>
            </w:pPr>
            <w:r w:rsidRPr="00106AC6">
              <w:rPr>
                <w:rFonts w:ascii="Calibri" w:hAnsi="Calibri" w:cs="Arial"/>
                <w:sz w:val="14"/>
                <w:szCs w:val="14"/>
              </w:rPr>
              <w:t>39</w:t>
            </w:r>
          </w:p>
        </w:tc>
        <w:tc>
          <w:tcPr>
            <w:tcW w:w="475" w:type="dxa"/>
            <w:tcBorders>
              <w:bottom w:val="single" w:sz="4" w:space="0" w:color="auto"/>
            </w:tcBorders>
            <w:shd w:val="clear" w:color="auto" w:fill="FFFFFF" w:themeFill="background1"/>
            <w:vAlign w:val="bottom"/>
          </w:tcPr>
          <w:p w:rsidR="00371570" w:rsidRPr="001B2B02" w:rsidRDefault="00371570" w:rsidP="000D5235">
            <w:pPr>
              <w:autoSpaceDE w:val="0"/>
              <w:autoSpaceDN w:val="0"/>
              <w:adjustRightInd w:val="0"/>
              <w:ind w:left="216" w:hanging="216"/>
              <w:rPr>
                <w:rFonts w:ascii="Calibri" w:hAnsi="Calibri" w:cs="Arial"/>
                <w:color w:val="C4C4C4"/>
                <w:sz w:val="14"/>
                <w:szCs w:val="14"/>
              </w:rPr>
            </w:pPr>
          </w:p>
        </w:tc>
        <w:tc>
          <w:tcPr>
            <w:tcW w:w="475" w:type="dxa"/>
            <w:tcBorders>
              <w:bottom w:val="single" w:sz="4" w:space="0" w:color="auto"/>
            </w:tcBorders>
            <w:shd w:val="clear" w:color="auto" w:fill="FFFFFF" w:themeFill="background1"/>
            <w:vAlign w:val="bottom"/>
          </w:tcPr>
          <w:p w:rsidR="00371570" w:rsidRPr="001B2B02" w:rsidRDefault="00371570" w:rsidP="000D5235">
            <w:pPr>
              <w:autoSpaceDE w:val="0"/>
              <w:autoSpaceDN w:val="0"/>
              <w:adjustRightInd w:val="0"/>
              <w:ind w:left="216" w:hanging="216"/>
              <w:rPr>
                <w:rFonts w:ascii="Calibri" w:hAnsi="Calibri" w:cs="Arial"/>
                <w:color w:val="C4C4C4"/>
                <w:sz w:val="14"/>
                <w:szCs w:val="14"/>
              </w:rPr>
            </w:pPr>
          </w:p>
        </w:tc>
        <w:tc>
          <w:tcPr>
            <w:tcW w:w="475" w:type="dxa"/>
            <w:tcBorders>
              <w:bottom w:val="single" w:sz="4" w:space="0" w:color="auto"/>
            </w:tcBorders>
            <w:shd w:val="clear" w:color="auto" w:fill="FFFFFF" w:themeFill="background1"/>
            <w:vAlign w:val="bottom"/>
          </w:tcPr>
          <w:p w:rsidR="00371570" w:rsidRPr="001B2B02" w:rsidRDefault="00371570" w:rsidP="000D5235">
            <w:pPr>
              <w:autoSpaceDE w:val="0"/>
              <w:autoSpaceDN w:val="0"/>
              <w:adjustRightInd w:val="0"/>
              <w:ind w:left="216" w:hanging="216"/>
              <w:rPr>
                <w:rFonts w:ascii="Calibri" w:hAnsi="Calibri" w:cs="Arial"/>
                <w:color w:val="C4C4C4"/>
                <w:sz w:val="14"/>
                <w:szCs w:val="14"/>
              </w:rPr>
            </w:pPr>
          </w:p>
        </w:tc>
        <w:tc>
          <w:tcPr>
            <w:tcW w:w="475" w:type="dxa"/>
            <w:tcBorders>
              <w:bottom w:val="single" w:sz="4" w:space="0" w:color="auto"/>
            </w:tcBorders>
            <w:shd w:val="clear" w:color="auto" w:fill="FFFFFF" w:themeFill="background1"/>
            <w:vAlign w:val="bottom"/>
          </w:tcPr>
          <w:p w:rsidR="00371570" w:rsidRPr="00AF5FEC" w:rsidRDefault="00371570" w:rsidP="000D5235">
            <w:pPr>
              <w:autoSpaceDE w:val="0"/>
              <w:autoSpaceDN w:val="0"/>
              <w:adjustRightInd w:val="0"/>
              <w:ind w:left="216" w:hanging="216"/>
              <w:rPr>
                <w:rFonts w:ascii="Calibri" w:hAnsi="Calibri" w:cs="Arial"/>
                <w:color w:val="000000" w:themeColor="text1"/>
                <w:sz w:val="14"/>
                <w:szCs w:val="14"/>
              </w:rPr>
            </w:pPr>
            <w:r w:rsidRPr="00AF5FEC">
              <w:rPr>
                <w:rFonts w:ascii="Calibri" w:hAnsi="Calibri" w:cs="Arial"/>
                <w:color w:val="000000" w:themeColor="text1"/>
                <w:sz w:val="14"/>
                <w:szCs w:val="14"/>
              </w:rPr>
              <w:t>000</w:t>
            </w:r>
          </w:p>
        </w:tc>
      </w:tr>
      <w:tr w:rsidR="00371570" w:rsidRPr="001B2B02" w:rsidTr="00341998">
        <w:trPr>
          <w:trHeight w:hRule="exact" w:val="187"/>
        </w:trPr>
        <w:tc>
          <w:tcPr>
            <w:tcW w:w="10947" w:type="dxa"/>
            <w:gridSpan w:val="6"/>
            <w:tcBorders>
              <w:top w:val="single" w:sz="4" w:space="0" w:color="auto"/>
              <w:left w:val="nil"/>
              <w:bottom w:val="single" w:sz="4" w:space="0" w:color="auto"/>
              <w:right w:val="nil"/>
            </w:tcBorders>
            <w:vAlign w:val="center"/>
          </w:tcPr>
          <w:p w:rsidR="00371570" w:rsidRPr="00106AC6" w:rsidRDefault="00371570" w:rsidP="00341998">
            <w:pPr>
              <w:autoSpaceDE w:val="0"/>
              <w:autoSpaceDN w:val="0"/>
              <w:adjustRightInd w:val="0"/>
              <w:ind w:left="270" w:hanging="270"/>
              <w:rPr>
                <w:rFonts w:ascii="Calibri" w:hAnsi="Calibri" w:cs="Arial"/>
                <w:color w:val="C4C4C4"/>
                <w:sz w:val="14"/>
                <w:szCs w:val="14"/>
              </w:rPr>
            </w:pPr>
          </w:p>
        </w:tc>
      </w:tr>
      <w:tr w:rsidR="00371570" w:rsidRPr="001B2B02" w:rsidTr="00781790">
        <w:trPr>
          <w:trHeight w:hRule="exact" w:val="374"/>
        </w:trPr>
        <w:tc>
          <w:tcPr>
            <w:tcW w:w="8572" w:type="dxa"/>
            <w:tcBorders>
              <w:top w:val="single" w:sz="4" w:space="0" w:color="auto"/>
            </w:tcBorders>
            <w:vAlign w:val="center"/>
          </w:tcPr>
          <w:p w:rsidR="00371570" w:rsidRPr="00781790" w:rsidRDefault="00371570" w:rsidP="00CB3A09">
            <w:pPr>
              <w:pStyle w:val="ListParagraph"/>
              <w:numPr>
                <w:ilvl w:val="0"/>
                <w:numId w:val="12"/>
              </w:numPr>
              <w:ind w:left="216" w:hanging="216"/>
              <w:rPr>
                <w:rFonts w:asciiTheme="minorHAnsi" w:hAnsiTheme="minorHAnsi" w:cs="Arial"/>
                <w:sz w:val="14"/>
                <w:szCs w:val="14"/>
              </w:rPr>
            </w:pPr>
            <w:r w:rsidRPr="00106AC6">
              <w:rPr>
                <w:rFonts w:asciiTheme="minorHAnsi" w:hAnsiTheme="minorHAnsi" w:cs="Arial"/>
                <w:sz w:val="14"/>
                <w:szCs w:val="14"/>
              </w:rPr>
              <w:t>Percent increase in Qualified Small Business Lending (</w:t>
            </w:r>
            <w:r w:rsidRPr="00106AC6">
              <w:rPr>
                <w:rFonts w:eastAsia="Times New Roman"/>
                <w:color w:val="000000"/>
                <w:sz w:val="14"/>
                <w:szCs w:val="14"/>
              </w:rPr>
              <w:t>line 40 equals line 39 divided by line 37</w:t>
            </w:r>
            <w:r w:rsidR="00827C3F" w:rsidRPr="00106AC6">
              <w:rPr>
                <w:rFonts w:eastAsia="Times New Roman"/>
                <w:color w:val="000000"/>
                <w:sz w:val="14"/>
                <w:szCs w:val="14"/>
              </w:rPr>
              <w:t xml:space="preserve">; must </w:t>
            </w:r>
            <w:r w:rsidR="0065108F">
              <w:rPr>
                <w:rFonts w:eastAsia="Times New Roman"/>
                <w:color w:val="000000"/>
                <w:sz w:val="14"/>
                <w:szCs w:val="14"/>
              </w:rPr>
              <w:t>be calculated to</w:t>
            </w:r>
            <w:r w:rsidR="00827C3F" w:rsidRPr="00106AC6">
              <w:rPr>
                <w:rFonts w:eastAsia="Times New Roman"/>
                <w:color w:val="000000"/>
                <w:sz w:val="14"/>
                <w:szCs w:val="14"/>
              </w:rPr>
              <w:t xml:space="preserve"> two decimal points</w:t>
            </w:r>
            <w:r w:rsidR="00781790">
              <w:rPr>
                <w:rFonts w:eastAsia="Times New Roman"/>
                <w:color w:val="000000"/>
                <w:sz w:val="14"/>
                <w:szCs w:val="14"/>
              </w:rPr>
              <w:t>; if line 39 is 0,</w:t>
            </w:r>
            <w:r w:rsidR="00CB3A09">
              <w:rPr>
                <w:rFonts w:eastAsia="Times New Roman"/>
                <w:color w:val="000000"/>
                <w:sz w:val="14"/>
                <w:szCs w:val="14"/>
              </w:rPr>
              <w:t xml:space="preserve"> </w:t>
            </w:r>
            <w:r w:rsidR="00781790">
              <w:rPr>
                <w:rFonts w:eastAsia="Times New Roman"/>
                <w:color w:val="000000"/>
                <w:sz w:val="14"/>
                <w:szCs w:val="14"/>
              </w:rPr>
              <w:t>enter 0 on line 40</w:t>
            </w:r>
            <w:r w:rsidRPr="00781790">
              <w:rPr>
                <w:rFonts w:asciiTheme="minorHAnsi" w:hAnsiTheme="minorHAnsi" w:cs="Arial"/>
                <w:sz w:val="14"/>
                <w:szCs w:val="14"/>
              </w:rPr>
              <w:t>)</w:t>
            </w:r>
          </w:p>
        </w:tc>
        <w:tc>
          <w:tcPr>
            <w:tcW w:w="475" w:type="dxa"/>
            <w:tcBorders>
              <w:top w:val="single" w:sz="4" w:space="0" w:color="auto"/>
            </w:tcBorders>
            <w:shd w:val="clear" w:color="auto" w:fill="FFFFFF" w:themeFill="background1"/>
            <w:vAlign w:val="bottom"/>
          </w:tcPr>
          <w:p w:rsidR="00371570" w:rsidRPr="00106AC6" w:rsidRDefault="00371570" w:rsidP="00341998">
            <w:pPr>
              <w:autoSpaceDE w:val="0"/>
              <w:autoSpaceDN w:val="0"/>
              <w:adjustRightInd w:val="0"/>
              <w:ind w:left="216" w:hanging="216"/>
              <w:rPr>
                <w:rFonts w:ascii="Calibri" w:hAnsi="Calibri" w:cs="Arial"/>
                <w:sz w:val="14"/>
                <w:szCs w:val="14"/>
              </w:rPr>
            </w:pPr>
            <w:r w:rsidRPr="00106AC6">
              <w:rPr>
                <w:rFonts w:ascii="Calibri" w:hAnsi="Calibri" w:cs="Arial"/>
                <w:sz w:val="14"/>
                <w:szCs w:val="14"/>
              </w:rPr>
              <w:t>40</w:t>
            </w:r>
          </w:p>
        </w:tc>
        <w:tc>
          <w:tcPr>
            <w:tcW w:w="1425" w:type="dxa"/>
            <w:gridSpan w:val="3"/>
            <w:tcBorders>
              <w:top w:val="single" w:sz="4" w:space="0" w:color="auto"/>
            </w:tcBorders>
            <w:shd w:val="clear" w:color="auto" w:fill="FFFFFF" w:themeFill="background1"/>
            <w:vAlign w:val="bottom"/>
          </w:tcPr>
          <w:p w:rsidR="00371570" w:rsidRPr="002643C2" w:rsidRDefault="00371570" w:rsidP="000D5235">
            <w:pPr>
              <w:autoSpaceDE w:val="0"/>
              <w:autoSpaceDN w:val="0"/>
              <w:adjustRightInd w:val="0"/>
              <w:ind w:left="216" w:hanging="216"/>
              <w:rPr>
                <w:rFonts w:ascii="Calibri" w:hAnsi="Calibri" w:cs="Arial"/>
                <w:sz w:val="14"/>
                <w:szCs w:val="14"/>
              </w:rPr>
            </w:pPr>
          </w:p>
        </w:tc>
        <w:tc>
          <w:tcPr>
            <w:tcW w:w="475" w:type="dxa"/>
            <w:tcBorders>
              <w:top w:val="single" w:sz="4" w:space="0" w:color="auto"/>
            </w:tcBorders>
            <w:shd w:val="clear" w:color="auto" w:fill="FFFFFF" w:themeFill="background1"/>
            <w:vAlign w:val="bottom"/>
          </w:tcPr>
          <w:p w:rsidR="00371570" w:rsidRPr="002643C2" w:rsidRDefault="00371570" w:rsidP="000D5235">
            <w:pPr>
              <w:autoSpaceDE w:val="0"/>
              <w:autoSpaceDN w:val="0"/>
              <w:adjustRightInd w:val="0"/>
              <w:ind w:left="216" w:hanging="216"/>
              <w:rPr>
                <w:rFonts w:ascii="Calibri" w:hAnsi="Calibri" w:cs="Arial"/>
                <w:sz w:val="14"/>
                <w:szCs w:val="14"/>
              </w:rPr>
            </w:pPr>
            <w:r>
              <w:rPr>
                <w:rFonts w:ascii="Calibri" w:hAnsi="Calibri" w:cs="Arial"/>
                <w:sz w:val="14"/>
                <w:szCs w:val="14"/>
              </w:rPr>
              <w:t>%</w:t>
            </w:r>
          </w:p>
        </w:tc>
      </w:tr>
    </w:tbl>
    <w:p w:rsidR="00B25109" w:rsidRPr="00F3146F" w:rsidRDefault="00B25109" w:rsidP="00933ADD">
      <w:pPr>
        <w:autoSpaceDE w:val="0"/>
        <w:autoSpaceDN w:val="0"/>
        <w:adjustRightInd w:val="0"/>
        <w:spacing w:before="40" w:after="40" w:line="240" w:lineRule="auto"/>
        <w:rPr>
          <w:rFonts w:ascii="Calibri" w:hAnsi="Calibri" w:cs="Arial"/>
          <w:sz w:val="16"/>
          <w:szCs w:val="16"/>
        </w:rPr>
      </w:pPr>
    </w:p>
    <w:p w:rsidR="005B4B78" w:rsidRDefault="005B4B78" w:rsidP="006C4C48">
      <w:pPr>
        <w:autoSpaceDE w:val="0"/>
        <w:autoSpaceDN w:val="0"/>
        <w:adjustRightInd w:val="0"/>
        <w:spacing w:after="0" w:line="240" w:lineRule="auto"/>
        <w:rPr>
          <w:rFonts w:ascii="Calibri" w:hAnsi="Calibri" w:cs="Arial"/>
          <w:b/>
          <w:sz w:val="28"/>
          <w:szCs w:val="28"/>
        </w:rPr>
      </w:pPr>
    </w:p>
    <w:p w:rsidR="00B25109" w:rsidRPr="00B43578" w:rsidRDefault="00B25109" w:rsidP="006C4C48">
      <w:pPr>
        <w:autoSpaceDE w:val="0"/>
        <w:autoSpaceDN w:val="0"/>
        <w:adjustRightInd w:val="0"/>
        <w:spacing w:after="0" w:line="240" w:lineRule="auto"/>
        <w:rPr>
          <w:rFonts w:ascii="Calibri" w:hAnsi="Calibri" w:cs="Arial"/>
          <w:b/>
          <w:sz w:val="28"/>
          <w:szCs w:val="28"/>
        </w:rPr>
      </w:pPr>
      <w:r w:rsidRPr="00400F1A">
        <w:rPr>
          <w:rFonts w:ascii="Calibri" w:hAnsi="Calibri" w:cs="Arial"/>
          <w:b/>
          <w:sz w:val="28"/>
          <w:szCs w:val="28"/>
        </w:rPr>
        <w:t xml:space="preserve">Dividend </w:t>
      </w:r>
      <w:r w:rsidR="005546CC">
        <w:rPr>
          <w:rFonts w:ascii="Calibri" w:hAnsi="Calibri" w:cs="Arial"/>
          <w:b/>
          <w:sz w:val="28"/>
          <w:szCs w:val="28"/>
        </w:rPr>
        <w:t xml:space="preserve">or Interest </w:t>
      </w:r>
      <w:r w:rsidRPr="00400F1A">
        <w:rPr>
          <w:rFonts w:ascii="Calibri" w:hAnsi="Calibri" w:cs="Arial"/>
          <w:b/>
          <w:sz w:val="28"/>
          <w:szCs w:val="28"/>
        </w:rPr>
        <w:t>Rates</w:t>
      </w:r>
    </w:p>
    <w:p w:rsidR="00115184" w:rsidRPr="00062A96" w:rsidRDefault="00115184" w:rsidP="006C4C48">
      <w:pPr>
        <w:spacing w:after="0" w:line="240" w:lineRule="auto"/>
        <w:rPr>
          <w:sz w:val="20"/>
          <w:szCs w:val="20"/>
        </w:rPr>
      </w:pPr>
      <w:r w:rsidRPr="00062A96">
        <w:rPr>
          <w:sz w:val="20"/>
          <w:szCs w:val="20"/>
        </w:rPr>
        <w:t>For the 10</w:t>
      </w:r>
      <w:r w:rsidRPr="00062A96">
        <w:rPr>
          <w:sz w:val="20"/>
          <w:szCs w:val="20"/>
          <w:vertAlign w:val="superscript"/>
        </w:rPr>
        <w:t>th</w:t>
      </w:r>
      <w:r w:rsidRPr="00062A96">
        <w:rPr>
          <w:sz w:val="20"/>
          <w:szCs w:val="20"/>
        </w:rPr>
        <w:t xml:space="preserve"> quarter following the quarter in which </w:t>
      </w:r>
      <w:r w:rsidR="00313753" w:rsidRPr="00062A96">
        <w:rPr>
          <w:sz w:val="20"/>
          <w:szCs w:val="20"/>
        </w:rPr>
        <w:t xml:space="preserve">funding </w:t>
      </w:r>
      <w:r w:rsidR="003C7000" w:rsidRPr="00062A96">
        <w:rPr>
          <w:sz w:val="20"/>
          <w:szCs w:val="20"/>
        </w:rPr>
        <w:t>occurred</w:t>
      </w:r>
      <w:r w:rsidRPr="00062A96">
        <w:rPr>
          <w:sz w:val="20"/>
          <w:szCs w:val="20"/>
        </w:rPr>
        <w:t xml:space="preserve">, if </w:t>
      </w:r>
      <w:r w:rsidR="00541768" w:rsidRPr="00062A96">
        <w:rPr>
          <w:sz w:val="20"/>
          <w:szCs w:val="20"/>
        </w:rPr>
        <w:t>line</w:t>
      </w:r>
      <w:r w:rsidR="003A66F6" w:rsidRPr="00062A96">
        <w:rPr>
          <w:sz w:val="20"/>
          <w:szCs w:val="20"/>
        </w:rPr>
        <w:t xml:space="preserve"> </w:t>
      </w:r>
      <w:r w:rsidR="00C566C7" w:rsidRPr="00062A96">
        <w:rPr>
          <w:sz w:val="20"/>
          <w:szCs w:val="20"/>
        </w:rPr>
        <w:t>40</w:t>
      </w:r>
      <w:r w:rsidR="003A66F6" w:rsidRPr="00062A96">
        <w:rPr>
          <w:sz w:val="20"/>
          <w:szCs w:val="20"/>
        </w:rPr>
        <w:t xml:space="preserve"> is greater than zero</w:t>
      </w:r>
      <w:r w:rsidRPr="00062A96">
        <w:rPr>
          <w:sz w:val="20"/>
          <w:szCs w:val="20"/>
        </w:rPr>
        <w:t>, th</w:t>
      </w:r>
      <w:r w:rsidR="000635EB" w:rsidRPr="00062A96">
        <w:rPr>
          <w:sz w:val="20"/>
          <w:szCs w:val="20"/>
        </w:rPr>
        <w:t>e</w:t>
      </w:r>
      <w:r w:rsidRPr="00062A96">
        <w:rPr>
          <w:sz w:val="20"/>
          <w:szCs w:val="20"/>
        </w:rPr>
        <w:t xml:space="preserve"> rate </w:t>
      </w:r>
      <w:r w:rsidR="003A66F6" w:rsidRPr="00062A96">
        <w:rPr>
          <w:sz w:val="20"/>
          <w:szCs w:val="20"/>
        </w:rPr>
        <w:t xml:space="preserve">calculated in </w:t>
      </w:r>
      <w:r w:rsidR="00541768" w:rsidRPr="00062A96">
        <w:rPr>
          <w:sz w:val="20"/>
          <w:szCs w:val="20"/>
        </w:rPr>
        <w:t>line</w:t>
      </w:r>
      <w:r w:rsidR="003A66F6" w:rsidRPr="00062A96">
        <w:rPr>
          <w:sz w:val="20"/>
          <w:szCs w:val="20"/>
        </w:rPr>
        <w:t xml:space="preserve"> </w:t>
      </w:r>
      <w:r w:rsidR="00C566C7" w:rsidRPr="00062A96">
        <w:rPr>
          <w:sz w:val="20"/>
          <w:szCs w:val="20"/>
        </w:rPr>
        <w:t>45</w:t>
      </w:r>
      <w:r w:rsidR="003A66F6" w:rsidRPr="00062A96">
        <w:rPr>
          <w:sz w:val="20"/>
          <w:szCs w:val="20"/>
        </w:rPr>
        <w:t xml:space="preserve"> </w:t>
      </w:r>
      <w:r w:rsidRPr="00062A96">
        <w:rPr>
          <w:sz w:val="20"/>
          <w:szCs w:val="20"/>
        </w:rPr>
        <w:t xml:space="preserve">applies until four-and-one-half years following </w:t>
      </w:r>
      <w:r w:rsidR="00313753" w:rsidRPr="00062A96">
        <w:rPr>
          <w:sz w:val="20"/>
          <w:szCs w:val="20"/>
        </w:rPr>
        <w:t>funding</w:t>
      </w:r>
      <w:r w:rsidRPr="00062A96">
        <w:rPr>
          <w:sz w:val="20"/>
          <w:szCs w:val="20"/>
        </w:rPr>
        <w:t>.  Otherwise, a Dividend Rate of 7%</w:t>
      </w:r>
      <w:r w:rsidR="0096304B" w:rsidRPr="00062A96">
        <w:rPr>
          <w:sz w:val="20"/>
          <w:szCs w:val="20"/>
        </w:rPr>
        <w:t xml:space="preserve"> (</w:t>
      </w:r>
      <w:r w:rsidR="00C37E45" w:rsidRPr="00062A96">
        <w:rPr>
          <w:sz w:val="20"/>
          <w:szCs w:val="20"/>
        </w:rPr>
        <w:t xml:space="preserve">C-Corps) or Interest Rate of 10.8% </w:t>
      </w:r>
      <w:r w:rsidR="00062A96">
        <w:rPr>
          <w:sz w:val="20"/>
          <w:szCs w:val="20"/>
        </w:rPr>
        <w:br/>
      </w:r>
      <w:r w:rsidR="00C37E45" w:rsidRPr="00062A96">
        <w:rPr>
          <w:sz w:val="20"/>
          <w:szCs w:val="20"/>
        </w:rPr>
        <w:t>(S-Corps</w:t>
      </w:r>
      <w:r w:rsidR="00973B0E" w:rsidRPr="00062A96">
        <w:rPr>
          <w:sz w:val="20"/>
          <w:szCs w:val="20"/>
        </w:rPr>
        <w:t xml:space="preserve"> and Mutuals</w:t>
      </w:r>
      <w:r w:rsidR="00C37E45" w:rsidRPr="00062A96">
        <w:rPr>
          <w:sz w:val="20"/>
          <w:szCs w:val="20"/>
        </w:rPr>
        <w:t xml:space="preserve">) </w:t>
      </w:r>
      <w:r w:rsidRPr="00062A96">
        <w:rPr>
          <w:sz w:val="20"/>
          <w:szCs w:val="20"/>
        </w:rPr>
        <w:t xml:space="preserve">applies.  </w:t>
      </w:r>
    </w:p>
    <w:p w:rsidR="0065027D" w:rsidRDefault="0065027D" w:rsidP="006C4C48">
      <w:pPr>
        <w:spacing w:after="0" w:line="240" w:lineRule="auto"/>
        <w:rPr>
          <w:rFonts w:ascii="Calibri" w:hAnsi="Calibri" w:cs="Arial"/>
          <w:b/>
          <w:sz w:val="18"/>
          <w:szCs w:val="18"/>
        </w:rPr>
      </w:pPr>
    </w:p>
    <w:tbl>
      <w:tblPr>
        <w:tblStyle w:val="TableGrid"/>
        <w:tblW w:w="10935" w:type="dxa"/>
        <w:tblLayout w:type="fixed"/>
        <w:tblCellMar>
          <w:left w:w="43" w:type="dxa"/>
          <w:right w:w="43" w:type="dxa"/>
        </w:tblCellMar>
        <w:tblLook w:val="04A0" w:firstRow="1" w:lastRow="0" w:firstColumn="1" w:lastColumn="0" w:noHBand="0" w:noVBand="1"/>
      </w:tblPr>
      <w:tblGrid>
        <w:gridCol w:w="8560"/>
        <w:gridCol w:w="475"/>
        <w:gridCol w:w="475"/>
        <w:gridCol w:w="475"/>
        <w:gridCol w:w="475"/>
        <w:gridCol w:w="475"/>
      </w:tblGrid>
      <w:tr w:rsidR="00371570" w:rsidRPr="001B2B02" w:rsidTr="000D5235">
        <w:trPr>
          <w:trHeight w:hRule="exact" w:val="187"/>
        </w:trPr>
        <w:tc>
          <w:tcPr>
            <w:tcW w:w="8560" w:type="dxa"/>
            <w:tcBorders>
              <w:top w:val="nil"/>
              <w:left w:val="nil"/>
              <w:right w:val="single" w:sz="4" w:space="0" w:color="auto"/>
            </w:tcBorders>
            <w:vAlign w:val="center"/>
          </w:tcPr>
          <w:p w:rsidR="00371570" w:rsidRDefault="00371570" w:rsidP="00341998">
            <w:pPr>
              <w:pStyle w:val="ListParagraph"/>
              <w:ind w:left="216"/>
              <w:rPr>
                <w:rFonts w:asciiTheme="minorHAnsi" w:hAnsiTheme="minorHAnsi" w:cs="Arial"/>
                <w:sz w:val="14"/>
                <w:szCs w:val="14"/>
              </w:rPr>
            </w:pPr>
          </w:p>
        </w:tc>
        <w:tc>
          <w:tcPr>
            <w:tcW w:w="475" w:type="dxa"/>
            <w:tcBorders>
              <w:top w:val="single" w:sz="4" w:space="0" w:color="auto"/>
              <w:left w:val="single" w:sz="4" w:space="0" w:color="auto"/>
            </w:tcBorders>
            <w:vAlign w:val="bottom"/>
          </w:tcPr>
          <w:p w:rsidR="00371570" w:rsidRPr="001B2B02" w:rsidRDefault="00371570" w:rsidP="00341998">
            <w:pPr>
              <w:autoSpaceDE w:val="0"/>
              <w:autoSpaceDN w:val="0"/>
              <w:adjustRightInd w:val="0"/>
              <w:ind w:left="216" w:hanging="216"/>
              <w:rPr>
                <w:rFonts w:ascii="Calibri" w:hAnsi="Calibri" w:cs="Arial"/>
                <w:sz w:val="14"/>
                <w:szCs w:val="14"/>
              </w:rPr>
            </w:pPr>
          </w:p>
        </w:tc>
        <w:tc>
          <w:tcPr>
            <w:tcW w:w="475" w:type="dxa"/>
            <w:vAlign w:val="bottom"/>
          </w:tcPr>
          <w:p w:rsidR="00371570" w:rsidRPr="001B2B02" w:rsidRDefault="00371570" w:rsidP="000D5235">
            <w:pPr>
              <w:autoSpaceDE w:val="0"/>
              <w:autoSpaceDN w:val="0"/>
              <w:adjustRightInd w:val="0"/>
              <w:ind w:left="216" w:hanging="216"/>
              <w:rPr>
                <w:rFonts w:ascii="Calibri" w:hAnsi="Calibri" w:cs="Arial"/>
                <w:sz w:val="14"/>
                <w:szCs w:val="14"/>
              </w:rPr>
            </w:pPr>
            <w:proofErr w:type="spellStart"/>
            <w:r>
              <w:rPr>
                <w:rFonts w:ascii="Calibri" w:hAnsi="Calibri" w:cs="Arial"/>
                <w:sz w:val="14"/>
                <w:szCs w:val="14"/>
              </w:rPr>
              <w:t>Bil</w:t>
            </w:r>
            <w:proofErr w:type="spellEnd"/>
          </w:p>
        </w:tc>
        <w:tc>
          <w:tcPr>
            <w:tcW w:w="475" w:type="dxa"/>
            <w:vAlign w:val="bottom"/>
          </w:tcPr>
          <w:p w:rsidR="00371570" w:rsidRPr="001B2B02" w:rsidRDefault="00371570" w:rsidP="000D5235">
            <w:pPr>
              <w:autoSpaceDE w:val="0"/>
              <w:autoSpaceDN w:val="0"/>
              <w:adjustRightInd w:val="0"/>
              <w:ind w:left="216" w:hanging="216"/>
              <w:rPr>
                <w:rFonts w:ascii="Calibri" w:hAnsi="Calibri" w:cs="Arial"/>
                <w:sz w:val="14"/>
                <w:szCs w:val="14"/>
              </w:rPr>
            </w:pPr>
            <w:r>
              <w:rPr>
                <w:rFonts w:ascii="Calibri" w:hAnsi="Calibri" w:cs="Arial"/>
                <w:sz w:val="14"/>
                <w:szCs w:val="14"/>
              </w:rPr>
              <w:t>Mil</w:t>
            </w:r>
          </w:p>
        </w:tc>
        <w:tc>
          <w:tcPr>
            <w:tcW w:w="475" w:type="dxa"/>
            <w:vAlign w:val="bottom"/>
          </w:tcPr>
          <w:p w:rsidR="00371570" w:rsidRPr="001B2B02" w:rsidRDefault="00371570" w:rsidP="000D5235">
            <w:pPr>
              <w:autoSpaceDE w:val="0"/>
              <w:autoSpaceDN w:val="0"/>
              <w:adjustRightInd w:val="0"/>
              <w:rPr>
                <w:rFonts w:ascii="Calibri" w:hAnsi="Calibri" w:cs="Arial"/>
                <w:sz w:val="14"/>
                <w:szCs w:val="14"/>
              </w:rPr>
            </w:pPr>
            <w:r>
              <w:rPr>
                <w:rFonts w:ascii="Calibri" w:hAnsi="Calibri" w:cs="Arial"/>
                <w:sz w:val="14"/>
                <w:szCs w:val="14"/>
              </w:rPr>
              <w:t>Thou</w:t>
            </w:r>
          </w:p>
        </w:tc>
        <w:tc>
          <w:tcPr>
            <w:tcW w:w="475" w:type="dxa"/>
            <w:vAlign w:val="bottom"/>
          </w:tcPr>
          <w:p w:rsidR="00371570" w:rsidRDefault="00371570" w:rsidP="000D5235">
            <w:pPr>
              <w:autoSpaceDE w:val="0"/>
              <w:autoSpaceDN w:val="0"/>
              <w:adjustRightInd w:val="0"/>
              <w:ind w:left="216" w:hanging="216"/>
              <w:rPr>
                <w:rFonts w:ascii="Calibri" w:hAnsi="Calibri" w:cs="Arial"/>
                <w:sz w:val="14"/>
                <w:szCs w:val="14"/>
              </w:rPr>
            </w:pPr>
            <w:proofErr w:type="spellStart"/>
            <w:r>
              <w:rPr>
                <w:rFonts w:ascii="Calibri" w:hAnsi="Calibri" w:cs="Arial"/>
                <w:sz w:val="14"/>
                <w:szCs w:val="14"/>
              </w:rPr>
              <w:t>Hund</w:t>
            </w:r>
            <w:proofErr w:type="spellEnd"/>
          </w:p>
        </w:tc>
      </w:tr>
      <w:tr w:rsidR="002A3F56" w:rsidRPr="001B2B02" w:rsidTr="00E150F3">
        <w:trPr>
          <w:trHeight w:hRule="exact" w:val="739"/>
        </w:trPr>
        <w:tc>
          <w:tcPr>
            <w:tcW w:w="8560" w:type="dxa"/>
            <w:vAlign w:val="center"/>
          </w:tcPr>
          <w:p w:rsidR="00650E07" w:rsidRDefault="002A3F56" w:rsidP="00650E07">
            <w:pPr>
              <w:pStyle w:val="ListParagraph"/>
              <w:numPr>
                <w:ilvl w:val="0"/>
                <w:numId w:val="12"/>
              </w:numPr>
              <w:ind w:left="216" w:hanging="216"/>
              <w:rPr>
                <w:rFonts w:asciiTheme="minorHAnsi" w:hAnsiTheme="minorHAnsi" w:cs="Arial"/>
                <w:sz w:val="14"/>
                <w:szCs w:val="14"/>
              </w:rPr>
            </w:pPr>
            <w:r w:rsidRPr="00867F27">
              <w:rPr>
                <w:rFonts w:eastAsia="Times New Roman"/>
                <w:color w:val="000000"/>
                <w:sz w:val="14"/>
                <w:szCs w:val="14"/>
              </w:rPr>
              <w:t xml:space="preserve">If line </w:t>
            </w:r>
            <w:r>
              <w:rPr>
                <w:rFonts w:eastAsia="Times New Roman"/>
                <w:color w:val="000000"/>
                <w:sz w:val="14"/>
                <w:szCs w:val="14"/>
              </w:rPr>
              <w:t>36</w:t>
            </w:r>
            <w:r w:rsidRPr="00867F27">
              <w:rPr>
                <w:rFonts w:eastAsia="Times New Roman"/>
                <w:color w:val="000000"/>
                <w:sz w:val="14"/>
                <w:szCs w:val="14"/>
              </w:rPr>
              <w:t xml:space="preserve"> is greater than line </w:t>
            </w:r>
            <w:r>
              <w:rPr>
                <w:rFonts w:eastAsia="Times New Roman"/>
                <w:color w:val="000000"/>
                <w:sz w:val="14"/>
                <w:szCs w:val="14"/>
              </w:rPr>
              <w:t>39</w:t>
            </w:r>
            <w:r w:rsidR="005E70AA">
              <w:rPr>
                <w:rFonts w:eastAsia="Times New Roman"/>
                <w:color w:val="000000"/>
                <w:sz w:val="14"/>
                <w:szCs w:val="14"/>
              </w:rPr>
              <w:t xml:space="preserve"> (i.e. the increase in lending is less than the current existing SBLF balance)</w:t>
            </w:r>
            <w:r w:rsidRPr="00867F27">
              <w:rPr>
                <w:rFonts w:eastAsia="Times New Roman"/>
                <w:color w:val="000000"/>
                <w:sz w:val="14"/>
                <w:szCs w:val="14"/>
              </w:rPr>
              <w:t xml:space="preserve">, enter the amount from line </w:t>
            </w:r>
            <w:r>
              <w:rPr>
                <w:rFonts w:eastAsia="Times New Roman"/>
                <w:color w:val="000000"/>
                <w:sz w:val="14"/>
                <w:szCs w:val="14"/>
              </w:rPr>
              <w:t xml:space="preserve">39; </w:t>
            </w:r>
            <w:r w:rsidR="005E70AA">
              <w:rPr>
                <w:rFonts w:eastAsia="Times New Roman"/>
                <w:color w:val="000000"/>
                <w:sz w:val="14"/>
                <w:szCs w:val="14"/>
              </w:rPr>
              <w:br/>
            </w:r>
            <w:r>
              <w:rPr>
                <w:rFonts w:eastAsia="Times New Roman"/>
                <w:color w:val="000000"/>
                <w:sz w:val="14"/>
                <w:szCs w:val="14"/>
              </w:rPr>
              <w:t>i</w:t>
            </w:r>
            <w:r w:rsidRPr="00867F27">
              <w:rPr>
                <w:rFonts w:eastAsia="Times New Roman"/>
                <w:color w:val="000000"/>
                <w:sz w:val="14"/>
                <w:szCs w:val="14"/>
              </w:rPr>
              <w:t xml:space="preserve">f line </w:t>
            </w:r>
            <w:r>
              <w:rPr>
                <w:rFonts w:eastAsia="Times New Roman"/>
                <w:color w:val="000000"/>
                <w:sz w:val="14"/>
                <w:szCs w:val="14"/>
              </w:rPr>
              <w:t>39</w:t>
            </w:r>
            <w:r w:rsidRPr="00867F27">
              <w:rPr>
                <w:rFonts w:eastAsia="Times New Roman"/>
                <w:color w:val="000000"/>
                <w:sz w:val="14"/>
                <w:szCs w:val="14"/>
              </w:rPr>
              <w:t xml:space="preserve"> is greater</w:t>
            </w:r>
            <w:r w:rsidR="005E70AA">
              <w:rPr>
                <w:rFonts w:eastAsia="Times New Roman"/>
                <w:color w:val="000000"/>
                <w:sz w:val="14"/>
                <w:szCs w:val="14"/>
              </w:rPr>
              <w:t xml:space="preserve"> (i.e. </w:t>
            </w:r>
            <w:r w:rsidR="00825ADD">
              <w:rPr>
                <w:rFonts w:eastAsia="Times New Roman"/>
                <w:color w:val="000000"/>
                <w:sz w:val="14"/>
                <w:szCs w:val="14"/>
              </w:rPr>
              <w:t xml:space="preserve">the </w:t>
            </w:r>
            <w:r w:rsidR="005E70AA">
              <w:rPr>
                <w:rFonts w:eastAsia="Times New Roman"/>
                <w:color w:val="000000"/>
                <w:sz w:val="14"/>
                <w:szCs w:val="14"/>
              </w:rPr>
              <w:t>increase in lending is greater than existing SBLF balance)</w:t>
            </w:r>
            <w:r w:rsidRPr="00867F27">
              <w:rPr>
                <w:rFonts w:eastAsia="Times New Roman"/>
                <w:color w:val="000000"/>
                <w:sz w:val="14"/>
                <w:szCs w:val="14"/>
              </w:rPr>
              <w:t xml:space="preserve">, </w:t>
            </w:r>
            <w:proofErr w:type="gramStart"/>
            <w:r w:rsidRPr="00867F27">
              <w:rPr>
                <w:rFonts w:eastAsia="Times New Roman"/>
                <w:color w:val="000000"/>
                <w:sz w:val="14"/>
                <w:szCs w:val="14"/>
              </w:rPr>
              <w:t>enter</w:t>
            </w:r>
            <w:proofErr w:type="gramEnd"/>
            <w:r w:rsidRPr="00867F27">
              <w:rPr>
                <w:rFonts w:eastAsia="Times New Roman"/>
                <w:color w:val="000000"/>
                <w:sz w:val="14"/>
                <w:szCs w:val="14"/>
              </w:rPr>
              <w:t xml:space="preserve"> the amount from line</w:t>
            </w:r>
            <w:r>
              <w:rPr>
                <w:rFonts w:eastAsia="Times New Roman"/>
                <w:color w:val="000000"/>
                <w:sz w:val="14"/>
                <w:szCs w:val="14"/>
              </w:rPr>
              <w:t xml:space="preserve"> 36</w:t>
            </w:r>
            <w:r w:rsidR="00CD7DC1">
              <w:rPr>
                <w:rFonts w:eastAsia="Times New Roman"/>
                <w:color w:val="000000"/>
                <w:sz w:val="14"/>
                <w:szCs w:val="14"/>
              </w:rPr>
              <w:t>.</w:t>
            </w:r>
            <w:r w:rsidR="00E82703">
              <w:rPr>
                <w:rFonts w:eastAsia="Times New Roman"/>
                <w:color w:val="000000"/>
                <w:sz w:val="14"/>
                <w:szCs w:val="14"/>
              </w:rPr>
              <w:t xml:space="preserve"> </w:t>
            </w:r>
            <w:r w:rsidR="00CD7DC1">
              <w:rPr>
                <w:rFonts w:eastAsia="Times New Roman"/>
                <w:color w:val="000000"/>
                <w:sz w:val="14"/>
                <w:szCs w:val="14"/>
              </w:rPr>
              <w:t xml:space="preserve"> If Line 39 is equal to 0 due to negative loan growth, </w:t>
            </w:r>
            <w:r w:rsidR="0065108F">
              <w:rPr>
                <w:rFonts w:eastAsia="Times New Roman"/>
                <w:color w:val="000000"/>
                <w:sz w:val="14"/>
                <w:szCs w:val="14"/>
              </w:rPr>
              <w:t xml:space="preserve">then </w:t>
            </w:r>
            <w:r w:rsidR="00CD7DC1">
              <w:rPr>
                <w:rFonts w:eastAsia="Times New Roman"/>
                <w:color w:val="000000"/>
                <w:sz w:val="14"/>
                <w:szCs w:val="14"/>
              </w:rPr>
              <w:t xml:space="preserve">insert </w:t>
            </w:r>
            <w:r w:rsidR="0065108F">
              <w:rPr>
                <w:rFonts w:eastAsia="Times New Roman"/>
                <w:color w:val="000000"/>
                <w:sz w:val="14"/>
                <w:szCs w:val="14"/>
              </w:rPr>
              <w:t xml:space="preserve">in line 41 </w:t>
            </w:r>
            <w:r w:rsidR="00CD7DC1">
              <w:rPr>
                <w:rFonts w:eastAsia="Times New Roman"/>
                <w:color w:val="000000"/>
                <w:sz w:val="14"/>
                <w:szCs w:val="14"/>
              </w:rPr>
              <w:t xml:space="preserve">the amount from line 36, insert </w:t>
            </w:r>
            <w:r w:rsidR="0065108F">
              <w:rPr>
                <w:rFonts w:eastAsia="Times New Roman"/>
                <w:color w:val="000000"/>
                <w:sz w:val="14"/>
                <w:szCs w:val="14"/>
              </w:rPr>
              <w:t xml:space="preserve">in line 42 </w:t>
            </w:r>
            <w:r w:rsidR="00CD7DC1">
              <w:rPr>
                <w:rFonts w:eastAsia="Times New Roman"/>
                <w:color w:val="000000"/>
                <w:sz w:val="14"/>
                <w:szCs w:val="14"/>
              </w:rPr>
              <w:t>either 5% if a C-</w:t>
            </w:r>
            <w:r w:rsidR="00B87877">
              <w:rPr>
                <w:rFonts w:eastAsia="Times New Roman"/>
                <w:color w:val="000000"/>
                <w:sz w:val="14"/>
                <w:szCs w:val="14"/>
              </w:rPr>
              <w:t>C</w:t>
            </w:r>
            <w:r w:rsidR="00CD7DC1">
              <w:rPr>
                <w:rFonts w:eastAsia="Times New Roman"/>
                <w:color w:val="000000"/>
                <w:sz w:val="14"/>
                <w:szCs w:val="14"/>
              </w:rPr>
              <w:t>orp or 7.7% if an S-Corp or Mutual, and leave lines 43, 44, and 45 blank</w:t>
            </w:r>
            <w:r w:rsidR="00365C7D">
              <w:rPr>
                <w:rFonts w:eastAsia="Times New Roman"/>
                <w:color w:val="000000"/>
                <w:sz w:val="14"/>
                <w:szCs w:val="14"/>
              </w:rPr>
              <w:t>.</w:t>
            </w:r>
          </w:p>
        </w:tc>
        <w:tc>
          <w:tcPr>
            <w:tcW w:w="475" w:type="dxa"/>
            <w:vAlign w:val="bottom"/>
          </w:tcPr>
          <w:p w:rsidR="002A3F56" w:rsidRDefault="002A3F56" w:rsidP="00341998">
            <w:pPr>
              <w:autoSpaceDE w:val="0"/>
              <w:autoSpaceDN w:val="0"/>
              <w:adjustRightInd w:val="0"/>
              <w:ind w:left="216" w:hanging="216"/>
              <w:rPr>
                <w:rFonts w:ascii="Calibri" w:hAnsi="Calibri" w:cs="Arial"/>
                <w:sz w:val="14"/>
                <w:szCs w:val="14"/>
              </w:rPr>
            </w:pPr>
            <w:r>
              <w:rPr>
                <w:rFonts w:ascii="Calibri" w:hAnsi="Calibri" w:cs="Arial"/>
                <w:sz w:val="14"/>
                <w:szCs w:val="14"/>
              </w:rPr>
              <w:t>41</w:t>
            </w:r>
          </w:p>
        </w:tc>
        <w:tc>
          <w:tcPr>
            <w:tcW w:w="475" w:type="dxa"/>
            <w:vAlign w:val="bottom"/>
          </w:tcPr>
          <w:p w:rsidR="002A3F56" w:rsidRPr="001B2B02" w:rsidRDefault="002A3F56" w:rsidP="000D5235">
            <w:pPr>
              <w:autoSpaceDE w:val="0"/>
              <w:autoSpaceDN w:val="0"/>
              <w:adjustRightInd w:val="0"/>
              <w:ind w:left="216" w:hanging="216"/>
              <w:rPr>
                <w:rFonts w:ascii="Calibri" w:hAnsi="Calibri" w:cs="Arial"/>
                <w:sz w:val="14"/>
                <w:szCs w:val="14"/>
              </w:rPr>
            </w:pPr>
          </w:p>
        </w:tc>
        <w:tc>
          <w:tcPr>
            <w:tcW w:w="475" w:type="dxa"/>
            <w:vAlign w:val="bottom"/>
          </w:tcPr>
          <w:p w:rsidR="002A3F56" w:rsidRPr="001B2B02" w:rsidRDefault="002A3F56" w:rsidP="000D5235">
            <w:pPr>
              <w:autoSpaceDE w:val="0"/>
              <w:autoSpaceDN w:val="0"/>
              <w:adjustRightInd w:val="0"/>
              <w:ind w:left="216" w:hanging="216"/>
              <w:rPr>
                <w:rFonts w:ascii="Calibri" w:hAnsi="Calibri" w:cs="Arial"/>
                <w:sz w:val="14"/>
                <w:szCs w:val="14"/>
              </w:rPr>
            </w:pPr>
          </w:p>
        </w:tc>
        <w:tc>
          <w:tcPr>
            <w:tcW w:w="475" w:type="dxa"/>
            <w:vAlign w:val="bottom"/>
          </w:tcPr>
          <w:p w:rsidR="002A3F56" w:rsidRPr="001B2B02" w:rsidRDefault="002A3F56" w:rsidP="000D5235">
            <w:pPr>
              <w:autoSpaceDE w:val="0"/>
              <w:autoSpaceDN w:val="0"/>
              <w:adjustRightInd w:val="0"/>
              <w:ind w:left="216" w:hanging="216"/>
              <w:rPr>
                <w:rFonts w:ascii="Calibri" w:hAnsi="Calibri" w:cs="Arial"/>
                <w:sz w:val="14"/>
                <w:szCs w:val="14"/>
              </w:rPr>
            </w:pPr>
          </w:p>
        </w:tc>
        <w:tc>
          <w:tcPr>
            <w:tcW w:w="475" w:type="dxa"/>
            <w:vAlign w:val="bottom"/>
          </w:tcPr>
          <w:p w:rsidR="002A3F56" w:rsidRDefault="002A3F56" w:rsidP="000D5235">
            <w:pPr>
              <w:autoSpaceDE w:val="0"/>
              <w:autoSpaceDN w:val="0"/>
              <w:adjustRightInd w:val="0"/>
              <w:ind w:left="216" w:hanging="216"/>
              <w:rPr>
                <w:rFonts w:ascii="Calibri" w:hAnsi="Calibri" w:cs="Arial"/>
                <w:sz w:val="14"/>
                <w:szCs w:val="14"/>
              </w:rPr>
            </w:pPr>
          </w:p>
        </w:tc>
      </w:tr>
      <w:tr w:rsidR="00371570" w:rsidRPr="001B2B02" w:rsidTr="00341998">
        <w:trPr>
          <w:trHeight w:hRule="exact" w:val="187"/>
        </w:trPr>
        <w:tc>
          <w:tcPr>
            <w:tcW w:w="10935" w:type="dxa"/>
            <w:gridSpan w:val="6"/>
            <w:tcBorders>
              <w:left w:val="nil"/>
              <w:bottom w:val="single" w:sz="4" w:space="0" w:color="auto"/>
              <w:right w:val="nil"/>
            </w:tcBorders>
            <w:vAlign w:val="center"/>
          </w:tcPr>
          <w:p w:rsidR="00371570" w:rsidRDefault="00371570" w:rsidP="00341998">
            <w:pPr>
              <w:autoSpaceDE w:val="0"/>
              <w:autoSpaceDN w:val="0"/>
              <w:adjustRightInd w:val="0"/>
              <w:ind w:left="216" w:hanging="216"/>
              <w:rPr>
                <w:rFonts w:ascii="Calibri" w:hAnsi="Calibri" w:cs="Arial"/>
                <w:sz w:val="14"/>
                <w:szCs w:val="14"/>
              </w:rPr>
            </w:pPr>
          </w:p>
        </w:tc>
      </w:tr>
      <w:tr w:rsidR="00371570" w:rsidRPr="001B2B02" w:rsidTr="00E150F3">
        <w:trPr>
          <w:trHeight w:hRule="exact" w:val="532"/>
        </w:trPr>
        <w:tc>
          <w:tcPr>
            <w:tcW w:w="8560" w:type="dxa"/>
            <w:tcBorders>
              <w:bottom w:val="single" w:sz="4" w:space="0" w:color="auto"/>
            </w:tcBorders>
            <w:vAlign w:val="center"/>
          </w:tcPr>
          <w:p w:rsidR="00371570" w:rsidRDefault="00371570" w:rsidP="00E80CA4">
            <w:pPr>
              <w:pStyle w:val="ListParagraph"/>
              <w:numPr>
                <w:ilvl w:val="0"/>
                <w:numId w:val="12"/>
              </w:numPr>
              <w:ind w:left="216" w:hanging="216"/>
              <w:rPr>
                <w:rFonts w:asciiTheme="minorHAnsi" w:hAnsiTheme="minorHAnsi" w:cs="Arial"/>
                <w:sz w:val="14"/>
                <w:szCs w:val="14"/>
              </w:rPr>
            </w:pPr>
            <w:r w:rsidRPr="00867F27">
              <w:rPr>
                <w:rFonts w:eastAsia="Times New Roman"/>
                <w:color w:val="000000"/>
                <w:sz w:val="14"/>
                <w:szCs w:val="14"/>
              </w:rPr>
              <w:t>Applicable Dividend</w:t>
            </w:r>
            <w:r w:rsidR="005546CC">
              <w:rPr>
                <w:rFonts w:eastAsia="Times New Roman"/>
                <w:color w:val="000000"/>
                <w:sz w:val="14"/>
                <w:szCs w:val="14"/>
              </w:rPr>
              <w:t xml:space="preserve"> or Interest</w:t>
            </w:r>
            <w:r w:rsidRPr="00867F27">
              <w:rPr>
                <w:rFonts w:eastAsia="Times New Roman"/>
                <w:color w:val="000000"/>
                <w:sz w:val="14"/>
                <w:szCs w:val="14"/>
              </w:rPr>
              <w:t xml:space="preserve"> Rate (from tables in </w:t>
            </w:r>
            <w:r w:rsidR="0095428F">
              <w:rPr>
                <w:rFonts w:eastAsia="Times New Roman"/>
                <w:color w:val="000000"/>
                <w:sz w:val="14"/>
                <w:szCs w:val="14"/>
              </w:rPr>
              <w:t xml:space="preserve">the </w:t>
            </w:r>
            <w:r>
              <w:rPr>
                <w:rFonts w:eastAsia="Times New Roman"/>
                <w:color w:val="000000"/>
                <w:sz w:val="14"/>
                <w:szCs w:val="14"/>
              </w:rPr>
              <w:t>Instructions for Quarterly Supplemental Report</w:t>
            </w:r>
            <w:r w:rsidRPr="00867F27">
              <w:rPr>
                <w:rFonts w:eastAsia="Times New Roman"/>
                <w:color w:val="000000"/>
                <w:sz w:val="14"/>
                <w:szCs w:val="14"/>
              </w:rPr>
              <w:t xml:space="preserve">) for amount in line </w:t>
            </w:r>
            <w:r>
              <w:rPr>
                <w:rFonts w:eastAsia="Times New Roman"/>
                <w:color w:val="000000"/>
                <w:sz w:val="14"/>
                <w:szCs w:val="14"/>
              </w:rPr>
              <w:t>41</w:t>
            </w:r>
            <w:r w:rsidR="00516460">
              <w:rPr>
                <w:rFonts w:eastAsia="Times New Roman"/>
                <w:color w:val="000000"/>
                <w:sz w:val="14"/>
                <w:szCs w:val="14"/>
              </w:rPr>
              <w:t>.  For the 8</w:t>
            </w:r>
            <w:r w:rsidR="00516460" w:rsidRPr="00E150F3">
              <w:rPr>
                <w:rFonts w:eastAsia="Times New Roman"/>
                <w:color w:val="000000"/>
                <w:sz w:val="14"/>
                <w:szCs w:val="14"/>
                <w:vertAlign w:val="superscript"/>
              </w:rPr>
              <w:t>th</w:t>
            </w:r>
            <w:r w:rsidR="00516460">
              <w:rPr>
                <w:rFonts w:eastAsia="Times New Roman"/>
                <w:color w:val="000000"/>
                <w:sz w:val="14"/>
                <w:szCs w:val="14"/>
              </w:rPr>
              <w:t xml:space="preserve"> quarter following the quarter </w:t>
            </w:r>
            <w:r w:rsidR="001823A1">
              <w:rPr>
                <w:rFonts w:eastAsia="Times New Roman"/>
                <w:color w:val="000000"/>
                <w:sz w:val="14"/>
                <w:szCs w:val="14"/>
              </w:rPr>
              <w:t xml:space="preserve">in which funding occurred, if line </w:t>
            </w:r>
            <w:r w:rsidR="00E80CA4">
              <w:rPr>
                <w:rFonts w:eastAsia="Times New Roman"/>
                <w:color w:val="000000"/>
                <w:sz w:val="14"/>
                <w:szCs w:val="14"/>
              </w:rPr>
              <w:t>39</w:t>
            </w:r>
            <w:r w:rsidR="001823A1">
              <w:rPr>
                <w:rFonts w:eastAsia="Times New Roman"/>
                <w:color w:val="000000"/>
                <w:sz w:val="14"/>
                <w:szCs w:val="14"/>
              </w:rPr>
              <w:t xml:space="preserve"> is equal to </w:t>
            </w:r>
            <w:r w:rsidR="008C44D9">
              <w:rPr>
                <w:rFonts w:eastAsia="Times New Roman"/>
                <w:color w:val="000000"/>
                <w:sz w:val="14"/>
                <w:szCs w:val="14"/>
              </w:rPr>
              <w:t>0</w:t>
            </w:r>
            <w:r w:rsidR="001823A1">
              <w:rPr>
                <w:rFonts w:eastAsia="Times New Roman"/>
                <w:color w:val="000000"/>
                <w:sz w:val="14"/>
                <w:szCs w:val="14"/>
              </w:rPr>
              <w:t xml:space="preserve">, then add 2% if a C-Corp or 3.1% if a S-Corp or Mutual to the </w:t>
            </w:r>
            <w:r w:rsidR="00E80CA4">
              <w:rPr>
                <w:rFonts w:eastAsia="Times New Roman"/>
                <w:color w:val="000000"/>
                <w:sz w:val="14"/>
                <w:szCs w:val="14"/>
              </w:rPr>
              <w:t>rate in line 42.</w:t>
            </w:r>
          </w:p>
        </w:tc>
        <w:tc>
          <w:tcPr>
            <w:tcW w:w="475" w:type="dxa"/>
            <w:tcBorders>
              <w:bottom w:val="single" w:sz="4" w:space="0" w:color="auto"/>
            </w:tcBorders>
            <w:vAlign w:val="bottom"/>
          </w:tcPr>
          <w:p w:rsidR="00371570" w:rsidRPr="001B2B02" w:rsidRDefault="00371570" w:rsidP="00341998">
            <w:pPr>
              <w:autoSpaceDE w:val="0"/>
              <w:autoSpaceDN w:val="0"/>
              <w:adjustRightInd w:val="0"/>
              <w:ind w:left="216" w:hanging="216"/>
              <w:rPr>
                <w:rFonts w:ascii="Calibri" w:hAnsi="Calibri" w:cs="Arial"/>
                <w:sz w:val="14"/>
                <w:szCs w:val="14"/>
              </w:rPr>
            </w:pPr>
            <w:r>
              <w:rPr>
                <w:rFonts w:ascii="Calibri" w:hAnsi="Calibri" w:cs="Arial"/>
                <w:sz w:val="14"/>
                <w:szCs w:val="14"/>
              </w:rPr>
              <w:t>42</w:t>
            </w:r>
          </w:p>
        </w:tc>
        <w:tc>
          <w:tcPr>
            <w:tcW w:w="1425" w:type="dxa"/>
            <w:gridSpan w:val="3"/>
            <w:tcBorders>
              <w:bottom w:val="single" w:sz="4" w:space="0" w:color="auto"/>
            </w:tcBorders>
            <w:vAlign w:val="bottom"/>
          </w:tcPr>
          <w:p w:rsidR="00371570" w:rsidRPr="001B2B02" w:rsidRDefault="00371570" w:rsidP="000D5235">
            <w:pPr>
              <w:autoSpaceDE w:val="0"/>
              <w:autoSpaceDN w:val="0"/>
              <w:adjustRightInd w:val="0"/>
              <w:ind w:left="216" w:hanging="216"/>
              <w:rPr>
                <w:rFonts w:ascii="Calibri" w:hAnsi="Calibri" w:cs="Arial"/>
                <w:sz w:val="14"/>
                <w:szCs w:val="14"/>
              </w:rPr>
            </w:pPr>
          </w:p>
        </w:tc>
        <w:tc>
          <w:tcPr>
            <w:tcW w:w="475" w:type="dxa"/>
            <w:tcBorders>
              <w:bottom w:val="single" w:sz="4" w:space="0" w:color="auto"/>
            </w:tcBorders>
            <w:vAlign w:val="bottom"/>
          </w:tcPr>
          <w:p w:rsidR="00371570" w:rsidRDefault="00371570" w:rsidP="000D5235">
            <w:pPr>
              <w:autoSpaceDE w:val="0"/>
              <w:autoSpaceDN w:val="0"/>
              <w:adjustRightInd w:val="0"/>
              <w:ind w:left="216" w:hanging="216"/>
              <w:rPr>
                <w:rFonts w:ascii="Calibri" w:hAnsi="Calibri" w:cs="Arial"/>
                <w:sz w:val="14"/>
                <w:szCs w:val="14"/>
              </w:rPr>
            </w:pPr>
            <w:r>
              <w:rPr>
                <w:rFonts w:ascii="Calibri" w:hAnsi="Calibri" w:cs="Arial"/>
                <w:sz w:val="14"/>
                <w:szCs w:val="14"/>
              </w:rPr>
              <w:t>%</w:t>
            </w:r>
          </w:p>
        </w:tc>
      </w:tr>
      <w:tr w:rsidR="00371570" w:rsidRPr="001B2B02" w:rsidTr="00341998">
        <w:trPr>
          <w:trHeight w:hRule="exact" w:val="187"/>
        </w:trPr>
        <w:tc>
          <w:tcPr>
            <w:tcW w:w="10935" w:type="dxa"/>
            <w:gridSpan w:val="6"/>
            <w:tcBorders>
              <w:top w:val="single" w:sz="4" w:space="0" w:color="auto"/>
              <w:left w:val="nil"/>
              <w:bottom w:val="nil"/>
              <w:right w:val="nil"/>
            </w:tcBorders>
            <w:vAlign w:val="center"/>
          </w:tcPr>
          <w:p w:rsidR="00371570" w:rsidRDefault="00371570" w:rsidP="00341998">
            <w:pPr>
              <w:autoSpaceDE w:val="0"/>
              <w:autoSpaceDN w:val="0"/>
              <w:adjustRightInd w:val="0"/>
              <w:ind w:left="216" w:hanging="216"/>
              <w:rPr>
                <w:rFonts w:ascii="Calibri" w:hAnsi="Calibri" w:cs="Arial"/>
                <w:sz w:val="14"/>
                <w:szCs w:val="14"/>
              </w:rPr>
            </w:pPr>
          </w:p>
        </w:tc>
      </w:tr>
      <w:tr w:rsidR="00371570" w:rsidRPr="001B2B02" w:rsidTr="000D5235">
        <w:trPr>
          <w:trHeight w:hRule="exact" w:val="187"/>
        </w:trPr>
        <w:tc>
          <w:tcPr>
            <w:tcW w:w="8560" w:type="dxa"/>
            <w:tcBorders>
              <w:top w:val="nil"/>
              <w:left w:val="nil"/>
              <w:bottom w:val="single" w:sz="4" w:space="0" w:color="auto"/>
              <w:right w:val="single" w:sz="4" w:space="0" w:color="auto"/>
            </w:tcBorders>
            <w:vAlign w:val="center"/>
          </w:tcPr>
          <w:p w:rsidR="00371570" w:rsidRPr="00BA466D" w:rsidRDefault="00371570" w:rsidP="00341998">
            <w:pPr>
              <w:rPr>
                <w:rFonts w:cs="Arial"/>
                <w:sz w:val="14"/>
                <w:szCs w:val="14"/>
              </w:rPr>
            </w:pPr>
          </w:p>
        </w:tc>
        <w:tc>
          <w:tcPr>
            <w:tcW w:w="475" w:type="dxa"/>
            <w:tcBorders>
              <w:top w:val="single" w:sz="4" w:space="0" w:color="auto"/>
              <w:left w:val="single" w:sz="4" w:space="0" w:color="auto"/>
              <w:bottom w:val="single" w:sz="4" w:space="0" w:color="auto"/>
              <w:right w:val="single" w:sz="4" w:space="0" w:color="auto"/>
            </w:tcBorders>
            <w:vAlign w:val="bottom"/>
          </w:tcPr>
          <w:p w:rsidR="00371570" w:rsidRPr="001B2B02" w:rsidRDefault="00371570" w:rsidP="00341998">
            <w:pPr>
              <w:autoSpaceDE w:val="0"/>
              <w:autoSpaceDN w:val="0"/>
              <w:adjustRightInd w:val="0"/>
              <w:ind w:left="216" w:hanging="216"/>
              <w:rPr>
                <w:rFonts w:ascii="Calibri" w:hAnsi="Calibri" w:cs="Arial"/>
                <w:sz w:val="14"/>
                <w:szCs w:val="14"/>
              </w:rPr>
            </w:pPr>
          </w:p>
        </w:tc>
        <w:tc>
          <w:tcPr>
            <w:tcW w:w="475" w:type="dxa"/>
            <w:tcBorders>
              <w:top w:val="single" w:sz="4" w:space="0" w:color="auto"/>
              <w:left w:val="single" w:sz="4" w:space="0" w:color="auto"/>
            </w:tcBorders>
            <w:vAlign w:val="bottom"/>
          </w:tcPr>
          <w:p w:rsidR="00371570" w:rsidRPr="001B2B02" w:rsidRDefault="00371570" w:rsidP="000D5235">
            <w:pPr>
              <w:autoSpaceDE w:val="0"/>
              <w:autoSpaceDN w:val="0"/>
              <w:adjustRightInd w:val="0"/>
              <w:ind w:left="216" w:hanging="216"/>
              <w:rPr>
                <w:rFonts w:ascii="Calibri" w:hAnsi="Calibri" w:cs="Arial"/>
                <w:sz w:val="14"/>
                <w:szCs w:val="14"/>
              </w:rPr>
            </w:pPr>
            <w:proofErr w:type="spellStart"/>
            <w:r>
              <w:rPr>
                <w:rFonts w:ascii="Calibri" w:hAnsi="Calibri" w:cs="Arial"/>
                <w:sz w:val="14"/>
                <w:szCs w:val="14"/>
              </w:rPr>
              <w:t>Bil</w:t>
            </w:r>
            <w:proofErr w:type="spellEnd"/>
          </w:p>
        </w:tc>
        <w:tc>
          <w:tcPr>
            <w:tcW w:w="475" w:type="dxa"/>
            <w:tcBorders>
              <w:top w:val="single" w:sz="4" w:space="0" w:color="auto"/>
            </w:tcBorders>
            <w:vAlign w:val="bottom"/>
          </w:tcPr>
          <w:p w:rsidR="00371570" w:rsidRPr="001B2B02" w:rsidRDefault="00371570" w:rsidP="000D5235">
            <w:pPr>
              <w:autoSpaceDE w:val="0"/>
              <w:autoSpaceDN w:val="0"/>
              <w:adjustRightInd w:val="0"/>
              <w:ind w:left="216" w:hanging="216"/>
              <w:rPr>
                <w:rFonts w:ascii="Calibri" w:hAnsi="Calibri" w:cs="Arial"/>
                <w:sz w:val="14"/>
                <w:szCs w:val="14"/>
              </w:rPr>
            </w:pPr>
            <w:r>
              <w:rPr>
                <w:rFonts w:ascii="Calibri" w:hAnsi="Calibri" w:cs="Arial"/>
                <w:sz w:val="14"/>
                <w:szCs w:val="14"/>
              </w:rPr>
              <w:t>Mil</w:t>
            </w:r>
          </w:p>
        </w:tc>
        <w:tc>
          <w:tcPr>
            <w:tcW w:w="475" w:type="dxa"/>
            <w:tcBorders>
              <w:top w:val="single" w:sz="4" w:space="0" w:color="auto"/>
            </w:tcBorders>
            <w:vAlign w:val="bottom"/>
          </w:tcPr>
          <w:p w:rsidR="00371570" w:rsidRPr="001B2B02" w:rsidRDefault="00371570" w:rsidP="000D5235">
            <w:pPr>
              <w:autoSpaceDE w:val="0"/>
              <w:autoSpaceDN w:val="0"/>
              <w:adjustRightInd w:val="0"/>
              <w:ind w:left="216" w:hanging="216"/>
              <w:rPr>
                <w:rFonts w:ascii="Calibri" w:hAnsi="Calibri" w:cs="Arial"/>
                <w:sz w:val="14"/>
                <w:szCs w:val="14"/>
              </w:rPr>
            </w:pPr>
            <w:r>
              <w:rPr>
                <w:rFonts w:ascii="Calibri" w:hAnsi="Calibri" w:cs="Arial"/>
                <w:sz w:val="14"/>
                <w:szCs w:val="14"/>
              </w:rPr>
              <w:t>Thou</w:t>
            </w:r>
          </w:p>
        </w:tc>
        <w:tc>
          <w:tcPr>
            <w:tcW w:w="475" w:type="dxa"/>
            <w:tcBorders>
              <w:top w:val="single" w:sz="4" w:space="0" w:color="auto"/>
            </w:tcBorders>
            <w:vAlign w:val="bottom"/>
          </w:tcPr>
          <w:p w:rsidR="00371570" w:rsidRDefault="00371570" w:rsidP="000D5235">
            <w:pPr>
              <w:autoSpaceDE w:val="0"/>
              <w:autoSpaceDN w:val="0"/>
              <w:adjustRightInd w:val="0"/>
              <w:ind w:left="216" w:hanging="216"/>
              <w:rPr>
                <w:rFonts w:ascii="Calibri" w:hAnsi="Calibri" w:cs="Arial"/>
                <w:sz w:val="14"/>
                <w:szCs w:val="14"/>
              </w:rPr>
            </w:pPr>
            <w:proofErr w:type="spellStart"/>
            <w:r>
              <w:rPr>
                <w:rFonts w:ascii="Calibri" w:hAnsi="Calibri" w:cs="Arial"/>
                <w:sz w:val="14"/>
                <w:szCs w:val="14"/>
              </w:rPr>
              <w:t>Hund</w:t>
            </w:r>
            <w:proofErr w:type="spellEnd"/>
          </w:p>
        </w:tc>
      </w:tr>
      <w:tr w:rsidR="005E70AA" w:rsidRPr="001B2B02" w:rsidTr="005E70AA">
        <w:trPr>
          <w:trHeight w:hRule="exact" w:val="374"/>
        </w:trPr>
        <w:tc>
          <w:tcPr>
            <w:tcW w:w="8560" w:type="dxa"/>
            <w:tcBorders>
              <w:top w:val="single" w:sz="4" w:space="0" w:color="auto"/>
            </w:tcBorders>
            <w:vAlign w:val="center"/>
          </w:tcPr>
          <w:p w:rsidR="005E70AA" w:rsidRPr="00FB0D67" w:rsidRDefault="005E70AA" w:rsidP="00341998">
            <w:pPr>
              <w:pStyle w:val="ListParagraph"/>
              <w:numPr>
                <w:ilvl w:val="0"/>
                <w:numId w:val="12"/>
              </w:numPr>
              <w:ind w:left="216" w:hanging="216"/>
              <w:rPr>
                <w:rFonts w:asciiTheme="minorHAnsi" w:hAnsiTheme="minorHAnsi" w:cs="Arial"/>
                <w:sz w:val="14"/>
                <w:szCs w:val="14"/>
              </w:rPr>
            </w:pPr>
            <w:r w:rsidRPr="00867F27">
              <w:rPr>
                <w:rFonts w:eastAsia="Times New Roman"/>
                <w:color w:val="000000"/>
                <w:sz w:val="14"/>
                <w:szCs w:val="14"/>
              </w:rPr>
              <w:t xml:space="preserve">If line </w:t>
            </w:r>
            <w:r>
              <w:rPr>
                <w:rFonts w:eastAsia="Times New Roman"/>
                <w:color w:val="000000"/>
                <w:sz w:val="14"/>
                <w:szCs w:val="14"/>
              </w:rPr>
              <w:t>36</w:t>
            </w:r>
            <w:r w:rsidRPr="00867F27">
              <w:rPr>
                <w:rFonts w:eastAsia="Times New Roman"/>
                <w:color w:val="000000"/>
                <w:sz w:val="14"/>
                <w:szCs w:val="14"/>
              </w:rPr>
              <w:t xml:space="preserve"> is greater than line </w:t>
            </w:r>
            <w:r>
              <w:rPr>
                <w:rFonts w:eastAsia="Times New Roman"/>
                <w:color w:val="000000"/>
                <w:sz w:val="14"/>
                <w:szCs w:val="14"/>
              </w:rPr>
              <w:t>39</w:t>
            </w:r>
            <w:r w:rsidRPr="00867F27">
              <w:rPr>
                <w:rFonts w:eastAsia="Times New Roman"/>
                <w:color w:val="000000"/>
                <w:sz w:val="14"/>
                <w:szCs w:val="14"/>
              </w:rPr>
              <w:t xml:space="preserve">, enter the difference (line </w:t>
            </w:r>
            <w:r>
              <w:rPr>
                <w:rFonts w:eastAsia="Times New Roman"/>
                <w:color w:val="000000"/>
                <w:sz w:val="14"/>
                <w:szCs w:val="14"/>
              </w:rPr>
              <w:t>36</w:t>
            </w:r>
            <w:r w:rsidRPr="00867F27">
              <w:rPr>
                <w:rFonts w:eastAsia="Times New Roman"/>
                <w:color w:val="000000"/>
                <w:sz w:val="14"/>
                <w:szCs w:val="14"/>
              </w:rPr>
              <w:t xml:space="preserve"> minus line </w:t>
            </w:r>
            <w:r>
              <w:rPr>
                <w:rFonts w:eastAsia="Times New Roman"/>
                <w:color w:val="000000"/>
                <w:sz w:val="14"/>
                <w:szCs w:val="14"/>
              </w:rPr>
              <w:t>39); o</w:t>
            </w:r>
            <w:r w:rsidRPr="00867F27">
              <w:rPr>
                <w:rFonts w:eastAsia="Times New Roman"/>
                <w:color w:val="000000"/>
                <w:sz w:val="14"/>
                <w:szCs w:val="14"/>
              </w:rPr>
              <w:t>therwise, not applicable</w:t>
            </w:r>
            <w:r>
              <w:rPr>
                <w:rFonts w:eastAsia="Times New Roman"/>
                <w:color w:val="000000"/>
                <w:sz w:val="14"/>
                <w:szCs w:val="14"/>
              </w:rPr>
              <w:t xml:space="preserve"> (if not applicable, leave lines 43, 44, </w:t>
            </w:r>
            <w:r>
              <w:rPr>
                <w:rFonts w:eastAsia="Times New Roman"/>
                <w:color w:val="000000"/>
                <w:sz w:val="14"/>
                <w:szCs w:val="14"/>
              </w:rPr>
              <w:br/>
              <w:t>and 45 blank)</w:t>
            </w:r>
          </w:p>
        </w:tc>
        <w:tc>
          <w:tcPr>
            <w:tcW w:w="475" w:type="dxa"/>
            <w:tcBorders>
              <w:top w:val="nil"/>
            </w:tcBorders>
            <w:vAlign w:val="bottom"/>
          </w:tcPr>
          <w:p w:rsidR="005E70AA" w:rsidRDefault="005E70AA" w:rsidP="00341998">
            <w:pPr>
              <w:autoSpaceDE w:val="0"/>
              <w:autoSpaceDN w:val="0"/>
              <w:adjustRightInd w:val="0"/>
              <w:ind w:left="216" w:hanging="216"/>
              <w:rPr>
                <w:rFonts w:ascii="Calibri" w:hAnsi="Calibri" w:cs="Arial"/>
                <w:sz w:val="14"/>
                <w:szCs w:val="14"/>
              </w:rPr>
            </w:pPr>
            <w:r>
              <w:rPr>
                <w:rFonts w:ascii="Calibri" w:hAnsi="Calibri" w:cs="Arial"/>
                <w:sz w:val="14"/>
                <w:szCs w:val="14"/>
              </w:rPr>
              <w:t>43</w:t>
            </w:r>
          </w:p>
        </w:tc>
        <w:tc>
          <w:tcPr>
            <w:tcW w:w="475" w:type="dxa"/>
            <w:vAlign w:val="bottom"/>
          </w:tcPr>
          <w:p w:rsidR="005E70AA" w:rsidRPr="001B2B02" w:rsidRDefault="005E70AA" w:rsidP="000D5235">
            <w:pPr>
              <w:autoSpaceDE w:val="0"/>
              <w:autoSpaceDN w:val="0"/>
              <w:adjustRightInd w:val="0"/>
              <w:ind w:left="216" w:hanging="216"/>
              <w:rPr>
                <w:rFonts w:ascii="Calibri" w:hAnsi="Calibri" w:cs="Arial"/>
                <w:sz w:val="14"/>
                <w:szCs w:val="14"/>
              </w:rPr>
            </w:pPr>
          </w:p>
        </w:tc>
        <w:tc>
          <w:tcPr>
            <w:tcW w:w="475" w:type="dxa"/>
            <w:vAlign w:val="bottom"/>
          </w:tcPr>
          <w:p w:rsidR="005E70AA" w:rsidRPr="001B2B02" w:rsidRDefault="005E70AA" w:rsidP="000D5235">
            <w:pPr>
              <w:autoSpaceDE w:val="0"/>
              <w:autoSpaceDN w:val="0"/>
              <w:adjustRightInd w:val="0"/>
              <w:ind w:left="216" w:hanging="216"/>
              <w:rPr>
                <w:rFonts w:ascii="Calibri" w:hAnsi="Calibri" w:cs="Arial"/>
                <w:sz w:val="14"/>
                <w:szCs w:val="14"/>
              </w:rPr>
            </w:pPr>
          </w:p>
        </w:tc>
        <w:tc>
          <w:tcPr>
            <w:tcW w:w="475" w:type="dxa"/>
            <w:vAlign w:val="bottom"/>
          </w:tcPr>
          <w:p w:rsidR="005E70AA" w:rsidRPr="001B2B02" w:rsidRDefault="005E70AA" w:rsidP="000D5235">
            <w:pPr>
              <w:autoSpaceDE w:val="0"/>
              <w:autoSpaceDN w:val="0"/>
              <w:adjustRightInd w:val="0"/>
              <w:ind w:left="216" w:hanging="216"/>
              <w:rPr>
                <w:rFonts w:ascii="Calibri" w:hAnsi="Calibri" w:cs="Arial"/>
                <w:sz w:val="14"/>
                <w:szCs w:val="14"/>
              </w:rPr>
            </w:pPr>
          </w:p>
        </w:tc>
        <w:tc>
          <w:tcPr>
            <w:tcW w:w="475" w:type="dxa"/>
            <w:vAlign w:val="bottom"/>
          </w:tcPr>
          <w:p w:rsidR="005E70AA" w:rsidRDefault="005E70AA" w:rsidP="000D5235">
            <w:pPr>
              <w:autoSpaceDE w:val="0"/>
              <w:autoSpaceDN w:val="0"/>
              <w:adjustRightInd w:val="0"/>
              <w:ind w:left="216" w:hanging="216"/>
              <w:rPr>
                <w:rFonts w:ascii="Calibri" w:hAnsi="Calibri" w:cs="Arial"/>
                <w:sz w:val="14"/>
                <w:szCs w:val="14"/>
              </w:rPr>
            </w:pPr>
          </w:p>
        </w:tc>
      </w:tr>
      <w:tr w:rsidR="00371570" w:rsidRPr="001B2B02" w:rsidTr="00341998">
        <w:trPr>
          <w:trHeight w:hRule="exact" w:val="187"/>
        </w:trPr>
        <w:tc>
          <w:tcPr>
            <w:tcW w:w="10935" w:type="dxa"/>
            <w:gridSpan w:val="6"/>
            <w:tcBorders>
              <w:top w:val="single" w:sz="4" w:space="0" w:color="auto"/>
              <w:left w:val="nil"/>
              <w:right w:val="nil"/>
            </w:tcBorders>
            <w:vAlign w:val="center"/>
          </w:tcPr>
          <w:p w:rsidR="00371570" w:rsidRDefault="00371570" w:rsidP="00341998">
            <w:pPr>
              <w:autoSpaceDE w:val="0"/>
              <w:autoSpaceDN w:val="0"/>
              <w:adjustRightInd w:val="0"/>
              <w:ind w:left="216" w:hanging="216"/>
              <w:rPr>
                <w:rFonts w:ascii="Calibri" w:hAnsi="Calibri" w:cs="Arial"/>
                <w:sz w:val="14"/>
                <w:szCs w:val="14"/>
              </w:rPr>
            </w:pPr>
          </w:p>
        </w:tc>
      </w:tr>
      <w:tr w:rsidR="00371570" w:rsidRPr="001B2B02" w:rsidTr="00106AC6">
        <w:trPr>
          <w:trHeight w:hRule="exact" w:val="187"/>
        </w:trPr>
        <w:tc>
          <w:tcPr>
            <w:tcW w:w="8560" w:type="dxa"/>
            <w:tcBorders>
              <w:bottom w:val="single" w:sz="4" w:space="0" w:color="auto"/>
            </w:tcBorders>
            <w:vAlign w:val="center"/>
          </w:tcPr>
          <w:p w:rsidR="00371570" w:rsidRDefault="00371570" w:rsidP="00D80A20">
            <w:pPr>
              <w:pStyle w:val="ListParagraph"/>
              <w:numPr>
                <w:ilvl w:val="0"/>
                <w:numId w:val="12"/>
              </w:numPr>
              <w:ind w:left="216" w:hanging="216"/>
              <w:rPr>
                <w:rFonts w:asciiTheme="minorHAnsi" w:hAnsiTheme="minorHAnsi" w:cs="Arial"/>
                <w:sz w:val="14"/>
                <w:szCs w:val="14"/>
              </w:rPr>
            </w:pPr>
            <w:r w:rsidRPr="00867F27">
              <w:rPr>
                <w:rFonts w:eastAsia="Times New Roman"/>
                <w:color w:val="000000"/>
                <w:sz w:val="14"/>
                <w:szCs w:val="14"/>
              </w:rPr>
              <w:t xml:space="preserve">Applicable Dividend </w:t>
            </w:r>
            <w:r w:rsidR="005546CC">
              <w:rPr>
                <w:rFonts w:eastAsia="Times New Roman"/>
                <w:color w:val="000000"/>
                <w:sz w:val="14"/>
                <w:szCs w:val="14"/>
              </w:rPr>
              <w:t xml:space="preserve">or Interest </w:t>
            </w:r>
            <w:r w:rsidRPr="00867F27">
              <w:rPr>
                <w:rFonts w:eastAsia="Times New Roman"/>
                <w:color w:val="000000"/>
                <w:sz w:val="14"/>
                <w:szCs w:val="14"/>
              </w:rPr>
              <w:t xml:space="preserve">Rate </w:t>
            </w:r>
            <w:r>
              <w:rPr>
                <w:rFonts w:eastAsia="Times New Roman"/>
                <w:color w:val="000000"/>
                <w:sz w:val="14"/>
                <w:szCs w:val="14"/>
              </w:rPr>
              <w:t>for amount in line 43 if needed</w:t>
            </w:r>
          </w:p>
        </w:tc>
        <w:tc>
          <w:tcPr>
            <w:tcW w:w="475" w:type="dxa"/>
            <w:tcBorders>
              <w:bottom w:val="single" w:sz="4" w:space="0" w:color="auto"/>
            </w:tcBorders>
            <w:vAlign w:val="bottom"/>
          </w:tcPr>
          <w:p w:rsidR="00371570" w:rsidRPr="001B2B02" w:rsidRDefault="00371570" w:rsidP="00341998">
            <w:pPr>
              <w:autoSpaceDE w:val="0"/>
              <w:autoSpaceDN w:val="0"/>
              <w:adjustRightInd w:val="0"/>
              <w:ind w:left="216" w:hanging="216"/>
              <w:rPr>
                <w:rFonts w:ascii="Calibri" w:hAnsi="Calibri" w:cs="Arial"/>
                <w:sz w:val="14"/>
                <w:szCs w:val="14"/>
              </w:rPr>
            </w:pPr>
            <w:r>
              <w:rPr>
                <w:rFonts w:ascii="Calibri" w:hAnsi="Calibri" w:cs="Arial"/>
                <w:sz w:val="14"/>
                <w:szCs w:val="14"/>
              </w:rPr>
              <w:t>44</w:t>
            </w:r>
          </w:p>
        </w:tc>
        <w:tc>
          <w:tcPr>
            <w:tcW w:w="1425" w:type="dxa"/>
            <w:gridSpan w:val="3"/>
            <w:tcBorders>
              <w:bottom w:val="single" w:sz="4" w:space="0" w:color="auto"/>
            </w:tcBorders>
            <w:vAlign w:val="bottom"/>
          </w:tcPr>
          <w:p w:rsidR="00371570" w:rsidRPr="001B2B02" w:rsidRDefault="00371570" w:rsidP="00FC156A">
            <w:pPr>
              <w:autoSpaceDE w:val="0"/>
              <w:autoSpaceDN w:val="0"/>
              <w:adjustRightInd w:val="0"/>
              <w:rPr>
                <w:rFonts w:ascii="Calibri" w:hAnsi="Calibri" w:cs="Arial"/>
                <w:sz w:val="14"/>
                <w:szCs w:val="14"/>
              </w:rPr>
            </w:pPr>
          </w:p>
        </w:tc>
        <w:tc>
          <w:tcPr>
            <w:tcW w:w="475" w:type="dxa"/>
            <w:tcBorders>
              <w:bottom w:val="single" w:sz="4" w:space="0" w:color="auto"/>
            </w:tcBorders>
            <w:vAlign w:val="bottom"/>
          </w:tcPr>
          <w:p w:rsidR="00371570" w:rsidRDefault="00371570" w:rsidP="000D5235">
            <w:pPr>
              <w:autoSpaceDE w:val="0"/>
              <w:autoSpaceDN w:val="0"/>
              <w:adjustRightInd w:val="0"/>
              <w:ind w:left="216" w:hanging="216"/>
              <w:rPr>
                <w:rFonts w:ascii="Calibri" w:hAnsi="Calibri" w:cs="Arial"/>
                <w:sz w:val="14"/>
                <w:szCs w:val="14"/>
              </w:rPr>
            </w:pPr>
            <w:r>
              <w:rPr>
                <w:rFonts w:ascii="Calibri" w:hAnsi="Calibri" w:cs="Arial"/>
                <w:sz w:val="14"/>
                <w:szCs w:val="14"/>
              </w:rPr>
              <w:t>%</w:t>
            </w:r>
          </w:p>
        </w:tc>
      </w:tr>
      <w:tr w:rsidR="00371570" w:rsidRPr="001B2B02" w:rsidTr="000D5235">
        <w:trPr>
          <w:trHeight w:hRule="exact" w:val="379"/>
        </w:trPr>
        <w:tc>
          <w:tcPr>
            <w:tcW w:w="8560" w:type="dxa"/>
            <w:vAlign w:val="center"/>
          </w:tcPr>
          <w:p w:rsidR="00371570" w:rsidRPr="00222E2C" w:rsidRDefault="00371570" w:rsidP="0065108F">
            <w:pPr>
              <w:pStyle w:val="ListParagraph"/>
              <w:numPr>
                <w:ilvl w:val="0"/>
                <w:numId w:val="12"/>
              </w:numPr>
              <w:ind w:left="216" w:hanging="216"/>
              <w:rPr>
                <w:rFonts w:asciiTheme="minorHAnsi" w:hAnsiTheme="minorHAnsi" w:cs="Arial"/>
                <w:spacing w:val="-2"/>
                <w:sz w:val="14"/>
                <w:szCs w:val="14"/>
              </w:rPr>
            </w:pPr>
            <w:r w:rsidRPr="00222E2C">
              <w:rPr>
                <w:rFonts w:eastAsia="Times New Roman"/>
                <w:color w:val="000000"/>
                <w:spacing w:val="-2"/>
                <w:sz w:val="14"/>
                <w:szCs w:val="14"/>
              </w:rPr>
              <w:t>Weighted Average Dividend</w:t>
            </w:r>
            <w:r w:rsidR="005546CC">
              <w:rPr>
                <w:rFonts w:eastAsia="Times New Roman"/>
                <w:color w:val="000000"/>
                <w:spacing w:val="-2"/>
                <w:sz w:val="14"/>
                <w:szCs w:val="14"/>
              </w:rPr>
              <w:t xml:space="preserve"> or Interest</w:t>
            </w:r>
            <w:r w:rsidRPr="00222E2C">
              <w:rPr>
                <w:rFonts w:eastAsia="Times New Roman"/>
                <w:color w:val="000000"/>
                <w:spacing w:val="-2"/>
                <w:sz w:val="14"/>
                <w:szCs w:val="14"/>
              </w:rPr>
              <w:t xml:space="preserve"> Rate for SBLF capital amount for the following quarter (must </w:t>
            </w:r>
            <w:r w:rsidR="0065108F">
              <w:rPr>
                <w:rFonts w:eastAsia="Times New Roman"/>
                <w:color w:val="000000"/>
                <w:spacing w:val="-2"/>
                <w:sz w:val="14"/>
                <w:szCs w:val="14"/>
              </w:rPr>
              <w:t>be calculated to</w:t>
            </w:r>
            <w:r w:rsidRPr="00222E2C">
              <w:rPr>
                <w:rFonts w:eastAsia="Times New Roman"/>
                <w:color w:val="000000"/>
                <w:spacing w:val="-2"/>
                <w:sz w:val="14"/>
                <w:szCs w:val="14"/>
              </w:rPr>
              <w:t xml:space="preserve"> seven decimal points; see </w:t>
            </w:r>
            <w:r w:rsidR="004D7462">
              <w:rPr>
                <w:rFonts w:eastAsia="Times New Roman"/>
                <w:color w:val="000000"/>
                <w:spacing w:val="-2"/>
                <w:sz w:val="14"/>
                <w:szCs w:val="14"/>
              </w:rPr>
              <w:t>I</w:t>
            </w:r>
            <w:r w:rsidRPr="00222E2C">
              <w:rPr>
                <w:rFonts w:eastAsia="Times New Roman"/>
                <w:color w:val="000000"/>
                <w:spacing w:val="-2"/>
                <w:sz w:val="14"/>
                <w:szCs w:val="14"/>
              </w:rPr>
              <w:t>nstructions</w:t>
            </w:r>
            <w:r w:rsidR="004D7462">
              <w:rPr>
                <w:rFonts w:eastAsia="Times New Roman"/>
                <w:color w:val="000000"/>
                <w:spacing w:val="-2"/>
                <w:sz w:val="14"/>
                <w:szCs w:val="14"/>
              </w:rPr>
              <w:t xml:space="preserve"> for the Quarterly Supplemental Report</w:t>
            </w:r>
            <w:r w:rsidRPr="00222E2C">
              <w:rPr>
                <w:rFonts w:eastAsia="Times New Roman"/>
                <w:color w:val="000000"/>
                <w:spacing w:val="-2"/>
                <w:sz w:val="14"/>
                <w:szCs w:val="14"/>
              </w:rPr>
              <w:t xml:space="preserve"> for details)</w:t>
            </w:r>
          </w:p>
        </w:tc>
        <w:tc>
          <w:tcPr>
            <w:tcW w:w="475" w:type="dxa"/>
            <w:vAlign w:val="bottom"/>
          </w:tcPr>
          <w:p w:rsidR="00371570" w:rsidRPr="001B2B02" w:rsidRDefault="00371570" w:rsidP="00341998">
            <w:pPr>
              <w:autoSpaceDE w:val="0"/>
              <w:autoSpaceDN w:val="0"/>
              <w:adjustRightInd w:val="0"/>
              <w:ind w:left="216" w:hanging="216"/>
              <w:rPr>
                <w:rFonts w:ascii="Calibri" w:hAnsi="Calibri" w:cs="Arial"/>
                <w:sz w:val="14"/>
                <w:szCs w:val="14"/>
              </w:rPr>
            </w:pPr>
            <w:r>
              <w:rPr>
                <w:rFonts w:ascii="Calibri" w:hAnsi="Calibri" w:cs="Arial"/>
                <w:sz w:val="14"/>
                <w:szCs w:val="14"/>
              </w:rPr>
              <w:t>45</w:t>
            </w:r>
          </w:p>
        </w:tc>
        <w:tc>
          <w:tcPr>
            <w:tcW w:w="1425" w:type="dxa"/>
            <w:gridSpan w:val="3"/>
            <w:vAlign w:val="bottom"/>
          </w:tcPr>
          <w:p w:rsidR="00371570" w:rsidRPr="001B2B02" w:rsidRDefault="00371570" w:rsidP="000D5235">
            <w:pPr>
              <w:autoSpaceDE w:val="0"/>
              <w:autoSpaceDN w:val="0"/>
              <w:adjustRightInd w:val="0"/>
              <w:ind w:left="216" w:hanging="216"/>
              <w:rPr>
                <w:rFonts w:ascii="Calibri" w:hAnsi="Calibri" w:cs="Arial"/>
                <w:sz w:val="14"/>
                <w:szCs w:val="14"/>
              </w:rPr>
            </w:pPr>
          </w:p>
        </w:tc>
        <w:tc>
          <w:tcPr>
            <w:tcW w:w="475" w:type="dxa"/>
            <w:vAlign w:val="bottom"/>
          </w:tcPr>
          <w:p w:rsidR="00371570" w:rsidRDefault="00371570" w:rsidP="000D5235">
            <w:pPr>
              <w:autoSpaceDE w:val="0"/>
              <w:autoSpaceDN w:val="0"/>
              <w:adjustRightInd w:val="0"/>
              <w:ind w:left="216" w:hanging="216"/>
              <w:rPr>
                <w:rFonts w:ascii="Calibri" w:hAnsi="Calibri" w:cs="Arial"/>
                <w:sz w:val="14"/>
                <w:szCs w:val="14"/>
              </w:rPr>
            </w:pPr>
            <w:r>
              <w:rPr>
                <w:rFonts w:ascii="Calibri" w:hAnsi="Calibri" w:cs="Arial"/>
                <w:sz w:val="14"/>
                <w:szCs w:val="14"/>
              </w:rPr>
              <w:t>%</w:t>
            </w:r>
          </w:p>
        </w:tc>
      </w:tr>
    </w:tbl>
    <w:p w:rsidR="00820632" w:rsidRDefault="00820632" w:rsidP="00B71C43">
      <w:pPr>
        <w:spacing w:after="144"/>
        <w:rPr>
          <w:rFonts w:ascii="Calibri" w:hAnsi="Calibri" w:cs="Arial"/>
          <w:sz w:val="20"/>
          <w:szCs w:val="20"/>
        </w:rPr>
      </w:pPr>
    </w:p>
    <w:p w:rsidR="00933ADD" w:rsidRDefault="00933ADD" w:rsidP="00B71C43">
      <w:pPr>
        <w:spacing w:after="144"/>
        <w:rPr>
          <w:rFonts w:ascii="Calibri" w:hAnsi="Calibri" w:cs="Arial"/>
          <w:sz w:val="20"/>
          <w:szCs w:val="20"/>
        </w:rPr>
      </w:pPr>
    </w:p>
    <w:p w:rsidR="004D00FD" w:rsidRDefault="004D00FD" w:rsidP="00B71C43">
      <w:pPr>
        <w:spacing w:after="144"/>
        <w:rPr>
          <w:rFonts w:ascii="Calibri" w:hAnsi="Calibri" w:cs="Arial"/>
          <w:sz w:val="20"/>
          <w:szCs w:val="20"/>
        </w:rPr>
      </w:pPr>
    </w:p>
    <w:p w:rsidR="00D36C82" w:rsidRDefault="00D36C82" w:rsidP="00B71C43">
      <w:pPr>
        <w:spacing w:after="144"/>
        <w:rPr>
          <w:rFonts w:ascii="Calibri" w:hAnsi="Calibri" w:cs="Arial"/>
          <w:sz w:val="20"/>
          <w:szCs w:val="20"/>
        </w:rPr>
      </w:pPr>
    </w:p>
    <w:p w:rsidR="00D36C82" w:rsidRDefault="00D36C82" w:rsidP="00B71C43">
      <w:pPr>
        <w:spacing w:after="144"/>
        <w:rPr>
          <w:rFonts w:ascii="Calibri" w:hAnsi="Calibri" w:cs="Arial"/>
          <w:sz w:val="20"/>
          <w:szCs w:val="20"/>
        </w:rPr>
      </w:pPr>
    </w:p>
    <w:p w:rsidR="00D36C82" w:rsidRDefault="00D36C82" w:rsidP="00B71C43">
      <w:pPr>
        <w:spacing w:after="144"/>
        <w:rPr>
          <w:rFonts w:ascii="Calibri" w:hAnsi="Calibri" w:cs="Arial"/>
          <w:sz w:val="20"/>
          <w:szCs w:val="20"/>
        </w:rPr>
      </w:pPr>
    </w:p>
    <w:p w:rsidR="00D36C82" w:rsidRDefault="00D36C82" w:rsidP="00B71C43">
      <w:pPr>
        <w:spacing w:after="144"/>
        <w:rPr>
          <w:rFonts w:ascii="Calibri" w:hAnsi="Calibri" w:cs="Arial"/>
          <w:sz w:val="20"/>
          <w:szCs w:val="20"/>
        </w:rPr>
      </w:pPr>
    </w:p>
    <w:p w:rsidR="00D36C82" w:rsidRDefault="00D36C82" w:rsidP="00B71C43">
      <w:pPr>
        <w:spacing w:after="144"/>
        <w:rPr>
          <w:rFonts w:ascii="Calibri" w:hAnsi="Calibri" w:cs="Arial"/>
          <w:sz w:val="20"/>
          <w:szCs w:val="20"/>
        </w:rPr>
      </w:pPr>
    </w:p>
    <w:p w:rsidR="00933ADD" w:rsidRDefault="00933ADD" w:rsidP="00371570">
      <w:pPr>
        <w:spacing w:after="0" w:line="240" w:lineRule="auto"/>
        <w:rPr>
          <w:rFonts w:ascii="Calibri" w:hAnsi="Calibri" w:cs="Arial"/>
          <w:sz w:val="18"/>
          <w:szCs w:val="18"/>
        </w:rPr>
      </w:pPr>
    </w:p>
    <w:p w:rsidR="00106AC6" w:rsidRDefault="00106AC6" w:rsidP="00371570">
      <w:pPr>
        <w:spacing w:after="0" w:line="240" w:lineRule="auto"/>
        <w:rPr>
          <w:rFonts w:ascii="Calibri" w:hAnsi="Calibri" w:cs="Arial"/>
          <w:sz w:val="18"/>
          <w:szCs w:val="18"/>
        </w:rPr>
      </w:pPr>
    </w:p>
    <w:p w:rsidR="00933ADD" w:rsidRDefault="00933ADD" w:rsidP="00933ADD">
      <w:pPr>
        <w:spacing w:after="0" w:line="240" w:lineRule="auto"/>
        <w:ind w:left="180"/>
        <w:rPr>
          <w:rFonts w:ascii="Calibri" w:hAnsi="Calibri" w:cs="Arial"/>
          <w:sz w:val="18"/>
          <w:szCs w:val="18"/>
        </w:rPr>
      </w:pPr>
    </w:p>
    <w:tbl>
      <w:tblPr>
        <w:tblStyle w:val="TableGrid"/>
        <w:tblW w:w="0" w:type="auto"/>
        <w:tblInd w:w="180" w:type="dxa"/>
        <w:tblLook w:val="04A0" w:firstRow="1" w:lastRow="0" w:firstColumn="1" w:lastColumn="0" w:noHBand="0" w:noVBand="1"/>
      </w:tblPr>
      <w:tblGrid>
        <w:gridCol w:w="10368"/>
      </w:tblGrid>
      <w:tr w:rsidR="00933ADD" w:rsidTr="00827C3F">
        <w:tc>
          <w:tcPr>
            <w:tcW w:w="10368" w:type="dxa"/>
          </w:tcPr>
          <w:p w:rsidR="00933ADD" w:rsidRDefault="00933ADD" w:rsidP="00341998">
            <w:pPr>
              <w:spacing w:before="120" w:after="120"/>
              <w:ind w:left="90"/>
              <w:rPr>
                <w:rFonts w:ascii="Calibri" w:hAnsi="Calibri" w:cs="Arial"/>
                <w:sz w:val="18"/>
                <w:szCs w:val="18"/>
              </w:rPr>
            </w:pPr>
            <w:r w:rsidRPr="008B7E47">
              <w:rPr>
                <w:rFonts w:ascii="Calibri" w:hAnsi="Calibri" w:cs="Arial"/>
                <w:sz w:val="18"/>
                <w:szCs w:val="18"/>
              </w:rPr>
              <w:t xml:space="preserve">Please note that the information provided for the Dividend </w:t>
            </w:r>
            <w:r w:rsidR="0096304B">
              <w:rPr>
                <w:rFonts w:ascii="Calibri" w:hAnsi="Calibri" w:cs="Arial"/>
                <w:sz w:val="18"/>
                <w:szCs w:val="18"/>
              </w:rPr>
              <w:t xml:space="preserve">or Interest </w:t>
            </w:r>
            <w:r w:rsidRPr="008B7E47">
              <w:rPr>
                <w:rFonts w:ascii="Calibri" w:hAnsi="Calibri" w:cs="Arial"/>
                <w:sz w:val="18"/>
                <w:szCs w:val="18"/>
              </w:rPr>
              <w:t>Rate Calculation</w:t>
            </w:r>
            <w:r>
              <w:rPr>
                <w:rFonts w:ascii="Calibri" w:hAnsi="Calibri" w:cs="Arial"/>
                <w:sz w:val="18"/>
                <w:szCs w:val="18"/>
              </w:rPr>
              <w:t xml:space="preserve"> and</w:t>
            </w:r>
            <w:r w:rsidRPr="008B7E47">
              <w:rPr>
                <w:rFonts w:ascii="Calibri" w:hAnsi="Calibri" w:cs="Arial"/>
                <w:sz w:val="18"/>
                <w:szCs w:val="18"/>
              </w:rPr>
              <w:t xml:space="preserve"> the name of the applicant institution will be made available to the public</w:t>
            </w:r>
            <w:r>
              <w:rPr>
                <w:rFonts w:ascii="Calibri" w:hAnsi="Calibri" w:cs="Arial"/>
                <w:sz w:val="18"/>
                <w:szCs w:val="18"/>
              </w:rPr>
              <w:t xml:space="preserve"> </w:t>
            </w:r>
            <w:r w:rsidRPr="008B7E47">
              <w:rPr>
                <w:rFonts w:ascii="Calibri" w:hAnsi="Calibri" w:cs="Arial"/>
                <w:sz w:val="18"/>
                <w:szCs w:val="18"/>
              </w:rPr>
              <w:t xml:space="preserve">when Treasury reports on bank </w:t>
            </w:r>
            <w:r w:rsidR="00827C3F">
              <w:rPr>
                <w:rFonts w:ascii="Calibri" w:hAnsi="Calibri" w:cs="Arial"/>
                <w:sz w:val="18"/>
                <w:szCs w:val="18"/>
              </w:rPr>
              <w:t xml:space="preserve">and savings association </w:t>
            </w:r>
            <w:r w:rsidRPr="008B7E47">
              <w:rPr>
                <w:rFonts w:ascii="Calibri" w:hAnsi="Calibri" w:cs="Arial"/>
                <w:sz w:val="18"/>
                <w:szCs w:val="18"/>
              </w:rPr>
              <w:t>participation in the Small Business Lending Fund.</w:t>
            </w:r>
          </w:p>
        </w:tc>
      </w:tr>
    </w:tbl>
    <w:p w:rsidR="00933ADD" w:rsidRPr="005B3025" w:rsidRDefault="00933ADD" w:rsidP="00933ADD">
      <w:pPr>
        <w:spacing w:after="144"/>
        <w:rPr>
          <w:rFonts w:ascii="Calibri" w:hAnsi="Calibri" w:cs="Arial"/>
          <w:sz w:val="20"/>
          <w:szCs w:val="20"/>
        </w:rPr>
      </w:pPr>
    </w:p>
    <w:sectPr w:rsidR="00933ADD" w:rsidRPr="005B3025" w:rsidSect="00933ADD">
      <w:footerReference w:type="default" r:id="rId11"/>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415" w:rsidRDefault="00763415" w:rsidP="00BF78DC">
      <w:pPr>
        <w:spacing w:after="0" w:line="240" w:lineRule="auto"/>
      </w:pPr>
      <w:r>
        <w:separator/>
      </w:r>
    </w:p>
  </w:endnote>
  <w:endnote w:type="continuationSeparator" w:id="0">
    <w:p w:rsidR="00763415" w:rsidRDefault="00763415" w:rsidP="00BF7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93954"/>
      <w:docPartObj>
        <w:docPartGallery w:val="Page Numbers (Bottom of Page)"/>
        <w:docPartUnique/>
      </w:docPartObj>
    </w:sdtPr>
    <w:sdtEndPr/>
    <w:sdtContent>
      <w:p w:rsidR="007776FD" w:rsidRDefault="007776FD" w:rsidP="00933ADD">
        <w:pPr>
          <w:spacing w:before="180" w:after="0" w:line="240" w:lineRule="auto"/>
          <w:jc w:val="right"/>
        </w:pPr>
        <w:r w:rsidRPr="00933ADD">
          <w:rPr>
            <w:noProof/>
            <w:sz w:val="18"/>
            <w:szCs w:val="18"/>
          </w:rPr>
          <w:drawing>
            <wp:anchor distT="0" distB="0" distL="114300" distR="114300" simplePos="0" relativeHeight="251659264" behindDoc="1" locked="0" layoutInCell="1" allowOverlap="1" wp14:anchorId="53A24737" wp14:editId="1392E7B1">
              <wp:simplePos x="0" y="0"/>
              <wp:positionH relativeFrom="column">
                <wp:posOffset>-49530</wp:posOffset>
              </wp:positionH>
              <wp:positionV relativeFrom="paragraph">
                <wp:posOffset>-15240</wp:posOffset>
              </wp:positionV>
              <wp:extent cx="2869565" cy="350520"/>
              <wp:effectExtent l="19050" t="0" r="6985" b="0"/>
              <wp:wrapTight wrapText="bothSides">
                <wp:wrapPolygon edited="0">
                  <wp:start x="-143" y="0"/>
                  <wp:lineTo x="-143" y="19957"/>
                  <wp:lineTo x="21653" y="19957"/>
                  <wp:lineTo x="21653" y="0"/>
                  <wp:lineTo x="-143" y="0"/>
                </wp:wrapPolygon>
              </wp:wrapTight>
              <wp:docPr id="15" name="Picture 3" descr="Treasury_SBLF_AllHor_combo 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sury_SBLF_AllHor_combo logoBW.jpg"/>
                      <pic:cNvPicPr/>
                    </pic:nvPicPr>
                    <pic:blipFill>
                      <a:blip r:embed="rId1"/>
                      <a:stretch>
                        <a:fillRect/>
                      </a:stretch>
                    </pic:blipFill>
                    <pic:spPr>
                      <a:xfrm>
                        <a:off x="0" y="0"/>
                        <a:ext cx="2869565" cy="350520"/>
                      </a:xfrm>
                      <a:prstGeom prst="rect">
                        <a:avLst/>
                      </a:prstGeom>
                    </pic:spPr>
                  </pic:pic>
                </a:graphicData>
              </a:graphic>
            </wp:anchor>
          </w:drawing>
        </w:r>
        <w:r w:rsidRPr="00933ADD">
          <w:rPr>
            <w:sz w:val="18"/>
            <w:szCs w:val="18"/>
          </w:rPr>
          <w:t xml:space="preserve">Quarterly </w:t>
        </w:r>
        <w:r w:rsidRPr="008B7E47">
          <w:rPr>
            <w:sz w:val="18"/>
            <w:szCs w:val="18"/>
          </w:rPr>
          <w:t>Supplemental Report for Banks</w:t>
        </w:r>
        <w:r>
          <w:rPr>
            <w:sz w:val="18"/>
            <w:szCs w:val="18"/>
          </w:rPr>
          <w:t xml:space="preserve"> and Savings Associations</w:t>
        </w:r>
        <w:r>
          <w:t xml:space="preserve">    </w:t>
        </w:r>
        <w:r w:rsidR="00882127">
          <w:fldChar w:fldCharType="begin"/>
        </w:r>
        <w:r w:rsidR="008435D8">
          <w:instrText xml:space="preserve"> PAGE   \* MERGEFORMAT </w:instrText>
        </w:r>
        <w:r w:rsidR="00882127">
          <w:fldChar w:fldCharType="separate"/>
        </w:r>
        <w:r w:rsidR="0090224E">
          <w:rPr>
            <w:noProof/>
          </w:rPr>
          <w:t>1</w:t>
        </w:r>
        <w:r w:rsidR="00882127">
          <w:rPr>
            <w:noProof/>
          </w:rPr>
          <w:fldChar w:fldCharType="end"/>
        </w:r>
      </w:p>
      <w:p w:rsidR="007776FD" w:rsidRPr="00EB4303" w:rsidRDefault="007776FD" w:rsidP="00022C18">
        <w:pPr>
          <w:spacing w:after="0" w:line="240" w:lineRule="auto"/>
          <w:rPr>
            <w:sz w:val="12"/>
            <w:szCs w:val="12"/>
          </w:rPr>
        </w:pPr>
      </w:p>
      <w:p w:rsidR="00EB4303" w:rsidRPr="00EB4303" w:rsidRDefault="00EB4303" w:rsidP="00022C18">
        <w:pPr>
          <w:spacing w:after="0" w:line="240" w:lineRule="auto"/>
          <w:rPr>
            <w:sz w:val="12"/>
            <w:szCs w:val="12"/>
          </w:rPr>
        </w:pPr>
      </w:p>
      <w:p w:rsidR="007776FD" w:rsidRPr="00933ADD" w:rsidRDefault="007776FD" w:rsidP="00CA46D3">
        <w:pPr>
          <w:pStyle w:val="Footer"/>
          <w:tabs>
            <w:tab w:val="clear" w:pos="4680"/>
            <w:tab w:val="clear" w:pos="9360"/>
            <w:tab w:val="right" w:pos="10800"/>
          </w:tabs>
          <w:jc w:val="center"/>
        </w:pPr>
        <w:r w:rsidRPr="00DB39B4">
          <w:rPr>
            <w:sz w:val="16"/>
            <w:szCs w:val="16"/>
          </w:rPr>
          <w:t>Treasury Department Form: TD F 102.4</w:t>
        </w:r>
        <w:r>
          <w:rPr>
            <w:sz w:val="16"/>
            <w:szCs w:val="16"/>
          </w:rPr>
          <w:t xml:space="preserve"> (</w:t>
        </w:r>
        <w:r w:rsidR="005B4B78">
          <w:rPr>
            <w:sz w:val="16"/>
            <w:szCs w:val="16"/>
          </w:rPr>
          <w:t>04/26</w:t>
        </w:r>
        <w:r>
          <w:rPr>
            <w:sz w:val="16"/>
            <w:szCs w:val="16"/>
          </w:rPr>
          <w:t>/</w:t>
        </w:r>
        <w:r w:rsidR="00723948">
          <w:rPr>
            <w:sz w:val="16"/>
            <w:szCs w:val="16"/>
          </w:rPr>
          <w:t>20</w:t>
        </w:r>
        <w:r>
          <w:rPr>
            <w:sz w:val="16"/>
            <w:szCs w:val="16"/>
          </w:rPr>
          <w:t>12</w:t>
        </w:r>
        <w:r w:rsidRPr="00DB39B4">
          <w:rPr>
            <w:sz w:val="16"/>
            <w:szCs w:val="16"/>
          </w:rPr>
          <w:t>)</w:t>
        </w:r>
        <w:r>
          <w:rPr>
            <w:sz w:val="16"/>
            <w:szCs w:val="16"/>
          </w:rPr>
          <w:t xml:space="preserve"> </w:t>
        </w:r>
        <w:r w:rsidRPr="00F03065">
          <w:rPr>
            <w:sz w:val="16"/>
            <w:szCs w:val="16"/>
          </w:rPr>
          <w:t>v</w:t>
        </w:r>
        <w:r>
          <w:rPr>
            <w:sz w:val="16"/>
            <w:szCs w:val="16"/>
          </w:rPr>
          <w:t>5</w:t>
        </w:r>
        <w:r>
          <w:rPr>
            <w:sz w:val="16"/>
            <w:szCs w:val="16"/>
          </w:rPr>
          <w:tab/>
          <w:t>OMB Number: 1505-0228</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2303"/>
      <w:docPartObj>
        <w:docPartGallery w:val="Page Numbers (Bottom of Page)"/>
        <w:docPartUnique/>
      </w:docPartObj>
    </w:sdtPr>
    <w:sdtEndPr/>
    <w:sdtContent>
      <w:p w:rsidR="007776FD" w:rsidRDefault="007776FD" w:rsidP="00933ADD">
        <w:pPr>
          <w:spacing w:before="180" w:after="0" w:line="240" w:lineRule="auto"/>
          <w:jc w:val="right"/>
        </w:pPr>
        <w:r w:rsidRPr="00933ADD">
          <w:rPr>
            <w:noProof/>
            <w:sz w:val="18"/>
            <w:szCs w:val="18"/>
          </w:rPr>
          <w:drawing>
            <wp:anchor distT="0" distB="0" distL="114300" distR="114300" simplePos="0" relativeHeight="251661312" behindDoc="1" locked="0" layoutInCell="1" allowOverlap="1" wp14:anchorId="5698A934" wp14:editId="39A00635">
              <wp:simplePos x="0" y="0"/>
              <wp:positionH relativeFrom="column">
                <wp:posOffset>-49530</wp:posOffset>
              </wp:positionH>
              <wp:positionV relativeFrom="paragraph">
                <wp:posOffset>-15240</wp:posOffset>
              </wp:positionV>
              <wp:extent cx="2869565" cy="350520"/>
              <wp:effectExtent l="19050" t="0" r="6985" b="0"/>
              <wp:wrapTight wrapText="bothSides">
                <wp:wrapPolygon edited="0">
                  <wp:start x="-143" y="0"/>
                  <wp:lineTo x="-143" y="19957"/>
                  <wp:lineTo x="21653" y="19957"/>
                  <wp:lineTo x="21653" y="0"/>
                  <wp:lineTo x="-143" y="0"/>
                </wp:wrapPolygon>
              </wp:wrapTight>
              <wp:docPr id="1" name="Picture 3" descr="Treasury_SBLF_AllHor_combo 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sury_SBLF_AllHor_combo logoBW.jpg"/>
                      <pic:cNvPicPr/>
                    </pic:nvPicPr>
                    <pic:blipFill>
                      <a:blip r:embed="rId1"/>
                      <a:stretch>
                        <a:fillRect/>
                      </a:stretch>
                    </pic:blipFill>
                    <pic:spPr>
                      <a:xfrm>
                        <a:off x="0" y="0"/>
                        <a:ext cx="2869565" cy="350520"/>
                      </a:xfrm>
                      <a:prstGeom prst="rect">
                        <a:avLst/>
                      </a:prstGeom>
                    </pic:spPr>
                  </pic:pic>
                </a:graphicData>
              </a:graphic>
            </wp:anchor>
          </w:drawing>
        </w:r>
        <w:r w:rsidRPr="00933ADD">
          <w:rPr>
            <w:sz w:val="18"/>
            <w:szCs w:val="18"/>
          </w:rPr>
          <w:t xml:space="preserve">Quarterly </w:t>
        </w:r>
        <w:r w:rsidRPr="008B7E47">
          <w:rPr>
            <w:sz w:val="18"/>
            <w:szCs w:val="18"/>
          </w:rPr>
          <w:t>Supplemental Report for Banks</w:t>
        </w:r>
        <w:r>
          <w:rPr>
            <w:sz w:val="18"/>
            <w:szCs w:val="18"/>
          </w:rPr>
          <w:t xml:space="preserve"> and Savings Associations</w:t>
        </w:r>
        <w:r>
          <w:t xml:space="preserve">    </w:t>
        </w:r>
        <w:r w:rsidR="00882127">
          <w:fldChar w:fldCharType="begin"/>
        </w:r>
        <w:r w:rsidR="008435D8">
          <w:instrText xml:space="preserve"> PAGE   \* MERGEFORMAT </w:instrText>
        </w:r>
        <w:r w:rsidR="00882127">
          <w:fldChar w:fldCharType="separate"/>
        </w:r>
        <w:r w:rsidR="0090224E">
          <w:rPr>
            <w:noProof/>
          </w:rPr>
          <w:t>5</w:t>
        </w:r>
        <w:r w:rsidR="00882127">
          <w:rPr>
            <w:noProof/>
          </w:rPr>
          <w:fldChar w:fldCharType="end"/>
        </w:r>
      </w:p>
      <w:p w:rsidR="007776FD" w:rsidRDefault="007776FD" w:rsidP="00933ADD">
        <w:pPr>
          <w:spacing w:after="0" w:line="240" w:lineRule="auto"/>
          <w:jc w:val="right"/>
        </w:pPr>
      </w:p>
      <w:p w:rsidR="007776FD" w:rsidRPr="00933ADD" w:rsidRDefault="007776FD" w:rsidP="00933ADD">
        <w:pPr>
          <w:pStyle w:val="Footer"/>
          <w:tabs>
            <w:tab w:val="clear" w:pos="4680"/>
            <w:tab w:val="clear" w:pos="9360"/>
            <w:tab w:val="right" w:pos="10800"/>
          </w:tabs>
        </w:pPr>
        <w:r w:rsidRPr="00DB39B4">
          <w:rPr>
            <w:sz w:val="16"/>
            <w:szCs w:val="16"/>
          </w:rPr>
          <w:t>Treasury Department Form: TD F 102.4</w:t>
        </w:r>
        <w:r>
          <w:rPr>
            <w:sz w:val="16"/>
            <w:szCs w:val="16"/>
          </w:rPr>
          <w:t xml:space="preserve"> (</w:t>
        </w:r>
        <w:r w:rsidR="005B4B78">
          <w:rPr>
            <w:sz w:val="16"/>
            <w:szCs w:val="16"/>
          </w:rPr>
          <w:t>04/26</w:t>
        </w:r>
        <w:r w:rsidRPr="00DB39B4">
          <w:rPr>
            <w:sz w:val="16"/>
            <w:szCs w:val="16"/>
          </w:rPr>
          <w:t>/201</w:t>
        </w:r>
        <w:r>
          <w:rPr>
            <w:sz w:val="16"/>
            <w:szCs w:val="16"/>
          </w:rPr>
          <w:t>2</w:t>
        </w:r>
        <w:r w:rsidRPr="00DB39B4">
          <w:rPr>
            <w:sz w:val="16"/>
            <w:szCs w:val="16"/>
          </w:rPr>
          <w:t>)</w:t>
        </w:r>
        <w:r>
          <w:rPr>
            <w:sz w:val="16"/>
            <w:szCs w:val="16"/>
          </w:rPr>
          <w:t xml:space="preserve"> </w:t>
        </w:r>
        <w:r>
          <w:rPr>
            <w:sz w:val="16"/>
            <w:szCs w:val="16"/>
          </w:rPr>
          <w:tab/>
          <w:t>OMB Number: 1505-0228</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415" w:rsidRDefault="00763415" w:rsidP="00BF78DC">
      <w:pPr>
        <w:spacing w:after="0" w:line="240" w:lineRule="auto"/>
      </w:pPr>
      <w:r>
        <w:separator/>
      </w:r>
    </w:p>
  </w:footnote>
  <w:footnote w:type="continuationSeparator" w:id="0">
    <w:p w:rsidR="00763415" w:rsidRDefault="00763415" w:rsidP="00BF78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F2223"/>
    <w:multiLevelType w:val="hybridMultilevel"/>
    <w:tmpl w:val="34F63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44423"/>
    <w:multiLevelType w:val="hybridMultilevel"/>
    <w:tmpl w:val="88B02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2C3D89"/>
    <w:multiLevelType w:val="hybridMultilevel"/>
    <w:tmpl w:val="D8DC27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3B3A76"/>
    <w:multiLevelType w:val="hybridMultilevel"/>
    <w:tmpl w:val="0FA0ED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BE5258B"/>
    <w:multiLevelType w:val="hybridMultilevel"/>
    <w:tmpl w:val="42507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1F2814"/>
    <w:multiLevelType w:val="hybridMultilevel"/>
    <w:tmpl w:val="672C676A"/>
    <w:lvl w:ilvl="0" w:tplc="A5683726">
      <w:start w:val="1"/>
      <w:numFmt w:val="decimal"/>
      <w:lvlText w:val="%1."/>
      <w:lvlJc w:val="left"/>
      <w:pPr>
        <w:ind w:left="63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673771"/>
    <w:multiLevelType w:val="hybridMultilevel"/>
    <w:tmpl w:val="E4F06740"/>
    <w:lvl w:ilvl="0" w:tplc="A5683726">
      <w:start w:val="1"/>
      <w:numFmt w:val="decimal"/>
      <w:lvlText w:val="%1."/>
      <w:lvlJc w:val="left"/>
      <w:pPr>
        <w:ind w:left="63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A57B9F"/>
    <w:multiLevelType w:val="hybridMultilevel"/>
    <w:tmpl w:val="94646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0F748D"/>
    <w:multiLevelType w:val="hybridMultilevel"/>
    <w:tmpl w:val="A6DAA9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A711938"/>
    <w:multiLevelType w:val="hybridMultilevel"/>
    <w:tmpl w:val="C22A55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EC52AFE"/>
    <w:multiLevelType w:val="hybridMultilevel"/>
    <w:tmpl w:val="0EF4F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FD612E"/>
    <w:multiLevelType w:val="hybridMultilevel"/>
    <w:tmpl w:val="A6DAA9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1C91473"/>
    <w:multiLevelType w:val="hybridMultilevel"/>
    <w:tmpl w:val="5408295A"/>
    <w:lvl w:ilvl="0" w:tplc="A5683726">
      <w:start w:val="1"/>
      <w:numFmt w:val="decimal"/>
      <w:lvlText w:val="%1."/>
      <w:lvlJc w:val="left"/>
      <w:pPr>
        <w:ind w:left="63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447306"/>
    <w:multiLevelType w:val="hybridMultilevel"/>
    <w:tmpl w:val="03F04F1A"/>
    <w:lvl w:ilvl="0" w:tplc="73A4F14E">
      <w:start w:val="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EA5AC6"/>
    <w:multiLevelType w:val="hybridMultilevel"/>
    <w:tmpl w:val="5596CE4A"/>
    <w:lvl w:ilvl="0" w:tplc="2F44B458">
      <w:start w:val="1"/>
      <w:numFmt w:val="bullet"/>
      <w:lvlText w:val="•"/>
      <w:lvlJc w:val="left"/>
      <w:pPr>
        <w:ind w:left="720" w:hanging="360"/>
      </w:pPr>
      <w:rPr>
        <w:rFonts w:ascii="Arial" w:hAnsi="Arial" w:hint="default"/>
        <w:color w:val="E31B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7"/>
  </w:num>
  <w:num w:numId="4">
    <w:abstractNumId w:val="9"/>
  </w:num>
  <w:num w:numId="5">
    <w:abstractNumId w:val="8"/>
  </w:num>
  <w:num w:numId="6">
    <w:abstractNumId w:val="2"/>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3"/>
  </w:num>
  <w:num w:numId="10">
    <w:abstractNumId w:val="0"/>
  </w:num>
  <w:num w:numId="11">
    <w:abstractNumId w:val="4"/>
  </w:num>
  <w:num w:numId="12">
    <w:abstractNumId w:val="6"/>
  </w:num>
  <w:num w:numId="13">
    <w:abstractNumId w:val="12"/>
  </w:num>
  <w:num w:numId="14">
    <w:abstractNumId w:val="5"/>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776AFE"/>
    <w:rsid w:val="00004CB6"/>
    <w:rsid w:val="00020B7B"/>
    <w:rsid w:val="0002162E"/>
    <w:rsid w:val="0002257F"/>
    <w:rsid w:val="00022C18"/>
    <w:rsid w:val="00022C55"/>
    <w:rsid w:val="00022DE3"/>
    <w:rsid w:val="0003130A"/>
    <w:rsid w:val="00032A98"/>
    <w:rsid w:val="000335A5"/>
    <w:rsid w:val="0003438F"/>
    <w:rsid w:val="0004708E"/>
    <w:rsid w:val="00051207"/>
    <w:rsid w:val="000554BC"/>
    <w:rsid w:val="00056760"/>
    <w:rsid w:val="000578B6"/>
    <w:rsid w:val="00060A2F"/>
    <w:rsid w:val="00062A96"/>
    <w:rsid w:val="000635EB"/>
    <w:rsid w:val="000648CC"/>
    <w:rsid w:val="00065DF1"/>
    <w:rsid w:val="00067596"/>
    <w:rsid w:val="00067B30"/>
    <w:rsid w:val="00072B02"/>
    <w:rsid w:val="0007685F"/>
    <w:rsid w:val="00090632"/>
    <w:rsid w:val="00091C4A"/>
    <w:rsid w:val="000946B0"/>
    <w:rsid w:val="000949FE"/>
    <w:rsid w:val="000A221D"/>
    <w:rsid w:val="000A3103"/>
    <w:rsid w:val="000A32BF"/>
    <w:rsid w:val="000A39EB"/>
    <w:rsid w:val="000B3425"/>
    <w:rsid w:val="000B41C1"/>
    <w:rsid w:val="000C03C2"/>
    <w:rsid w:val="000C59F3"/>
    <w:rsid w:val="000C6BAB"/>
    <w:rsid w:val="000D1649"/>
    <w:rsid w:val="000D22BB"/>
    <w:rsid w:val="000D5235"/>
    <w:rsid w:val="000E0894"/>
    <w:rsid w:val="000E1A45"/>
    <w:rsid w:val="000F0888"/>
    <w:rsid w:val="000F4B22"/>
    <w:rsid w:val="000F60D6"/>
    <w:rsid w:val="000F7481"/>
    <w:rsid w:val="000F7B36"/>
    <w:rsid w:val="00103612"/>
    <w:rsid w:val="00106AC6"/>
    <w:rsid w:val="0011081C"/>
    <w:rsid w:val="00115184"/>
    <w:rsid w:val="00121853"/>
    <w:rsid w:val="00122FF9"/>
    <w:rsid w:val="00124866"/>
    <w:rsid w:val="00127926"/>
    <w:rsid w:val="00130BB1"/>
    <w:rsid w:val="00131C66"/>
    <w:rsid w:val="0013485A"/>
    <w:rsid w:val="00140A6B"/>
    <w:rsid w:val="0014274E"/>
    <w:rsid w:val="0014312D"/>
    <w:rsid w:val="0014588B"/>
    <w:rsid w:val="00146593"/>
    <w:rsid w:val="00147543"/>
    <w:rsid w:val="00153D92"/>
    <w:rsid w:val="00154DCB"/>
    <w:rsid w:val="001558E5"/>
    <w:rsid w:val="00155D6B"/>
    <w:rsid w:val="00166486"/>
    <w:rsid w:val="00170306"/>
    <w:rsid w:val="00170AA8"/>
    <w:rsid w:val="0017129B"/>
    <w:rsid w:val="0017202C"/>
    <w:rsid w:val="001761C1"/>
    <w:rsid w:val="00177C52"/>
    <w:rsid w:val="001823A1"/>
    <w:rsid w:val="00182611"/>
    <w:rsid w:val="00183946"/>
    <w:rsid w:val="00192205"/>
    <w:rsid w:val="00193382"/>
    <w:rsid w:val="00194189"/>
    <w:rsid w:val="00197C68"/>
    <w:rsid w:val="001A41D8"/>
    <w:rsid w:val="001A5253"/>
    <w:rsid w:val="001A5283"/>
    <w:rsid w:val="001A5D01"/>
    <w:rsid w:val="001A7CB1"/>
    <w:rsid w:val="001B010E"/>
    <w:rsid w:val="001B4E62"/>
    <w:rsid w:val="001B68B1"/>
    <w:rsid w:val="001B6A33"/>
    <w:rsid w:val="001C0F0F"/>
    <w:rsid w:val="001D1C18"/>
    <w:rsid w:val="001D2EC9"/>
    <w:rsid w:val="001E25B5"/>
    <w:rsid w:val="001E2B61"/>
    <w:rsid w:val="001E4BE8"/>
    <w:rsid w:val="001E7FCD"/>
    <w:rsid w:val="001F0402"/>
    <w:rsid w:val="001F5289"/>
    <w:rsid w:val="001F62A8"/>
    <w:rsid w:val="00205D70"/>
    <w:rsid w:val="00213F2A"/>
    <w:rsid w:val="002142B8"/>
    <w:rsid w:val="00214B3D"/>
    <w:rsid w:val="00214B97"/>
    <w:rsid w:val="002158DA"/>
    <w:rsid w:val="00216B60"/>
    <w:rsid w:val="00216F6D"/>
    <w:rsid w:val="00220B38"/>
    <w:rsid w:val="002218B2"/>
    <w:rsid w:val="002232A4"/>
    <w:rsid w:val="00225D1E"/>
    <w:rsid w:val="00227C45"/>
    <w:rsid w:val="00231883"/>
    <w:rsid w:val="00232087"/>
    <w:rsid w:val="00234DEF"/>
    <w:rsid w:val="00237F5F"/>
    <w:rsid w:val="002409BC"/>
    <w:rsid w:val="00243205"/>
    <w:rsid w:val="002458F2"/>
    <w:rsid w:val="00247CC9"/>
    <w:rsid w:val="00247EA5"/>
    <w:rsid w:val="00251654"/>
    <w:rsid w:val="0025231E"/>
    <w:rsid w:val="00254A69"/>
    <w:rsid w:val="0026340B"/>
    <w:rsid w:val="002651BB"/>
    <w:rsid w:val="0026612B"/>
    <w:rsid w:val="00271A28"/>
    <w:rsid w:val="0027667D"/>
    <w:rsid w:val="00277273"/>
    <w:rsid w:val="0028703B"/>
    <w:rsid w:val="00287209"/>
    <w:rsid w:val="00291EA8"/>
    <w:rsid w:val="002A03DB"/>
    <w:rsid w:val="002A2BCA"/>
    <w:rsid w:val="002A3F56"/>
    <w:rsid w:val="002A7A65"/>
    <w:rsid w:val="002B1FEF"/>
    <w:rsid w:val="002B5D56"/>
    <w:rsid w:val="002C0D40"/>
    <w:rsid w:val="002C204B"/>
    <w:rsid w:val="002C2E0A"/>
    <w:rsid w:val="002D1F0F"/>
    <w:rsid w:val="002D208A"/>
    <w:rsid w:val="002E3554"/>
    <w:rsid w:val="002E4246"/>
    <w:rsid w:val="002E6909"/>
    <w:rsid w:val="002F189D"/>
    <w:rsid w:val="002F679E"/>
    <w:rsid w:val="002F766B"/>
    <w:rsid w:val="002F779F"/>
    <w:rsid w:val="002F7C32"/>
    <w:rsid w:val="003019C7"/>
    <w:rsid w:val="003114BF"/>
    <w:rsid w:val="00313753"/>
    <w:rsid w:val="0032066D"/>
    <w:rsid w:val="00320DC0"/>
    <w:rsid w:val="00323532"/>
    <w:rsid w:val="00326F14"/>
    <w:rsid w:val="00331E66"/>
    <w:rsid w:val="003321AC"/>
    <w:rsid w:val="003367F7"/>
    <w:rsid w:val="00340FC1"/>
    <w:rsid w:val="00341998"/>
    <w:rsid w:val="00350BAD"/>
    <w:rsid w:val="003526E0"/>
    <w:rsid w:val="00352FF2"/>
    <w:rsid w:val="003535F8"/>
    <w:rsid w:val="00355C05"/>
    <w:rsid w:val="003568DD"/>
    <w:rsid w:val="00357AC2"/>
    <w:rsid w:val="003618E1"/>
    <w:rsid w:val="00362436"/>
    <w:rsid w:val="00362630"/>
    <w:rsid w:val="00365C7D"/>
    <w:rsid w:val="00371570"/>
    <w:rsid w:val="00373CE7"/>
    <w:rsid w:val="003740A3"/>
    <w:rsid w:val="003763E5"/>
    <w:rsid w:val="00377E96"/>
    <w:rsid w:val="0038031C"/>
    <w:rsid w:val="0038203F"/>
    <w:rsid w:val="003874DD"/>
    <w:rsid w:val="00390D34"/>
    <w:rsid w:val="00397312"/>
    <w:rsid w:val="003A66F6"/>
    <w:rsid w:val="003B6A9F"/>
    <w:rsid w:val="003B6E9C"/>
    <w:rsid w:val="003C10E2"/>
    <w:rsid w:val="003C2337"/>
    <w:rsid w:val="003C7000"/>
    <w:rsid w:val="003D4F91"/>
    <w:rsid w:val="003D526D"/>
    <w:rsid w:val="003D777C"/>
    <w:rsid w:val="003E143B"/>
    <w:rsid w:val="003F3594"/>
    <w:rsid w:val="003F3FF0"/>
    <w:rsid w:val="00400C7E"/>
    <w:rsid w:val="00400F1A"/>
    <w:rsid w:val="0040508E"/>
    <w:rsid w:val="00407A47"/>
    <w:rsid w:val="00411AB7"/>
    <w:rsid w:val="00411EA5"/>
    <w:rsid w:val="004144E6"/>
    <w:rsid w:val="00416DAA"/>
    <w:rsid w:val="00420B98"/>
    <w:rsid w:val="004222CA"/>
    <w:rsid w:val="0042477E"/>
    <w:rsid w:val="0042497B"/>
    <w:rsid w:val="004301FA"/>
    <w:rsid w:val="00431C6A"/>
    <w:rsid w:val="0043295B"/>
    <w:rsid w:val="00434F19"/>
    <w:rsid w:val="0043528B"/>
    <w:rsid w:val="00435821"/>
    <w:rsid w:val="0043717D"/>
    <w:rsid w:val="004407B2"/>
    <w:rsid w:val="00441283"/>
    <w:rsid w:val="004420BC"/>
    <w:rsid w:val="00450961"/>
    <w:rsid w:val="004517FB"/>
    <w:rsid w:val="00452EC9"/>
    <w:rsid w:val="00455A7A"/>
    <w:rsid w:val="0045644C"/>
    <w:rsid w:val="00457E8A"/>
    <w:rsid w:val="00463C2E"/>
    <w:rsid w:val="00474D4C"/>
    <w:rsid w:val="004837E9"/>
    <w:rsid w:val="004857C4"/>
    <w:rsid w:val="004869A1"/>
    <w:rsid w:val="00486AEE"/>
    <w:rsid w:val="00493DA0"/>
    <w:rsid w:val="00493EEF"/>
    <w:rsid w:val="00495263"/>
    <w:rsid w:val="00496406"/>
    <w:rsid w:val="004A093F"/>
    <w:rsid w:val="004A3E53"/>
    <w:rsid w:val="004A6A04"/>
    <w:rsid w:val="004A6A44"/>
    <w:rsid w:val="004B2F35"/>
    <w:rsid w:val="004B3D7F"/>
    <w:rsid w:val="004C018C"/>
    <w:rsid w:val="004D00FD"/>
    <w:rsid w:val="004D32C4"/>
    <w:rsid w:val="004D5258"/>
    <w:rsid w:val="004D7462"/>
    <w:rsid w:val="004E522A"/>
    <w:rsid w:val="004E544B"/>
    <w:rsid w:val="004E68AE"/>
    <w:rsid w:val="004F2CD3"/>
    <w:rsid w:val="004F41BC"/>
    <w:rsid w:val="004F440A"/>
    <w:rsid w:val="004F4DD9"/>
    <w:rsid w:val="004F691A"/>
    <w:rsid w:val="00506860"/>
    <w:rsid w:val="00512F61"/>
    <w:rsid w:val="005130CE"/>
    <w:rsid w:val="00514621"/>
    <w:rsid w:val="00515826"/>
    <w:rsid w:val="00516460"/>
    <w:rsid w:val="00524C1E"/>
    <w:rsid w:val="00526C48"/>
    <w:rsid w:val="00526E37"/>
    <w:rsid w:val="00526E57"/>
    <w:rsid w:val="00536352"/>
    <w:rsid w:val="00537F35"/>
    <w:rsid w:val="00540096"/>
    <w:rsid w:val="00540FCD"/>
    <w:rsid w:val="00541768"/>
    <w:rsid w:val="005422C7"/>
    <w:rsid w:val="00544EF0"/>
    <w:rsid w:val="005471F7"/>
    <w:rsid w:val="00551E12"/>
    <w:rsid w:val="00553043"/>
    <w:rsid w:val="005545FC"/>
    <w:rsid w:val="005546CC"/>
    <w:rsid w:val="005572FE"/>
    <w:rsid w:val="00562136"/>
    <w:rsid w:val="0056371B"/>
    <w:rsid w:val="00571DE0"/>
    <w:rsid w:val="005731C0"/>
    <w:rsid w:val="0057364E"/>
    <w:rsid w:val="00574D91"/>
    <w:rsid w:val="005759B5"/>
    <w:rsid w:val="005814BA"/>
    <w:rsid w:val="00583118"/>
    <w:rsid w:val="00587090"/>
    <w:rsid w:val="005950B7"/>
    <w:rsid w:val="005A2AA2"/>
    <w:rsid w:val="005B062C"/>
    <w:rsid w:val="005B3025"/>
    <w:rsid w:val="005B4B78"/>
    <w:rsid w:val="005B62B6"/>
    <w:rsid w:val="005C1640"/>
    <w:rsid w:val="005C3991"/>
    <w:rsid w:val="005C3ED5"/>
    <w:rsid w:val="005C48A8"/>
    <w:rsid w:val="005C7028"/>
    <w:rsid w:val="005D0881"/>
    <w:rsid w:val="005D0D32"/>
    <w:rsid w:val="005D2D90"/>
    <w:rsid w:val="005D496B"/>
    <w:rsid w:val="005E1BC5"/>
    <w:rsid w:val="005E4EB5"/>
    <w:rsid w:val="005E50DF"/>
    <w:rsid w:val="005E70AA"/>
    <w:rsid w:val="005E71A0"/>
    <w:rsid w:val="005F0677"/>
    <w:rsid w:val="005F1E87"/>
    <w:rsid w:val="005F511F"/>
    <w:rsid w:val="005F65DB"/>
    <w:rsid w:val="00606797"/>
    <w:rsid w:val="006117E4"/>
    <w:rsid w:val="00615762"/>
    <w:rsid w:val="00620090"/>
    <w:rsid w:val="00620414"/>
    <w:rsid w:val="006216B4"/>
    <w:rsid w:val="0062378A"/>
    <w:rsid w:val="0062486C"/>
    <w:rsid w:val="00625A0D"/>
    <w:rsid w:val="006328A3"/>
    <w:rsid w:val="006339A9"/>
    <w:rsid w:val="00636684"/>
    <w:rsid w:val="00641CFC"/>
    <w:rsid w:val="00642AF7"/>
    <w:rsid w:val="00646740"/>
    <w:rsid w:val="00646FD3"/>
    <w:rsid w:val="0065027D"/>
    <w:rsid w:val="006507E3"/>
    <w:rsid w:val="00650E07"/>
    <w:rsid w:val="0065108F"/>
    <w:rsid w:val="00654944"/>
    <w:rsid w:val="00664B03"/>
    <w:rsid w:val="006657D8"/>
    <w:rsid w:val="006667B5"/>
    <w:rsid w:val="00667E4D"/>
    <w:rsid w:val="00673E5D"/>
    <w:rsid w:val="00674402"/>
    <w:rsid w:val="00675034"/>
    <w:rsid w:val="00676B15"/>
    <w:rsid w:val="00680B88"/>
    <w:rsid w:val="00685130"/>
    <w:rsid w:val="00686464"/>
    <w:rsid w:val="00697937"/>
    <w:rsid w:val="006A0B1F"/>
    <w:rsid w:val="006A1111"/>
    <w:rsid w:val="006A570E"/>
    <w:rsid w:val="006A6994"/>
    <w:rsid w:val="006B13F1"/>
    <w:rsid w:val="006B2EDD"/>
    <w:rsid w:val="006B71C8"/>
    <w:rsid w:val="006C12B7"/>
    <w:rsid w:val="006C4C48"/>
    <w:rsid w:val="006C5B62"/>
    <w:rsid w:val="006D2D90"/>
    <w:rsid w:val="006D749E"/>
    <w:rsid w:val="006E1F58"/>
    <w:rsid w:val="006E67FF"/>
    <w:rsid w:val="006E6A8C"/>
    <w:rsid w:val="006E7F65"/>
    <w:rsid w:val="006F159C"/>
    <w:rsid w:val="0070144C"/>
    <w:rsid w:val="00703BF7"/>
    <w:rsid w:val="00703DDC"/>
    <w:rsid w:val="007064A4"/>
    <w:rsid w:val="00706995"/>
    <w:rsid w:val="007144BB"/>
    <w:rsid w:val="00716D53"/>
    <w:rsid w:val="007179C3"/>
    <w:rsid w:val="00721336"/>
    <w:rsid w:val="00723948"/>
    <w:rsid w:val="007251F9"/>
    <w:rsid w:val="007254DE"/>
    <w:rsid w:val="00726161"/>
    <w:rsid w:val="00736851"/>
    <w:rsid w:val="0074098F"/>
    <w:rsid w:val="00742B80"/>
    <w:rsid w:val="007458D6"/>
    <w:rsid w:val="00746E2E"/>
    <w:rsid w:val="00746EED"/>
    <w:rsid w:val="00751FCB"/>
    <w:rsid w:val="00753281"/>
    <w:rsid w:val="00754D57"/>
    <w:rsid w:val="00760BD6"/>
    <w:rsid w:val="00763415"/>
    <w:rsid w:val="00763531"/>
    <w:rsid w:val="007641E2"/>
    <w:rsid w:val="00764EBE"/>
    <w:rsid w:val="00765966"/>
    <w:rsid w:val="00771F08"/>
    <w:rsid w:val="00774D3E"/>
    <w:rsid w:val="00775D67"/>
    <w:rsid w:val="0077603A"/>
    <w:rsid w:val="00776AFE"/>
    <w:rsid w:val="007776FD"/>
    <w:rsid w:val="00777A8D"/>
    <w:rsid w:val="0078058F"/>
    <w:rsid w:val="00781790"/>
    <w:rsid w:val="00782739"/>
    <w:rsid w:val="007832CD"/>
    <w:rsid w:val="00786AD6"/>
    <w:rsid w:val="007904AE"/>
    <w:rsid w:val="0079194C"/>
    <w:rsid w:val="007A2F89"/>
    <w:rsid w:val="007A3830"/>
    <w:rsid w:val="007A3C34"/>
    <w:rsid w:val="007A53FA"/>
    <w:rsid w:val="007B2EC8"/>
    <w:rsid w:val="007C56D3"/>
    <w:rsid w:val="007C5E19"/>
    <w:rsid w:val="007C7DF1"/>
    <w:rsid w:val="007E3279"/>
    <w:rsid w:val="007E6ED8"/>
    <w:rsid w:val="007F2883"/>
    <w:rsid w:val="007F653D"/>
    <w:rsid w:val="00802FB6"/>
    <w:rsid w:val="008067EF"/>
    <w:rsid w:val="00812386"/>
    <w:rsid w:val="00815904"/>
    <w:rsid w:val="00815A76"/>
    <w:rsid w:val="008170B8"/>
    <w:rsid w:val="00820632"/>
    <w:rsid w:val="00825ADD"/>
    <w:rsid w:val="008268FC"/>
    <w:rsid w:val="00827C3F"/>
    <w:rsid w:val="00836368"/>
    <w:rsid w:val="008366B9"/>
    <w:rsid w:val="008435D8"/>
    <w:rsid w:val="008451BF"/>
    <w:rsid w:val="0084553A"/>
    <w:rsid w:val="0085266C"/>
    <w:rsid w:val="0085627C"/>
    <w:rsid w:val="00857392"/>
    <w:rsid w:val="0085761D"/>
    <w:rsid w:val="00861D67"/>
    <w:rsid w:val="00863D03"/>
    <w:rsid w:val="00864096"/>
    <w:rsid w:val="00867F27"/>
    <w:rsid w:val="008754AE"/>
    <w:rsid w:val="00881004"/>
    <w:rsid w:val="00882127"/>
    <w:rsid w:val="00883BCA"/>
    <w:rsid w:val="00886CD5"/>
    <w:rsid w:val="00886CFD"/>
    <w:rsid w:val="0089149A"/>
    <w:rsid w:val="008916FE"/>
    <w:rsid w:val="00894BED"/>
    <w:rsid w:val="00896C0F"/>
    <w:rsid w:val="008A220E"/>
    <w:rsid w:val="008B141E"/>
    <w:rsid w:val="008B32DE"/>
    <w:rsid w:val="008B4082"/>
    <w:rsid w:val="008B6AB0"/>
    <w:rsid w:val="008C081F"/>
    <w:rsid w:val="008C1443"/>
    <w:rsid w:val="008C30F1"/>
    <w:rsid w:val="008C44D9"/>
    <w:rsid w:val="008C7968"/>
    <w:rsid w:val="008D0F0A"/>
    <w:rsid w:val="008E0ED5"/>
    <w:rsid w:val="008E56C5"/>
    <w:rsid w:val="008E71D0"/>
    <w:rsid w:val="008F3459"/>
    <w:rsid w:val="008F35C1"/>
    <w:rsid w:val="008F3A6A"/>
    <w:rsid w:val="008F400D"/>
    <w:rsid w:val="008F5BBB"/>
    <w:rsid w:val="0090224E"/>
    <w:rsid w:val="009066C6"/>
    <w:rsid w:val="00911C61"/>
    <w:rsid w:val="009137A4"/>
    <w:rsid w:val="00914759"/>
    <w:rsid w:val="0092025E"/>
    <w:rsid w:val="00923FB7"/>
    <w:rsid w:val="009275DF"/>
    <w:rsid w:val="00933ADD"/>
    <w:rsid w:val="00935159"/>
    <w:rsid w:val="00937F9C"/>
    <w:rsid w:val="009417BB"/>
    <w:rsid w:val="00943345"/>
    <w:rsid w:val="00946719"/>
    <w:rsid w:val="00947DC7"/>
    <w:rsid w:val="0095428F"/>
    <w:rsid w:val="00956EA1"/>
    <w:rsid w:val="00957FCD"/>
    <w:rsid w:val="0096304B"/>
    <w:rsid w:val="0097026F"/>
    <w:rsid w:val="0097279C"/>
    <w:rsid w:val="00972AA5"/>
    <w:rsid w:val="00972D31"/>
    <w:rsid w:val="00973B0E"/>
    <w:rsid w:val="00973DF2"/>
    <w:rsid w:val="009742A3"/>
    <w:rsid w:val="0097718E"/>
    <w:rsid w:val="0098713E"/>
    <w:rsid w:val="009916F0"/>
    <w:rsid w:val="00994B43"/>
    <w:rsid w:val="0099682C"/>
    <w:rsid w:val="00997A91"/>
    <w:rsid w:val="009A37F3"/>
    <w:rsid w:val="009A5502"/>
    <w:rsid w:val="009A5522"/>
    <w:rsid w:val="009A74FA"/>
    <w:rsid w:val="009A7886"/>
    <w:rsid w:val="009C2A14"/>
    <w:rsid w:val="009C2B33"/>
    <w:rsid w:val="009C4ADC"/>
    <w:rsid w:val="009D39BA"/>
    <w:rsid w:val="009E28BB"/>
    <w:rsid w:val="009E3C5E"/>
    <w:rsid w:val="009E4448"/>
    <w:rsid w:val="009E6EE7"/>
    <w:rsid w:val="009F3684"/>
    <w:rsid w:val="009F39F5"/>
    <w:rsid w:val="00A05FDA"/>
    <w:rsid w:val="00A16122"/>
    <w:rsid w:val="00A2205C"/>
    <w:rsid w:val="00A23D73"/>
    <w:rsid w:val="00A24D7F"/>
    <w:rsid w:val="00A31704"/>
    <w:rsid w:val="00A328F1"/>
    <w:rsid w:val="00A33AE7"/>
    <w:rsid w:val="00A37652"/>
    <w:rsid w:val="00A378D3"/>
    <w:rsid w:val="00A42701"/>
    <w:rsid w:val="00A430AD"/>
    <w:rsid w:val="00A577E1"/>
    <w:rsid w:val="00A64D3D"/>
    <w:rsid w:val="00A65C79"/>
    <w:rsid w:val="00A67D33"/>
    <w:rsid w:val="00A705A7"/>
    <w:rsid w:val="00A73CFF"/>
    <w:rsid w:val="00A76A09"/>
    <w:rsid w:val="00A812B4"/>
    <w:rsid w:val="00A81778"/>
    <w:rsid w:val="00A81F02"/>
    <w:rsid w:val="00A86E54"/>
    <w:rsid w:val="00A90C1F"/>
    <w:rsid w:val="00A95BCA"/>
    <w:rsid w:val="00AA6B67"/>
    <w:rsid w:val="00AB7591"/>
    <w:rsid w:val="00AC07FC"/>
    <w:rsid w:val="00AC1522"/>
    <w:rsid w:val="00AC1A32"/>
    <w:rsid w:val="00AC4E4D"/>
    <w:rsid w:val="00AC6ECC"/>
    <w:rsid w:val="00AD1DF1"/>
    <w:rsid w:val="00AD23CB"/>
    <w:rsid w:val="00AD2503"/>
    <w:rsid w:val="00AD3FCE"/>
    <w:rsid w:val="00AF1CEB"/>
    <w:rsid w:val="00AF38F7"/>
    <w:rsid w:val="00AF69CD"/>
    <w:rsid w:val="00B0013C"/>
    <w:rsid w:val="00B008B7"/>
    <w:rsid w:val="00B010C2"/>
    <w:rsid w:val="00B01BFD"/>
    <w:rsid w:val="00B04C38"/>
    <w:rsid w:val="00B0510E"/>
    <w:rsid w:val="00B164A7"/>
    <w:rsid w:val="00B16913"/>
    <w:rsid w:val="00B16BE7"/>
    <w:rsid w:val="00B211D7"/>
    <w:rsid w:val="00B2124E"/>
    <w:rsid w:val="00B249E0"/>
    <w:rsid w:val="00B25109"/>
    <w:rsid w:val="00B25249"/>
    <w:rsid w:val="00B26282"/>
    <w:rsid w:val="00B371AE"/>
    <w:rsid w:val="00B40163"/>
    <w:rsid w:val="00B417B8"/>
    <w:rsid w:val="00B41D1D"/>
    <w:rsid w:val="00B43578"/>
    <w:rsid w:val="00B461D5"/>
    <w:rsid w:val="00B46DA0"/>
    <w:rsid w:val="00B47212"/>
    <w:rsid w:val="00B50A0A"/>
    <w:rsid w:val="00B54777"/>
    <w:rsid w:val="00B573C5"/>
    <w:rsid w:val="00B57ED7"/>
    <w:rsid w:val="00B61165"/>
    <w:rsid w:val="00B61D4D"/>
    <w:rsid w:val="00B71C43"/>
    <w:rsid w:val="00B72239"/>
    <w:rsid w:val="00B728A2"/>
    <w:rsid w:val="00B72E0B"/>
    <w:rsid w:val="00B82947"/>
    <w:rsid w:val="00B83D3D"/>
    <w:rsid w:val="00B85257"/>
    <w:rsid w:val="00B87877"/>
    <w:rsid w:val="00B90386"/>
    <w:rsid w:val="00B9267E"/>
    <w:rsid w:val="00B92DB8"/>
    <w:rsid w:val="00BA0808"/>
    <w:rsid w:val="00BA12C3"/>
    <w:rsid w:val="00BA23D7"/>
    <w:rsid w:val="00BA2D9A"/>
    <w:rsid w:val="00BA4629"/>
    <w:rsid w:val="00BA47CF"/>
    <w:rsid w:val="00BA69D3"/>
    <w:rsid w:val="00BB1C6B"/>
    <w:rsid w:val="00BB468E"/>
    <w:rsid w:val="00BB5F4E"/>
    <w:rsid w:val="00BC0587"/>
    <w:rsid w:val="00BC2959"/>
    <w:rsid w:val="00BD0DC3"/>
    <w:rsid w:val="00BD0E7E"/>
    <w:rsid w:val="00BE610E"/>
    <w:rsid w:val="00BE7E42"/>
    <w:rsid w:val="00BF15D1"/>
    <w:rsid w:val="00BF185C"/>
    <w:rsid w:val="00BF2DC5"/>
    <w:rsid w:val="00BF49B3"/>
    <w:rsid w:val="00BF78DC"/>
    <w:rsid w:val="00C01932"/>
    <w:rsid w:val="00C048AA"/>
    <w:rsid w:val="00C067E5"/>
    <w:rsid w:val="00C07487"/>
    <w:rsid w:val="00C07B2E"/>
    <w:rsid w:val="00C10774"/>
    <w:rsid w:val="00C11AAD"/>
    <w:rsid w:val="00C1596F"/>
    <w:rsid w:val="00C2359C"/>
    <w:rsid w:val="00C258B1"/>
    <w:rsid w:val="00C32CF0"/>
    <w:rsid w:val="00C33C92"/>
    <w:rsid w:val="00C3674C"/>
    <w:rsid w:val="00C36921"/>
    <w:rsid w:val="00C37E45"/>
    <w:rsid w:val="00C423C4"/>
    <w:rsid w:val="00C42D09"/>
    <w:rsid w:val="00C46294"/>
    <w:rsid w:val="00C47725"/>
    <w:rsid w:val="00C515A5"/>
    <w:rsid w:val="00C5226B"/>
    <w:rsid w:val="00C523FD"/>
    <w:rsid w:val="00C55AD4"/>
    <w:rsid w:val="00C5625C"/>
    <w:rsid w:val="00C566C7"/>
    <w:rsid w:val="00C600B5"/>
    <w:rsid w:val="00C60FA1"/>
    <w:rsid w:val="00C614F2"/>
    <w:rsid w:val="00C61A0A"/>
    <w:rsid w:val="00C65748"/>
    <w:rsid w:val="00C665B1"/>
    <w:rsid w:val="00C66916"/>
    <w:rsid w:val="00C7077D"/>
    <w:rsid w:val="00C76623"/>
    <w:rsid w:val="00C7720F"/>
    <w:rsid w:val="00C80C41"/>
    <w:rsid w:val="00C81106"/>
    <w:rsid w:val="00C812D6"/>
    <w:rsid w:val="00C82617"/>
    <w:rsid w:val="00C82B5A"/>
    <w:rsid w:val="00C85675"/>
    <w:rsid w:val="00C85985"/>
    <w:rsid w:val="00C85D0B"/>
    <w:rsid w:val="00C9001E"/>
    <w:rsid w:val="00C9373C"/>
    <w:rsid w:val="00C94008"/>
    <w:rsid w:val="00C97B38"/>
    <w:rsid w:val="00CA1A57"/>
    <w:rsid w:val="00CA46D3"/>
    <w:rsid w:val="00CA4AFA"/>
    <w:rsid w:val="00CA50CC"/>
    <w:rsid w:val="00CA77B4"/>
    <w:rsid w:val="00CB1BF2"/>
    <w:rsid w:val="00CB1BFC"/>
    <w:rsid w:val="00CB3A09"/>
    <w:rsid w:val="00CB4E0B"/>
    <w:rsid w:val="00CB79DC"/>
    <w:rsid w:val="00CC1322"/>
    <w:rsid w:val="00CC2B92"/>
    <w:rsid w:val="00CC7294"/>
    <w:rsid w:val="00CC7F1D"/>
    <w:rsid w:val="00CD062D"/>
    <w:rsid w:val="00CD07D0"/>
    <w:rsid w:val="00CD0ABF"/>
    <w:rsid w:val="00CD10CB"/>
    <w:rsid w:val="00CD1AFA"/>
    <w:rsid w:val="00CD273B"/>
    <w:rsid w:val="00CD330F"/>
    <w:rsid w:val="00CD38C1"/>
    <w:rsid w:val="00CD5FFD"/>
    <w:rsid w:val="00CD7DC1"/>
    <w:rsid w:val="00CE0A5D"/>
    <w:rsid w:val="00CE2657"/>
    <w:rsid w:val="00CE426B"/>
    <w:rsid w:val="00CF08F3"/>
    <w:rsid w:val="00CF0DB3"/>
    <w:rsid w:val="00CF43F8"/>
    <w:rsid w:val="00CF61D5"/>
    <w:rsid w:val="00D045DA"/>
    <w:rsid w:val="00D14BC6"/>
    <w:rsid w:val="00D1772D"/>
    <w:rsid w:val="00D215EF"/>
    <w:rsid w:val="00D217F7"/>
    <w:rsid w:val="00D23F3A"/>
    <w:rsid w:val="00D24A53"/>
    <w:rsid w:val="00D25B31"/>
    <w:rsid w:val="00D25FE9"/>
    <w:rsid w:val="00D26EC9"/>
    <w:rsid w:val="00D275FE"/>
    <w:rsid w:val="00D36C82"/>
    <w:rsid w:val="00D3787A"/>
    <w:rsid w:val="00D40073"/>
    <w:rsid w:val="00D449AA"/>
    <w:rsid w:val="00D45A57"/>
    <w:rsid w:val="00D50088"/>
    <w:rsid w:val="00D5430F"/>
    <w:rsid w:val="00D54F25"/>
    <w:rsid w:val="00D5757A"/>
    <w:rsid w:val="00D66CE1"/>
    <w:rsid w:val="00D80A20"/>
    <w:rsid w:val="00D8541D"/>
    <w:rsid w:val="00D872FC"/>
    <w:rsid w:val="00D87983"/>
    <w:rsid w:val="00D96677"/>
    <w:rsid w:val="00DA33CD"/>
    <w:rsid w:val="00DA464B"/>
    <w:rsid w:val="00DB2EBB"/>
    <w:rsid w:val="00DB39B4"/>
    <w:rsid w:val="00DB4A8A"/>
    <w:rsid w:val="00DB6088"/>
    <w:rsid w:val="00DC4F59"/>
    <w:rsid w:val="00DC5E4F"/>
    <w:rsid w:val="00DC6743"/>
    <w:rsid w:val="00DC6789"/>
    <w:rsid w:val="00DC6A07"/>
    <w:rsid w:val="00DD4AA4"/>
    <w:rsid w:val="00DD59B1"/>
    <w:rsid w:val="00DD6390"/>
    <w:rsid w:val="00DD6BF5"/>
    <w:rsid w:val="00DD6CAF"/>
    <w:rsid w:val="00DE3C93"/>
    <w:rsid w:val="00DE524E"/>
    <w:rsid w:val="00DE69A1"/>
    <w:rsid w:val="00DF01A6"/>
    <w:rsid w:val="00DF2D1F"/>
    <w:rsid w:val="00DF5B35"/>
    <w:rsid w:val="00DF6DAF"/>
    <w:rsid w:val="00DF7A92"/>
    <w:rsid w:val="00DF7C57"/>
    <w:rsid w:val="00DF7D0C"/>
    <w:rsid w:val="00E019CD"/>
    <w:rsid w:val="00E06B8F"/>
    <w:rsid w:val="00E07077"/>
    <w:rsid w:val="00E114E8"/>
    <w:rsid w:val="00E137CB"/>
    <w:rsid w:val="00E150F3"/>
    <w:rsid w:val="00E159C1"/>
    <w:rsid w:val="00E214EA"/>
    <w:rsid w:val="00E21E7D"/>
    <w:rsid w:val="00E276AF"/>
    <w:rsid w:val="00E330D2"/>
    <w:rsid w:val="00E3311B"/>
    <w:rsid w:val="00E341F1"/>
    <w:rsid w:val="00E3583B"/>
    <w:rsid w:val="00E35EFB"/>
    <w:rsid w:val="00E35F6D"/>
    <w:rsid w:val="00E4601A"/>
    <w:rsid w:val="00E5430F"/>
    <w:rsid w:val="00E65FE4"/>
    <w:rsid w:val="00E7285F"/>
    <w:rsid w:val="00E73942"/>
    <w:rsid w:val="00E7548D"/>
    <w:rsid w:val="00E7692F"/>
    <w:rsid w:val="00E80CA4"/>
    <w:rsid w:val="00E82703"/>
    <w:rsid w:val="00E833DB"/>
    <w:rsid w:val="00E92ACD"/>
    <w:rsid w:val="00E9551D"/>
    <w:rsid w:val="00EA04CA"/>
    <w:rsid w:val="00EA27CA"/>
    <w:rsid w:val="00EA289A"/>
    <w:rsid w:val="00EA2D5C"/>
    <w:rsid w:val="00EA4CDE"/>
    <w:rsid w:val="00EA5A2B"/>
    <w:rsid w:val="00EA5B82"/>
    <w:rsid w:val="00EA69B0"/>
    <w:rsid w:val="00EB2947"/>
    <w:rsid w:val="00EB405C"/>
    <w:rsid w:val="00EB4303"/>
    <w:rsid w:val="00EB552A"/>
    <w:rsid w:val="00EC57B1"/>
    <w:rsid w:val="00EC727C"/>
    <w:rsid w:val="00ED2415"/>
    <w:rsid w:val="00ED481C"/>
    <w:rsid w:val="00ED6C6F"/>
    <w:rsid w:val="00EE4D61"/>
    <w:rsid w:val="00EE6CF2"/>
    <w:rsid w:val="00EF5C25"/>
    <w:rsid w:val="00EF6621"/>
    <w:rsid w:val="00EF71CC"/>
    <w:rsid w:val="00F03065"/>
    <w:rsid w:val="00F050B6"/>
    <w:rsid w:val="00F136EF"/>
    <w:rsid w:val="00F14725"/>
    <w:rsid w:val="00F22360"/>
    <w:rsid w:val="00F22BAC"/>
    <w:rsid w:val="00F266F0"/>
    <w:rsid w:val="00F27FD3"/>
    <w:rsid w:val="00F312BF"/>
    <w:rsid w:val="00F3146F"/>
    <w:rsid w:val="00F3232A"/>
    <w:rsid w:val="00F365C6"/>
    <w:rsid w:val="00F3778E"/>
    <w:rsid w:val="00F40B79"/>
    <w:rsid w:val="00F472CD"/>
    <w:rsid w:val="00F5372C"/>
    <w:rsid w:val="00F55516"/>
    <w:rsid w:val="00F61625"/>
    <w:rsid w:val="00F63A34"/>
    <w:rsid w:val="00F651DF"/>
    <w:rsid w:val="00F671E7"/>
    <w:rsid w:val="00F726C8"/>
    <w:rsid w:val="00F8247E"/>
    <w:rsid w:val="00F82D7C"/>
    <w:rsid w:val="00F871EF"/>
    <w:rsid w:val="00F92F7A"/>
    <w:rsid w:val="00F93790"/>
    <w:rsid w:val="00FA0ABC"/>
    <w:rsid w:val="00FA1ACF"/>
    <w:rsid w:val="00FB2361"/>
    <w:rsid w:val="00FC156A"/>
    <w:rsid w:val="00FC316D"/>
    <w:rsid w:val="00FC4323"/>
    <w:rsid w:val="00FC4868"/>
    <w:rsid w:val="00FC4BC2"/>
    <w:rsid w:val="00FD4BB8"/>
    <w:rsid w:val="00FE532D"/>
    <w:rsid w:val="00FE60D3"/>
    <w:rsid w:val="00FF4233"/>
    <w:rsid w:val="00FF565B"/>
    <w:rsid w:val="00FF6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1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AFE"/>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826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8FC"/>
    <w:rPr>
      <w:rFonts w:ascii="Tahoma" w:hAnsi="Tahoma" w:cs="Tahoma"/>
      <w:sz w:val="16"/>
      <w:szCs w:val="16"/>
    </w:rPr>
  </w:style>
  <w:style w:type="paragraph" w:styleId="Header">
    <w:name w:val="header"/>
    <w:basedOn w:val="Normal"/>
    <w:link w:val="HeaderChar"/>
    <w:uiPriority w:val="99"/>
    <w:semiHidden/>
    <w:unhideWhenUsed/>
    <w:rsid w:val="00BF78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78DC"/>
  </w:style>
  <w:style w:type="paragraph" w:styleId="Footer">
    <w:name w:val="footer"/>
    <w:basedOn w:val="Normal"/>
    <w:link w:val="FooterChar"/>
    <w:uiPriority w:val="99"/>
    <w:unhideWhenUsed/>
    <w:rsid w:val="00BF7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8DC"/>
  </w:style>
  <w:style w:type="paragraph" w:styleId="NoSpacing">
    <w:name w:val="No Spacing"/>
    <w:uiPriority w:val="1"/>
    <w:qFormat/>
    <w:rsid w:val="00C9373C"/>
    <w:pPr>
      <w:spacing w:after="0" w:line="240" w:lineRule="auto"/>
    </w:pPr>
  </w:style>
  <w:style w:type="table" w:styleId="TableGrid">
    <w:name w:val="Table Grid"/>
    <w:basedOn w:val="TableNormal"/>
    <w:uiPriority w:val="59"/>
    <w:rsid w:val="00140A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B010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0C6BA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B6088"/>
    <w:rPr>
      <w:sz w:val="16"/>
      <w:szCs w:val="16"/>
    </w:rPr>
  </w:style>
  <w:style w:type="paragraph" w:styleId="CommentText">
    <w:name w:val="annotation text"/>
    <w:basedOn w:val="Normal"/>
    <w:link w:val="CommentTextChar"/>
    <w:uiPriority w:val="99"/>
    <w:semiHidden/>
    <w:unhideWhenUsed/>
    <w:rsid w:val="00DB6088"/>
    <w:pPr>
      <w:spacing w:line="240" w:lineRule="auto"/>
    </w:pPr>
    <w:rPr>
      <w:sz w:val="20"/>
      <w:szCs w:val="20"/>
    </w:rPr>
  </w:style>
  <w:style w:type="character" w:customStyle="1" w:styleId="CommentTextChar">
    <w:name w:val="Comment Text Char"/>
    <w:basedOn w:val="DefaultParagraphFont"/>
    <w:link w:val="CommentText"/>
    <w:uiPriority w:val="99"/>
    <w:semiHidden/>
    <w:rsid w:val="00DB6088"/>
    <w:rPr>
      <w:sz w:val="20"/>
      <w:szCs w:val="20"/>
    </w:rPr>
  </w:style>
  <w:style w:type="paragraph" w:styleId="CommentSubject">
    <w:name w:val="annotation subject"/>
    <w:basedOn w:val="CommentText"/>
    <w:next w:val="CommentText"/>
    <w:link w:val="CommentSubjectChar"/>
    <w:uiPriority w:val="99"/>
    <w:semiHidden/>
    <w:unhideWhenUsed/>
    <w:rsid w:val="00DB6088"/>
    <w:rPr>
      <w:b/>
      <w:bCs/>
    </w:rPr>
  </w:style>
  <w:style w:type="character" w:customStyle="1" w:styleId="CommentSubjectChar">
    <w:name w:val="Comment Subject Char"/>
    <w:basedOn w:val="CommentTextChar"/>
    <w:link w:val="CommentSubject"/>
    <w:uiPriority w:val="99"/>
    <w:semiHidden/>
    <w:rsid w:val="00DB6088"/>
    <w:rPr>
      <w:b/>
      <w:bCs/>
      <w:sz w:val="20"/>
      <w:szCs w:val="20"/>
    </w:rPr>
  </w:style>
  <w:style w:type="character" w:styleId="Hyperlink">
    <w:name w:val="Hyperlink"/>
    <w:basedOn w:val="DefaultParagraphFont"/>
    <w:uiPriority w:val="99"/>
    <w:unhideWhenUsed/>
    <w:rsid w:val="009F3684"/>
    <w:rPr>
      <w:color w:val="0000FF" w:themeColor="hyperlink"/>
      <w:u w:val="single"/>
    </w:rPr>
  </w:style>
  <w:style w:type="paragraph" w:styleId="PlainText">
    <w:name w:val="Plain Text"/>
    <w:basedOn w:val="Normal"/>
    <w:link w:val="PlainTextChar"/>
    <w:uiPriority w:val="99"/>
    <w:unhideWhenUsed/>
    <w:rsid w:val="00933AD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33ADD"/>
    <w:rPr>
      <w:rFonts w:ascii="Consolas" w:hAnsi="Consolas"/>
      <w:sz w:val="21"/>
      <w:szCs w:val="21"/>
    </w:rPr>
  </w:style>
  <w:style w:type="character" w:styleId="FollowedHyperlink">
    <w:name w:val="FollowedHyperlink"/>
    <w:basedOn w:val="DefaultParagraphFont"/>
    <w:uiPriority w:val="99"/>
    <w:semiHidden/>
    <w:unhideWhenUsed/>
    <w:rsid w:val="006B13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AFE"/>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826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8FC"/>
    <w:rPr>
      <w:rFonts w:ascii="Tahoma" w:hAnsi="Tahoma" w:cs="Tahoma"/>
      <w:sz w:val="16"/>
      <w:szCs w:val="16"/>
    </w:rPr>
  </w:style>
  <w:style w:type="paragraph" w:styleId="Header">
    <w:name w:val="header"/>
    <w:basedOn w:val="Normal"/>
    <w:link w:val="HeaderChar"/>
    <w:uiPriority w:val="99"/>
    <w:semiHidden/>
    <w:unhideWhenUsed/>
    <w:rsid w:val="00BF78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78DC"/>
  </w:style>
  <w:style w:type="paragraph" w:styleId="Footer">
    <w:name w:val="footer"/>
    <w:basedOn w:val="Normal"/>
    <w:link w:val="FooterChar"/>
    <w:uiPriority w:val="99"/>
    <w:unhideWhenUsed/>
    <w:rsid w:val="00BF7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8DC"/>
  </w:style>
  <w:style w:type="paragraph" w:styleId="NoSpacing">
    <w:name w:val="No Spacing"/>
    <w:uiPriority w:val="1"/>
    <w:qFormat/>
    <w:rsid w:val="00C9373C"/>
    <w:pPr>
      <w:spacing w:after="0" w:line="240" w:lineRule="auto"/>
    </w:pPr>
  </w:style>
  <w:style w:type="table" w:styleId="TableGrid">
    <w:name w:val="Table Grid"/>
    <w:basedOn w:val="TableNormal"/>
    <w:uiPriority w:val="59"/>
    <w:rsid w:val="00140A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B010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0C6BA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B6088"/>
    <w:rPr>
      <w:sz w:val="16"/>
      <w:szCs w:val="16"/>
    </w:rPr>
  </w:style>
  <w:style w:type="paragraph" w:styleId="CommentText">
    <w:name w:val="annotation text"/>
    <w:basedOn w:val="Normal"/>
    <w:link w:val="CommentTextChar"/>
    <w:uiPriority w:val="99"/>
    <w:semiHidden/>
    <w:unhideWhenUsed/>
    <w:rsid w:val="00DB6088"/>
    <w:pPr>
      <w:spacing w:line="240" w:lineRule="auto"/>
    </w:pPr>
    <w:rPr>
      <w:sz w:val="20"/>
      <w:szCs w:val="20"/>
    </w:rPr>
  </w:style>
  <w:style w:type="character" w:customStyle="1" w:styleId="CommentTextChar">
    <w:name w:val="Comment Text Char"/>
    <w:basedOn w:val="DefaultParagraphFont"/>
    <w:link w:val="CommentText"/>
    <w:uiPriority w:val="99"/>
    <w:semiHidden/>
    <w:rsid w:val="00DB6088"/>
    <w:rPr>
      <w:sz w:val="20"/>
      <w:szCs w:val="20"/>
    </w:rPr>
  </w:style>
  <w:style w:type="paragraph" w:styleId="CommentSubject">
    <w:name w:val="annotation subject"/>
    <w:basedOn w:val="CommentText"/>
    <w:next w:val="CommentText"/>
    <w:link w:val="CommentSubjectChar"/>
    <w:uiPriority w:val="99"/>
    <w:semiHidden/>
    <w:unhideWhenUsed/>
    <w:rsid w:val="00DB6088"/>
    <w:rPr>
      <w:b/>
      <w:bCs/>
    </w:rPr>
  </w:style>
  <w:style w:type="character" w:customStyle="1" w:styleId="CommentSubjectChar">
    <w:name w:val="Comment Subject Char"/>
    <w:basedOn w:val="CommentTextChar"/>
    <w:link w:val="CommentSubject"/>
    <w:uiPriority w:val="99"/>
    <w:semiHidden/>
    <w:rsid w:val="00DB6088"/>
    <w:rPr>
      <w:b/>
      <w:bCs/>
      <w:sz w:val="20"/>
      <w:szCs w:val="20"/>
    </w:rPr>
  </w:style>
  <w:style w:type="character" w:styleId="Hyperlink">
    <w:name w:val="Hyperlink"/>
    <w:basedOn w:val="DefaultParagraphFont"/>
    <w:uiPriority w:val="99"/>
    <w:unhideWhenUsed/>
    <w:rsid w:val="009F3684"/>
    <w:rPr>
      <w:color w:val="0000FF" w:themeColor="hyperlink"/>
      <w:u w:val="single"/>
    </w:rPr>
  </w:style>
  <w:style w:type="paragraph" w:styleId="PlainText">
    <w:name w:val="Plain Text"/>
    <w:basedOn w:val="Normal"/>
    <w:link w:val="PlainTextChar"/>
    <w:uiPriority w:val="99"/>
    <w:unhideWhenUsed/>
    <w:rsid w:val="00933AD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33ADD"/>
    <w:rPr>
      <w:rFonts w:ascii="Consolas" w:hAnsi="Consolas"/>
      <w:sz w:val="21"/>
      <w:szCs w:val="21"/>
    </w:rPr>
  </w:style>
  <w:style w:type="character" w:styleId="FollowedHyperlink">
    <w:name w:val="FollowedHyperlink"/>
    <w:basedOn w:val="DefaultParagraphFont"/>
    <w:uiPriority w:val="99"/>
    <w:semiHidden/>
    <w:unhideWhenUsed/>
    <w:rsid w:val="006B13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47853">
      <w:bodyDiv w:val="1"/>
      <w:marLeft w:val="0"/>
      <w:marRight w:val="0"/>
      <w:marTop w:val="0"/>
      <w:marBottom w:val="0"/>
      <w:divBdr>
        <w:top w:val="none" w:sz="0" w:space="0" w:color="auto"/>
        <w:left w:val="none" w:sz="0" w:space="0" w:color="auto"/>
        <w:bottom w:val="none" w:sz="0" w:space="0" w:color="auto"/>
        <w:right w:val="none" w:sz="0" w:space="0" w:color="auto"/>
      </w:divBdr>
    </w:div>
    <w:div w:id="99758933">
      <w:bodyDiv w:val="1"/>
      <w:marLeft w:val="0"/>
      <w:marRight w:val="0"/>
      <w:marTop w:val="0"/>
      <w:marBottom w:val="0"/>
      <w:divBdr>
        <w:top w:val="none" w:sz="0" w:space="0" w:color="auto"/>
        <w:left w:val="none" w:sz="0" w:space="0" w:color="auto"/>
        <w:bottom w:val="none" w:sz="0" w:space="0" w:color="auto"/>
        <w:right w:val="none" w:sz="0" w:space="0" w:color="auto"/>
      </w:divBdr>
    </w:div>
    <w:div w:id="133791083">
      <w:bodyDiv w:val="1"/>
      <w:marLeft w:val="0"/>
      <w:marRight w:val="0"/>
      <w:marTop w:val="0"/>
      <w:marBottom w:val="0"/>
      <w:divBdr>
        <w:top w:val="none" w:sz="0" w:space="0" w:color="auto"/>
        <w:left w:val="none" w:sz="0" w:space="0" w:color="auto"/>
        <w:bottom w:val="none" w:sz="0" w:space="0" w:color="auto"/>
        <w:right w:val="none" w:sz="0" w:space="0" w:color="auto"/>
      </w:divBdr>
    </w:div>
    <w:div w:id="366638508">
      <w:bodyDiv w:val="1"/>
      <w:marLeft w:val="0"/>
      <w:marRight w:val="0"/>
      <w:marTop w:val="0"/>
      <w:marBottom w:val="0"/>
      <w:divBdr>
        <w:top w:val="none" w:sz="0" w:space="0" w:color="auto"/>
        <w:left w:val="none" w:sz="0" w:space="0" w:color="auto"/>
        <w:bottom w:val="none" w:sz="0" w:space="0" w:color="auto"/>
        <w:right w:val="none" w:sz="0" w:space="0" w:color="auto"/>
      </w:divBdr>
    </w:div>
    <w:div w:id="782502797">
      <w:bodyDiv w:val="1"/>
      <w:marLeft w:val="0"/>
      <w:marRight w:val="0"/>
      <w:marTop w:val="0"/>
      <w:marBottom w:val="0"/>
      <w:divBdr>
        <w:top w:val="none" w:sz="0" w:space="0" w:color="auto"/>
        <w:left w:val="none" w:sz="0" w:space="0" w:color="auto"/>
        <w:bottom w:val="none" w:sz="0" w:space="0" w:color="auto"/>
        <w:right w:val="none" w:sz="0" w:space="0" w:color="auto"/>
      </w:divBdr>
    </w:div>
    <w:div w:id="798302085">
      <w:bodyDiv w:val="1"/>
      <w:marLeft w:val="0"/>
      <w:marRight w:val="0"/>
      <w:marTop w:val="0"/>
      <w:marBottom w:val="0"/>
      <w:divBdr>
        <w:top w:val="none" w:sz="0" w:space="0" w:color="auto"/>
        <w:left w:val="none" w:sz="0" w:space="0" w:color="auto"/>
        <w:bottom w:val="none" w:sz="0" w:space="0" w:color="auto"/>
        <w:right w:val="none" w:sz="0" w:space="0" w:color="auto"/>
      </w:divBdr>
    </w:div>
    <w:div w:id="936059107">
      <w:bodyDiv w:val="1"/>
      <w:marLeft w:val="0"/>
      <w:marRight w:val="0"/>
      <w:marTop w:val="0"/>
      <w:marBottom w:val="0"/>
      <w:divBdr>
        <w:top w:val="none" w:sz="0" w:space="0" w:color="auto"/>
        <w:left w:val="none" w:sz="0" w:space="0" w:color="auto"/>
        <w:bottom w:val="none" w:sz="0" w:space="0" w:color="auto"/>
        <w:right w:val="none" w:sz="0" w:space="0" w:color="auto"/>
      </w:divBdr>
    </w:div>
    <w:div w:id="945190979">
      <w:bodyDiv w:val="1"/>
      <w:marLeft w:val="0"/>
      <w:marRight w:val="0"/>
      <w:marTop w:val="0"/>
      <w:marBottom w:val="0"/>
      <w:divBdr>
        <w:top w:val="none" w:sz="0" w:space="0" w:color="auto"/>
        <w:left w:val="none" w:sz="0" w:space="0" w:color="auto"/>
        <w:bottom w:val="none" w:sz="0" w:space="0" w:color="auto"/>
        <w:right w:val="none" w:sz="0" w:space="0" w:color="auto"/>
      </w:divBdr>
    </w:div>
    <w:div w:id="961574336">
      <w:bodyDiv w:val="1"/>
      <w:marLeft w:val="0"/>
      <w:marRight w:val="0"/>
      <w:marTop w:val="0"/>
      <w:marBottom w:val="0"/>
      <w:divBdr>
        <w:top w:val="none" w:sz="0" w:space="0" w:color="auto"/>
        <w:left w:val="none" w:sz="0" w:space="0" w:color="auto"/>
        <w:bottom w:val="none" w:sz="0" w:space="0" w:color="auto"/>
        <w:right w:val="none" w:sz="0" w:space="0" w:color="auto"/>
      </w:divBdr>
    </w:div>
    <w:div w:id="1012729253">
      <w:bodyDiv w:val="1"/>
      <w:marLeft w:val="0"/>
      <w:marRight w:val="0"/>
      <w:marTop w:val="0"/>
      <w:marBottom w:val="0"/>
      <w:divBdr>
        <w:top w:val="none" w:sz="0" w:space="0" w:color="auto"/>
        <w:left w:val="none" w:sz="0" w:space="0" w:color="auto"/>
        <w:bottom w:val="none" w:sz="0" w:space="0" w:color="auto"/>
        <w:right w:val="none" w:sz="0" w:space="0" w:color="auto"/>
      </w:divBdr>
    </w:div>
    <w:div w:id="1048722787">
      <w:bodyDiv w:val="1"/>
      <w:marLeft w:val="0"/>
      <w:marRight w:val="0"/>
      <w:marTop w:val="0"/>
      <w:marBottom w:val="0"/>
      <w:divBdr>
        <w:top w:val="none" w:sz="0" w:space="0" w:color="auto"/>
        <w:left w:val="none" w:sz="0" w:space="0" w:color="auto"/>
        <w:bottom w:val="none" w:sz="0" w:space="0" w:color="auto"/>
        <w:right w:val="none" w:sz="0" w:space="0" w:color="auto"/>
      </w:divBdr>
    </w:div>
    <w:div w:id="1172258277">
      <w:bodyDiv w:val="1"/>
      <w:marLeft w:val="0"/>
      <w:marRight w:val="0"/>
      <w:marTop w:val="0"/>
      <w:marBottom w:val="0"/>
      <w:divBdr>
        <w:top w:val="none" w:sz="0" w:space="0" w:color="auto"/>
        <w:left w:val="none" w:sz="0" w:space="0" w:color="auto"/>
        <w:bottom w:val="none" w:sz="0" w:space="0" w:color="auto"/>
        <w:right w:val="none" w:sz="0" w:space="0" w:color="auto"/>
      </w:divBdr>
    </w:div>
    <w:div w:id="1322849957">
      <w:bodyDiv w:val="1"/>
      <w:marLeft w:val="0"/>
      <w:marRight w:val="0"/>
      <w:marTop w:val="0"/>
      <w:marBottom w:val="0"/>
      <w:divBdr>
        <w:top w:val="none" w:sz="0" w:space="0" w:color="auto"/>
        <w:left w:val="none" w:sz="0" w:space="0" w:color="auto"/>
        <w:bottom w:val="none" w:sz="0" w:space="0" w:color="auto"/>
        <w:right w:val="none" w:sz="0" w:space="0" w:color="auto"/>
      </w:divBdr>
    </w:div>
    <w:div w:id="1388452818">
      <w:bodyDiv w:val="1"/>
      <w:marLeft w:val="0"/>
      <w:marRight w:val="0"/>
      <w:marTop w:val="0"/>
      <w:marBottom w:val="0"/>
      <w:divBdr>
        <w:top w:val="none" w:sz="0" w:space="0" w:color="auto"/>
        <w:left w:val="none" w:sz="0" w:space="0" w:color="auto"/>
        <w:bottom w:val="none" w:sz="0" w:space="0" w:color="auto"/>
        <w:right w:val="none" w:sz="0" w:space="0" w:color="auto"/>
      </w:divBdr>
    </w:div>
    <w:div w:id="1401638731">
      <w:bodyDiv w:val="1"/>
      <w:marLeft w:val="0"/>
      <w:marRight w:val="0"/>
      <w:marTop w:val="0"/>
      <w:marBottom w:val="0"/>
      <w:divBdr>
        <w:top w:val="none" w:sz="0" w:space="0" w:color="auto"/>
        <w:left w:val="none" w:sz="0" w:space="0" w:color="auto"/>
        <w:bottom w:val="none" w:sz="0" w:space="0" w:color="auto"/>
        <w:right w:val="none" w:sz="0" w:space="0" w:color="auto"/>
      </w:divBdr>
    </w:div>
    <w:div w:id="1499224809">
      <w:bodyDiv w:val="1"/>
      <w:marLeft w:val="0"/>
      <w:marRight w:val="0"/>
      <w:marTop w:val="0"/>
      <w:marBottom w:val="0"/>
      <w:divBdr>
        <w:top w:val="none" w:sz="0" w:space="0" w:color="auto"/>
        <w:left w:val="none" w:sz="0" w:space="0" w:color="auto"/>
        <w:bottom w:val="none" w:sz="0" w:space="0" w:color="auto"/>
        <w:right w:val="none" w:sz="0" w:space="0" w:color="auto"/>
      </w:divBdr>
    </w:div>
    <w:div w:id="1505514684">
      <w:bodyDiv w:val="1"/>
      <w:marLeft w:val="0"/>
      <w:marRight w:val="0"/>
      <w:marTop w:val="0"/>
      <w:marBottom w:val="0"/>
      <w:divBdr>
        <w:top w:val="none" w:sz="0" w:space="0" w:color="auto"/>
        <w:left w:val="none" w:sz="0" w:space="0" w:color="auto"/>
        <w:bottom w:val="none" w:sz="0" w:space="0" w:color="auto"/>
        <w:right w:val="none" w:sz="0" w:space="0" w:color="auto"/>
      </w:divBdr>
    </w:div>
    <w:div w:id="1795753427">
      <w:bodyDiv w:val="1"/>
      <w:marLeft w:val="0"/>
      <w:marRight w:val="0"/>
      <w:marTop w:val="0"/>
      <w:marBottom w:val="0"/>
      <w:divBdr>
        <w:top w:val="none" w:sz="0" w:space="0" w:color="auto"/>
        <w:left w:val="none" w:sz="0" w:space="0" w:color="auto"/>
        <w:bottom w:val="none" w:sz="0" w:space="0" w:color="auto"/>
        <w:right w:val="none" w:sz="0" w:space="0" w:color="auto"/>
      </w:divBdr>
    </w:div>
    <w:div w:id="1846938297">
      <w:bodyDiv w:val="1"/>
      <w:marLeft w:val="0"/>
      <w:marRight w:val="0"/>
      <w:marTop w:val="0"/>
      <w:marBottom w:val="0"/>
      <w:divBdr>
        <w:top w:val="none" w:sz="0" w:space="0" w:color="auto"/>
        <w:left w:val="none" w:sz="0" w:space="0" w:color="auto"/>
        <w:bottom w:val="none" w:sz="0" w:space="0" w:color="auto"/>
        <w:right w:val="none" w:sz="0" w:space="0" w:color="auto"/>
      </w:divBdr>
    </w:div>
    <w:div w:id="1931505998">
      <w:bodyDiv w:val="1"/>
      <w:marLeft w:val="0"/>
      <w:marRight w:val="0"/>
      <w:marTop w:val="0"/>
      <w:marBottom w:val="0"/>
      <w:divBdr>
        <w:top w:val="none" w:sz="0" w:space="0" w:color="auto"/>
        <w:left w:val="none" w:sz="0" w:space="0" w:color="auto"/>
        <w:bottom w:val="none" w:sz="0" w:space="0" w:color="auto"/>
        <w:right w:val="none" w:sz="0" w:space="0" w:color="auto"/>
      </w:divBdr>
    </w:div>
    <w:div w:id="1963611509">
      <w:bodyDiv w:val="1"/>
      <w:marLeft w:val="0"/>
      <w:marRight w:val="0"/>
      <w:marTop w:val="0"/>
      <w:marBottom w:val="0"/>
      <w:divBdr>
        <w:top w:val="none" w:sz="0" w:space="0" w:color="auto"/>
        <w:left w:val="none" w:sz="0" w:space="0" w:color="auto"/>
        <w:bottom w:val="none" w:sz="0" w:space="0" w:color="auto"/>
        <w:right w:val="none" w:sz="0" w:space="0" w:color="auto"/>
      </w:divBdr>
    </w:div>
    <w:div w:id="1974864155">
      <w:bodyDiv w:val="1"/>
      <w:marLeft w:val="0"/>
      <w:marRight w:val="0"/>
      <w:marTop w:val="0"/>
      <w:marBottom w:val="0"/>
      <w:divBdr>
        <w:top w:val="none" w:sz="0" w:space="0" w:color="auto"/>
        <w:left w:val="none" w:sz="0" w:space="0" w:color="auto"/>
        <w:bottom w:val="none" w:sz="0" w:space="0" w:color="auto"/>
        <w:right w:val="none" w:sz="0" w:space="0" w:color="auto"/>
      </w:divBdr>
    </w:div>
    <w:div w:id="1994678437">
      <w:bodyDiv w:val="1"/>
      <w:marLeft w:val="0"/>
      <w:marRight w:val="0"/>
      <w:marTop w:val="0"/>
      <w:marBottom w:val="0"/>
      <w:divBdr>
        <w:top w:val="none" w:sz="0" w:space="0" w:color="auto"/>
        <w:left w:val="none" w:sz="0" w:space="0" w:color="auto"/>
        <w:bottom w:val="none" w:sz="0" w:space="0" w:color="auto"/>
        <w:right w:val="none" w:sz="0" w:space="0" w:color="auto"/>
      </w:divBdr>
    </w:div>
    <w:div w:id="211354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8C965-936D-48E6-886F-E2E9E435F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2147</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2013-04-26T19:45:00Z</dcterms:created>
  <dcterms:modified xsi:type="dcterms:W3CDTF">2013-06-13T19:12:00Z</dcterms:modified>
</cp:coreProperties>
</file>