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3D13" w:rsidRDefault="004F3D13">
      <w:pPr>
        <w:spacing w:after="0" w:line="240" w:lineRule="auto"/>
        <w:jc w:val="center"/>
        <w:rPr>
          <w:b/>
          <w:sz w:val="24"/>
          <w:szCs w:val="24"/>
        </w:rPr>
      </w:pPr>
      <w:r>
        <w:rPr>
          <w:b/>
          <w:sz w:val="24"/>
          <w:szCs w:val="24"/>
        </w:rPr>
        <w:t xml:space="preserve">Supporting Statement for Paperwork Reduction Act Generic Information Collection Submissions for </w:t>
      </w:r>
    </w:p>
    <w:p w:rsidR="004F3D13" w:rsidRDefault="004F3D13" w:rsidP="00487727">
      <w:pPr>
        <w:spacing w:after="0" w:line="240" w:lineRule="auto"/>
        <w:jc w:val="center"/>
        <w:outlineLvl w:val="0"/>
        <w:rPr>
          <w:b/>
          <w:sz w:val="24"/>
          <w:szCs w:val="24"/>
        </w:rPr>
      </w:pPr>
      <w:r>
        <w:rPr>
          <w:b/>
          <w:sz w:val="24"/>
          <w:szCs w:val="24"/>
        </w:rPr>
        <w:t>Persona Creation Interviews</w:t>
      </w:r>
      <w:r w:rsidRPr="00541525">
        <w:rPr>
          <w:b/>
          <w:bCs/>
          <w:sz w:val="24"/>
          <w:szCs w:val="24"/>
        </w:rPr>
        <w:t xml:space="preserve"> for Internal Revenue Service (IRS) Taxpayer Segmentation</w:t>
      </w:r>
      <w:r>
        <w:rPr>
          <w:b/>
          <w:bCs/>
          <w:sz w:val="24"/>
          <w:szCs w:val="24"/>
        </w:rPr>
        <w:t xml:space="preserve"> &amp; Persona Creation</w:t>
      </w:r>
      <w:r w:rsidRPr="00541525">
        <w:rPr>
          <w:b/>
          <w:bCs/>
          <w:sz w:val="24"/>
          <w:szCs w:val="24"/>
        </w:rPr>
        <w:t xml:space="preserve"> Study</w:t>
      </w:r>
    </w:p>
    <w:p w:rsidR="004F3D13" w:rsidRDefault="004F3D13" w:rsidP="00487727">
      <w:pPr>
        <w:spacing w:after="0" w:line="240" w:lineRule="auto"/>
        <w:jc w:val="center"/>
        <w:outlineLvl w:val="0"/>
        <w:rPr>
          <w:b/>
          <w:sz w:val="24"/>
          <w:szCs w:val="24"/>
        </w:rPr>
      </w:pPr>
    </w:p>
    <w:p w:rsidR="004F3D13" w:rsidRDefault="004F3D13" w:rsidP="00487727">
      <w:pPr>
        <w:spacing w:after="0" w:line="240" w:lineRule="auto"/>
        <w:jc w:val="center"/>
        <w:outlineLvl w:val="0"/>
        <w:rPr>
          <w:b/>
          <w:sz w:val="24"/>
          <w:szCs w:val="24"/>
        </w:rPr>
      </w:pPr>
    </w:p>
    <w:p w:rsidR="004F3D13" w:rsidRDefault="004F3D13">
      <w:pPr>
        <w:pStyle w:val="ListParagraph"/>
        <w:numPr>
          <w:ilvl w:val="0"/>
          <w:numId w:val="1"/>
        </w:numPr>
        <w:spacing w:after="0" w:line="240" w:lineRule="auto"/>
        <w:ind w:left="0"/>
        <w:rPr>
          <w:b/>
        </w:rPr>
      </w:pPr>
      <w:r>
        <w:rPr>
          <w:b/>
        </w:rPr>
        <w:t>JUSTIFICATION</w:t>
      </w:r>
    </w:p>
    <w:p w:rsidR="004F3D13" w:rsidRDefault="004F3D13">
      <w:pPr>
        <w:pStyle w:val="ListParagraph"/>
        <w:spacing w:after="0" w:line="240" w:lineRule="auto"/>
        <w:ind w:left="0"/>
        <w:rPr>
          <w:b/>
        </w:rPr>
      </w:pPr>
    </w:p>
    <w:p w:rsidR="004F3D13" w:rsidRDefault="004F3D13">
      <w:pPr>
        <w:pStyle w:val="ListParagraph"/>
        <w:numPr>
          <w:ilvl w:val="0"/>
          <w:numId w:val="2"/>
        </w:numPr>
        <w:spacing w:after="0" w:line="240" w:lineRule="auto"/>
        <w:ind w:left="0"/>
        <w:rPr>
          <w:b/>
        </w:rPr>
      </w:pPr>
      <w:r>
        <w:rPr>
          <w:b/>
        </w:rPr>
        <w:t>Circumstances Making the Collection of Information Necessary</w:t>
      </w:r>
    </w:p>
    <w:p w:rsidR="004F3D13" w:rsidRDefault="004F3D13" w:rsidP="00A52D70">
      <w:pPr>
        <w:autoSpaceDE w:val="0"/>
        <w:autoSpaceDN w:val="0"/>
        <w:adjustRightInd w:val="0"/>
        <w:spacing w:after="0" w:line="240" w:lineRule="auto"/>
      </w:pPr>
    </w:p>
    <w:p w:rsidR="004F3D13" w:rsidRDefault="004F3D13" w:rsidP="00A52D70">
      <w:pPr>
        <w:autoSpaceDE w:val="0"/>
        <w:autoSpaceDN w:val="0"/>
        <w:adjustRightInd w:val="0"/>
        <w:spacing w:after="0" w:line="240" w:lineRule="auto"/>
      </w:pPr>
      <w:r>
        <w:t>A majority of tax administrations around the world, including IRS, use taxpayer segmentation to improve the performance of their examination, collection, and services functions. However, detailed and extensive segmentation research can also be a huge driver of performance, allowing the tax administration to vary the type of message, the particular tone of the message, or the method of communicating that message to particular taxpayer groups defined by the segmentation work. A broad study, such as the one performed for Her Majesty’s Revenue and Customs, is an example of a broad-based segmentation study. While IRS has conducted a broad segmentation study, the data is over ten years old. As a result, an updated segmentation study, including both demographic and psychographics, is needed.</w:t>
      </w:r>
    </w:p>
    <w:p w:rsidR="004F3D13" w:rsidRDefault="004F3D13">
      <w:pPr>
        <w:spacing w:after="0" w:line="240" w:lineRule="auto"/>
      </w:pPr>
    </w:p>
    <w:p w:rsidR="004F3D13" w:rsidRDefault="004F3D13">
      <w:pPr>
        <w:pStyle w:val="ListParagraph"/>
        <w:numPr>
          <w:ilvl w:val="0"/>
          <w:numId w:val="2"/>
        </w:numPr>
        <w:spacing w:after="0" w:line="240" w:lineRule="auto"/>
        <w:ind w:left="0"/>
        <w:rPr>
          <w:b/>
        </w:rPr>
      </w:pPr>
      <w:r>
        <w:rPr>
          <w:b/>
        </w:rPr>
        <w:t>Purpose and Use of the Information Collection</w:t>
      </w:r>
    </w:p>
    <w:p w:rsidR="004F3D13" w:rsidRDefault="004F3D13" w:rsidP="00A52D70">
      <w:pPr>
        <w:autoSpaceDE w:val="0"/>
        <w:autoSpaceDN w:val="0"/>
        <w:adjustRightInd w:val="0"/>
        <w:spacing w:line="240" w:lineRule="auto"/>
      </w:pPr>
      <w:r>
        <w:t xml:space="preserve">In an effort to enhance and maintain future taxpayer services and compliance, IRS seeks to develop a set of design personas that would inform IRS of taxpayer behaviors and attitudes, and provide a better understanding of their needs and preferences. The goal is to drive the insight gained from ethnographic research through the agency so that it permeates IRS organization and assist various divisions and departments to create and improve services provided for taxpayers. </w:t>
      </w:r>
    </w:p>
    <w:p w:rsidR="004F3D13" w:rsidRDefault="004F3D13" w:rsidP="00A52D70">
      <w:pPr>
        <w:autoSpaceDE w:val="0"/>
        <w:autoSpaceDN w:val="0"/>
        <w:adjustRightInd w:val="0"/>
        <w:spacing w:line="240" w:lineRule="auto"/>
      </w:pPr>
      <w:r>
        <w:t>This effort will begin by conducting ethnographic research:  interviewing and observing W&amp;I taxpayers to better understand their behaviors, attitudes, motivations and goals when interacting with the IRS and their taxes.  Taxpayers are defined as individual taxpayers (W&amp;I).  Sample topics that will be included in this study include:</w:t>
      </w:r>
    </w:p>
    <w:p w:rsidR="004F3D13" w:rsidRDefault="004F3D13" w:rsidP="00FE6920">
      <w:pPr>
        <w:numPr>
          <w:ilvl w:val="0"/>
          <w:numId w:val="19"/>
        </w:numPr>
        <w:autoSpaceDE w:val="0"/>
        <w:autoSpaceDN w:val="0"/>
        <w:adjustRightInd w:val="0"/>
        <w:spacing w:after="0" w:line="240" w:lineRule="auto"/>
      </w:pPr>
      <w:r w:rsidRPr="00837D00">
        <w:rPr>
          <w:rFonts w:cs="Arial"/>
          <w:szCs w:val="18"/>
        </w:rPr>
        <w:t>How would you describe the complexity of your taxes?</w:t>
      </w:r>
    </w:p>
    <w:p w:rsidR="004F3D13" w:rsidRDefault="004F3D13" w:rsidP="00FE6920">
      <w:pPr>
        <w:numPr>
          <w:ilvl w:val="0"/>
          <w:numId w:val="19"/>
        </w:numPr>
        <w:autoSpaceDE w:val="0"/>
        <w:autoSpaceDN w:val="0"/>
        <w:adjustRightInd w:val="0"/>
        <w:spacing w:after="0" w:line="240" w:lineRule="auto"/>
      </w:pPr>
      <w:r>
        <w:t>What is the most difficult part(s) of preparing and filing your taxes?</w:t>
      </w:r>
    </w:p>
    <w:p w:rsidR="004F3D13" w:rsidRDefault="004F3D13" w:rsidP="00FE6920">
      <w:pPr>
        <w:numPr>
          <w:ilvl w:val="0"/>
          <w:numId w:val="19"/>
        </w:numPr>
        <w:autoSpaceDE w:val="0"/>
        <w:autoSpaceDN w:val="0"/>
        <w:adjustRightInd w:val="0"/>
        <w:spacing w:after="0" w:line="240" w:lineRule="auto"/>
      </w:pPr>
      <w:r>
        <w:t>What keeps you up at night about your taxes?</w:t>
      </w:r>
    </w:p>
    <w:p w:rsidR="004F3D13" w:rsidRDefault="004F3D13" w:rsidP="00FE6920">
      <w:pPr>
        <w:numPr>
          <w:ilvl w:val="0"/>
          <w:numId w:val="19"/>
        </w:numPr>
        <w:autoSpaceDE w:val="0"/>
        <w:autoSpaceDN w:val="0"/>
        <w:adjustRightInd w:val="0"/>
        <w:spacing w:after="0" w:line="240" w:lineRule="auto"/>
      </w:pPr>
      <w:r>
        <w:t>Where do you go / what do you do when you need help or have questions about your taxes?</w:t>
      </w:r>
    </w:p>
    <w:p w:rsidR="004F3D13" w:rsidRDefault="004F3D13" w:rsidP="00A52D70">
      <w:pPr>
        <w:autoSpaceDE w:val="0"/>
        <w:autoSpaceDN w:val="0"/>
        <w:adjustRightInd w:val="0"/>
        <w:spacing w:line="240" w:lineRule="auto"/>
      </w:pPr>
      <w:r>
        <w:t>Through this engagement, IRS will get answers to these and other related questions. It can design, evaluate, and target services in a manner that will result in more effective communication with the taxpayers.</w:t>
      </w:r>
    </w:p>
    <w:p w:rsidR="004F3D13" w:rsidRDefault="004F3D13" w:rsidP="00A52D70">
      <w:pPr>
        <w:spacing w:after="0" w:line="240" w:lineRule="auto"/>
      </w:pPr>
      <w:r w:rsidRPr="008813D0">
        <w:t>Forrester and MAYA Design will design and implement qualitative interviews – in collaboration with IRS. The interviews will be conducted both via phone and in-person. Data collection will focus on eliciting the perceptions, beliefs, preferences, and behaviors</w:t>
      </w:r>
      <w:r>
        <w:t xml:space="preserve"> that taxpayers have </w:t>
      </w:r>
      <w:r w:rsidRPr="00FE6920">
        <w:t xml:space="preserve">about how they interact with technology and information sources, and about </w:t>
      </w:r>
      <w:r>
        <w:t>their</w:t>
      </w:r>
      <w:r w:rsidRPr="00FE6920">
        <w:t xml:space="preserve"> thoughts and perceptions around taxes </w:t>
      </w:r>
      <w:r>
        <w:t xml:space="preserve">and </w:t>
      </w:r>
      <w:r w:rsidRPr="00FE6920">
        <w:t>when interacting with</w:t>
      </w:r>
      <w:r w:rsidRPr="00310CDA">
        <w:t xml:space="preserve"> the IRS.</w:t>
      </w:r>
    </w:p>
    <w:p w:rsidR="004F3D13" w:rsidRDefault="004F3D13">
      <w:pPr>
        <w:spacing w:after="0" w:line="240" w:lineRule="auto"/>
      </w:pPr>
    </w:p>
    <w:p w:rsidR="004F3D13" w:rsidRDefault="004F3D13">
      <w:pPr>
        <w:pStyle w:val="ListParagraph"/>
        <w:numPr>
          <w:ilvl w:val="0"/>
          <w:numId w:val="2"/>
        </w:numPr>
        <w:spacing w:after="0" w:line="240" w:lineRule="auto"/>
        <w:ind w:left="0"/>
        <w:rPr>
          <w:b/>
        </w:rPr>
      </w:pPr>
      <w:r>
        <w:rPr>
          <w:b/>
        </w:rPr>
        <w:t>Consideration Given to Information Technology</w:t>
      </w:r>
    </w:p>
    <w:p w:rsidR="004F3D13" w:rsidRDefault="004F3D13">
      <w:pPr>
        <w:spacing w:after="0" w:line="240" w:lineRule="auto"/>
        <w:rPr>
          <w:highlight w:val="yellow"/>
        </w:rPr>
      </w:pPr>
    </w:p>
    <w:p w:rsidR="004F3D13" w:rsidRDefault="004F3D13" w:rsidP="00A52D70">
      <w:pPr>
        <w:spacing w:after="0" w:line="240" w:lineRule="auto"/>
      </w:pPr>
      <w:r w:rsidRPr="008813D0">
        <w:t>In an effort to minimize burden on respondents, approximately 50% of the qualitative interviews will be collected using telephone interviews.  Interviewees will be sent through a series of screening questions to ensure they qualify prior to being invited to participate in the interviews.  We will</w:t>
      </w:r>
      <w:r>
        <w:t xml:space="preserve"> also use a mix of audio and video to record the interviews.</w:t>
      </w:r>
    </w:p>
    <w:p w:rsidR="004F3D13" w:rsidRDefault="004F3D13" w:rsidP="00A52D70">
      <w:pPr>
        <w:spacing w:after="0" w:line="240" w:lineRule="auto"/>
      </w:pPr>
    </w:p>
    <w:p w:rsidR="004F3D13" w:rsidRDefault="004F3D13" w:rsidP="00A52D70">
      <w:pPr>
        <w:pStyle w:val="ListParagraph"/>
        <w:numPr>
          <w:ilvl w:val="0"/>
          <w:numId w:val="2"/>
        </w:numPr>
        <w:spacing w:after="0" w:line="240" w:lineRule="auto"/>
        <w:ind w:left="0"/>
        <w:rPr>
          <w:b/>
        </w:rPr>
      </w:pPr>
      <w:r>
        <w:rPr>
          <w:b/>
        </w:rPr>
        <w:t xml:space="preserve"> Duplication of Information</w:t>
      </w:r>
    </w:p>
    <w:p w:rsidR="004F3D13" w:rsidRDefault="004F3D13">
      <w:pPr>
        <w:spacing w:after="0" w:line="240" w:lineRule="auto"/>
      </w:pPr>
    </w:p>
    <w:p w:rsidR="004F3D13" w:rsidRDefault="004F3D13" w:rsidP="00A52D70">
      <w:pPr>
        <w:spacing w:after="0" w:line="240" w:lineRule="auto"/>
      </w:pPr>
      <w:r w:rsidRPr="008813D0">
        <w:t>The goal of the research is to both build upon the foundation already laid by previous research efforts and create a set of design personas that are representative and current to the current taxpayer population. While some similar questions and answer option lists may be used in the current research in order to ensure continuity of data across studies, the research design team has reviewed segmentation research conducted in the past year by Forrester and Definitive Insights in order to avoid duplication of the research. The data and findings from this research are not currently available from other (internal or external) sources.</w:t>
      </w:r>
    </w:p>
    <w:p w:rsidR="004F3D13" w:rsidRDefault="004F3D13">
      <w:pPr>
        <w:spacing w:after="0" w:line="240" w:lineRule="auto"/>
      </w:pPr>
    </w:p>
    <w:p w:rsidR="004F3D13" w:rsidRDefault="004F3D13">
      <w:pPr>
        <w:pStyle w:val="ListParagraph"/>
        <w:numPr>
          <w:ilvl w:val="0"/>
          <w:numId w:val="2"/>
        </w:numPr>
        <w:spacing w:after="0" w:line="240" w:lineRule="auto"/>
        <w:ind w:left="0"/>
        <w:rPr>
          <w:b/>
        </w:rPr>
      </w:pPr>
      <w:r>
        <w:rPr>
          <w:b/>
        </w:rPr>
        <w:t xml:space="preserve"> Reducing the Burden on Small Entities</w:t>
      </w:r>
    </w:p>
    <w:p w:rsidR="004F3D13" w:rsidRDefault="004F3D13" w:rsidP="00A52D70">
      <w:pPr>
        <w:pStyle w:val="ListParagraph"/>
        <w:spacing w:after="0" w:line="240" w:lineRule="auto"/>
        <w:ind w:left="0"/>
        <w:rPr>
          <w:b/>
        </w:rPr>
      </w:pPr>
    </w:p>
    <w:p w:rsidR="004F3D13" w:rsidRDefault="004F3D13">
      <w:pPr>
        <w:spacing w:after="0" w:line="240" w:lineRule="auto"/>
      </w:pPr>
      <w:r>
        <w:t>Small business or other small entities will not be involved in these efforts.</w:t>
      </w:r>
    </w:p>
    <w:p w:rsidR="004F3D13" w:rsidRDefault="004F3D13">
      <w:pPr>
        <w:spacing w:after="0" w:line="240" w:lineRule="auto"/>
      </w:pPr>
    </w:p>
    <w:p w:rsidR="004F3D13" w:rsidRDefault="004F3D13">
      <w:pPr>
        <w:pStyle w:val="ListParagraph"/>
        <w:numPr>
          <w:ilvl w:val="0"/>
          <w:numId w:val="2"/>
        </w:numPr>
        <w:spacing w:after="0" w:line="240" w:lineRule="auto"/>
        <w:ind w:left="0"/>
        <w:rPr>
          <w:b/>
        </w:rPr>
      </w:pPr>
      <w:r>
        <w:rPr>
          <w:b/>
        </w:rPr>
        <w:t xml:space="preserve">Consequences of Not Conducting Collection </w:t>
      </w:r>
    </w:p>
    <w:p w:rsidR="004F3D13" w:rsidRDefault="004F3D13">
      <w:pPr>
        <w:pStyle w:val="ListParagraph"/>
        <w:spacing w:after="0" w:line="240" w:lineRule="auto"/>
        <w:ind w:left="0"/>
        <w:rPr>
          <w:b/>
        </w:rPr>
      </w:pPr>
    </w:p>
    <w:p w:rsidR="004F3D13" w:rsidRDefault="004F3D13" w:rsidP="001F6511">
      <w:pPr>
        <w:spacing w:after="0" w:line="240" w:lineRule="auto"/>
      </w:pPr>
      <w:r>
        <w:t>Without these data, IRS will not have accurate and timely information to create and / or adjust its services to meet evolving taxpayer needs.</w:t>
      </w:r>
    </w:p>
    <w:p w:rsidR="004F3D13" w:rsidRDefault="004F3D13">
      <w:pPr>
        <w:spacing w:after="0" w:line="240" w:lineRule="auto"/>
      </w:pPr>
    </w:p>
    <w:p w:rsidR="004F3D13" w:rsidRDefault="004F3D13">
      <w:pPr>
        <w:pStyle w:val="ListParagraph"/>
        <w:numPr>
          <w:ilvl w:val="0"/>
          <w:numId w:val="2"/>
        </w:numPr>
        <w:spacing w:after="0" w:line="240" w:lineRule="auto"/>
        <w:ind w:left="0"/>
        <w:rPr>
          <w:b/>
        </w:rPr>
      </w:pPr>
      <w:r>
        <w:rPr>
          <w:b/>
        </w:rPr>
        <w:t>Special Circumstances</w:t>
      </w:r>
    </w:p>
    <w:p w:rsidR="004F3D13" w:rsidRDefault="004F3D13">
      <w:pPr>
        <w:pStyle w:val="ListParagraph"/>
        <w:spacing w:after="0" w:line="240" w:lineRule="auto"/>
        <w:ind w:left="0"/>
        <w:rPr>
          <w:b/>
        </w:rPr>
      </w:pPr>
    </w:p>
    <w:p w:rsidR="004F3D13" w:rsidRDefault="004F3D13">
      <w:pPr>
        <w:spacing w:after="0" w:line="240" w:lineRule="auto"/>
      </w:pPr>
      <w:r>
        <w:t>There are no special circumstances. The information collected will be voluntary.</w:t>
      </w:r>
    </w:p>
    <w:p w:rsidR="004F3D13" w:rsidRDefault="004F3D13">
      <w:pPr>
        <w:spacing w:after="0" w:line="240" w:lineRule="auto"/>
      </w:pPr>
    </w:p>
    <w:p w:rsidR="004F3D13" w:rsidRPr="00885B5B" w:rsidRDefault="004F3D13">
      <w:pPr>
        <w:pStyle w:val="ListParagraph"/>
        <w:numPr>
          <w:ilvl w:val="0"/>
          <w:numId w:val="2"/>
        </w:numPr>
        <w:spacing w:after="0" w:line="240" w:lineRule="auto"/>
        <w:ind w:left="0"/>
        <w:rPr>
          <w:b/>
        </w:rPr>
      </w:pPr>
      <w:r w:rsidRPr="00885B5B">
        <w:rPr>
          <w:b/>
        </w:rPr>
        <w:t>Consultations with Persons Outside the IRS</w:t>
      </w:r>
    </w:p>
    <w:p w:rsidR="004F3D13" w:rsidRPr="00885B5B" w:rsidRDefault="004F3D13">
      <w:pPr>
        <w:pStyle w:val="ListParagraph"/>
        <w:spacing w:after="0" w:line="240" w:lineRule="auto"/>
        <w:ind w:left="0"/>
        <w:rPr>
          <w:b/>
        </w:rPr>
      </w:pPr>
    </w:p>
    <w:p w:rsidR="004F3D13" w:rsidRDefault="004F3D13">
      <w:pPr>
        <w:spacing w:after="0" w:line="240" w:lineRule="auto"/>
      </w:pPr>
      <w:r w:rsidRPr="00885B5B">
        <w:t>N/A</w:t>
      </w:r>
    </w:p>
    <w:p w:rsidR="004F3D13" w:rsidRDefault="004F3D13">
      <w:pPr>
        <w:spacing w:after="0" w:line="240" w:lineRule="auto"/>
      </w:pPr>
    </w:p>
    <w:p w:rsidR="004F3D13" w:rsidRDefault="004F3D13">
      <w:pPr>
        <w:pStyle w:val="ListParagraph"/>
        <w:numPr>
          <w:ilvl w:val="0"/>
          <w:numId w:val="2"/>
        </w:numPr>
        <w:spacing w:after="0" w:line="240" w:lineRule="auto"/>
        <w:ind w:left="0"/>
        <w:rPr>
          <w:b/>
        </w:rPr>
      </w:pPr>
      <w:r>
        <w:rPr>
          <w:b/>
        </w:rPr>
        <w:t>Payment or Gift</w:t>
      </w:r>
    </w:p>
    <w:p w:rsidR="004F3D13" w:rsidRDefault="004F3D13">
      <w:pPr>
        <w:spacing w:after="0" w:line="240" w:lineRule="auto"/>
      </w:pPr>
    </w:p>
    <w:p w:rsidR="004F3D13" w:rsidRDefault="004F3D13" w:rsidP="001F6511">
      <w:pPr>
        <w:spacing w:line="240" w:lineRule="auto"/>
      </w:pPr>
      <w:r w:rsidRPr="00FD0278">
        <w:rPr>
          <w:color w:val="000000"/>
        </w:rPr>
        <w:t xml:space="preserve">We </w:t>
      </w:r>
      <w:r>
        <w:rPr>
          <w:color w:val="000000"/>
        </w:rPr>
        <w:t>will provide interview participants with $10</w:t>
      </w:r>
      <w:r w:rsidRPr="00FD0278">
        <w:rPr>
          <w:color w:val="000000"/>
        </w:rPr>
        <w:t>0</w:t>
      </w:r>
      <w:r>
        <w:rPr>
          <w:color w:val="000000"/>
        </w:rPr>
        <w:t xml:space="preserve"> as compensation for participation</w:t>
      </w:r>
      <w:r w:rsidRPr="00FD0278">
        <w:rPr>
          <w:color w:val="000000"/>
        </w:rPr>
        <w:t>.</w:t>
      </w:r>
      <w:r>
        <w:rPr>
          <w:color w:val="000000"/>
        </w:rPr>
        <w:t xml:space="preserve">  </w:t>
      </w:r>
      <w:r>
        <w:t>We provide the payment as remuneration for participants' time and any expenses they may incur (such as parking, transportation, and/or childcare costs). We are confident the amount provided will not induce individuals to participate in the interviews against their better judgment.</w:t>
      </w:r>
    </w:p>
    <w:p w:rsidR="004F3D13" w:rsidRPr="00FD0936" w:rsidRDefault="004F3D13" w:rsidP="001F6511">
      <w:pPr>
        <w:spacing w:line="240" w:lineRule="auto"/>
      </w:pPr>
      <w:r w:rsidRPr="00FD0936">
        <w:t>Another justification for the amounts is that research houses routinely pay incentives to recruit target audiences, and we will use a research house to recruit. Research houses deal with many factors as they attempt to recruit, including respondents' busy schedules, etc.; therefore, they incorporate incentives as one tool to assist them to recruit respondents who will not only appear for interviews but who will provide quality data. Further, we are utilizing a screener to recruit a people with specific characteristics; therefore, we must give the research house the tools they need to properly encourage respondents to join the study.</w:t>
      </w:r>
    </w:p>
    <w:p w:rsidR="004F3D13" w:rsidRPr="00931B80" w:rsidRDefault="004F3D13">
      <w:pPr>
        <w:pStyle w:val="ListParagraph"/>
        <w:numPr>
          <w:ilvl w:val="0"/>
          <w:numId w:val="2"/>
        </w:numPr>
        <w:spacing w:after="0" w:line="240" w:lineRule="auto"/>
        <w:ind w:left="0"/>
        <w:rPr>
          <w:b/>
        </w:rPr>
      </w:pPr>
      <w:r>
        <w:rPr>
          <w:b/>
        </w:rPr>
        <w:t xml:space="preserve"> </w:t>
      </w:r>
      <w:r w:rsidRPr="00931B80">
        <w:rPr>
          <w:b/>
        </w:rPr>
        <w:t xml:space="preserve">Confidentiality </w:t>
      </w:r>
    </w:p>
    <w:p w:rsidR="004F3D13" w:rsidRDefault="004F3D13">
      <w:pPr>
        <w:spacing w:after="0" w:line="240" w:lineRule="auto"/>
      </w:pPr>
    </w:p>
    <w:p w:rsidR="004F3D13" w:rsidRPr="00931B80" w:rsidRDefault="004F3D13" w:rsidP="001F6511">
      <w:pPr>
        <w:spacing w:after="0" w:line="240" w:lineRule="auto"/>
        <w:rPr>
          <w:rFonts w:cs="Calibri"/>
          <w:szCs w:val="24"/>
        </w:rPr>
      </w:pPr>
      <w:r w:rsidRPr="008813D0">
        <w:rPr>
          <w:rFonts w:cs="Calibri"/>
          <w:szCs w:val="24"/>
        </w:rPr>
        <w:t>All respondents will be assured of their anonymity and that the responses they provide will be used only for research purposes, as part of the introductory language to the survey, prior to screening for qualification. They will also be promised that they will never be identified to IRS personnel, and will not be contacted by the IRS as a result of participating in the research.</w:t>
      </w:r>
    </w:p>
    <w:p w:rsidR="004F3D13" w:rsidRPr="00931B80" w:rsidRDefault="004F3D13" w:rsidP="000D1FE1">
      <w:pPr>
        <w:spacing w:after="0" w:line="240" w:lineRule="auto"/>
        <w:rPr>
          <w:rFonts w:cs="Calibri"/>
          <w:szCs w:val="24"/>
        </w:rPr>
      </w:pPr>
    </w:p>
    <w:p w:rsidR="004F3D13" w:rsidRPr="009E3F70" w:rsidRDefault="004F3D13" w:rsidP="000D1FE1">
      <w:pPr>
        <w:spacing w:after="0" w:line="240" w:lineRule="auto"/>
        <w:rPr>
          <w:rFonts w:cs="Calibri"/>
          <w:sz w:val="20"/>
        </w:rPr>
      </w:pPr>
      <w:r w:rsidRPr="00931B80">
        <w:rPr>
          <w:rFonts w:cs="Calibri"/>
          <w:szCs w:val="24"/>
        </w:rPr>
        <w:t>The feedback received will not institute new policy, yet enable the Service to meet taxpayer needs.</w:t>
      </w:r>
    </w:p>
    <w:p w:rsidR="004F3D13" w:rsidRDefault="004F3D13">
      <w:pPr>
        <w:spacing w:after="0" w:line="240" w:lineRule="auto"/>
      </w:pPr>
    </w:p>
    <w:p w:rsidR="004F3D13" w:rsidRDefault="004F3D13">
      <w:pPr>
        <w:pStyle w:val="ListParagraph"/>
        <w:numPr>
          <w:ilvl w:val="0"/>
          <w:numId w:val="2"/>
        </w:numPr>
        <w:spacing w:after="0" w:line="240" w:lineRule="auto"/>
        <w:ind w:left="0"/>
        <w:rPr>
          <w:b/>
        </w:rPr>
      </w:pPr>
      <w:r>
        <w:rPr>
          <w:b/>
        </w:rPr>
        <w:t>Sensitive Nature</w:t>
      </w:r>
    </w:p>
    <w:p w:rsidR="004F3D13" w:rsidRDefault="004F3D13">
      <w:pPr>
        <w:pStyle w:val="ListParagraph"/>
        <w:spacing w:after="0" w:line="240" w:lineRule="auto"/>
        <w:ind w:left="0"/>
        <w:rPr>
          <w:b/>
        </w:rPr>
      </w:pPr>
    </w:p>
    <w:p w:rsidR="004F3D13" w:rsidRDefault="004F3D13">
      <w:pPr>
        <w:spacing w:after="0" w:line="240" w:lineRule="auto"/>
      </w:pPr>
      <w:r>
        <w:t>No questions will be asked that are of a personal or sensitive nature.</w:t>
      </w:r>
    </w:p>
    <w:p w:rsidR="004F3D13" w:rsidRDefault="004F3D13">
      <w:pPr>
        <w:spacing w:after="0" w:line="240" w:lineRule="auto"/>
      </w:pPr>
    </w:p>
    <w:p w:rsidR="004F3D13" w:rsidRDefault="004F3D13">
      <w:pPr>
        <w:pStyle w:val="ListParagraph"/>
        <w:numPr>
          <w:ilvl w:val="0"/>
          <w:numId w:val="2"/>
        </w:numPr>
        <w:spacing w:after="0" w:line="240" w:lineRule="auto"/>
        <w:ind w:left="0"/>
        <w:rPr>
          <w:b/>
        </w:rPr>
      </w:pPr>
      <w:r>
        <w:rPr>
          <w:b/>
        </w:rPr>
        <w:t>Burden of Information Collection</w:t>
      </w:r>
    </w:p>
    <w:p w:rsidR="004F3D13" w:rsidRDefault="004F3D13">
      <w:pPr>
        <w:spacing w:after="0" w:line="240" w:lineRule="auto"/>
      </w:pPr>
    </w:p>
    <w:p w:rsidR="004F3D13" w:rsidRDefault="004F3D13" w:rsidP="00C505B0">
      <w:r>
        <w:rPr>
          <w:b/>
        </w:rPr>
        <w:t>BURDEN HOURS</w:t>
      </w:r>
      <w:r>
        <w:t xml:space="preserve"> </w:t>
      </w:r>
    </w:p>
    <w:p w:rsidR="004F3D13" w:rsidRDefault="004F3D13" w:rsidP="00C505B0">
      <w:pPr>
        <w:spacing w:line="240" w:lineRule="auto"/>
        <w:rPr>
          <w:iCs/>
        </w:rPr>
      </w:pPr>
      <w:r>
        <w:rPr>
          <w:iCs/>
        </w:rPr>
        <w:t xml:space="preserve">We intend to contact a total of 83 individuals with the goal of interviewing 42 individuals; and we will recruit 50 individuals to ensure that we get the desired 42 completed interviews. The estimated time to complete the interviews is one hour.  </w:t>
      </w:r>
      <w:r>
        <w:rPr>
          <w:b/>
          <w:bCs/>
          <w:iCs/>
        </w:rPr>
        <w:t xml:space="preserve">Eight (6 in person/2 phone) will be secured as backup participants in the case of no-shows.  </w:t>
      </w:r>
      <w:r>
        <w:rPr>
          <w:iCs/>
        </w:rPr>
        <w:t>We anticipate a 60% response rate among those contacted to complete this study. This assumes that 40% of those screened to for the study will not participate. Given that 40% of those contacted will not participate in the study, we estimate that the time burden for the individuals who do not participate to average 2 minutes for phone screening. The final burden hour estimates are thus:</w:t>
      </w:r>
    </w:p>
    <w:p w:rsidR="004F3D13" w:rsidRDefault="004F3D13" w:rsidP="00C505B0">
      <w:pPr>
        <w:spacing w:after="0" w:line="240" w:lineRule="auto"/>
        <w:rPr>
          <w:iCs/>
        </w:rPr>
      </w:pPr>
      <w:r>
        <w:rPr>
          <w:iCs/>
        </w:rPr>
        <w:t>·         21 in person interviews at 90 minutes each = 1,890 minutes = 31.5 hours</w:t>
      </w:r>
    </w:p>
    <w:p w:rsidR="004F3D13" w:rsidRDefault="004F3D13" w:rsidP="00C505B0">
      <w:pPr>
        <w:spacing w:after="0"/>
        <w:rPr>
          <w:iCs/>
        </w:rPr>
      </w:pPr>
      <w:r>
        <w:rPr>
          <w:iCs/>
        </w:rPr>
        <w:t>·         21 phone interviews at 75 minutes each = 1,575 minutes = 26.25 hours</w:t>
      </w:r>
    </w:p>
    <w:p w:rsidR="004F3D13" w:rsidRDefault="004F3D13" w:rsidP="00C505B0">
      <w:pPr>
        <w:spacing w:after="0"/>
        <w:rPr>
          <w:iCs/>
        </w:rPr>
      </w:pPr>
      <w:r>
        <w:rPr>
          <w:iCs/>
        </w:rPr>
        <w:t>·         50 individuals given full screener to participate at 10 minutes each = 500 minute = 8.33 hours</w:t>
      </w:r>
    </w:p>
    <w:p w:rsidR="004F3D13" w:rsidRDefault="004F3D13" w:rsidP="00C505B0">
      <w:pPr>
        <w:spacing w:after="0"/>
        <w:rPr>
          <w:iCs/>
        </w:rPr>
      </w:pPr>
      <w:r>
        <w:rPr>
          <w:iCs/>
        </w:rPr>
        <w:t>·         33 non-participants screened at average of 2 minutes each = 66 minutes = 1.10 hours</w:t>
      </w:r>
    </w:p>
    <w:p w:rsidR="004F3D13" w:rsidRDefault="004F3D13" w:rsidP="00C505B0">
      <w:pPr>
        <w:spacing w:after="0"/>
        <w:rPr>
          <w:b/>
          <w:bCs/>
          <w:iCs/>
        </w:rPr>
      </w:pPr>
      <w:r>
        <w:rPr>
          <w:iCs/>
        </w:rPr>
        <w:t xml:space="preserve">   </w:t>
      </w:r>
      <w:r>
        <w:rPr>
          <w:b/>
          <w:bCs/>
          <w:iCs/>
        </w:rPr>
        <w:t>Total burden hour estimate: 67.15 hours</w:t>
      </w:r>
    </w:p>
    <w:p w:rsidR="004F3D13" w:rsidRDefault="004F3D13" w:rsidP="00C505B0">
      <w:pPr>
        <w:spacing w:after="0"/>
        <w:rPr>
          <w:b/>
          <w:bCs/>
          <w:iCs/>
        </w:rPr>
      </w:pPr>
    </w:p>
    <w:p w:rsidR="004F3D13" w:rsidRDefault="004F3D13" w:rsidP="00C505B0">
      <w:pPr>
        <w:spacing w:after="0"/>
        <w:rPr>
          <w:b/>
          <w:bCs/>
          <w:iCs/>
        </w:rPr>
      </w:pPr>
    </w:p>
    <w:tbl>
      <w:tblPr>
        <w:tblW w:w="100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390"/>
        <w:gridCol w:w="2340"/>
        <w:gridCol w:w="2477"/>
        <w:gridCol w:w="1843"/>
      </w:tblGrid>
      <w:tr w:rsidR="004F3D13" w:rsidTr="00C505B0">
        <w:trPr>
          <w:trHeight w:val="274"/>
          <w:jc w:val="center"/>
        </w:trPr>
        <w:tc>
          <w:tcPr>
            <w:tcW w:w="3391" w:type="dxa"/>
          </w:tcPr>
          <w:p w:rsidR="004F3D13" w:rsidRDefault="004F3D13" w:rsidP="00C505B0">
            <w:pPr>
              <w:spacing w:after="0"/>
              <w:rPr>
                <w:b/>
              </w:rPr>
            </w:pPr>
            <w:r>
              <w:rPr>
                <w:b/>
              </w:rPr>
              <w:t xml:space="preserve">Category of Respondent </w:t>
            </w:r>
          </w:p>
        </w:tc>
        <w:tc>
          <w:tcPr>
            <w:tcW w:w="2340" w:type="dxa"/>
          </w:tcPr>
          <w:p w:rsidR="004F3D13" w:rsidRDefault="004F3D13" w:rsidP="00C505B0">
            <w:pPr>
              <w:spacing w:after="0"/>
              <w:rPr>
                <w:b/>
              </w:rPr>
            </w:pPr>
            <w:r>
              <w:rPr>
                <w:b/>
              </w:rPr>
              <w:t>No. Of Respondents</w:t>
            </w:r>
          </w:p>
        </w:tc>
        <w:tc>
          <w:tcPr>
            <w:tcW w:w="2477" w:type="dxa"/>
          </w:tcPr>
          <w:p w:rsidR="004F3D13" w:rsidRDefault="004F3D13" w:rsidP="00C505B0">
            <w:pPr>
              <w:spacing w:after="0"/>
              <w:rPr>
                <w:b/>
              </w:rPr>
            </w:pPr>
            <w:r>
              <w:rPr>
                <w:b/>
              </w:rPr>
              <w:t>Participation Time including screening time</w:t>
            </w:r>
          </w:p>
        </w:tc>
        <w:tc>
          <w:tcPr>
            <w:tcW w:w="1843" w:type="dxa"/>
          </w:tcPr>
          <w:p w:rsidR="004F3D13" w:rsidRDefault="004F3D13" w:rsidP="00C505B0">
            <w:pPr>
              <w:spacing w:after="0"/>
              <w:rPr>
                <w:b/>
              </w:rPr>
            </w:pPr>
            <w:r>
              <w:rPr>
                <w:b/>
              </w:rPr>
              <w:t>Burden</w:t>
            </w:r>
          </w:p>
        </w:tc>
      </w:tr>
      <w:tr w:rsidR="004F3D13" w:rsidTr="00C505B0">
        <w:trPr>
          <w:trHeight w:val="274"/>
          <w:jc w:val="center"/>
        </w:trPr>
        <w:tc>
          <w:tcPr>
            <w:tcW w:w="3391" w:type="dxa"/>
          </w:tcPr>
          <w:p w:rsidR="004F3D13" w:rsidRDefault="004F3D13" w:rsidP="00C505B0">
            <w:pPr>
              <w:spacing w:after="0"/>
              <w:rPr>
                <w:b/>
                <w:bCs/>
                <w:sz w:val="20"/>
                <w:szCs w:val="20"/>
              </w:rPr>
            </w:pPr>
            <w:r>
              <w:rPr>
                <w:b/>
                <w:bCs/>
                <w:sz w:val="20"/>
                <w:szCs w:val="20"/>
              </w:rPr>
              <w:t xml:space="preserve">W&amp;I Taxpayers – IN PERSON </w:t>
            </w:r>
          </w:p>
          <w:p w:rsidR="004F3D13" w:rsidRDefault="004F3D13" w:rsidP="00C505B0">
            <w:pPr>
              <w:spacing w:after="0"/>
              <w:rPr>
                <w:b/>
                <w:bCs/>
                <w:sz w:val="20"/>
                <w:szCs w:val="20"/>
              </w:rPr>
            </w:pPr>
            <w:r>
              <w:rPr>
                <w:b/>
                <w:bCs/>
                <w:sz w:val="20"/>
                <w:szCs w:val="20"/>
              </w:rPr>
              <w:t>Screening</w:t>
            </w:r>
          </w:p>
          <w:p w:rsidR="004F3D13" w:rsidRDefault="004F3D13" w:rsidP="00C505B0">
            <w:pPr>
              <w:spacing w:after="0"/>
              <w:rPr>
                <w:b/>
                <w:sz w:val="20"/>
              </w:rPr>
            </w:pPr>
            <w:r>
              <w:rPr>
                <w:b/>
                <w:bCs/>
                <w:sz w:val="20"/>
                <w:szCs w:val="20"/>
              </w:rPr>
              <w:t>Participants for interviews</w:t>
            </w:r>
          </w:p>
        </w:tc>
        <w:tc>
          <w:tcPr>
            <w:tcW w:w="2340" w:type="dxa"/>
          </w:tcPr>
          <w:p w:rsidR="004F3D13" w:rsidRDefault="004F3D13" w:rsidP="00C505B0">
            <w:pPr>
              <w:spacing w:after="0"/>
              <w:rPr>
                <w:b/>
                <w:sz w:val="20"/>
              </w:rPr>
            </w:pPr>
          </w:p>
          <w:p w:rsidR="004F3D13" w:rsidRDefault="004F3D13" w:rsidP="00C505B0">
            <w:pPr>
              <w:spacing w:after="0"/>
              <w:rPr>
                <w:b/>
                <w:sz w:val="20"/>
              </w:rPr>
            </w:pPr>
            <w:r>
              <w:rPr>
                <w:b/>
                <w:sz w:val="20"/>
              </w:rPr>
              <w:t>27</w:t>
            </w:r>
          </w:p>
          <w:p w:rsidR="004F3D13" w:rsidRDefault="004F3D13" w:rsidP="00C505B0">
            <w:pPr>
              <w:spacing w:after="0"/>
              <w:rPr>
                <w:b/>
                <w:sz w:val="20"/>
              </w:rPr>
            </w:pPr>
            <w:r>
              <w:rPr>
                <w:b/>
                <w:sz w:val="20"/>
              </w:rPr>
              <w:t>21</w:t>
            </w:r>
          </w:p>
        </w:tc>
        <w:tc>
          <w:tcPr>
            <w:tcW w:w="2477" w:type="dxa"/>
          </w:tcPr>
          <w:p w:rsidR="004F3D13" w:rsidRDefault="004F3D13" w:rsidP="00C505B0">
            <w:pPr>
              <w:spacing w:after="0"/>
            </w:pPr>
          </w:p>
          <w:p w:rsidR="004F3D13" w:rsidRDefault="004F3D13" w:rsidP="00C505B0">
            <w:pPr>
              <w:spacing w:after="0"/>
            </w:pPr>
            <w:r>
              <w:t>10 minutes</w:t>
            </w:r>
          </w:p>
          <w:p w:rsidR="004F3D13" w:rsidRDefault="004F3D13" w:rsidP="00C505B0">
            <w:pPr>
              <w:spacing w:after="0"/>
            </w:pPr>
            <w:r>
              <w:t>90 minutes</w:t>
            </w:r>
          </w:p>
        </w:tc>
        <w:tc>
          <w:tcPr>
            <w:tcW w:w="1843" w:type="dxa"/>
          </w:tcPr>
          <w:p w:rsidR="004F3D13" w:rsidRDefault="004F3D13" w:rsidP="00C505B0">
            <w:pPr>
              <w:spacing w:after="0"/>
            </w:pPr>
          </w:p>
          <w:p w:rsidR="004F3D13" w:rsidRDefault="004F3D13" w:rsidP="00C505B0">
            <w:pPr>
              <w:spacing w:after="0"/>
            </w:pPr>
            <w:r>
              <w:t>4.5 hours</w:t>
            </w:r>
          </w:p>
          <w:p w:rsidR="004F3D13" w:rsidRDefault="004F3D13" w:rsidP="00C505B0">
            <w:pPr>
              <w:pBdr>
                <w:bottom w:val="double" w:sz="4" w:space="1" w:color="auto"/>
              </w:pBdr>
              <w:spacing w:after="0"/>
            </w:pPr>
            <w:r>
              <w:t>31.5 hours</w:t>
            </w:r>
          </w:p>
          <w:p w:rsidR="004F3D13" w:rsidRDefault="004F3D13" w:rsidP="00C505B0">
            <w:pPr>
              <w:spacing w:after="0"/>
            </w:pPr>
            <w:r>
              <w:t>Total 36 hours</w:t>
            </w:r>
          </w:p>
        </w:tc>
      </w:tr>
      <w:tr w:rsidR="004F3D13" w:rsidTr="00C505B0">
        <w:trPr>
          <w:trHeight w:val="274"/>
          <w:jc w:val="center"/>
        </w:trPr>
        <w:tc>
          <w:tcPr>
            <w:tcW w:w="3391" w:type="dxa"/>
          </w:tcPr>
          <w:p w:rsidR="004F3D13" w:rsidRDefault="004F3D13" w:rsidP="00C505B0">
            <w:pPr>
              <w:spacing w:after="0"/>
              <w:rPr>
                <w:b/>
                <w:sz w:val="20"/>
              </w:rPr>
            </w:pPr>
            <w:r>
              <w:rPr>
                <w:b/>
                <w:sz w:val="20"/>
              </w:rPr>
              <w:t>W&amp;I Taxpayers – PHONE</w:t>
            </w:r>
          </w:p>
          <w:p w:rsidR="004F3D13" w:rsidRDefault="004F3D13" w:rsidP="00C505B0">
            <w:pPr>
              <w:spacing w:after="0"/>
              <w:rPr>
                <w:b/>
                <w:sz w:val="20"/>
              </w:rPr>
            </w:pPr>
            <w:r>
              <w:rPr>
                <w:b/>
                <w:sz w:val="20"/>
              </w:rPr>
              <w:t>Screening</w:t>
            </w:r>
          </w:p>
          <w:p w:rsidR="004F3D13" w:rsidRDefault="004F3D13" w:rsidP="00C505B0">
            <w:pPr>
              <w:spacing w:after="0"/>
              <w:rPr>
                <w:b/>
                <w:sz w:val="20"/>
              </w:rPr>
            </w:pPr>
            <w:r>
              <w:rPr>
                <w:b/>
                <w:sz w:val="20"/>
              </w:rPr>
              <w:t>Participants for interviews</w:t>
            </w:r>
          </w:p>
        </w:tc>
        <w:tc>
          <w:tcPr>
            <w:tcW w:w="2340" w:type="dxa"/>
          </w:tcPr>
          <w:p w:rsidR="004F3D13" w:rsidRDefault="004F3D13" w:rsidP="00C505B0">
            <w:pPr>
              <w:spacing w:after="0"/>
              <w:rPr>
                <w:b/>
                <w:sz w:val="20"/>
              </w:rPr>
            </w:pPr>
          </w:p>
          <w:p w:rsidR="004F3D13" w:rsidRDefault="004F3D13" w:rsidP="00C505B0">
            <w:pPr>
              <w:spacing w:after="0"/>
              <w:rPr>
                <w:b/>
                <w:sz w:val="20"/>
              </w:rPr>
            </w:pPr>
            <w:r>
              <w:rPr>
                <w:b/>
                <w:sz w:val="20"/>
              </w:rPr>
              <w:t>23</w:t>
            </w:r>
          </w:p>
          <w:p w:rsidR="004F3D13" w:rsidRDefault="004F3D13" w:rsidP="00C505B0">
            <w:pPr>
              <w:spacing w:after="0"/>
              <w:rPr>
                <w:b/>
                <w:sz w:val="20"/>
              </w:rPr>
            </w:pPr>
            <w:r>
              <w:rPr>
                <w:b/>
                <w:sz w:val="20"/>
              </w:rPr>
              <w:t>21</w:t>
            </w:r>
          </w:p>
        </w:tc>
        <w:tc>
          <w:tcPr>
            <w:tcW w:w="2477" w:type="dxa"/>
          </w:tcPr>
          <w:p w:rsidR="004F3D13" w:rsidRDefault="004F3D13" w:rsidP="00C505B0">
            <w:pPr>
              <w:spacing w:after="0"/>
            </w:pPr>
          </w:p>
          <w:p w:rsidR="004F3D13" w:rsidRDefault="004F3D13" w:rsidP="00C505B0">
            <w:pPr>
              <w:spacing w:after="0"/>
            </w:pPr>
            <w:r>
              <w:t>10 minutes</w:t>
            </w:r>
          </w:p>
          <w:p w:rsidR="004F3D13" w:rsidRDefault="004F3D13" w:rsidP="00C505B0">
            <w:pPr>
              <w:spacing w:after="0"/>
            </w:pPr>
            <w:r>
              <w:t>75 minutes</w:t>
            </w:r>
          </w:p>
        </w:tc>
        <w:tc>
          <w:tcPr>
            <w:tcW w:w="1843" w:type="dxa"/>
          </w:tcPr>
          <w:p w:rsidR="004F3D13" w:rsidRDefault="004F3D13" w:rsidP="00C505B0">
            <w:pPr>
              <w:spacing w:after="0"/>
            </w:pPr>
          </w:p>
          <w:p w:rsidR="004F3D13" w:rsidRDefault="004F3D13" w:rsidP="00C505B0">
            <w:pPr>
              <w:spacing w:after="0"/>
            </w:pPr>
            <w:r>
              <w:t>3.8 hours</w:t>
            </w:r>
          </w:p>
          <w:p w:rsidR="004F3D13" w:rsidRDefault="004F3D13" w:rsidP="00C505B0">
            <w:pPr>
              <w:pBdr>
                <w:bottom w:val="double" w:sz="4" w:space="1" w:color="auto"/>
              </w:pBdr>
              <w:spacing w:after="0"/>
            </w:pPr>
            <w:r>
              <w:t>26.25 hours</w:t>
            </w:r>
          </w:p>
          <w:p w:rsidR="004F3D13" w:rsidRDefault="004F3D13" w:rsidP="00C505B0">
            <w:pPr>
              <w:spacing w:after="0"/>
            </w:pPr>
            <w:r>
              <w:t>Total 30.05 hours</w:t>
            </w:r>
          </w:p>
        </w:tc>
      </w:tr>
      <w:tr w:rsidR="004F3D13" w:rsidTr="00C505B0">
        <w:trPr>
          <w:trHeight w:val="289"/>
          <w:jc w:val="center"/>
        </w:trPr>
        <w:tc>
          <w:tcPr>
            <w:tcW w:w="3391" w:type="dxa"/>
          </w:tcPr>
          <w:p w:rsidR="004F3D13" w:rsidRDefault="004F3D13" w:rsidP="00C505B0">
            <w:pPr>
              <w:spacing w:after="0"/>
              <w:rPr>
                <w:b/>
              </w:rPr>
            </w:pPr>
            <w:r>
              <w:rPr>
                <w:b/>
              </w:rPr>
              <w:t>Non-participants</w:t>
            </w:r>
          </w:p>
        </w:tc>
        <w:tc>
          <w:tcPr>
            <w:tcW w:w="2340" w:type="dxa"/>
          </w:tcPr>
          <w:p w:rsidR="004F3D13" w:rsidRDefault="004F3D13" w:rsidP="00C505B0">
            <w:pPr>
              <w:spacing w:after="0"/>
              <w:rPr>
                <w:b/>
              </w:rPr>
            </w:pPr>
            <w:r>
              <w:rPr>
                <w:b/>
              </w:rPr>
              <w:t>33</w:t>
            </w:r>
          </w:p>
        </w:tc>
        <w:tc>
          <w:tcPr>
            <w:tcW w:w="2477" w:type="dxa"/>
          </w:tcPr>
          <w:p w:rsidR="004F3D13" w:rsidRDefault="004F3D13" w:rsidP="00C505B0">
            <w:pPr>
              <w:spacing w:after="0"/>
            </w:pPr>
            <w:r>
              <w:t>2 minutes</w:t>
            </w:r>
          </w:p>
        </w:tc>
        <w:tc>
          <w:tcPr>
            <w:tcW w:w="1843" w:type="dxa"/>
          </w:tcPr>
          <w:p w:rsidR="004F3D13" w:rsidRDefault="004F3D13" w:rsidP="00C505B0">
            <w:pPr>
              <w:spacing w:after="0"/>
            </w:pPr>
            <w:r>
              <w:t>1.10 hours</w:t>
            </w:r>
          </w:p>
        </w:tc>
      </w:tr>
      <w:tr w:rsidR="004F3D13" w:rsidTr="00C505B0">
        <w:trPr>
          <w:trHeight w:val="289"/>
          <w:jc w:val="center"/>
        </w:trPr>
        <w:tc>
          <w:tcPr>
            <w:tcW w:w="3391" w:type="dxa"/>
          </w:tcPr>
          <w:p w:rsidR="004F3D13" w:rsidRDefault="004F3D13" w:rsidP="00C505B0">
            <w:pPr>
              <w:spacing w:after="0"/>
              <w:rPr>
                <w:b/>
              </w:rPr>
            </w:pPr>
            <w:r>
              <w:rPr>
                <w:b/>
              </w:rPr>
              <w:t>Total</w:t>
            </w:r>
          </w:p>
        </w:tc>
        <w:tc>
          <w:tcPr>
            <w:tcW w:w="2340" w:type="dxa"/>
          </w:tcPr>
          <w:p w:rsidR="004F3D13" w:rsidRDefault="004F3D13" w:rsidP="00C505B0">
            <w:pPr>
              <w:spacing w:after="0"/>
              <w:rPr>
                <w:b/>
              </w:rPr>
            </w:pPr>
          </w:p>
        </w:tc>
        <w:tc>
          <w:tcPr>
            <w:tcW w:w="2477" w:type="dxa"/>
          </w:tcPr>
          <w:p w:rsidR="004F3D13" w:rsidRDefault="004F3D13" w:rsidP="00C505B0">
            <w:pPr>
              <w:spacing w:after="0"/>
              <w:rPr>
                <w:b/>
              </w:rPr>
            </w:pPr>
          </w:p>
        </w:tc>
        <w:tc>
          <w:tcPr>
            <w:tcW w:w="1843" w:type="dxa"/>
          </w:tcPr>
          <w:p w:rsidR="004F3D13" w:rsidRDefault="004F3D13" w:rsidP="00C505B0">
            <w:pPr>
              <w:spacing w:after="0"/>
              <w:rPr>
                <w:b/>
              </w:rPr>
            </w:pPr>
            <w:r>
              <w:rPr>
                <w:b/>
              </w:rPr>
              <w:t>67.15 hours</w:t>
            </w:r>
          </w:p>
        </w:tc>
      </w:tr>
    </w:tbl>
    <w:p w:rsidR="004F3D13" w:rsidRPr="008934B3" w:rsidRDefault="004F3D13" w:rsidP="006155B3">
      <w:pPr>
        <w:pStyle w:val="ListParagraph"/>
        <w:tabs>
          <w:tab w:val="left" w:pos="-1080"/>
          <w:tab w:val="left" w:pos="-720"/>
          <w:tab w:val="left" w:pos="0"/>
          <w:tab w:val="left" w:pos="450"/>
          <w:tab w:val="left" w:pos="720"/>
          <w:tab w:val="left" w:pos="2160"/>
        </w:tabs>
        <w:spacing w:after="0" w:line="240" w:lineRule="auto"/>
        <w:ind w:left="360"/>
        <w:rPr>
          <w:b/>
        </w:rPr>
      </w:pPr>
    </w:p>
    <w:p w:rsidR="004F3D13" w:rsidRDefault="004F3D13">
      <w:pPr>
        <w:pStyle w:val="ListParagraph"/>
        <w:numPr>
          <w:ilvl w:val="0"/>
          <w:numId w:val="2"/>
        </w:numPr>
        <w:spacing w:after="0" w:line="240" w:lineRule="auto"/>
        <w:ind w:left="0"/>
        <w:rPr>
          <w:b/>
        </w:rPr>
      </w:pPr>
      <w:r>
        <w:rPr>
          <w:b/>
        </w:rPr>
        <w:t>Costs to Respondents</w:t>
      </w:r>
    </w:p>
    <w:p w:rsidR="004F3D13" w:rsidRDefault="004F3D13">
      <w:pPr>
        <w:pStyle w:val="ListParagraph"/>
        <w:spacing w:after="0" w:line="240" w:lineRule="auto"/>
        <w:ind w:left="0"/>
        <w:rPr>
          <w:b/>
        </w:rPr>
      </w:pPr>
    </w:p>
    <w:p w:rsidR="004F3D13" w:rsidRDefault="004F3D13">
      <w:pPr>
        <w:spacing w:after="0" w:line="240" w:lineRule="auto"/>
      </w:pPr>
      <w:r>
        <w:t xml:space="preserve">No costs are anticipated.  </w:t>
      </w:r>
    </w:p>
    <w:p w:rsidR="004F3D13" w:rsidRDefault="004F3D13">
      <w:pPr>
        <w:spacing w:after="0" w:line="240" w:lineRule="auto"/>
      </w:pPr>
    </w:p>
    <w:p w:rsidR="004F3D13" w:rsidRDefault="004F3D13">
      <w:pPr>
        <w:pStyle w:val="ListParagraph"/>
        <w:numPr>
          <w:ilvl w:val="0"/>
          <w:numId w:val="2"/>
        </w:numPr>
        <w:spacing w:after="0" w:line="240" w:lineRule="auto"/>
        <w:ind w:left="0"/>
        <w:rPr>
          <w:b/>
        </w:rPr>
      </w:pPr>
      <w:r>
        <w:rPr>
          <w:b/>
        </w:rPr>
        <w:t>Costs to Federal Government</w:t>
      </w:r>
    </w:p>
    <w:p w:rsidR="004F3D13" w:rsidRDefault="004F3D13">
      <w:pPr>
        <w:pStyle w:val="ListParagraph"/>
        <w:spacing w:after="0" w:line="240" w:lineRule="auto"/>
        <w:ind w:left="0"/>
        <w:rPr>
          <w:b/>
        </w:rPr>
      </w:pPr>
    </w:p>
    <w:p w:rsidR="004F3D13" w:rsidRDefault="004F3D13" w:rsidP="001F6511">
      <w:pPr>
        <w:pStyle w:val="ListParagraph"/>
        <w:spacing w:after="0" w:line="240" w:lineRule="auto"/>
        <w:ind w:left="0"/>
      </w:pPr>
      <w:r>
        <w:t xml:space="preserve">The anticipated cost to the Federal Government is </w:t>
      </w:r>
      <w:r w:rsidRPr="00CF7098">
        <w:t xml:space="preserve">approximately </w:t>
      </w:r>
      <w:r w:rsidRPr="00906E3F">
        <w:t>$</w:t>
      </w:r>
      <w:r>
        <w:t>118,124</w:t>
      </w:r>
      <w:r w:rsidRPr="00CF7098">
        <w:t>.  This includes</w:t>
      </w:r>
      <w:r>
        <w:t xml:space="preserve"> the cost of: screener and survey development, refinement, and finalization, in-person and phone-based interviews data collection and cleaning, persona creation, and delivery of findings from the persona creation efforts.</w:t>
      </w:r>
    </w:p>
    <w:p w:rsidR="004F3D13" w:rsidRDefault="004F3D13">
      <w:pPr>
        <w:spacing w:after="0" w:line="240" w:lineRule="auto"/>
      </w:pPr>
    </w:p>
    <w:p w:rsidR="004F3D13" w:rsidRDefault="004F3D13">
      <w:pPr>
        <w:pStyle w:val="ListParagraph"/>
        <w:numPr>
          <w:ilvl w:val="0"/>
          <w:numId w:val="2"/>
        </w:numPr>
        <w:spacing w:after="0" w:line="240" w:lineRule="auto"/>
        <w:ind w:left="0"/>
        <w:rPr>
          <w:b/>
        </w:rPr>
      </w:pPr>
      <w:r>
        <w:rPr>
          <w:b/>
        </w:rPr>
        <w:t>Reason for Change</w:t>
      </w:r>
    </w:p>
    <w:p w:rsidR="004F3D13" w:rsidRDefault="004F3D13">
      <w:pPr>
        <w:pStyle w:val="ListParagraph"/>
        <w:spacing w:after="0" w:line="240" w:lineRule="auto"/>
        <w:ind w:left="0"/>
        <w:rPr>
          <w:b/>
        </w:rPr>
      </w:pPr>
    </w:p>
    <w:p w:rsidR="004F3D13" w:rsidRDefault="004F3D13">
      <w:pPr>
        <w:spacing w:after="0" w:line="240" w:lineRule="auto"/>
      </w:pPr>
      <w:r>
        <w:t xml:space="preserve">Not applicable. </w:t>
      </w:r>
    </w:p>
    <w:p w:rsidR="004F3D13" w:rsidRDefault="004F3D13">
      <w:pPr>
        <w:spacing w:after="0" w:line="240" w:lineRule="auto"/>
        <w:rPr>
          <w:b/>
        </w:rPr>
      </w:pPr>
    </w:p>
    <w:p w:rsidR="004F3D13" w:rsidRDefault="004F3D13">
      <w:pPr>
        <w:pStyle w:val="ListParagraph"/>
        <w:numPr>
          <w:ilvl w:val="0"/>
          <w:numId w:val="2"/>
        </w:numPr>
        <w:spacing w:after="0" w:line="240" w:lineRule="auto"/>
        <w:ind w:left="0"/>
        <w:rPr>
          <w:b/>
        </w:rPr>
      </w:pPr>
      <w:r>
        <w:rPr>
          <w:b/>
        </w:rPr>
        <w:t>Tabulation of Results, Schedule, Analysis Plans</w:t>
      </w:r>
    </w:p>
    <w:p w:rsidR="004F3D13" w:rsidDel="0090383F" w:rsidRDefault="004F3D13">
      <w:pPr>
        <w:spacing w:after="0" w:line="240" w:lineRule="auto"/>
      </w:pPr>
    </w:p>
    <w:p w:rsidR="004F3D13" w:rsidRDefault="004F3D13">
      <w:r>
        <w:t>Note that the schedule below is approximate and that recruiting of interview participants will proceed immediately following OMB approval.</w:t>
      </w:r>
    </w:p>
    <w:tbl>
      <w:tblPr>
        <w:tblW w:w="0" w:type="auto"/>
        <w:jc w:val="center"/>
        <w:tblLayout w:type="fixed"/>
        <w:tblCellMar>
          <w:left w:w="102" w:type="dxa"/>
          <w:right w:w="102" w:type="dxa"/>
        </w:tblCellMar>
        <w:tblLook w:val="0000"/>
      </w:tblPr>
      <w:tblGrid>
        <w:gridCol w:w="822"/>
        <w:gridCol w:w="3543"/>
        <w:gridCol w:w="1485"/>
      </w:tblGrid>
      <w:tr w:rsidR="004F3D13" w:rsidRPr="00A130EC">
        <w:trPr>
          <w:jc w:val="center"/>
        </w:trPr>
        <w:tc>
          <w:tcPr>
            <w:tcW w:w="822" w:type="dxa"/>
            <w:tcBorders>
              <w:top w:val="single" w:sz="6" w:space="0" w:color="000000"/>
              <w:left w:val="single" w:sz="6" w:space="0" w:color="000000"/>
              <w:bottom w:val="single" w:sz="6" w:space="0" w:color="000000"/>
              <w:right w:val="single" w:sz="6" w:space="0" w:color="FFFFFF"/>
            </w:tcBorders>
            <w:vAlign w:val="center"/>
          </w:tcPr>
          <w:p w:rsidR="004F3D13" w:rsidRPr="00A130EC" w:rsidRDefault="004F3D13" w:rsidP="00062F34">
            <w:pPr>
              <w:jc w:val="center"/>
              <w:rPr>
                <w:b/>
                <w:sz w:val="20"/>
                <w:szCs w:val="20"/>
              </w:rPr>
            </w:pPr>
            <w:r w:rsidRPr="00A130EC">
              <w:rPr>
                <w:b/>
                <w:sz w:val="20"/>
                <w:szCs w:val="20"/>
              </w:rPr>
              <w:t>Phase</w:t>
            </w:r>
          </w:p>
        </w:tc>
        <w:tc>
          <w:tcPr>
            <w:tcW w:w="3543" w:type="dxa"/>
            <w:tcBorders>
              <w:top w:val="single" w:sz="6" w:space="0" w:color="000000"/>
              <w:left w:val="single" w:sz="6" w:space="0" w:color="000000"/>
              <w:bottom w:val="single" w:sz="6" w:space="0" w:color="000000"/>
              <w:right w:val="single" w:sz="6" w:space="0" w:color="FFFFFF"/>
            </w:tcBorders>
            <w:vAlign w:val="center"/>
          </w:tcPr>
          <w:p w:rsidR="004F3D13" w:rsidRPr="00A130EC" w:rsidRDefault="004F3D13" w:rsidP="00062F34">
            <w:pPr>
              <w:jc w:val="center"/>
              <w:rPr>
                <w:b/>
                <w:sz w:val="20"/>
                <w:szCs w:val="20"/>
              </w:rPr>
            </w:pPr>
            <w:r w:rsidRPr="00A130EC">
              <w:rPr>
                <w:b/>
                <w:sz w:val="20"/>
                <w:szCs w:val="20"/>
              </w:rPr>
              <w:t>Summary</w:t>
            </w:r>
          </w:p>
        </w:tc>
        <w:tc>
          <w:tcPr>
            <w:tcW w:w="1485" w:type="dxa"/>
            <w:tcBorders>
              <w:top w:val="single" w:sz="6" w:space="0" w:color="000000"/>
              <w:left w:val="single" w:sz="6" w:space="0" w:color="000000"/>
              <w:bottom w:val="single" w:sz="6" w:space="0" w:color="000000"/>
              <w:right w:val="single" w:sz="6" w:space="0" w:color="000000"/>
            </w:tcBorders>
            <w:vAlign w:val="center"/>
          </w:tcPr>
          <w:p w:rsidR="004F3D13" w:rsidRPr="00A130EC" w:rsidRDefault="004F3D13" w:rsidP="00062F34">
            <w:pPr>
              <w:jc w:val="center"/>
              <w:rPr>
                <w:b/>
                <w:sz w:val="20"/>
                <w:szCs w:val="20"/>
              </w:rPr>
            </w:pPr>
            <w:r w:rsidRPr="00A130EC">
              <w:rPr>
                <w:b/>
                <w:sz w:val="20"/>
                <w:szCs w:val="20"/>
              </w:rPr>
              <w:t>Week(s)</w:t>
            </w:r>
          </w:p>
        </w:tc>
      </w:tr>
      <w:tr w:rsidR="004F3D13" w:rsidRPr="00236F73">
        <w:trPr>
          <w:jc w:val="center"/>
        </w:trPr>
        <w:tc>
          <w:tcPr>
            <w:tcW w:w="822" w:type="dxa"/>
            <w:tcBorders>
              <w:top w:val="single" w:sz="6" w:space="0" w:color="000000"/>
              <w:left w:val="single" w:sz="6" w:space="0" w:color="000000"/>
              <w:bottom w:val="single" w:sz="6" w:space="0" w:color="000000"/>
              <w:right w:val="single" w:sz="6" w:space="0" w:color="FFFFFF"/>
            </w:tcBorders>
            <w:vAlign w:val="center"/>
          </w:tcPr>
          <w:p w:rsidR="004F3D13" w:rsidRPr="008813D0" w:rsidRDefault="004F3D13" w:rsidP="00062F34">
            <w:pPr>
              <w:jc w:val="center"/>
              <w:rPr>
                <w:sz w:val="20"/>
                <w:szCs w:val="20"/>
              </w:rPr>
            </w:pPr>
            <w:r w:rsidRPr="008813D0">
              <w:rPr>
                <w:sz w:val="20"/>
                <w:szCs w:val="20"/>
              </w:rPr>
              <w:t>1</w:t>
            </w:r>
          </w:p>
        </w:tc>
        <w:tc>
          <w:tcPr>
            <w:tcW w:w="3543" w:type="dxa"/>
            <w:tcBorders>
              <w:top w:val="single" w:sz="6" w:space="0" w:color="000000"/>
              <w:left w:val="single" w:sz="6" w:space="0" w:color="000000"/>
              <w:bottom w:val="single" w:sz="6" w:space="0" w:color="000000"/>
              <w:right w:val="single" w:sz="6" w:space="0" w:color="FFFFFF"/>
            </w:tcBorders>
            <w:vAlign w:val="center"/>
          </w:tcPr>
          <w:p w:rsidR="004F3D13" w:rsidRPr="008813D0" w:rsidRDefault="004F3D13">
            <w:pPr>
              <w:rPr>
                <w:sz w:val="20"/>
                <w:szCs w:val="20"/>
              </w:rPr>
            </w:pPr>
            <w:r w:rsidRPr="008813D0">
              <w:rPr>
                <w:sz w:val="20"/>
                <w:szCs w:val="20"/>
              </w:rPr>
              <w:t>Design survey instrument</w:t>
            </w:r>
          </w:p>
        </w:tc>
        <w:tc>
          <w:tcPr>
            <w:tcW w:w="1485" w:type="dxa"/>
            <w:tcBorders>
              <w:top w:val="single" w:sz="6" w:space="0" w:color="000000"/>
              <w:left w:val="single" w:sz="6" w:space="0" w:color="000000"/>
              <w:bottom w:val="single" w:sz="6" w:space="0" w:color="000000"/>
              <w:right w:val="single" w:sz="6" w:space="0" w:color="000000"/>
            </w:tcBorders>
            <w:vAlign w:val="center"/>
          </w:tcPr>
          <w:p w:rsidR="004F3D13" w:rsidRPr="008813D0" w:rsidRDefault="004F3D13" w:rsidP="00062F34">
            <w:pPr>
              <w:jc w:val="center"/>
              <w:rPr>
                <w:sz w:val="20"/>
                <w:szCs w:val="20"/>
              </w:rPr>
            </w:pPr>
            <w:r w:rsidRPr="008813D0">
              <w:rPr>
                <w:sz w:val="20"/>
                <w:szCs w:val="20"/>
              </w:rPr>
              <w:t>1-4</w:t>
            </w:r>
          </w:p>
        </w:tc>
      </w:tr>
      <w:tr w:rsidR="004F3D13" w:rsidRPr="00236F73">
        <w:trPr>
          <w:jc w:val="center"/>
        </w:trPr>
        <w:tc>
          <w:tcPr>
            <w:tcW w:w="822" w:type="dxa"/>
            <w:tcBorders>
              <w:top w:val="single" w:sz="6" w:space="0" w:color="000000"/>
              <w:left w:val="single" w:sz="6" w:space="0" w:color="000000"/>
              <w:bottom w:val="single" w:sz="6" w:space="0" w:color="000000"/>
              <w:right w:val="single" w:sz="6" w:space="0" w:color="FFFFFF"/>
            </w:tcBorders>
            <w:vAlign w:val="center"/>
          </w:tcPr>
          <w:p w:rsidR="004F3D13" w:rsidRPr="008813D0" w:rsidRDefault="004F3D13" w:rsidP="00062F34">
            <w:pPr>
              <w:jc w:val="center"/>
              <w:rPr>
                <w:sz w:val="20"/>
                <w:szCs w:val="20"/>
              </w:rPr>
            </w:pPr>
            <w:r w:rsidRPr="008813D0">
              <w:rPr>
                <w:sz w:val="20"/>
                <w:szCs w:val="20"/>
              </w:rPr>
              <w:t>2</w:t>
            </w:r>
          </w:p>
        </w:tc>
        <w:tc>
          <w:tcPr>
            <w:tcW w:w="3543" w:type="dxa"/>
            <w:tcBorders>
              <w:top w:val="single" w:sz="6" w:space="0" w:color="000000"/>
              <w:left w:val="single" w:sz="6" w:space="0" w:color="000000"/>
              <w:bottom w:val="single" w:sz="6" w:space="0" w:color="000000"/>
              <w:right w:val="single" w:sz="6" w:space="0" w:color="FFFFFF"/>
            </w:tcBorders>
            <w:vAlign w:val="center"/>
          </w:tcPr>
          <w:p w:rsidR="004F3D13" w:rsidRPr="008813D0" w:rsidRDefault="004F3D13">
            <w:pPr>
              <w:rPr>
                <w:sz w:val="20"/>
                <w:szCs w:val="20"/>
              </w:rPr>
            </w:pPr>
            <w:r w:rsidRPr="008813D0">
              <w:rPr>
                <w:sz w:val="20"/>
                <w:szCs w:val="20"/>
              </w:rPr>
              <w:t>Refine and finalize survey instrument</w:t>
            </w:r>
          </w:p>
        </w:tc>
        <w:tc>
          <w:tcPr>
            <w:tcW w:w="1485" w:type="dxa"/>
            <w:tcBorders>
              <w:top w:val="single" w:sz="6" w:space="0" w:color="000000"/>
              <w:left w:val="single" w:sz="6" w:space="0" w:color="000000"/>
              <w:bottom w:val="single" w:sz="6" w:space="0" w:color="000000"/>
              <w:right w:val="single" w:sz="6" w:space="0" w:color="000000"/>
            </w:tcBorders>
            <w:vAlign w:val="center"/>
          </w:tcPr>
          <w:p w:rsidR="004F3D13" w:rsidRPr="008813D0" w:rsidRDefault="004F3D13" w:rsidP="00062F34">
            <w:pPr>
              <w:jc w:val="center"/>
              <w:rPr>
                <w:sz w:val="20"/>
                <w:szCs w:val="20"/>
              </w:rPr>
            </w:pPr>
            <w:r w:rsidRPr="008813D0">
              <w:rPr>
                <w:sz w:val="20"/>
                <w:szCs w:val="20"/>
              </w:rPr>
              <w:t>4</w:t>
            </w:r>
          </w:p>
        </w:tc>
      </w:tr>
      <w:tr w:rsidR="004F3D13" w:rsidRPr="00236F73">
        <w:trPr>
          <w:jc w:val="center"/>
        </w:trPr>
        <w:tc>
          <w:tcPr>
            <w:tcW w:w="822" w:type="dxa"/>
            <w:tcBorders>
              <w:top w:val="single" w:sz="6" w:space="0" w:color="000000"/>
              <w:left w:val="single" w:sz="6" w:space="0" w:color="000000"/>
              <w:bottom w:val="single" w:sz="6" w:space="0" w:color="000000"/>
              <w:right w:val="single" w:sz="6" w:space="0" w:color="FFFFFF"/>
            </w:tcBorders>
            <w:vAlign w:val="center"/>
          </w:tcPr>
          <w:p w:rsidR="004F3D13" w:rsidRPr="008813D0" w:rsidRDefault="004F3D13" w:rsidP="00062F34">
            <w:pPr>
              <w:jc w:val="center"/>
              <w:rPr>
                <w:sz w:val="20"/>
                <w:szCs w:val="20"/>
              </w:rPr>
            </w:pPr>
          </w:p>
        </w:tc>
        <w:tc>
          <w:tcPr>
            <w:tcW w:w="3543" w:type="dxa"/>
            <w:tcBorders>
              <w:top w:val="single" w:sz="6" w:space="0" w:color="000000"/>
              <w:left w:val="single" w:sz="6" w:space="0" w:color="000000"/>
              <w:bottom w:val="single" w:sz="6" w:space="0" w:color="000000"/>
              <w:right w:val="single" w:sz="6" w:space="0" w:color="FFFFFF"/>
            </w:tcBorders>
            <w:vAlign w:val="center"/>
          </w:tcPr>
          <w:p w:rsidR="004F3D13" w:rsidRPr="008813D0" w:rsidRDefault="004F3D13">
            <w:pPr>
              <w:rPr>
                <w:i/>
                <w:sz w:val="20"/>
                <w:szCs w:val="20"/>
              </w:rPr>
            </w:pPr>
            <w:r w:rsidRPr="008813D0">
              <w:rPr>
                <w:i/>
                <w:sz w:val="20"/>
                <w:szCs w:val="20"/>
              </w:rPr>
              <w:t>OMB Process</w:t>
            </w:r>
          </w:p>
        </w:tc>
        <w:tc>
          <w:tcPr>
            <w:tcW w:w="1485" w:type="dxa"/>
            <w:tcBorders>
              <w:top w:val="single" w:sz="6" w:space="0" w:color="000000"/>
              <w:left w:val="single" w:sz="6" w:space="0" w:color="000000"/>
              <w:bottom w:val="single" w:sz="6" w:space="0" w:color="000000"/>
              <w:right w:val="single" w:sz="6" w:space="0" w:color="000000"/>
            </w:tcBorders>
            <w:vAlign w:val="center"/>
          </w:tcPr>
          <w:p w:rsidR="004F3D13" w:rsidRPr="008813D0" w:rsidRDefault="004F3D13" w:rsidP="00062F34">
            <w:pPr>
              <w:jc w:val="center"/>
              <w:rPr>
                <w:sz w:val="20"/>
                <w:szCs w:val="20"/>
              </w:rPr>
            </w:pPr>
          </w:p>
        </w:tc>
      </w:tr>
      <w:tr w:rsidR="004F3D13" w:rsidRPr="00236F73">
        <w:trPr>
          <w:jc w:val="center"/>
        </w:trPr>
        <w:tc>
          <w:tcPr>
            <w:tcW w:w="822" w:type="dxa"/>
            <w:tcBorders>
              <w:top w:val="single" w:sz="6" w:space="0" w:color="000000"/>
              <w:left w:val="single" w:sz="6" w:space="0" w:color="000000"/>
              <w:bottom w:val="single" w:sz="6" w:space="0" w:color="000000"/>
              <w:right w:val="single" w:sz="6" w:space="0" w:color="FFFFFF"/>
            </w:tcBorders>
            <w:vAlign w:val="center"/>
          </w:tcPr>
          <w:p w:rsidR="004F3D13" w:rsidRPr="008813D0" w:rsidRDefault="004F3D13" w:rsidP="00062F34">
            <w:pPr>
              <w:jc w:val="center"/>
              <w:rPr>
                <w:sz w:val="20"/>
                <w:szCs w:val="20"/>
              </w:rPr>
            </w:pPr>
            <w:r w:rsidRPr="008813D0">
              <w:rPr>
                <w:sz w:val="20"/>
                <w:szCs w:val="20"/>
              </w:rPr>
              <w:t>3</w:t>
            </w:r>
          </w:p>
        </w:tc>
        <w:tc>
          <w:tcPr>
            <w:tcW w:w="3543" w:type="dxa"/>
            <w:tcBorders>
              <w:top w:val="single" w:sz="6" w:space="0" w:color="000000"/>
              <w:left w:val="single" w:sz="6" w:space="0" w:color="000000"/>
              <w:bottom w:val="single" w:sz="6" w:space="0" w:color="000000"/>
              <w:right w:val="single" w:sz="6" w:space="0" w:color="FFFFFF"/>
            </w:tcBorders>
            <w:vAlign w:val="center"/>
          </w:tcPr>
          <w:p w:rsidR="004F3D13" w:rsidRPr="008813D0" w:rsidRDefault="004F3D13">
            <w:pPr>
              <w:rPr>
                <w:sz w:val="20"/>
                <w:szCs w:val="20"/>
              </w:rPr>
            </w:pPr>
            <w:r w:rsidRPr="008813D0">
              <w:rPr>
                <w:sz w:val="20"/>
                <w:szCs w:val="20"/>
              </w:rPr>
              <w:t>Recruit interviewees</w:t>
            </w:r>
          </w:p>
        </w:tc>
        <w:tc>
          <w:tcPr>
            <w:tcW w:w="1485" w:type="dxa"/>
            <w:tcBorders>
              <w:top w:val="single" w:sz="6" w:space="0" w:color="000000"/>
              <w:left w:val="single" w:sz="6" w:space="0" w:color="000000"/>
              <w:bottom w:val="single" w:sz="6" w:space="0" w:color="000000"/>
              <w:right w:val="single" w:sz="6" w:space="0" w:color="000000"/>
            </w:tcBorders>
            <w:vAlign w:val="center"/>
          </w:tcPr>
          <w:p w:rsidR="004F3D13" w:rsidRPr="008813D0" w:rsidRDefault="004F3D13" w:rsidP="00062F34">
            <w:pPr>
              <w:jc w:val="center"/>
              <w:rPr>
                <w:sz w:val="20"/>
                <w:szCs w:val="20"/>
              </w:rPr>
            </w:pPr>
            <w:r w:rsidRPr="008813D0">
              <w:rPr>
                <w:sz w:val="20"/>
                <w:szCs w:val="20"/>
              </w:rPr>
              <w:t>5-6</w:t>
            </w:r>
          </w:p>
        </w:tc>
      </w:tr>
      <w:tr w:rsidR="004F3D13" w:rsidRPr="00236F73">
        <w:trPr>
          <w:jc w:val="center"/>
        </w:trPr>
        <w:tc>
          <w:tcPr>
            <w:tcW w:w="822" w:type="dxa"/>
            <w:tcBorders>
              <w:top w:val="single" w:sz="6" w:space="0" w:color="000000"/>
              <w:left w:val="single" w:sz="6" w:space="0" w:color="000000"/>
              <w:bottom w:val="single" w:sz="6" w:space="0" w:color="000000"/>
              <w:right w:val="single" w:sz="6" w:space="0" w:color="FFFFFF"/>
            </w:tcBorders>
            <w:vAlign w:val="center"/>
          </w:tcPr>
          <w:p w:rsidR="004F3D13" w:rsidRPr="008813D0" w:rsidRDefault="004F3D13" w:rsidP="00062F34">
            <w:pPr>
              <w:jc w:val="center"/>
              <w:rPr>
                <w:sz w:val="20"/>
                <w:szCs w:val="20"/>
              </w:rPr>
            </w:pPr>
            <w:r w:rsidRPr="008813D0">
              <w:rPr>
                <w:sz w:val="20"/>
                <w:szCs w:val="20"/>
              </w:rPr>
              <w:t>4</w:t>
            </w:r>
          </w:p>
        </w:tc>
        <w:tc>
          <w:tcPr>
            <w:tcW w:w="3543" w:type="dxa"/>
            <w:tcBorders>
              <w:top w:val="single" w:sz="6" w:space="0" w:color="000000"/>
              <w:left w:val="single" w:sz="6" w:space="0" w:color="000000"/>
              <w:bottom w:val="single" w:sz="6" w:space="0" w:color="000000"/>
              <w:right w:val="single" w:sz="6" w:space="0" w:color="FFFFFF"/>
            </w:tcBorders>
            <w:vAlign w:val="center"/>
          </w:tcPr>
          <w:p w:rsidR="004F3D13" w:rsidRPr="008813D0" w:rsidRDefault="004F3D13">
            <w:pPr>
              <w:rPr>
                <w:sz w:val="20"/>
                <w:szCs w:val="20"/>
              </w:rPr>
            </w:pPr>
            <w:r w:rsidRPr="008813D0">
              <w:rPr>
                <w:sz w:val="20"/>
                <w:szCs w:val="20"/>
              </w:rPr>
              <w:t>Conduct interviews</w:t>
            </w:r>
          </w:p>
        </w:tc>
        <w:tc>
          <w:tcPr>
            <w:tcW w:w="1485" w:type="dxa"/>
            <w:tcBorders>
              <w:top w:val="single" w:sz="6" w:space="0" w:color="000000"/>
              <w:left w:val="single" w:sz="6" w:space="0" w:color="000000"/>
              <w:bottom w:val="single" w:sz="6" w:space="0" w:color="000000"/>
              <w:right w:val="single" w:sz="6" w:space="0" w:color="000000"/>
            </w:tcBorders>
            <w:vAlign w:val="center"/>
          </w:tcPr>
          <w:p w:rsidR="004F3D13" w:rsidRPr="008813D0" w:rsidRDefault="004F3D13" w:rsidP="00062F34">
            <w:pPr>
              <w:jc w:val="center"/>
              <w:rPr>
                <w:sz w:val="20"/>
                <w:szCs w:val="20"/>
              </w:rPr>
            </w:pPr>
            <w:r w:rsidRPr="008813D0">
              <w:rPr>
                <w:sz w:val="20"/>
                <w:szCs w:val="20"/>
              </w:rPr>
              <w:t>6-8</w:t>
            </w:r>
          </w:p>
        </w:tc>
      </w:tr>
      <w:tr w:rsidR="004F3D13" w:rsidRPr="00236F73">
        <w:trPr>
          <w:jc w:val="center"/>
        </w:trPr>
        <w:tc>
          <w:tcPr>
            <w:tcW w:w="822" w:type="dxa"/>
            <w:tcBorders>
              <w:top w:val="single" w:sz="6" w:space="0" w:color="000000"/>
              <w:left w:val="single" w:sz="6" w:space="0" w:color="000000"/>
              <w:bottom w:val="single" w:sz="6" w:space="0" w:color="000000"/>
              <w:right w:val="single" w:sz="6" w:space="0" w:color="FFFFFF"/>
            </w:tcBorders>
            <w:vAlign w:val="center"/>
          </w:tcPr>
          <w:p w:rsidR="004F3D13" w:rsidRPr="008813D0" w:rsidRDefault="004F3D13" w:rsidP="00062F34">
            <w:pPr>
              <w:jc w:val="center"/>
              <w:rPr>
                <w:sz w:val="20"/>
                <w:szCs w:val="20"/>
              </w:rPr>
            </w:pPr>
            <w:r w:rsidRPr="008813D0">
              <w:rPr>
                <w:sz w:val="20"/>
                <w:szCs w:val="20"/>
              </w:rPr>
              <w:t>5</w:t>
            </w:r>
          </w:p>
        </w:tc>
        <w:tc>
          <w:tcPr>
            <w:tcW w:w="3543" w:type="dxa"/>
            <w:tcBorders>
              <w:top w:val="single" w:sz="6" w:space="0" w:color="000000"/>
              <w:left w:val="single" w:sz="6" w:space="0" w:color="000000"/>
              <w:bottom w:val="single" w:sz="6" w:space="0" w:color="000000"/>
              <w:right w:val="single" w:sz="6" w:space="0" w:color="FFFFFF"/>
            </w:tcBorders>
            <w:vAlign w:val="center"/>
          </w:tcPr>
          <w:p w:rsidR="004F3D13" w:rsidRPr="008813D0" w:rsidRDefault="004F3D13">
            <w:pPr>
              <w:rPr>
                <w:sz w:val="20"/>
                <w:szCs w:val="20"/>
              </w:rPr>
            </w:pPr>
            <w:r w:rsidRPr="008813D0">
              <w:rPr>
                <w:sz w:val="20"/>
                <w:szCs w:val="20"/>
              </w:rPr>
              <w:t>Data analysis</w:t>
            </w:r>
          </w:p>
        </w:tc>
        <w:tc>
          <w:tcPr>
            <w:tcW w:w="1485" w:type="dxa"/>
            <w:tcBorders>
              <w:top w:val="single" w:sz="6" w:space="0" w:color="000000"/>
              <w:left w:val="single" w:sz="6" w:space="0" w:color="000000"/>
              <w:bottom w:val="single" w:sz="6" w:space="0" w:color="000000"/>
              <w:right w:val="single" w:sz="6" w:space="0" w:color="000000"/>
            </w:tcBorders>
            <w:vAlign w:val="center"/>
          </w:tcPr>
          <w:p w:rsidR="004F3D13" w:rsidRPr="008813D0" w:rsidRDefault="004F3D13" w:rsidP="00062F34">
            <w:pPr>
              <w:jc w:val="center"/>
              <w:rPr>
                <w:sz w:val="20"/>
                <w:szCs w:val="20"/>
              </w:rPr>
            </w:pPr>
            <w:r w:rsidRPr="008813D0">
              <w:rPr>
                <w:sz w:val="20"/>
                <w:szCs w:val="20"/>
              </w:rPr>
              <w:t>8-10</w:t>
            </w:r>
          </w:p>
        </w:tc>
      </w:tr>
      <w:tr w:rsidR="004F3D13" w:rsidRPr="00236F73">
        <w:trPr>
          <w:jc w:val="center"/>
        </w:trPr>
        <w:tc>
          <w:tcPr>
            <w:tcW w:w="822" w:type="dxa"/>
            <w:tcBorders>
              <w:top w:val="single" w:sz="6" w:space="0" w:color="000000"/>
              <w:left w:val="single" w:sz="6" w:space="0" w:color="000000"/>
              <w:bottom w:val="single" w:sz="6" w:space="0" w:color="000000"/>
              <w:right w:val="single" w:sz="6" w:space="0" w:color="FFFFFF"/>
            </w:tcBorders>
            <w:vAlign w:val="center"/>
          </w:tcPr>
          <w:p w:rsidR="004F3D13" w:rsidRPr="008813D0" w:rsidRDefault="004F3D13" w:rsidP="00062F34">
            <w:pPr>
              <w:jc w:val="center"/>
              <w:rPr>
                <w:sz w:val="20"/>
                <w:szCs w:val="20"/>
              </w:rPr>
            </w:pPr>
            <w:r w:rsidRPr="008813D0">
              <w:rPr>
                <w:sz w:val="20"/>
                <w:szCs w:val="20"/>
              </w:rPr>
              <w:t>6</w:t>
            </w:r>
          </w:p>
        </w:tc>
        <w:tc>
          <w:tcPr>
            <w:tcW w:w="3543" w:type="dxa"/>
            <w:tcBorders>
              <w:top w:val="single" w:sz="6" w:space="0" w:color="000000"/>
              <w:left w:val="single" w:sz="6" w:space="0" w:color="000000"/>
              <w:bottom w:val="single" w:sz="6" w:space="0" w:color="000000"/>
              <w:right w:val="single" w:sz="6" w:space="0" w:color="FFFFFF"/>
            </w:tcBorders>
            <w:vAlign w:val="center"/>
          </w:tcPr>
          <w:p w:rsidR="004F3D13" w:rsidRPr="008813D0" w:rsidRDefault="004F3D13">
            <w:pPr>
              <w:rPr>
                <w:sz w:val="20"/>
                <w:szCs w:val="20"/>
              </w:rPr>
            </w:pPr>
            <w:r w:rsidRPr="008813D0">
              <w:rPr>
                <w:sz w:val="20"/>
                <w:szCs w:val="20"/>
              </w:rPr>
              <w:t>Persona design</w:t>
            </w:r>
          </w:p>
        </w:tc>
        <w:tc>
          <w:tcPr>
            <w:tcW w:w="1485" w:type="dxa"/>
            <w:tcBorders>
              <w:top w:val="single" w:sz="6" w:space="0" w:color="000000"/>
              <w:left w:val="single" w:sz="6" w:space="0" w:color="000000"/>
              <w:bottom w:val="single" w:sz="6" w:space="0" w:color="000000"/>
              <w:right w:val="single" w:sz="6" w:space="0" w:color="000000"/>
            </w:tcBorders>
            <w:vAlign w:val="center"/>
          </w:tcPr>
          <w:p w:rsidR="004F3D13" w:rsidRPr="008813D0" w:rsidRDefault="004F3D13" w:rsidP="00062F34">
            <w:pPr>
              <w:jc w:val="center"/>
              <w:rPr>
                <w:sz w:val="20"/>
                <w:szCs w:val="20"/>
              </w:rPr>
            </w:pPr>
            <w:r w:rsidRPr="008813D0">
              <w:rPr>
                <w:sz w:val="20"/>
                <w:szCs w:val="20"/>
              </w:rPr>
              <w:t>10-13</w:t>
            </w:r>
          </w:p>
        </w:tc>
      </w:tr>
      <w:tr w:rsidR="004F3D13" w:rsidRPr="00236F73">
        <w:trPr>
          <w:jc w:val="center"/>
        </w:trPr>
        <w:tc>
          <w:tcPr>
            <w:tcW w:w="822" w:type="dxa"/>
            <w:tcBorders>
              <w:top w:val="single" w:sz="6" w:space="0" w:color="000000"/>
              <w:left w:val="single" w:sz="6" w:space="0" w:color="000000"/>
              <w:bottom w:val="single" w:sz="6" w:space="0" w:color="000000"/>
              <w:right w:val="single" w:sz="6" w:space="0" w:color="FFFFFF"/>
            </w:tcBorders>
            <w:vAlign w:val="center"/>
          </w:tcPr>
          <w:p w:rsidR="004F3D13" w:rsidRPr="008813D0" w:rsidRDefault="004F3D13" w:rsidP="00062F34">
            <w:pPr>
              <w:jc w:val="center"/>
              <w:rPr>
                <w:sz w:val="20"/>
                <w:szCs w:val="20"/>
              </w:rPr>
            </w:pPr>
            <w:r w:rsidRPr="008813D0">
              <w:rPr>
                <w:sz w:val="20"/>
                <w:szCs w:val="20"/>
              </w:rPr>
              <w:t>7</w:t>
            </w:r>
          </w:p>
        </w:tc>
        <w:tc>
          <w:tcPr>
            <w:tcW w:w="3543" w:type="dxa"/>
            <w:tcBorders>
              <w:top w:val="single" w:sz="6" w:space="0" w:color="000000"/>
              <w:left w:val="single" w:sz="6" w:space="0" w:color="000000"/>
              <w:bottom w:val="single" w:sz="6" w:space="0" w:color="000000"/>
              <w:right w:val="single" w:sz="6" w:space="0" w:color="FFFFFF"/>
            </w:tcBorders>
            <w:vAlign w:val="center"/>
          </w:tcPr>
          <w:p w:rsidR="004F3D13" w:rsidRPr="008813D0" w:rsidRDefault="004F3D13">
            <w:pPr>
              <w:rPr>
                <w:sz w:val="20"/>
                <w:szCs w:val="20"/>
              </w:rPr>
            </w:pPr>
            <w:r w:rsidRPr="008813D0">
              <w:rPr>
                <w:sz w:val="20"/>
                <w:szCs w:val="20"/>
              </w:rPr>
              <w:t>Deliver personas to IRS</w:t>
            </w:r>
          </w:p>
        </w:tc>
        <w:tc>
          <w:tcPr>
            <w:tcW w:w="1485" w:type="dxa"/>
            <w:tcBorders>
              <w:top w:val="single" w:sz="6" w:space="0" w:color="000000"/>
              <w:left w:val="single" w:sz="6" w:space="0" w:color="000000"/>
              <w:bottom w:val="single" w:sz="6" w:space="0" w:color="000000"/>
              <w:right w:val="single" w:sz="6" w:space="0" w:color="000000"/>
            </w:tcBorders>
            <w:vAlign w:val="center"/>
          </w:tcPr>
          <w:p w:rsidR="004F3D13" w:rsidRPr="008813D0" w:rsidRDefault="004F3D13" w:rsidP="00062F34">
            <w:pPr>
              <w:jc w:val="center"/>
              <w:rPr>
                <w:sz w:val="20"/>
                <w:szCs w:val="20"/>
              </w:rPr>
            </w:pPr>
            <w:r w:rsidRPr="008813D0">
              <w:rPr>
                <w:sz w:val="20"/>
                <w:szCs w:val="20"/>
              </w:rPr>
              <w:t>13</w:t>
            </w:r>
          </w:p>
        </w:tc>
      </w:tr>
    </w:tbl>
    <w:p w:rsidR="004F3D13" w:rsidRDefault="004F3D13">
      <w:pPr>
        <w:spacing w:after="0" w:line="240" w:lineRule="auto"/>
      </w:pPr>
    </w:p>
    <w:p w:rsidR="004F3D13" w:rsidRPr="008813D0" w:rsidRDefault="004F3D13" w:rsidP="00A52D70">
      <w:pPr>
        <w:spacing w:line="240" w:lineRule="auto"/>
      </w:pPr>
      <w:r w:rsidRPr="008813D0">
        <w:t>Phases 1-3 are dedicated to preparation for the interviews, includ</w:t>
      </w:r>
      <w:r>
        <w:t>ing</w:t>
      </w:r>
      <w:r w:rsidRPr="008813D0">
        <w:t xml:space="preserve"> design and refinement of the survey instrument and the OMB Process</w:t>
      </w:r>
      <w:r>
        <w:t>, as well as recruiting interviewees</w:t>
      </w:r>
      <w:r w:rsidRPr="008813D0">
        <w:t xml:space="preserve">. </w:t>
      </w:r>
    </w:p>
    <w:p w:rsidR="004F3D13" w:rsidRPr="008813D0" w:rsidRDefault="004F3D13" w:rsidP="00A52D70">
      <w:pPr>
        <w:spacing w:line="240" w:lineRule="auto"/>
      </w:pPr>
      <w:r w:rsidRPr="008813D0">
        <w:t>After Phase 4 interviews (in-person and phone) are conducted, interviewers will take the notes generated during the session and write up transcripts that detail major findings. Interviewers will also meet to debrief each other about what they’ve learned.</w:t>
      </w:r>
    </w:p>
    <w:p w:rsidR="004F3D13" w:rsidRPr="008813D0" w:rsidRDefault="004F3D13" w:rsidP="00A52D70">
      <w:pPr>
        <w:spacing w:line="240" w:lineRule="auto"/>
      </w:pPr>
      <w:r w:rsidRPr="008813D0">
        <w:t xml:space="preserve">Once the in-person and phone interviews are complete, the data will be analyzed to locate common themes across the participants from each segment. The steps involved in Phase 5 include breaking down the findings into key distinct data points, completing a series of affinity exercises to cluster the data around the segments, and creating preliminary persona frameworks. </w:t>
      </w:r>
    </w:p>
    <w:p w:rsidR="004F3D13" w:rsidRDefault="004F3D13" w:rsidP="00A52D70">
      <w:pPr>
        <w:spacing w:line="240" w:lineRule="auto"/>
      </w:pPr>
      <w:r w:rsidRPr="008813D0">
        <w:t>In Phase 6, the design direction an</w:t>
      </w:r>
      <w:r>
        <w:t xml:space="preserve">d media that is most useful to </w:t>
      </w:r>
      <w:r w:rsidRPr="008813D0">
        <w:t>IRS constituents will be identified. The personas will be refined down to the needed characteristics, ensuring that just the right amount of detail is included. Detailed design, to include imagery and charts needed to develop memorable personas, will be completed.</w:t>
      </w:r>
    </w:p>
    <w:p w:rsidR="004F3D13" w:rsidRDefault="004F3D13" w:rsidP="00A52D70">
      <w:pPr>
        <w:spacing w:line="240" w:lineRule="auto"/>
        <w:rPr>
          <w:highlight w:val="red"/>
        </w:rPr>
      </w:pPr>
      <w:r w:rsidRPr="008813D0">
        <w:t>In Phase 7, workshops with IR</w:t>
      </w:r>
      <w:r>
        <w:t xml:space="preserve">S constituents will be planned </w:t>
      </w:r>
      <w:r w:rsidRPr="008813D0">
        <w:t xml:space="preserve">and executed so that the personas can be introduced and socialized within the organization. </w:t>
      </w:r>
    </w:p>
    <w:p w:rsidR="004F3D13" w:rsidRDefault="004F3D13">
      <w:pPr>
        <w:pStyle w:val="ListParagraph"/>
        <w:numPr>
          <w:ilvl w:val="0"/>
          <w:numId w:val="2"/>
        </w:numPr>
        <w:spacing w:after="0" w:line="240" w:lineRule="auto"/>
        <w:ind w:left="0"/>
        <w:rPr>
          <w:b/>
        </w:rPr>
      </w:pPr>
      <w:r>
        <w:rPr>
          <w:b/>
        </w:rPr>
        <w:t>Display of OMB Approval Date</w:t>
      </w:r>
    </w:p>
    <w:p w:rsidR="004F3D13" w:rsidRDefault="004F3D13" w:rsidP="00A52D70">
      <w:pPr>
        <w:pStyle w:val="ListParagraph"/>
        <w:spacing w:after="0" w:line="240" w:lineRule="auto"/>
        <w:ind w:left="0"/>
        <w:rPr>
          <w:b/>
        </w:rPr>
      </w:pPr>
    </w:p>
    <w:p w:rsidR="004F3D13" w:rsidRDefault="004F3D13">
      <w:pPr>
        <w:spacing w:after="0" w:line="240" w:lineRule="auto"/>
      </w:pPr>
      <w:r>
        <w:t>We are requesting no exemption.</w:t>
      </w:r>
    </w:p>
    <w:p w:rsidR="004F3D13" w:rsidRDefault="004F3D13">
      <w:pPr>
        <w:spacing w:after="0" w:line="240" w:lineRule="auto"/>
      </w:pPr>
    </w:p>
    <w:p w:rsidR="004F3D13" w:rsidRDefault="004F3D13" w:rsidP="00D36026">
      <w:pPr>
        <w:pStyle w:val="ListParagraph"/>
        <w:numPr>
          <w:ilvl w:val="0"/>
          <w:numId w:val="2"/>
        </w:numPr>
        <w:spacing w:after="0" w:line="240" w:lineRule="auto"/>
        <w:ind w:left="0"/>
        <w:rPr>
          <w:b/>
        </w:rPr>
      </w:pPr>
      <w:r w:rsidRPr="00885B5B">
        <w:rPr>
          <w:b/>
        </w:rPr>
        <w:t>Exceptions to Certification for Paperwork Reduction Act Submissions</w:t>
      </w:r>
    </w:p>
    <w:p w:rsidR="004F3D13" w:rsidRDefault="004F3D13" w:rsidP="00D36026">
      <w:pPr>
        <w:spacing w:after="0" w:line="240" w:lineRule="auto"/>
      </w:pPr>
      <w:r w:rsidRPr="00885B5B">
        <w:t>These activities comply with the requirements in 5 CFR 1320.9.</w:t>
      </w:r>
    </w:p>
    <w:p w:rsidR="004F3D13" w:rsidRDefault="004F3D13" w:rsidP="00D36026">
      <w:pPr>
        <w:spacing w:after="0" w:line="240" w:lineRule="auto"/>
      </w:pPr>
    </w:p>
    <w:p w:rsidR="004F3D13" w:rsidRPr="00405779" w:rsidRDefault="004F3D13" w:rsidP="00A52D70">
      <w:pPr>
        <w:pStyle w:val="ListParagraph"/>
        <w:spacing w:after="0" w:line="240" w:lineRule="auto"/>
        <w:ind w:left="360"/>
      </w:pPr>
    </w:p>
    <w:p w:rsidR="004F3D13" w:rsidRPr="00BE58FE" w:rsidRDefault="004F3D13" w:rsidP="00A52D70">
      <w:pPr>
        <w:pStyle w:val="ListParagraph"/>
        <w:numPr>
          <w:ilvl w:val="0"/>
          <w:numId w:val="22"/>
        </w:numPr>
        <w:ind w:left="0"/>
        <w:rPr>
          <w:b/>
        </w:rPr>
      </w:pPr>
      <w:r w:rsidRPr="00BE58FE">
        <w:rPr>
          <w:b/>
        </w:rPr>
        <w:t xml:space="preserve">Dates collection will begin and end </w:t>
      </w:r>
    </w:p>
    <w:p w:rsidR="004F3D13" w:rsidRPr="004D3581" w:rsidRDefault="004F3D13" w:rsidP="00A52D70">
      <w:pPr>
        <w:pStyle w:val="ListParagraph"/>
        <w:ind w:left="360"/>
      </w:pPr>
      <w:r w:rsidRPr="004D3581">
        <w:t>July 30, 2012 – August 24, 2012</w:t>
      </w:r>
    </w:p>
    <w:p w:rsidR="004F3D13" w:rsidRDefault="004F3D13" w:rsidP="00D36026">
      <w:pPr>
        <w:spacing w:after="0" w:line="240" w:lineRule="auto"/>
      </w:pPr>
    </w:p>
    <w:p w:rsidR="004F3D13" w:rsidRDefault="004F3D13" w:rsidP="00D36026">
      <w:pPr>
        <w:spacing w:after="0" w:line="240" w:lineRule="auto"/>
      </w:pPr>
    </w:p>
    <w:p w:rsidR="004F3D13" w:rsidRDefault="004F3D13" w:rsidP="00D36026">
      <w:pPr>
        <w:spacing w:after="0" w:line="240" w:lineRule="auto"/>
      </w:pPr>
    </w:p>
    <w:p w:rsidR="004F3D13" w:rsidRPr="00D36026" w:rsidRDefault="004F3D13" w:rsidP="00D36026">
      <w:pPr>
        <w:pStyle w:val="ListParagraph"/>
        <w:numPr>
          <w:ilvl w:val="0"/>
          <w:numId w:val="1"/>
        </w:numPr>
        <w:spacing w:after="0" w:line="240" w:lineRule="auto"/>
        <w:rPr>
          <w:b/>
        </w:rPr>
      </w:pPr>
      <w:r w:rsidRPr="00D36026">
        <w:rPr>
          <w:b/>
        </w:rPr>
        <w:t>STATISTICAL METHODS</w:t>
      </w:r>
    </w:p>
    <w:p w:rsidR="004F3D13" w:rsidRDefault="004F3D13">
      <w:pPr>
        <w:pStyle w:val="BodyTextIndent3"/>
        <w:ind w:left="0"/>
        <w:rPr>
          <w:b/>
        </w:rPr>
      </w:pPr>
    </w:p>
    <w:p w:rsidR="004F3D13" w:rsidRDefault="004F3D13">
      <w:pPr>
        <w:spacing w:after="0" w:line="240" w:lineRule="auto"/>
        <w:rPr>
          <w:b/>
        </w:rPr>
      </w:pPr>
      <w:r>
        <w:t xml:space="preserve">Data collection methods and procedures will vary; however, the primary purpose of these collections will be for internal management purposes; there are no plans to publish or otherwise release this information.  </w:t>
      </w:r>
    </w:p>
    <w:p w:rsidR="004F3D13" w:rsidRDefault="004F3D13">
      <w:pPr>
        <w:spacing w:after="0" w:line="240" w:lineRule="auto"/>
        <w:rPr>
          <w:b/>
        </w:rPr>
      </w:pPr>
    </w:p>
    <w:p w:rsidR="004F3D13" w:rsidRDefault="004F3D13">
      <w:pPr>
        <w:pStyle w:val="ListParagraph"/>
        <w:numPr>
          <w:ilvl w:val="0"/>
          <w:numId w:val="12"/>
        </w:numPr>
        <w:spacing w:after="0" w:line="240" w:lineRule="auto"/>
        <w:rPr>
          <w:b/>
        </w:rPr>
      </w:pPr>
      <w:r>
        <w:rPr>
          <w:b/>
        </w:rPr>
        <w:t>Universe and Respondent Selection</w:t>
      </w:r>
    </w:p>
    <w:p w:rsidR="004F3D13" w:rsidRDefault="004F3D13">
      <w:pPr>
        <w:pStyle w:val="ListParagraph"/>
        <w:spacing w:after="0" w:line="240" w:lineRule="auto"/>
        <w:ind w:left="360"/>
        <w:rPr>
          <w:b/>
        </w:rPr>
      </w:pPr>
    </w:p>
    <w:p w:rsidR="004F3D13" w:rsidRPr="00B82ABD" w:rsidRDefault="004F3D13" w:rsidP="009C7FD8">
      <w:pPr>
        <w:pStyle w:val="ListParagraph"/>
        <w:spacing w:line="240" w:lineRule="auto"/>
        <w:ind w:left="360"/>
        <w:rPr>
          <w:b/>
        </w:rPr>
      </w:pPr>
      <w:r w:rsidRPr="00B82ABD">
        <w:t xml:space="preserve">The segmentation frameworks have already been determined through previous research efforts. Therefore, for persona development, we recommend a sample of (n=) 42, with (n=) 21 to be collected through 90-minute one-on-one interviews, and the remaining (n=) 21 collected through 75-minute phone interviews. </w:t>
      </w:r>
    </w:p>
    <w:p w:rsidR="004F3D13" w:rsidRPr="00B82ABD" w:rsidRDefault="004F3D13" w:rsidP="009C7FD8">
      <w:pPr>
        <w:pStyle w:val="ListParagraph"/>
        <w:spacing w:line="240" w:lineRule="auto"/>
        <w:ind w:left="360"/>
        <w:rPr>
          <w:b/>
        </w:rPr>
      </w:pPr>
    </w:p>
    <w:p w:rsidR="004F3D13" w:rsidRDefault="004F3D13">
      <w:pPr>
        <w:pStyle w:val="ListParagraph"/>
        <w:spacing w:after="0" w:line="240" w:lineRule="auto"/>
        <w:ind w:left="360"/>
        <w:rPr>
          <w:highlight w:val="red"/>
        </w:rPr>
      </w:pPr>
      <w:r w:rsidRPr="00B82ABD">
        <w:t>Respondents will be asked a series of screening questions to ensure they qualify prior to being invited to participate, as well as to ensure a balance of respondents in terms of their demographic background and prior experience with the IRS.</w:t>
      </w:r>
    </w:p>
    <w:p w:rsidR="004F3D13" w:rsidRDefault="004F3D13">
      <w:pPr>
        <w:spacing w:after="0" w:line="240" w:lineRule="auto"/>
        <w:rPr>
          <w:b/>
        </w:rPr>
      </w:pPr>
    </w:p>
    <w:p w:rsidR="004F3D13" w:rsidRDefault="004F3D13">
      <w:pPr>
        <w:pStyle w:val="ListParagraph"/>
        <w:numPr>
          <w:ilvl w:val="0"/>
          <w:numId w:val="12"/>
        </w:numPr>
        <w:spacing w:after="0" w:line="240" w:lineRule="auto"/>
        <w:rPr>
          <w:b/>
        </w:rPr>
      </w:pPr>
      <w:r>
        <w:rPr>
          <w:b/>
        </w:rPr>
        <w:t>Procedures for Collecting Information</w:t>
      </w:r>
    </w:p>
    <w:p w:rsidR="004F3D13" w:rsidRDefault="004F3D13">
      <w:pPr>
        <w:pStyle w:val="ListParagraph"/>
        <w:spacing w:after="0" w:line="240" w:lineRule="auto"/>
        <w:ind w:left="360"/>
        <w:rPr>
          <w:b/>
        </w:rPr>
      </w:pPr>
    </w:p>
    <w:p w:rsidR="004F3D13" w:rsidRDefault="004F3D13">
      <w:pPr>
        <w:pStyle w:val="ListParagraph"/>
        <w:spacing w:after="0" w:line="240" w:lineRule="auto"/>
        <w:ind w:left="360"/>
      </w:pPr>
      <w:r w:rsidRPr="00B82ABD">
        <w:t>Data collection methods and procedures will be done via in-person and phone interviews with W&amp;I Taxpayers.  Phone screeners will be used to target survey respondents.</w:t>
      </w:r>
    </w:p>
    <w:p w:rsidR="004F3D13" w:rsidRDefault="004F3D13">
      <w:pPr>
        <w:pStyle w:val="ListParagraph"/>
        <w:spacing w:after="0" w:line="240" w:lineRule="auto"/>
        <w:ind w:left="360"/>
        <w:rPr>
          <w:b/>
        </w:rPr>
      </w:pPr>
    </w:p>
    <w:p w:rsidR="004F3D13" w:rsidRDefault="004F3D13">
      <w:pPr>
        <w:pStyle w:val="ListParagraph"/>
        <w:numPr>
          <w:ilvl w:val="0"/>
          <w:numId w:val="12"/>
        </w:numPr>
        <w:spacing w:after="0" w:line="240" w:lineRule="auto"/>
        <w:rPr>
          <w:b/>
        </w:rPr>
      </w:pPr>
      <w:r>
        <w:rPr>
          <w:b/>
        </w:rPr>
        <w:t>Methods to Maximize Response</w:t>
      </w:r>
    </w:p>
    <w:p w:rsidR="004F3D13" w:rsidRPr="00DC5651" w:rsidRDefault="004F3D13" w:rsidP="00DC5651">
      <w:pPr>
        <w:spacing w:after="0" w:line="240" w:lineRule="auto"/>
        <w:rPr>
          <w:highlight w:val="cyan"/>
        </w:rPr>
      </w:pPr>
    </w:p>
    <w:p w:rsidR="004F3D13" w:rsidRPr="00471D9C" w:rsidRDefault="004F3D13" w:rsidP="00BC7788">
      <w:pPr>
        <w:pStyle w:val="ListParagraph"/>
        <w:spacing w:after="0" w:line="240" w:lineRule="auto"/>
        <w:ind w:left="360"/>
      </w:pPr>
      <w:r w:rsidRPr="00471D9C">
        <w:t xml:space="preserve">Forrester and </w:t>
      </w:r>
      <w:r>
        <w:t>MAYA Design</w:t>
      </w:r>
      <w:r w:rsidRPr="00471D9C">
        <w:t xml:space="preserve"> will strive to maximize response and cooperation rates among those selected in </w:t>
      </w:r>
      <w:r>
        <w:t>for the interviews</w:t>
      </w:r>
      <w:r w:rsidRPr="00471D9C">
        <w:t xml:space="preserve">. </w:t>
      </w:r>
      <w:r>
        <w:t>The study will be designed to be easy-to-complete both in content and in delivery method.</w:t>
      </w:r>
    </w:p>
    <w:p w:rsidR="004F3D13" w:rsidRDefault="004F3D13">
      <w:pPr>
        <w:pStyle w:val="ListParagraph"/>
        <w:spacing w:after="0" w:line="240" w:lineRule="auto"/>
        <w:ind w:left="360"/>
        <w:rPr>
          <w:b/>
        </w:rPr>
      </w:pPr>
    </w:p>
    <w:p w:rsidR="004F3D13" w:rsidRDefault="004F3D13">
      <w:pPr>
        <w:pStyle w:val="ListParagraph"/>
        <w:numPr>
          <w:ilvl w:val="0"/>
          <w:numId w:val="12"/>
        </w:numPr>
        <w:spacing w:after="0" w:line="240" w:lineRule="auto"/>
        <w:rPr>
          <w:b/>
        </w:rPr>
      </w:pPr>
      <w:r>
        <w:rPr>
          <w:b/>
        </w:rPr>
        <w:t>Testing of Procedures</w:t>
      </w:r>
    </w:p>
    <w:p w:rsidR="004F3D13" w:rsidRDefault="004F3D13">
      <w:pPr>
        <w:pStyle w:val="ListParagraph"/>
        <w:spacing w:after="0" w:line="240" w:lineRule="auto"/>
        <w:ind w:left="360"/>
        <w:rPr>
          <w:b/>
        </w:rPr>
      </w:pPr>
      <w:r>
        <w:rPr>
          <w:b/>
        </w:rPr>
        <w:t xml:space="preserve"> </w:t>
      </w:r>
    </w:p>
    <w:p w:rsidR="004F3D13" w:rsidRPr="0079546E" w:rsidRDefault="004F3D13" w:rsidP="005F3472">
      <w:pPr>
        <w:spacing w:after="0" w:line="240" w:lineRule="auto"/>
        <w:ind w:left="360"/>
        <w:rPr>
          <w:highlight w:val="cyan"/>
        </w:rPr>
      </w:pPr>
      <w:r>
        <w:t>Upon</w:t>
      </w:r>
      <w:r w:rsidRPr="00B82ABD">
        <w:t xml:space="preserve"> finalization and approval of the interview guide, we will conduct a small number of test interviews</w:t>
      </w:r>
      <w:r>
        <w:t>.  This will help the interviewers become comfortable with the entire question set.</w:t>
      </w:r>
    </w:p>
    <w:p w:rsidR="004F3D13" w:rsidRPr="00B82ABD" w:rsidRDefault="004F3D13" w:rsidP="0079546E">
      <w:pPr>
        <w:spacing w:after="0" w:line="240" w:lineRule="auto"/>
        <w:ind w:left="360"/>
      </w:pPr>
    </w:p>
    <w:p w:rsidR="004F3D13" w:rsidRDefault="004F3D13">
      <w:pPr>
        <w:pStyle w:val="ListParagraph"/>
        <w:numPr>
          <w:ilvl w:val="0"/>
          <w:numId w:val="12"/>
        </w:numPr>
        <w:spacing w:after="0" w:line="240" w:lineRule="auto"/>
        <w:rPr>
          <w:b/>
        </w:rPr>
      </w:pPr>
      <w:r>
        <w:rPr>
          <w:b/>
        </w:rPr>
        <w:t>Contacts for Statistical Aspects and Data Collection</w:t>
      </w:r>
    </w:p>
    <w:p w:rsidR="004F3D13" w:rsidRDefault="004F3D13" w:rsidP="009E195C">
      <w:pPr>
        <w:pStyle w:val="ListParagraph"/>
        <w:spacing w:after="0" w:line="240" w:lineRule="auto"/>
        <w:rPr>
          <w:b/>
        </w:rPr>
      </w:pPr>
      <w:r>
        <w:t xml:space="preserve"> </w:t>
      </w:r>
      <w:r w:rsidRPr="009E195C">
        <w:t xml:space="preserve"> </w:t>
      </w:r>
    </w:p>
    <w:p w:rsidR="004F3D13" w:rsidRDefault="004F3D13" w:rsidP="009E195C">
      <w:pPr>
        <w:pStyle w:val="ListParagraph"/>
        <w:ind w:left="360"/>
      </w:pPr>
      <w:r w:rsidRPr="00885B5B">
        <w:t xml:space="preserve">OPERA consulted with </w:t>
      </w:r>
      <w:r>
        <w:t>designers and researchers</w:t>
      </w:r>
      <w:r w:rsidRPr="00885B5B">
        <w:t xml:space="preserve"> from our contractors regarding the development, design, conduct, and analysis of the </w:t>
      </w:r>
      <w:r>
        <w:t>ethnographic research</w:t>
      </w:r>
      <w:r w:rsidRPr="00885B5B">
        <w:t>. The contractors will be responsible for a</w:t>
      </w:r>
      <w:r>
        <w:t>ll data analysis and persona creation</w:t>
      </w:r>
      <w:r w:rsidRPr="00885B5B">
        <w:t>.  Contact information of persons consulted in the specific information collection requests is listed below.</w:t>
      </w:r>
      <w:r>
        <w:t xml:space="preserve"> </w:t>
      </w:r>
    </w:p>
    <w:p w:rsidR="004F3D13" w:rsidRDefault="004F3D13" w:rsidP="00BE58FE">
      <w:pPr>
        <w:pStyle w:val="ListParagraph"/>
        <w:ind w:left="0"/>
      </w:pPr>
    </w:p>
    <w:p w:rsidR="004F3D13" w:rsidRDefault="004F3D13">
      <w:pPr>
        <w:pStyle w:val="ListParagraph"/>
        <w:spacing w:after="0" w:line="240" w:lineRule="auto"/>
        <w:ind w:left="360"/>
        <w:rPr>
          <w:b/>
        </w:rPr>
      </w:pPr>
    </w:p>
    <w:p w:rsidR="004F3D13" w:rsidRDefault="004F3D13">
      <w:pPr>
        <w:pStyle w:val="ListParagraph"/>
        <w:spacing w:after="0" w:line="240" w:lineRule="auto"/>
        <w:ind w:left="360"/>
      </w:pPr>
      <w:r>
        <w:t>Amy Ferchak</w:t>
      </w:r>
    </w:p>
    <w:p w:rsidR="004F3D13" w:rsidRDefault="004F3D13">
      <w:pPr>
        <w:pStyle w:val="ListParagraph"/>
        <w:spacing w:after="0" w:line="240" w:lineRule="auto"/>
        <w:ind w:left="360"/>
      </w:pPr>
      <w:r>
        <w:t>Designer &amp; Researcher, Senior Practitioner</w:t>
      </w:r>
    </w:p>
    <w:p w:rsidR="004F3D13" w:rsidRDefault="004F3D13">
      <w:pPr>
        <w:pStyle w:val="ListParagraph"/>
        <w:spacing w:after="0" w:line="240" w:lineRule="auto"/>
        <w:ind w:left="360"/>
      </w:pPr>
      <w:r>
        <w:t>Human Sciences Group</w:t>
      </w:r>
    </w:p>
    <w:p w:rsidR="004F3D13" w:rsidRDefault="004F3D13" w:rsidP="00D9169A">
      <w:pPr>
        <w:pStyle w:val="ListParagraph"/>
        <w:spacing w:after="0" w:line="240" w:lineRule="auto"/>
        <w:ind w:left="360"/>
      </w:pPr>
      <w:r>
        <w:t>MAYA Design</w:t>
      </w:r>
    </w:p>
    <w:p w:rsidR="004F3D13" w:rsidRDefault="004F3D13">
      <w:pPr>
        <w:pStyle w:val="ListParagraph"/>
        <w:spacing w:after="0" w:line="240" w:lineRule="auto"/>
        <w:ind w:left="360"/>
      </w:pPr>
      <w:hyperlink r:id="rId7" w:history="1">
        <w:r w:rsidRPr="000F7A53">
          <w:rPr>
            <w:rStyle w:val="Hyperlink"/>
          </w:rPr>
          <w:t>ferchak@maya.com</w:t>
        </w:r>
      </w:hyperlink>
    </w:p>
    <w:p w:rsidR="004F3D13" w:rsidRDefault="004F3D13" w:rsidP="00405779">
      <w:pPr>
        <w:pStyle w:val="ListParagraph"/>
        <w:spacing w:after="0" w:line="240" w:lineRule="auto"/>
        <w:ind w:left="360"/>
      </w:pPr>
      <w:r>
        <w:t>Office: 412-488-2900</w:t>
      </w:r>
    </w:p>
    <w:p w:rsidR="004F3D13" w:rsidRDefault="004F3D13" w:rsidP="00405779">
      <w:pPr>
        <w:pStyle w:val="ListParagraph"/>
        <w:spacing w:after="0" w:line="240" w:lineRule="auto"/>
        <w:ind w:left="360"/>
      </w:pPr>
    </w:p>
    <w:p w:rsidR="004F3D13" w:rsidRDefault="004F3D13" w:rsidP="00405779">
      <w:pPr>
        <w:pStyle w:val="ListParagraph"/>
        <w:spacing w:after="0" w:line="240" w:lineRule="auto"/>
        <w:ind w:left="360"/>
      </w:pPr>
      <w:r>
        <w:t>Kimita Nederlof</w:t>
      </w:r>
    </w:p>
    <w:p w:rsidR="004F3D13" w:rsidRDefault="004F3D13" w:rsidP="00EA5D4E">
      <w:pPr>
        <w:pStyle w:val="ListParagraph"/>
        <w:spacing w:after="0" w:line="240" w:lineRule="auto"/>
        <w:ind w:left="360"/>
      </w:pPr>
      <w:r>
        <w:t>Research Coordinator</w:t>
      </w:r>
    </w:p>
    <w:p w:rsidR="004F3D13" w:rsidRDefault="004F3D13" w:rsidP="00EA5D4E">
      <w:pPr>
        <w:pStyle w:val="ListParagraph"/>
        <w:spacing w:after="0" w:line="240" w:lineRule="auto"/>
        <w:ind w:left="360"/>
      </w:pPr>
      <w:r>
        <w:t>Human Sciences Group</w:t>
      </w:r>
    </w:p>
    <w:p w:rsidR="004F3D13" w:rsidRDefault="004F3D13" w:rsidP="00EA5D4E">
      <w:pPr>
        <w:pStyle w:val="ListParagraph"/>
        <w:spacing w:after="0" w:line="240" w:lineRule="auto"/>
        <w:ind w:left="360"/>
      </w:pPr>
      <w:r>
        <w:t>MAYA Design</w:t>
      </w:r>
    </w:p>
    <w:p w:rsidR="004F3D13" w:rsidRDefault="004F3D13" w:rsidP="00EA5D4E">
      <w:pPr>
        <w:pStyle w:val="ListParagraph"/>
        <w:spacing w:after="0" w:line="240" w:lineRule="auto"/>
        <w:ind w:left="360"/>
      </w:pPr>
      <w:hyperlink r:id="rId8" w:history="1">
        <w:r w:rsidRPr="0025164D">
          <w:rPr>
            <w:rStyle w:val="Hyperlink"/>
          </w:rPr>
          <w:t>nederlof@maya.com</w:t>
        </w:r>
      </w:hyperlink>
    </w:p>
    <w:p w:rsidR="004F3D13" w:rsidRDefault="004F3D13" w:rsidP="00EA5D4E">
      <w:pPr>
        <w:pStyle w:val="ListParagraph"/>
        <w:spacing w:after="0" w:line="240" w:lineRule="auto"/>
        <w:ind w:left="360"/>
      </w:pPr>
      <w:r>
        <w:t>Office: 412-488-2900</w:t>
      </w:r>
    </w:p>
    <w:p w:rsidR="004F3D13" w:rsidRDefault="004F3D13">
      <w:pPr>
        <w:pStyle w:val="ListParagraph"/>
        <w:spacing w:after="0" w:line="240" w:lineRule="auto"/>
        <w:ind w:left="360"/>
      </w:pPr>
    </w:p>
    <w:p w:rsidR="004F3D13" w:rsidRDefault="004F3D13" w:rsidP="007E15E6">
      <w:pPr>
        <w:pStyle w:val="ListParagraph"/>
        <w:spacing w:after="0" w:line="240" w:lineRule="auto"/>
        <w:ind w:left="360"/>
      </w:pPr>
      <w:r>
        <w:t>Francine Gemperle</w:t>
      </w:r>
    </w:p>
    <w:p w:rsidR="004F3D13" w:rsidRDefault="004F3D13" w:rsidP="007E15E6">
      <w:pPr>
        <w:pStyle w:val="ListParagraph"/>
        <w:spacing w:after="0" w:line="240" w:lineRule="auto"/>
        <w:ind w:left="360"/>
      </w:pPr>
      <w:r>
        <w:t>Senior Human Scientist</w:t>
      </w:r>
    </w:p>
    <w:p w:rsidR="004F3D13" w:rsidRDefault="004F3D13" w:rsidP="007E15E6">
      <w:pPr>
        <w:pStyle w:val="ListParagraph"/>
        <w:spacing w:after="0" w:line="240" w:lineRule="auto"/>
        <w:ind w:left="360"/>
      </w:pPr>
      <w:r>
        <w:t>Human Sciences Group</w:t>
      </w:r>
    </w:p>
    <w:p w:rsidR="004F3D13" w:rsidRDefault="004F3D13" w:rsidP="007E15E6">
      <w:pPr>
        <w:pStyle w:val="ListParagraph"/>
        <w:spacing w:after="0" w:line="240" w:lineRule="auto"/>
        <w:ind w:left="360"/>
      </w:pPr>
      <w:r>
        <w:t>MAYA Design</w:t>
      </w:r>
    </w:p>
    <w:p w:rsidR="004F3D13" w:rsidRPr="00405779" w:rsidRDefault="004F3D13" w:rsidP="007E15E6">
      <w:pPr>
        <w:pStyle w:val="ListParagraph"/>
        <w:spacing w:after="0" w:line="240" w:lineRule="auto"/>
        <w:ind w:left="360"/>
      </w:pPr>
      <w:hyperlink r:id="rId9" w:history="1">
        <w:r>
          <w:rPr>
            <w:rStyle w:val="Hyperlink"/>
          </w:rPr>
          <w:t>gemperle@maya.com</w:t>
        </w:r>
      </w:hyperlink>
    </w:p>
    <w:p w:rsidR="004F3D13" w:rsidRDefault="004F3D13" w:rsidP="007E15E6">
      <w:pPr>
        <w:pStyle w:val="ListParagraph"/>
        <w:spacing w:after="0" w:line="240" w:lineRule="auto"/>
        <w:ind w:left="360"/>
      </w:pPr>
      <w:r>
        <w:t>Office: 412-488-2900</w:t>
      </w:r>
    </w:p>
    <w:p w:rsidR="004F3D13" w:rsidRDefault="004F3D13">
      <w:pPr>
        <w:pStyle w:val="ListParagraph"/>
        <w:spacing w:after="0" w:line="240" w:lineRule="auto"/>
        <w:ind w:left="360"/>
      </w:pPr>
    </w:p>
    <w:p w:rsidR="004F3D13" w:rsidRDefault="004F3D13">
      <w:pPr>
        <w:pStyle w:val="ListParagraph"/>
        <w:spacing w:after="0" w:line="240" w:lineRule="auto"/>
        <w:ind w:left="360"/>
      </w:pPr>
      <w:r>
        <w:t>Jeremy Sweeney</w:t>
      </w:r>
    </w:p>
    <w:p w:rsidR="004F3D13" w:rsidRDefault="004F3D13">
      <w:pPr>
        <w:pStyle w:val="ListParagraph"/>
        <w:spacing w:after="0" w:line="240" w:lineRule="auto"/>
        <w:ind w:left="360"/>
      </w:pPr>
      <w:r>
        <w:t>Principal Project Consulting Manager, Customer Experience</w:t>
      </w:r>
    </w:p>
    <w:p w:rsidR="004F3D13" w:rsidRDefault="004F3D13">
      <w:pPr>
        <w:pStyle w:val="ListParagraph"/>
        <w:spacing w:after="0" w:line="240" w:lineRule="auto"/>
        <w:ind w:left="360"/>
      </w:pPr>
      <w:r>
        <w:t>Forrester Research</w:t>
      </w:r>
    </w:p>
    <w:p w:rsidR="004F3D13" w:rsidRDefault="004F3D13">
      <w:pPr>
        <w:pStyle w:val="ListParagraph"/>
        <w:spacing w:after="0" w:line="240" w:lineRule="auto"/>
        <w:ind w:left="360"/>
      </w:pPr>
      <w:hyperlink r:id="rId10" w:history="1">
        <w:r w:rsidRPr="003F1DF9">
          <w:rPr>
            <w:rStyle w:val="Hyperlink"/>
          </w:rPr>
          <w:t>jsweeney@forrester.com</w:t>
        </w:r>
      </w:hyperlink>
    </w:p>
    <w:p w:rsidR="004F3D13" w:rsidRDefault="004F3D13" w:rsidP="003C3F43">
      <w:pPr>
        <w:spacing w:after="0" w:line="240" w:lineRule="auto"/>
        <w:ind w:firstLine="360"/>
      </w:pPr>
      <w:r>
        <w:t>Phone: 704-362-6777</w:t>
      </w:r>
    </w:p>
    <w:p w:rsidR="004F3D13" w:rsidRDefault="004F3D13"/>
    <w:sectPr w:rsidR="004F3D13" w:rsidSect="0098209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3D13" w:rsidRDefault="004F3D13">
      <w:pPr>
        <w:spacing w:after="0" w:line="240" w:lineRule="auto"/>
      </w:pPr>
      <w:r>
        <w:separator/>
      </w:r>
    </w:p>
  </w:endnote>
  <w:endnote w:type="continuationSeparator" w:id="0">
    <w:p w:rsidR="004F3D13" w:rsidRDefault="004F3D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New Roman PS MT">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3D13" w:rsidRDefault="004F3D13">
      <w:pPr>
        <w:spacing w:after="0" w:line="240" w:lineRule="auto"/>
      </w:pPr>
      <w:r>
        <w:separator/>
      </w:r>
    </w:p>
  </w:footnote>
  <w:footnote w:type="continuationSeparator" w:id="0">
    <w:p w:rsidR="004F3D13" w:rsidRDefault="004F3D1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E28DA"/>
    <w:multiLevelType w:val="hybridMultilevel"/>
    <w:tmpl w:val="FF400768"/>
    <w:lvl w:ilvl="0" w:tplc="04090015">
      <w:start w:val="1"/>
      <w:numFmt w:val="upperLetter"/>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
    <w:nsid w:val="043B7329"/>
    <w:multiLevelType w:val="hybridMultilevel"/>
    <w:tmpl w:val="13062278"/>
    <w:lvl w:ilvl="0" w:tplc="13EC961A">
      <w:start w:val="1"/>
      <w:numFmt w:val="decimal"/>
      <w:lvlText w:val="%1."/>
      <w:lvlJc w:val="left"/>
      <w:pPr>
        <w:ind w:left="3240" w:hanging="360"/>
      </w:pPr>
      <w:rPr>
        <w:rFonts w:cs="Times New Roman" w:hint="default"/>
      </w:rPr>
    </w:lvl>
    <w:lvl w:ilvl="1" w:tplc="04090019" w:tentative="1">
      <w:start w:val="1"/>
      <w:numFmt w:val="lowerLetter"/>
      <w:lvlText w:val="%2."/>
      <w:lvlJc w:val="left"/>
      <w:pPr>
        <w:ind w:left="3960" w:hanging="360"/>
      </w:pPr>
      <w:rPr>
        <w:rFonts w:cs="Times New Roman"/>
      </w:rPr>
    </w:lvl>
    <w:lvl w:ilvl="2" w:tplc="0409001B" w:tentative="1">
      <w:start w:val="1"/>
      <w:numFmt w:val="lowerRoman"/>
      <w:lvlText w:val="%3."/>
      <w:lvlJc w:val="right"/>
      <w:pPr>
        <w:ind w:left="4680" w:hanging="180"/>
      </w:pPr>
      <w:rPr>
        <w:rFonts w:cs="Times New Roman"/>
      </w:rPr>
    </w:lvl>
    <w:lvl w:ilvl="3" w:tplc="0409000F" w:tentative="1">
      <w:start w:val="1"/>
      <w:numFmt w:val="decimal"/>
      <w:lvlText w:val="%4."/>
      <w:lvlJc w:val="left"/>
      <w:pPr>
        <w:ind w:left="5400" w:hanging="360"/>
      </w:pPr>
      <w:rPr>
        <w:rFonts w:cs="Times New Roman"/>
      </w:rPr>
    </w:lvl>
    <w:lvl w:ilvl="4" w:tplc="04090019" w:tentative="1">
      <w:start w:val="1"/>
      <w:numFmt w:val="lowerLetter"/>
      <w:lvlText w:val="%5."/>
      <w:lvlJc w:val="left"/>
      <w:pPr>
        <w:ind w:left="6120" w:hanging="360"/>
      </w:pPr>
      <w:rPr>
        <w:rFonts w:cs="Times New Roman"/>
      </w:rPr>
    </w:lvl>
    <w:lvl w:ilvl="5" w:tplc="0409001B" w:tentative="1">
      <w:start w:val="1"/>
      <w:numFmt w:val="lowerRoman"/>
      <w:lvlText w:val="%6."/>
      <w:lvlJc w:val="right"/>
      <w:pPr>
        <w:ind w:left="6840" w:hanging="180"/>
      </w:pPr>
      <w:rPr>
        <w:rFonts w:cs="Times New Roman"/>
      </w:rPr>
    </w:lvl>
    <w:lvl w:ilvl="6" w:tplc="0409000F" w:tentative="1">
      <w:start w:val="1"/>
      <w:numFmt w:val="decimal"/>
      <w:lvlText w:val="%7."/>
      <w:lvlJc w:val="left"/>
      <w:pPr>
        <w:ind w:left="7560" w:hanging="360"/>
      </w:pPr>
      <w:rPr>
        <w:rFonts w:cs="Times New Roman"/>
      </w:rPr>
    </w:lvl>
    <w:lvl w:ilvl="7" w:tplc="04090019" w:tentative="1">
      <w:start w:val="1"/>
      <w:numFmt w:val="lowerLetter"/>
      <w:lvlText w:val="%8."/>
      <w:lvlJc w:val="left"/>
      <w:pPr>
        <w:ind w:left="8280" w:hanging="360"/>
      </w:pPr>
      <w:rPr>
        <w:rFonts w:cs="Times New Roman"/>
      </w:rPr>
    </w:lvl>
    <w:lvl w:ilvl="8" w:tplc="0409001B" w:tentative="1">
      <w:start w:val="1"/>
      <w:numFmt w:val="lowerRoman"/>
      <w:lvlText w:val="%9."/>
      <w:lvlJc w:val="right"/>
      <w:pPr>
        <w:ind w:left="9000" w:hanging="180"/>
      </w:pPr>
      <w:rPr>
        <w:rFonts w:cs="Times New Roman"/>
      </w:rPr>
    </w:lvl>
  </w:abstractNum>
  <w:abstractNum w:abstractNumId="2">
    <w:nsid w:val="0A87196A"/>
    <w:multiLevelType w:val="hybridMultilevel"/>
    <w:tmpl w:val="57746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D12264"/>
    <w:multiLevelType w:val="hybridMultilevel"/>
    <w:tmpl w:val="F040763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1CEF26AF"/>
    <w:multiLevelType w:val="hybridMultilevel"/>
    <w:tmpl w:val="0AFE1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2D01E1"/>
    <w:multiLevelType w:val="hybridMultilevel"/>
    <w:tmpl w:val="A10AA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591103"/>
    <w:multiLevelType w:val="hybridMultilevel"/>
    <w:tmpl w:val="75DE45FE"/>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7">
    <w:nsid w:val="23873B1D"/>
    <w:multiLevelType w:val="hybridMultilevel"/>
    <w:tmpl w:val="5C3E3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905559A"/>
    <w:multiLevelType w:val="hybridMultilevel"/>
    <w:tmpl w:val="76287B16"/>
    <w:lvl w:ilvl="0" w:tplc="6672ACCA">
      <w:start w:val="19"/>
      <w:numFmt w:val="decimal"/>
      <w:lvlText w:val="%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2D8C1AE9"/>
    <w:multiLevelType w:val="hybridMultilevel"/>
    <w:tmpl w:val="40DEE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FDF2E58"/>
    <w:multiLevelType w:val="hybridMultilevel"/>
    <w:tmpl w:val="5C161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E713CCA"/>
    <w:multiLevelType w:val="hybridMultilevel"/>
    <w:tmpl w:val="3956E5B0"/>
    <w:lvl w:ilvl="0" w:tplc="431875DE">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EDB270A"/>
    <w:multiLevelType w:val="hybridMultilevel"/>
    <w:tmpl w:val="75DE45FE"/>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3">
    <w:nsid w:val="4A4F0487"/>
    <w:multiLevelType w:val="hybridMultilevel"/>
    <w:tmpl w:val="F2148E08"/>
    <w:lvl w:ilvl="0" w:tplc="75F847E4">
      <w:start w:val="1"/>
      <w:numFmt w:val="upperLetter"/>
      <w:lvlText w:val="%1."/>
      <w:lvlJc w:val="left"/>
      <w:pPr>
        <w:ind w:left="360" w:hanging="360"/>
      </w:pPr>
      <w:rPr>
        <w:rFonts w:cs="Times New Roman" w:hint="default"/>
        <w:u w:val="none"/>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4">
    <w:nsid w:val="4C5C3D41"/>
    <w:multiLevelType w:val="hybridMultilevel"/>
    <w:tmpl w:val="6F42990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59351823"/>
    <w:multiLevelType w:val="hybridMultilevel"/>
    <w:tmpl w:val="5DA29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9E32FC9"/>
    <w:multiLevelType w:val="hybridMultilevel"/>
    <w:tmpl w:val="3DBA531C"/>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5B936477"/>
    <w:multiLevelType w:val="hybridMultilevel"/>
    <w:tmpl w:val="EC867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C171D49"/>
    <w:multiLevelType w:val="hybridMultilevel"/>
    <w:tmpl w:val="52E47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D412705"/>
    <w:multiLevelType w:val="hybridMultilevel"/>
    <w:tmpl w:val="6632FC80"/>
    <w:lvl w:ilvl="0" w:tplc="D03C0ACA">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0">
    <w:nsid w:val="6FD4783B"/>
    <w:multiLevelType w:val="hybridMultilevel"/>
    <w:tmpl w:val="6F76831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71AD3C0A"/>
    <w:multiLevelType w:val="hybridMultilevel"/>
    <w:tmpl w:val="284A0616"/>
    <w:lvl w:ilvl="0" w:tplc="921013CE">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13"/>
  </w:num>
  <w:num w:numId="2">
    <w:abstractNumId w:val="19"/>
  </w:num>
  <w:num w:numId="3">
    <w:abstractNumId w:val="1"/>
  </w:num>
  <w:num w:numId="4">
    <w:abstractNumId w:val="3"/>
  </w:num>
  <w:num w:numId="5">
    <w:abstractNumId w:val="18"/>
  </w:num>
  <w:num w:numId="6">
    <w:abstractNumId w:val="11"/>
  </w:num>
  <w:num w:numId="7">
    <w:abstractNumId w:val="17"/>
  </w:num>
  <w:num w:numId="8">
    <w:abstractNumId w:val="10"/>
  </w:num>
  <w:num w:numId="9">
    <w:abstractNumId w:val="15"/>
  </w:num>
  <w:num w:numId="10">
    <w:abstractNumId w:val="5"/>
  </w:num>
  <w:num w:numId="11">
    <w:abstractNumId w:val="20"/>
  </w:num>
  <w:num w:numId="12">
    <w:abstractNumId w:val="6"/>
  </w:num>
  <w:num w:numId="13">
    <w:abstractNumId w:val="2"/>
  </w:num>
  <w:num w:numId="14">
    <w:abstractNumId w:val="21"/>
  </w:num>
  <w:num w:numId="15">
    <w:abstractNumId w:val="4"/>
  </w:num>
  <w:num w:numId="16">
    <w:abstractNumId w:val="9"/>
  </w:num>
  <w:num w:numId="17">
    <w:abstractNumId w:val="14"/>
  </w:num>
  <w:num w:numId="18">
    <w:abstractNumId w:val="7"/>
  </w:num>
  <w:num w:numId="19">
    <w:abstractNumId w:val="16"/>
  </w:num>
  <w:num w:numId="20">
    <w:abstractNumId w:val="0"/>
  </w:num>
  <w:num w:numId="21">
    <w:abstractNumId w:val="12"/>
  </w:num>
  <w:num w:numId="22">
    <w:abstractNumId w:val="8"/>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82095"/>
    <w:rsid w:val="00005C42"/>
    <w:rsid w:val="00043B2E"/>
    <w:rsid w:val="00057DAC"/>
    <w:rsid w:val="00062F34"/>
    <w:rsid w:val="00065240"/>
    <w:rsid w:val="00066515"/>
    <w:rsid w:val="0009021D"/>
    <w:rsid w:val="000902C4"/>
    <w:rsid w:val="000A410F"/>
    <w:rsid w:val="000B4026"/>
    <w:rsid w:val="000C02EE"/>
    <w:rsid w:val="000C0A7E"/>
    <w:rsid w:val="000C1023"/>
    <w:rsid w:val="000C4B5C"/>
    <w:rsid w:val="000D1FE1"/>
    <w:rsid w:val="000F7A53"/>
    <w:rsid w:val="00100415"/>
    <w:rsid w:val="00107BF9"/>
    <w:rsid w:val="00111355"/>
    <w:rsid w:val="001151EF"/>
    <w:rsid w:val="00120A60"/>
    <w:rsid w:val="00120B06"/>
    <w:rsid w:val="00153E20"/>
    <w:rsid w:val="001628A1"/>
    <w:rsid w:val="00172EEC"/>
    <w:rsid w:val="0018622F"/>
    <w:rsid w:val="001A1E1C"/>
    <w:rsid w:val="001A4316"/>
    <w:rsid w:val="001B43EE"/>
    <w:rsid w:val="001B5644"/>
    <w:rsid w:val="001C2748"/>
    <w:rsid w:val="001E1CBC"/>
    <w:rsid w:val="001E44AB"/>
    <w:rsid w:val="001E7A97"/>
    <w:rsid w:val="001E7EBE"/>
    <w:rsid w:val="001F0477"/>
    <w:rsid w:val="001F6511"/>
    <w:rsid w:val="001F7BC9"/>
    <w:rsid w:val="00200C4B"/>
    <w:rsid w:val="00236F73"/>
    <w:rsid w:val="002475CE"/>
    <w:rsid w:val="0025164D"/>
    <w:rsid w:val="00256D0E"/>
    <w:rsid w:val="0027267A"/>
    <w:rsid w:val="00273AF0"/>
    <w:rsid w:val="00282751"/>
    <w:rsid w:val="00282A30"/>
    <w:rsid w:val="0029408A"/>
    <w:rsid w:val="002A35E6"/>
    <w:rsid w:val="002B0B32"/>
    <w:rsid w:val="002B1BCF"/>
    <w:rsid w:val="002C0E2A"/>
    <w:rsid w:val="002C6FFD"/>
    <w:rsid w:val="002D0604"/>
    <w:rsid w:val="00310CDA"/>
    <w:rsid w:val="003224E9"/>
    <w:rsid w:val="00324AF8"/>
    <w:rsid w:val="00336169"/>
    <w:rsid w:val="00341806"/>
    <w:rsid w:val="00356571"/>
    <w:rsid w:val="003725E8"/>
    <w:rsid w:val="00376CA6"/>
    <w:rsid w:val="00377B51"/>
    <w:rsid w:val="003A2F20"/>
    <w:rsid w:val="003A7A16"/>
    <w:rsid w:val="003C3F43"/>
    <w:rsid w:val="003D7CDE"/>
    <w:rsid w:val="003E339C"/>
    <w:rsid w:val="003F1DF9"/>
    <w:rsid w:val="003F5F2D"/>
    <w:rsid w:val="00404071"/>
    <w:rsid w:val="00405779"/>
    <w:rsid w:val="004261AD"/>
    <w:rsid w:val="0044553C"/>
    <w:rsid w:val="00457568"/>
    <w:rsid w:val="00460EB1"/>
    <w:rsid w:val="00471D9C"/>
    <w:rsid w:val="004733BA"/>
    <w:rsid w:val="00474C83"/>
    <w:rsid w:val="00487727"/>
    <w:rsid w:val="00491BE7"/>
    <w:rsid w:val="004970C8"/>
    <w:rsid w:val="004A1CF9"/>
    <w:rsid w:val="004D3581"/>
    <w:rsid w:val="004E6754"/>
    <w:rsid w:val="004F19A1"/>
    <w:rsid w:val="004F1FBA"/>
    <w:rsid w:val="004F26D3"/>
    <w:rsid w:val="004F3D13"/>
    <w:rsid w:val="0050387D"/>
    <w:rsid w:val="00513A34"/>
    <w:rsid w:val="005362FC"/>
    <w:rsid w:val="00541525"/>
    <w:rsid w:val="00562B18"/>
    <w:rsid w:val="00571BDB"/>
    <w:rsid w:val="00572831"/>
    <w:rsid w:val="00582367"/>
    <w:rsid w:val="00594407"/>
    <w:rsid w:val="005A10E3"/>
    <w:rsid w:val="005A64DF"/>
    <w:rsid w:val="005B29DF"/>
    <w:rsid w:val="005C2252"/>
    <w:rsid w:val="005C488C"/>
    <w:rsid w:val="005C7359"/>
    <w:rsid w:val="005D5293"/>
    <w:rsid w:val="005D6665"/>
    <w:rsid w:val="005E0542"/>
    <w:rsid w:val="005E5A3B"/>
    <w:rsid w:val="005F214F"/>
    <w:rsid w:val="005F3472"/>
    <w:rsid w:val="00607287"/>
    <w:rsid w:val="0061129B"/>
    <w:rsid w:val="006155B3"/>
    <w:rsid w:val="00623754"/>
    <w:rsid w:val="00631B2A"/>
    <w:rsid w:val="00632327"/>
    <w:rsid w:val="00646FA5"/>
    <w:rsid w:val="006656C5"/>
    <w:rsid w:val="0067270D"/>
    <w:rsid w:val="00681A41"/>
    <w:rsid w:val="006B2FF7"/>
    <w:rsid w:val="006B5E28"/>
    <w:rsid w:val="006C068A"/>
    <w:rsid w:val="006C4038"/>
    <w:rsid w:val="00701CF7"/>
    <w:rsid w:val="00704626"/>
    <w:rsid w:val="00731D48"/>
    <w:rsid w:val="00740CEE"/>
    <w:rsid w:val="0074309A"/>
    <w:rsid w:val="0074733F"/>
    <w:rsid w:val="00747EDB"/>
    <w:rsid w:val="00783842"/>
    <w:rsid w:val="007903D0"/>
    <w:rsid w:val="0079546E"/>
    <w:rsid w:val="007A268D"/>
    <w:rsid w:val="007B5116"/>
    <w:rsid w:val="007D3918"/>
    <w:rsid w:val="007D529D"/>
    <w:rsid w:val="007E102D"/>
    <w:rsid w:val="007E15E6"/>
    <w:rsid w:val="008311ED"/>
    <w:rsid w:val="00837D00"/>
    <w:rsid w:val="008412A9"/>
    <w:rsid w:val="0085215C"/>
    <w:rsid w:val="00852256"/>
    <w:rsid w:val="00870A92"/>
    <w:rsid w:val="008813D0"/>
    <w:rsid w:val="00885B5B"/>
    <w:rsid w:val="00885B68"/>
    <w:rsid w:val="008934B3"/>
    <w:rsid w:val="00894356"/>
    <w:rsid w:val="008A6FC5"/>
    <w:rsid w:val="008C2821"/>
    <w:rsid w:val="008C6ACE"/>
    <w:rsid w:val="008C7EF4"/>
    <w:rsid w:val="008D2571"/>
    <w:rsid w:val="008F21DF"/>
    <w:rsid w:val="008F4550"/>
    <w:rsid w:val="008F62FE"/>
    <w:rsid w:val="009035A2"/>
    <w:rsid w:val="0090383F"/>
    <w:rsid w:val="00906E3F"/>
    <w:rsid w:val="00914716"/>
    <w:rsid w:val="00915BDA"/>
    <w:rsid w:val="0092459B"/>
    <w:rsid w:val="00931B80"/>
    <w:rsid w:val="00935DB8"/>
    <w:rsid w:val="00936539"/>
    <w:rsid w:val="00945556"/>
    <w:rsid w:val="009474F8"/>
    <w:rsid w:val="00980703"/>
    <w:rsid w:val="00982095"/>
    <w:rsid w:val="00991410"/>
    <w:rsid w:val="009B0BEA"/>
    <w:rsid w:val="009B4823"/>
    <w:rsid w:val="009C7FD8"/>
    <w:rsid w:val="009E195C"/>
    <w:rsid w:val="009E3F70"/>
    <w:rsid w:val="009E75C8"/>
    <w:rsid w:val="009F0975"/>
    <w:rsid w:val="009F1345"/>
    <w:rsid w:val="00A12AC9"/>
    <w:rsid w:val="00A130EC"/>
    <w:rsid w:val="00A27798"/>
    <w:rsid w:val="00A448BD"/>
    <w:rsid w:val="00A52D70"/>
    <w:rsid w:val="00A52F7E"/>
    <w:rsid w:val="00A56596"/>
    <w:rsid w:val="00A570DB"/>
    <w:rsid w:val="00A61F08"/>
    <w:rsid w:val="00A666FD"/>
    <w:rsid w:val="00A75092"/>
    <w:rsid w:val="00A83313"/>
    <w:rsid w:val="00A96367"/>
    <w:rsid w:val="00AA3F96"/>
    <w:rsid w:val="00AA4C4D"/>
    <w:rsid w:val="00AC207F"/>
    <w:rsid w:val="00AC2497"/>
    <w:rsid w:val="00AF55E9"/>
    <w:rsid w:val="00B1493E"/>
    <w:rsid w:val="00B26BB4"/>
    <w:rsid w:val="00B46232"/>
    <w:rsid w:val="00B477B2"/>
    <w:rsid w:val="00B57680"/>
    <w:rsid w:val="00B57F0A"/>
    <w:rsid w:val="00B82ABD"/>
    <w:rsid w:val="00B8372D"/>
    <w:rsid w:val="00BA0E87"/>
    <w:rsid w:val="00BA1806"/>
    <w:rsid w:val="00BB3671"/>
    <w:rsid w:val="00BC4C6A"/>
    <w:rsid w:val="00BC63CD"/>
    <w:rsid w:val="00BC7788"/>
    <w:rsid w:val="00BD13BB"/>
    <w:rsid w:val="00BD1D7F"/>
    <w:rsid w:val="00BD320C"/>
    <w:rsid w:val="00BE0599"/>
    <w:rsid w:val="00BE58FE"/>
    <w:rsid w:val="00BF2E89"/>
    <w:rsid w:val="00BF7558"/>
    <w:rsid w:val="00C106C8"/>
    <w:rsid w:val="00C200D1"/>
    <w:rsid w:val="00C3057C"/>
    <w:rsid w:val="00C3306D"/>
    <w:rsid w:val="00C33B87"/>
    <w:rsid w:val="00C457B1"/>
    <w:rsid w:val="00C505B0"/>
    <w:rsid w:val="00C61970"/>
    <w:rsid w:val="00C62FA2"/>
    <w:rsid w:val="00C73116"/>
    <w:rsid w:val="00CA4A7B"/>
    <w:rsid w:val="00CC0C39"/>
    <w:rsid w:val="00CC2FDD"/>
    <w:rsid w:val="00CE3F97"/>
    <w:rsid w:val="00CF7098"/>
    <w:rsid w:val="00D1210A"/>
    <w:rsid w:val="00D2657D"/>
    <w:rsid w:val="00D30F06"/>
    <w:rsid w:val="00D36026"/>
    <w:rsid w:val="00D62FDC"/>
    <w:rsid w:val="00D64405"/>
    <w:rsid w:val="00D64AAF"/>
    <w:rsid w:val="00D70F56"/>
    <w:rsid w:val="00D85C93"/>
    <w:rsid w:val="00D9169A"/>
    <w:rsid w:val="00D93FE0"/>
    <w:rsid w:val="00DA31C4"/>
    <w:rsid w:val="00DA3AFF"/>
    <w:rsid w:val="00DB6610"/>
    <w:rsid w:val="00DC5651"/>
    <w:rsid w:val="00DD7128"/>
    <w:rsid w:val="00DE07E7"/>
    <w:rsid w:val="00DE5AD2"/>
    <w:rsid w:val="00E15380"/>
    <w:rsid w:val="00E268C4"/>
    <w:rsid w:val="00E30A06"/>
    <w:rsid w:val="00E31C98"/>
    <w:rsid w:val="00E919A1"/>
    <w:rsid w:val="00E965E8"/>
    <w:rsid w:val="00EA5D4E"/>
    <w:rsid w:val="00EB2D61"/>
    <w:rsid w:val="00ED26A1"/>
    <w:rsid w:val="00EE2860"/>
    <w:rsid w:val="00EE4DAA"/>
    <w:rsid w:val="00EE63ED"/>
    <w:rsid w:val="00F15BAA"/>
    <w:rsid w:val="00F171CE"/>
    <w:rsid w:val="00F22A8C"/>
    <w:rsid w:val="00F30EA5"/>
    <w:rsid w:val="00F31E34"/>
    <w:rsid w:val="00F64938"/>
    <w:rsid w:val="00F65668"/>
    <w:rsid w:val="00FA1D10"/>
    <w:rsid w:val="00FB1134"/>
    <w:rsid w:val="00FB1178"/>
    <w:rsid w:val="00FC600C"/>
    <w:rsid w:val="00FD0278"/>
    <w:rsid w:val="00FD0936"/>
    <w:rsid w:val="00FD3B56"/>
    <w:rsid w:val="00FE692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0D1"/>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82095"/>
    <w:pPr>
      <w:ind w:left="720"/>
      <w:contextualSpacing/>
    </w:pPr>
  </w:style>
  <w:style w:type="paragraph" w:styleId="Header">
    <w:name w:val="header"/>
    <w:basedOn w:val="Normal"/>
    <w:link w:val="HeaderChar"/>
    <w:uiPriority w:val="99"/>
    <w:semiHidden/>
    <w:rsid w:val="0098209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982095"/>
    <w:rPr>
      <w:rFonts w:cs="Times New Roman"/>
    </w:rPr>
  </w:style>
  <w:style w:type="paragraph" w:styleId="Footer">
    <w:name w:val="footer"/>
    <w:basedOn w:val="Normal"/>
    <w:link w:val="FooterChar"/>
    <w:uiPriority w:val="99"/>
    <w:semiHidden/>
    <w:rsid w:val="0098209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982095"/>
    <w:rPr>
      <w:rFonts w:cs="Times New Roman"/>
    </w:rPr>
  </w:style>
  <w:style w:type="paragraph" w:customStyle="1" w:styleId="Default">
    <w:name w:val="Default"/>
    <w:uiPriority w:val="99"/>
    <w:rsid w:val="00982095"/>
    <w:pPr>
      <w:autoSpaceDE w:val="0"/>
      <w:autoSpaceDN w:val="0"/>
      <w:adjustRightInd w:val="0"/>
    </w:pPr>
    <w:rPr>
      <w:rFonts w:ascii="Times New Roman PS MT" w:hAnsi="Times New Roman PS MT" w:cs="Times New Roman PS MT"/>
      <w:color w:val="000000"/>
      <w:sz w:val="24"/>
      <w:szCs w:val="24"/>
    </w:rPr>
  </w:style>
  <w:style w:type="paragraph" w:styleId="DocumentMap">
    <w:name w:val="Document Map"/>
    <w:basedOn w:val="Normal"/>
    <w:link w:val="DocumentMapChar"/>
    <w:uiPriority w:val="99"/>
    <w:semiHidden/>
    <w:rsid w:val="0098209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982095"/>
    <w:rPr>
      <w:rFonts w:ascii="Tahoma" w:hAnsi="Tahoma" w:cs="Tahoma"/>
      <w:sz w:val="16"/>
      <w:szCs w:val="16"/>
    </w:rPr>
  </w:style>
  <w:style w:type="paragraph" w:styleId="BodyTextIndent3">
    <w:name w:val="Body Text Indent 3"/>
    <w:basedOn w:val="Normal"/>
    <w:link w:val="BodyTextIndent3Char"/>
    <w:uiPriority w:val="99"/>
    <w:semiHidden/>
    <w:rsid w:val="00982095"/>
    <w:pPr>
      <w:tabs>
        <w:tab w:val="left" w:pos="360"/>
      </w:tabs>
      <w:spacing w:after="0" w:line="240" w:lineRule="auto"/>
      <w:ind w:left="360" w:hanging="360"/>
    </w:pPr>
    <w:rPr>
      <w:rFonts w:ascii="Tahoma" w:hAnsi="Tahoma"/>
      <w:sz w:val="20"/>
      <w:szCs w:val="20"/>
    </w:rPr>
  </w:style>
  <w:style w:type="character" w:customStyle="1" w:styleId="BodyTextIndent3Char">
    <w:name w:val="Body Text Indent 3 Char"/>
    <w:basedOn w:val="DefaultParagraphFont"/>
    <w:link w:val="BodyTextIndent3"/>
    <w:uiPriority w:val="99"/>
    <w:semiHidden/>
    <w:locked/>
    <w:rsid w:val="00982095"/>
    <w:rPr>
      <w:rFonts w:ascii="Tahoma" w:hAnsi="Tahoma" w:cs="Times New Roman"/>
      <w:sz w:val="20"/>
      <w:szCs w:val="20"/>
    </w:rPr>
  </w:style>
  <w:style w:type="paragraph" w:styleId="BalloonText">
    <w:name w:val="Balloon Text"/>
    <w:basedOn w:val="Normal"/>
    <w:link w:val="BalloonTextChar"/>
    <w:uiPriority w:val="99"/>
    <w:semiHidden/>
    <w:rsid w:val="00982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82095"/>
    <w:rPr>
      <w:rFonts w:ascii="Tahoma" w:hAnsi="Tahoma" w:cs="Tahoma"/>
      <w:sz w:val="16"/>
      <w:szCs w:val="16"/>
    </w:rPr>
  </w:style>
  <w:style w:type="character" w:styleId="CommentReference">
    <w:name w:val="annotation reference"/>
    <w:basedOn w:val="DefaultParagraphFont"/>
    <w:uiPriority w:val="99"/>
    <w:rsid w:val="00982095"/>
    <w:rPr>
      <w:rFonts w:cs="Times New Roman"/>
      <w:sz w:val="16"/>
      <w:szCs w:val="16"/>
    </w:rPr>
  </w:style>
  <w:style w:type="paragraph" w:styleId="CommentText">
    <w:name w:val="annotation text"/>
    <w:basedOn w:val="Normal"/>
    <w:link w:val="CommentTextChar"/>
    <w:uiPriority w:val="99"/>
    <w:rsid w:val="00982095"/>
    <w:pPr>
      <w:spacing w:line="240" w:lineRule="auto"/>
    </w:pPr>
    <w:rPr>
      <w:sz w:val="20"/>
      <w:szCs w:val="20"/>
    </w:rPr>
  </w:style>
  <w:style w:type="character" w:customStyle="1" w:styleId="CommentTextChar">
    <w:name w:val="Comment Text Char"/>
    <w:basedOn w:val="DefaultParagraphFont"/>
    <w:link w:val="CommentText"/>
    <w:uiPriority w:val="99"/>
    <w:locked/>
    <w:rsid w:val="00982095"/>
    <w:rPr>
      <w:rFonts w:cs="Times New Roman"/>
      <w:sz w:val="20"/>
      <w:szCs w:val="20"/>
    </w:rPr>
  </w:style>
  <w:style w:type="paragraph" w:styleId="CommentSubject">
    <w:name w:val="annotation subject"/>
    <w:basedOn w:val="CommentText"/>
    <w:next w:val="CommentText"/>
    <w:link w:val="CommentSubjectChar"/>
    <w:uiPriority w:val="99"/>
    <w:semiHidden/>
    <w:rsid w:val="00982095"/>
    <w:rPr>
      <w:b/>
      <w:bCs/>
    </w:rPr>
  </w:style>
  <w:style w:type="character" w:customStyle="1" w:styleId="CommentSubjectChar">
    <w:name w:val="Comment Subject Char"/>
    <w:basedOn w:val="CommentTextChar"/>
    <w:link w:val="CommentSubject"/>
    <w:uiPriority w:val="99"/>
    <w:semiHidden/>
    <w:locked/>
    <w:rsid w:val="00982095"/>
    <w:rPr>
      <w:b/>
      <w:bCs/>
    </w:rPr>
  </w:style>
  <w:style w:type="paragraph" w:styleId="FootnoteText">
    <w:name w:val="footnote text"/>
    <w:basedOn w:val="Normal"/>
    <w:link w:val="FootnoteTextChar"/>
    <w:uiPriority w:val="99"/>
    <w:semiHidden/>
    <w:rsid w:val="00982095"/>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982095"/>
    <w:rPr>
      <w:rFonts w:cs="Times New Roman"/>
      <w:sz w:val="20"/>
      <w:szCs w:val="20"/>
    </w:rPr>
  </w:style>
  <w:style w:type="character" w:styleId="FootnoteReference">
    <w:name w:val="footnote reference"/>
    <w:basedOn w:val="DefaultParagraphFont"/>
    <w:uiPriority w:val="99"/>
    <w:semiHidden/>
    <w:rsid w:val="00982095"/>
    <w:rPr>
      <w:rFonts w:cs="Times New Roman"/>
      <w:vertAlign w:val="superscript"/>
    </w:rPr>
  </w:style>
  <w:style w:type="paragraph" w:styleId="Revision">
    <w:name w:val="Revision"/>
    <w:hidden/>
    <w:uiPriority w:val="99"/>
    <w:semiHidden/>
    <w:rsid w:val="00982095"/>
  </w:style>
  <w:style w:type="character" w:styleId="Hyperlink">
    <w:name w:val="Hyperlink"/>
    <w:basedOn w:val="DefaultParagraphFont"/>
    <w:uiPriority w:val="99"/>
    <w:rsid w:val="00404071"/>
    <w:rPr>
      <w:rFonts w:cs="Times New Roman"/>
      <w:color w:val="0000FF"/>
      <w:u w:val="single"/>
    </w:rPr>
  </w:style>
  <w:style w:type="table" w:styleId="TableGrid">
    <w:name w:val="Table Grid"/>
    <w:basedOn w:val="TableNormal"/>
    <w:uiPriority w:val="99"/>
    <w:rsid w:val="00DA31C4"/>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99"/>
    <w:qFormat/>
    <w:rsid w:val="00FC600C"/>
    <w:rPr>
      <w:rFonts w:cs="Times New Roman"/>
      <w:b/>
      <w:bCs/>
    </w:rPr>
  </w:style>
  <w:style w:type="character" w:styleId="FollowedHyperlink">
    <w:name w:val="FollowedHyperlink"/>
    <w:basedOn w:val="DefaultParagraphFont"/>
    <w:uiPriority w:val="99"/>
    <w:semiHidden/>
    <w:rsid w:val="00EA5D4E"/>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divs>
    <w:div w:id="88477253">
      <w:marLeft w:val="0"/>
      <w:marRight w:val="0"/>
      <w:marTop w:val="0"/>
      <w:marBottom w:val="0"/>
      <w:divBdr>
        <w:top w:val="none" w:sz="0" w:space="0" w:color="auto"/>
        <w:left w:val="none" w:sz="0" w:space="0" w:color="auto"/>
        <w:bottom w:val="none" w:sz="0" w:space="0" w:color="auto"/>
        <w:right w:val="none" w:sz="0" w:space="0" w:color="auto"/>
      </w:divBdr>
    </w:div>
    <w:div w:id="88477254">
      <w:marLeft w:val="0"/>
      <w:marRight w:val="0"/>
      <w:marTop w:val="0"/>
      <w:marBottom w:val="0"/>
      <w:divBdr>
        <w:top w:val="none" w:sz="0" w:space="0" w:color="auto"/>
        <w:left w:val="none" w:sz="0" w:space="0" w:color="auto"/>
        <w:bottom w:val="none" w:sz="0" w:space="0" w:color="auto"/>
        <w:right w:val="none" w:sz="0" w:space="0" w:color="auto"/>
      </w:divBdr>
    </w:div>
    <w:div w:id="88477255">
      <w:marLeft w:val="0"/>
      <w:marRight w:val="0"/>
      <w:marTop w:val="0"/>
      <w:marBottom w:val="0"/>
      <w:divBdr>
        <w:top w:val="none" w:sz="0" w:space="0" w:color="auto"/>
        <w:left w:val="none" w:sz="0" w:space="0" w:color="auto"/>
        <w:bottom w:val="none" w:sz="0" w:space="0" w:color="auto"/>
        <w:right w:val="none" w:sz="0" w:space="0" w:color="auto"/>
      </w:divBdr>
    </w:div>
    <w:div w:id="88477256">
      <w:marLeft w:val="0"/>
      <w:marRight w:val="0"/>
      <w:marTop w:val="0"/>
      <w:marBottom w:val="0"/>
      <w:divBdr>
        <w:top w:val="none" w:sz="0" w:space="0" w:color="auto"/>
        <w:left w:val="none" w:sz="0" w:space="0" w:color="auto"/>
        <w:bottom w:val="none" w:sz="0" w:space="0" w:color="auto"/>
        <w:right w:val="none" w:sz="0" w:space="0" w:color="auto"/>
      </w:divBdr>
    </w:div>
    <w:div w:id="88477257">
      <w:marLeft w:val="0"/>
      <w:marRight w:val="0"/>
      <w:marTop w:val="0"/>
      <w:marBottom w:val="0"/>
      <w:divBdr>
        <w:top w:val="none" w:sz="0" w:space="0" w:color="auto"/>
        <w:left w:val="none" w:sz="0" w:space="0" w:color="auto"/>
        <w:bottom w:val="none" w:sz="0" w:space="0" w:color="auto"/>
        <w:right w:val="none" w:sz="0" w:space="0" w:color="auto"/>
      </w:divBdr>
    </w:div>
    <w:div w:id="88477258">
      <w:marLeft w:val="0"/>
      <w:marRight w:val="0"/>
      <w:marTop w:val="0"/>
      <w:marBottom w:val="0"/>
      <w:divBdr>
        <w:top w:val="none" w:sz="0" w:space="0" w:color="auto"/>
        <w:left w:val="none" w:sz="0" w:space="0" w:color="auto"/>
        <w:bottom w:val="none" w:sz="0" w:space="0" w:color="auto"/>
        <w:right w:val="none" w:sz="0" w:space="0" w:color="auto"/>
      </w:divBdr>
    </w:div>
    <w:div w:id="884772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ederlof@maya.com" TargetMode="External"/><Relationship Id="rId3" Type="http://schemas.openxmlformats.org/officeDocument/2006/relationships/settings" Target="settings.xml"/><Relationship Id="rId7" Type="http://schemas.openxmlformats.org/officeDocument/2006/relationships/hyperlink" Target="mailto:ferchak@maya.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jsweeney@forrester.com" TargetMode="External"/><Relationship Id="rId4" Type="http://schemas.openxmlformats.org/officeDocument/2006/relationships/webSettings" Target="webSettings.xml"/><Relationship Id="rId9" Type="http://schemas.openxmlformats.org/officeDocument/2006/relationships/hyperlink" Target="mailto:Ben_kim-gervey@definitiveinsight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TotalTime>
  <Pages>6</Pages>
  <Words>1875</Words>
  <Characters>10692</Characters>
  <Application>Microsoft Office Outlook</Application>
  <DocSecurity>0</DocSecurity>
  <Lines>0</Lines>
  <Paragraphs>0</Paragraphs>
  <ScaleCrop>false</ScaleCrop>
  <Company>EOP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Generic Information Collection Submissions for </dc:title>
  <dc:subject/>
  <dc:creator>Mar_S</dc:creator>
  <cp:keywords/>
  <dc:description/>
  <cp:lastModifiedBy>mdsloa00</cp:lastModifiedBy>
  <cp:revision>3</cp:revision>
  <cp:lastPrinted>2012-05-22T13:55:00Z</cp:lastPrinted>
  <dcterms:created xsi:type="dcterms:W3CDTF">2012-05-21T20:22:00Z</dcterms:created>
  <dcterms:modified xsi:type="dcterms:W3CDTF">2012-05-22T13:57:00Z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