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Supporting Statement</w:t>
      </w:r>
    </w:p>
    <w:p w:rsidR="00E303E2" w:rsidRPr="002D2CB6" w:rsidRDefault="00E303E2" w:rsidP="00E26F73">
      <w:pPr>
        <w:spacing w:after="0" w:line="240" w:lineRule="auto"/>
        <w:jc w:val="center"/>
        <w:rPr>
          <w:rFonts w:ascii="Arial" w:hAnsi="Arial" w:cs="Arial"/>
          <w:b/>
          <w:sz w:val="24"/>
          <w:szCs w:val="24"/>
        </w:rPr>
      </w:pPr>
      <w:r w:rsidRPr="002D2CB6">
        <w:rPr>
          <w:rFonts w:ascii="Arial" w:hAnsi="Arial" w:cs="Arial"/>
          <w:b/>
          <w:sz w:val="24"/>
          <w:szCs w:val="24"/>
        </w:rPr>
        <w:t xml:space="preserve">Approval Request to Conduct Focus Group Research </w:t>
      </w:r>
    </w:p>
    <w:p w:rsidR="00E303E2" w:rsidRPr="002D2CB6" w:rsidRDefault="00E303E2" w:rsidP="00E26F73">
      <w:pPr>
        <w:spacing w:after="0" w:line="240" w:lineRule="auto"/>
        <w:ind w:firstLine="720"/>
        <w:rPr>
          <w:rFonts w:ascii="Arial" w:hAnsi="Arial" w:cs="Arial"/>
          <w:b/>
          <w:sz w:val="24"/>
          <w:szCs w:val="24"/>
        </w:rPr>
      </w:pPr>
      <w:r w:rsidRPr="002D2CB6">
        <w:rPr>
          <w:rFonts w:ascii="Arial" w:hAnsi="Arial" w:cs="Arial"/>
          <w:b/>
          <w:sz w:val="24"/>
          <w:szCs w:val="24"/>
        </w:rPr>
        <w:t xml:space="preserve">                                                  (OMB #1545-1349) </w:t>
      </w:r>
    </w:p>
    <w:p w:rsidR="00E303E2" w:rsidRDefault="00E303E2">
      <w:pPr>
        <w:spacing w:after="0" w:line="240" w:lineRule="auto"/>
        <w:rPr>
          <w:rFonts w:ascii="Arial" w:hAnsi="Arial" w:cs="Arial"/>
          <w:sz w:val="24"/>
          <w:szCs w:val="24"/>
        </w:rPr>
      </w:pPr>
    </w:p>
    <w:p w:rsidR="00E303E2" w:rsidRPr="00CB1DDE" w:rsidRDefault="000D424A">
      <w:pPr>
        <w:spacing w:after="0" w:line="240" w:lineRule="auto"/>
        <w:rPr>
          <w:rFonts w:ascii="Arial" w:hAnsi="Arial" w:cs="Arial"/>
          <w:b/>
          <w:sz w:val="28"/>
          <w:szCs w:val="28"/>
        </w:rPr>
      </w:pPr>
      <w:r>
        <w:rPr>
          <w:rFonts w:ascii="Arial" w:hAnsi="Arial" w:cs="Arial"/>
          <w:b/>
          <w:sz w:val="28"/>
          <w:szCs w:val="28"/>
        </w:rPr>
        <w:t xml:space="preserve">2012 </w:t>
      </w:r>
      <w:r w:rsidR="00B34D82">
        <w:rPr>
          <w:rFonts w:ascii="Arial" w:hAnsi="Arial" w:cs="Arial"/>
          <w:b/>
          <w:sz w:val="28"/>
          <w:szCs w:val="28"/>
        </w:rPr>
        <w:t xml:space="preserve">Filing, </w:t>
      </w:r>
      <w:proofErr w:type="gramStart"/>
      <w:r w:rsidR="00B34D82">
        <w:rPr>
          <w:rFonts w:ascii="Arial" w:hAnsi="Arial" w:cs="Arial"/>
          <w:b/>
          <w:sz w:val="28"/>
          <w:szCs w:val="28"/>
        </w:rPr>
        <w:t xml:space="preserve">Payment  </w:t>
      </w:r>
      <w:r w:rsidR="000C1D16">
        <w:rPr>
          <w:rFonts w:ascii="Arial" w:hAnsi="Arial" w:cs="Arial"/>
          <w:b/>
          <w:sz w:val="28"/>
          <w:szCs w:val="28"/>
        </w:rPr>
        <w:t>a</w:t>
      </w:r>
      <w:r w:rsidR="00B34D82">
        <w:rPr>
          <w:rFonts w:ascii="Arial" w:hAnsi="Arial" w:cs="Arial"/>
          <w:b/>
          <w:sz w:val="28"/>
          <w:szCs w:val="28"/>
        </w:rPr>
        <w:t>nd</w:t>
      </w:r>
      <w:proofErr w:type="gramEnd"/>
      <w:r w:rsidR="00B34D82">
        <w:rPr>
          <w:rFonts w:ascii="Arial" w:hAnsi="Arial" w:cs="Arial"/>
          <w:b/>
          <w:sz w:val="28"/>
          <w:szCs w:val="28"/>
        </w:rPr>
        <w:t xml:space="preserve"> </w:t>
      </w:r>
      <w:r>
        <w:rPr>
          <w:rFonts w:ascii="Arial" w:hAnsi="Arial" w:cs="Arial"/>
          <w:b/>
          <w:sz w:val="28"/>
          <w:szCs w:val="28"/>
        </w:rPr>
        <w:t>Compliance Customer Satisfaction Surveys</w:t>
      </w:r>
    </w:p>
    <w:p w:rsidR="00E303E2" w:rsidRPr="002D2CB6" w:rsidRDefault="00B34D82">
      <w:pPr>
        <w:spacing w:after="0" w:line="240" w:lineRule="auto"/>
        <w:rPr>
          <w:rFonts w:ascii="Arial" w:hAnsi="Arial" w:cs="Arial"/>
          <w:sz w:val="24"/>
          <w:szCs w:val="24"/>
        </w:rPr>
      </w:pPr>
      <w:r w:rsidRPr="00655140">
        <w:rPr>
          <w:rFonts w:ascii="Arial" w:hAnsi="Arial" w:cs="Arial"/>
          <w:sz w:val="24"/>
          <w:szCs w:val="24"/>
          <w:highlight w:val="yellow"/>
        </w:rPr>
        <w:t>A</w:t>
      </w:r>
      <w:r w:rsidR="00547E81" w:rsidRPr="00655140">
        <w:rPr>
          <w:rFonts w:ascii="Arial" w:hAnsi="Arial" w:cs="Arial"/>
          <w:sz w:val="24"/>
          <w:szCs w:val="24"/>
          <w:highlight w:val="yellow"/>
        </w:rPr>
        <w:t xml:space="preserve">utomated </w:t>
      </w:r>
      <w:r w:rsidRPr="00655140">
        <w:rPr>
          <w:rFonts w:ascii="Arial" w:hAnsi="Arial" w:cs="Arial"/>
          <w:sz w:val="24"/>
          <w:szCs w:val="24"/>
          <w:highlight w:val="yellow"/>
        </w:rPr>
        <w:t>C</w:t>
      </w:r>
      <w:r w:rsidR="00547E81" w:rsidRPr="00655140">
        <w:rPr>
          <w:rFonts w:ascii="Arial" w:hAnsi="Arial" w:cs="Arial"/>
          <w:sz w:val="24"/>
          <w:szCs w:val="24"/>
          <w:highlight w:val="yellow"/>
        </w:rPr>
        <w:t xml:space="preserve">ollection System </w:t>
      </w:r>
      <w:r w:rsidRPr="00655140">
        <w:rPr>
          <w:rFonts w:ascii="Arial" w:hAnsi="Arial" w:cs="Arial"/>
          <w:sz w:val="24"/>
          <w:szCs w:val="24"/>
          <w:highlight w:val="yellow"/>
        </w:rPr>
        <w:t>S</w:t>
      </w:r>
      <w:r w:rsidR="00547E81" w:rsidRPr="00655140">
        <w:rPr>
          <w:rFonts w:ascii="Arial" w:hAnsi="Arial" w:cs="Arial"/>
          <w:sz w:val="24"/>
          <w:szCs w:val="24"/>
          <w:highlight w:val="yellow"/>
        </w:rPr>
        <w:t>upport</w:t>
      </w:r>
      <w:r w:rsidRPr="00655140">
        <w:rPr>
          <w:rFonts w:ascii="Arial" w:hAnsi="Arial" w:cs="Arial"/>
          <w:sz w:val="24"/>
          <w:szCs w:val="24"/>
          <w:highlight w:val="yellow"/>
        </w:rPr>
        <w:t>/C</w:t>
      </w:r>
      <w:r w:rsidR="00547E81" w:rsidRPr="00655140">
        <w:rPr>
          <w:rFonts w:ascii="Arial" w:hAnsi="Arial" w:cs="Arial"/>
          <w:sz w:val="24"/>
          <w:szCs w:val="24"/>
          <w:highlight w:val="yellow"/>
        </w:rPr>
        <w:t xml:space="preserve">ompliance Services Collection </w:t>
      </w:r>
      <w:r w:rsidRPr="00655140">
        <w:rPr>
          <w:rFonts w:ascii="Arial" w:hAnsi="Arial" w:cs="Arial"/>
          <w:sz w:val="24"/>
          <w:szCs w:val="24"/>
          <w:highlight w:val="yellow"/>
        </w:rPr>
        <w:t>O</w:t>
      </w:r>
      <w:r w:rsidR="00547E81" w:rsidRPr="00655140">
        <w:rPr>
          <w:rFonts w:ascii="Arial" w:hAnsi="Arial" w:cs="Arial"/>
          <w:sz w:val="24"/>
          <w:szCs w:val="24"/>
          <w:highlight w:val="yellow"/>
        </w:rPr>
        <w:t>peration</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1"/>
        </w:numPr>
        <w:spacing w:after="0" w:line="240" w:lineRule="auto"/>
        <w:ind w:left="0"/>
        <w:rPr>
          <w:rFonts w:ascii="Arial" w:hAnsi="Arial" w:cs="Arial"/>
          <w:b/>
          <w:sz w:val="24"/>
          <w:szCs w:val="24"/>
        </w:rPr>
      </w:pPr>
      <w:r w:rsidRPr="002D2CB6">
        <w:rPr>
          <w:rFonts w:ascii="Arial" w:hAnsi="Arial" w:cs="Arial"/>
          <w:b/>
          <w:sz w:val="24"/>
          <w:szCs w:val="24"/>
        </w:rPr>
        <w:t>JUSTIFICATION</w:t>
      </w:r>
    </w:p>
    <w:p w:rsidR="00E303E2" w:rsidRPr="002D2CB6" w:rsidRDefault="00E303E2">
      <w:pPr>
        <w:pStyle w:val="ListParagraph"/>
        <w:spacing w:after="0" w:line="240" w:lineRule="auto"/>
        <w:ind w:left="0"/>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Circumstances Making the Collection of Information Necessary</w:t>
      </w: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Executive Order 12862 directs Federal agencies to provide service to the public that matches or exceeds the best service available in the private sector. In order to work continuously to ensure that our programs are effective and meet our customers’ needs, we seek to obtain OMB approval.  </w:t>
      </w:r>
    </w:p>
    <w:p w:rsidR="00E303E2" w:rsidRPr="00E65EB7" w:rsidRDefault="00E303E2">
      <w:pPr>
        <w:spacing w:after="0" w:line="240" w:lineRule="auto"/>
        <w:rPr>
          <w:rFonts w:ascii="Arial" w:hAnsi="Arial" w:cs="Arial"/>
          <w:b/>
          <w:sz w:val="24"/>
          <w:szCs w:val="24"/>
        </w:rPr>
      </w:pPr>
    </w:p>
    <w:p w:rsidR="00E303E2" w:rsidRPr="00E65EB7" w:rsidRDefault="00E303E2">
      <w:pPr>
        <w:spacing w:after="0" w:line="240" w:lineRule="auto"/>
        <w:rPr>
          <w:rFonts w:ascii="Arial" w:hAnsi="Arial" w:cs="Arial"/>
          <w:sz w:val="24"/>
          <w:szCs w:val="24"/>
        </w:rPr>
      </w:pPr>
      <w:r w:rsidRPr="00E65EB7">
        <w:rPr>
          <w:rFonts w:ascii="Arial" w:hAnsi="Arial" w:cs="Arial"/>
          <w:sz w:val="24"/>
          <w:szCs w:val="24"/>
        </w:rPr>
        <w:t xml:space="preserve">This collection of information is necessary to enable </w:t>
      </w:r>
      <w:proofErr w:type="gramStart"/>
      <w:r w:rsidRPr="00E65EB7">
        <w:rPr>
          <w:rFonts w:ascii="Arial" w:hAnsi="Arial" w:cs="Arial"/>
          <w:sz w:val="24"/>
          <w:szCs w:val="24"/>
        </w:rPr>
        <w:t>W&amp;I</w:t>
      </w:r>
      <w:proofErr w:type="gramEnd"/>
      <w:r w:rsidRPr="00E65EB7">
        <w:rPr>
          <w:rFonts w:ascii="Arial" w:hAnsi="Arial" w:cs="Arial"/>
          <w:sz w:val="24"/>
          <w:szCs w:val="24"/>
        </w:rPr>
        <w:t xml:space="preserve"> to garner customer feedback in an efficient, timely manner, in accordance with our commitment to improving service delivery.  The information collected from our customers and stakeholders will help ensure that users have an effective, efficient, and satisfying experience with the W&amp;</w:t>
      </w:r>
      <w:proofErr w:type="gramStart"/>
      <w:r w:rsidRPr="00E65EB7">
        <w:rPr>
          <w:rFonts w:ascii="Arial" w:hAnsi="Arial" w:cs="Arial"/>
          <w:sz w:val="24"/>
          <w:szCs w:val="24"/>
        </w:rPr>
        <w:t>I’s</w:t>
      </w:r>
      <w:proofErr w:type="gramEnd"/>
      <w:r w:rsidRPr="00E65EB7">
        <w:rPr>
          <w:rFonts w:ascii="Arial" w:hAnsi="Arial" w:cs="Arial"/>
          <w:sz w:val="24"/>
          <w:szCs w:val="24"/>
        </w:rPr>
        <w:t xml:space="preserve"> customer service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IRS and its customers and stakeholders.  It will also allow feedback to contribute directly to the improvement of program management. </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 </w:t>
      </w:r>
    </w:p>
    <w:p w:rsidR="000D424A" w:rsidRPr="00ED4AA7" w:rsidRDefault="00E303E2" w:rsidP="002D2CB6">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Purpose and Use of the Information Collection</w:t>
      </w:r>
      <w:r w:rsidR="00ED4AA7" w:rsidRPr="00ED4AA7">
        <w:rPr>
          <w:rFonts w:ascii="Arial" w:hAnsi="Arial" w:cs="Arial"/>
          <w:sz w:val="24"/>
          <w:szCs w:val="24"/>
          <w:highlight w:val="yellow"/>
        </w:rPr>
        <w:t xml:space="preserve"> </w:t>
      </w:r>
    </w:p>
    <w:p w:rsidR="00ED4AA7" w:rsidRDefault="00ED4AA7" w:rsidP="002D2CB6">
      <w:pPr>
        <w:rPr>
          <w:rFonts w:ascii="Arial" w:hAnsi="Arial" w:cs="Arial"/>
          <w:sz w:val="24"/>
          <w:szCs w:val="24"/>
          <w:highlight w:val="yellow"/>
        </w:rPr>
      </w:pPr>
      <w:r w:rsidRPr="00ED4AA7">
        <w:rPr>
          <w:rFonts w:ascii="Arial" w:hAnsi="Arial" w:cs="Arial"/>
          <w:sz w:val="24"/>
          <w:szCs w:val="24"/>
        </w:rPr>
        <w:t>In 2009, W&amp;I Filing &amp; Payment Compliance formed a task force to assess their survey program.  The campuses were being held accountable for survey findings and recommendations that they did not have control over (i.e. notice clarity which is determined at the headquarters level); they were frustrated by the inability to react.  Although Filing &amp; Payment Compliance received the survey data, there was disparity between programs on the ability to use this data to tie into customer expectations, operational goals or improvement opportunities.  All of these surveys were program specific and updated solely with that program perspective versus Filing Payment Compliance as a whole.  This did not allow Filing &amp; Payment Compliance to share data across their programs.</w:t>
      </w:r>
    </w:p>
    <w:p w:rsidR="00ED4AA7" w:rsidRDefault="00ED4AA7" w:rsidP="002D2CB6">
      <w:pPr>
        <w:rPr>
          <w:rFonts w:ascii="Arial" w:hAnsi="Arial" w:cs="Arial"/>
          <w:sz w:val="24"/>
          <w:szCs w:val="24"/>
          <w:highlight w:val="yellow"/>
        </w:rPr>
      </w:pPr>
      <w:r>
        <w:rPr>
          <w:rFonts w:ascii="Arial" w:hAnsi="Arial" w:cs="Arial"/>
          <w:sz w:val="24"/>
          <w:szCs w:val="24"/>
        </w:rPr>
        <w:t>Th</w:t>
      </w:r>
      <w:r w:rsidRPr="00ED4AA7">
        <w:rPr>
          <w:rFonts w:ascii="Arial" w:hAnsi="Arial" w:cs="Arial"/>
          <w:sz w:val="24"/>
          <w:szCs w:val="24"/>
        </w:rPr>
        <w:t xml:space="preserve">e three programs belonging to Filing and Payment Compliance: Automated Collection System (ACS), Compliance Services Collection Operation (CSCO), ACS Support (ACSS). Filing &amp; Payment Compliance measures external customer satisfaction with its products and services to ensure these programs enhance taxpayer's abilities to understand and meet their obligations under Federal tax laws. Feedback from external </w:t>
      </w:r>
      <w:r w:rsidRPr="00ED4AA7">
        <w:rPr>
          <w:rFonts w:ascii="Arial" w:hAnsi="Arial" w:cs="Arial"/>
          <w:sz w:val="24"/>
          <w:szCs w:val="24"/>
        </w:rPr>
        <w:lastRenderedPageBreak/>
        <w:t>customer satisfaction surveys is critical for assessing the customer’s perception of our products and services and for helping the three program areas identify as early as possible, areas/processes that require intervention and</w:t>
      </w:r>
      <w:r>
        <w:rPr>
          <w:rFonts w:ascii="Arial" w:hAnsi="Arial" w:cs="Arial"/>
          <w:sz w:val="24"/>
          <w:szCs w:val="24"/>
        </w:rPr>
        <w:t xml:space="preserve"> improvement. </w:t>
      </w:r>
    </w:p>
    <w:p w:rsidR="000D424A" w:rsidRDefault="00ED4AA7" w:rsidP="000D424A">
      <w:pPr>
        <w:rPr>
          <w:rFonts w:ascii="Arial" w:hAnsi="Arial" w:cs="Arial"/>
          <w:sz w:val="24"/>
          <w:szCs w:val="24"/>
        </w:rPr>
      </w:pPr>
      <w:r w:rsidRPr="00ED4AA7">
        <w:rPr>
          <w:rFonts w:ascii="Arial" w:hAnsi="Arial" w:cs="Arial"/>
          <w:sz w:val="24"/>
          <w:szCs w:val="24"/>
        </w:rPr>
        <w:t>Using the recommendations from the joint SB/SE and W&amp;I task force and a recent assessment of the entire W&amp;I Customer Satisfaction Survey program, the Filing &amp; Payment Compliance surveys were redesigned in FY2011 to be consistent between programs. This was done to enable Filing &amp; Payment Compliance to concentrate on items that either the campuses have control over or the Headquarters office needs to drive</w:t>
      </w:r>
      <w:r>
        <w:rPr>
          <w:rFonts w:ascii="Arial" w:hAnsi="Arial" w:cs="Arial"/>
          <w:sz w:val="24"/>
          <w:szCs w:val="24"/>
        </w:rPr>
        <w:t xml:space="preserve"> program and process improvement.</w:t>
      </w:r>
      <w:r w:rsidR="00B34D82">
        <w:rPr>
          <w:rFonts w:ascii="Arial" w:hAnsi="Arial" w:cs="Arial"/>
          <w:b/>
          <w:sz w:val="24"/>
          <w:szCs w:val="24"/>
        </w:rPr>
        <w:t xml:space="preserve"> </w:t>
      </w: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Consideration Given to Information Technology</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Duplication of Information</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similar data are gathered or maintained by W&amp;I or are available from other sources known to W&amp;I.</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Reducing the Burden on Small Entities</w:t>
      </w:r>
    </w:p>
    <w:p w:rsidR="00E303E2" w:rsidRPr="002D2CB6" w:rsidRDefault="000D424A">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A457DE" w:rsidRDefault="00E303E2">
      <w:pPr>
        <w:pStyle w:val="ListParagraph"/>
        <w:numPr>
          <w:ilvl w:val="0"/>
          <w:numId w:val="2"/>
        </w:numPr>
        <w:spacing w:after="0" w:line="240" w:lineRule="auto"/>
        <w:ind w:left="0"/>
        <w:rPr>
          <w:rFonts w:ascii="Arial" w:hAnsi="Arial" w:cs="Arial"/>
          <w:b/>
          <w:sz w:val="24"/>
          <w:szCs w:val="24"/>
        </w:rPr>
      </w:pPr>
      <w:r w:rsidRPr="00A457DE">
        <w:rPr>
          <w:rFonts w:ascii="Arial" w:hAnsi="Arial" w:cs="Arial"/>
          <w:b/>
          <w:sz w:val="24"/>
          <w:szCs w:val="24"/>
        </w:rPr>
        <w:t xml:space="preserve">Consequences of Not Conducting Collection </w:t>
      </w:r>
    </w:p>
    <w:p w:rsidR="00E303E2" w:rsidRPr="002D2CB6" w:rsidRDefault="00E303E2">
      <w:pPr>
        <w:spacing w:after="0" w:line="240" w:lineRule="auto"/>
        <w:rPr>
          <w:rFonts w:ascii="Arial" w:hAnsi="Arial" w:cs="Arial"/>
          <w:sz w:val="24"/>
          <w:szCs w:val="24"/>
        </w:rPr>
      </w:pPr>
      <w:r w:rsidRPr="00A457DE">
        <w:rPr>
          <w:rFonts w:ascii="Arial" w:hAnsi="Arial" w:cs="Arial"/>
          <w:sz w:val="24"/>
          <w:szCs w:val="24"/>
        </w:rPr>
        <w:t xml:space="preserve">Without these types of feedback, W&amp;I </w:t>
      </w:r>
      <w:r w:rsidR="00B34D82">
        <w:rPr>
          <w:rFonts w:ascii="Arial" w:hAnsi="Arial" w:cs="Arial"/>
          <w:sz w:val="24"/>
          <w:szCs w:val="24"/>
        </w:rPr>
        <w:t xml:space="preserve">Filing, Payment &amp; </w:t>
      </w:r>
      <w:r w:rsidR="000D424A" w:rsidRPr="00A457DE">
        <w:rPr>
          <w:rFonts w:ascii="Arial" w:hAnsi="Arial" w:cs="Arial"/>
          <w:sz w:val="24"/>
          <w:szCs w:val="24"/>
        </w:rPr>
        <w:t>Compliance would</w:t>
      </w:r>
      <w:r w:rsidRPr="00A457DE">
        <w:rPr>
          <w:rFonts w:ascii="Arial" w:hAnsi="Arial" w:cs="Arial"/>
          <w:sz w:val="24"/>
          <w:szCs w:val="24"/>
        </w:rPr>
        <w:t xml:space="preserve"> not have information to adjust its services to meet individual taxpayer needs.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Special Circumstances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There are no special circumstances. The information collected will be voluntary and will not be used for statistical purposes.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Consultations with Persons Outside W&amp;I </w:t>
      </w:r>
      <w:r>
        <w:rPr>
          <w:rFonts w:ascii="Arial" w:hAnsi="Arial" w:cs="Arial"/>
          <w:b/>
          <w:sz w:val="24"/>
          <w:szCs w:val="24"/>
        </w:rPr>
        <w:t>ACS</w:t>
      </w:r>
    </w:p>
    <w:p w:rsidR="00E303E2" w:rsidRPr="002D2CB6" w:rsidRDefault="000D424A" w:rsidP="00CB4F67">
      <w:pPr>
        <w:spacing w:after="0" w:line="240" w:lineRule="auto"/>
        <w:rPr>
          <w:rFonts w:ascii="Arial" w:hAnsi="Arial" w:cs="Arial"/>
          <w:sz w:val="24"/>
          <w:szCs w:val="24"/>
        </w:rPr>
      </w:pPr>
      <w:r>
        <w:rPr>
          <w:rFonts w:ascii="Arial" w:hAnsi="Arial" w:cs="Arial"/>
          <w:sz w:val="24"/>
          <w:szCs w:val="24"/>
        </w:rPr>
        <w:t>Not applicable</w:t>
      </w:r>
    </w:p>
    <w:p w:rsidR="00E303E2" w:rsidRPr="002D2CB6" w:rsidRDefault="00E303E2">
      <w:pPr>
        <w:spacing w:after="0" w:line="240" w:lineRule="auto"/>
        <w:rPr>
          <w:rFonts w:ascii="Arial" w:hAnsi="Arial" w:cs="Arial"/>
          <w:sz w:val="24"/>
          <w:szCs w:val="24"/>
        </w:rPr>
      </w:pPr>
    </w:p>
    <w:p w:rsidR="00E303E2" w:rsidRPr="000D424A" w:rsidRDefault="00E303E2" w:rsidP="000D424A">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Payment or Gift</w:t>
      </w:r>
    </w:p>
    <w:p w:rsidR="00E24EAC" w:rsidRPr="002D2CB6" w:rsidRDefault="00E24EAC" w:rsidP="00E24EAC">
      <w:pPr>
        <w:spacing w:after="0" w:line="240" w:lineRule="auto"/>
        <w:rPr>
          <w:rFonts w:ascii="Arial" w:hAnsi="Arial" w:cs="Arial"/>
          <w:sz w:val="24"/>
          <w:szCs w:val="24"/>
        </w:rPr>
      </w:pPr>
      <w:r w:rsidRPr="002D2CB6">
        <w:rPr>
          <w:rFonts w:ascii="Arial" w:hAnsi="Arial" w:cs="Arial"/>
          <w:sz w:val="24"/>
          <w:szCs w:val="24"/>
        </w:rPr>
        <w:t xml:space="preserve">W&amp;I </w:t>
      </w:r>
      <w:r w:rsidR="00756700">
        <w:rPr>
          <w:rFonts w:ascii="Arial" w:hAnsi="Arial" w:cs="Arial"/>
          <w:sz w:val="24"/>
          <w:szCs w:val="24"/>
        </w:rPr>
        <w:t>plan to provide a stipend of $4</w:t>
      </w:r>
      <w:r w:rsidRPr="002D2CB6">
        <w:rPr>
          <w:rFonts w:ascii="Arial" w:hAnsi="Arial" w:cs="Arial"/>
          <w:sz w:val="24"/>
          <w:szCs w:val="24"/>
        </w:rPr>
        <w:t xml:space="preserve">0 per participant, an industry-standard amount for participating in this form of research. </w:t>
      </w:r>
    </w:p>
    <w:p w:rsidR="00E24EAC" w:rsidRDefault="00E24EAC">
      <w:pPr>
        <w:spacing w:after="0" w:line="240" w:lineRule="auto"/>
        <w:rPr>
          <w:rFonts w:ascii="Arial" w:hAnsi="Arial" w:cs="Arial"/>
          <w:sz w:val="24"/>
          <w:szCs w:val="24"/>
        </w:rPr>
      </w:pPr>
    </w:p>
    <w:p w:rsidR="00E303E2" w:rsidRPr="00F20561"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 xml:space="preserve"> </w:t>
      </w:r>
      <w:r w:rsidRPr="00F20561">
        <w:rPr>
          <w:rFonts w:ascii="Arial" w:hAnsi="Arial" w:cs="Arial"/>
          <w:b/>
          <w:sz w:val="24"/>
          <w:szCs w:val="24"/>
        </w:rPr>
        <w:t xml:space="preserve">Confidentiality </w:t>
      </w:r>
    </w:p>
    <w:p w:rsidR="00E303E2" w:rsidRPr="002D2CB6" w:rsidRDefault="00E303E2" w:rsidP="00122C6A">
      <w:pPr>
        <w:spacing w:after="0" w:line="240" w:lineRule="auto"/>
        <w:rPr>
          <w:rFonts w:ascii="Arial" w:hAnsi="Arial" w:cs="Arial"/>
          <w:sz w:val="24"/>
          <w:szCs w:val="24"/>
        </w:rPr>
      </w:pPr>
      <w:r w:rsidRPr="002D2CB6">
        <w:rPr>
          <w:rFonts w:ascii="Arial" w:hAnsi="Arial" w:cs="Arial"/>
          <w:sz w:val="24"/>
          <w:szCs w:val="24"/>
        </w:rPr>
        <w:t xml:space="preserve">No PII will be collected during the focus groups.  Moderator will indicate that no names will be used in the final report.  Also, the data returned to IRS will have no identifying information relating specific records to individual taxpayers. Nonetheless, IRS will </w:t>
      </w:r>
      <w:r w:rsidRPr="00A457DE">
        <w:rPr>
          <w:rFonts w:ascii="Arial" w:hAnsi="Arial" w:cs="Arial"/>
          <w:sz w:val="24"/>
          <w:szCs w:val="24"/>
        </w:rPr>
        <w:t>ensure that privacy to extent allowed by law and security of the aggregated results will</w:t>
      </w:r>
      <w:r w:rsidRPr="002D2CB6">
        <w:rPr>
          <w:rFonts w:ascii="Arial" w:hAnsi="Arial" w:cs="Arial"/>
          <w:sz w:val="24"/>
          <w:szCs w:val="24"/>
        </w:rPr>
        <w:t xml:space="preserve"> receive the utmost attention. Public and official access to the information will be tightly controlled. The computer files containing this tabulated information will remain password protected at all times. Data security approaching level C-2 will be accomplished using the Windows XP operating system.  </w:t>
      </w:r>
      <w:r w:rsidR="00EA3325">
        <w:rPr>
          <w:rFonts w:ascii="Arial" w:hAnsi="Arial" w:cs="Arial"/>
          <w:sz w:val="24"/>
          <w:szCs w:val="24"/>
        </w:rPr>
        <w:t>Digital audio files</w:t>
      </w:r>
      <w:r w:rsidRPr="002D2CB6">
        <w:rPr>
          <w:rFonts w:ascii="Arial" w:hAnsi="Arial" w:cs="Arial"/>
          <w:sz w:val="24"/>
          <w:szCs w:val="24"/>
        </w:rPr>
        <w:t xml:space="preserve"> used to </w:t>
      </w:r>
      <w:r w:rsidR="00EA3325">
        <w:rPr>
          <w:rFonts w:ascii="Arial" w:hAnsi="Arial" w:cs="Arial"/>
          <w:sz w:val="24"/>
          <w:szCs w:val="24"/>
        </w:rPr>
        <w:t>capture the</w:t>
      </w:r>
      <w:r w:rsidRPr="002D2CB6">
        <w:rPr>
          <w:rFonts w:ascii="Arial" w:hAnsi="Arial" w:cs="Arial"/>
          <w:sz w:val="24"/>
          <w:szCs w:val="24"/>
        </w:rPr>
        <w:t xml:space="preserve"> testing sessions will be destroyed when the project is completed and there is no further need </w:t>
      </w:r>
      <w:r w:rsidRPr="002D2CB6">
        <w:rPr>
          <w:rFonts w:ascii="Arial" w:hAnsi="Arial" w:cs="Arial"/>
          <w:sz w:val="24"/>
          <w:szCs w:val="24"/>
        </w:rPr>
        <w:lastRenderedPageBreak/>
        <w:t xml:space="preserve">for the data. We will apply fair information and record-keeping practices to ensure protection of all taxpayers. The criterion for disclosure laid out in the Privacy Act, the Freedom of Information Act, and section 6103 of the Internal Revenue Code, provides for the protection of taxpayer information as well as its release to authorized recipients.     </w:t>
      </w:r>
    </w:p>
    <w:p w:rsidR="00E303E2" w:rsidRPr="002D2CB6" w:rsidRDefault="00E303E2" w:rsidP="00122C6A">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Sensitive Nature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No questions will be asked that are of a personal or sensitive nature.</w:t>
      </w:r>
    </w:p>
    <w:p w:rsidR="00E303E2" w:rsidRPr="002D2CB6" w:rsidRDefault="00E303E2">
      <w:pPr>
        <w:spacing w:after="0" w:line="240" w:lineRule="auto"/>
        <w:rPr>
          <w:rFonts w:ascii="Arial" w:hAnsi="Arial" w:cs="Arial"/>
          <w:sz w:val="24"/>
          <w:szCs w:val="24"/>
        </w:rPr>
      </w:pPr>
    </w:p>
    <w:p w:rsidR="00E303E2" w:rsidRPr="0041756C" w:rsidRDefault="00E303E2">
      <w:pPr>
        <w:pStyle w:val="ListParagraph"/>
        <w:numPr>
          <w:ilvl w:val="0"/>
          <w:numId w:val="2"/>
        </w:numPr>
        <w:spacing w:after="0" w:line="240" w:lineRule="auto"/>
        <w:ind w:left="0"/>
        <w:rPr>
          <w:rFonts w:ascii="Arial" w:hAnsi="Arial" w:cs="Arial"/>
          <w:b/>
          <w:sz w:val="24"/>
          <w:szCs w:val="24"/>
        </w:rPr>
      </w:pPr>
      <w:r w:rsidRPr="0041756C">
        <w:rPr>
          <w:rFonts w:ascii="Arial" w:hAnsi="Arial" w:cs="Arial"/>
          <w:b/>
          <w:sz w:val="24"/>
          <w:szCs w:val="24"/>
        </w:rPr>
        <w:t>Burden of Information Collection</w:t>
      </w:r>
    </w:p>
    <w:p w:rsidR="0042398E" w:rsidRPr="0041756C" w:rsidRDefault="0041756C" w:rsidP="0042398E">
      <w:pPr>
        <w:rPr>
          <w:rFonts w:ascii="Arial" w:hAnsi="Arial" w:cs="Arial"/>
          <w:sz w:val="24"/>
          <w:szCs w:val="24"/>
        </w:rPr>
      </w:pPr>
      <w:r>
        <w:rPr>
          <w:rFonts w:ascii="Arial" w:hAnsi="Arial" w:cs="Arial"/>
          <w:sz w:val="24"/>
          <w:szCs w:val="24"/>
        </w:rPr>
        <w:t xml:space="preserve">The recruitment phase will take approximately 5 minutes per participant and 2 minutes for those not interested in participating. From prior experience, we estimate contacting </w:t>
      </w:r>
      <w:r w:rsidRPr="0042398E">
        <w:rPr>
          <w:rFonts w:ascii="Arial" w:hAnsi="Arial" w:cs="Arial"/>
          <w:sz w:val="24"/>
          <w:szCs w:val="24"/>
          <w:highlight w:val="yellow"/>
        </w:rPr>
        <w:t>216 individuals to recruit 54 taxpayers (</w:t>
      </w:r>
      <w:r w:rsidR="00B56F7C">
        <w:rPr>
          <w:rFonts w:ascii="Arial" w:hAnsi="Arial" w:cs="Arial"/>
          <w:sz w:val="24"/>
          <w:szCs w:val="24"/>
          <w:highlight w:val="yellow"/>
        </w:rPr>
        <w:t>7</w:t>
      </w:r>
      <w:r w:rsidRPr="0042398E">
        <w:rPr>
          <w:rFonts w:ascii="Arial" w:hAnsi="Arial" w:cs="Arial"/>
          <w:sz w:val="24"/>
          <w:szCs w:val="24"/>
          <w:highlight w:val="yellow"/>
        </w:rPr>
        <w:t xml:space="preserve"> per group). The response rate is estimated</w:t>
      </w:r>
      <w:r w:rsidR="001C1492" w:rsidRPr="0042398E">
        <w:rPr>
          <w:rFonts w:ascii="Arial" w:hAnsi="Arial" w:cs="Arial"/>
          <w:sz w:val="24"/>
          <w:szCs w:val="24"/>
          <w:highlight w:val="yellow"/>
        </w:rPr>
        <w:t xml:space="preserve"> at</w:t>
      </w:r>
      <w:r w:rsidR="001C1492">
        <w:rPr>
          <w:rFonts w:ascii="Arial" w:hAnsi="Arial" w:cs="Arial"/>
          <w:sz w:val="24"/>
          <w:szCs w:val="24"/>
        </w:rPr>
        <w:t xml:space="preserve"> </w:t>
      </w:r>
      <w:r w:rsidR="001C1492" w:rsidRPr="0042398E">
        <w:rPr>
          <w:rFonts w:ascii="Arial" w:hAnsi="Arial" w:cs="Arial"/>
          <w:sz w:val="24"/>
          <w:szCs w:val="24"/>
          <w:highlight w:val="yellow"/>
        </w:rPr>
        <w:t>25%.</w:t>
      </w:r>
      <w:r w:rsidR="00B56F7C">
        <w:rPr>
          <w:rFonts w:ascii="Arial" w:hAnsi="Arial" w:cs="Arial"/>
          <w:sz w:val="24"/>
          <w:szCs w:val="24"/>
        </w:rPr>
        <w:t xml:space="preserve">  </w:t>
      </w:r>
      <w:r w:rsidR="0042398E" w:rsidRPr="0042398E">
        <w:rPr>
          <w:rFonts w:ascii="Arial" w:hAnsi="Arial" w:cs="Arial"/>
          <w:sz w:val="24"/>
          <w:szCs w:val="24"/>
          <w:highlight w:val="yellow"/>
        </w:rPr>
        <w:t xml:space="preserve">Six focus groups – three for ACSS and 3 for </w:t>
      </w:r>
      <w:proofErr w:type="gramStart"/>
      <w:r w:rsidR="0042398E" w:rsidRPr="0042398E">
        <w:rPr>
          <w:rFonts w:ascii="Arial" w:hAnsi="Arial" w:cs="Arial"/>
          <w:sz w:val="24"/>
          <w:szCs w:val="24"/>
          <w:highlight w:val="yellow"/>
        </w:rPr>
        <w:t>CSCO .</w:t>
      </w:r>
      <w:proofErr w:type="gramEnd"/>
      <w:r w:rsidR="0042398E">
        <w:rPr>
          <w:rFonts w:ascii="Arial" w:hAnsi="Arial" w:cs="Arial"/>
          <w:sz w:val="24"/>
          <w:szCs w:val="24"/>
          <w:highlight w:val="yellow"/>
        </w:rPr>
        <w:t xml:space="preserve"> </w:t>
      </w:r>
      <w:r w:rsidR="0042398E" w:rsidRPr="0042398E">
        <w:rPr>
          <w:rFonts w:ascii="Arial" w:hAnsi="Arial" w:cs="Arial"/>
          <w:sz w:val="24"/>
          <w:szCs w:val="24"/>
          <w:highlight w:val="yellow"/>
        </w:rPr>
        <w:t xml:space="preserve"> Each focus </w:t>
      </w:r>
      <w:r w:rsidR="00B56F7C">
        <w:rPr>
          <w:rFonts w:ascii="Arial" w:hAnsi="Arial" w:cs="Arial"/>
          <w:sz w:val="24"/>
          <w:szCs w:val="24"/>
          <w:highlight w:val="yellow"/>
        </w:rPr>
        <w:t xml:space="preserve">group will be limited to 7 </w:t>
      </w:r>
      <w:r w:rsidR="0042398E" w:rsidRPr="0042398E">
        <w:rPr>
          <w:rFonts w:ascii="Arial" w:hAnsi="Arial" w:cs="Arial"/>
          <w:sz w:val="24"/>
          <w:szCs w:val="24"/>
          <w:highlight w:val="yellow"/>
        </w:rPr>
        <w:t>participants and will be scheduled for 60 minutes.</w:t>
      </w:r>
    </w:p>
    <w:p w:rsidR="0041756C" w:rsidRDefault="0042398E" w:rsidP="0041756C">
      <w:r>
        <w:rPr>
          <w:rFonts w:ascii="Arial" w:hAnsi="Arial" w:cs="Arial"/>
          <w:sz w:val="24"/>
          <w:szCs w:val="24"/>
        </w:rPr>
        <w:t>Each of the six</w:t>
      </w:r>
      <w:r w:rsidR="0041756C">
        <w:rPr>
          <w:rFonts w:ascii="Arial" w:hAnsi="Arial" w:cs="Arial"/>
          <w:sz w:val="24"/>
          <w:szCs w:val="24"/>
        </w:rPr>
        <w:t xml:space="preserve"> focus groups will take place in the form of a one-hour conference call. Participants will dial a toll-free number at a designated date and time. The estimated burden for participants </w:t>
      </w:r>
      <w:r w:rsidR="00B56F7C">
        <w:rPr>
          <w:rFonts w:ascii="Arial" w:hAnsi="Arial" w:cs="Arial"/>
          <w:sz w:val="24"/>
          <w:szCs w:val="24"/>
        </w:rPr>
        <w:t xml:space="preserve">will be one hour x 42 taxpayers </w:t>
      </w:r>
      <w:r w:rsidR="0041756C" w:rsidRPr="00B56F7C">
        <w:rPr>
          <w:rFonts w:ascii="Arial" w:hAnsi="Arial" w:cs="Arial"/>
          <w:sz w:val="24"/>
          <w:szCs w:val="24"/>
          <w:highlight w:val="yellow"/>
        </w:rPr>
        <w:t>(</w:t>
      </w:r>
      <w:r w:rsidR="00B56F7C" w:rsidRPr="00B56F7C">
        <w:rPr>
          <w:rFonts w:ascii="Arial" w:hAnsi="Arial" w:cs="Arial"/>
          <w:sz w:val="24"/>
          <w:szCs w:val="24"/>
          <w:highlight w:val="yellow"/>
        </w:rPr>
        <w:t xml:space="preserve">We </w:t>
      </w:r>
      <w:r w:rsidR="0041756C" w:rsidRPr="00B56F7C">
        <w:rPr>
          <w:rFonts w:ascii="Arial" w:hAnsi="Arial" w:cs="Arial"/>
          <w:sz w:val="24"/>
          <w:szCs w:val="24"/>
          <w:highlight w:val="yellow"/>
        </w:rPr>
        <w:t xml:space="preserve">expect </w:t>
      </w:r>
      <w:r w:rsidR="00B56F7C" w:rsidRPr="00B56F7C">
        <w:rPr>
          <w:rFonts w:ascii="Arial" w:hAnsi="Arial" w:cs="Arial"/>
          <w:sz w:val="24"/>
          <w:szCs w:val="24"/>
          <w:highlight w:val="yellow"/>
        </w:rPr>
        <w:t xml:space="preserve">to recruit for 9 but </w:t>
      </w:r>
      <w:r w:rsidR="0041756C" w:rsidRPr="00B56F7C">
        <w:rPr>
          <w:rFonts w:ascii="Arial" w:hAnsi="Arial" w:cs="Arial"/>
          <w:sz w:val="24"/>
          <w:szCs w:val="24"/>
          <w:highlight w:val="yellow"/>
        </w:rPr>
        <w:t>7 to show per group).</w:t>
      </w:r>
      <w:bookmarkStart w:id="0" w:name="_GoBack"/>
      <w:bookmarkEnd w:id="0"/>
      <w:r w:rsidR="0041756C">
        <w:rPr>
          <w:rFonts w:ascii="Arial" w:hAnsi="Arial" w:cs="Arial"/>
        </w:rPr>
        <w:t xml:space="preserve"> </w:t>
      </w:r>
    </w:p>
    <w:tbl>
      <w:tblPr>
        <w:tblW w:w="7940" w:type="dxa"/>
        <w:tblInd w:w="-23" w:type="dxa"/>
        <w:tblCellMar>
          <w:left w:w="0" w:type="dxa"/>
          <w:right w:w="0" w:type="dxa"/>
        </w:tblCellMar>
        <w:tblLook w:val="04A0" w:firstRow="1" w:lastRow="0" w:firstColumn="1" w:lastColumn="0" w:noHBand="0" w:noVBand="1"/>
      </w:tblPr>
      <w:tblGrid>
        <w:gridCol w:w="3800"/>
        <w:gridCol w:w="1380"/>
        <w:gridCol w:w="1380"/>
        <w:gridCol w:w="1380"/>
      </w:tblGrid>
      <w:tr w:rsidR="0041756C" w:rsidTr="0041756C">
        <w:trPr>
          <w:trHeight w:val="900"/>
        </w:trPr>
        <w:tc>
          <w:tcPr>
            <w:tcW w:w="3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Type of Respondent</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Number of Respondents</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Participation Time (minutes)</w:t>
            </w:r>
          </w:p>
        </w:tc>
        <w:tc>
          <w:tcPr>
            <w:tcW w:w="13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756C" w:rsidRDefault="0041756C">
            <w:pPr>
              <w:spacing w:after="0" w:line="240" w:lineRule="auto"/>
              <w:rPr>
                <w:rFonts w:eastAsiaTheme="minorHAnsi" w:cs="Calibri"/>
                <w:color w:val="000000"/>
              </w:rPr>
            </w:pPr>
            <w:r>
              <w:rPr>
                <w:color w:val="000000"/>
              </w:rPr>
              <w:t>Burden (Hours)</w:t>
            </w:r>
          </w:p>
        </w:tc>
      </w:tr>
      <w:tr w:rsidR="0041756C" w:rsidTr="0041756C">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rPr>
                <w:rFonts w:eastAsiaTheme="minorHAnsi" w:cs="Calibri"/>
                <w:color w:val="000000"/>
              </w:rPr>
            </w:pPr>
            <w:r>
              <w:rPr>
                <w:color w:val="000000"/>
              </w:rPr>
              <w:t>Contacted and refused to participate</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162</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2</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5.4</w:t>
            </w:r>
          </w:p>
        </w:tc>
      </w:tr>
      <w:tr w:rsidR="0041756C" w:rsidTr="0041756C">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rPr>
                <w:rFonts w:eastAsiaTheme="minorHAnsi" w:cs="Calibri"/>
                <w:color w:val="000000"/>
              </w:rPr>
            </w:pPr>
            <w:r>
              <w:rPr>
                <w:color w:val="000000"/>
              </w:rPr>
              <w:t>Contacted and agreed to participate</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54</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5</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4.5</w:t>
            </w:r>
          </w:p>
        </w:tc>
      </w:tr>
      <w:tr w:rsidR="0041756C" w:rsidTr="0041756C">
        <w:trPr>
          <w:trHeight w:val="30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rPr>
                <w:rFonts w:eastAsiaTheme="minorHAnsi" w:cs="Calibri"/>
                <w:color w:val="000000"/>
              </w:rPr>
            </w:pPr>
            <w:r>
              <w:rPr>
                <w:color w:val="000000"/>
              </w:rPr>
              <w:t>Participate in focus group</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42</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60</w:t>
            </w: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41756C" w:rsidRDefault="0042398E">
            <w:pPr>
              <w:spacing w:after="0" w:line="240" w:lineRule="auto"/>
              <w:jc w:val="right"/>
              <w:rPr>
                <w:rFonts w:eastAsiaTheme="minorHAnsi" w:cs="Calibri"/>
                <w:color w:val="000000"/>
              </w:rPr>
            </w:pPr>
            <w:r>
              <w:rPr>
                <w:color w:val="000000"/>
              </w:rPr>
              <w:t>42</w:t>
            </w:r>
          </w:p>
        </w:tc>
      </w:tr>
      <w:tr w:rsidR="0041756C" w:rsidTr="0041756C">
        <w:trPr>
          <w:trHeight w:val="300"/>
        </w:trPr>
        <w:tc>
          <w:tcPr>
            <w:tcW w:w="380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41756C" w:rsidRDefault="0041756C">
            <w:pPr>
              <w:spacing w:after="0" w:line="240" w:lineRule="auto"/>
              <w:rPr>
                <w:rFonts w:eastAsiaTheme="minorHAnsi" w:cs="Calibri"/>
                <w:color w:val="000000"/>
              </w:rPr>
            </w:pPr>
            <w:r>
              <w:rPr>
                <w:color w:val="000000"/>
              </w:rPr>
              <w:t>TOTAL</w:t>
            </w:r>
          </w:p>
        </w:tc>
        <w:tc>
          <w:tcPr>
            <w:tcW w:w="1380" w:type="dxa"/>
            <w:tcBorders>
              <w:top w:val="nil"/>
              <w:left w:val="nil"/>
              <w:bottom w:val="nil"/>
              <w:right w:val="single" w:sz="8" w:space="0" w:color="auto"/>
            </w:tcBorders>
            <w:noWrap/>
            <w:tcMar>
              <w:top w:w="0" w:type="dxa"/>
              <w:left w:w="108" w:type="dxa"/>
              <w:bottom w:w="0" w:type="dxa"/>
              <w:right w:w="108" w:type="dxa"/>
            </w:tcMar>
            <w:vAlign w:val="bottom"/>
            <w:hideMark/>
          </w:tcPr>
          <w:p w:rsidR="0041756C" w:rsidRDefault="0041756C">
            <w:pPr>
              <w:spacing w:after="0" w:line="240" w:lineRule="auto"/>
              <w:rPr>
                <w:rFonts w:eastAsiaTheme="minorHAnsi" w:cs="Calibri"/>
                <w:color w:val="000000"/>
              </w:rPr>
            </w:pPr>
            <w:r>
              <w:rPr>
                <w:color w:val="000000"/>
              </w:rPr>
              <w:t> </w:t>
            </w:r>
          </w:p>
        </w:tc>
        <w:tc>
          <w:tcPr>
            <w:tcW w:w="1380" w:type="dxa"/>
            <w:tcBorders>
              <w:top w:val="nil"/>
              <w:left w:val="nil"/>
              <w:bottom w:val="nil"/>
              <w:right w:val="single" w:sz="8" w:space="0" w:color="auto"/>
            </w:tcBorders>
            <w:noWrap/>
            <w:tcMar>
              <w:top w:w="0" w:type="dxa"/>
              <w:left w:w="108" w:type="dxa"/>
              <w:bottom w:w="0" w:type="dxa"/>
              <w:right w:w="108" w:type="dxa"/>
            </w:tcMar>
            <w:vAlign w:val="bottom"/>
            <w:hideMark/>
          </w:tcPr>
          <w:p w:rsidR="0041756C" w:rsidRDefault="0041756C">
            <w:pPr>
              <w:spacing w:after="0" w:line="240" w:lineRule="auto"/>
              <w:rPr>
                <w:rFonts w:eastAsiaTheme="minorHAnsi" w:cs="Calibri"/>
                <w:color w:val="000000"/>
              </w:rPr>
            </w:pPr>
            <w:r>
              <w:rPr>
                <w:color w:val="000000"/>
              </w:rPr>
              <w:t> </w:t>
            </w:r>
          </w:p>
        </w:tc>
        <w:tc>
          <w:tcPr>
            <w:tcW w:w="1380" w:type="dxa"/>
            <w:tcBorders>
              <w:top w:val="nil"/>
              <w:left w:val="nil"/>
              <w:bottom w:val="nil"/>
              <w:right w:val="single" w:sz="8" w:space="0" w:color="auto"/>
            </w:tcBorders>
            <w:noWrap/>
            <w:tcMar>
              <w:top w:w="0" w:type="dxa"/>
              <w:left w:w="108" w:type="dxa"/>
              <w:bottom w:w="0" w:type="dxa"/>
              <w:right w:w="108" w:type="dxa"/>
            </w:tcMar>
            <w:vAlign w:val="bottom"/>
            <w:hideMark/>
          </w:tcPr>
          <w:p w:rsidR="0041756C" w:rsidRDefault="0041756C">
            <w:pPr>
              <w:spacing w:after="0" w:line="240" w:lineRule="auto"/>
              <w:jc w:val="right"/>
              <w:rPr>
                <w:rFonts w:eastAsiaTheme="minorHAnsi" w:cs="Calibri"/>
                <w:color w:val="000000"/>
              </w:rPr>
            </w:pPr>
            <w:r>
              <w:rPr>
                <w:color w:val="000000"/>
              </w:rPr>
              <w:t>51.9</w:t>
            </w:r>
          </w:p>
        </w:tc>
      </w:tr>
      <w:tr w:rsidR="0041756C" w:rsidTr="0041756C">
        <w:trPr>
          <w:trHeight w:val="300"/>
        </w:trPr>
        <w:tc>
          <w:tcPr>
            <w:tcW w:w="3800"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41756C" w:rsidRDefault="0041756C">
            <w:pPr>
              <w:spacing w:after="0" w:line="240" w:lineRule="auto"/>
              <w:rPr>
                <w:color w:val="000000"/>
              </w:rPr>
            </w:pPr>
          </w:p>
        </w:tc>
        <w:tc>
          <w:tcPr>
            <w:tcW w:w="1380" w:type="dxa"/>
            <w:tcBorders>
              <w:top w:val="nil"/>
              <w:left w:val="nil"/>
              <w:bottom w:val="nil"/>
              <w:right w:val="single" w:sz="8" w:space="0" w:color="auto"/>
            </w:tcBorders>
            <w:noWrap/>
            <w:tcMar>
              <w:top w:w="0" w:type="dxa"/>
              <w:left w:w="108" w:type="dxa"/>
              <w:bottom w:w="0" w:type="dxa"/>
              <w:right w:w="108" w:type="dxa"/>
            </w:tcMar>
            <w:vAlign w:val="bottom"/>
          </w:tcPr>
          <w:p w:rsidR="0041756C" w:rsidRDefault="0041756C">
            <w:pPr>
              <w:spacing w:after="0" w:line="240" w:lineRule="auto"/>
              <w:rPr>
                <w:color w:val="000000"/>
              </w:rPr>
            </w:pPr>
          </w:p>
        </w:tc>
        <w:tc>
          <w:tcPr>
            <w:tcW w:w="1380" w:type="dxa"/>
            <w:tcBorders>
              <w:top w:val="nil"/>
              <w:left w:val="nil"/>
              <w:bottom w:val="nil"/>
              <w:right w:val="single" w:sz="8" w:space="0" w:color="auto"/>
            </w:tcBorders>
            <w:noWrap/>
            <w:tcMar>
              <w:top w:w="0" w:type="dxa"/>
              <w:left w:w="108" w:type="dxa"/>
              <w:bottom w:w="0" w:type="dxa"/>
              <w:right w:w="108" w:type="dxa"/>
            </w:tcMar>
            <w:vAlign w:val="bottom"/>
          </w:tcPr>
          <w:p w:rsidR="0041756C" w:rsidRDefault="0041756C">
            <w:pPr>
              <w:spacing w:after="0" w:line="240" w:lineRule="auto"/>
              <w:rPr>
                <w:color w:val="000000"/>
              </w:rPr>
            </w:pPr>
          </w:p>
        </w:tc>
        <w:tc>
          <w:tcPr>
            <w:tcW w:w="1380" w:type="dxa"/>
            <w:tcBorders>
              <w:top w:val="nil"/>
              <w:left w:val="nil"/>
              <w:bottom w:val="nil"/>
              <w:right w:val="single" w:sz="8" w:space="0" w:color="auto"/>
            </w:tcBorders>
            <w:noWrap/>
            <w:tcMar>
              <w:top w:w="0" w:type="dxa"/>
              <w:left w:w="108" w:type="dxa"/>
              <w:bottom w:w="0" w:type="dxa"/>
              <w:right w:w="108" w:type="dxa"/>
            </w:tcMar>
            <w:vAlign w:val="bottom"/>
          </w:tcPr>
          <w:p w:rsidR="0041756C" w:rsidRDefault="0041756C">
            <w:pPr>
              <w:spacing w:after="0" w:line="240" w:lineRule="auto"/>
              <w:jc w:val="right"/>
              <w:rPr>
                <w:color w:val="000000"/>
              </w:rPr>
            </w:pPr>
          </w:p>
        </w:tc>
      </w:tr>
      <w:tr w:rsidR="0041756C" w:rsidTr="0041756C">
        <w:trPr>
          <w:trHeight w:val="80"/>
        </w:trPr>
        <w:tc>
          <w:tcPr>
            <w:tcW w:w="380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41756C" w:rsidRDefault="0041756C">
            <w:pPr>
              <w:spacing w:after="0" w:line="240" w:lineRule="auto"/>
              <w:rPr>
                <w:color w:val="000000"/>
              </w:rPr>
            </w:pP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756C" w:rsidRDefault="0041756C">
            <w:pPr>
              <w:spacing w:after="0" w:line="240" w:lineRule="auto"/>
              <w:rPr>
                <w:color w:val="000000"/>
              </w:rPr>
            </w:pP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756C" w:rsidRDefault="0041756C">
            <w:pPr>
              <w:spacing w:after="0" w:line="240" w:lineRule="auto"/>
              <w:rPr>
                <w:color w:val="000000"/>
              </w:rPr>
            </w:pPr>
          </w:p>
        </w:tc>
        <w:tc>
          <w:tcPr>
            <w:tcW w:w="138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41756C" w:rsidRDefault="0041756C">
            <w:pPr>
              <w:spacing w:after="0" w:line="240" w:lineRule="auto"/>
              <w:jc w:val="right"/>
              <w:rPr>
                <w:color w:val="000000"/>
              </w:rPr>
            </w:pPr>
          </w:p>
        </w:tc>
      </w:tr>
    </w:tbl>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Respondents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 xml:space="preserve">No costs are anticipated.  </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Costs to Federal Government</w:t>
      </w:r>
    </w:p>
    <w:p w:rsidR="00E303E2" w:rsidRPr="002D2CB6" w:rsidRDefault="00E303E2">
      <w:pPr>
        <w:pStyle w:val="ListParagraph"/>
        <w:spacing w:after="0" w:line="240" w:lineRule="auto"/>
        <w:ind w:left="0"/>
        <w:rPr>
          <w:rFonts w:ascii="Arial" w:hAnsi="Arial" w:cs="Arial"/>
          <w:sz w:val="24"/>
          <w:szCs w:val="24"/>
        </w:rPr>
      </w:pPr>
      <w:r w:rsidRPr="002D2CB6">
        <w:rPr>
          <w:rFonts w:ascii="Arial" w:hAnsi="Arial" w:cs="Arial"/>
          <w:sz w:val="24"/>
          <w:szCs w:val="24"/>
        </w:rPr>
        <w:t xml:space="preserve">The anticipated cost to the Federal </w:t>
      </w:r>
      <w:r w:rsidRPr="00B83AE5">
        <w:rPr>
          <w:rFonts w:ascii="Arial" w:hAnsi="Arial" w:cs="Arial"/>
          <w:sz w:val="24"/>
          <w:szCs w:val="24"/>
        </w:rPr>
        <w:t xml:space="preserve">Government is </w:t>
      </w:r>
      <w:r w:rsidR="00B83AE5" w:rsidRPr="00B83AE5">
        <w:rPr>
          <w:rFonts w:ascii="Arial" w:hAnsi="Arial" w:cs="Arial"/>
          <w:sz w:val="24"/>
          <w:szCs w:val="24"/>
        </w:rPr>
        <w:t>approximately $6,813.62</w:t>
      </w:r>
      <w:r w:rsidR="00B34D82" w:rsidRPr="00B83AE5">
        <w:rPr>
          <w:rFonts w:ascii="Arial" w:hAnsi="Arial" w:cs="Arial"/>
          <w:sz w:val="24"/>
          <w:szCs w:val="24"/>
        </w:rPr>
        <w:t xml:space="preserve"> </w:t>
      </w:r>
      <w:r w:rsidRPr="00B83AE5">
        <w:rPr>
          <w:rFonts w:ascii="Arial" w:hAnsi="Arial" w:cs="Arial"/>
          <w:sz w:val="24"/>
          <w:szCs w:val="24"/>
        </w:rPr>
        <w:t xml:space="preserve">for the </w:t>
      </w:r>
      <w:r w:rsidR="00B83AE5" w:rsidRPr="00B83AE5">
        <w:rPr>
          <w:rFonts w:ascii="Arial" w:hAnsi="Arial" w:cs="Arial"/>
          <w:sz w:val="24"/>
          <w:szCs w:val="24"/>
        </w:rPr>
        <w:t>three</w:t>
      </w:r>
      <w:r w:rsidR="00EA3325" w:rsidRPr="00B83AE5">
        <w:rPr>
          <w:rFonts w:ascii="Arial" w:hAnsi="Arial" w:cs="Arial"/>
          <w:sz w:val="24"/>
          <w:szCs w:val="24"/>
        </w:rPr>
        <w:t xml:space="preserve"> </w:t>
      </w:r>
      <w:r w:rsidRPr="00B83AE5">
        <w:rPr>
          <w:rFonts w:ascii="Arial" w:hAnsi="Arial" w:cs="Arial"/>
          <w:sz w:val="24"/>
          <w:szCs w:val="24"/>
        </w:rPr>
        <w:t>focus group sessions.  These costs are comprised of: focus group recruiting costs</w:t>
      </w:r>
      <w:r w:rsidRPr="002D2CB6">
        <w:rPr>
          <w:rFonts w:ascii="Arial" w:hAnsi="Arial" w:cs="Arial"/>
          <w:sz w:val="24"/>
          <w:szCs w:val="24"/>
        </w:rPr>
        <w:t>, costs to moderate the sessions, create a summary, telephone conference call costs, and participation incentive fees.</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Reason for Change</w:t>
      </w:r>
    </w:p>
    <w:p w:rsidR="00E303E2" w:rsidRDefault="00E303E2">
      <w:pPr>
        <w:spacing w:after="0" w:line="240" w:lineRule="auto"/>
        <w:rPr>
          <w:rFonts w:ascii="Arial" w:hAnsi="Arial" w:cs="Arial"/>
          <w:sz w:val="24"/>
          <w:szCs w:val="24"/>
        </w:rPr>
      </w:pPr>
      <w:r w:rsidRPr="002D2CB6">
        <w:rPr>
          <w:rFonts w:ascii="Arial" w:hAnsi="Arial" w:cs="Arial"/>
          <w:sz w:val="24"/>
          <w:szCs w:val="24"/>
        </w:rPr>
        <w:t xml:space="preserve">Not applicable.  </w:t>
      </w:r>
    </w:p>
    <w:p w:rsidR="0041756C" w:rsidRDefault="0041756C">
      <w:pPr>
        <w:spacing w:after="0" w:line="240" w:lineRule="auto"/>
        <w:rPr>
          <w:rFonts w:ascii="Arial" w:hAnsi="Arial" w:cs="Arial"/>
          <w:sz w:val="24"/>
          <w:szCs w:val="24"/>
        </w:rPr>
      </w:pPr>
    </w:p>
    <w:p w:rsidR="0041756C" w:rsidRDefault="0041756C">
      <w:pPr>
        <w:spacing w:after="0" w:line="240" w:lineRule="auto"/>
        <w:rPr>
          <w:rFonts w:ascii="Arial" w:hAnsi="Arial" w:cs="Arial"/>
          <w:sz w:val="24"/>
          <w:szCs w:val="24"/>
        </w:rPr>
      </w:pPr>
    </w:p>
    <w:p w:rsidR="0041756C" w:rsidRDefault="0041756C">
      <w:pPr>
        <w:spacing w:after="0" w:line="240" w:lineRule="auto"/>
        <w:rPr>
          <w:rFonts w:ascii="Arial" w:hAnsi="Arial" w:cs="Arial"/>
          <w:sz w:val="24"/>
          <w:szCs w:val="24"/>
        </w:rPr>
      </w:pPr>
    </w:p>
    <w:p w:rsidR="0041756C" w:rsidRDefault="0041756C">
      <w:pPr>
        <w:spacing w:after="0" w:line="240" w:lineRule="auto"/>
        <w:rPr>
          <w:rFonts w:ascii="Arial" w:hAnsi="Arial" w:cs="Arial"/>
          <w:sz w:val="24"/>
          <w:szCs w:val="24"/>
        </w:rPr>
      </w:pPr>
    </w:p>
    <w:p w:rsidR="0041756C" w:rsidRDefault="0041756C">
      <w:pPr>
        <w:spacing w:after="0" w:line="240" w:lineRule="auto"/>
        <w:rPr>
          <w:rFonts w:ascii="Arial" w:hAnsi="Arial" w:cs="Arial"/>
          <w:sz w:val="24"/>
          <w:szCs w:val="24"/>
        </w:rPr>
      </w:pPr>
    </w:p>
    <w:p w:rsidR="0041756C" w:rsidRDefault="0041756C">
      <w:pPr>
        <w:spacing w:after="0" w:line="240" w:lineRule="auto"/>
        <w:rPr>
          <w:rFonts w:ascii="Arial" w:hAnsi="Arial" w:cs="Arial"/>
          <w:sz w:val="24"/>
          <w:szCs w:val="24"/>
        </w:rPr>
      </w:pPr>
    </w:p>
    <w:p w:rsidR="0041756C" w:rsidRDefault="0041756C">
      <w:pPr>
        <w:spacing w:after="0" w:line="240" w:lineRule="auto"/>
        <w:rPr>
          <w:rFonts w:ascii="Arial" w:hAnsi="Arial" w:cs="Arial"/>
          <w:sz w:val="24"/>
          <w:szCs w:val="24"/>
        </w:rPr>
      </w:pPr>
    </w:p>
    <w:p w:rsidR="00E303E2" w:rsidRPr="002D2CB6" w:rsidRDefault="00E303E2">
      <w:pPr>
        <w:spacing w:after="0" w:line="240" w:lineRule="auto"/>
        <w:rPr>
          <w:rFonts w:ascii="Arial" w:hAnsi="Arial" w:cs="Arial"/>
          <w:b/>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Tabulation of Results, Schedule, Analysis Plans</w:t>
      </w: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Feedback collected provides useful information, but it does not yield data that can be generalized to the overall population. Findings will be used for general service improvement, but are not for publication or other public release.  </w:t>
      </w:r>
    </w:p>
    <w:p w:rsidR="00E303E2" w:rsidRPr="002D2CB6" w:rsidRDefault="00E303E2" w:rsidP="003E339C">
      <w:pPr>
        <w:spacing w:after="0" w:line="240" w:lineRule="auto"/>
        <w:rPr>
          <w:rFonts w:ascii="Arial" w:hAnsi="Arial" w:cs="Arial"/>
          <w:sz w:val="24"/>
          <w:szCs w:val="24"/>
        </w:rPr>
      </w:pPr>
    </w:p>
    <w:p w:rsidR="00E303E2" w:rsidRPr="002D2CB6" w:rsidRDefault="00E303E2" w:rsidP="003E339C">
      <w:pPr>
        <w:spacing w:after="0" w:line="240" w:lineRule="auto"/>
        <w:rPr>
          <w:rFonts w:ascii="Arial" w:hAnsi="Arial" w:cs="Arial"/>
          <w:sz w:val="24"/>
          <w:szCs w:val="24"/>
        </w:rPr>
      </w:pPr>
      <w:r w:rsidRPr="002D2CB6">
        <w:rPr>
          <w:rFonts w:ascii="Arial" w:hAnsi="Arial" w:cs="Arial"/>
          <w:sz w:val="24"/>
          <w:szCs w:val="24"/>
        </w:rPr>
        <w:t xml:space="preserve">Although the W&amp;I does not intend to publish its findings, W&amp;I will disseminate the findings when appropriate, strictly following "Guidelines for Ensuring the Quality of Information Disseminated to the Public.", and will include specific discussion of the limitation of the qualitative results discussed above. </w:t>
      </w:r>
    </w:p>
    <w:p w:rsidR="00E303E2" w:rsidRPr="002D2CB6" w:rsidRDefault="00E303E2">
      <w:pPr>
        <w:spacing w:after="0" w:line="240" w:lineRule="auto"/>
        <w:rPr>
          <w:rFonts w:ascii="Arial" w:hAnsi="Arial" w:cs="Arial"/>
          <w:sz w:val="24"/>
          <w:szCs w:val="24"/>
        </w:rPr>
      </w:pPr>
    </w:p>
    <w:p w:rsidR="00E303E2" w:rsidRPr="003E6C81" w:rsidRDefault="00E303E2" w:rsidP="003E6C81">
      <w:pPr>
        <w:pStyle w:val="ListParagraph"/>
        <w:numPr>
          <w:ilvl w:val="0"/>
          <w:numId w:val="2"/>
        </w:numPr>
        <w:spacing w:after="0" w:line="240" w:lineRule="auto"/>
        <w:ind w:left="0"/>
        <w:rPr>
          <w:rFonts w:ascii="Arial" w:hAnsi="Arial" w:cs="Arial"/>
          <w:b/>
          <w:sz w:val="24"/>
          <w:szCs w:val="24"/>
        </w:rPr>
      </w:pPr>
      <w:r w:rsidRPr="003E6C81">
        <w:rPr>
          <w:rFonts w:ascii="Arial" w:hAnsi="Arial" w:cs="Arial"/>
          <w:b/>
          <w:sz w:val="24"/>
          <w:szCs w:val="24"/>
        </w:rPr>
        <w:t>Display of OMB Approval Date</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We are requesting no exemption.</w:t>
      </w:r>
    </w:p>
    <w:p w:rsidR="00E303E2" w:rsidRPr="002D2CB6" w:rsidRDefault="00E303E2">
      <w:pPr>
        <w:spacing w:after="0" w:line="240" w:lineRule="auto"/>
        <w:rPr>
          <w:rFonts w:ascii="Arial" w:hAnsi="Arial" w:cs="Arial"/>
          <w:sz w:val="24"/>
          <w:szCs w:val="24"/>
        </w:rPr>
      </w:pPr>
    </w:p>
    <w:p w:rsidR="00E303E2" w:rsidRPr="002D2CB6" w:rsidRDefault="00E303E2">
      <w:pPr>
        <w:pStyle w:val="ListParagraph"/>
        <w:numPr>
          <w:ilvl w:val="0"/>
          <w:numId w:val="2"/>
        </w:numPr>
        <w:spacing w:after="0" w:line="240" w:lineRule="auto"/>
        <w:ind w:left="0"/>
        <w:rPr>
          <w:rFonts w:ascii="Arial" w:hAnsi="Arial" w:cs="Arial"/>
          <w:b/>
          <w:sz w:val="24"/>
          <w:szCs w:val="24"/>
        </w:rPr>
      </w:pPr>
      <w:r w:rsidRPr="002D2CB6">
        <w:rPr>
          <w:rFonts w:ascii="Arial" w:hAnsi="Arial" w:cs="Arial"/>
          <w:b/>
          <w:sz w:val="24"/>
          <w:szCs w:val="24"/>
        </w:rPr>
        <w:t>Exceptions to Certification for Paperwork Reduction Act Submissions</w:t>
      </w:r>
    </w:p>
    <w:p w:rsidR="00E303E2" w:rsidRPr="002D2CB6" w:rsidRDefault="00E303E2">
      <w:pPr>
        <w:spacing w:after="0" w:line="240" w:lineRule="auto"/>
        <w:rPr>
          <w:rFonts w:ascii="Arial" w:hAnsi="Arial" w:cs="Arial"/>
          <w:sz w:val="24"/>
          <w:szCs w:val="24"/>
        </w:rPr>
      </w:pPr>
      <w:r w:rsidRPr="002D2CB6">
        <w:rPr>
          <w:rFonts w:ascii="Arial" w:hAnsi="Arial" w:cs="Arial"/>
          <w:sz w:val="24"/>
          <w:szCs w:val="24"/>
        </w:rPr>
        <w:t>These activities comply with the requirements in 5 CFR 1320.9.</w:t>
      </w:r>
    </w:p>
    <w:p w:rsidR="00E303E2" w:rsidRPr="002D2CB6" w:rsidRDefault="00E303E2">
      <w:pPr>
        <w:pStyle w:val="BodyTextIndent3"/>
        <w:tabs>
          <w:tab w:val="clear" w:pos="360"/>
        </w:tabs>
        <w:ind w:left="0"/>
        <w:rPr>
          <w:rFonts w:ascii="Arial" w:hAnsi="Arial" w:cs="Arial"/>
          <w:b/>
          <w:sz w:val="24"/>
          <w:szCs w:val="24"/>
        </w:rPr>
      </w:pPr>
    </w:p>
    <w:p w:rsidR="00E303E2" w:rsidRPr="002D2CB6" w:rsidRDefault="00E303E2">
      <w:pPr>
        <w:pStyle w:val="BodyTextIndent3"/>
        <w:tabs>
          <w:tab w:val="clear" w:pos="360"/>
        </w:tabs>
        <w:ind w:left="0"/>
        <w:rPr>
          <w:rFonts w:ascii="Arial" w:hAnsi="Arial" w:cs="Arial"/>
          <w:b/>
          <w:sz w:val="24"/>
          <w:szCs w:val="24"/>
        </w:rPr>
      </w:pPr>
      <w:r w:rsidRPr="00A457DE">
        <w:rPr>
          <w:rFonts w:ascii="Arial" w:hAnsi="Arial" w:cs="Arial"/>
          <w:b/>
          <w:sz w:val="24"/>
          <w:szCs w:val="24"/>
        </w:rPr>
        <w:t>19.  Dates collection will begin and end</w:t>
      </w:r>
    </w:p>
    <w:p w:rsidR="00E303E2" w:rsidRDefault="00866624" w:rsidP="003E6C81">
      <w:pPr>
        <w:spacing w:after="0" w:line="240" w:lineRule="auto"/>
        <w:rPr>
          <w:rFonts w:ascii="Arial" w:hAnsi="Arial" w:cs="Arial"/>
          <w:sz w:val="24"/>
          <w:szCs w:val="24"/>
        </w:rPr>
      </w:pPr>
      <w:r>
        <w:rPr>
          <w:rFonts w:ascii="Arial" w:hAnsi="Arial" w:cs="Arial"/>
          <w:sz w:val="24"/>
          <w:szCs w:val="24"/>
        </w:rPr>
        <w:t xml:space="preserve">  </w:t>
      </w:r>
      <w:r w:rsidR="0042398E">
        <w:rPr>
          <w:rFonts w:ascii="Arial" w:hAnsi="Arial" w:cs="Arial"/>
          <w:sz w:val="24"/>
          <w:szCs w:val="24"/>
          <w:highlight w:val="yellow"/>
        </w:rPr>
        <w:t>August</w:t>
      </w:r>
      <w:r w:rsidR="00B34D82" w:rsidRPr="0042398E">
        <w:rPr>
          <w:rFonts w:ascii="Arial" w:hAnsi="Arial" w:cs="Arial"/>
          <w:sz w:val="24"/>
          <w:szCs w:val="24"/>
          <w:highlight w:val="yellow"/>
        </w:rPr>
        <w:t xml:space="preserve"> 1, 2013 – September 30, 2013</w:t>
      </w:r>
    </w:p>
    <w:p w:rsidR="003E6C81" w:rsidRPr="002D2CB6" w:rsidRDefault="003E6C81" w:rsidP="003E6C81">
      <w:pPr>
        <w:spacing w:after="0" w:line="240" w:lineRule="auto"/>
        <w:rPr>
          <w:rFonts w:ascii="Arial" w:hAnsi="Arial" w:cs="Arial"/>
          <w:sz w:val="24"/>
          <w:szCs w:val="24"/>
        </w:rPr>
      </w:pPr>
    </w:p>
    <w:p w:rsidR="00E303E2" w:rsidRPr="002D2CB6" w:rsidRDefault="00E303E2" w:rsidP="003E6C81">
      <w:pPr>
        <w:ind w:left="-450"/>
        <w:rPr>
          <w:rFonts w:ascii="Arial" w:hAnsi="Arial" w:cs="Arial"/>
          <w:b/>
          <w:sz w:val="24"/>
          <w:szCs w:val="24"/>
        </w:rPr>
      </w:pPr>
      <w:r w:rsidRPr="002D2CB6">
        <w:rPr>
          <w:rFonts w:ascii="Arial" w:hAnsi="Arial" w:cs="Arial"/>
          <w:b/>
          <w:sz w:val="24"/>
          <w:szCs w:val="24"/>
        </w:rPr>
        <w:t>B.</w:t>
      </w:r>
      <w:r w:rsidRPr="002D2CB6">
        <w:rPr>
          <w:rFonts w:ascii="Arial" w:hAnsi="Arial" w:cs="Arial"/>
          <w:b/>
          <w:sz w:val="24"/>
          <w:szCs w:val="24"/>
        </w:rPr>
        <w:tab/>
        <w:t>STATISTICAL METHODS</w:t>
      </w: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Universe and Respondent Selection</w:t>
      </w:r>
    </w:p>
    <w:p w:rsidR="00E303E2"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The activities under this clearance involve samples of self-selected customers selected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w:t>
      </w:r>
    </w:p>
    <w:p w:rsidR="00E303E2" w:rsidRPr="002D2CB6" w:rsidRDefault="00E303E2">
      <w:pPr>
        <w:pStyle w:val="ListParagraph"/>
        <w:spacing w:after="0" w:line="240" w:lineRule="auto"/>
        <w:ind w:left="360"/>
        <w:rPr>
          <w:rFonts w:ascii="Arial" w:hAnsi="Arial" w:cs="Arial"/>
          <w:sz w:val="24"/>
          <w:szCs w:val="24"/>
        </w:rPr>
      </w:pPr>
    </w:p>
    <w:p w:rsidR="00866624" w:rsidRPr="00866624" w:rsidRDefault="00866624" w:rsidP="00866624">
      <w:pPr>
        <w:pStyle w:val="ListParagraph"/>
        <w:spacing w:after="0" w:line="240" w:lineRule="auto"/>
        <w:ind w:left="360"/>
        <w:rPr>
          <w:rFonts w:ascii="Arial" w:hAnsi="Arial" w:cs="Arial"/>
          <w:sz w:val="24"/>
          <w:szCs w:val="24"/>
        </w:rPr>
      </w:pPr>
      <w:r w:rsidRPr="00866624">
        <w:rPr>
          <w:rFonts w:ascii="Arial" w:hAnsi="Arial" w:cs="Arial"/>
          <w:sz w:val="24"/>
          <w:szCs w:val="24"/>
        </w:rPr>
        <w:t xml:space="preserve">Taxpayers who participated in one of the 2011 </w:t>
      </w:r>
      <w:r w:rsidR="009C2342">
        <w:rPr>
          <w:rFonts w:ascii="Arial" w:hAnsi="Arial" w:cs="Arial"/>
          <w:sz w:val="24"/>
          <w:szCs w:val="24"/>
        </w:rPr>
        <w:t>Filing, Payment and Compliance</w:t>
      </w:r>
      <w:r w:rsidRPr="00866624">
        <w:rPr>
          <w:rFonts w:ascii="Arial" w:hAnsi="Arial" w:cs="Arial"/>
          <w:sz w:val="24"/>
          <w:szCs w:val="24"/>
        </w:rPr>
        <w:t xml:space="preserve"> customer satis</w:t>
      </w:r>
      <w:r w:rsidR="009C2342">
        <w:rPr>
          <w:rFonts w:ascii="Arial" w:hAnsi="Arial" w:cs="Arial"/>
          <w:sz w:val="24"/>
          <w:szCs w:val="24"/>
        </w:rPr>
        <w:t>faction surveys (ACSS and CSCO</w:t>
      </w:r>
      <w:r w:rsidR="00650FB3">
        <w:rPr>
          <w:rFonts w:ascii="Arial" w:hAnsi="Arial" w:cs="Arial"/>
          <w:sz w:val="24"/>
          <w:szCs w:val="24"/>
        </w:rPr>
        <w:t xml:space="preserve">) </w:t>
      </w:r>
      <w:r w:rsidRPr="00866624">
        <w:rPr>
          <w:rFonts w:ascii="Arial" w:hAnsi="Arial" w:cs="Arial"/>
          <w:sz w:val="24"/>
          <w:szCs w:val="24"/>
        </w:rPr>
        <w:t>indicated their willingness to participate in future research at the end of the survey and provided their phone number and/or email address to be contacted.</w:t>
      </w:r>
    </w:p>
    <w:p w:rsidR="00866624" w:rsidRPr="0041756C" w:rsidRDefault="00866624" w:rsidP="00866624">
      <w:pPr>
        <w:pStyle w:val="ListParagraph"/>
        <w:spacing w:after="0" w:line="240" w:lineRule="auto"/>
        <w:ind w:left="360"/>
        <w:rPr>
          <w:rFonts w:ascii="Arial" w:hAnsi="Arial" w:cs="Arial"/>
          <w:sz w:val="24"/>
          <w:szCs w:val="24"/>
        </w:rPr>
      </w:pPr>
    </w:p>
    <w:p w:rsidR="00866624" w:rsidRPr="0041756C" w:rsidRDefault="009C2342" w:rsidP="00866624">
      <w:pPr>
        <w:pStyle w:val="ListParagraph"/>
        <w:spacing w:after="0" w:line="240" w:lineRule="auto"/>
        <w:ind w:left="360"/>
        <w:rPr>
          <w:rFonts w:ascii="Arial" w:hAnsi="Arial" w:cs="Arial"/>
          <w:sz w:val="24"/>
          <w:szCs w:val="24"/>
        </w:rPr>
      </w:pPr>
      <w:r w:rsidRPr="0042398E">
        <w:rPr>
          <w:rFonts w:ascii="Arial" w:hAnsi="Arial" w:cs="Arial"/>
          <w:sz w:val="24"/>
          <w:szCs w:val="24"/>
          <w:highlight w:val="yellow"/>
        </w:rPr>
        <w:t>Six</w:t>
      </w:r>
      <w:r w:rsidR="00866624" w:rsidRPr="0042398E">
        <w:rPr>
          <w:rFonts w:ascii="Arial" w:hAnsi="Arial" w:cs="Arial"/>
          <w:sz w:val="24"/>
          <w:szCs w:val="24"/>
          <w:highlight w:val="yellow"/>
        </w:rPr>
        <w:t xml:space="preserve"> focus groups – three </w:t>
      </w:r>
      <w:r w:rsidR="00B56F7C">
        <w:rPr>
          <w:rFonts w:ascii="Arial" w:hAnsi="Arial" w:cs="Arial"/>
          <w:sz w:val="24"/>
          <w:szCs w:val="24"/>
          <w:highlight w:val="yellow"/>
        </w:rPr>
        <w:t xml:space="preserve">for ACSS and 3 for CSCO. </w:t>
      </w:r>
      <w:r w:rsidR="00866624" w:rsidRPr="0042398E">
        <w:rPr>
          <w:rFonts w:ascii="Arial" w:hAnsi="Arial" w:cs="Arial"/>
          <w:sz w:val="24"/>
          <w:szCs w:val="24"/>
          <w:highlight w:val="yellow"/>
        </w:rPr>
        <w:t xml:space="preserve"> Each </w:t>
      </w:r>
      <w:r w:rsidR="0041756C" w:rsidRPr="0042398E">
        <w:rPr>
          <w:rFonts w:ascii="Arial" w:hAnsi="Arial" w:cs="Arial"/>
          <w:sz w:val="24"/>
          <w:szCs w:val="24"/>
          <w:highlight w:val="yellow"/>
        </w:rPr>
        <w:t xml:space="preserve">focus </w:t>
      </w:r>
      <w:r w:rsidR="00B56F7C">
        <w:rPr>
          <w:rFonts w:ascii="Arial" w:hAnsi="Arial" w:cs="Arial"/>
          <w:sz w:val="24"/>
          <w:szCs w:val="24"/>
          <w:highlight w:val="yellow"/>
        </w:rPr>
        <w:t>group will be limited to 7</w:t>
      </w:r>
      <w:r w:rsidR="0041756C" w:rsidRPr="0042398E">
        <w:rPr>
          <w:rFonts w:ascii="Arial" w:hAnsi="Arial" w:cs="Arial"/>
          <w:sz w:val="24"/>
          <w:szCs w:val="24"/>
          <w:highlight w:val="yellow"/>
        </w:rPr>
        <w:t xml:space="preserve"> participants</w:t>
      </w:r>
      <w:r w:rsidR="00866624" w:rsidRPr="0042398E">
        <w:rPr>
          <w:rFonts w:ascii="Arial" w:hAnsi="Arial" w:cs="Arial"/>
          <w:sz w:val="24"/>
          <w:szCs w:val="24"/>
          <w:highlight w:val="yellow"/>
        </w:rPr>
        <w:t xml:space="preserve"> and will be scheduled for 60 minutes.</w:t>
      </w:r>
    </w:p>
    <w:p w:rsidR="00866624" w:rsidRPr="009C2342" w:rsidRDefault="00866624">
      <w:pPr>
        <w:pStyle w:val="ListParagraph"/>
        <w:spacing w:after="0" w:line="240" w:lineRule="auto"/>
        <w:ind w:left="360"/>
        <w:rPr>
          <w:rFonts w:ascii="Arial" w:hAnsi="Arial" w:cs="Arial"/>
          <w:b/>
          <w:color w:val="FF0000"/>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Procedures for Collecting Information</w:t>
      </w:r>
    </w:p>
    <w:p w:rsidR="00E303E2" w:rsidRPr="002D2CB6" w:rsidRDefault="00E303E2">
      <w:pPr>
        <w:pStyle w:val="ListParagraph"/>
        <w:spacing w:after="0" w:line="240" w:lineRule="auto"/>
        <w:ind w:left="360"/>
        <w:rPr>
          <w:rFonts w:ascii="Arial" w:hAnsi="Arial" w:cs="Arial"/>
          <w:sz w:val="24"/>
          <w:szCs w:val="24"/>
        </w:rPr>
      </w:pPr>
      <w:r w:rsidRPr="002D2CB6">
        <w:rPr>
          <w:rFonts w:ascii="Arial" w:hAnsi="Arial" w:cs="Arial"/>
          <w:sz w:val="24"/>
          <w:szCs w:val="24"/>
        </w:rPr>
        <w:t xml:space="preserve">W&amp;I </w:t>
      </w:r>
      <w:proofErr w:type="gramStart"/>
      <w:r w:rsidRPr="002D2CB6">
        <w:rPr>
          <w:rFonts w:ascii="Arial" w:hAnsi="Arial" w:cs="Arial"/>
          <w:sz w:val="24"/>
          <w:szCs w:val="24"/>
        </w:rPr>
        <w:t>expects</w:t>
      </w:r>
      <w:proofErr w:type="gramEnd"/>
      <w:r w:rsidRPr="002D2CB6">
        <w:rPr>
          <w:rFonts w:ascii="Arial" w:hAnsi="Arial" w:cs="Arial"/>
          <w:sz w:val="24"/>
          <w:szCs w:val="24"/>
        </w:rPr>
        <w:t xml:space="preserve"> to use telephone data collection methods, both for recruiting and for conducting the focus groups. The focus groups will be moderated by professional moderators at </w:t>
      </w:r>
      <w:r w:rsidR="00B34D82">
        <w:rPr>
          <w:rFonts w:ascii="Arial" w:hAnsi="Arial" w:cs="Arial"/>
          <w:sz w:val="24"/>
          <w:szCs w:val="24"/>
        </w:rPr>
        <w:t>Pacific Consulting Group (PCG).</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Methods to Maximize Response</w:t>
      </w:r>
    </w:p>
    <w:p w:rsidR="00AD7B6C" w:rsidRPr="002D2CB6" w:rsidRDefault="00AD7B6C">
      <w:pPr>
        <w:pStyle w:val="ListParagraph"/>
        <w:spacing w:after="0" w:line="240" w:lineRule="auto"/>
        <w:ind w:left="360"/>
        <w:rPr>
          <w:rFonts w:ascii="Arial" w:hAnsi="Arial" w:cs="Arial"/>
          <w:b/>
          <w:sz w:val="24"/>
          <w:szCs w:val="24"/>
        </w:rPr>
      </w:pPr>
      <w:r w:rsidRPr="00AD7B6C">
        <w:rPr>
          <w:rFonts w:ascii="Arial" w:hAnsi="Arial" w:cs="Arial"/>
          <w:sz w:val="24"/>
          <w:szCs w:val="24"/>
        </w:rPr>
        <w:lastRenderedPageBreak/>
        <w:t xml:space="preserve">Standard procedures will be used in order to obtain the highest response rate possible for the usability testing. The contractor will recruit usability testing participants and conduct the usability testing research.  To encourage participation, the </w:t>
      </w:r>
      <w:r>
        <w:rPr>
          <w:rFonts w:ascii="Arial" w:hAnsi="Arial" w:cs="Arial"/>
          <w:sz w:val="24"/>
          <w:szCs w:val="24"/>
        </w:rPr>
        <w:t>contractor will be offering a $</w:t>
      </w:r>
      <w:r w:rsidR="00756700">
        <w:rPr>
          <w:rFonts w:ascii="Arial" w:hAnsi="Arial" w:cs="Arial"/>
          <w:sz w:val="24"/>
          <w:szCs w:val="24"/>
        </w:rPr>
        <w:t>4</w:t>
      </w:r>
      <w:r w:rsidRPr="00AD7B6C">
        <w:rPr>
          <w:rFonts w:ascii="Arial" w:hAnsi="Arial" w:cs="Arial"/>
          <w:sz w:val="24"/>
          <w:szCs w:val="24"/>
        </w:rPr>
        <w:t>0 incentive.</w:t>
      </w:r>
    </w:p>
    <w:p w:rsidR="00E303E2" w:rsidRPr="002D2CB6" w:rsidRDefault="00E303E2">
      <w:pPr>
        <w:pStyle w:val="ListParagraph"/>
        <w:spacing w:after="0" w:line="240" w:lineRule="auto"/>
        <w:ind w:left="360"/>
        <w:rPr>
          <w:rFonts w:ascii="Arial" w:hAnsi="Arial" w:cs="Arial"/>
          <w:b/>
          <w:sz w:val="24"/>
          <w:szCs w:val="24"/>
        </w:rPr>
      </w:pPr>
    </w:p>
    <w:p w:rsidR="00E303E2" w:rsidRPr="002D2CB6" w:rsidRDefault="00E303E2">
      <w:pPr>
        <w:pStyle w:val="ListParagraph"/>
        <w:numPr>
          <w:ilvl w:val="0"/>
          <w:numId w:val="12"/>
        </w:numPr>
        <w:spacing w:after="0" w:line="240" w:lineRule="auto"/>
        <w:rPr>
          <w:rFonts w:ascii="Arial" w:hAnsi="Arial" w:cs="Arial"/>
          <w:b/>
          <w:sz w:val="24"/>
          <w:szCs w:val="24"/>
        </w:rPr>
      </w:pPr>
      <w:r w:rsidRPr="002D2CB6">
        <w:rPr>
          <w:rFonts w:ascii="Arial" w:hAnsi="Arial" w:cs="Arial"/>
          <w:b/>
          <w:sz w:val="24"/>
          <w:szCs w:val="24"/>
        </w:rPr>
        <w:t>Testing of Procedures</w:t>
      </w:r>
    </w:p>
    <w:p w:rsidR="00E303E2" w:rsidRPr="002D2CB6" w:rsidRDefault="00E303E2">
      <w:pPr>
        <w:pStyle w:val="ListParagraph"/>
        <w:spacing w:after="0" w:line="240" w:lineRule="auto"/>
        <w:ind w:left="360"/>
        <w:rPr>
          <w:rFonts w:ascii="Arial" w:hAnsi="Arial" w:cs="Arial"/>
          <w:b/>
          <w:sz w:val="24"/>
          <w:szCs w:val="24"/>
        </w:rPr>
      </w:pPr>
      <w:r w:rsidRPr="002D2CB6">
        <w:rPr>
          <w:rFonts w:ascii="Arial" w:hAnsi="Arial" w:cs="Arial"/>
          <w:sz w:val="24"/>
          <w:szCs w:val="24"/>
        </w:rPr>
        <w:t xml:space="preserve">No pretest is necessary for these focus groups as W&amp;I </w:t>
      </w:r>
      <w:proofErr w:type="gramStart"/>
      <w:r w:rsidRPr="002D2CB6">
        <w:rPr>
          <w:rFonts w:ascii="Arial" w:hAnsi="Arial" w:cs="Arial"/>
          <w:sz w:val="24"/>
          <w:szCs w:val="24"/>
        </w:rPr>
        <w:t>has</w:t>
      </w:r>
      <w:proofErr w:type="gramEnd"/>
      <w:r w:rsidRPr="002D2CB6">
        <w:rPr>
          <w:rFonts w:ascii="Arial" w:hAnsi="Arial" w:cs="Arial"/>
          <w:sz w:val="24"/>
          <w:szCs w:val="24"/>
        </w:rPr>
        <w:t xml:space="preserve"> evidence from previous research that the research procedures to be used for this task are successful. </w:t>
      </w:r>
    </w:p>
    <w:p w:rsidR="00E303E2" w:rsidRPr="002D2CB6" w:rsidRDefault="00E303E2" w:rsidP="00457290">
      <w:pPr>
        <w:pStyle w:val="ListParagraph"/>
        <w:spacing w:after="0" w:line="240" w:lineRule="auto"/>
        <w:ind w:left="0"/>
        <w:rPr>
          <w:rFonts w:ascii="Arial" w:hAnsi="Arial" w:cs="Arial"/>
          <w:b/>
          <w:sz w:val="24"/>
          <w:szCs w:val="24"/>
        </w:rPr>
      </w:pPr>
    </w:p>
    <w:p w:rsidR="00E303E2" w:rsidRPr="00A457DE" w:rsidRDefault="00E303E2">
      <w:pPr>
        <w:pStyle w:val="ListParagraph"/>
        <w:numPr>
          <w:ilvl w:val="0"/>
          <w:numId w:val="12"/>
        </w:numPr>
        <w:spacing w:after="0" w:line="240" w:lineRule="auto"/>
        <w:rPr>
          <w:rFonts w:ascii="Arial" w:hAnsi="Arial" w:cs="Arial"/>
          <w:b/>
          <w:sz w:val="24"/>
          <w:szCs w:val="24"/>
        </w:rPr>
      </w:pPr>
      <w:r w:rsidRPr="00A457DE">
        <w:rPr>
          <w:rFonts w:ascii="Arial" w:hAnsi="Arial" w:cs="Arial"/>
          <w:b/>
          <w:sz w:val="24"/>
          <w:szCs w:val="24"/>
        </w:rPr>
        <w:t>Contacts for Statistical Aspects and Data Collection</w:t>
      </w:r>
    </w:p>
    <w:p w:rsidR="00E303E2" w:rsidRPr="00B34D82" w:rsidRDefault="00E303E2">
      <w:pPr>
        <w:pStyle w:val="ListParagraph"/>
        <w:spacing w:after="0" w:line="240" w:lineRule="auto"/>
        <w:ind w:left="360"/>
        <w:rPr>
          <w:rFonts w:ascii="Arial" w:hAnsi="Arial" w:cs="Arial"/>
          <w:b/>
          <w:sz w:val="24"/>
          <w:szCs w:val="24"/>
        </w:rPr>
      </w:pPr>
    </w:p>
    <w:p w:rsidR="00B34D82" w:rsidRPr="00B34D82" w:rsidRDefault="00B34D82" w:rsidP="00B34D82">
      <w:pPr>
        <w:spacing w:after="0" w:line="240" w:lineRule="auto"/>
        <w:ind w:firstLine="360"/>
      </w:pPr>
      <w:proofErr w:type="spellStart"/>
      <w:r w:rsidRPr="00B34D82">
        <w:rPr>
          <w:b/>
        </w:rPr>
        <w:t>Beruria</w:t>
      </w:r>
      <w:proofErr w:type="spellEnd"/>
      <w:r w:rsidRPr="00B34D82">
        <w:rPr>
          <w:b/>
        </w:rPr>
        <w:t xml:space="preserve"> </w:t>
      </w:r>
      <w:proofErr w:type="spellStart"/>
      <w:proofErr w:type="gramStart"/>
      <w:r w:rsidRPr="00B34D82">
        <w:rPr>
          <w:b/>
        </w:rPr>
        <w:t>Novich</w:t>
      </w:r>
      <w:proofErr w:type="spellEnd"/>
      <w:r w:rsidR="00822125">
        <w:t xml:space="preserve"> </w:t>
      </w:r>
      <w:r w:rsidRPr="00B34D82">
        <w:t xml:space="preserve"> |</w:t>
      </w:r>
      <w:proofErr w:type="gramEnd"/>
      <w:r w:rsidRPr="00B34D82">
        <w:t xml:space="preserve"> Direct: 650-223-8231  |  Main: 650-327-8108  |  Fax: 650-326-6768 </w:t>
      </w:r>
    </w:p>
    <w:p w:rsidR="00B34D82" w:rsidRDefault="00B34D82" w:rsidP="00B34D82">
      <w:pPr>
        <w:spacing w:after="0" w:line="240" w:lineRule="auto"/>
        <w:ind w:left="360"/>
        <w:rPr>
          <w:color w:val="1F497D"/>
        </w:rPr>
      </w:pPr>
      <w:r w:rsidRPr="00B34D82">
        <w:rPr>
          <w:b/>
        </w:rPr>
        <w:t>Pacific Consulting Group</w:t>
      </w:r>
      <w:r w:rsidRPr="00B34D82">
        <w:t xml:space="preserve"> | 200 S. California Avenue, Suite 200, Palo Alto, CA 94306| </w:t>
      </w:r>
      <w:r w:rsidRPr="00B34D82">
        <w:rPr>
          <w:b/>
        </w:rPr>
        <w:t>www.pcgfirm.com</w:t>
      </w:r>
    </w:p>
    <w:p w:rsidR="00B34D82" w:rsidRDefault="00B34D82" w:rsidP="00263D41">
      <w:pPr>
        <w:ind w:firstLine="360"/>
        <w:rPr>
          <w:color w:val="1F497D"/>
        </w:rPr>
      </w:pP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Attachments</w:t>
      </w:r>
    </w:p>
    <w:p w:rsidR="00AD7B6C" w:rsidRPr="00AD7B6C" w:rsidRDefault="00AD7B6C" w:rsidP="00AD7B6C">
      <w:pPr>
        <w:spacing w:after="0" w:line="240" w:lineRule="auto"/>
        <w:ind w:left="360"/>
        <w:rPr>
          <w:rFonts w:ascii="Arial" w:hAnsi="Arial" w:cs="Arial"/>
          <w:sz w:val="24"/>
          <w:szCs w:val="24"/>
        </w:rPr>
      </w:pPr>
    </w:p>
    <w:p w:rsidR="00AD7B6C" w:rsidRPr="00AD7B6C" w:rsidRDefault="00AD7B6C" w:rsidP="00AD7B6C">
      <w:pPr>
        <w:spacing w:after="0" w:line="240" w:lineRule="auto"/>
        <w:ind w:left="360"/>
        <w:rPr>
          <w:rFonts w:ascii="Arial" w:hAnsi="Arial" w:cs="Arial"/>
          <w:sz w:val="24"/>
          <w:szCs w:val="24"/>
        </w:rPr>
      </w:pPr>
      <w:r w:rsidRPr="00AD7B6C">
        <w:rPr>
          <w:rFonts w:ascii="Arial" w:hAnsi="Arial" w:cs="Arial"/>
          <w:sz w:val="24"/>
          <w:szCs w:val="24"/>
        </w:rPr>
        <w:t>A: Usability Testing Screener’s Guide</w:t>
      </w:r>
    </w:p>
    <w:p w:rsidR="00E303E2" w:rsidRPr="002D2CB6" w:rsidRDefault="00AD7B6C" w:rsidP="00BD725A">
      <w:pPr>
        <w:spacing w:after="0" w:line="240" w:lineRule="auto"/>
        <w:ind w:left="360"/>
        <w:rPr>
          <w:rFonts w:ascii="Arial" w:hAnsi="Arial" w:cs="Arial"/>
          <w:sz w:val="24"/>
          <w:szCs w:val="24"/>
        </w:rPr>
      </w:pPr>
      <w:r w:rsidRPr="00AD7B6C">
        <w:rPr>
          <w:rFonts w:ascii="Arial" w:hAnsi="Arial" w:cs="Arial"/>
          <w:sz w:val="24"/>
          <w:szCs w:val="24"/>
        </w:rPr>
        <w:t>B: Usability Testing Moderator’s Guide</w:t>
      </w:r>
    </w:p>
    <w:sectPr w:rsidR="00E303E2" w:rsidRPr="002D2CB6" w:rsidSect="00982095">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50F" w:rsidRDefault="00AD650F">
      <w:pPr>
        <w:spacing w:after="0" w:line="240" w:lineRule="auto"/>
      </w:pPr>
      <w:r>
        <w:separator/>
      </w:r>
    </w:p>
  </w:endnote>
  <w:endnote w:type="continuationSeparator" w:id="0">
    <w:p w:rsidR="00AD650F" w:rsidRDefault="00AD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03E2" w:rsidRDefault="00E303E2" w:rsidP="00E62E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4C79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6F7C">
      <w:rPr>
        <w:rStyle w:val="PageNumber"/>
        <w:noProof/>
      </w:rPr>
      <w:t>3</w:t>
    </w:r>
    <w:r>
      <w:rPr>
        <w:rStyle w:val="PageNumber"/>
      </w:rPr>
      <w:fldChar w:fldCharType="end"/>
    </w:r>
  </w:p>
  <w:p w:rsidR="00E303E2" w:rsidRDefault="00E303E2" w:rsidP="00E62E77">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50F" w:rsidRDefault="00AD650F">
      <w:pPr>
        <w:spacing w:after="0" w:line="240" w:lineRule="auto"/>
      </w:pPr>
      <w:r>
        <w:separator/>
      </w:r>
    </w:p>
  </w:footnote>
  <w:footnote w:type="continuationSeparator" w:id="0">
    <w:p w:rsidR="00AD650F" w:rsidRDefault="00AD6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3E2" w:rsidRDefault="00E303E2" w:rsidP="00F626FD">
    <w:pPr>
      <w:pStyle w:val="Header"/>
      <w:jc w:val="right"/>
    </w:pPr>
    <w:r>
      <w:t>OMB # 1545-1349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EA2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BFDCF7A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1AD48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1004BD1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D761A1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3B2B7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276FB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F86A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9FEE1A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244515A"/>
    <w:lvl w:ilvl="0">
      <w:start w:val="1"/>
      <w:numFmt w:val="bullet"/>
      <w:lvlText w:val=""/>
      <w:lvlJc w:val="left"/>
      <w:pPr>
        <w:tabs>
          <w:tab w:val="num" w:pos="360"/>
        </w:tabs>
        <w:ind w:left="360" w:hanging="360"/>
      </w:pPr>
      <w:rPr>
        <w:rFonts w:ascii="Symbol" w:hAnsi="Symbol" w:hint="default"/>
      </w:rPr>
    </w:lvl>
  </w:abstractNum>
  <w:abstractNum w:abstractNumId="1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9"/>
  </w:num>
  <w:num w:numId="2">
    <w:abstractNumId w:val="23"/>
  </w:num>
  <w:num w:numId="3">
    <w:abstractNumId w:val="10"/>
  </w:num>
  <w:num w:numId="4">
    <w:abstractNumId w:val="12"/>
  </w:num>
  <w:num w:numId="5">
    <w:abstractNumId w:val="22"/>
  </w:num>
  <w:num w:numId="6">
    <w:abstractNumId w:val="18"/>
  </w:num>
  <w:num w:numId="7">
    <w:abstractNumId w:val="21"/>
  </w:num>
  <w:num w:numId="8">
    <w:abstractNumId w:val="17"/>
  </w:num>
  <w:num w:numId="9">
    <w:abstractNumId w:val="20"/>
  </w:num>
  <w:num w:numId="10">
    <w:abstractNumId w:val="14"/>
  </w:num>
  <w:num w:numId="11">
    <w:abstractNumId w:val="24"/>
  </w:num>
  <w:num w:numId="12">
    <w:abstractNumId w:val="15"/>
  </w:num>
  <w:num w:numId="13">
    <w:abstractNumId w:val="11"/>
  </w:num>
  <w:num w:numId="14">
    <w:abstractNumId w:val="25"/>
  </w:num>
  <w:num w:numId="15">
    <w:abstractNumId w:val="13"/>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05D28"/>
    <w:rsid w:val="00020E19"/>
    <w:rsid w:val="0002390D"/>
    <w:rsid w:val="00043B2E"/>
    <w:rsid w:val="00066515"/>
    <w:rsid w:val="0006753B"/>
    <w:rsid w:val="00076CB1"/>
    <w:rsid w:val="00077766"/>
    <w:rsid w:val="00085515"/>
    <w:rsid w:val="000A410F"/>
    <w:rsid w:val="000B4026"/>
    <w:rsid w:val="000C0A7E"/>
    <w:rsid w:val="000C1D16"/>
    <w:rsid w:val="000D424A"/>
    <w:rsid w:val="000E09E1"/>
    <w:rsid w:val="000E0E62"/>
    <w:rsid w:val="001029B0"/>
    <w:rsid w:val="00120A60"/>
    <w:rsid w:val="00122C6A"/>
    <w:rsid w:val="001322FB"/>
    <w:rsid w:val="00153E20"/>
    <w:rsid w:val="001628A1"/>
    <w:rsid w:val="00172EEC"/>
    <w:rsid w:val="001768FD"/>
    <w:rsid w:val="001A0D23"/>
    <w:rsid w:val="001A1B74"/>
    <w:rsid w:val="001A1E1C"/>
    <w:rsid w:val="001B0A60"/>
    <w:rsid w:val="001B43EE"/>
    <w:rsid w:val="001B5644"/>
    <w:rsid w:val="001B7CBE"/>
    <w:rsid w:val="001C1492"/>
    <w:rsid w:val="001C756A"/>
    <w:rsid w:val="001D0BFA"/>
    <w:rsid w:val="001E44AB"/>
    <w:rsid w:val="001E7A97"/>
    <w:rsid w:val="001F7BC9"/>
    <w:rsid w:val="00215607"/>
    <w:rsid w:val="00256D0E"/>
    <w:rsid w:val="00263D41"/>
    <w:rsid w:val="00267827"/>
    <w:rsid w:val="00281863"/>
    <w:rsid w:val="00284D3A"/>
    <w:rsid w:val="0029408A"/>
    <w:rsid w:val="002A35E6"/>
    <w:rsid w:val="002B0B32"/>
    <w:rsid w:val="002B0D31"/>
    <w:rsid w:val="002D2CB6"/>
    <w:rsid w:val="002F7F45"/>
    <w:rsid w:val="003004AD"/>
    <w:rsid w:val="003009B4"/>
    <w:rsid w:val="00324AF8"/>
    <w:rsid w:val="00335BAF"/>
    <w:rsid w:val="00336169"/>
    <w:rsid w:val="00353852"/>
    <w:rsid w:val="003741EA"/>
    <w:rsid w:val="00377B51"/>
    <w:rsid w:val="003A14D8"/>
    <w:rsid w:val="003A2F20"/>
    <w:rsid w:val="003A5CE6"/>
    <w:rsid w:val="003A7A16"/>
    <w:rsid w:val="003C0261"/>
    <w:rsid w:val="003D5649"/>
    <w:rsid w:val="003E339C"/>
    <w:rsid w:val="003E6C81"/>
    <w:rsid w:val="003F1A77"/>
    <w:rsid w:val="003F5F2D"/>
    <w:rsid w:val="00404071"/>
    <w:rsid w:val="0041756C"/>
    <w:rsid w:val="0042398E"/>
    <w:rsid w:val="0044553C"/>
    <w:rsid w:val="00446C94"/>
    <w:rsid w:val="00457290"/>
    <w:rsid w:val="00460EB1"/>
    <w:rsid w:val="00474C83"/>
    <w:rsid w:val="00486BD4"/>
    <w:rsid w:val="00487A11"/>
    <w:rsid w:val="004970C8"/>
    <w:rsid w:val="004A1CF9"/>
    <w:rsid w:val="004A1EA2"/>
    <w:rsid w:val="004B5DD2"/>
    <w:rsid w:val="004C79B7"/>
    <w:rsid w:val="004D06FB"/>
    <w:rsid w:val="004D3314"/>
    <w:rsid w:val="005016C3"/>
    <w:rsid w:val="00513A34"/>
    <w:rsid w:val="005362FC"/>
    <w:rsid w:val="00540EF2"/>
    <w:rsid w:val="005471D3"/>
    <w:rsid w:val="00547CA0"/>
    <w:rsid w:val="00547E81"/>
    <w:rsid w:val="00562B18"/>
    <w:rsid w:val="00571BDB"/>
    <w:rsid w:val="00572831"/>
    <w:rsid w:val="005A10E3"/>
    <w:rsid w:val="005B3D1D"/>
    <w:rsid w:val="005E5A3B"/>
    <w:rsid w:val="005E60A0"/>
    <w:rsid w:val="00607287"/>
    <w:rsid w:val="00650FB3"/>
    <w:rsid w:val="00655140"/>
    <w:rsid w:val="006656C5"/>
    <w:rsid w:val="0067270D"/>
    <w:rsid w:val="006914DF"/>
    <w:rsid w:val="006B2FF7"/>
    <w:rsid w:val="006C068A"/>
    <w:rsid w:val="00701CF7"/>
    <w:rsid w:val="00726CB8"/>
    <w:rsid w:val="00731D48"/>
    <w:rsid w:val="007320A4"/>
    <w:rsid w:val="0074733F"/>
    <w:rsid w:val="00756700"/>
    <w:rsid w:val="00756D06"/>
    <w:rsid w:val="00763942"/>
    <w:rsid w:val="00783842"/>
    <w:rsid w:val="007903D0"/>
    <w:rsid w:val="00792628"/>
    <w:rsid w:val="007A268D"/>
    <w:rsid w:val="007A6A7B"/>
    <w:rsid w:val="007B3121"/>
    <w:rsid w:val="007E039D"/>
    <w:rsid w:val="007E102D"/>
    <w:rsid w:val="00822125"/>
    <w:rsid w:val="00866624"/>
    <w:rsid w:val="00876332"/>
    <w:rsid w:val="00892D26"/>
    <w:rsid w:val="00894356"/>
    <w:rsid w:val="008A6FC5"/>
    <w:rsid w:val="008D6D7F"/>
    <w:rsid w:val="008E5A2B"/>
    <w:rsid w:val="008F21DF"/>
    <w:rsid w:val="0090364D"/>
    <w:rsid w:val="00914716"/>
    <w:rsid w:val="00915BDA"/>
    <w:rsid w:val="00933316"/>
    <w:rsid w:val="00936D67"/>
    <w:rsid w:val="00954C10"/>
    <w:rsid w:val="00982095"/>
    <w:rsid w:val="009C2342"/>
    <w:rsid w:val="009E47E1"/>
    <w:rsid w:val="009E75C8"/>
    <w:rsid w:val="00A12AC9"/>
    <w:rsid w:val="00A16BD3"/>
    <w:rsid w:val="00A22F3E"/>
    <w:rsid w:val="00A36DDB"/>
    <w:rsid w:val="00A457DE"/>
    <w:rsid w:val="00A52F7E"/>
    <w:rsid w:val="00A659A9"/>
    <w:rsid w:val="00A666FD"/>
    <w:rsid w:val="00A85A4D"/>
    <w:rsid w:val="00A95E43"/>
    <w:rsid w:val="00A96367"/>
    <w:rsid w:val="00A97E53"/>
    <w:rsid w:val="00AA3F96"/>
    <w:rsid w:val="00AC207F"/>
    <w:rsid w:val="00AC2497"/>
    <w:rsid w:val="00AC384E"/>
    <w:rsid w:val="00AD650F"/>
    <w:rsid w:val="00AD7B6C"/>
    <w:rsid w:val="00AE393C"/>
    <w:rsid w:val="00AF066B"/>
    <w:rsid w:val="00AF1F5F"/>
    <w:rsid w:val="00AF55E9"/>
    <w:rsid w:val="00B16915"/>
    <w:rsid w:val="00B34D82"/>
    <w:rsid w:val="00B44676"/>
    <w:rsid w:val="00B52960"/>
    <w:rsid w:val="00B56F7C"/>
    <w:rsid w:val="00B66281"/>
    <w:rsid w:val="00B83AE5"/>
    <w:rsid w:val="00B86AFD"/>
    <w:rsid w:val="00B95311"/>
    <w:rsid w:val="00BA1806"/>
    <w:rsid w:val="00BB4011"/>
    <w:rsid w:val="00BC21B7"/>
    <w:rsid w:val="00BC63CD"/>
    <w:rsid w:val="00BD13BB"/>
    <w:rsid w:val="00BD5C0A"/>
    <w:rsid w:val="00BD702D"/>
    <w:rsid w:val="00BD725A"/>
    <w:rsid w:val="00BE0599"/>
    <w:rsid w:val="00BF2E89"/>
    <w:rsid w:val="00BF7558"/>
    <w:rsid w:val="00C200D1"/>
    <w:rsid w:val="00C61970"/>
    <w:rsid w:val="00C62FA2"/>
    <w:rsid w:val="00C72C41"/>
    <w:rsid w:val="00C741F7"/>
    <w:rsid w:val="00CB1DDE"/>
    <w:rsid w:val="00CB4F67"/>
    <w:rsid w:val="00CC2FDD"/>
    <w:rsid w:val="00CD321F"/>
    <w:rsid w:val="00CE380A"/>
    <w:rsid w:val="00CF712D"/>
    <w:rsid w:val="00D30F06"/>
    <w:rsid w:val="00D453B8"/>
    <w:rsid w:val="00D64405"/>
    <w:rsid w:val="00D64AAF"/>
    <w:rsid w:val="00D93FE0"/>
    <w:rsid w:val="00D9433C"/>
    <w:rsid w:val="00DA3AFF"/>
    <w:rsid w:val="00DA561D"/>
    <w:rsid w:val="00DA7129"/>
    <w:rsid w:val="00DB52C0"/>
    <w:rsid w:val="00DB65D0"/>
    <w:rsid w:val="00DB6BEB"/>
    <w:rsid w:val="00DC70F2"/>
    <w:rsid w:val="00DD5532"/>
    <w:rsid w:val="00DE07E7"/>
    <w:rsid w:val="00DF7F92"/>
    <w:rsid w:val="00E02540"/>
    <w:rsid w:val="00E04B7B"/>
    <w:rsid w:val="00E16A39"/>
    <w:rsid w:val="00E247D4"/>
    <w:rsid w:val="00E24EAC"/>
    <w:rsid w:val="00E26F73"/>
    <w:rsid w:val="00E303E2"/>
    <w:rsid w:val="00E42ABF"/>
    <w:rsid w:val="00E62E77"/>
    <w:rsid w:val="00E65EB7"/>
    <w:rsid w:val="00E8563A"/>
    <w:rsid w:val="00EA3325"/>
    <w:rsid w:val="00EA783E"/>
    <w:rsid w:val="00EB2D61"/>
    <w:rsid w:val="00ED135D"/>
    <w:rsid w:val="00ED4AA7"/>
    <w:rsid w:val="00F15BAA"/>
    <w:rsid w:val="00F20561"/>
    <w:rsid w:val="00F31E34"/>
    <w:rsid w:val="00F626FD"/>
    <w:rsid w:val="00F75DF8"/>
    <w:rsid w:val="00F958CD"/>
    <w:rsid w:val="00FA1D10"/>
    <w:rsid w:val="00FA3CB9"/>
    <w:rsid w:val="00FB1178"/>
    <w:rsid w:val="00FD101D"/>
    <w:rsid w:val="00FD4291"/>
    <w:rsid w:val="00FE25EF"/>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style>
  <w:style w:type="paragraph" w:styleId="Heading1">
    <w:name w:val="heading 1"/>
    <w:basedOn w:val="Normal"/>
    <w:next w:val="Normal"/>
    <w:link w:val="Heading1Char"/>
    <w:uiPriority w:val="99"/>
    <w:qFormat/>
    <w:locked/>
    <w:rsid w:val="0006753B"/>
    <w:pPr>
      <w:keepNext/>
      <w:spacing w:after="0" w:line="240" w:lineRule="auto"/>
      <w:ind w:right="-360"/>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53B"/>
    <w:rPr>
      <w:rFonts w:cs="Times New Roman"/>
      <w:b/>
      <w:bCs/>
      <w:sz w:val="24"/>
      <w:szCs w:val="24"/>
      <w:lang w:val="en-US" w:eastAsia="en-US" w:bidi="ar-SA"/>
    </w:rPr>
  </w:style>
  <w:style w:type="paragraph" w:styleId="ListParagraph">
    <w:name w:val="List Paragraph"/>
    <w:basedOn w:val="Normal"/>
    <w:uiPriority w:val="99"/>
    <w:qFormat/>
    <w:rsid w:val="00982095"/>
    <w:pPr>
      <w:ind w:left="720"/>
      <w:contextualSpacing/>
    </w:pPr>
  </w:style>
  <w:style w:type="paragraph" w:styleId="Header">
    <w:name w:val="header"/>
    <w:basedOn w:val="Normal"/>
    <w:link w:val="HeaderChar"/>
    <w:uiPriority w:val="99"/>
    <w:semiHidden/>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982095"/>
    <w:rPr>
      <w:rFonts w:cs="Times New Roman"/>
    </w:rPr>
  </w:style>
  <w:style w:type="paragraph" w:styleId="Footer">
    <w:name w:val="footer"/>
    <w:basedOn w:val="Normal"/>
    <w:link w:val="FooterChar"/>
    <w:uiPriority w:val="99"/>
    <w:semiHidden/>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982095"/>
    <w:rPr>
      <w:rFonts w:cs="Times New Roman"/>
    </w:rPr>
  </w:style>
  <w:style w:type="paragraph" w:customStyle="1" w:styleId="Default">
    <w:name w:val="Default"/>
    <w:uiPriority w:val="99"/>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basedOn w:val="DefaultParagraphFont"/>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2095"/>
    <w:rPr>
      <w:rFonts w:ascii="Tahoma" w:hAnsi="Tahoma" w:cs="Tahoma"/>
      <w:sz w:val="16"/>
      <w:szCs w:val="16"/>
    </w:rPr>
  </w:style>
  <w:style w:type="character" w:styleId="CommentReference">
    <w:name w:val="annotation reference"/>
    <w:basedOn w:val="DefaultParagraphFont"/>
    <w:uiPriority w:val="99"/>
    <w:semiHidden/>
    <w:rsid w:val="00982095"/>
    <w:rPr>
      <w:rFonts w:cs="Times New Roman"/>
      <w:sz w:val="16"/>
      <w:szCs w:val="16"/>
    </w:rPr>
  </w:style>
  <w:style w:type="paragraph" w:styleId="CommentText">
    <w:name w:val="annotation text"/>
    <w:basedOn w:val="Normal"/>
    <w:link w:val="CommentTextChar"/>
    <w:uiPriority w:val="99"/>
    <w:semiHidden/>
    <w:rsid w:val="0098209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rsid w:val="00982095"/>
    <w:rPr>
      <w:b/>
      <w:bCs/>
    </w:rPr>
  </w:style>
  <w:style w:type="character" w:customStyle="1" w:styleId="CommentSubjectChar">
    <w:name w:val="Comment Subject Char"/>
    <w:basedOn w:val="CommentText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82095"/>
    <w:rPr>
      <w:rFonts w:cs="Times New Roman"/>
      <w:sz w:val="20"/>
      <w:szCs w:val="20"/>
    </w:rPr>
  </w:style>
  <w:style w:type="character" w:styleId="FootnoteReference">
    <w:name w:val="footnote reference"/>
    <w:basedOn w:val="DefaultParagraphFont"/>
    <w:uiPriority w:val="99"/>
    <w:semiHidden/>
    <w:rsid w:val="00982095"/>
    <w:rPr>
      <w:rFonts w:cs="Times New Roman"/>
      <w:vertAlign w:val="superscript"/>
    </w:rPr>
  </w:style>
  <w:style w:type="paragraph" w:styleId="Revision">
    <w:name w:val="Revision"/>
    <w:hidden/>
    <w:uiPriority w:val="99"/>
    <w:semiHidden/>
    <w:rsid w:val="00982095"/>
  </w:style>
  <w:style w:type="character" w:styleId="Hyperlink">
    <w:name w:val="Hyperlink"/>
    <w:basedOn w:val="DefaultParagraphFont"/>
    <w:uiPriority w:val="99"/>
    <w:semiHidden/>
    <w:rsid w:val="00404071"/>
    <w:rPr>
      <w:rFonts w:cs="Times New Roman"/>
      <w:color w:val="0000FF"/>
      <w:u w:val="single"/>
    </w:rPr>
  </w:style>
  <w:style w:type="character" w:styleId="PageNumber">
    <w:name w:val="page number"/>
    <w:basedOn w:val="DefaultParagraphFont"/>
    <w:uiPriority w:val="99"/>
    <w:rsid w:val="00E62E7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104">
      <w:bodyDiv w:val="1"/>
      <w:marLeft w:val="0"/>
      <w:marRight w:val="0"/>
      <w:marTop w:val="0"/>
      <w:marBottom w:val="0"/>
      <w:divBdr>
        <w:top w:val="none" w:sz="0" w:space="0" w:color="auto"/>
        <w:left w:val="none" w:sz="0" w:space="0" w:color="auto"/>
        <w:bottom w:val="none" w:sz="0" w:space="0" w:color="auto"/>
        <w:right w:val="none" w:sz="0" w:space="0" w:color="auto"/>
      </w:divBdr>
    </w:div>
    <w:div w:id="428046979">
      <w:bodyDiv w:val="1"/>
      <w:marLeft w:val="0"/>
      <w:marRight w:val="0"/>
      <w:marTop w:val="0"/>
      <w:marBottom w:val="0"/>
      <w:divBdr>
        <w:top w:val="none" w:sz="0" w:space="0" w:color="auto"/>
        <w:left w:val="none" w:sz="0" w:space="0" w:color="auto"/>
        <w:bottom w:val="none" w:sz="0" w:space="0" w:color="auto"/>
        <w:right w:val="none" w:sz="0" w:space="0" w:color="auto"/>
      </w:divBdr>
    </w:div>
    <w:div w:id="441344415">
      <w:bodyDiv w:val="1"/>
      <w:marLeft w:val="0"/>
      <w:marRight w:val="0"/>
      <w:marTop w:val="0"/>
      <w:marBottom w:val="0"/>
      <w:divBdr>
        <w:top w:val="none" w:sz="0" w:space="0" w:color="auto"/>
        <w:left w:val="none" w:sz="0" w:space="0" w:color="auto"/>
        <w:bottom w:val="none" w:sz="0" w:space="0" w:color="auto"/>
        <w:right w:val="none" w:sz="0" w:space="0" w:color="auto"/>
      </w:divBdr>
    </w:div>
    <w:div w:id="613445350">
      <w:marLeft w:val="0"/>
      <w:marRight w:val="0"/>
      <w:marTop w:val="0"/>
      <w:marBottom w:val="0"/>
      <w:divBdr>
        <w:top w:val="none" w:sz="0" w:space="0" w:color="auto"/>
        <w:left w:val="none" w:sz="0" w:space="0" w:color="auto"/>
        <w:bottom w:val="none" w:sz="0" w:space="0" w:color="auto"/>
        <w:right w:val="none" w:sz="0" w:space="0" w:color="auto"/>
      </w:divBdr>
    </w:div>
    <w:div w:id="613445351">
      <w:marLeft w:val="0"/>
      <w:marRight w:val="0"/>
      <w:marTop w:val="0"/>
      <w:marBottom w:val="0"/>
      <w:divBdr>
        <w:top w:val="none" w:sz="0" w:space="0" w:color="auto"/>
        <w:left w:val="none" w:sz="0" w:space="0" w:color="auto"/>
        <w:bottom w:val="none" w:sz="0" w:space="0" w:color="auto"/>
        <w:right w:val="none" w:sz="0" w:space="0" w:color="auto"/>
      </w:divBdr>
    </w:div>
    <w:div w:id="613445352">
      <w:marLeft w:val="0"/>
      <w:marRight w:val="0"/>
      <w:marTop w:val="0"/>
      <w:marBottom w:val="0"/>
      <w:divBdr>
        <w:top w:val="none" w:sz="0" w:space="0" w:color="auto"/>
        <w:left w:val="none" w:sz="0" w:space="0" w:color="auto"/>
        <w:bottom w:val="none" w:sz="0" w:space="0" w:color="auto"/>
        <w:right w:val="none" w:sz="0" w:space="0" w:color="auto"/>
      </w:divBdr>
    </w:div>
    <w:div w:id="613445353">
      <w:marLeft w:val="0"/>
      <w:marRight w:val="0"/>
      <w:marTop w:val="0"/>
      <w:marBottom w:val="0"/>
      <w:divBdr>
        <w:top w:val="none" w:sz="0" w:space="0" w:color="auto"/>
        <w:left w:val="none" w:sz="0" w:space="0" w:color="auto"/>
        <w:bottom w:val="none" w:sz="0" w:space="0" w:color="auto"/>
        <w:right w:val="none" w:sz="0" w:space="0" w:color="auto"/>
      </w:divBdr>
    </w:div>
    <w:div w:id="613445354">
      <w:marLeft w:val="0"/>
      <w:marRight w:val="0"/>
      <w:marTop w:val="0"/>
      <w:marBottom w:val="0"/>
      <w:divBdr>
        <w:top w:val="none" w:sz="0" w:space="0" w:color="auto"/>
        <w:left w:val="none" w:sz="0" w:space="0" w:color="auto"/>
        <w:bottom w:val="none" w:sz="0" w:space="0" w:color="auto"/>
        <w:right w:val="none" w:sz="0" w:space="0" w:color="auto"/>
      </w:divBdr>
    </w:div>
    <w:div w:id="613445355">
      <w:marLeft w:val="375"/>
      <w:marRight w:val="0"/>
      <w:marTop w:val="375"/>
      <w:marBottom w:val="0"/>
      <w:divBdr>
        <w:top w:val="none" w:sz="0" w:space="0" w:color="auto"/>
        <w:left w:val="none" w:sz="0" w:space="0" w:color="auto"/>
        <w:bottom w:val="none" w:sz="0" w:space="0" w:color="auto"/>
        <w:right w:val="none" w:sz="0" w:space="0" w:color="auto"/>
      </w:divBdr>
    </w:div>
    <w:div w:id="861745457">
      <w:bodyDiv w:val="1"/>
      <w:marLeft w:val="0"/>
      <w:marRight w:val="0"/>
      <w:marTop w:val="0"/>
      <w:marBottom w:val="0"/>
      <w:divBdr>
        <w:top w:val="none" w:sz="0" w:space="0" w:color="auto"/>
        <w:left w:val="none" w:sz="0" w:space="0" w:color="auto"/>
        <w:bottom w:val="none" w:sz="0" w:space="0" w:color="auto"/>
        <w:right w:val="none" w:sz="0" w:space="0" w:color="auto"/>
      </w:divBdr>
    </w:div>
    <w:div w:id="16135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EOP</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Mar_S</dc:creator>
  <cp:lastModifiedBy>Julie T. Evans</cp:lastModifiedBy>
  <cp:revision>2</cp:revision>
  <cp:lastPrinted>2012-02-02T21:42:00Z</cp:lastPrinted>
  <dcterms:created xsi:type="dcterms:W3CDTF">2013-06-18T17:19:00Z</dcterms:created>
  <dcterms:modified xsi:type="dcterms:W3CDTF">2013-06-18T17:19:00Z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