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E732B0" w:rsidRDefault="00A51E24">
      <w:pPr>
        <w:jc w:val="center"/>
        <w:rPr>
          <w:rFonts w:ascii="Courier" w:hAnsi="Courier"/>
        </w:rPr>
      </w:pPr>
      <w:r>
        <w:rPr>
          <w:b/>
          <w:bCs/>
        </w:rPr>
        <w:t xml:space="preserve">ICR No. 1235.04 </w:t>
      </w:r>
      <w:r w:rsidR="00016E14" w:rsidRPr="00016E14">
        <w:rPr>
          <w:rFonts w:ascii="Courier" w:hAnsi="Courier"/>
        </w:rPr>
        <w:t xml:space="preserve">and OMB Number: (XXXX) </w:t>
      </w:r>
      <w:r w:rsidR="00C81ED8">
        <w:rPr>
          <w:rFonts w:ascii="Courier" w:hAnsi="Courier"/>
        </w:rPr>
        <w:t>1830-0564</w:t>
      </w:r>
    </w:p>
    <w:p w:rsidR="00E732B0" w:rsidRDefault="00016E14">
      <w:pPr>
        <w:jc w:val="center"/>
        <w:rPr>
          <w:rFonts w:ascii="Courier" w:hAnsi="Courier"/>
        </w:rPr>
      </w:pPr>
      <w:r w:rsidRPr="00016E14">
        <w:rPr>
          <w:rFonts w:ascii="Courier" w:hAnsi="Courier"/>
        </w:rPr>
        <w:t xml:space="preserve">Revised </w:t>
      </w:r>
      <w:r w:rsidR="00C81ED8">
        <w:rPr>
          <w:rFonts w:ascii="Courier" w:hAnsi="Courier"/>
        </w:rPr>
        <w:t>05</w:t>
      </w:r>
      <w:r w:rsidRPr="00016E14">
        <w:rPr>
          <w:rFonts w:ascii="Courier" w:hAnsi="Courier"/>
        </w:rPr>
        <w:t>/</w:t>
      </w:r>
      <w:r w:rsidR="009578C4">
        <w:rPr>
          <w:rFonts w:ascii="Courier" w:hAnsi="Courier"/>
        </w:rPr>
        <w:t>20</w:t>
      </w:r>
      <w:r w:rsidRPr="00016E14">
        <w:rPr>
          <w:rFonts w:ascii="Courier" w:hAnsi="Courier"/>
        </w:rPr>
        <w:t>/</w:t>
      </w:r>
      <w:r w:rsidR="00C81ED8">
        <w:rPr>
          <w:rFonts w:ascii="Courier" w:hAnsi="Courier"/>
        </w:rPr>
        <w:t>2013</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5423FA" w:rsidRDefault="005423FA" w:rsidP="005423FA">
      <w:pPr>
        <w:pStyle w:val="HTMLPreformatted"/>
        <w:rPr>
          <w:rFonts w:ascii="Times New Roman" w:hAnsi="Times New Roman" w:cs="Times New Roman"/>
          <w:sz w:val="24"/>
        </w:rPr>
      </w:pPr>
      <w:r>
        <w:rPr>
          <w:rFonts w:ascii="Times New Roman" w:hAnsi="Times New Roman" w:cs="Times New Roman"/>
          <w:sz w:val="24"/>
        </w:rPr>
        <w:t xml:space="preserve">This is a request to reinstate an information collection without change.  </w:t>
      </w:r>
    </w:p>
    <w:p w:rsidR="005423FA" w:rsidRDefault="005423FA" w:rsidP="005423FA">
      <w:pPr>
        <w:pStyle w:val="HTMLPreformatted"/>
        <w:rPr>
          <w:rFonts w:ascii="Times New Roman" w:hAnsi="Times New Roman" w:cs="Times New Roman"/>
          <w:sz w:val="24"/>
        </w:rPr>
      </w:pPr>
    </w:p>
    <w:p w:rsidR="00A3689F" w:rsidRDefault="005423FA" w:rsidP="005423FA">
      <w:pPr>
        <w:pStyle w:val="HTMLPreformatted"/>
        <w:rPr>
          <w:rFonts w:ascii="Times New Roman" w:hAnsi="Times New Roman" w:cs="Times New Roman"/>
          <w:sz w:val="24"/>
        </w:rPr>
      </w:pPr>
      <w:r>
        <w:rPr>
          <w:rFonts w:ascii="Times New Roman" w:hAnsi="Times New Roman" w:cs="Times New Roman"/>
          <w:sz w:val="24"/>
        </w:rPr>
        <w:t xml:space="preserve">The purpose of the information collection is to solicit applications for funding under the Native Hawaiian Career and Technical Education Program (NHCTEP) discretionary grant program. </w:t>
      </w:r>
      <w:r w:rsidR="00A3689F">
        <w:rPr>
          <w:rFonts w:ascii="Times New Roman" w:hAnsi="Times New Roman" w:cs="Times New Roman"/>
          <w:sz w:val="24"/>
        </w:rPr>
        <w:t>T</w:t>
      </w:r>
      <w:r>
        <w:rPr>
          <w:rFonts w:ascii="Times New Roman" w:hAnsi="Times New Roman" w:cs="Times New Roman"/>
          <w:sz w:val="24"/>
        </w:rPr>
        <w:t xml:space="preserve">his program provides financial assistance to projects that offer career and technical education and related activities for the benefit of Native Hawaiians. Native Hawaiian community-based organizations are the only eligible applicants.  </w:t>
      </w:r>
    </w:p>
    <w:p w:rsidR="00A3689F" w:rsidRDefault="00A3689F" w:rsidP="005423FA">
      <w:pPr>
        <w:pStyle w:val="HTMLPreformatted"/>
        <w:rPr>
          <w:rFonts w:ascii="Times New Roman" w:hAnsi="Times New Roman" w:cs="Times New Roman"/>
          <w:sz w:val="24"/>
        </w:rPr>
      </w:pPr>
    </w:p>
    <w:p w:rsidR="00A3689F" w:rsidRDefault="00A3689F" w:rsidP="005423FA">
      <w:pPr>
        <w:pStyle w:val="HTMLPreformatted"/>
        <w:rPr>
          <w:rFonts w:ascii="Times New Roman" w:hAnsi="Times New Roman" w:cs="Times New Roman"/>
          <w:sz w:val="24"/>
        </w:rPr>
      </w:pPr>
      <w:r>
        <w:rPr>
          <w:rFonts w:ascii="Times New Roman" w:hAnsi="Times New Roman" w:cs="Times New Roman"/>
          <w:sz w:val="24"/>
        </w:rPr>
        <w:t>The program is a</w:t>
      </w:r>
      <w:r w:rsidRPr="00A3689F">
        <w:rPr>
          <w:rFonts w:ascii="Times New Roman" w:hAnsi="Times New Roman" w:cs="Times New Roman"/>
          <w:sz w:val="24"/>
        </w:rPr>
        <w:t>uthorized by section 116 (h) of the Carl D. Perkins Career and Technical Education Act of 2006 (Public Law 109-270)</w:t>
      </w:r>
      <w:r>
        <w:rPr>
          <w:rFonts w:ascii="Times New Roman" w:hAnsi="Times New Roman" w:cs="Times New Roman"/>
          <w:sz w:val="24"/>
        </w:rPr>
        <w:t>:</w:t>
      </w:r>
    </w:p>
    <w:p w:rsidR="00A3689F" w:rsidRDefault="00A3689F" w:rsidP="005423FA">
      <w:pPr>
        <w:pStyle w:val="HTMLPreformatted"/>
        <w:rPr>
          <w:rFonts w:ascii="Times New Roman" w:hAnsi="Times New Roman" w:cs="Times New Roman"/>
          <w:sz w:val="24"/>
        </w:rPr>
      </w:pPr>
    </w:p>
    <w:p w:rsidR="00A3689F" w:rsidRDefault="00A3689F" w:rsidP="00A3689F">
      <w:pPr>
        <w:pStyle w:val="HTMLPreformatted"/>
        <w:ind w:left="720"/>
        <w:rPr>
          <w:rFonts w:ascii="Times New Roman" w:hAnsi="Times New Roman" w:cs="Times New Roman"/>
          <w:sz w:val="24"/>
        </w:rPr>
      </w:pPr>
      <w:r w:rsidRPr="00A3689F">
        <w:rPr>
          <w:rFonts w:ascii="Times New Roman" w:hAnsi="Times New Roman" w:cs="Times New Roman"/>
          <w:sz w:val="24"/>
        </w:rPr>
        <w:t>‘‘(h) NATIVE HAWAIIAN PROGRAMS.—From the funds reserved</w:t>
      </w:r>
      <w:r>
        <w:rPr>
          <w:rFonts w:ascii="Times New Roman" w:hAnsi="Times New Roman" w:cs="Times New Roman"/>
          <w:sz w:val="24"/>
        </w:rPr>
        <w:t xml:space="preserve"> </w:t>
      </w:r>
      <w:r w:rsidRPr="00A3689F">
        <w:rPr>
          <w:rFonts w:ascii="Times New Roman" w:hAnsi="Times New Roman" w:cs="Times New Roman"/>
          <w:sz w:val="24"/>
        </w:rPr>
        <w:t>pursuant to section 111(a</w:t>
      </w:r>
      <w:proofErr w:type="gramStart"/>
      <w:r w:rsidRPr="00A3689F">
        <w:rPr>
          <w:rFonts w:ascii="Times New Roman" w:hAnsi="Times New Roman" w:cs="Times New Roman"/>
          <w:sz w:val="24"/>
        </w:rPr>
        <w:t>)(</w:t>
      </w:r>
      <w:proofErr w:type="gramEnd"/>
      <w:r w:rsidRPr="00A3689F">
        <w:rPr>
          <w:rFonts w:ascii="Times New Roman" w:hAnsi="Times New Roman" w:cs="Times New Roman"/>
          <w:sz w:val="24"/>
        </w:rPr>
        <w:t>1)(B)(ii), the Secretary shall award grants</w:t>
      </w:r>
      <w:r>
        <w:rPr>
          <w:rFonts w:ascii="Times New Roman" w:hAnsi="Times New Roman" w:cs="Times New Roman"/>
          <w:sz w:val="24"/>
        </w:rPr>
        <w:t xml:space="preserve"> </w:t>
      </w:r>
      <w:r w:rsidRPr="00A3689F">
        <w:rPr>
          <w:rFonts w:ascii="Times New Roman" w:hAnsi="Times New Roman" w:cs="Times New Roman"/>
          <w:sz w:val="24"/>
        </w:rPr>
        <w:t>to or enter into contracts with community-based organizations primarily</w:t>
      </w:r>
      <w:r>
        <w:rPr>
          <w:rFonts w:ascii="Times New Roman" w:hAnsi="Times New Roman" w:cs="Times New Roman"/>
          <w:sz w:val="24"/>
        </w:rPr>
        <w:t xml:space="preserve"> </w:t>
      </w:r>
      <w:r w:rsidRPr="00A3689F">
        <w:rPr>
          <w:rFonts w:ascii="Times New Roman" w:hAnsi="Times New Roman" w:cs="Times New Roman"/>
          <w:sz w:val="24"/>
        </w:rPr>
        <w:t>serving and representing Native Hawaiians to plan, conduct,</w:t>
      </w:r>
      <w:r>
        <w:rPr>
          <w:rFonts w:ascii="Times New Roman" w:hAnsi="Times New Roman" w:cs="Times New Roman"/>
          <w:sz w:val="24"/>
        </w:rPr>
        <w:t xml:space="preserve"> </w:t>
      </w:r>
      <w:r w:rsidRPr="00A3689F">
        <w:rPr>
          <w:rFonts w:ascii="Times New Roman" w:hAnsi="Times New Roman" w:cs="Times New Roman"/>
          <w:sz w:val="24"/>
        </w:rPr>
        <w:t>and administer programs, or portions thereof, which are authorized</w:t>
      </w:r>
      <w:r>
        <w:rPr>
          <w:rFonts w:ascii="Times New Roman" w:hAnsi="Times New Roman" w:cs="Times New Roman"/>
          <w:sz w:val="24"/>
        </w:rPr>
        <w:t xml:space="preserve"> </w:t>
      </w:r>
      <w:r w:rsidRPr="00A3689F">
        <w:rPr>
          <w:rFonts w:ascii="Times New Roman" w:hAnsi="Times New Roman" w:cs="Times New Roman"/>
          <w:sz w:val="24"/>
        </w:rPr>
        <w:t xml:space="preserve">by and consistent with </w:t>
      </w:r>
      <w:r w:rsidR="00E5105E" w:rsidRPr="00A3689F">
        <w:rPr>
          <w:rFonts w:ascii="Times New Roman" w:hAnsi="Times New Roman" w:cs="Times New Roman"/>
          <w:sz w:val="24"/>
        </w:rPr>
        <w:t xml:space="preserve">the </w:t>
      </w:r>
      <w:r w:rsidR="00E5105E">
        <w:rPr>
          <w:rFonts w:ascii="Times New Roman" w:hAnsi="Times New Roman" w:cs="Times New Roman"/>
          <w:sz w:val="24"/>
        </w:rPr>
        <w:t>provisions</w:t>
      </w:r>
      <w:r w:rsidRPr="00A3689F">
        <w:rPr>
          <w:rFonts w:ascii="Times New Roman" w:hAnsi="Times New Roman" w:cs="Times New Roman"/>
          <w:sz w:val="24"/>
        </w:rPr>
        <w:t xml:space="preserve"> of this section for the benefit</w:t>
      </w:r>
      <w:r>
        <w:rPr>
          <w:rFonts w:ascii="Times New Roman" w:hAnsi="Times New Roman" w:cs="Times New Roman"/>
          <w:sz w:val="24"/>
        </w:rPr>
        <w:t xml:space="preserve"> </w:t>
      </w:r>
      <w:r w:rsidRPr="00A3689F">
        <w:rPr>
          <w:rFonts w:ascii="Times New Roman" w:hAnsi="Times New Roman" w:cs="Times New Roman"/>
          <w:sz w:val="24"/>
        </w:rPr>
        <w:t>of Native Hawaiians.</w:t>
      </w:r>
      <w:r>
        <w:rPr>
          <w:rFonts w:ascii="Times New Roman" w:hAnsi="Times New Roman" w:cs="Times New Roman"/>
          <w:sz w:val="24"/>
        </w:rPr>
        <w:t>”</w:t>
      </w:r>
    </w:p>
    <w:p w:rsidR="00A3689F" w:rsidRDefault="00A3689F" w:rsidP="005423FA">
      <w:pPr>
        <w:pStyle w:val="HTMLPreformatted"/>
        <w:rPr>
          <w:rFonts w:ascii="Times New Roman" w:hAnsi="Times New Roman" w:cs="Times New Roman"/>
          <w:sz w:val="24"/>
        </w:rPr>
      </w:pPr>
    </w:p>
    <w:p w:rsidR="005423FA" w:rsidRDefault="005423FA" w:rsidP="005423FA">
      <w:pPr>
        <w:pStyle w:val="HTMLPreformatted"/>
        <w:rPr>
          <w:rFonts w:ascii="Times New Roman" w:hAnsi="Times New Roman" w:cs="Times New Roman"/>
          <w:sz w:val="24"/>
        </w:rPr>
      </w:pPr>
      <w:r>
        <w:rPr>
          <w:rFonts w:ascii="Times New Roman" w:hAnsi="Times New Roman" w:cs="Times New Roman"/>
          <w:sz w:val="24"/>
        </w:rPr>
        <w:t xml:space="preserve">On March 24, 2009, the Department published in the </w:t>
      </w:r>
      <w:r w:rsidRPr="005F4FE1">
        <w:rPr>
          <w:rFonts w:ascii="Times New Roman" w:hAnsi="Times New Roman" w:cs="Times New Roman"/>
          <w:i/>
          <w:sz w:val="24"/>
        </w:rPr>
        <w:t>Federal Register</w:t>
      </w:r>
      <w:r>
        <w:rPr>
          <w:rFonts w:ascii="Times New Roman" w:hAnsi="Times New Roman" w:cs="Times New Roman"/>
          <w:sz w:val="24"/>
        </w:rPr>
        <w:t xml:space="preserve"> a Notice of Final Requirements, Definitions, and Selection Criteria for the program. This notice---</w:t>
      </w:r>
    </w:p>
    <w:p w:rsidR="005423FA" w:rsidRDefault="005423FA" w:rsidP="005423FA">
      <w:pPr>
        <w:pStyle w:val="HTMLPreformatted"/>
        <w:ind w:left="720"/>
        <w:rPr>
          <w:rFonts w:ascii="Times New Roman" w:hAnsi="Times New Roman" w:cs="Times New Roman"/>
          <w:sz w:val="24"/>
        </w:rPr>
      </w:pPr>
    </w:p>
    <w:p w:rsidR="005423FA" w:rsidRDefault="005423FA" w:rsidP="005423FA">
      <w:pPr>
        <w:pStyle w:val="HTMLPreformatted"/>
        <w:numPr>
          <w:ilvl w:val="0"/>
          <w:numId w:val="24"/>
        </w:numPr>
        <w:rPr>
          <w:rFonts w:ascii="Times New Roman" w:hAnsi="Times New Roman" w:cs="Times New Roman"/>
          <w:sz w:val="24"/>
        </w:rPr>
      </w:pPr>
      <w:r>
        <w:rPr>
          <w:rFonts w:ascii="Times New Roman" w:hAnsi="Times New Roman" w:cs="Times New Roman"/>
          <w:sz w:val="24"/>
        </w:rPr>
        <w:t>Clarified the programs and activities for which grant assistance may be used;</w:t>
      </w:r>
    </w:p>
    <w:p w:rsidR="005423FA" w:rsidRDefault="005423FA" w:rsidP="005423FA">
      <w:pPr>
        <w:pStyle w:val="HTMLPreformatted"/>
        <w:ind w:left="720"/>
        <w:rPr>
          <w:rFonts w:ascii="Times New Roman" w:hAnsi="Times New Roman" w:cs="Times New Roman"/>
          <w:sz w:val="24"/>
        </w:rPr>
      </w:pPr>
    </w:p>
    <w:p w:rsidR="005423FA" w:rsidRDefault="005423FA" w:rsidP="005423FA">
      <w:pPr>
        <w:pStyle w:val="HTMLPreformatted"/>
        <w:numPr>
          <w:ilvl w:val="0"/>
          <w:numId w:val="24"/>
        </w:numPr>
        <w:rPr>
          <w:rFonts w:ascii="Times New Roman" w:hAnsi="Times New Roman" w:cs="Times New Roman"/>
          <w:sz w:val="24"/>
        </w:rPr>
      </w:pPr>
      <w:r>
        <w:rPr>
          <w:rFonts w:ascii="Times New Roman" w:hAnsi="Times New Roman" w:cs="Times New Roman"/>
          <w:sz w:val="24"/>
        </w:rPr>
        <w:t>Established requirements related to the payment of student stipends;</w:t>
      </w:r>
    </w:p>
    <w:p w:rsidR="005423FA" w:rsidRDefault="005423FA" w:rsidP="005423FA">
      <w:pPr>
        <w:pStyle w:val="HTMLPreformatted"/>
        <w:ind w:left="720"/>
        <w:rPr>
          <w:rFonts w:ascii="Times New Roman" w:hAnsi="Times New Roman" w:cs="Times New Roman"/>
          <w:sz w:val="24"/>
        </w:rPr>
      </w:pPr>
    </w:p>
    <w:p w:rsidR="005423FA" w:rsidRDefault="005423FA" w:rsidP="005423FA">
      <w:pPr>
        <w:pStyle w:val="HTMLPreformatted"/>
        <w:numPr>
          <w:ilvl w:val="0"/>
          <w:numId w:val="24"/>
        </w:numPr>
        <w:rPr>
          <w:rFonts w:ascii="Times New Roman" w:hAnsi="Times New Roman" w:cs="Times New Roman"/>
          <w:sz w:val="24"/>
        </w:rPr>
      </w:pPr>
      <w:r>
        <w:rPr>
          <w:rFonts w:ascii="Times New Roman" w:hAnsi="Times New Roman" w:cs="Times New Roman"/>
          <w:sz w:val="24"/>
        </w:rPr>
        <w:t xml:space="preserve">Required applicants that do not propose to provide career and technical education directly to submit with their applications a written agreement with one or more entities that would be responsible for providing career and technical education with grant funds; </w:t>
      </w:r>
    </w:p>
    <w:p w:rsidR="005423FA" w:rsidRDefault="005423FA" w:rsidP="005423FA">
      <w:pPr>
        <w:pStyle w:val="HTMLPreformatted"/>
        <w:ind w:left="720"/>
        <w:rPr>
          <w:rFonts w:ascii="Times New Roman" w:hAnsi="Times New Roman" w:cs="Times New Roman"/>
          <w:sz w:val="24"/>
        </w:rPr>
      </w:pPr>
    </w:p>
    <w:p w:rsidR="005423FA" w:rsidRDefault="005423FA" w:rsidP="005423FA">
      <w:pPr>
        <w:pStyle w:val="HTMLPreformatted"/>
        <w:numPr>
          <w:ilvl w:val="0"/>
          <w:numId w:val="24"/>
        </w:numPr>
        <w:rPr>
          <w:rFonts w:ascii="Times New Roman" w:hAnsi="Times New Roman" w:cs="Times New Roman"/>
          <w:sz w:val="24"/>
        </w:rPr>
      </w:pPr>
      <w:r>
        <w:rPr>
          <w:rFonts w:ascii="Times New Roman" w:hAnsi="Times New Roman" w:cs="Times New Roman"/>
          <w:sz w:val="24"/>
        </w:rPr>
        <w:lastRenderedPageBreak/>
        <w:t>Required grantees to support an independent evaluation of the effectiveness of their projects; and</w:t>
      </w:r>
    </w:p>
    <w:p w:rsidR="005423FA" w:rsidRDefault="005423FA" w:rsidP="005423FA">
      <w:pPr>
        <w:pStyle w:val="HTMLPreformatted"/>
        <w:ind w:left="720"/>
        <w:rPr>
          <w:rFonts w:ascii="Times New Roman" w:hAnsi="Times New Roman" w:cs="Times New Roman"/>
          <w:sz w:val="24"/>
        </w:rPr>
      </w:pPr>
    </w:p>
    <w:p w:rsidR="005423FA" w:rsidRDefault="005423FA" w:rsidP="005423FA">
      <w:pPr>
        <w:pStyle w:val="HTMLPreformatted"/>
        <w:numPr>
          <w:ilvl w:val="0"/>
          <w:numId w:val="24"/>
        </w:numPr>
        <w:rPr>
          <w:rFonts w:ascii="Times New Roman" w:hAnsi="Times New Roman" w:cs="Times New Roman"/>
          <w:sz w:val="24"/>
        </w:rPr>
      </w:pPr>
      <w:r>
        <w:rPr>
          <w:rFonts w:ascii="Times New Roman" w:hAnsi="Times New Roman" w:cs="Times New Roman"/>
          <w:sz w:val="24"/>
        </w:rPr>
        <w:t xml:space="preserve">Established definitions, performance measures, and selection criteria for the program. </w:t>
      </w:r>
    </w:p>
    <w:p w:rsidR="00A3689F" w:rsidRDefault="00A3689F" w:rsidP="005423FA"/>
    <w:p w:rsidR="005423FA" w:rsidRDefault="00F12E61" w:rsidP="005423FA">
      <w:hyperlink r:id="rId9" w:history="1">
        <w:r w:rsidR="00A3689F" w:rsidRPr="00194CB1">
          <w:rPr>
            <w:rStyle w:val="Hyperlink"/>
          </w:rPr>
          <w:t>https://www.federalregister.gov/articles/2009/03/24/E9-6441/native-hawaiian-career-and-technical-education-program-nhctep-catalog-of-federal-domestic-assistance</w:t>
        </w:r>
      </w:hyperlink>
    </w:p>
    <w:p w:rsidR="00A3689F" w:rsidRDefault="00A3689F" w:rsidP="005423FA"/>
    <w:p w:rsidR="009B09EC" w:rsidRDefault="00386054" w:rsidP="009B09EC">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9B09EC" w:rsidRDefault="009B09EC" w:rsidP="009B09EC">
      <w:r w:rsidRPr="009B09EC">
        <w:t>This information collection is for a notice inviting applications for a discretionary grant program.  Information collected from applicants has been used, and will continue to be used, by the Department to evaluate the eligibility of an applicant for assistance and the extent to which activities for which the applicant seeks funding are allowable.  Field reviewers have and will again evaluate the technical quality of the applications on the basis of applicants’ responses to the selection criteria identified in the notice.  Department staff also have used and will continue to use the information to monitor grant recipient’s activities to ensure that funds are used only to carry out programs and activities set out in the approved application.</w:t>
      </w:r>
    </w:p>
    <w:p w:rsidR="009B09EC" w:rsidRDefault="00386054" w:rsidP="009B09EC">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B09EC" w:rsidRDefault="009B09EC" w:rsidP="009B09EC">
      <w:r w:rsidRPr="009B09EC">
        <w:t>Applicants will be required to submit their applications electronically through Grants.gov.</w:t>
      </w:r>
    </w:p>
    <w:p w:rsidR="00B83FB3" w:rsidRDefault="00386054" w:rsidP="00B578F4">
      <w:pPr>
        <w:pStyle w:val="ListParagraph"/>
        <w:numPr>
          <w:ilvl w:val="0"/>
          <w:numId w:val="20"/>
        </w:numPr>
      </w:pPr>
      <w:r w:rsidRPr="00431228">
        <w:t>Describe ef</w:t>
      </w:r>
      <w:r w:rsidR="00B578F4">
        <w:t xml:space="preserve">forts to identify duplication. </w:t>
      </w:r>
      <w:r w:rsidRPr="00431228">
        <w:t>Show specifically why any similar information already available cannot be used or modified for use for the purposes described in Item 2</w:t>
      </w:r>
      <w:r w:rsidR="000A2965">
        <w:t xml:space="preserve"> </w:t>
      </w:r>
      <w:r w:rsidRPr="00431228">
        <w:t>above.</w:t>
      </w:r>
    </w:p>
    <w:p w:rsidR="009B09EC" w:rsidRDefault="009B09EC" w:rsidP="009B09EC">
      <w:r w:rsidRPr="009B09EC">
        <w:t>There is no similar information available in other forms, or as the result of other information collections.  This information collection does not duplicate any other information collection effort.</w:t>
      </w:r>
    </w:p>
    <w:p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B09EC" w:rsidRDefault="009B09EC" w:rsidP="009B09EC">
      <w:r w:rsidRPr="009B09EC">
        <w:t>Respondents are not small businesses.</w:t>
      </w:r>
    </w:p>
    <w:p w:rsidR="009B09EC" w:rsidRDefault="009B09EC" w:rsidP="009B09EC"/>
    <w:p w:rsidR="009B09EC" w:rsidRDefault="00386054" w:rsidP="009B09EC">
      <w:pPr>
        <w:pStyle w:val="ListParagraph"/>
        <w:numPr>
          <w:ilvl w:val="0"/>
          <w:numId w:val="20"/>
        </w:numPr>
      </w:pPr>
      <w:r w:rsidRPr="00431228">
        <w:lastRenderedPageBreak/>
        <w:t>Describe the consequences to Federal program or policy activities if the collection is not conducted or is conducted less frequently, as well as any technical or legal obstacles to reducing burden.</w:t>
      </w:r>
      <w:r w:rsidR="009B09EC" w:rsidRPr="009B09EC">
        <w:t xml:space="preserve"> </w:t>
      </w:r>
    </w:p>
    <w:p w:rsidR="009B09EC" w:rsidRDefault="009B09EC" w:rsidP="009B09EC">
      <w:pPr>
        <w:pStyle w:val="ListParagraph"/>
      </w:pPr>
      <w:r>
        <w:t xml:space="preserve">The Department would not be able to award grant funds appropriated by Congress if this collection was not conducted.  </w:t>
      </w:r>
      <w:r w:rsidRPr="009B09EC">
        <w:t xml:space="preserve">The frequency of collection is keyed to the appropriation cycle.  </w:t>
      </w:r>
    </w:p>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proofErr w:type="gramStart"/>
      <w:r w:rsidRPr="00EF7FF5">
        <w:t>requiring</w:t>
      </w:r>
      <w:proofErr w:type="gramEnd"/>
      <w:r w:rsidRPr="00EF7FF5">
        <w:t xml:space="preserve">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9B09EC" w:rsidRPr="00EF7FF5" w:rsidRDefault="009B09EC" w:rsidP="009B09EC">
      <w:r>
        <w:t>There are no special circumstances.</w:t>
      </w:r>
    </w:p>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9B09EC" w:rsidRDefault="009B09EC" w:rsidP="009B09EC">
      <w:r w:rsidRPr="009B09EC">
        <w:t xml:space="preserve">A 30-day </w:t>
      </w:r>
      <w:r w:rsidRPr="009B09EC">
        <w:rPr>
          <w:i/>
        </w:rPr>
        <w:t>Federal Register</w:t>
      </w:r>
      <w:r w:rsidRPr="009B09EC">
        <w:t xml:space="preserve"> </w:t>
      </w:r>
      <w:r>
        <w:t>n</w:t>
      </w:r>
      <w:r w:rsidRPr="009B09EC">
        <w:t xml:space="preserve">otice will be published </w:t>
      </w:r>
      <w:r>
        <w:t xml:space="preserve">to give </w:t>
      </w:r>
      <w:r w:rsidRPr="009B09EC">
        <w:t xml:space="preserve">the public </w:t>
      </w:r>
      <w:r>
        <w:t xml:space="preserve">an opportunity </w:t>
      </w:r>
      <w:r w:rsidRPr="009B09EC">
        <w:t>to comment on this collection.</w:t>
      </w:r>
    </w:p>
    <w:p w:rsidR="009B09EC" w:rsidRDefault="00386054" w:rsidP="009B09EC">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9B09EC" w:rsidRPr="00322E02" w:rsidRDefault="009B09EC" w:rsidP="009B09EC">
      <w:r w:rsidRPr="009B09EC">
        <w:t>No payments or gifts to respondents will be made.</w:t>
      </w:r>
    </w:p>
    <w:p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E02">
        <w:t xml:space="preserve"> as indicated on the IC Data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rsidR="009B09EC" w:rsidRDefault="009B09EC" w:rsidP="009B09EC">
      <w:r>
        <w:br/>
      </w:r>
      <w:r w:rsidR="003E3D07">
        <w:t xml:space="preserve"> </w:t>
      </w:r>
      <w:r w:rsidR="003E3D07">
        <w:tab/>
        <w:t xml:space="preserve">There are no assurances of confidentiality. </w:t>
      </w:r>
    </w:p>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B09EC" w:rsidRDefault="009B09EC" w:rsidP="009B09EC">
      <w:r>
        <w:t>There are no questions of a sensitive nature.</w:t>
      </w:r>
    </w:p>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 xml:space="preserve">If this request for approval covers more than one form, provide separate hour burden estimates for each form and aggregate the hour burdens in the </w:t>
      </w:r>
      <w:r w:rsidR="003C7F70" w:rsidRPr="00322E02">
        <w:rPr>
          <w:rStyle w:val="a"/>
        </w:rPr>
        <w:t xml:space="preserve">ROCIS </w:t>
      </w:r>
      <w:r w:rsidRPr="00322E02">
        <w:rPr>
          <w:rStyle w:val="a"/>
        </w:rPr>
        <w:t>IC Burden Analysis Table.</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IC activity, Respondent and Responses, Hours/Response, and Total Hours)</w:t>
      </w:r>
    </w:p>
    <w:p w:rsidR="00386054" w:rsidRDefault="00386054" w:rsidP="00B83FB3">
      <w:pPr>
        <w:pStyle w:val="ListParagraph"/>
        <w:numPr>
          <w:ilvl w:val="0"/>
          <w:numId w:val="22"/>
        </w:numPr>
        <w:rPr>
          <w:rStyle w:val="a"/>
        </w:rPr>
      </w:pPr>
      <w:r w:rsidRPr="00322E02">
        <w:rPr>
          <w:rStyle w:val="a"/>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w:t>
      </w:r>
      <w:r w:rsidR="003E3D07">
        <w:rPr>
          <w:rStyle w:val="a"/>
        </w:rPr>
        <w:t>t should be included in Item 14</w:t>
      </w:r>
    </w:p>
    <w:p w:rsidR="009B09EC" w:rsidRPr="009B09EC" w:rsidRDefault="009B09EC" w:rsidP="009B09EC">
      <w:r w:rsidRPr="009B09EC">
        <w:t>We estimate that the Department will receive approximately 10 new applications from non-profit organizations.  It is estimated that the applicants will spend 120 hours developing their grant applications, making the total respondent burden 1,200 hours.  Based on the average preparation time of 120 hours per response, it is estimated that 100 hours would be used for review, research, and gathering information, with the remaining 20 hours used for typing, copying, and submission of the application.</w:t>
      </w:r>
    </w:p>
    <w:tbl>
      <w:tblPr>
        <w:tblW w:w="775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440"/>
        <w:gridCol w:w="1659"/>
        <w:gridCol w:w="1559"/>
        <w:gridCol w:w="1664"/>
      </w:tblGrid>
      <w:tr w:rsidR="009B09EC" w:rsidTr="00A51E24">
        <w:tc>
          <w:tcPr>
            <w:tcW w:w="1437" w:type="dxa"/>
          </w:tcPr>
          <w:p w:rsidR="009B09EC" w:rsidRPr="009B09EC" w:rsidRDefault="009B09EC" w:rsidP="00A51E24">
            <w:pPr>
              <w:tabs>
                <w:tab w:val="num" w:pos="993"/>
              </w:tabs>
              <w:rPr>
                <w:b/>
              </w:rPr>
            </w:pPr>
            <w:r w:rsidRPr="009B09EC">
              <w:rPr>
                <w:b/>
              </w:rPr>
              <w:t xml:space="preserve">Fiscal Year </w:t>
            </w:r>
          </w:p>
        </w:tc>
        <w:tc>
          <w:tcPr>
            <w:tcW w:w="1440" w:type="dxa"/>
          </w:tcPr>
          <w:p w:rsidR="009B09EC" w:rsidRPr="009B09EC" w:rsidRDefault="009B09EC" w:rsidP="00A51E24">
            <w:pPr>
              <w:tabs>
                <w:tab w:val="num" w:pos="993"/>
              </w:tabs>
              <w:rPr>
                <w:b/>
              </w:rPr>
            </w:pPr>
            <w:r w:rsidRPr="009B09EC">
              <w:rPr>
                <w:b/>
              </w:rPr>
              <w:t>Estimated Number of Responses</w:t>
            </w:r>
          </w:p>
        </w:tc>
        <w:tc>
          <w:tcPr>
            <w:tcW w:w="1659" w:type="dxa"/>
          </w:tcPr>
          <w:p w:rsidR="009B09EC" w:rsidRPr="009B09EC" w:rsidRDefault="009B09EC" w:rsidP="00A51E24">
            <w:pPr>
              <w:tabs>
                <w:tab w:val="num" w:pos="993"/>
              </w:tabs>
              <w:rPr>
                <w:b/>
              </w:rPr>
            </w:pPr>
            <w:r w:rsidRPr="009B09EC">
              <w:rPr>
                <w:b/>
              </w:rPr>
              <w:t>Type of Staff</w:t>
            </w:r>
          </w:p>
        </w:tc>
        <w:tc>
          <w:tcPr>
            <w:tcW w:w="1559" w:type="dxa"/>
          </w:tcPr>
          <w:p w:rsidR="009B09EC" w:rsidRPr="009B09EC" w:rsidRDefault="009B09EC" w:rsidP="00A51E24">
            <w:pPr>
              <w:tabs>
                <w:tab w:val="num" w:pos="993"/>
              </w:tabs>
              <w:rPr>
                <w:b/>
              </w:rPr>
            </w:pPr>
            <w:r w:rsidRPr="009B09EC">
              <w:rPr>
                <w:b/>
              </w:rPr>
              <w:t>Estimated Number of Burden Hours Per Response</w:t>
            </w:r>
          </w:p>
          <w:p w:rsidR="009B09EC" w:rsidRPr="009B09EC" w:rsidRDefault="009B09EC" w:rsidP="00A51E24">
            <w:pPr>
              <w:tabs>
                <w:tab w:val="num" w:pos="993"/>
              </w:tabs>
              <w:rPr>
                <w:b/>
              </w:rPr>
            </w:pPr>
          </w:p>
        </w:tc>
        <w:tc>
          <w:tcPr>
            <w:tcW w:w="1664" w:type="dxa"/>
          </w:tcPr>
          <w:p w:rsidR="009B09EC" w:rsidRPr="009B09EC" w:rsidRDefault="009B09EC" w:rsidP="00A51E24">
            <w:pPr>
              <w:tabs>
                <w:tab w:val="num" w:pos="993"/>
              </w:tabs>
              <w:rPr>
                <w:b/>
              </w:rPr>
            </w:pPr>
            <w:r w:rsidRPr="009B09EC">
              <w:rPr>
                <w:b/>
              </w:rPr>
              <w:t>Total Estimated Number of Burden Hours</w:t>
            </w:r>
          </w:p>
        </w:tc>
      </w:tr>
      <w:tr w:rsidR="009B09EC" w:rsidTr="00A51E24">
        <w:tc>
          <w:tcPr>
            <w:tcW w:w="1437" w:type="dxa"/>
          </w:tcPr>
          <w:p w:rsidR="009B09EC" w:rsidRDefault="009B09EC" w:rsidP="00A51E24">
            <w:pPr>
              <w:tabs>
                <w:tab w:val="num" w:pos="993"/>
              </w:tabs>
            </w:pPr>
            <w:r>
              <w:t>2013</w:t>
            </w:r>
          </w:p>
        </w:tc>
        <w:tc>
          <w:tcPr>
            <w:tcW w:w="1440" w:type="dxa"/>
          </w:tcPr>
          <w:p w:rsidR="009B09EC" w:rsidRDefault="009B09EC" w:rsidP="00A51E24">
            <w:pPr>
              <w:tabs>
                <w:tab w:val="num" w:pos="993"/>
              </w:tabs>
            </w:pPr>
            <w:r>
              <w:t xml:space="preserve"> 10</w:t>
            </w:r>
          </w:p>
        </w:tc>
        <w:tc>
          <w:tcPr>
            <w:tcW w:w="1659" w:type="dxa"/>
          </w:tcPr>
          <w:p w:rsidR="009B09EC" w:rsidRDefault="009B09EC" w:rsidP="00A51E24">
            <w:pPr>
              <w:tabs>
                <w:tab w:val="num" w:pos="993"/>
              </w:tabs>
            </w:pPr>
            <w:r>
              <w:t>Professional</w:t>
            </w:r>
          </w:p>
          <w:p w:rsidR="009B09EC" w:rsidRDefault="009B09EC" w:rsidP="00A51E24">
            <w:pPr>
              <w:tabs>
                <w:tab w:val="num" w:pos="993"/>
              </w:tabs>
            </w:pPr>
            <w:r>
              <w:t>Clerical</w:t>
            </w:r>
          </w:p>
        </w:tc>
        <w:tc>
          <w:tcPr>
            <w:tcW w:w="1559" w:type="dxa"/>
          </w:tcPr>
          <w:p w:rsidR="009B09EC" w:rsidRDefault="009B09EC" w:rsidP="00A51E24">
            <w:pPr>
              <w:tabs>
                <w:tab w:val="num" w:pos="993"/>
              </w:tabs>
            </w:pPr>
            <w:r>
              <w:t xml:space="preserve">    100</w:t>
            </w:r>
          </w:p>
          <w:p w:rsidR="009B09EC" w:rsidRDefault="009B09EC" w:rsidP="00A51E24">
            <w:pPr>
              <w:tabs>
                <w:tab w:val="num" w:pos="993"/>
              </w:tabs>
            </w:pPr>
            <w:r>
              <w:t xml:space="preserve">      20</w:t>
            </w:r>
          </w:p>
          <w:p w:rsidR="009B09EC" w:rsidRDefault="009B09EC" w:rsidP="00A51E24">
            <w:pPr>
              <w:tabs>
                <w:tab w:val="num" w:pos="993"/>
              </w:tabs>
            </w:pPr>
          </w:p>
        </w:tc>
        <w:tc>
          <w:tcPr>
            <w:tcW w:w="1664" w:type="dxa"/>
          </w:tcPr>
          <w:p w:rsidR="009B09EC" w:rsidRDefault="009B09EC" w:rsidP="00A51E24">
            <w:pPr>
              <w:tabs>
                <w:tab w:val="num" w:pos="993"/>
              </w:tabs>
            </w:pPr>
            <w:r>
              <w:t xml:space="preserve">       1000 </w:t>
            </w:r>
          </w:p>
          <w:p w:rsidR="009B09EC" w:rsidRDefault="009B09EC" w:rsidP="00A51E24">
            <w:pPr>
              <w:tabs>
                <w:tab w:val="num" w:pos="993"/>
              </w:tabs>
            </w:pPr>
            <w:r>
              <w:t xml:space="preserve">         200</w:t>
            </w:r>
          </w:p>
        </w:tc>
      </w:tr>
      <w:tr w:rsidR="009B09EC" w:rsidTr="00A51E24">
        <w:tc>
          <w:tcPr>
            <w:tcW w:w="1437" w:type="dxa"/>
          </w:tcPr>
          <w:p w:rsidR="009B09EC" w:rsidRDefault="009B09EC" w:rsidP="00A51E24">
            <w:pPr>
              <w:tabs>
                <w:tab w:val="num" w:pos="993"/>
              </w:tabs>
              <w:rPr>
                <w:b/>
              </w:rPr>
            </w:pPr>
            <w:r>
              <w:rPr>
                <w:b/>
              </w:rPr>
              <w:t>TOTAL</w:t>
            </w:r>
          </w:p>
        </w:tc>
        <w:tc>
          <w:tcPr>
            <w:tcW w:w="1440" w:type="dxa"/>
          </w:tcPr>
          <w:p w:rsidR="009B09EC" w:rsidRDefault="009B09EC" w:rsidP="00A51E24">
            <w:pPr>
              <w:tabs>
                <w:tab w:val="num" w:pos="993"/>
              </w:tabs>
              <w:rPr>
                <w:b/>
              </w:rPr>
            </w:pPr>
            <w:r>
              <w:rPr>
                <w:b/>
              </w:rPr>
              <w:t xml:space="preserve">  10</w:t>
            </w:r>
          </w:p>
        </w:tc>
        <w:tc>
          <w:tcPr>
            <w:tcW w:w="1659" w:type="dxa"/>
          </w:tcPr>
          <w:p w:rsidR="009B09EC" w:rsidRDefault="009B09EC" w:rsidP="00A51E24">
            <w:pPr>
              <w:tabs>
                <w:tab w:val="num" w:pos="993"/>
              </w:tabs>
              <w:rPr>
                <w:b/>
              </w:rPr>
            </w:pPr>
          </w:p>
        </w:tc>
        <w:tc>
          <w:tcPr>
            <w:tcW w:w="1559" w:type="dxa"/>
          </w:tcPr>
          <w:p w:rsidR="009B09EC" w:rsidRDefault="009B09EC" w:rsidP="00A51E24">
            <w:pPr>
              <w:tabs>
                <w:tab w:val="num" w:pos="993"/>
              </w:tabs>
              <w:rPr>
                <w:b/>
              </w:rPr>
            </w:pPr>
            <w:r>
              <w:rPr>
                <w:b/>
              </w:rPr>
              <w:t xml:space="preserve">    120</w:t>
            </w:r>
          </w:p>
        </w:tc>
        <w:tc>
          <w:tcPr>
            <w:tcW w:w="1664" w:type="dxa"/>
          </w:tcPr>
          <w:p w:rsidR="009B09EC" w:rsidRDefault="009B09EC" w:rsidP="00A51E24">
            <w:pPr>
              <w:tabs>
                <w:tab w:val="num" w:pos="993"/>
              </w:tabs>
              <w:rPr>
                <w:b/>
              </w:rPr>
            </w:pPr>
            <w:r>
              <w:rPr>
                <w:b/>
              </w:rPr>
              <w:t xml:space="preserve">       1200</w:t>
            </w:r>
          </w:p>
        </w:tc>
      </w:tr>
    </w:tbl>
    <w:p w:rsidR="009B09EC" w:rsidRDefault="009B09EC" w:rsidP="009B09EC"/>
    <w:p w:rsidR="009B09EC" w:rsidRDefault="009B09EC" w:rsidP="009B09EC">
      <w:r w:rsidRPr="009B09EC">
        <w:t xml:space="preserve">The estimated cost to respondents to develop applications, in response to the Notice Inviting Applications, is approximately $82,500 based upon an average hourly rate of $50.00 per professional and $25.00 per clerical.  </w:t>
      </w:r>
    </w:p>
    <w:p w:rsidR="009B09EC" w:rsidRDefault="009B09EC" w:rsidP="009B09EC"/>
    <w:p w:rsidR="00386054" w:rsidRPr="00322E02" w:rsidRDefault="00386054" w:rsidP="00B578F4">
      <w:pPr>
        <w:pStyle w:val="ListParagraph"/>
        <w:numPr>
          <w:ilvl w:val="0"/>
          <w:numId w:val="20"/>
        </w:numPr>
      </w:pPr>
      <w:r w:rsidRPr="00322E02">
        <w:rPr>
          <w:rStyle w:val="a"/>
        </w:rPr>
        <w:t>Provide an estimate of the total annual cost burden to respondents or record keepers resulting from the collection of information.  (Do not include the cost of any hour burden shown in Items 12 and 14.)</w:t>
      </w:r>
    </w:p>
    <w:p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Item 12</w:t>
      </w:r>
    </w:p>
    <w:p w:rsidR="00386054" w:rsidRPr="00EF7FF5" w:rsidRDefault="00386054" w:rsidP="00B83FB3">
      <w:pPr>
        <w:pStyle w:val="ListParagraph"/>
        <w:ind w:left="1080"/>
      </w:pPr>
      <w:r w:rsidRPr="00EF7FF5">
        <w:t>Total Annualized Capital/Startup Cost:</w:t>
      </w:r>
    </w:p>
    <w:p w:rsidR="00386054" w:rsidRPr="00EF7FF5" w:rsidRDefault="00386054" w:rsidP="00B83FB3">
      <w:pPr>
        <w:tabs>
          <w:tab w:val="left" w:pos="-720"/>
        </w:tabs>
        <w:suppressAutoHyphens/>
        <w:ind w:left="1080"/>
      </w:pPr>
      <w:r w:rsidRPr="00EF7FF5">
        <w:t xml:space="preserve">Total Annual Costs (O&amp;M): </w:t>
      </w:r>
    </w:p>
    <w:p w:rsidR="00386054" w:rsidRDefault="00386054" w:rsidP="00B83FB3">
      <w:pPr>
        <w:tabs>
          <w:tab w:val="left" w:pos="-720"/>
        </w:tabs>
        <w:suppressAutoHyphens/>
        <w:ind w:left="1080"/>
      </w:pPr>
      <w:r w:rsidRPr="00EF7FF5">
        <w:t>Total Annualized Costs Requested:</w:t>
      </w:r>
    </w:p>
    <w:p w:rsidR="00C81ED8" w:rsidRDefault="00C81ED8" w:rsidP="00C81ED8">
      <w:pPr>
        <w:tabs>
          <w:tab w:val="left" w:pos="-720"/>
        </w:tabs>
        <w:suppressAutoHyphens/>
      </w:pPr>
    </w:p>
    <w:p w:rsidR="00C81ED8" w:rsidRDefault="00C81ED8" w:rsidP="00C81ED8">
      <w:pPr>
        <w:tabs>
          <w:tab w:val="left" w:pos="-720"/>
        </w:tabs>
        <w:suppressAutoHyphens/>
      </w:pPr>
      <w:r>
        <w:t>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p>
    <w:p w:rsidR="00C81ED8" w:rsidRDefault="00C81ED8" w:rsidP="00C81ED8">
      <w:pPr>
        <w:tabs>
          <w:tab w:val="left" w:pos="-720"/>
        </w:tabs>
        <w:suppressAutoHyphens/>
      </w:pPr>
      <w:r>
        <w:t xml:space="preserve">The total operation and maintenance and purchase of service components for this information </w:t>
      </w:r>
      <w:proofErr w:type="gramStart"/>
      <w:r>
        <w:t>is</w:t>
      </w:r>
      <w:proofErr w:type="gramEnd"/>
      <w:r>
        <w:t xml:space="preserve"> zero.  The information collection will not create costs associated with generating, maintaining, and disclosing or providing the information that is not already identified in question 12 of this supporting statement.</w:t>
      </w:r>
    </w:p>
    <w:p w:rsidR="00C81ED8" w:rsidRPr="00EF7FF5" w:rsidRDefault="00C81ED8" w:rsidP="00C81ED8">
      <w:pPr>
        <w:tabs>
          <w:tab w:val="left" w:pos="-720"/>
        </w:tabs>
        <w:suppressAutoHyphens/>
      </w:pPr>
    </w:p>
    <w:p w:rsidR="00C81ED8" w:rsidRDefault="00386054" w:rsidP="00C81ED8">
      <w:pPr>
        <w:pStyle w:val="ListParagraph"/>
        <w:numPr>
          <w:ilvl w:val="0"/>
          <w:numId w:val="20"/>
        </w:numPr>
        <w:rPr>
          <w:rStyle w:val="a"/>
        </w:rPr>
      </w:pPr>
      <w:r w:rsidRPr="00322E02">
        <w:rPr>
          <w:rStyle w:val="a"/>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81ED8" w:rsidRPr="00C81ED8" w:rsidRDefault="00C81ED8" w:rsidP="00C81ED8">
      <w:pPr>
        <w:spacing w:after="0"/>
      </w:pPr>
      <w:r w:rsidRPr="00C81ED8">
        <w:t>The Federal costs are estimated to be approximately $</w:t>
      </w:r>
      <w:r w:rsidR="00D23EEB">
        <w:t>70,624</w:t>
      </w:r>
      <w:r w:rsidRPr="00C81ED8">
        <w:t>.  This includes the salaries and expenses of program staff that manage the grants and other Department staff who assist with the grant competition. The method used to estimate the cost is as follows:</w:t>
      </w:r>
    </w:p>
    <w:p w:rsidR="00C81ED8" w:rsidRPr="00C81ED8" w:rsidRDefault="00C81ED8" w:rsidP="00C81ED8">
      <w:pPr>
        <w:spacing w:after="0"/>
        <w:ind w:left="360"/>
        <w:rPr>
          <w:szCs w:val="20"/>
        </w:rPr>
      </w:pPr>
    </w:p>
    <w:p w:rsidR="00C81ED8" w:rsidRPr="00C81ED8" w:rsidRDefault="00C81ED8" w:rsidP="00C81ED8">
      <w:pPr>
        <w:spacing w:after="0"/>
        <w:ind w:left="360" w:firstLine="720"/>
        <w:rPr>
          <w:szCs w:val="20"/>
        </w:rPr>
      </w:pPr>
      <w:r w:rsidRPr="00C81ED8">
        <w:rPr>
          <w:szCs w:val="20"/>
        </w:rPr>
        <w:t>Program Office Staff:</w:t>
      </w:r>
    </w:p>
    <w:p w:rsidR="00C81ED8" w:rsidRPr="00C81ED8" w:rsidRDefault="00C81ED8" w:rsidP="00C81ED8">
      <w:pPr>
        <w:spacing w:after="0"/>
        <w:ind w:left="720" w:firstLine="360"/>
        <w:rPr>
          <w:szCs w:val="20"/>
        </w:rPr>
      </w:pPr>
    </w:p>
    <w:p w:rsidR="00C81ED8" w:rsidRPr="00C81ED8" w:rsidRDefault="00C81ED8" w:rsidP="00C81ED8">
      <w:pPr>
        <w:spacing w:after="0"/>
        <w:ind w:left="720" w:firstLine="360"/>
        <w:rPr>
          <w:szCs w:val="20"/>
        </w:rPr>
      </w:pPr>
      <w:r w:rsidRPr="00C81ED8">
        <w:rPr>
          <w:szCs w:val="20"/>
        </w:rPr>
        <w:t>1 GS-</w:t>
      </w:r>
      <w:r w:rsidR="00D23EEB">
        <w:rPr>
          <w:szCs w:val="20"/>
        </w:rPr>
        <w:t xml:space="preserve">13 </w:t>
      </w:r>
      <w:r w:rsidRPr="00C81ED8">
        <w:rPr>
          <w:szCs w:val="20"/>
        </w:rPr>
        <w:t>x 30 weeks</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w:t>
      </w:r>
      <w:r w:rsidRPr="00C81ED8">
        <w:rPr>
          <w:sz w:val="20"/>
          <w:szCs w:val="20"/>
        </w:rPr>
        <w:t xml:space="preserve"> </w:t>
      </w:r>
      <w:r w:rsidR="00D23EEB">
        <w:rPr>
          <w:szCs w:val="20"/>
        </w:rPr>
        <w:t>59,724</w:t>
      </w:r>
    </w:p>
    <w:p w:rsidR="00C81ED8" w:rsidRPr="00C81ED8" w:rsidRDefault="00C81ED8" w:rsidP="00C81ED8">
      <w:pPr>
        <w:spacing w:after="0"/>
        <w:ind w:left="720" w:firstLine="360"/>
        <w:rPr>
          <w:szCs w:val="20"/>
        </w:rPr>
      </w:pPr>
    </w:p>
    <w:p w:rsidR="00C81ED8" w:rsidRPr="00C81ED8" w:rsidRDefault="00C81ED8" w:rsidP="00C81ED8">
      <w:pPr>
        <w:spacing w:after="0"/>
        <w:ind w:left="720" w:firstLine="360"/>
        <w:rPr>
          <w:szCs w:val="20"/>
        </w:rPr>
      </w:pPr>
      <w:r w:rsidRPr="00C81ED8">
        <w:rPr>
          <w:szCs w:val="20"/>
        </w:rPr>
        <w:t>TOTAL</w:t>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w:t>
      </w:r>
      <w:r w:rsidR="00D23EEB">
        <w:rPr>
          <w:szCs w:val="20"/>
        </w:rPr>
        <w:t>59,724</w:t>
      </w:r>
    </w:p>
    <w:p w:rsidR="00C81ED8" w:rsidRPr="00C81ED8" w:rsidRDefault="00C81ED8" w:rsidP="00C81ED8">
      <w:pPr>
        <w:spacing w:after="0"/>
        <w:ind w:left="720" w:firstLine="360"/>
        <w:rPr>
          <w:szCs w:val="20"/>
        </w:rPr>
      </w:pPr>
    </w:p>
    <w:p w:rsidR="00C81ED8" w:rsidRPr="00C81ED8" w:rsidRDefault="00C81ED8" w:rsidP="00C81ED8">
      <w:pPr>
        <w:spacing w:after="0"/>
        <w:ind w:left="720" w:firstLine="360"/>
        <w:rPr>
          <w:szCs w:val="20"/>
        </w:rPr>
      </w:pPr>
      <w:r w:rsidRPr="00C81ED8">
        <w:rPr>
          <w:szCs w:val="20"/>
        </w:rPr>
        <w:t>Other Department Staff</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 xml:space="preserve">$    </w:t>
      </w:r>
      <w:r w:rsidR="00D23EEB">
        <w:rPr>
          <w:szCs w:val="20"/>
        </w:rPr>
        <w:t>9</w:t>
      </w:r>
      <w:r w:rsidRPr="00C81ED8">
        <w:rPr>
          <w:szCs w:val="20"/>
        </w:rPr>
        <w:t>00</w:t>
      </w:r>
    </w:p>
    <w:p w:rsidR="00C81ED8" w:rsidRPr="00C81ED8" w:rsidRDefault="00C81ED8" w:rsidP="00C81ED8">
      <w:pPr>
        <w:spacing w:after="0"/>
        <w:ind w:left="720" w:firstLine="360"/>
        <w:rPr>
          <w:szCs w:val="20"/>
        </w:rPr>
      </w:pPr>
      <w:r w:rsidRPr="00C81ED8">
        <w:rPr>
          <w:szCs w:val="20"/>
        </w:rPr>
        <w:t>Outside Review Cost</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 xml:space="preserve">$ </w:t>
      </w:r>
      <w:r w:rsidR="00D23EEB">
        <w:rPr>
          <w:szCs w:val="20"/>
        </w:rPr>
        <w:t>10</w:t>
      </w:r>
      <w:r w:rsidRPr="00C81ED8">
        <w:rPr>
          <w:szCs w:val="20"/>
        </w:rPr>
        <w:t>,000</w:t>
      </w:r>
    </w:p>
    <w:p w:rsidR="00C81ED8" w:rsidRPr="00C81ED8" w:rsidRDefault="00C81ED8" w:rsidP="00C81ED8">
      <w:pPr>
        <w:spacing w:after="0"/>
        <w:ind w:left="360" w:firstLine="720"/>
        <w:rPr>
          <w:szCs w:val="20"/>
          <w:u w:val="single"/>
        </w:rPr>
      </w:pPr>
      <w:r w:rsidRPr="00C81ED8">
        <w:rPr>
          <w:szCs w:val="20"/>
        </w:rPr>
        <w:tab/>
        <w:t xml:space="preserve"> </w:t>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u w:val="single"/>
        </w:rPr>
        <w:t xml:space="preserve">     </w:t>
      </w:r>
    </w:p>
    <w:p w:rsidR="00C81ED8" w:rsidRPr="00C81ED8" w:rsidRDefault="00C81ED8" w:rsidP="00C81ED8">
      <w:pPr>
        <w:spacing w:after="0"/>
        <w:ind w:firstLine="720"/>
        <w:rPr>
          <w:szCs w:val="20"/>
        </w:rPr>
      </w:pPr>
      <w:r w:rsidRPr="00C81ED8">
        <w:rPr>
          <w:szCs w:val="20"/>
        </w:rPr>
        <w:t>TOTAL ESTIMATD FEDERAL COST</w:t>
      </w:r>
      <w:r w:rsidRPr="00C81ED8">
        <w:rPr>
          <w:szCs w:val="20"/>
        </w:rPr>
        <w:tab/>
      </w:r>
      <w:r w:rsidRPr="00C81ED8">
        <w:rPr>
          <w:szCs w:val="20"/>
        </w:rPr>
        <w:tab/>
        <w:t>=</w:t>
      </w:r>
      <w:r w:rsidRPr="00C81ED8">
        <w:rPr>
          <w:szCs w:val="20"/>
        </w:rPr>
        <w:tab/>
      </w:r>
      <w:r w:rsidRPr="00C81ED8">
        <w:rPr>
          <w:szCs w:val="20"/>
        </w:rPr>
        <w:tab/>
        <w:t>$</w:t>
      </w:r>
      <w:r w:rsidR="00D23EEB">
        <w:rPr>
          <w:szCs w:val="20"/>
        </w:rPr>
        <w:t>70,624</w:t>
      </w:r>
    </w:p>
    <w:p w:rsidR="00C81ED8" w:rsidRDefault="00C81ED8" w:rsidP="00C81ED8">
      <w:pPr>
        <w:rPr>
          <w:rStyle w:val="a"/>
        </w:rPr>
      </w:pP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C81ED8" w:rsidRDefault="00F12E61" w:rsidP="00C81ED8">
      <w:r w:rsidRPr="00F12E61">
        <w:t>This data collection was discontinued in June 2010 as there were less than 10 applicants responding to FY 2010-2013 data collection years. There are no material, burden or respondent changes to this data collection. The Department is reinstating this data collection without changes; there is a program change increase of 1200 annual burden hours due to the increase of respondents from under 10 to 10, triggering the PRA and necessity to reinstate this discretionary grant application burden inventory.</w:t>
      </w:r>
      <w:bookmarkStart w:id="0" w:name="_GoBack"/>
      <w:bookmarkEnd w:id="0"/>
    </w:p>
    <w:p w:rsidR="00B83FB3" w:rsidRDefault="00386054" w:rsidP="00B578F4">
      <w:pPr>
        <w:pStyle w:val="ListParagraph"/>
        <w:numPr>
          <w:ilvl w:val="0"/>
          <w:numId w:val="20"/>
        </w:numPr>
        <w:rPr>
          <w:rStyle w:val="a"/>
        </w:rPr>
      </w:pPr>
      <w:r w:rsidRPr="00322E02">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81ED8" w:rsidRDefault="00C81ED8" w:rsidP="00C81ED8">
      <w:pPr>
        <w:rPr>
          <w:rStyle w:val="a"/>
        </w:rPr>
      </w:pPr>
      <w:r>
        <w:rPr>
          <w:rStyle w:val="a"/>
        </w:rPr>
        <w:t>There are no plans to publish the information that will be collected.</w:t>
      </w:r>
    </w:p>
    <w:p w:rsidR="00C81ED8" w:rsidRDefault="00C81ED8" w:rsidP="00C81ED8">
      <w:pPr>
        <w:rPr>
          <w:rStyle w:val="a"/>
        </w:rPr>
      </w:pPr>
    </w:p>
    <w:p w:rsidR="00B83FB3" w:rsidRDefault="00386054" w:rsidP="00B578F4">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C81ED8" w:rsidRDefault="00C81ED8" w:rsidP="00C81ED8">
      <w:pPr>
        <w:rPr>
          <w:rStyle w:val="a"/>
        </w:rPr>
      </w:pPr>
      <w:r>
        <w:rPr>
          <w:rStyle w:val="a"/>
        </w:rPr>
        <w:t>The Department is not seeking this approval.</w:t>
      </w:r>
    </w:p>
    <w:p w:rsidR="00386054" w:rsidRDefault="00386054" w:rsidP="00B578F4">
      <w:pPr>
        <w:pStyle w:val="ListParagraph"/>
        <w:numPr>
          <w:ilvl w:val="0"/>
          <w:numId w:val="20"/>
        </w:numPr>
        <w:rPr>
          <w:rStyle w:val="a"/>
        </w:rPr>
      </w:pPr>
      <w:r w:rsidRPr="00322E02">
        <w:rPr>
          <w:rStyle w:val="a"/>
        </w:rPr>
        <w:t>Explain each exception to the certification statement identified in the Certification of Paperwork Reduction Act.</w:t>
      </w:r>
    </w:p>
    <w:p w:rsidR="00C81ED8" w:rsidRDefault="00C81ED8" w:rsidP="00C81ED8"/>
    <w:p w:rsidR="00C81ED8" w:rsidRDefault="00C81ED8" w:rsidP="00C81ED8">
      <w:r>
        <w:t>There are no exceptions to the referenced certification statement.</w:t>
      </w:r>
    </w:p>
    <w:sectPr w:rsidR="00C81ED8"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3D" w:rsidRDefault="00A37B3D">
      <w:pPr>
        <w:spacing w:line="20" w:lineRule="exact"/>
      </w:pPr>
    </w:p>
  </w:endnote>
  <w:endnote w:type="continuationSeparator" w:id="0">
    <w:p w:rsidR="00A37B3D" w:rsidRDefault="00A37B3D">
      <w:r>
        <w:t xml:space="preserve"> </w:t>
      </w:r>
    </w:p>
  </w:endnote>
  <w:endnote w:type="continuationNotice" w:id="1">
    <w:p w:rsidR="00A37B3D" w:rsidRDefault="00A37B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3D" w:rsidRDefault="00A37B3D">
    <w:pPr>
      <w:tabs>
        <w:tab w:val="left" w:pos="0"/>
      </w:tabs>
      <w:suppressAutoHyphens/>
    </w:pPr>
    <w:r>
      <w:rPr>
        <w:noProof/>
      </w:rPr>
      <mc:AlternateContent>
        <mc:Choice Requires="wps">
          <w:drawing>
            <wp:anchor distT="0" distB="0" distL="114300" distR="114300" simplePos="0" relativeHeight="251657728" behindDoc="1" locked="0" layoutInCell="0" allowOverlap="1" wp14:anchorId="3298F2B5" wp14:editId="30A3C5F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37B3D" w:rsidRDefault="00A37B3D" w:rsidP="00431228">
                          <w:pPr>
                            <w:tabs>
                              <w:tab w:val="center" w:pos="4650"/>
                            </w:tabs>
                            <w:suppressAutoHyphens/>
                            <w:jc w:val="center"/>
                          </w:pPr>
                          <w:r>
                            <w:fldChar w:fldCharType="begin"/>
                          </w:r>
                          <w:r>
                            <w:instrText>page \* arabic</w:instrText>
                          </w:r>
                          <w:r>
                            <w:fldChar w:fldCharType="separate"/>
                          </w:r>
                          <w:r w:rsidR="00F12E61">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A37B3D" w:rsidRDefault="00A37B3D" w:rsidP="00431228">
                    <w:pPr>
                      <w:tabs>
                        <w:tab w:val="center" w:pos="4650"/>
                      </w:tabs>
                      <w:suppressAutoHyphens/>
                      <w:jc w:val="center"/>
                    </w:pPr>
                    <w:r>
                      <w:fldChar w:fldCharType="begin"/>
                    </w:r>
                    <w:r>
                      <w:instrText>page \* arabic</w:instrText>
                    </w:r>
                    <w:r>
                      <w:fldChar w:fldCharType="separate"/>
                    </w:r>
                    <w:r w:rsidR="00F12E61">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3D" w:rsidRDefault="00A37B3D">
      <w:r>
        <w:separator/>
      </w:r>
    </w:p>
  </w:footnote>
  <w:footnote w:type="continuationSeparator" w:id="0">
    <w:p w:rsidR="00A37B3D" w:rsidRDefault="00A3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3D" w:rsidRDefault="00A37B3D" w:rsidP="003E539A">
    <w:pPr>
      <w:spacing w:after="0"/>
    </w:pPr>
    <w:bookmarkStart w:id="1" w:name="skip_nav"/>
    <w:r>
      <w:rPr>
        <w:b/>
        <w:bCs/>
      </w:rPr>
      <w:t>[ICR No. 1235.04] </w:t>
    </w:r>
    <w:bookmarkEnd w:id="1"/>
    <w:r>
      <w:t>1830</w:t>
    </w:r>
    <w:r w:rsidRPr="00016E14">
      <w:t>-</w:t>
    </w:r>
    <w:r>
      <w:t>0564</w:t>
    </w:r>
  </w:p>
  <w:p w:rsidR="00A37B3D" w:rsidRDefault="00A37B3D" w:rsidP="003E539A">
    <w:pPr>
      <w:spacing w:after="0"/>
      <w:jc w:val="right"/>
    </w:pPr>
    <w:r w:rsidRPr="00016E14">
      <w:t xml:space="preserve">Revised: </w:t>
    </w:r>
    <w:r>
      <w:t>05/20</w:t>
    </w:r>
    <w:r w:rsidRPr="00016E14">
      <w:t>/</w:t>
    </w:r>
    <w: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AA1490"/>
    <w:multiLevelType w:val="hybridMultilevel"/>
    <w:tmpl w:val="2EF4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19"/>
  </w:num>
  <w:num w:numId="5">
    <w:abstractNumId w:val="1"/>
  </w:num>
  <w:num w:numId="6">
    <w:abstractNumId w:val="2"/>
  </w:num>
  <w:num w:numId="7">
    <w:abstractNumId w:val="16"/>
  </w:num>
  <w:num w:numId="8">
    <w:abstractNumId w:val="15"/>
  </w:num>
  <w:num w:numId="9">
    <w:abstractNumId w:val="17"/>
  </w:num>
  <w:num w:numId="10">
    <w:abstractNumId w:val="20"/>
  </w:num>
  <w:num w:numId="11">
    <w:abstractNumId w:val="10"/>
  </w:num>
  <w:num w:numId="12">
    <w:abstractNumId w:val="4"/>
  </w:num>
  <w:num w:numId="13">
    <w:abstractNumId w:val="13"/>
  </w:num>
  <w:num w:numId="14">
    <w:abstractNumId w:val="12"/>
  </w:num>
  <w:num w:numId="15">
    <w:abstractNumId w:val="3"/>
  </w:num>
  <w:num w:numId="16">
    <w:abstractNumId w:val="23"/>
  </w:num>
  <w:num w:numId="17">
    <w:abstractNumId w:val="14"/>
  </w:num>
  <w:num w:numId="18">
    <w:abstractNumId w:val="6"/>
  </w:num>
  <w:num w:numId="19">
    <w:abstractNumId w:val="18"/>
  </w:num>
  <w:num w:numId="20">
    <w:abstractNumId w:val="22"/>
  </w:num>
  <w:num w:numId="21">
    <w:abstractNumId w:val="5"/>
  </w:num>
  <w:num w:numId="22">
    <w:abstractNumId w:val="8"/>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909E0"/>
    <w:rsid w:val="000A2965"/>
    <w:rsid w:val="000B14D8"/>
    <w:rsid w:val="000E592D"/>
    <w:rsid w:val="000F175B"/>
    <w:rsid w:val="0013488C"/>
    <w:rsid w:val="0014500F"/>
    <w:rsid w:val="00153F20"/>
    <w:rsid w:val="001743A5"/>
    <w:rsid w:val="0018279C"/>
    <w:rsid w:val="00223740"/>
    <w:rsid w:val="002473CE"/>
    <w:rsid w:val="002A1203"/>
    <w:rsid w:val="002B0412"/>
    <w:rsid w:val="002B0A95"/>
    <w:rsid w:val="00322E02"/>
    <w:rsid w:val="003463FC"/>
    <w:rsid w:val="00386054"/>
    <w:rsid w:val="003C29C2"/>
    <w:rsid w:val="003C7F70"/>
    <w:rsid w:val="003E285A"/>
    <w:rsid w:val="003E3D07"/>
    <w:rsid w:val="003E539A"/>
    <w:rsid w:val="00431228"/>
    <w:rsid w:val="00494D55"/>
    <w:rsid w:val="004A2DBB"/>
    <w:rsid w:val="004D6005"/>
    <w:rsid w:val="004E23D9"/>
    <w:rsid w:val="004F692A"/>
    <w:rsid w:val="00512598"/>
    <w:rsid w:val="0053551D"/>
    <w:rsid w:val="005423FA"/>
    <w:rsid w:val="00563CCF"/>
    <w:rsid w:val="005A1566"/>
    <w:rsid w:val="005A1DFC"/>
    <w:rsid w:val="005A4185"/>
    <w:rsid w:val="005D2E7B"/>
    <w:rsid w:val="00617A98"/>
    <w:rsid w:val="0063484C"/>
    <w:rsid w:val="00654305"/>
    <w:rsid w:val="006737C0"/>
    <w:rsid w:val="00677BC2"/>
    <w:rsid w:val="006A3B5C"/>
    <w:rsid w:val="006A7247"/>
    <w:rsid w:val="006C01D0"/>
    <w:rsid w:val="006D4F22"/>
    <w:rsid w:val="007661D9"/>
    <w:rsid w:val="00787B58"/>
    <w:rsid w:val="007B14E8"/>
    <w:rsid w:val="007C12B5"/>
    <w:rsid w:val="007E77FA"/>
    <w:rsid w:val="008007B3"/>
    <w:rsid w:val="008011B6"/>
    <w:rsid w:val="008F3062"/>
    <w:rsid w:val="00921CB1"/>
    <w:rsid w:val="009544A3"/>
    <w:rsid w:val="009578C4"/>
    <w:rsid w:val="0097223C"/>
    <w:rsid w:val="009949A8"/>
    <w:rsid w:val="009B09EC"/>
    <w:rsid w:val="00A01331"/>
    <w:rsid w:val="00A12585"/>
    <w:rsid w:val="00A3689F"/>
    <w:rsid w:val="00A37B3D"/>
    <w:rsid w:val="00A41F2C"/>
    <w:rsid w:val="00A51E24"/>
    <w:rsid w:val="00A87940"/>
    <w:rsid w:val="00A94CCB"/>
    <w:rsid w:val="00AB0D7D"/>
    <w:rsid w:val="00B1439E"/>
    <w:rsid w:val="00B23EC0"/>
    <w:rsid w:val="00B578F4"/>
    <w:rsid w:val="00B83FB3"/>
    <w:rsid w:val="00B87FD6"/>
    <w:rsid w:val="00BA13A2"/>
    <w:rsid w:val="00BC244F"/>
    <w:rsid w:val="00BD1325"/>
    <w:rsid w:val="00C641E9"/>
    <w:rsid w:val="00C71525"/>
    <w:rsid w:val="00C723C2"/>
    <w:rsid w:val="00C74D95"/>
    <w:rsid w:val="00C81ED8"/>
    <w:rsid w:val="00C85F3C"/>
    <w:rsid w:val="00C9556E"/>
    <w:rsid w:val="00CE37C1"/>
    <w:rsid w:val="00CE72AF"/>
    <w:rsid w:val="00CF7053"/>
    <w:rsid w:val="00D004BE"/>
    <w:rsid w:val="00D115BF"/>
    <w:rsid w:val="00D23EEB"/>
    <w:rsid w:val="00D269C3"/>
    <w:rsid w:val="00E023B7"/>
    <w:rsid w:val="00E07290"/>
    <w:rsid w:val="00E5105E"/>
    <w:rsid w:val="00E52F91"/>
    <w:rsid w:val="00E732B0"/>
    <w:rsid w:val="00EA3C1F"/>
    <w:rsid w:val="00EC2CC4"/>
    <w:rsid w:val="00EF7FF5"/>
    <w:rsid w:val="00F12E61"/>
    <w:rsid w:val="00F313DF"/>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HTMLPreformatted">
    <w:name w:val="HTML Preformatted"/>
    <w:basedOn w:val="Normal"/>
    <w:link w:val="HTMLPreformattedChar"/>
    <w:semiHidden/>
    <w:rsid w:val="0054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5423FA"/>
    <w:rPr>
      <w:rFonts w:ascii="Arial Unicode MS" w:eastAsia="Arial Unicode MS" w:hAnsi="Arial Unicode MS" w:cs="Arial Unicode MS"/>
    </w:rPr>
  </w:style>
  <w:style w:type="character" w:styleId="Hyperlink">
    <w:name w:val="Hyperlink"/>
    <w:basedOn w:val="DefaultParagraphFont"/>
    <w:uiPriority w:val="99"/>
    <w:unhideWhenUsed/>
    <w:rsid w:val="00A36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HTMLPreformatted">
    <w:name w:val="HTML Preformatted"/>
    <w:basedOn w:val="Normal"/>
    <w:link w:val="HTMLPreformattedChar"/>
    <w:semiHidden/>
    <w:rsid w:val="0054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5423FA"/>
    <w:rPr>
      <w:rFonts w:ascii="Arial Unicode MS" w:eastAsia="Arial Unicode MS" w:hAnsi="Arial Unicode MS" w:cs="Arial Unicode MS"/>
    </w:rPr>
  </w:style>
  <w:style w:type="character" w:styleId="Hyperlink">
    <w:name w:val="Hyperlink"/>
    <w:basedOn w:val="DefaultParagraphFont"/>
    <w:uiPriority w:val="99"/>
    <w:unhideWhenUsed/>
    <w:rsid w:val="00A36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ederalregister.gov/articles/2009/03/24/E9-6441/native-hawaiian-career-and-technical-education-program-nhctep-catalog-of-federal-domestic-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B586-5180-4BB0-97C6-DC645E2B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2823</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6</cp:revision>
  <cp:lastPrinted>2013-05-16T16:42:00Z</cp:lastPrinted>
  <dcterms:created xsi:type="dcterms:W3CDTF">2013-05-23T16:01:00Z</dcterms:created>
  <dcterms:modified xsi:type="dcterms:W3CDTF">2013-05-28T16:45:00Z</dcterms:modified>
</cp:coreProperties>
</file>