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95" w:rsidRDefault="005175EE">
      <w:pPr>
        <w:jc w:val="right"/>
        <w:rPr>
          <w:sz w:val="22"/>
        </w:rPr>
      </w:pPr>
      <w:bookmarkStart w:id="0" w:name="_GoBack"/>
      <w:bookmarkEnd w:id="0"/>
      <w:r>
        <w:rPr>
          <w:sz w:val="22"/>
        </w:rPr>
        <w:t>July 9</w:t>
      </w:r>
      <w:r w:rsidR="005909F8">
        <w:rPr>
          <w:sz w:val="22"/>
        </w:rPr>
        <w:t>, 2013</w:t>
      </w:r>
    </w:p>
    <w:p w:rsidR="007E3595" w:rsidRDefault="007E3595"/>
    <w:p w:rsidR="007E3595" w:rsidRDefault="007E3595" w:rsidP="00684C5C">
      <w:pPr>
        <w:ind w:left="360"/>
        <w:rPr>
          <w:b/>
          <w:sz w:val="44"/>
        </w:rPr>
      </w:pPr>
      <w:r>
        <w:rPr>
          <w:b/>
          <w:sz w:val="44"/>
        </w:rPr>
        <w:t>MEMORANDUM</w:t>
      </w:r>
    </w:p>
    <w:p w:rsidR="007E3595" w:rsidRDefault="007E3595">
      <w:pPr>
        <w:pStyle w:val="Header"/>
        <w:tabs>
          <w:tab w:val="clear" w:pos="4320"/>
          <w:tab w:val="clear" w:pos="8640"/>
        </w:tabs>
      </w:pPr>
    </w:p>
    <w:p w:rsidR="007E3595" w:rsidRDefault="007E3595" w:rsidP="00684C5C">
      <w:pPr>
        <w:ind w:left="360"/>
        <w:rPr>
          <w:b/>
          <w:sz w:val="22"/>
        </w:rPr>
      </w:pPr>
      <w:r>
        <w:rPr>
          <w:b/>
          <w:sz w:val="22"/>
        </w:rPr>
        <w:t>To</w:t>
      </w:r>
      <w:r w:rsidR="00684C5C">
        <w:rPr>
          <w:sz w:val="22"/>
        </w:rPr>
        <w:t xml:space="preserve">: </w:t>
      </w:r>
      <w:r w:rsidR="00684C5C">
        <w:rPr>
          <w:sz w:val="22"/>
        </w:rPr>
        <w:tab/>
      </w:r>
      <w:r w:rsidR="00565F53">
        <w:rPr>
          <w:sz w:val="22"/>
        </w:rPr>
        <w:t>Shelly Martinez, Kashka Kubzdela</w:t>
      </w:r>
    </w:p>
    <w:p w:rsidR="007E3595" w:rsidRDefault="007E3595">
      <w:pPr>
        <w:rPr>
          <w:sz w:val="22"/>
        </w:rPr>
      </w:pPr>
    </w:p>
    <w:p w:rsidR="007E3595" w:rsidRDefault="007E3595" w:rsidP="00684C5C">
      <w:pPr>
        <w:ind w:left="360"/>
        <w:rPr>
          <w:b/>
          <w:sz w:val="22"/>
        </w:rPr>
      </w:pPr>
      <w:r>
        <w:rPr>
          <w:b/>
          <w:sz w:val="22"/>
        </w:rPr>
        <w:t>From</w:t>
      </w:r>
      <w:r w:rsidR="00684C5C">
        <w:rPr>
          <w:sz w:val="22"/>
        </w:rPr>
        <w:t xml:space="preserve">: </w:t>
      </w:r>
      <w:r w:rsidR="00684C5C">
        <w:rPr>
          <w:sz w:val="22"/>
        </w:rPr>
        <w:tab/>
      </w:r>
      <w:r w:rsidR="00565F53">
        <w:rPr>
          <w:sz w:val="22"/>
        </w:rPr>
        <w:t xml:space="preserve">Gail Mulligan, </w:t>
      </w:r>
      <w:r w:rsidR="00620B6E">
        <w:rPr>
          <w:sz w:val="22"/>
        </w:rPr>
        <w:t xml:space="preserve">Jill </w:t>
      </w:r>
      <w:r w:rsidR="005909F8">
        <w:rPr>
          <w:sz w:val="22"/>
        </w:rPr>
        <w:t>McCarroll</w:t>
      </w:r>
    </w:p>
    <w:p w:rsidR="007E3595" w:rsidRDefault="007E3595">
      <w:pPr>
        <w:rPr>
          <w:sz w:val="22"/>
        </w:rPr>
      </w:pPr>
    </w:p>
    <w:p w:rsidR="007E3595" w:rsidRPr="00D8727E" w:rsidRDefault="007E3595" w:rsidP="00684C5C">
      <w:pPr>
        <w:ind w:left="1440" w:hanging="1080"/>
        <w:rPr>
          <w:sz w:val="22"/>
        </w:rPr>
      </w:pPr>
      <w:r>
        <w:rPr>
          <w:b/>
          <w:sz w:val="22"/>
        </w:rPr>
        <w:t>Subject</w:t>
      </w:r>
      <w:r w:rsidR="00684C5C">
        <w:rPr>
          <w:sz w:val="22"/>
        </w:rPr>
        <w:t xml:space="preserve">: </w:t>
      </w:r>
      <w:r w:rsidR="00684C5C">
        <w:rPr>
          <w:sz w:val="22"/>
        </w:rPr>
        <w:tab/>
      </w:r>
      <w:r w:rsidR="00400EC2" w:rsidRPr="00D8727E">
        <w:rPr>
          <w:sz w:val="22"/>
          <w:szCs w:val="22"/>
        </w:rPr>
        <w:t xml:space="preserve">Responses to </w:t>
      </w:r>
      <w:r w:rsidR="00FB1D9C">
        <w:rPr>
          <w:sz w:val="22"/>
          <w:szCs w:val="22"/>
        </w:rPr>
        <w:t xml:space="preserve">OMB </w:t>
      </w:r>
      <w:r w:rsidR="00400EC2" w:rsidRPr="00D8727E">
        <w:rPr>
          <w:sz w:val="22"/>
          <w:szCs w:val="22"/>
        </w:rPr>
        <w:t xml:space="preserve">Passback </w:t>
      </w:r>
      <w:r w:rsidR="00D8727E" w:rsidRPr="00D8727E">
        <w:rPr>
          <w:sz w:val="22"/>
          <w:szCs w:val="22"/>
        </w:rPr>
        <w:t>(</w:t>
      </w:r>
      <w:r w:rsidR="005175EE">
        <w:rPr>
          <w:sz w:val="22"/>
          <w:szCs w:val="22"/>
        </w:rPr>
        <w:t>7-9</w:t>
      </w:r>
      <w:r w:rsidR="00D8727E" w:rsidRPr="00D8727E">
        <w:rPr>
          <w:sz w:val="22"/>
          <w:szCs w:val="22"/>
        </w:rPr>
        <w:t>-201</w:t>
      </w:r>
      <w:r w:rsidR="005909F8">
        <w:rPr>
          <w:sz w:val="22"/>
          <w:szCs w:val="22"/>
        </w:rPr>
        <w:t>3</w:t>
      </w:r>
      <w:r w:rsidR="00E2518D">
        <w:rPr>
          <w:sz w:val="22"/>
          <w:szCs w:val="22"/>
        </w:rPr>
        <w:t>,</w:t>
      </w:r>
      <w:r w:rsidR="00CB0DF9">
        <w:rPr>
          <w:sz w:val="22"/>
          <w:szCs w:val="22"/>
        </w:rPr>
        <w:t xml:space="preserve"> 1-15-2013</w:t>
      </w:r>
      <w:r w:rsidR="00D8727E" w:rsidRPr="00D8727E">
        <w:rPr>
          <w:sz w:val="22"/>
          <w:szCs w:val="22"/>
        </w:rPr>
        <w:t xml:space="preserve">) </w:t>
      </w:r>
      <w:r w:rsidR="00400EC2" w:rsidRPr="00D8727E">
        <w:rPr>
          <w:sz w:val="22"/>
          <w:szCs w:val="22"/>
        </w:rPr>
        <w:t>for</w:t>
      </w:r>
      <w:r w:rsidR="00D8727E" w:rsidRPr="00D8727E">
        <w:rPr>
          <w:sz w:val="22"/>
          <w:szCs w:val="22"/>
        </w:rPr>
        <w:t xml:space="preserve"> the</w:t>
      </w:r>
      <w:r w:rsidR="00400EC2" w:rsidRPr="00D8727E">
        <w:rPr>
          <w:sz w:val="22"/>
          <w:szCs w:val="22"/>
        </w:rPr>
        <w:t xml:space="preserve"> </w:t>
      </w:r>
      <w:r w:rsidR="004851B5" w:rsidRPr="00D8727E">
        <w:rPr>
          <w:sz w:val="22"/>
          <w:szCs w:val="22"/>
        </w:rPr>
        <w:t xml:space="preserve">ECLS-K:2011 </w:t>
      </w:r>
      <w:r w:rsidR="005909F8">
        <w:rPr>
          <w:sz w:val="22"/>
          <w:szCs w:val="22"/>
        </w:rPr>
        <w:t xml:space="preserve">Spring </w:t>
      </w:r>
      <w:r w:rsidR="005175EE">
        <w:rPr>
          <w:sz w:val="22"/>
          <w:szCs w:val="22"/>
        </w:rPr>
        <w:t>Third-Grade School Contact for Hearing Evaluation Change Request</w:t>
      </w:r>
    </w:p>
    <w:p w:rsidR="007E3595" w:rsidRDefault="007E3595" w:rsidP="00684C5C">
      <w:pPr>
        <w:pBdr>
          <w:bottom w:val="single" w:sz="6" w:space="1" w:color="auto"/>
        </w:pBdr>
        <w:ind w:left="360"/>
        <w:rPr>
          <w:sz w:val="24"/>
        </w:rPr>
      </w:pPr>
    </w:p>
    <w:p w:rsidR="007E3595" w:rsidRPr="005175EE" w:rsidRDefault="007E3595">
      <w:pPr>
        <w:rPr>
          <w:sz w:val="22"/>
          <w:szCs w:val="22"/>
        </w:rPr>
      </w:pPr>
    </w:p>
    <w:p w:rsidR="005909F8" w:rsidRPr="005175EE" w:rsidRDefault="005175EE" w:rsidP="005909F8">
      <w:pPr>
        <w:pStyle w:val="PlainText"/>
        <w:numPr>
          <w:ilvl w:val="0"/>
          <w:numId w:val="26"/>
        </w:numPr>
        <w:rPr>
          <w:rFonts w:ascii="Times New Roman" w:hAnsi="Times New Roman"/>
          <w:sz w:val="22"/>
          <w:szCs w:val="22"/>
        </w:rPr>
      </w:pPr>
      <w:r w:rsidRPr="005175EE">
        <w:rPr>
          <w:rFonts w:ascii="Times New Roman" w:hAnsi="Times New Roman"/>
          <w:sz w:val="22"/>
          <w:szCs w:val="22"/>
        </w:rPr>
        <w:t>On this change request, we would like to understand a little better the utility of screening the same children (i.e., general population, not high risk) one year after their last screening, whether NIDCD would want to fund another screening during future rounds of data collection (e.g., 5</w:t>
      </w:r>
      <w:r w:rsidRPr="005175EE">
        <w:rPr>
          <w:rFonts w:ascii="Times New Roman" w:hAnsi="Times New Roman"/>
          <w:sz w:val="22"/>
          <w:szCs w:val="22"/>
          <w:vertAlign w:val="superscript"/>
        </w:rPr>
        <w:t>th</w:t>
      </w:r>
      <w:r w:rsidRPr="005175EE">
        <w:rPr>
          <w:rFonts w:ascii="Times New Roman" w:hAnsi="Times New Roman"/>
          <w:sz w:val="22"/>
          <w:szCs w:val="22"/>
        </w:rPr>
        <w:t xml:space="preserve"> grade), and especially if there are no plans to conduct another later, whether the screening could be funded now but carried out later (eg during the 5</w:t>
      </w:r>
      <w:r w:rsidRPr="005175EE">
        <w:rPr>
          <w:rFonts w:ascii="Times New Roman" w:hAnsi="Times New Roman"/>
          <w:sz w:val="22"/>
          <w:szCs w:val="22"/>
          <w:vertAlign w:val="superscript"/>
        </w:rPr>
        <w:t>th</w:t>
      </w:r>
      <w:r w:rsidRPr="005175EE">
        <w:rPr>
          <w:rFonts w:ascii="Times New Roman" w:hAnsi="Times New Roman"/>
          <w:sz w:val="22"/>
          <w:szCs w:val="22"/>
        </w:rPr>
        <w:t xml:space="preserve"> grade data collection).</w:t>
      </w:r>
    </w:p>
    <w:p w:rsidR="00D8727E" w:rsidRPr="005175EE" w:rsidRDefault="00D8727E" w:rsidP="00D8727E">
      <w:pPr>
        <w:pStyle w:val="ListParagraph"/>
        <w:ind w:left="1440"/>
        <w:rPr>
          <w:sz w:val="22"/>
          <w:szCs w:val="22"/>
        </w:rPr>
      </w:pPr>
    </w:p>
    <w:p w:rsidR="005175EE" w:rsidRPr="005175EE" w:rsidRDefault="005175EE" w:rsidP="005175EE">
      <w:pPr>
        <w:ind w:left="720"/>
        <w:rPr>
          <w:color w:val="0070C0"/>
          <w:sz w:val="22"/>
          <w:szCs w:val="22"/>
        </w:rPr>
      </w:pPr>
      <w:r w:rsidRPr="005175EE">
        <w:rPr>
          <w:color w:val="0070C0"/>
          <w:sz w:val="22"/>
          <w:szCs w:val="22"/>
        </w:rPr>
        <w:t xml:space="preserve">Our desired study design or approach is to conduct hearing exams in </w:t>
      </w:r>
      <w:r w:rsidRPr="003B37CD">
        <w:rPr>
          <w:color w:val="0070C0"/>
          <w:sz w:val="22"/>
          <w:szCs w:val="22"/>
          <w:u w:val="single"/>
        </w:rPr>
        <w:t>both</w:t>
      </w:r>
      <w:r w:rsidRPr="005175EE">
        <w:rPr>
          <w:color w:val="0070C0"/>
          <w:sz w:val="22"/>
          <w:szCs w:val="22"/>
        </w:rPr>
        <w:t xml:space="preserve"> the spring 3</w:t>
      </w:r>
      <w:r w:rsidRPr="005175EE">
        <w:rPr>
          <w:color w:val="0070C0"/>
          <w:sz w:val="22"/>
          <w:szCs w:val="22"/>
          <w:vertAlign w:val="superscript"/>
        </w:rPr>
        <w:t>rd</w:t>
      </w:r>
      <w:r w:rsidRPr="005175EE">
        <w:rPr>
          <w:color w:val="0070C0"/>
          <w:sz w:val="22"/>
          <w:szCs w:val="22"/>
        </w:rPr>
        <w:t xml:space="preserve"> grade data collection, which is 1.5 years after the fall 2</w:t>
      </w:r>
      <w:r w:rsidRPr="005175EE">
        <w:rPr>
          <w:color w:val="0070C0"/>
          <w:sz w:val="22"/>
          <w:szCs w:val="22"/>
          <w:vertAlign w:val="superscript"/>
        </w:rPr>
        <w:t>nd</w:t>
      </w:r>
      <w:r w:rsidRPr="005175EE">
        <w:rPr>
          <w:color w:val="0070C0"/>
          <w:sz w:val="22"/>
          <w:szCs w:val="22"/>
        </w:rPr>
        <w:t xml:space="preserve"> grade evaluation, and then again </w:t>
      </w:r>
      <w:r>
        <w:rPr>
          <w:color w:val="0070C0"/>
          <w:sz w:val="22"/>
          <w:szCs w:val="22"/>
        </w:rPr>
        <w:t>in the spring of</w:t>
      </w:r>
      <w:r w:rsidRPr="005175EE">
        <w:rPr>
          <w:color w:val="0070C0"/>
          <w:sz w:val="22"/>
          <w:szCs w:val="22"/>
        </w:rPr>
        <w:t xml:space="preserve"> 5</w:t>
      </w:r>
      <w:r w:rsidRPr="005175EE">
        <w:rPr>
          <w:color w:val="0070C0"/>
          <w:sz w:val="22"/>
          <w:szCs w:val="22"/>
          <w:vertAlign w:val="superscript"/>
        </w:rPr>
        <w:t>th</w:t>
      </w:r>
      <w:r w:rsidRPr="005175EE">
        <w:rPr>
          <w:color w:val="0070C0"/>
          <w:sz w:val="22"/>
          <w:szCs w:val="22"/>
        </w:rPr>
        <w:t xml:space="preserve"> grade.  </w:t>
      </w:r>
      <w:r>
        <w:rPr>
          <w:color w:val="0070C0"/>
          <w:sz w:val="22"/>
          <w:szCs w:val="22"/>
        </w:rPr>
        <w:t xml:space="preserve">This would give us three points of data for examination of hearing loss over time. </w:t>
      </w:r>
    </w:p>
    <w:p w:rsidR="005175EE" w:rsidRPr="005175EE" w:rsidRDefault="005175EE" w:rsidP="005175EE">
      <w:pPr>
        <w:ind w:left="720"/>
        <w:rPr>
          <w:color w:val="0070C0"/>
          <w:sz w:val="22"/>
          <w:szCs w:val="22"/>
        </w:rPr>
      </w:pPr>
    </w:p>
    <w:p w:rsidR="003B37CD" w:rsidRDefault="005175EE" w:rsidP="005175EE">
      <w:pPr>
        <w:ind w:left="720"/>
        <w:rPr>
          <w:color w:val="0070C0"/>
          <w:sz w:val="22"/>
          <w:szCs w:val="22"/>
        </w:rPr>
      </w:pPr>
      <w:r w:rsidRPr="005175EE">
        <w:rPr>
          <w:color w:val="0070C0"/>
          <w:sz w:val="22"/>
          <w:szCs w:val="22"/>
        </w:rPr>
        <w:t xml:space="preserve">When we did the initial pilot </w:t>
      </w:r>
      <w:r>
        <w:rPr>
          <w:color w:val="0070C0"/>
          <w:sz w:val="22"/>
          <w:szCs w:val="22"/>
        </w:rPr>
        <w:t>study and included children in kindergarten</w:t>
      </w:r>
      <w:r w:rsidRPr="005175EE">
        <w:rPr>
          <w:color w:val="0070C0"/>
          <w:sz w:val="22"/>
          <w:szCs w:val="22"/>
        </w:rPr>
        <w:t>, 1</w:t>
      </w:r>
      <w:r w:rsidRPr="005175EE">
        <w:rPr>
          <w:color w:val="0070C0"/>
          <w:sz w:val="22"/>
          <w:szCs w:val="22"/>
          <w:vertAlign w:val="superscript"/>
        </w:rPr>
        <w:t>st</w:t>
      </w:r>
      <w:r w:rsidRPr="005175EE">
        <w:rPr>
          <w:color w:val="0070C0"/>
          <w:sz w:val="22"/>
          <w:szCs w:val="22"/>
        </w:rPr>
        <w:t>, 2</w:t>
      </w:r>
      <w:r w:rsidRPr="005175EE">
        <w:rPr>
          <w:color w:val="0070C0"/>
          <w:sz w:val="22"/>
          <w:szCs w:val="22"/>
          <w:vertAlign w:val="superscript"/>
        </w:rPr>
        <w:t>nd</w:t>
      </w:r>
      <w:r w:rsidR="003B37CD">
        <w:rPr>
          <w:color w:val="0070C0"/>
          <w:sz w:val="22"/>
          <w:szCs w:val="22"/>
        </w:rPr>
        <w:t>, and</w:t>
      </w:r>
      <w:r w:rsidRPr="005175EE">
        <w:rPr>
          <w:color w:val="0070C0"/>
          <w:sz w:val="22"/>
          <w:szCs w:val="22"/>
        </w:rPr>
        <w:t xml:space="preserve"> 3</w:t>
      </w:r>
      <w:r w:rsidRPr="005175EE">
        <w:rPr>
          <w:color w:val="0070C0"/>
          <w:sz w:val="22"/>
          <w:szCs w:val="22"/>
          <w:vertAlign w:val="superscript"/>
        </w:rPr>
        <w:t>rd</w:t>
      </w:r>
      <w:r w:rsidRPr="005175EE">
        <w:rPr>
          <w:color w:val="0070C0"/>
          <w:sz w:val="22"/>
          <w:szCs w:val="22"/>
        </w:rPr>
        <w:t xml:space="preserve"> grade, we </w:t>
      </w:r>
      <w:r>
        <w:rPr>
          <w:color w:val="0070C0"/>
          <w:sz w:val="22"/>
          <w:szCs w:val="22"/>
        </w:rPr>
        <w:t>saw</w:t>
      </w:r>
      <w:r w:rsidRPr="005175EE">
        <w:rPr>
          <w:color w:val="0070C0"/>
          <w:sz w:val="22"/>
          <w:szCs w:val="22"/>
        </w:rPr>
        <w:t xml:space="preserve"> differences in the audiogram</w:t>
      </w:r>
      <w:r>
        <w:rPr>
          <w:color w:val="0070C0"/>
          <w:sz w:val="22"/>
          <w:szCs w:val="22"/>
        </w:rPr>
        <w:t>s</w:t>
      </w:r>
      <w:r w:rsidRPr="005175EE">
        <w:rPr>
          <w:color w:val="0070C0"/>
          <w:sz w:val="22"/>
          <w:szCs w:val="22"/>
        </w:rPr>
        <w:t xml:space="preserve"> (averaged across children) </w:t>
      </w:r>
      <w:r>
        <w:rPr>
          <w:color w:val="0070C0"/>
          <w:sz w:val="22"/>
          <w:szCs w:val="22"/>
        </w:rPr>
        <w:t>for</w:t>
      </w:r>
      <w:r w:rsidRPr="005175EE">
        <w:rPr>
          <w:color w:val="0070C0"/>
          <w:sz w:val="22"/>
          <w:szCs w:val="22"/>
        </w:rPr>
        <w:t xml:space="preserve"> 2</w:t>
      </w:r>
      <w:r w:rsidRPr="005175EE">
        <w:rPr>
          <w:color w:val="0070C0"/>
          <w:sz w:val="22"/>
          <w:szCs w:val="22"/>
          <w:vertAlign w:val="superscript"/>
        </w:rPr>
        <w:t>nd</w:t>
      </w:r>
      <w:r w:rsidRPr="005175EE">
        <w:rPr>
          <w:color w:val="0070C0"/>
          <w:sz w:val="22"/>
          <w:szCs w:val="22"/>
        </w:rPr>
        <w:t xml:space="preserve"> grade</w:t>
      </w:r>
      <w:r>
        <w:rPr>
          <w:color w:val="0070C0"/>
          <w:sz w:val="22"/>
          <w:szCs w:val="22"/>
        </w:rPr>
        <w:t>rs</w:t>
      </w:r>
      <w:r w:rsidRPr="005175EE">
        <w:rPr>
          <w:color w:val="0070C0"/>
          <w:sz w:val="22"/>
          <w:szCs w:val="22"/>
        </w:rPr>
        <w:t xml:space="preserve"> compared to 3</w:t>
      </w:r>
      <w:r w:rsidRPr="005175EE">
        <w:rPr>
          <w:color w:val="0070C0"/>
          <w:sz w:val="22"/>
          <w:szCs w:val="22"/>
          <w:vertAlign w:val="superscript"/>
        </w:rPr>
        <w:t>rd</w:t>
      </w:r>
      <w:r w:rsidRPr="005175EE">
        <w:rPr>
          <w:color w:val="0070C0"/>
          <w:sz w:val="22"/>
          <w:szCs w:val="22"/>
        </w:rPr>
        <w:t xml:space="preserve"> grade</w:t>
      </w:r>
      <w:r>
        <w:rPr>
          <w:color w:val="0070C0"/>
          <w:sz w:val="22"/>
          <w:szCs w:val="22"/>
        </w:rPr>
        <w:t>rs</w:t>
      </w:r>
      <w:r w:rsidRPr="005175EE">
        <w:rPr>
          <w:color w:val="0070C0"/>
          <w:sz w:val="22"/>
          <w:szCs w:val="22"/>
        </w:rPr>
        <w:t xml:space="preserve"> in the high frequency range – frequencies of 4, 6, and 8 kHz, with the greatest difference being a “notch” or “dip” at 6 kHz.  This is </w:t>
      </w:r>
      <w:r>
        <w:rPr>
          <w:color w:val="0070C0"/>
          <w:sz w:val="22"/>
          <w:szCs w:val="22"/>
        </w:rPr>
        <w:t>a significant finding</w:t>
      </w:r>
      <w:r w:rsidRPr="005175EE">
        <w:rPr>
          <w:color w:val="0070C0"/>
          <w:sz w:val="22"/>
          <w:szCs w:val="22"/>
        </w:rPr>
        <w:t xml:space="preserve"> since such notches are likely due to either prolonged noise exposure (from the environment, including school buses, personal listening devices, etc.) or to very loud impulsive noise exposure (e.g., gunfire close by, jack hammer nearby, firecrackers, etc.).  </w:t>
      </w:r>
      <w:r>
        <w:rPr>
          <w:color w:val="0070C0"/>
          <w:sz w:val="22"/>
          <w:szCs w:val="22"/>
        </w:rPr>
        <w:t xml:space="preserve">However, the data from the pilot test were collected from a small sample, and we want to see if the findings are replicated in the national sample. </w:t>
      </w:r>
    </w:p>
    <w:p w:rsidR="003B37CD" w:rsidRDefault="003B37CD" w:rsidP="005175EE">
      <w:pPr>
        <w:ind w:left="720"/>
        <w:rPr>
          <w:color w:val="0070C0"/>
          <w:sz w:val="22"/>
          <w:szCs w:val="22"/>
        </w:rPr>
      </w:pPr>
    </w:p>
    <w:p w:rsidR="005175EE" w:rsidRDefault="003B37CD" w:rsidP="005175EE">
      <w:pPr>
        <w:ind w:left="720"/>
        <w:rPr>
          <w:color w:val="0070C0"/>
          <w:sz w:val="22"/>
          <w:szCs w:val="22"/>
        </w:rPr>
      </w:pPr>
      <w:r>
        <w:rPr>
          <w:color w:val="0070C0"/>
          <w:sz w:val="22"/>
          <w:szCs w:val="22"/>
        </w:rPr>
        <w:t>We expect that t</w:t>
      </w:r>
      <w:r w:rsidR="005175EE" w:rsidRPr="005175EE">
        <w:rPr>
          <w:color w:val="0070C0"/>
          <w:sz w:val="22"/>
          <w:szCs w:val="22"/>
        </w:rPr>
        <w:t>he children with these patterns of high frequency hearing loss at 3</w:t>
      </w:r>
      <w:r w:rsidR="005175EE" w:rsidRPr="005175EE">
        <w:rPr>
          <w:color w:val="0070C0"/>
          <w:sz w:val="22"/>
          <w:szCs w:val="22"/>
          <w:vertAlign w:val="superscript"/>
        </w:rPr>
        <w:t>rd</w:t>
      </w:r>
      <w:r w:rsidR="005175EE" w:rsidRPr="005175EE">
        <w:rPr>
          <w:color w:val="0070C0"/>
          <w:sz w:val="22"/>
          <w:szCs w:val="22"/>
        </w:rPr>
        <w:t xml:space="preserve"> grade will have an even more pronounced high frequency hearing loss at 5</w:t>
      </w:r>
      <w:r w:rsidR="005175EE" w:rsidRPr="005175EE">
        <w:rPr>
          <w:color w:val="0070C0"/>
          <w:sz w:val="22"/>
          <w:szCs w:val="22"/>
          <w:vertAlign w:val="superscript"/>
        </w:rPr>
        <w:t>th</w:t>
      </w:r>
      <w:r w:rsidR="005175EE">
        <w:rPr>
          <w:color w:val="0070C0"/>
          <w:sz w:val="22"/>
          <w:szCs w:val="22"/>
        </w:rPr>
        <w:t xml:space="preserve"> grade.  For those that do not show </w:t>
      </w:r>
      <w:r w:rsidR="005175EE" w:rsidRPr="005175EE">
        <w:rPr>
          <w:color w:val="0070C0"/>
          <w:sz w:val="22"/>
          <w:szCs w:val="22"/>
        </w:rPr>
        <w:t>this pattern, we can assume it was likely a “temporary” hearing loss at 3</w:t>
      </w:r>
      <w:r w:rsidR="005175EE" w:rsidRPr="005175EE">
        <w:rPr>
          <w:color w:val="0070C0"/>
          <w:sz w:val="22"/>
          <w:szCs w:val="22"/>
          <w:vertAlign w:val="superscript"/>
        </w:rPr>
        <w:t>rd</w:t>
      </w:r>
      <w:r w:rsidR="005175EE" w:rsidRPr="005175EE">
        <w:rPr>
          <w:color w:val="0070C0"/>
          <w:sz w:val="22"/>
          <w:szCs w:val="22"/>
        </w:rPr>
        <w:t xml:space="preserve"> grade and with the cessation of very loud noise exposure, the hair cells were able to grow back-in and perform normally. </w:t>
      </w:r>
      <w:r w:rsidR="005175EE">
        <w:rPr>
          <w:color w:val="0070C0"/>
          <w:sz w:val="22"/>
          <w:szCs w:val="22"/>
        </w:rPr>
        <w:t>Thus, it is important to have data from multiple time points to determine when hearing loss emerges, as well as whether it is sustained. H</w:t>
      </w:r>
      <w:r w:rsidR="005175EE" w:rsidRPr="005175EE">
        <w:rPr>
          <w:color w:val="0070C0"/>
          <w:sz w:val="22"/>
          <w:szCs w:val="22"/>
        </w:rPr>
        <w:t xml:space="preserve">igh frequency hearing loss makes it much harder for children to hear in </w:t>
      </w:r>
      <w:r w:rsidR="005175EE">
        <w:rPr>
          <w:color w:val="0070C0"/>
          <w:sz w:val="22"/>
          <w:szCs w:val="22"/>
        </w:rPr>
        <w:t>noisy</w:t>
      </w:r>
      <w:r w:rsidR="005175EE" w:rsidRPr="005175EE">
        <w:rPr>
          <w:color w:val="0070C0"/>
          <w:sz w:val="22"/>
          <w:szCs w:val="22"/>
        </w:rPr>
        <w:t xml:space="preserve"> environments</w:t>
      </w:r>
      <w:r w:rsidR="005175EE">
        <w:rPr>
          <w:color w:val="0070C0"/>
          <w:sz w:val="22"/>
          <w:szCs w:val="22"/>
        </w:rPr>
        <w:t xml:space="preserve">, and </w:t>
      </w:r>
      <w:r w:rsidR="005175EE" w:rsidRPr="005175EE">
        <w:rPr>
          <w:color w:val="0070C0"/>
          <w:sz w:val="22"/>
          <w:szCs w:val="22"/>
        </w:rPr>
        <w:t>children are exposed to noisy environment</w:t>
      </w:r>
      <w:r w:rsidR="005175EE">
        <w:rPr>
          <w:color w:val="0070C0"/>
          <w:sz w:val="22"/>
          <w:szCs w:val="22"/>
        </w:rPr>
        <w:t>s</w:t>
      </w:r>
      <w:r>
        <w:rPr>
          <w:color w:val="0070C0"/>
          <w:sz w:val="22"/>
          <w:szCs w:val="22"/>
        </w:rPr>
        <w:t xml:space="preserve"> every day. </w:t>
      </w:r>
      <w:r w:rsidR="005175EE" w:rsidRPr="005175EE">
        <w:rPr>
          <w:color w:val="0070C0"/>
          <w:sz w:val="22"/>
          <w:szCs w:val="22"/>
        </w:rPr>
        <w:t>This can put children at higher risk of failing to hear and understand what is being said in many different learning environments.</w:t>
      </w:r>
    </w:p>
    <w:p w:rsidR="003B37CD" w:rsidRDefault="003B37CD" w:rsidP="005175EE">
      <w:pPr>
        <w:ind w:left="720"/>
        <w:rPr>
          <w:color w:val="0070C0"/>
          <w:sz w:val="22"/>
          <w:szCs w:val="22"/>
        </w:rPr>
      </w:pPr>
    </w:p>
    <w:p w:rsidR="003B37CD" w:rsidRPr="005175EE" w:rsidRDefault="003B37CD" w:rsidP="005175EE">
      <w:pPr>
        <w:ind w:left="720"/>
        <w:rPr>
          <w:color w:val="0070C0"/>
          <w:sz w:val="22"/>
          <w:szCs w:val="22"/>
        </w:rPr>
      </w:pPr>
      <w:r>
        <w:rPr>
          <w:color w:val="0070C0"/>
          <w:sz w:val="22"/>
          <w:szCs w:val="22"/>
        </w:rPr>
        <w:t xml:space="preserve">It would not be possible for NIDCD funding for the current fiscal year to be used for data collection in the fifth-grade round because there is no contract in place yet for the fifth-grade data collection. </w:t>
      </w:r>
    </w:p>
    <w:p w:rsidR="005175EE" w:rsidRPr="005175EE" w:rsidRDefault="005175EE" w:rsidP="00D8727E">
      <w:pPr>
        <w:pStyle w:val="ListParagraph"/>
        <w:ind w:left="1440"/>
        <w:rPr>
          <w:sz w:val="22"/>
          <w:szCs w:val="22"/>
        </w:rPr>
      </w:pPr>
    </w:p>
    <w:sectPr w:rsidR="005175EE" w:rsidRPr="005175EE" w:rsidSect="000958AF">
      <w:footerReference w:type="default" r:id="rId9"/>
      <w:headerReference w:type="first" r:id="rId10"/>
      <w:footerReference w:type="first" r:id="rId11"/>
      <w:pgSz w:w="12240" w:h="15840" w:code="1"/>
      <w:pgMar w:top="1008" w:right="720" w:bottom="1008" w:left="720"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90" w:rsidRDefault="00227D90">
      <w:r>
        <w:separator/>
      </w:r>
    </w:p>
  </w:endnote>
  <w:endnote w:type="continuationSeparator" w:id="0">
    <w:p w:rsidR="00227D90" w:rsidRDefault="0022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F9" w:rsidRDefault="00CB0DF9">
    <w:pPr>
      <w:pStyle w:val="Footer"/>
      <w:jc w:val="cente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sidR="005175EE">
      <w:rPr>
        <w:rStyle w:val="PageNumber"/>
        <w:i/>
        <w:noProof/>
      </w:rPr>
      <w:t>4</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5175EE">
      <w:rPr>
        <w:rStyle w:val="PageNumber"/>
        <w:i/>
        <w:noProof/>
      </w:rPr>
      <w:t>4</w:t>
    </w:r>
    <w:r>
      <w:rPr>
        <w:rStyle w:val="PageNumbe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F9" w:rsidRDefault="00CB0DF9">
    <w:pPr>
      <w:pStyle w:val="Footer"/>
      <w:jc w:val="center"/>
      <w:rPr>
        <w:sz w:val="18"/>
      </w:rPr>
    </w:pPr>
    <w:smartTag w:uri="urn:schemas-microsoft-com:office:smarttags" w:element="address">
      <w:smartTag w:uri="urn:schemas-microsoft-com:office:smarttags" w:element="Street">
        <w:r>
          <w:rPr>
            <w:sz w:val="18"/>
          </w:rPr>
          <w:t>1990 K Street,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20006-5650</w:t>
        </w:r>
      </w:smartTag>
    </w:smartTag>
  </w:p>
  <w:p w:rsidR="00CB0DF9" w:rsidRDefault="00CB0DF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90" w:rsidRDefault="00227D90">
      <w:r>
        <w:separator/>
      </w:r>
    </w:p>
  </w:footnote>
  <w:footnote w:type="continuationSeparator" w:id="0">
    <w:p w:rsidR="00227D90" w:rsidRDefault="00227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F9" w:rsidRDefault="00C03474">
    <w:pPr>
      <w:ind w:left="1620"/>
    </w:pPr>
    <w:r>
      <w:rPr>
        <w:noProof/>
      </w:rPr>
      <w:drawing>
        <wp:anchor distT="0" distB="0" distL="114300" distR="114300" simplePos="0" relativeHeight="251657728" behindDoc="0" locked="0" layoutInCell="0" allowOverlap="1" wp14:anchorId="52BCC665" wp14:editId="2F13F76B">
          <wp:simplePos x="0" y="0"/>
          <wp:positionH relativeFrom="column">
            <wp:posOffset>-91440</wp:posOffset>
          </wp:positionH>
          <wp:positionV relativeFrom="paragraph">
            <wp:posOffset>91440</wp:posOffset>
          </wp:positionV>
          <wp:extent cx="1005840" cy="99568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5680"/>
                  </a:xfrm>
                  <a:prstGeom prst="rect">
                    <a:avLst/>
                  </a:prstGeom>
                  <a:noFill/>
                </pic:spPr>
              </pic:pic>
            </a:graphicData>
          </a:graphic>
          <wp14:sizeRelH relativeFrom="page">
            <wp14:pctWidth>0</wp14:pctWidth>
          </wp14:sizeRelH>
          <wp14:sizeRelV relativeFrom="page">
            <wp14:pctHeight>0</wp14:pctHeight>
          </wp14:sizeRelV>
        </wp:anchor>
      </w:drawing>
    </w:r>
  </w:p>
  <w:p w:rsidR="00CB0DF9" w:rsidRDefault="00CB0DF9">
    <w:pPr>
      <w:ind w:left="1620"/>
    </w:pPr>
  </w:p>
  <w:p w:rsidR="00CB0DF9" w:rsidRDefault="00CB0DF9">
    <w:pPr>
      <w:ind w:left="1620"/>
    </w:pPr>
    <w:r>
      <w:t>UNITED STATES DEPARTMENT OF EDUCATION</w:t>
    </w:r>
  </w:p>
  <w:p w:rsidR="00CB0DF9" w:rsidRDefault="00CB0DF9">
    <w:pPr>
      <w:ind w:left="162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CB0DF9" w:rsidRDefault="00CB0DF9">
    <w:pPr>
      <w:ind w:left="1620"/>
    </w:pPr>
  </w:p>
  <w:p w:rsidR="00CB0DF9" w:rsidRDefault="00CB0DF9">
    <w:pPr>
      <w:ind w:left="1620"/>
    </w:pPr>
  </w:p>
  <w:p w:rsidR="00CB0DF9" w:rsidRDefault="00CB0DF9">
    <w:pPr>
      <w:pStyle w:val="Header"/>
    </w:pPr>
  </w:p>
  <w:p w:rsidR="00CB0DF9" w:rsidRDefault="00CB0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2FF"/>
    <w:multiLevelType w:val="hybridMultilevel"/>
    <w:tmpl w:val="A2423AC8"/>
    <w:lvl w:ilvl="0" w:tplc="36E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1710D"/>
    <w:multiLevelType w:val="hybridMultilevel"/>
    <w:tmpl w:val="F8428980"/>
    <w:lvl w:ilvl="0" w:tplc="1F78BF6A">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
    <w:nsid w:val="0E8E1126"/>
    <w:multiLevelType w:val="hybridMultilevel"/>
    <w:tmpl w:val="3CDC2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A85FEB"/>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D85225B"/>
    <w:multiLevelType w:val="hybridMultilevel"/>
    <w:tmpl w:val="A2423AC8"/>
    <w:lvl w:ilvl="0" w:tplc="36E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E47C3"/>
    <w:multiLevelType w:val="hybridMultilevel"/>
    <w:tmpl w:val="B76C4D42"/>
    <w:lvl w:ilvl="0" w:tplc="4C105502">
      <w:start w:val="1"/>
      <w:numFmt w:val="decimal"/>
      <w:lvlText w:val="%1."/>
      <w:lvlJc w:val="left"/>
      <w:pPr>
        <w:ind w:left="720" w:hanging="360"/>
      </w:pPr>
      <w:rPr>
        <w:rFonts w:ascii="Calibri" w:eastAsia="Calibri" w:hAnsi="Calibri"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956252"/>
    <w:multiLevelType w:val="hybridMultilevel"/>
    <w:tmpl w:val="6728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9F73BC"/>
    <w:multiLevelType w:val="hybridMultilevel"/>
    <w:tmpl w:val="063A3840"/>
    <w:lvl w:ilvl="0" w:tplc="212E58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61A08"/>
    <w:multiLevelType w:val="hybridMultilevel"/>
    <w:tmpl w:val="DA800C44"/>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9">
    <w:nsid w:val="206C7788"/>
    <w:multiLevelType w:val="hybridMultilevel"/>
    <w:tmpl w:val="1DC0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173BE"/>
    <w:multiLevelType w:val="hybridMultilevel"/>
    <w:tmpl w:val="15DE5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3E1F30"/>
    <w:multiLevelType w:val="hybridMultilevel"/>
    <w:tmpl w:val="FDB4AA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ED2B71"/>
    <w:multiLevelType w:val="hybridMultilevel"/>
    <w:tmpl w:val="999A4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1B3CAB"/>
    <w:multiLevelType w:val="hybridMultilevel"/>
    <w:tmpl w:val="7CF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A3A42"/>
    <w:multiLevelType w:val="hybridMultilevel"/>
    <w:tmpl w:val="5D9CA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22E4C6D"/>
    <w:multiLevelType w:val="hybridMultilevel"/>
    <w:tmpl w:val="66763520"/>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2711D0"/>
    <w:multiLevelType w:val="hybridMultilevel"/>
    <w:tmpl w:val="2FC895AE"/>
    <w:lvl w:ilvl="0" w:tplc="FF88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14AF7"/>
    <w:multiLevelType w:val="hybridMultilevel"/>
    <w:tmpl w:val="4C026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816165"/>
    <w:multiLevelType w:val="hybridMultilevel"/>
    <w:tmpl w:val="FCE44BA8"/>
    <w:lvl w:ilvl="0" w:tplc="C7E4FE7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D9061F9"/>
    <w:multiLevelType w:val="hybridMultilevel"/>
    <w:tmpl w:val="94B68246"/>
    <w:lvl w:ilvl="0" w:tplc="04090001">
      <w:start w:val="1"/>
      <w:numFmt w:val="bullet"/>
      <w:lvlText w:val=""/>
      <w:lvlJc w:val="left"/>
      <w:pPr>
        <w:tabs>
          <w:tab w:val="num" w:pos="1410"/>
        </w:tabs>
        <w:ind w:left="1410" w:hanging="360"/>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20">
    <w:nsid w:val="4EC63840"/>
    <w:multiLevelType w:val="hybridMultilevel"/>
    <w:tmpl w:val="63645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F3D167A"/>
    <w:multiLevelType w:val="hybridMultilevel"/>
    <w:tmpl w:val="D4FECC5C"/>
    <w:lvl w:ilvl="0" w:tplc="06A2AFFC">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2">
    <w:nsid w:val="5558584F"/>
    <w:multiLevelType w:val="hybridMultilevel"/>
    <w:tmpl w:val="3C6A0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203B3"/>
    <w:multiLevelType w:val="hybridMultilevel"/>
    <w:tmpl w:val="58CA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EA2B5A"/>
    <w:multiLevelType w:val="hybridMultilevel"/>
    <w:tmpl w:val="C01CA78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5">
    <w:nsid w:val="71214130"/>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nsid w:val="76155275"/>
    <w:multiLevelType w:val="hybridMultilevel"/>
    <w:tmpl w:val="24845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7D57040"/>
    <w:multiLevelType w:val="hybridMultilevel"/>
    <w:tmpl w:val="E356F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24"/>
  </w:num>
  <w:num w:numId="5">
    <w:abstractNumId w:val="21"/>
  </w:num>
  <w:num w:numId="6">
    <w:abstractNumId w:val="20"/>
  </w:num>
  <w:num w:numId="7">
    <w:abstractNumId w:val="10"/>
  </w:num>
  <w:num w:numId="8">
    <w:abstractNumId w:val="19"/>
  </w:num>
  <w:num w:numId="9">
    <w:abstractNumId w:val="2"/>
  </w:num>
  <w:num w:numId="10">
    <w:abstractNumId w:val="6"/>
  </w:num>
  <w:num w:numId="11">
    <w:abstractNumId w:val="23"/>
  </w:num>
  <w:num w:numId="12">
    <w:abstractNumId w:val="22"/>
  </w:num>
  <w:num w:numId="13">
    <w:abstractNumId w:val="12"/>
  </w:num>
  <w:num w:numId="14">
    <w:abstractNumId w:val="27"/>
  </w:num>
  <w:num w:numId="15">
    <w:abstractNumId w:val="14"/>
  </w:num>
  <w:num w:numId="16">
    <w:abstractNumId w:val="26"/>
  </w:num>
  <w:num w:numId="17">
    <w:abstractNumId w:val="25"/>
  </w:num>
  <w:num w:numId="18">
    <w:abstractNumId w:val="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7"/>
  </w:num>
  <w:num w:numId="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6E"/>
    <w:rsid w:val="00011E35"/>
    <w:rsid w:val="000273EA"/>
    <w:rsid w:val="00032DEC"/>
    <w:rsid w:val="0003616C"/>
    <w:rsid w:val="0006062A"/>
    <w:rsid w:val="00060E87"/>
    <w:rsid w:val="00073CC9"/>
    <w:rsid w:val="000870A5"/>
    <w:rsid w:val="000958AF"/>
    <w:rsid w:val="000A5B0C"/>
    <w:rsid w:val="000A5CCD"/>
    <w:rsid w:val="000C2CDB"/>
    <w:rsid w:val="000C5C60"/>
    <w:rsid w:val="000D1281"/>
    <w:rsid w:val="000E41DB"/>
    <w:rsid w:val="001119C7"/>
    <w:rsid w:val="0014185D"/>
    <w:rsid w:val="00145463"/>
    <w:rsid w:val="0015565C"/>
    <w:rsid w:val="00177952"/>
    <w:rsid w:val="001A052C"/>
    <w:rsid w:val="001B4FC7"/>
    <w:rsid w:val="001C5BA0"/>
    <w:rsid w:val="001C77C3"/>
    <w:rsid w:val="001D1373"/>
    <w:rsid w:val="001D6F49"/>
    <w:rsid w:val="001E77AA"/>
    <w:rsid w:val="001F2DD1"/>
    <w:rsid w:val="0021320D"/>
    <w:rsid w:val="00227D90"/>
    <w:rsid w:val="00243C37"/>
    <w:rsid w:val="00261183"/>
    <w:rsid w:val="00277506"/>
    <w:rsid w:val="00291633"/>
    <w:rsid w:val="00293042"/>
    <w:rsid w:val="002A1D94"/>
    <w:rsid w:val="002D2CD7"/>
    <w:rsid w:val="002E4BAB"/>
    <w:rsid w:val="003206C3"/>
    <w:rsid w:val="00321221"/>
    <w:rsid w:val="00352482"/>
    <w:rsid w:val="003538E3"/>
    <w:rsid w:val="003570B1"/>
    <w:rsid w:val="00392CCA"/>
    <w:rsid w:val="003A75C9"/>
    <w:rsid w:val="003B1DA7"/>
    <w:rsid w:val="003B37CD"/>
    <w:rsid w:val="003C2BF7"/>
    <w:rsid w:val="003C662A"/>
    <w:rsid w:val="003C6BC4"/>
    <w:rsid w:val="003D64D2"/>
    <w:rsid w:val="003E16F6"/>
    <w:rsid w:val="003F5B3E"/>
    <w:rsid w:val="00400EC2"/>
    <w:rsid w:val="004157B3"/>
    <w:rsid w:val="004851B5"/>
    <w:rsid w:val="004F7AC0"/>
    <w:rsid w:val="00505C14"/>
    <w:rsid w:val="00512920"/>
    <w:rsid w:val="005175EE"/>
    <w:rsid w:val="005204FE"/>
    <w:rsid w:val="00543CD3"/>
    <w:rsid w:val="00555C69"/>
    <w:rsid w:val="00565F53"/>
    <w:rsid w:val="005909F8"/>
    <w:rsid w:val="005A0FF9"/>
    <w:rsid w:val="005B1432"/>
    <w:rsid w:val="005C2A0F"/>
    <w:rsid w:val="005C36B7"/>
    <w:rsid w:val="005C7784"/>
    <w:rsid w:val="005D3B8E"/>
    <w:rsid w:val="00620B6E"/>
    <w:rsid w:val="0063215C"/>
    <w:rsid w:val="00642E03"/>
    <w:rsid w:val="00643F97"/>
    <w:rsid w:val="0065312D"/>
    <w:rsid w:val="00653826"/>
    <w:rsid w:val="006567DE"/>
    <w:rsid w:val="00684C5C"/>
    <w:rsid w:val="006A5166"/>
    <w:rsid w:val="006B63D4"/>
    <w:rsid w:val="006C737C"/>
    <w:rsid w:val="006C748D"/>
    <w:rsid w:val="00712F70"/>
    <w:rsid w:val="00725892"/>
    <w:rsid w:val="00742843"/>
    <w:rsid w:val="007436D9"/>
    <w:rsid w:val="00763722"/>
    <w:rsid w:val="007725F2"/>
    <w:rsid w:val="007768F0"/>
    <w:rsid w:val="00780631"/>
    <w:rsid w:val="007B7402"/>
    <w:rsid w:val="007C5637"/>
    <w:rsid w:val="007E0D9A"/>
    <w:rsid w:val="007E3595"/>
    <w:rsid w:val="00816415"/>
    <w:rsid w:val="00821A3F"/>
    <w:rsid w:val="00822929"/>
    <w:rsid w:val="008272A0"/>
    <w:rsid w:val="0083640A"/>
    <w:rsid w:val="00842EC8"/>
    <w:rsid w:val="00844B2B"/>
    <w:rsid w:val="00863AD1"/>
    <w:rsid w:val="00883D31"/>
    <w:rsid w:val="008A0E3F"/>
    <w:rsid w:val="008C1440"/>
    <w:rsid w:val="008C3F94"/>
    <w:rsid w:val="009003F6"/>
    <w:rsid w:val="00904F45"/>
    <w:rsid w:val="00913209"/>
    <w:rsid w:val="00924996"/>
    <w:rsid w:val="00970E57"/>
    <w:rsid w:val="009A7D61"/>
    <w:rsid w:val="009B50A8"/>
    <w:rsid w:val="009B6330"/>
    <w:rsid w:val="00A025A2"/>
    <w:rsid w:val="00A3235D"/>
    <w:rsid w:val="00A427D5"/>
    <w:rsid w:val="00A75753"/>
    <w:rsid w:val="00A81821"/>
    <w:rsid w:val="00A875AD"/>
    <w:rsid w:val="00AF131B"/>
    <w:rsid w:val="00B176EF"/>
    <w:rsid w:val="00B25E0C"/>
    <w:rsid w:val="00B55D9E"/>
    <w:rsid w:val="00B60B6F"/>
    <w:rsid w:val="00B71EFA"/>
    <w:rsid w:val="00B86D69"/>
    <w:rsid w:val="00BB62D9"/>
    <w:rsid w:val="00C03474"/>
    <w:rsid w:val="00C04951"/>
    <w:rsid w:val="00C05F88"/>
    <w:rsid w:val="00C105F0"/>
    <w:rsid w:val="00C260A1"/>
    <w:rsid w:val="00C31E7A"/>
    <w:rsid w:val="00C47E84"/>
    <w:rsid w:val="00C6417D"/>
    <w:rsid w:val="00C70A6F"/>
    <w:rsid w:val="00C81813"/>
    <w:rsid w:val="00CB0DF9"/>
    <w:rsid w:val="00CC0262"/>
    <w:rsid w:val="00CF6DD0"/>
    <w:rsid w:val="00D010C1"/>
    <w:rsid w:val="00D14832"/>
    <w:rsid w:val="00D1658B"/>
    <w:rsid w:val="00D433C1"/>
    <w:rsid w:val="00D621D6"/>
    <w:rsid w:val="00D80A85"/>
    <w:rsid w:val="00D8727E"/>
    <w:rsid w:val="00D876BD"/>
    <w:rsid w:val="00DB6B46"/>
    <w:rsid w:val="00DC7866"/>
    <w:rsid w:val="00DD171D"/>
    <w:rsid w:val="00E15EE6"/>
    <w:rsid w:val="00E161FE"/>
    <w:rsid w:val="00E2518D"/>
    <w:rsid w:val="00E6457A"/>
    <w:rsid w:val="00E80C1C"/>
    <w:rsid w:val="00E85160"/>
    <w:rsid w:val="00E90C48"/>
    <w:rsid w:val="00E926DB"/>
    <w:rsid w:val="00EA09F6"/>
    <w:rsid w:val="00EA2D26"/>
    <w:rsid w:val="00EB7A32"/>
    <w:rsid w:val="00EC2987"/>
    <w:rsid w:val="00EC447E"/>
    <w:rsid w:val="00EE23EA"/>
    <w:rsid w:val="00EE2A46"/>
    <w:rsid w:val="00EE42B1"/>
    <w:rsid w:val="00F30CA6"/>
    <w:rsid w:val="00F517DB"/>
    <w:rsid w:val="00F7767E"/>
    <w:rsid w:val="00F80B6C"/>
    <w:rsid w:val="00F94C70"/>
    <w:rsid w:val="00F97914"/>
    <w:rsid w:val="00FA7CC6"/>
    <w:rsid w:val="00FB1D9C"/>
    <w:rsid w:val="00FC70D9"/>
    <w:rsid w:val="00FD6678"/>
    <w:rsid w:val="00FE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 w:type="paragraph" w:customStyle="1" w:styleId="C2-CtrSglSp">
    <w:name w:val="C2-Ctr Sgl Sp"/>
    <w:basedOn w:val="Normal"/>
    <w:rsid w:val="001119C7"/>
    <w:pPr>
      <w:keepNext/>
      <w:spacing w:before="60" w:after="60" w:line="240" w:lineRule="atLeast"/>
      <w:jc w:val="center"/>
    </w:pPr>
    <w:rPr>
      <w:rFonts w:ascii="Arial" w:eastAsia="Calibri" w:hAnsi="Arial" w:cs="Arial"/>
      <w:b/>
      <w:bCs/>
    </w:rPr>
  </w:style>
  <w:style w:type="character" w:customStyle="1" w:styleId="SL-FlLftSglChar">
    <w:name w:val="SL-Fl Lft Sgl Char"/>
    <w:link w:val="SL-FlLftSgl"/>
    <w:locked/>
    <w:rsid w:val="001119C7"/>
    <w:rPr>
      <w:rFonts w:ascii="Arial" w:hAnsi="Arial" w:cs="Arial"/>
    </w:rPr>
  </w:style>
  <w:style w:type="paragraph" w:customStyle="1" w:styleId="SL-FlLftSgl">
    <w:name w:val="SL-Fl Lft Sgl"/>
    <w:basedOn w:val="Normal"/>
    <w:link w:val="SL-FlLftSglChar"/>
    <w:rsid w:val="001119C7"/>
    <w:pPr>
      <w:spacing w:line="240" w:lineRule="atLeast"/>
      <w:jc w:val="both"/>
    </w:pPr>
    <w:rPr>
      <w:rFonts w:ascii="Arial" w:hAnsi="Arial" w:cs="Arial"/>
    </w:rPr>
  </w:style>
  <w:style w:type="character" w:customStyle="1" w:styleId="Q1-FirstLevelQuestionChar">
    <w:name w:val="Q1-First Level Question Char"/>
    <w:link w:val="Q1-FirstLevelQuestion"/>
    <w:locked/>
    <w:rsid w:val="001119C7"/>
    <w:rPr>
      <w:rFonts w:ascii="Arial" w:hAnsi="Arial" w:cs="Arial"/>
      <w:b/>
      <w:bCs/>
    </w:rPr>
  </w:style>
  <w:style w:type="paragraph" w:customStyle="1" w:styleId="Q1-FirstLevelQuestion">
    <w:name w:val="Q1-First Level Question"/>
    <w:basedOn w:val="Normal"/>
    <w:link w:val="Q1-FirstLevelQuestionChar"/>
    <w:rsid w:val="001119C7"/>
    <w:pPr>
      <w:keepNext/>
      <w:spacing w:after="120" w:line="240" w:lineRule="atLeast"/>
      <w:ind w:left="720" w:hanging="720"/>
      <w:jc w:val="both"/>
    </w:pPr>
    <w:rPr>
      <w:rFonts w:ascii="Arial" w:hAnsi="Arial" w:cs="Arial"/>
      <w:b/>
      <w:bCs/>
    </w:rPr>
  </w:style>
  <w:style w:type="paragraph" w:customStyle="1" w:styleId="Y1-YN1stLeader">
    <w:name w:val="Y1-Y/N 1st Leader"/>
    <w:basedOn w:val="Normal"/>
    <w:rsid w:val="001119C7"/>
    <w:pPr>
      <w:spacing w:before="60" w:after="60" w:line="240" w:lineRule="atLeast"/>
      <w:ind w:left="360" w:hanging="360"/>
    </w:pPr>
    <w:rPr>
      <w:rFonts w:ascii="Arial" w:eastAsia="Calibri" w:hAnsi="Arial" w:cs="Arial"/>
    </w:rPr>
  </w:style>
  <w:style w:type="paragraph" w:styleId="BalloonText">
    <w:name w:val="Balloon Text"/>
    <w:basedOn w:val="Normal"/>
    <w:link w:val="BalloonTextChar"/>
    <w:rsid w:val="001119C7"/>
    <w:rPr>
      <w:rFonts w:ascii="Tahoma" w:hAnsi="Tahoma" w:cs="Tahoma"/>
      <w:sz w:val="16"/>
      <w:szCs w:val="16"/>
    </w:rPr>
  </w:style>
  <w:style w:type="character" w:customStyle="1" w:styleId="BalloonTextChar">
    <w:name w:val="Balloon Text Char"/>
    <w:link w:val="BalloonText"/>
    <w:rsid w:val="001119C7"/>
    <w:rPr>
      <w:rFonts w:ascii="Tahoma" w:hAnsi="Tahoma" w:cs="Tahoma"/>
      <w:sz w:val="16"/>
      <w:szCs w:val="16"/>
    </w:rPr>
  </w:style>
  <w:style w:type="character" w:styleId="Emphasis">
    <w:name w:val="Emphasis"/>
    <w:uiPriority w:val="20"/>
    <w:qFormat/>
    <w:rsid w:val="00EC2987"/>
    <w:rPr>
      <w:i/>
      <w:iCs/>
    </w:rPr>
  </w:style>
  <w:style w:type="paragraph" w:styleId="BodyText2">
    <w:name w:val="Body Text 2"/>
    <w:basedOn w:val="Normal"/>
    <w:link w:val="BodyText2Char"/>
    <w:rsid w:val="00D8727E"/>
    <w:pPr>
      <w:spacing w:after="120" w:line="480" w:lineRule="auto"/>
    </w:pPr>
  </w:style>
  <w:style w:type="character" w:customStyle="1" w:styleId="BodyText2Char">
    <w:name w:val="Body Text 2 Char"/>
    <w:basedOn w:val="DefaultParagraphFont"/>
    <w:link w:val="BodyText2"/>
    <w:rsid w:val="00D8727E"/>
  </w:style>
  <w:style w:type="character" w:styleId="CommentReference">
    <w:name w:val="annotation reference"/>
    <w:uiPriority w:val="99"/>
    <w:rsid w:val="00D80A85"/>
    <w:rPr>
      <w:sz w:val="16"/>
      <w:szCs w:val="16"/>
    </w:rPr>
  </w:style>
  <w:style w:type="paragraph" w:styleId="CommentText">
    <w:name w:val="annotation text"/>
    <w:basedOn w:val="Normal"/>
    <w:link w:val="CommentTextChar"/>
    <w:rsid w:val="00D80A85"/>
  </w:style>
  <w:style w:type="character" w:customStyle="1" w:styleId="CommentTextChar">
    <w:name w:val="Comment Text Char"/>
    <w:basedOn w:val="DefaultParagraphFont"/>
    <w:link w:val="CommentText"/>
    <w:rsid w:val="00D80A85"/>
  </w:style>
  <w:style w:type="paragraph" w:styleId="CommentSubject">
    <w:name w:val="annotation subject"/>
    <w:basedOn w:val="CommentText"/>
    <w:next w:val="CommentText"/>
    <w:link w:val="CommentSubjectChar"/>
    <w:rsid w:val="00D80A85"/>
    <w:rPr>
      <w:b/>
      <w:bCs/>
    </w:rPr>
  </w:style>
  <w:style w:type="character" w:customStyle="1" w:styleId="CommentSubjectChar">
    <w:name w:val="Comment Subject Char"/>
    <w:link w:val="CommentSubject"/>
    <w:rsid w:val="00D80A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 w:type="paragraph" w:customStyle="1" w:styleId="C2-CtrSglSp">
    <w:name w:val="C2-Ctr Sgl Sp"/>
    <w:basedOn w:val="Normal"/>
    <w:rsid w:val="001119C7"/>
    <w:pPr>
      <w:keepNext/>
      <w:spacing w:before="60" w:after="60" w:line="240" w:lineRule="atLeast"/>
      <w:jc w:val="center"/>
    </w:pPr>
    <w:rPr>
      <w:rFonts w:ascii="Arial" w:eastAsia="Calibri" w:hAnsi="Arial" w:cs="Arial"/>
      <w:b/>
      <w:bCs/>
    </w:rPr>
  </w:style>
  <w:style w:type="character" w:customStyle="1" w:styleId="SL-FlLftSglChar">
    <w:name w:val="SL-Fl Lft Sgl Char"/>
    <w:link w:val="SL-FlLftSgl"/>
    <w:locked/>
    <w:rsid w:val="001119C7"/>
    <w:rPr>
      <w:rFonts w:ascii="Arial" w:hAnsi="Arial" w:cs="Arial"/>
    </w:rPr>
  </w:style>
  <w:style w:type="paragraph" w:customStyle="1" w:styleId="SL-FlLftSgl">
    <w:name w:val="SL-Fl Lft Sgl"/>
    <w:basedOn w:val="Normal"/>
    <w:link w:val="SL-FlLftSglChar"/>
    <w:rsid w:val="001119C7"/>
    <w:pPr>
      <w:spacing w:line="240" w:lineRule="atLeast"/>
      <w:jc w:val="both"/>
    </w:pPr>
    <w:rPr>
      <w:rFonts w:ascii="Arial" w:hAnsi="Arial" w:cs="Arial"/>
    </w:rPr>
  </w:style>
  <w:style w:type="character" w:customStyle="1" w:styleId="Q1-FirstLevelQuestionChar">
    <w:name w:val="Q1-First Level Question Char"/>
    <w:link w:val="Q1-FirstLevelQuestion"/>
    <w:locked/>
    <w:rsid w:val="001119C7"/>
    <w:rPr>
      <w:rFonts w:ascii="Arial" w:hAnsi="Arial" w:cs="Arial"/>
      <w:b/>
      <w:bCs/>
    </w:rPr>
  </w:style>
  <w:style w:type="paragraph" w:customStyle="1" w:styleId="Q1-FirstLevelQuestion">
    <w:name w:val="Q1-First Level Question"/>
    <w:basedOn w:val="Normal"/>
    <w:link w:val="Q1-FirstLevelQuestionChar"/>
    <w:rsid w:val="001119C7"/>
    <w:pPr>
      <w:keepNext/>
      <w:spacing w:after="120" w:line="240" w:lineRule="atLeast"/>
      <w:ind w:left="720" w:hanging="720"/>
      <w:jc w:val="both"/>
    </w:pPr>
    <w:rPr>
      <w:rFonts w:ascii="Arial" w:hAnsi="Arial" w:cs="Arial"/>
      <w:b/>
      <w:bCs/>
    </w:rPr>
  </w:style>
  <w:style w:type="paragraph" w:customStyle="1" w:styleId="Y1-YN1stLeader">
    <w:name w:val="Y1-Y/N 1st Leader"/>
    <w:basedOn w:val="Normal"/>
    <w:rsid w:val="001119C7"/>
    <w:pPr>
      <w:spacing w:before="60" w:after="60" w:line="240" w:lineRule="atLeast"/>
      <w:ind w:left="360" w:hanging="360"/>
    </w:pPr>
    <w:rPr>
      <w:rFonts w:ascii="Arial" w:eastAsia="Calibri" w:hAnsi="Arial" w:cs="Arial"/>
    </w:rPr>
  </w:style>
  <w:style w:type="paragraph" w:styleId="BalloonText">
    <w:name w:val="Balloon Text"/>
    <w:basedOn w:val="Normal"/>
    <w:link w:val="BalloonTextChar"/>
    <w:rsid w:val="001119C7"/>
    <w:rPr>
      <w:rFonts w:ascii="Tahoma" w:hAnsi="Tahoma" w:cs="Tahoma"/>
      <w:sz w:val="16"/>
      <w:szCs w:val="16"/>
    </w:rPr>
  </w:style>
  <w:style w:type="character" w:customStyle="1" w:styleId="BalloonTextChar">
    <w:name w:val="Balloon Text Char"/>
    <w:link w:val="BalloonText"/>
    <w:rsid w:val="001119C7"/>
    <w:rPr>
      <w:rFonts w:ascii="Tahoma" w:hAnsi="Tahoma" w:cs="Tahoma"/>
      <w:sz w:val="16"/>
      <w:szCs w:val="16"/>
    </w:rPr>
  </w:style>
  <w:style w:type="character" w:styleId="Emphasis">
    <w:name w:val="Emphasis"/>
    <w:uiPriority w:val="20"/>
    <w:qFormat/>
    <w:rsid w:val="00EC2987"/>
    <w:rPr>
      <w:i/>
      <w:iCs/>
    </w:rPr>
  </w:style>
  <w:style w:type="paragraph" w:styleId="BodyText2">
    <w:name w:val="Body Text 2"/>
    <w:basedOn w:val="Normal"/>
    <w:link w:val="BodyText2Char"/>
    <w:rsid w:val="00D8727E"/>
    <w:pPr>
      <w:spacing w:after="120" w:line="480" w:lineRule="auto"/>
    </w:pPr>
  </w:style>
  <w:style w:type="character" w:customStyle="1" w:styleId="BodyText2Char">
    <w:name w:val="Body Text 2 Char"/>
    <w:basedOn w:val="DefaultParagraphFont"/>
    <w:link w:val="BodyText2"/>
    <w:rsid w:val="00D8727E"/>
  </w:style>
  <w:style w:type="character" w:styleId="CommentReference">
    <w:name w:val="annotation reference"/>
    <w:uiPriority w:val="99"/>
    <w:rsid w:val="00D80A85"/>
    <w:rPr>
      <w:sz w:val="16"/>
      <w:szCs w:val="16"/>
    </w:rPr>
  </w:style>
  <w:style w:type="paragraph" w:styleId="CommentText">
    <w:name w:val="annotation text"/>
    <w:basedOn w:val="Normal"/>
    <w:link w:val="CommentTextChar"/>
    <w:rsid w:val="00D80A85"/>
  </w:style>
  <w:style w:type="character" w:customStyle="1" w:styleId="CommentTextChar">
    <w:name w:val="Comment Text Char"/>
    <w:basedOn w:val="DefaultParagraphFont"/>
    <w:link w:val="CommentText"/>
    <w:rsid w:val="00D80A85"/>
  </w:style>
  <w:style w:type="paragraph" w:styleId="CommentSubject">
    <w:name w:val="annotation subject"/>
    <w:basedOn w:val="CommentText"/>
    <w:next w:val="CommentText"/>
    <w:link w:val="CommentSubjectChar"/>
    <w:rsid w:val="00D80A85"/>
    <w:rPr>
      <w:b/>
      <w:bCs/>
    </w:rPr>
  </w:style>
  <w:style w:type="character" w:customStyle="1" w:styleId="CommentSubjectChar">
    <w:name w:val="Comment Subject Char"/>
    <w:link w:val="CommentSubject"/>
    <w:rsid w:val="00D80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8351">
      <w:bodyDiv w:val="1"/>
      <w:marLeft w:val="0"/>
      <w:marRight w:val="0"/>
      <w:marTop w:val="0"/>
      <w:marBottom w:val="0"/>
      <w:divBdr>
        <w:top w:val="none" w:sz="0" w:space="0" w:color="auto"/>
        <w:left w:val="none" w:sz="0" w:space="0" w:color="auto"/>
        <w:bottom w:val="none" w:sz="0" w:space="0" w:color="auto"/>
        <w:right w:val="none" w:sz="0" w:space="0" w:color="auto"/>
      </w:divBdr>
    </w:div>
    <w:div w:id="547692864">
      <w:bodyDiv w:val="1"/>
      <w:marLeft w:val="0"/>
      <w:marRight w:val="0"/>
      <w:marTop w:val="0"/>
      <w:marBottom w:val="0"/>
      <w:divBdr>
        <w:top w:val="none" w:sz="0" w:space="0" w:color="auto"/>
        <w:left w:val="none" w:sz="0" w:space="0" w:color="auto"/>
        <w:bottom w:val="none" w:sz="0" w:space="0" w:color="auto"/>
        <w:right w:val="none" w:sz="0" w:space="0" w:color="auto"/>
      </w:divBdr>
    </w:div>
    <w:div w:id="575215049">
      <w:bodyDiv w:val="1"/>
      <w:marLeft w:val="0"/>
      <w:marRight w:val="0"/>
      <w:marTop w:val="0"/>
      <w:marBottom w:val="0"/>
      <w:divBdr>
        <w:top w:val="none" w:sz="0" w:space="0" w:color="auto"/>
        <w:left w:val="none" w:sz="0" w:space="0" w:color="auto"/>
        <w:bottom w:val="none" w:sz="0" w:space="0" w:color="auto"/>
        <w:right w:val="none" w:sz="0" w:space="0" w:color="auto"/>
      </w:divBdr>
    </w:div>
    <w:div w:id="643239278">
      <w:bodyDiv w:val="1"/>
      <w:marLeft w:val="0"/>
      <w:marRight w:val="0"/>
      <w:marTop w:val="0"/>
      <w:marBottom w:val="0"/>
      <w:divBdr>
        <w:top w:val="none" w:sz="0" w:space="0" w:color="auto"/>
        <w:left w:val="none" w:sz="0" w:space="0" w:color="auto"/>
        <w:bottom w:val="none" w:sz="0" w:space="0" w:color="auto"/>
        <w:right w:val="none" w:sz="0" w:space="0" w:color="auto"/>
      </w:divBdr>
    </w:div>
    <w:div w:id="779377403">
      <w:bodyDiv w:val="1"/>
      <w:marLeft w:val="0"/>
      <w:marRight w:val="0"/>
      <w:marTop w:val="0"/>
      <w:marBottom w:val="0"/>
      <w:divBdr>
        <w:top w:val="none" w:sz="0" w:space="0" w:color="auto"/>
        <w:left w:val="none" w:sz="0" w:space="0" w:color="auto"/>
        <w:bottom w:val="none" w:sz="0" w:space="0" w:color="auto"/>
        <w:right w:val="none" w:sz="0" w:space="0" w:color="auto"/>
      </w:divBdr>
    </w:div>
    <w:div w:id="923419105">
      <w:bodyDiv w:val="1"/>
      <w:marLeft w:val="0"/>
      <w:marRight w:val="0"/>
      <w:marTop w:val="0"/>
      <w:marBottom w:val="0"/>
      <w:divBdr>
        <w:top w:val="none" w:sz="0" w:space="0" w:color="auto"/>
        <w:left w:val="none" w:sz="0" w:space="0" w:color="auto"/>
        <w:bottom w:val="none" w:sz="0" w:space="0" w:color="auto"/>
        <w:right w:val="none" w:sz="0" w:space="0" w:color="auto"/>
      </w:divBdr>
    </w:div>
    <w:div w:id="947544761">
      <w:bodyDiv w:val="1"/>
      <w:marLeft w:val="0"/>
      <w:marRight w:val="0"/>
      <w:marTop w:val="0"/>
      <w:marBottom w:val="0"/>
      <w:divBdr>
        <w:top w:val="none" w:sz="0" w:space="0" w:color="auto"/>
        <w:left w:val="none" w:sz="0" w:space="0" w:color="auto"/>
        <w:bottom w:val="none" w:sz="0" w:space="0" w:color="auto"/>
        <w:right w:val="none" w:sz="0" w:space="0" w:color="auto"/>
      </w:divBdr>
    </w:div>
    <w:div w:id="966349960">
      <w:bodyDiv w:val="1"/>
      <w:marLeft w:val="0"/>
      <w:marRight w:val="0"/>
      <w:marTop w:val="0"/>
      <w:marBottom w:val="0"/>
      <w:divBdr>
        <w:top w:val="none" w:sz="0" w:space="0" w:color="auto"/>
        <w:left w:val="none" w:sz="0" w:space="0" w:color="auto"/>
        <w:bottom w:val="none" w:sz="0" w:space="0" w:color="auto"/>
        <w:right w:val="none" w:sz="0" w:space="0" w:color="auto"/>
      </w:divBdr>
    </w:div>
    <w:div w:id="988094378">
      <w:bodyDiv w:val="1"/>
      <w:marLeft w:val="0"/>
      <w:marRight w:val="0"/>
      <w:marTop w:val="0"/>
      <w:marBottom w:val="0"/>
      <w:divBdr>
        <w:top w:val="none" w:sz="0" w:space="0" w:color="auto"/>
        <w:left w:val="none" w:sz="0" w:space="0" w:color="auto"/>
        <w:bottom w:val="none" w:sz="0" w:space="0" w:color="auto"/>
        <w:right w:val="none" w:sz="0" w:space="0" w:color="auto"/>
      </w:divBdr>
    </w:div>
    <w:div w:id="1194424626">
      <w:bodyDiv w:val="1"/>
      <w:marLeft w:val="0"/>
      <w:marRight w:val="0"/>
      <w:marTop w:val="0"/>
      <w:marBottom w:val="0"/>
      <w:divBdr>
        <w:top w:val="none" w:sz="0" w:space="0" w:color="auto"/>
        <w:left w:val="none" w:sz="0" w:space="0" w:color="auto"/>
        <w:bottom w:val="none" w:sz="0" w:space="0" w:color="auto"/>
        <w:right w:val="none" w:sz="0" w:space="0" w:color="auto"/>
      </w:divBdr>
    </w:div>
    <w:div w:id="1258716250">
      <w:bodyDiv w:val="1"/>
      <w:marLeft w:val="0"/>
      <w:marRight w:val="0"/>
      <w:marTop w:val="0"/>
      <w:marBottom w:val="0"/>
      <w:divBdr>
        <w:top w:val="none" w:sz="0" w:space="0" w:color="auto"/>
        <w:left w:val="none" w:sz="0" w:space="0" w:color="auto"/>
        <w:bottom w:val="none" w:sz="0" w:space="0" w:color="auto"/>
        <w:right w:val="none" w:sz="0" w:space="0" w:color="auto"/>
      </w:divBdr>
    </w:div>
    <w:div w:id="1282806625">
      <w:bodyDiv w:val="1"/>
      <w:marLeft w:val="0"/>
      <w:marRight w:val="0"/>
      <w:marTop w:val="0"/>
      <w:marBottom w:val="0"/>
      <w:divBdr>
        <w:top w:val="none" w:sz="0" w:space="0" w:color="auto"/>
        <w:left w:val="none" w:sz="0" w:space="0" w:color="auto"/>
        <w:bottom w:val="none" w:sz="0" w:space="0" w:color="auto"/>
        <w:right w:val="none" w:sz="0" w:space="0" w:color="auto"/>
      </w:divBdr>
    </w:div>
    <w:div w:id="1543710765">
      <w:bodyDiv w:val="1"/>
      <w:marLeft w:val="0"/>
      <w:marRight w:val="0"/>
      <w:marTop w:val="0"/>
      <w:marBottom w:val="0"/>
      <w:divBdr>
        <w:top w:val="none" w:sz="0" w:space="0" w:color="auto"/>
        <w:left w:val="none" w:sz="0" w:space="0" w:color="auto"/>
        <w:bottom w:val="none" w:sz="0" w:space="0" w:color="auto"/>
        <w:right w:val="none" w:sz="0" w:space="0" w:color="auto"/>
      </w:divBdr>
    </w:div>
    <w:div w:id="1899851793">
      <w:bodyDiv w:val="1"/>
      <w:marLeft w:val="0"/>
      <w:marRight w:val="0"/>
      <w:marTop w:val="0"/>
      <w:marBottom w:val="0"/>
      <w:divBdr>
        <w:top w:val="none" w:sz="0" w:space="0" w:color="auto"/>
        <w:left w:val="none" w:sz="0" w:space="0" w:color="auto"/>
        <w:bottom w:val="none" w:sz="0" w:space="0" w:color="auto"/>
        <w:right w:val="none" w:sz="0" w:space="0" w:color="auto"/>
      </w:divBdr>
    </w:div>
    <w:div w:id="1955937908">
      <w:bodyDiv w:val="1"/>
      <w:marLeft w:val="0"/>
      <w:marRight w:val="0"/>
      <w:marTop w:val="0"/>
      <w:marBottom w:val="0"/>
      <w:divBdr>
        <w:top w:val="none" w:sz="0" w:space="0" w:color="auto"/>
        <w:left w:val="none" w:sz="0" w:space="0" w:color="auto"/>
        <w:bottom w:val="none" w:sz="0" w:space="0" w:color="auto"/>
        <w:right w:val="none" w:sz="0" w:space="0" w:color="auto"/>
      </w:divBdr>
    </w:div>
    <w:div w:id="2011129918">
      <w:bodyDiv w:val="1"/>
      <w:marLeft w:val="0"/>
      <w:marRight w:val="0"/>
      <w:marTop w:val="0"/>
      <w:marBottom w:val="0"/>
      <w:divBdr>
        <w:top w:val="none" w:sz="0" w:space="0" w:color="auto"/>
        <w:left w:val="none" w:sz="0" w:space="0" w:color="auto"/>
        <w:bottom w:val="none" w:sz="0" w:space="0" w:color="auto"/>
        <w:right w:val="none" w:sz="0" w:space="0" w:color="auto"/>
      </w:divBdr>
    </w:div>
    <w:div w:id="2048481826">
      <w:bodyDiv w:val="1"/>
      <w:marLeft w:val="0"/>
      <w:marRight w:val="0"/>
      <w:marTop w:val="0"/>
      <w:marBottom w:val="0"/>
      <w:divBdr>
        <w:top w:val="none" w:sz="0" w:space="0" w:color="auto"/>
        <w:left w:val="none" w:sz="0" w:space="0" w:color="auto"/>
        <w:bottom w:val="none" w:sz="0" w:space="0" w:color="auto"/>
        <w:right w:val="none" w:sz="0" w:space="0" w:color="auto"/>
      </w:divBdr>
    </w:div>
    <w:div w:id="21380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5378-D6C2-454E-8697-2329EE9F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2001</vt:lpstr>
    </vt:vector>
  </TitlesOfParts>
  <Company>AIR</Company>
  <LinksUpToDate>false</LinksUpToDate>
  <CharactersWithSpaces>2807</CharactersWithSpaces>
  <SharedDoc>false</SharedDoc>
  <HLinks>
    <vt:vector size="6" baseType="variant">
      <vt:variant>
        <vt:i4>5963780</vt:i4>
      </vt:variant>
      <vt:variant>
        <vt:i4>0</vt:i4>
      </vt:variant>
      <vt:variant>
        <vt:i4>0</vt:i4>
      </vt:variant>
      <vt:variant>
        <vt:i4>5</vt:i4>
      </vt:variant>
      <vt:variant>
        <vt:lpwstr>https://email.ed.gov/OWA/redir.aspx?C=87JuB2Jv50a5KcwmcijhWJLiqRQIx89I25rbzmHpKjhXDPG3BM0PeBPySUELCClgBMcN292JUjo.&amp;URL=http%3a%2f%2fonlinelibrary.wiley.com%2fdoi%2f10.1111%2fj.1475-6773.2010.01181.x%2fabstract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creator>Daniel Princiotta</dc:creator>
  <cp:lastModifiedBy>U.S. Dept. of Education</cp:lastModifiedBy>
  <cp:revision>2</cp:revision>
  <cp:lastPrinted>2010-04-29T18:40:00Z</cp:lastPrinted>
  <dcterms:created xsi:type="dcterms:W3CDTF">2013-07-12T13:42:00Z</dcterms:created>
  <dcterms:modified xsi:type="dcterms:W3CDTF">2013-07-12T13:42:00Z</dcterms:modified>
</cp:coreProperties>
</file>