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07F" w:rsidRPr="00E16E70" w:rsidRDefault="00B3407F" w:rsidP="0092596C">
      <w:pPr>
        <w:spacing w:after="0" w:line="240" w:lineRule="auto"/>
        <w:jc w:val="center"/>
        <w:rPr>
          <w:rFonts w:ascii="Times New Roman" w:hAnsi="Times New Roman"/>
          <w:sz w:val="24"/>
          <w:szCs w:val="24"/>
        </w:rPr>
      </w:pPr>
      <w:r w:rsidRPr="00E16E70">
        <w:rPr>
          <w:rFonts w:ascii="Times New Roman" w:hAnsi="Times New Roman"/>
          <w:sz w:val="24"/>
          <w:szCs w:val="24"/>
        </w:rPr>
        <w:t>Supporting Statement</w:t>
      </w:r>
    </w:p>
    <w:p w:rsidR="00B3407F" w:rsidRPr="00E16E70" w:rsidRDefault="00C24ADA" w:rsidP="005B5E5C">
      <w:pPr>
        <w:spacing w:after="0" w:line="240" w:lineRule="auto"/>
        <w:jc w:val="center"/>
        <w:rPr>
          <w:rFonts w:ascii="Times New Roman" w:hAnsi="Times New Roman"/>
          <w:b/>
          <w:sz w:val="24"/>
          <w:szCs w:val="24"/>
        </w:rPr>
      </w:pPr>
      <w:r>
        <w:rPr>
          <w:rFonts w:ascii="Times New Roman" w:hAnsi="Times New Roman"/>
          <w:b/>
          <w:sz w:val="24"/>
          <w:szCs w:val="24"/>
        </w:rPr>
        <w:t>FERC-725M</w:t>
      </w:r>
      <w:r w:rsidR="00B3407F" w:rsidRPr="00E16E70">
        <w:rPr>
          <w:rFonts w:ascii="Times New Roman" w:hAnsi="Times New Roman"/>
          <w:b/>
          <w:sz w:val="24"/>
          <w:szCs w:val="24"/>
        </w:rPr>
        <w:t>, Mandatory Reliability Standards</w:t>
      </w:r>
      <w:r w:rsidR="005B5E5C">
        <w:rPr>
          <w:rFonts w:ascii="Times New Roman" w:hAnsi="Times New Roman"/>
          <w:b/>
          <w:sz w:val="24"/>
          <w:szCs w:val="24"/>
        </w:rPr>
        <w:t xml:space="preserve">: </w:t>
      </w:r>
      <w:r w:rsidR="005B5E5C" w:rsidRPr="005B5E5C">
        <w:rPr>
          <w:rFonts w:ascii="Times New Roman" w:hAnsi="Times New Roman"/>
          <w:b/>
          <w:sz w:val="24"/>
          <w:szCs w:val="24"/>
        </w:rPr>
        <w:t>Generator Requirement</w:t>
      </w:r>
      <w:r w:rsidR="005B5E5C">
        <w:rPr>
          <w:rFonts w:ascii="Times New Roman" w:hAnsi="Times New Roman"/>
          <w:b/>
          <w:sz w:val="24"/>
          <w:szCs w:val="24"/>
        </w:rPr>
        <w:t>s at the Transmission Interface</w:t>
      </w:r>
    </w:p>
    <w:p w:rsidR="00B3407F" w:rsidRPr="005B24AF" w:rsidRDefault="00EC63CA" w:rsidP="0092596C">
      <w:pPr>
        <w:spacing w:after="0" w:line="240" w:lineRule="auto"/>
        <w:jc w:val="center"/>
        <w:rPr>
          <w:rFonts w:ascii="Times New Roman" w:hAnsi="Times New Roman"/>
          <w:sz w:val="24"/>
          <w:szCs w:val="24"/>
          <w:vertAlign w:val="superscript"/>
        </w:rPr>
      </w:pPr>
      <w:r>
        <w:rPr>
          <w:rFonts w:ascii="Times New Roman" w:hAnsi="Times New Roman"/>
          <w:sz w:val="24"/>
          <w:szCs w:val="24"/>
        </w:rPr>
        <w:t xml:space="preserve">Proposed </w:t>
      </w:r>
      <w:r w:rsidR="005B5E5C">
        <w:rPr>
          <w:rFonts w:ascii="Times New Roman" w:hAnsi="Times New Roman"/>
          <w:sz w:val="24"/>
          <w:szCs w:val="24"/>
        </w:rPr>
        <w:t>R</w:t>
      </w:r>
      <w:r>
        <w:rPr>
          <w:rFonts w:ascii="Times New Roman" w:hAnsi="Times New Roman"/>
          <w:sz w:val="24"/>
          <w:szCs w:val="24"/>
        </w:rPr>
        <w:t>ule</w:t>
      </w:r>
      <w:r w:rsidR="008548EA" w:rsidRPr="00E16E70">
        <w:rPr>
          <w:rFonts w:ascii="Times New Roman" w:hAnsi="Times New Roman"/>
          <w:sz w:val="24"/>
          <w:szCs w:val="24"/>
        </w:rPr>
        <w:t xml:space="preserve"> in RM12-16</w:t>
      </w:r>
      <w:r w:rsidR="00A03493">
        <w:rPr>
          <w:rFonts w:ascii="Times New Roman" w:hAnsi="Times New Roman"/>
          <w:sz w:val="24"/>
          <w:szCs w:val="24"/>
        </w:rPr>
        <w:t xml:space="preserve"> </w:t>
      </w:r>
      <w:bookmarkStart w:id="0" w:name="_Ref358363919"/>
      <w:r w:rsidR="00A03493" w:rsidRPr="00D663D5">
        <w:rPr>
          <w:rStyle w:val="FootnoteReference"/>
          <w:rFonts w:ascii="Times New Roman" w:hAnsi="Times New Roman"/>
          <w:b/>
          <w:sz w:val="24"/>
          <w:szCs w:val="24"/>
          <w:vertAlign w:val="superscript"/>
        </w:rPr>
        <w:footnoteReference w:id="1"/>
      </w:r>
      <w:bookmarkEnd w:id="0"/>
    </w:p>
    <w:p w:rsidR="00FD66F1" w:rsidRPr="00E16E70" w:rsidRDefault="00FD66F1" w:rsidP="0092596C">
      <w:pPr>
        <w:spacing w:after="0" w:line="240" w:lineRule="auto"/>
        <w:rPr>
          <w:rFonts w:ascii="Times New Roman" w:hAnsi="Times New Roman" w:cs="Times New Roman"/>
          <w:sz w:val="24"/>
          <w:szCs w:val="24"/>
        </w:rPr>
      </w:pPr>
    </w:p>
    <w:p w:rsidR="00502481" w:rsidRDefault="004E6AF7" w:rsidP="00502481">
      <w:pPr>
        <w:spacing w:after="0" w:line="240" w:lineRule="auto"/>
        <w:rPr>
          <w:rFonts w:ascii="Times New Roman" w:hAnsi="Times New Roman"/>
          <w:sz w:val="24"/>
          <w:szCs w:val="24"/>
        </w:rPr>
      </w:pPr>
      <w:proofErr w:type="gramStart"/>
      <w:r w:rsidRPr="00E16E70">
        <w:rPr>
          <w:rFonts w:ascii="Times New Roman" w:hAnsi="Times New Roman" w:cs="Times New Roman"/>
          <w:sz w:val="24"/>
          <w:szCs w:val="24"/>
        </w:rPr>
        <w:t xml:space="preserve">In </w:t>
      </w:r>
      <w:r w:rsidR="00A27B62">
        <w:rPr>
          <w:rFonts w:ascii="Times New Roman" w:hAnsi="Times New Roman" w:cs="Times New Roman"/>
          <w:sz w:val="24"/>
          <w:szCs w:val="24"/>
        </w:rPr>
        <w:t xml:space="preserve">the Notice of Proposed Rulemaking (NOPR) in </w:t>
      </w:r>
      <w:r w:rsidR="007B5073">
        <w:rPr>
          <w:rFonts w:ascii="Times New Roman" w:hAnsi="Times New Roman" w:cs="Times New Roman"/>
          <w:sz w:val="24"/>
          <w:szCs w:val="24"/>
        </w:rPr>
        <w:t>Docket No.</w:t>
      </w:r>
      <w:proofErr w:type="gramEnd"/>
      <w:r w:rsidR="007B5073">
        <w:rPr>
          <w:rFonts w:ascii="Times New Roman" w:hAnsi="Times New Roman" w:cs="Times New Roman"/>
          <w:sz w:val="24"/>
          <w:szCs w:val="24"/>
        </w:rPr>
        <w:t xml:space="preserve"> </w:t>
      </w:r>
      <w:r w:rsidRPr="00E16E70">
        <w:rPr>
          <w:rFonts w:ascii="Times New Roman" w:hAnsi="Times New Roman" w:cs="Times New Roman"/>
          <w:sz w:val="24"/>
          <w:szCs w:val="24"/>
        </w:rPr>
        <w:t>RM12-16</w:t>
      </w:r>
      <w:r w:rsidR="006102D8" w:rsidRPr="00D663D5">
        <w:rPr>
          <w:rFonts w:ascii="Times New Roman" w:hAnsi="Times New Roman" w:cs="Times New Roman"/>
          <w:b/>
          <w:sz w:val="24"/>
          <w:szCs w:val="24"/>
          <w:vertAlign w:val="superscript"/>
        </w:rPr>
        <w:fldChar w:fldCharType="begin"/>
      </w:r>
      <w:r w:rsidR="006102D8" w:rsidRPr="00D663D5">
        <w:rPr>
          <w:rFonts w:ascii="Times New Roman" w:hAnsi="Times New Roman" w:cs="Times New Roman"/>
          <w:b/>
          <w:sz w:val="24"/>
          <w:szCs w:val="24"/>
          <w:vertAlign w:val="superscript"/>
        </w:rPr>
        <w:instrText xml:space="preserve"> NOTEREF _Ref358363919 \h  \* MERGEFORMAT </w:instrText>
      </w:r>
      <w:r w:rsidR="006102D8" w:rsidRPr="00D663D5">
        <w:rPr>
          <w:rFonts w:ascii="Times New Roman" w:hAnsi="Times New Roman" w:cs="Times New Roman"/>
          <w:b/>
          <w:sz w:val="24"/>
          <w:szCs w:val="24"/>
          <w:vertAlign w:val="superscript"/>
        </w:rPr>
      </w:r>
      <w:r w:rsidR="006102D8" w:rsidRPr="00D663D5">
        <w:rPr>
          <w:rFonts w:ascii="Times New Roman" w:hAnsi="Times New Roman" w:cs="Times New Roman"/>
          <w:b/>
          <w:sz w:val="24"/>
          <w:szCs w:val="24"/>
          <w:vertAlign w:val="superscript"/>
        </w:rPr>
        <w:fldChar w:fldCharType="separate"/>
      </w:r>
      <w:r w:rsidR="00322AB7" w:rsidRPr="00D663D5">
        <w:rPr>
          <w:rFonts w:ascii="Times New Roman" w:hAnsi="Times New Roman" w:cs="Times New Roman"/>
          <w:b/>
          <w:sz w:val="24"/>
          <w:szCs w:val="24"/>
          <w:vertAlign w:val="superscript"/>
        </w:rPr>
        <w:t>1</w:t>
      </w:r>
      <w:r w:rsidR="006102D8" w:rsidRPr="00D663D5">
        <w:rPr>
          <w:rFonts w:ascii="Times New Roman" w:hAnsi="Times New Roman" w:cs="Times New Roman"/>
          <w:b/>
          <w:sz w:val="24"/>
          <w:szCs w:val="24"/>
          <w:vertAlign w:val="superscript"/>
        </w:rPr>
        <w:fldChar w:fldCharType="end"/>
      </w:r>
      <w:r w:rsidR="007B5073">
        <w:rPr>
          <w:rFonts w:ascii="Times New Roman" w:hAnsi="Times New Roman" w:cs="Times New Roman"/>
          <w:sz w:val="24"/>
          <w:szCs w:val="24"/>
        </w:rPr>
        <w:t>,</w:t>
      </w:r>
      <w:r w:rsidRPr="00E16E70">
        <w:rPr>
          <w:rFonts w:ascii="Times New Roman" w:hAnsi="Times New Roman" w:cs="Times New Roman"/>
          <w:sz w:val="24"/>
          <w:szCs w:val="24"/>
        </w:rPr>
        <w:t xml:space="preserve"> the </w:t>
      </w:r>
      <w:r w:rsidR="00706B00">
        <w:rPr>
          <w:rFonts w:ascii="Times New Roman" w:hAnsi="Times New Roman" w:cs="Times New Roman"/>
          <w:sz w:val="24"/>
          <w:szCs w:val="24"/>
        </w:rPr>
        <w:t>Federal Energy Regulatory Commission (</w:t>
      </w:r>
      <w:r w:rsidRPr="00E16E70">
        <w:rPr>
          <w:rFonts w:ascii="Times New Roman" w:hAnsi="Times New Roman" w:cs="Times New Roman"/>
          <w:sz w:val="24"/>
          <w:szCs w:val="24"/>
        </w:rPr>
        <w:t xml:space="preserve">Commission </w:t>
      </w:r>
      <w:r w:rsidR="00706B00">
        <w:rPr>
          <w:rFonts w:ascii="Times New Roman" w:hAnsi="Times New Roman" w:cs="Times New Roman"/>
          <w:sz w:val="24"/>
          <w:szCs w:val="24"/>
        </w:rPr>
        <w:t xml:space="preserve">or FERC) </w:t>
      </w:r>
      <w:r w:rsidRPr="00E16E70">
        <w:rPr>
          <w:rFonts w:ascii="Times New Roman" w:hAnsi="Times New Roman" w:cs="Times New Roman"/>
          <w:sz w:val="24"/>
          <w:szCs w:val="24"/>
        </w:rPr>
        <w:t xml:space="preserve">proposes to </w:t>
      </w:r>
      <w:r w:rsidR="00502481" w:rsidRPr="00E16E70">
        <w:rPr>
          <w:rFonts w:ascii="Times New Roman" w:hAnsi="Times New Roman"/>
          <w:sz w:val="24"/>
          <w:szCs w:val="24"/>
        </w:rPr>
        <w:t>approve Reliability Standards FAC-001-1</w:t>
      </w:r>
      <w:r w:rsidR="00E571B2">
        <w:rPr>
          <w:rFonts w:ascii="Times New Roman" w:hAnsi="Times New Roman"/>
          <w:sz w:val="24"/>
          <w:szCs w:val="24"/>
        </w:rPr>
        <w:t xml:space="preserve"> </w:t>
      </w:r>
      <w:r w:rsidR="00706B00" w:rsidRPr="00706B00">
        <w:rPr>
          <w:rFonts w:ascii="Times New Roman" w:hAnsi="Times New Roman"/>
          <w:sz w:val="24"/>
          <w:szCs w:val="24"/>
        </w:rPr>
        <w:t>(Facility Connection Requirements)</w:t>
      </w:r>
      <w:r w:rsidR="00502481" w:rsidRPr="00E16E70">
        <w:rPr>
          <w:rFonts w:ascii="Times New Roman" w:hAnsi="Times New Roman"/>
          <w:sz w:val="24"/>
          <w:szCs w:val="24"/>
        </w:rPr>
        <w:t>, FAC-003-3</w:t>
      </w:r>
      <w:r w:rsidR="00E571B2">
        <w:rPr>
          <w:rFonts w:ascii="Times New Roman" w:hAnsi="Times New Roman"/>
          <w:sz w:val="24"/>
          <w:szCs w:val="24"/>
        </w:rPr>
        <w:t xml:space="preserve"> </w:t>
      </w:r>
      <w:r w:rsidR="00E571B2" w:rsidRPr="00E571B2">
        <w:rPr>
          <w:rFonts w:ascii="Times New Roman" w:hAnsi="Times New Roman"/>
          <w:sz w:val="24"/>
          <w:szCs w:val="24"/>
        </w:rPr>
        <w:t>(Transmission Vegetation Management)</w:t>
      </w:r>
      <w:r w:rsidR="00502481" w:rsidRPr="00E16E70">
        <w:rPr>
          <w:rFonts w:ascii="Times New Roman" w:hAnsi="Times New Roman"/>
          <w:sz w:val="24"/>
          <w:szCs w:val="24"/>
        </w:rPr>
        <w:t>, PRC-004-2.1a</w:t>
      </w:r>
      <w:r w:rsidR="00E571B2">
        <w:rPr>
          <w:rFonts w:ascii="Times New Roman" w:hAnsi="Times New Roman"/>
          <w:sz w:val="24"/>
          <w:szCs w:val="24"/>
        </w:rPr>
        <w:t xml:space="preserve"> </w:t>
      </w:r>
      <w:r w:rsidR="00E571B2" w:rsidRPr="00E571B2">
        <w:rPr>
          <w:rFonts w:ascii="Times New Roman" w:hAnsi="Times New Roman"/>
          <w:sz w:val="24"/>
          <w:szCs w:val="24"/>
        </w:rPr>
        <w:t>(Analysis and Mitigation of Transmission and Generation Protection System Misoperations)</w:t>
      </w:r>
      <w:r w:rsidR="00502481" w:rsidRPr="00E16E70">
        <w:rPr>
          <w:rFonts w:ascii="Times New Roman" w:hAnsi="Times New Roman"/>
          <w:sz w:val="24"/>
          <w:szCs w:val="24"/>
        </w:rPr>
        <w:t>, and PRC-005-1.1b</w:t>
      </w:r>
      <w:r w:rsidR="00E571B2">
        <w:rPr>
          <w:rFonts w:ascii="Times New Roman" w:hAnsi="Times New Roman"/>
          <w:sz w:val="24"/>
          <w:szCs w:val="24"/>
        </w:rPr>
        <w:t xml:space="preserve"> </w:t>
      </w:r>
      <w:r w:rsidR="00E571B2" w:rsidRPr="00E571B2">
        <w:rPr>
          <w:rFonts w:ascii="Times New Roman" w:hAnsi="Times New Roman"/>
          <w:sz w:val="24"/>
          <w:szCs w:val="24"/>
        </w:rPr>
        <w:t>(Transmission and Generation Protection System Maintenance and Testing)</w:t>
      </w:r>
      <w:r w:rsidR="00502481" w:rsidRPr="00E16E70">
        <w:rPr>
          <w:rFonts w:ascii="Times New Roman" w:hAnsi="Times New Roman"/>
          <w:sz w:val="24"/>
          <w:szCs w:val="24"/>
        </w:rPr>
        <w:t>, which would replace currently effective Reliability S</w:t>
      </w:r>
      <w:r w:rsidR="0098205C" w:rsidRPr="00E16E70">
        <w:rPr>
          <w:rFonts w:ascii="Times New Roman" w:hAnsi="Times New Roman"/>
          <w:sz w:val="24"/>
          <w:szCs w:val="24"/>
        </w:rPr>
        <w:t xml:space="preserve">tandards FAC-001-0, FAC-003-1, </w:t>
      </w:r>
      <w:r w:rsidR="00502481" w:rsidRPr="00E16E70">
        <w:rPr>
          <w:rFonts w:ascii="Times New Roman" w:hAnsi="Times New Roman"/>
          <w:sz w:val="24"/>
          <w:szCs w:val="24"/>
        </w:rPr>
        <w:t xml:space="preserve">PRC-004-2a, and PRC-005-1b.  The modifications proposed </w:t>
      </w:r>
      <w:r w:rsidR="007B5073">
        <w:rPr>
          <w:rFonts w:ascii="Times New Roman" w:hAnsi="Times New Roman"/>
          <w:sz w:val="24"/>
          <w:szCs w:val="24"/>
        </w:rPr>
        <w:t xml:space="preserve">by </w:t>
      </w:r>
      <w:r w:rsidR="00502481" w:rsidRPr="00E16E70">
        <w:rPr>
          <w:rFonts w:ascii="Times New Roman" w:hAnsi="Times New Roman"/>
          <w:sz w:val="24"/>
          <w:szCs w:val="24"/>
        </w:rPr>
        <w:t xml:space="preserve">PRC-004-2.1a and PRC-005-1.1b are clarifications of existing requirements, do not extend those existing requirements to any new entity or to additional facilities, and do not affect the existing burden </w:t>
      </w:r>
      <w:r w:rsidR="00D418BA">
        <w:rPr>
          <w:rFonts w:ascii="Times New Roman" w:hAnsi="Times New Roman"/>
          <w:sz w:val="24"/>
          <w:szCs w:val="24"/>
        </w:rPr>
        <w:t xml:space="preserve">(contained in FERC-725A) </w:t>
      </w:r>
      <w:r w:rsidR="00502481" w:rsidRPr="00E16E70">
        <w:rPr>
          <w:rFonts w:ascii="Times New Roman" w:hAnsi="Times New Roman"/>
          <w:sz w:val="24"/>
          <w:szCs w:val="24"/>
        </w:rPr>
        <w:t>related to those standards.</w:t>
      </w:r>
    </w:p>
    <w:p w:rsidR="005B5E5C" w:rsidRDefault="005B5E5C" w:rsidP="00502481">
      <w:pPr>
        <w:spacing w:after="0" w:line="240" w:lineRule="auto"/>
        <w:rPr>
          <w:rFonts w:ascii="Times New Roman" w:hAnsi="Times New Roman"/>
          <w:sz w:val="24"/>
          <w:szCs w:val="24"/>
        </w:rPr>
      </w:pPr>
    </w:p>
    <w:p w:rsidR="00A03493" w:rsidRDefault="005B5E5C" w:rsidP="00502481">
      <w:pPr>
        <w:spacing w:after="0" w:line="240" w:lineRule="auto"/>
        <w:rPr>
          <w:rFonts w:ascii="Times New Roman" w:hAnsi="Times New Roman"/>
          <w:sz w:val="24"/>
          <w:szCs w:val="24"/>
        </w:rPr>
      </w:pPr>
      <w:r>
        <w:rPr>
          <w:rFonts w:ascii="Times New Roman" w:hAnsi="Times New Roman"/>
          <w:sz w:val="24"/>
          <w:szCs w:val="24"/>
        </w:rPr>
        <w:t xml:space="preserve">The underlying information collection requirements in the Reliability Standards (FAC-001, FAC-003, PRC-004, and PRC-005) are </w:t>
      </w:r>
      <w:r w:rsidR="007B5073">
        <w:rPr>
          <w:rFonts w:ascii="Times New Roman" w:hAnsi="Times New Roman"/>
          <w:sz w:val="24"/>
          <w:szCs w:val="24"/>
        </w:rPr>
        <w:t xml:space="preserve">currently </w:t>
      </w:r>
      <w:r>
        <w:rPr>
          <w:rFonts w:ascii="Times New Roman" w:hAnsi="Times New Roman"/>
          <w:sz w:val="24"/>
          <w:szCs w:val="24"/>
        </w:rPr>
        <w:t>approved by OMB under FERC-725A (</w:t>
      </w:r>
      <w:r w:rsidR="007B5073">
        <w:rPr>
          <w:rFonts w:ascii="Times New Roman" w:hAnsi="Times New Roman"/>
          <w:sz w:val="24"/>
          <w:szCs w:val="24"/>
        </w:rPr>
        <w:t xml:space="preserve">OMB Control No. </w:t>
      </w:r>
      <w:r>
        <w:rPr>
          <w:rFonts w:ascii="Times New Roman" w:hAnsi="Times New Roman"/>
          <w:sz w:val="24"/>
          <w:szCs w:val="24"/>
        </w:rPr>
        <w:t xml:space="preserve">1902-0244).  </w:t>
      </w:r>
    </w:p>
    <w:p w:rsidR="005B5E5C" w:rsidRPr="00E16E70" w:rsidRDefault="005B5E5C" w:rsidP="005B24AF">
      <w:pPr>
        <w:spacing w:after="0" w:line="240" w:lineRule="auto"/>
        <w:ind w:left="360"/>
        <w:rPr>
          <w:rFonts w:ascii="Times New Roman" w:hAnsi="Times New Roman" w:cs="Times New Roman"/>
          <w:sz w:val="24"/>
          <w:szCs w:val="24"/>
        </w:rPr>
      </w:pPr>
      <w:r w:rsidRPr="005B24AF">
        <w:rPr>
          <w:rFonts w:ascii="Times New Roman" w:hAnsi="Times New Roman"/>
          <w:sz w:val="24"/>
          <w:szCs w:val="24"/>
          <w:highlight w:val="lightGray"/>
        </w:rPr>
        <w:t>We are submitting this proposed rule under a new collection number</w:t>
      </w:r>
      <w:r w:rsidR="00A03493" w:rsidRPr="005B24AF">
        <w:rPr>
          <w:rFonts w:ascii="Times New Roman" w:hAnsi="Times New Roman"/>
          <w:sz w:val="24"/>
          <w:szCs w:val="24"/>
          <w:highlight w:val="lightGray"/>
          <w:vertAlign w:val="superscript"/>
        </w:rPr>
        <w:fldChar w:fldCharType="begin"/>
      </w:r>
      <w:r w:rsidR="00A03493" w:rsidRPr="005B24AF">
        <w:rPr>
          <w:rFonts w:ascii="Times New Roman" w:hAnsi="Times New Roman"/>
          <w:sz w:val="24"/>
          <w:szCs w:val="24"/>
          <w:highlight w:val="lightGray"/>
          <w:vertAlign w:val="superscript"/>
        </w:rPr>
        <w:instrText xml:space="preserve"> NOTEREF _Ref358363919 \h  \* MERGEFORMAT </w:instrText>
      </w:r>
      <w:r w:rsidR="00A03493" w:rsidRPr="005B24AF">
        <w:rPr>
          <w:rFonts w:ascii="Times New Roman" w:hAnsi="Times New Roman"/>
          <w:sz w:val="24"/>
          <w:szCs w:val="24"/>
          <w:highlight w:val="lightGray"/>
          <w:vertAlign w:val="superscript"/>
        </w:rPr>
      </w:r>
      <w:r w:rsidR="00A03493" w:rsidRPr="005B24AF">
        <w:rPr>
          <w:rFonts w:ascii="Times New Roman" w:hAnsi="Times New Roman"/>
          <w:sz w:val="24"/>
          <w:szCs w:val="24"/>
          <w:highlight w:val="lightGray"/>
          <w:vertAlign w:val="superscript"/>
        </w:rPr>
        <w:fldChar w:fldCharType="separate"/>
      </w:r>
      <w:r w:rsidR="00322AB7">
        <w:rPr>
          <w:rFonts w:ascii="Times New Roman" w:hAnsi="Times New Roman"/>
          <w:sz w:val="24"/>
          <w:szCs w:val="24"/>
          <w:highlight w:val="lightGray"/>
          <w:vertAlign w:val="superscript"/>
        </w:rPr>
        <w:t>1</w:t>
      </w:r>
      <w:r w:rsidR="00A03493" w:rsidRPr="005B24AF">
        <w:rPr>
          <w:rFonts w:ascii="Times New Roman" w:hAnsi="Times New Roman"/>
          <w:sz w:val="24"/>
          <w:szCs w:val="24"/>
          <w:highlight w:val="lightGray"/>
          <w:vertAlign w:val="superscript"/>
        </w:rPr>
        <w:fldChar w:fldCharType="end"/>
      </w:r>
      <w:r w:rsidRPr="005B24AF">
        <w:rPr>
          <w:rFonts w:ascii="Times New Roman" w:hAnsi="Times New Roman"/>
          <w:sz w:val="24"/>
          <w:szCs w:val="24"/>
          <w:highlight w:val="lightGray"/>
        </w:rPr>
        <w:t xml:space="preserve"> </w:t>
      </w:r>
      <w:r w:rsidR="007B5073" w:rsidRPr="005B24AF">
        <w:rPr>
          <w:rFonts w:ascii="Times New Roman" w:hAnsi="Times New Roman"/>
          <w:sz w:val="24"/>
          <w:szCs w:val="24"/>
          <w:highlight w:val="lightGray"/>
        </w:rPr>
        <w:t xml:space="preserve">(FERC-725M) </w:t>
      </w:r>
      <w:r w:rsidRPr="005B24AF">
        <w:rPr>
          <w:rFonts w:ascii="Times New Roman" w:hAnsi="Times New Roman"/>
          <w:sz w:val="24"/>
          <w:szCs w:val="24"/>
          <w:highlight w:val="lightGray"/>
        </w:rPr>
        <w:t xml:space="preserve">and </w:t>
      </w:r>
      <w:r w:rsidR="007B5073" w:rsidRPr="005B24AF">
        <w:rPr>
          <w:rFonts w:ascii="Times New Roman" w:hAnsi="Times New Roman"/>
          <w:sz w:val="24"/>
          <w:szCs w:val="24"/>
          <w:highlight w:val="lightGray"/>
        </w:rPr>
        <w:t xml:space="preserve">OMB </w:t>
      </w:r>
      <w:r w:rsidRPr="005B24AF">
        <w:rPr>
          <w:rFonts w:ascii="Times New Roman" w:hAnsi="Times New Roman"/>
          <w:sz w:val="24"/>
          <w:szCs w:val="24"/>
          <w:highlight w:val="lightGray"/>
        </w:rPr>
        <w:t>control number because of other rulemakings also affecting the FERC-725A collection</w:t>
      </w:r>
      <w:r w:rsidR="00B5067C" w:rsidRPr="005B24AF">
        <w:rPr>
          <w:rFonts w:ascii="Times New Roman" w:hAnsi="Times New Roman"/>
          <w:sz w:val="24"/>
          <w:szCs w:val="24"/>
          <w:highlight w:val="lightGray"/>
        </w:rPr>
        <w:t xml:space="preserve"> and</w:t>
      </w:r>
      <w:r w:rsidR="007B5073" w:rsidRPr="005B24AF">
        <w:rPr>
          <w:rFonts w:ascii="Times New Roman" w:hAnsi="Times New Roman"/>
          <w:sz w:val="24"/>
          <w:szCs w:val="24"/>
          <w:highlight w:val="lightGray"/>
        </w:rPr>
        <w:t xml:space="preserve"> OMB</w:t>
      </w:r>
      <w:r w:rsidR="00B5067C" w:rsidRPr="005B24AF">
        <w:rPr>
          <w:rFonts w:ascii="Times New Roman" w:hAnsi="Times New Roman"/>
          <w:sz w:val="24"/>
          <w:szCs w:val="24"/>
          <w:highlight w:val="lightGray"/>
        </w:rPr>
        <w:t>’s</w:t>
      </w:r>
      <w:r w:rsidR="007B5073" w:rsidRPr="005B24AF">
        <w:rPr>
          <w:rFonts w:ascii="Times New Roman" w:hAnsi="Times New Roman"/>
          <w:sz w:val="24"/>
          <w:szCs w:val="24"/>
          <w:highlight w:val="lightGray"/>
        </w:rPr>
        <w:t xml:space="preserve"> procedures </w:t>
      </w:r>
      <w:r w:rsidR="00B5067C" w:rsidRPr="005B24AF">
        <w:rPr>
          <w:rFonts w:ascii="Times New Roman" w:hAnsi="Times New Roman"/>
          <w:sz w:val="24"/>
          <w:szCs w:val="24"/>
          <w:highlight w:val="lightGray"/>
        </w:rPr>
        <w:t xml:space="preserve">that </w:t>
      </w:r>
      <w:r w:rsidR="007B5073" w:rsidRPr="005B24AF">
        <w:rPr>
          <w:rFonts w:ascii="Times New Roman" w:hAnsi="Times New Roman"/>
          <w:sz w:val="24"/>
          <w:szCs w:val="24"/>
          <w:highlight w:val="lightGray"/>
        </w:rPr>
        <w:t>only allow one item per Control No. to be pending OMB review at a time</w:t>
      </w:r>
      <w:r w:rsidRPr="005B24AF">
        <w:rPr>
          <w:rFonts w:ascii="Times New Roman" w:hAnsi="Times New Roman"/>
          <w:sz w:val="24"/>
          <w:szCs w:val="24"/>
          <w:highlight w:val="lightGray"/>
        </w:rPr>
        <w:t>.  This new collection (F</w:t>
      </w:r>
      <w:r w:rsidR="0058754A" w:rsidRPr="005B24AF">
        <w:rPr>
          <w:rFonts w:ascii="Times New Roman" w:hAnsi="Times New Roman"/>
          <w:sz w:val="24"/>
          <w:szCs w:val="24"/>
          <w:highlight w:val="lightGray"/>
        </w:rPr>
        <w:t>ERC-725M) will only contain the information collection requirements that are part of the proposed rule in RM12-16.</w:t>
      </w:r>
    </w:p>
    <w:p w:rsidR="0002242D" w:rsidRPr="00E16E70" w:rsidRDefault="0002242D" w:rsidP="0092596C">
      <w:pPr>
        <w:spacing w:after="0" w:line="240" w:lineRule="auto"/>
        <w:rPr>
          <w:rFonts w:ascii="Times New Roman" w:hAnsi="Times New Roman" w:cs="Times New Roman"/>
          <w:sz w:val="24"/>
          <w:szCs w:val="24"/>
        </w:rPr>
      </w:pPr>
    </w:p>
    <w:p w:rsidR="00A72E7B" w:rsidRPr="00E16E70" w:rsidRDefault="00A72E7B"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CIRCUMSTANCES THAT MAKE THE COLLECTION OF INFORMATION NECESSARY</w:t>
      </w:r>
    </w:p>
    <w:p w:rsidR="00A72E7B" w:rsidRPr="00E16E70" w:rsidRDefault="00A72E7B" w:rsidP="0092596C">
      <w:pPr>
        <w:spacing w:after="0" w:line="240" w:lineRule="auto"/>
        <w:rPr>
          <w:rFonts w:ascii="Times New Roman" w:hAnsi="Times New Roman" w:cs="Times New Roman"/>
          <w:sz w:val="24"/>
          <w:szCs w:val="24"/>
        </w:rPr>
      </w:pPr>
    </w:p>
    <w:p w:rsidR="00DF401D" w:rsidRPr="00E16E70" w:rsidRDefault="00DF401D" w:rsidP="0092596C">
      <w:pPr>
        <w:pStyle w:val="FERCparanumber"/>
        <w:widowControl/>
        <w:numPr>
          <w:ilvl w:val="0"/>
          <w:numId w:val="0"/>
        </w:numPr>
        <w:spacing w:line="240" w:lineRule="auto"/>
        <w:rPr>
          <w:sz w:val="24"/>
        </w:rPr>
      </w:pPr>
      <w:r w:rsidRPr="00E16E70">
        <w:rPr>
          <w:sz w:val="24"/>
        </w:rPr>
        <w:t>On August 8, 2005, The Electricity Modernization Act of 2005, which is Title XII of the Energy Policy Act of 2005 (</w:t>
      </w:r>
      <w:proofErr w:type="spellStart"/>
      <w:r w:rsidRPr="00E16E70">
        <w:rPr>
          <w:sz w:val="24"/>
        </w:rPr>
        <w:t>EPAct</w:t>
      </w:r>
      <w:proofErr w:type="spellEnd"/>
      <w:r w:rsidRPr="00E16E70">
        <w:rPr>
          <w:sz w:val="24"/>
        </w:rPr>
        <w:t xml:space="preserve"> 2005), was enacted into law.</w:t>
      </w:r>
      <w:r w:rsidRPr="00D663D5">
        <w:rPr>
          <w:rStyle w:val="FootnoteReference"/>
          <w:b/>
          <w:sz w:val="24"/>
          <w:vertAlign w:val="superscript"/>
        </w:rPr>
        <w:footnoteReference w:id="2"/>
      </w:r>
      <w:r w:rsidRPr="00E16E70">
        <w:rPr>
          <w:sz w:val="24"/>
        </w:rPr>
        <w:t xml:space="preserve">  </w:t>
      </w:r>
      <w:proofErr w:type="spellStart"/>
      <w:r w:rsidRPr="00E16E70">
        <w:rPr>
          <w:sz w:val="24"/>
        </w:rPr>
        <w:t>EPAct</w:t>
      </w:r>
      <w:proofErr w:type="spellEnd"/>
      <w:r w:rsidRPr="00E16E70">
        <w:rPr>
          <w:sz w:val="24"/>
        </w:rPr>
        <w:t xml:space="preserve"> 2005 added a new section 215 to the Federal Power Act (FPA), which requires a Commission-certified Electric Reliability Organization (ERO) to develop mandatory and enforceable Reliability Standards, which are subject to Commission review and approval.  Once approved</w:t>
      </w:r>
      <w:r w:rsidR="00706B00">
        <w:rPr>
          <w:sz w:val="24"/>
        </w:rPr>
        <w:t>,</w:t>
      </w:r>
      <w:r w:rsidRPr="00E16E70">
        <w:rPr>
          <w:sz w:val="24"/>
        </w:rPr>
        <w:t xml:space="preserve"> the Reliability Standards may be enforced by the ERO, subject to Commission oversight. </w:t>
      </w:r>
    </w:p>
    <w:p w:rsidR="00F361B0" w:rsidRPr="00E16E70" w:rsidRDefault="00F361B0" w:rsidP="0092596C">
      <w:pPr>
        <w:spacing w:after="0" w:line="240" w:lineRule="auto"/>
        <w:rPr>
          <w:rFonts w:ascii="Times New Roman" w:hAnsi="Times New Roman" w:cs="Times New Roman"/>
          <w:sz w:val="24"/>
          <w:szCs w:val="24"/>
        </w:rPr>
      </w:pPr>
    </w:p>
    <w:p w:rsidR="00131E16" w:rsidRPr="00E16E70" w:rsidRDefault="00F361B0" w:rsidP="0092596C">
      <w:pPr>
        <w:spacing w:after="0" w:line="240" w:lineRule="auto"/>
        <w:rPr>
          <w:rFonts w:ascii="Times New Roman" w:hAnsi="Times New Roman" w:cs="Times New Roman"/>
          <w:sz w:val="24"/>
          <w:szCs w:val="24"/>
          <w:u w:val="single"/>
        </w:rPr>
      </w:pPr>
      <w:r w:rsidRPr="00E16E70">
        <w:rPr>
          <w:rFonts w:ascii="Times New Roman" w:hAnsi="Times New Roman" w:cs="Times New Roman"/>
          <w:sz w:val="24"/>
          <w:szCs w:val="24"/>
          <w:u w:val="single"/>
        </w:rPr>
        <w:t>Proposed Rule in RM12-16</w:t>
      </w:r>
      <w:r w:rsidR="00131E16" w:rsidRPr="00E16E70">
        <w:rPr>
          <w:rFonts w:ascii="Times New Roman" w:hAnsi="Times New Roman" w:cs="Times New Roman"/>
          <w:sz w:val="24"/>
          <w:szCs w:val="24"/>
          <w:u w:val="single"/>
        </w:rPr>
        <w:t xml:space="preserve">  </w:t>
      </w:r>
    </w:p>
    <w:p w:rsidR="00131E16" w:rsidRPr="00E16E70" w:rsidRDefault="00131E16" w:rsidP="0092596C">
      <w:pPr>
        <w:spacing w:after="0" w:line="240" w:lineRule="auto"/>
        <w:rPr>
          <w:rFonts w:ascii="Times New Roman" w:hAnsi="Times New Roman" w:cs="Times New Roman"/>
          <w:sz w:val="24"/>
          <w:szCs w:val="24"/>
        </w:rPr>
      </w:pPr>
    </w:p>
    <w:p w:rsidR="00E16E70" w:rsidRDefault="00E16E70" w:rsidP="0092596C">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In several fact-specific cases on appeal from a NERC registration determination, the Commission has addressed the need to apply Reliability Standard requirements, otherwise generally applicable to a registered transmission owner or transmission operator, to the owner or operator of a significant genera</w:t>
      </w:r>
      <w:r w:rsidR="004632BC">
        <w:rPr>
          <w:rFonts w:ascii="Times New Roman" w:hAnsi="Times New Roman" w:cs="Times New Roman"/>
          <w:sz w:val="24"/>
          <w:szCs w:val="24"/>
        </w:rPr>
        <w:t>tor interconnection facility or</w:t>
      </w:r>
      <w:r w:rsidRPr="00E16E70">
        <w:rPr>
          <w:rFonts w:ascii="Times New Roman" w:hAnsi="Times New Roman" w:cs="Times New Roman"/>
          <w:sz w:val="24"/>
          <w:szCs w:val="24"/>
        </w:rPr>
        <w:t xml:space="preserve"> tie-line.</w:t>
      </w:r>
    </w:p>
    <w:p w:rsidR="004632BC" w:rsidRDefault="004632BC" w:rsidP="0092596C">
      <w:pPr>
        <w:spacing w:after="0" w:line="240" w:lineRule="auto"/>
        <w:rPr>
          <w:rFonts w:ascii="Times New Roman" w:hAnsi="Times New Roman" w:cs="Times New Roman"/>
          <w:sz w:val="24"/>
          <w:szCs w:val="24"/>
        </w:rPr>
      </w:pPr>
    </w:p>
    <w:p w:rsidR="004632BC" w:rsidRDefault="004632BC"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Following a fact-specific case in 2008, NERC formed an </w:t>
      </w:r>
      <w:r w:rsidRPr="004632BC">
        <w:rPr>
          <w:rFonts w:ascii="Times New Roman" w:hAnsi="Times New Roman" w:cs="Times New Roman"/>
          <w:sz w:val="24"/>
          <w:szCs w:val="24"/>
        </w:rPr>
        <w:t>Ad Hoc Group for Generator Requirements at the Transmission Interface (Ad Hoc Group) to address concerns about perceived reliability gaps associated with generator interconnection facilities.</w:t>
      </w:r>
      <w:r>
        <w:rPr>
          <w:rFonts w:ascii="Times New Roman" w:hAnsi="Times New Roman" w:cs="Times New Roman"/>
          <w:sz w:val="24"/>
          <w:szCs w:val="24"/>
        </w:rPr>
        <w:t xml:space="preserve">  Later, NERC began a project that culminated in submitting a request to the Commission to approve modifications to several standards pertaining to generator interconnections.  </w:t>
      </w:r>
    </w:p>
    <w:p w:rsidR="00E16E70" w:rsidRDefault="00E16E70" w:rsidP="0092596C">
      <w:pPr>
        <w:spacing w:after="0" w:line="240" w:lineRule="auto"/>
        <w:rPr>
          <w:rFonts w:ascii="Times New Roman" w:hAnsi="Times New Roman" w:cs="Times New Roman"/>
          <w:sz w:val="24"/>
          <w:szCs w:val="24"/>
        </w:rPr>
      </w:pPr>
    </w:p>
    <w:p w:rsidR="005012BD" w:rsidRPr="00E16E70" w:rsidRDefault="00F361B0" w:rsidP="0092596C">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In this proposed rule</w:t>
      </w:r>
      <w:r w:rsidR="00706B00">
        <w:rPr>
          <w:rFonts w:ascii="Times New Roman" w:hAnsi="Times New Roman" w:cs="Times New Roman"/>
          <w:sz w:val="24"/>
          <w:szCs w:val="24"/>
        </w:rPr>
        <w:t>,</w:t>
      </w:r>
      <w:r w:rsidRPr="00E16E70">
        <w:rPr>
          <w:rFonts w:ascii="Times New Roman" w:hAnsi="Times New Roman" w:cs="Times New Roman"/>
          <w:sz w:val="24"/>
          <w:szCs w:val="24"/>
        </w:rPr>
        <w:t xml:space="preserve"> the Commission </w:t>
      </w:r>
      <w:r w:rsidR="005012BD" w:rsidRPr="00E16E70">
        <w:rPr>
          <w:rFonts w:ascii="Times New Roman" w:hAnsi="Times New Roman" w:cs="Times New Roman"/>
          <w:sz w:val="24"/>
          <w:szCs w:val="24"/>
        </w:rPr>
        <w:t xml:space="preserve">proposes to approve </w:t>
      </w:r>
      <w:r w:rsidR="004632BC">
        <w:rPr>
          <w:rFonts w:ascii="Times New Roman" w:hAnsi="Times New Roman" w:cs="Times New Roman"/>
          <w:sz w:val="24"/>
          <w:szCs w:val="24"/>
        </w:rPr>
        <w:t>the</w:t>
      </w:r>
      <w:r w:rsidR="00E16E70">
        <w:rPr>
          <w:rFonts w:ascii="Times New Roman" w:hAnsi="Times New Roman" w:cs="Times New Roman"/>
          <w:sz w:val="24"/>
          <w:szCs w:val="24"/>
        </w:rPr>
        <w:t xml:space="preserve"> </w:t>
      </w:r>
      <w:r w:rsidR="005012BD" w:rsidRPr="00E16E70">
        <w:rPr>
          <w:rFonts w:ascii="Times New Roman" w:hAnsi="Times New Roman" w:cs="Times New Roman"/>
          <w:sz w:val="24"/>
          <w:szCs w:val="24"/>
        </w:rPr>
        <w:t xml:space="preserve">revised Reliability Standards which, as NERC states: </w:t>
      </w:r>
    </w:p>
    <w:p w:rsidR="005012BD" w:rsidRPr="00E16E70" w:rsidRDefault="005012BD" w:rsidP="0092596C">
      <w:pPr>
        <w:spacing w:after="0" w:line="240" w:lineRule="auto"/>
        <w:rPr>
          <w:rFonts w:ascii="Times New Roman" w:hAnsi="Times New Roman" w:cs="Times New Roman"/>
          <w:sz w:val="24"/>
          <w:szCs w:val="24"/>
        </w:rPr>
      </w:pPr>
    </w:p>
    <w:p w:rsidR="00F361B0" w:rsidRPr="00E16E70" w:rsidRDefault="005012BD" w:rsidP="005012BD">
      <w:pPr>
        <w:spacing w:after="0" w:line="240" w:lineRule="auto"/>
        <w:ind w:left="720"/>
        <w:rPr>
          <w:rFonts w:ascii="Times New Roman" w:hAnsi="Times New Roman" w:cs="Times New Roman"/>
          <w:sz w:val="24"/>
          <w:szCs w:val="24"/>
        </w:rPr>
      </w:pPr>
      <w:r w:rsidRPr="00E16E70">
        <w:rPr>
          <w:rFonts w:ascii="Times New Roman" w:hAnsi="Times New Roman" w:cs="Times New Roman"/>
          <w:sz w:val="24"/>
          <w:szCs w:val="24"/>
        </w:rPr>
        <w:t>Represent an improvement over the currently effective standards because they ensure that there are no reliability gaps in (1) the development of Facility connection requirements when a third party requests interconnection to a Generator Owner Facility and (2) the performance of vegetation management on Bulk Electric System Facilities.</w:t>
      </w:r>
      <w:r w:rsidR="004632BC" w:rsidRPr="00D663D5">
        <w:rPr>
          <w:rStyle w:val="FootnoteReference"/>
          <w:rFonts w:ascii="Times New Roman" w:hAnsi="Times New Roman" w:cs="Times New Roman"/>
          <w:b/>
          <w:sz w:val="24"/>
          <w:szCs w:val="24"/>
          <w:vertAlign w:val="superscript"/>
        </w:rPr>
        <w:footnoteReference w:id="3"/>
      </w:r>
      <w:r w:rsidRPr="00E16E70">
        <w:rPr>
          <w:rFonts w:ascii="Times New Roman" w:hAnsi="Times New Roman" w:cs="Times New Roman"/>
          <w:sz w:val="24"/>
          <w:szCs w:val="24"/>
        </w:rPr>
        <w:t xml:space="preserve">    </w:t>
      </w:r>
    </w:p>
    <w:p w:rsidR="00EB3E6F" w:rsidRPr="00E16E70" w:rsidRDefault="00EB3E6F" w:rsidP="0092596C">
      <w:pPr>
        <w:spacing w:after="0" w:line="240" w:lineRule="auto"/>
        <w:rPr>
          <w:rFonts w:ascii="Times New Roman" w:hAnsi="Times New Roman" w:cs="Times New Roman"/>
          <w:sz w:val="24"/>
          <w:szCs w:val="24"/>
        </w:rPr>
      </w:pPr>
    </w:p>
    <w:p w:rsidR="00A72E7B" w:rsidRPr="00E16E70"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HOW, BY WHOM, AND FOR WHAT PURPOSE THE INFORMATION IS TO BE USED AND THE CONSEQUENCES OF NOT COLLECTING THE INFORMATION</w:t>
      </w:r>
    </w:p>
    <w:p w:rsidR="00734625" w:rsidRPr="00E16E70" w:rsidRDefault="00734625" w:rsidP="0092596C">
      <w:pPr>
        <w:spacing w:after="0" w:line="240" w:lineRule="auto"/>
        <w:rPr>
          <w:rFonts w:ascii="Times New Roman" w:hAnsi="Times New Roman" w:cs="Times New Roman"/>
          <w:sz w:val="24"/>
          <w:szCs w:val="24"/>
        </w:rPr>
      </w:pPr>
    </w:p>
    <w:p w:rsidR="00734625" w:rsidRPr="00E16E70" w:rsidRDefault="00B84756" w:rsidP="0092596C">
      <w:pPr>
        <w:spacing w:after="0" w:line="240" w:lineRule="auto"/>
        <w:rPr>
          <w:rFonts w:ascii="Times New Roman" w:hAnsi="Times New Roman"/>
          <w:sz w:val="24"/>
          <w:szCs w:val="24"/>
        </w:rPr>
      </w:pPr>
      <w:r w:rsidRPr="00E16E70">
        <w:rPr>
          <w:rFonts w:ascii="Times New Roman" w:hAnsi="Times New Roman"/>
          <w:sz w:val="24"/>
          <w:szCs w:val="24"/>
        </w:rPr>
        <w:t xml:space="preserve">The modifications proposed for </w:t>
      </w:r>
      <w:r w:rsidR="004609F6">
        <w:rPr>
          <w:rFonts w:ascii="Times New Roman" w:hAnsi="Times New Roman"/>
          <w:sz w:val="24"/>
          <w:szCs w:val="24"/>
        </w:rPr>
        <w:t xml:space="preserve">Reliability Standard </w:t>
      </w:r>
      <w:r w:rsidRPr="00E16E70">
        <w:rPr>
          <w:rFonts w:ascii="Times New Roman" w:hAnsi="Times New Roman"/>
          <w:sz w:val="24"/>
          <w:szCs w:val="24"/>
        </w:rPr>
        <w:t xml:space="preserve">FAC-001-1 would extend the obligation to document, maintain, and publish interconnection requirements to any </w:t>
      </w:r>
      <w:r w:rsidR="00E16E70" w:rsidRPr="00E16E70">
        <w:rPr>
          <w:rFonts w:ascii="Times New Roman" w:hAnsi="Times New Roman"/>
          <w:sz w:val="24"/>
          <w:szCs w:val="24"/>
        </w:rPr>
        <w:t>G</w:t>
      </w:r>
      <w:r w:rsidRPr="00E16E70">
        <w:rPr>
          <w:rFonts w:ascii="Times New Roman" w:hAnsi="Times New Roman"/>
          <w:sz w:val="24"/>
          <w:szCs w:val="24"/>
        </w:rPr>
        <w:t xml:space="preserve">enerator </w:t>
      </w:r>
      <w:r w:rsidR="00E16E70" w:rsidRPr="00E16E70">
        <w:rPr>
          <w:rFonts w:ascii="Times New Roman" w:hAnsi="Times New Roman"/>
          <w:sz w:val="24"/>
          <w:szCs w:val="24"/>
        </w:rPr>
        <w:t>O</w:t>
      </w:r>
      <w:r w:rsidRPr="00E16E70">
        <w:rPr>
          <w:rFonts w:ascii="Times New Roman" w:hAnsi="Times New Roman"/>
          <w:sz w:val="24"/>
          <w:szCs w:val="24"/>
        </w:rPr>
        <w:t xml:space="preserve">wner that has an executed agreement with a third party to evaluate the reliability impact of a requested or required interconnection.  NERC states that the intent of this modified language is to start the compliance clock when the Generator Owner executes an Agreement to perform the reliability assessment required in FAC-002-1.  </w:t>
      </w:r>
      <w:r w:rsidRPr="00A1279B">
        <w:rPr>
          <w:rFonts w:ascii="Times New Roman" w:hAnsi="Times New Roman"/>
          <w:sz w:val="24"/>
          <w:szCs w:val="24"/>
        </w:rPr>
        <w:t>There is the potential for a reliability gap if FAC-001 is not modified as the reliability impact assessment could be delayed.</w:t>
      </w:r>
      <w:r w:rsidRPr="00E16E70">
        <w:rPr>
          <w:rFonts w:ascii="Times New Roman" w:hAnsi="Times New Roman"/>
          <w:sz w:val="24"/>
          <w:szCs w:val="24"/>
        </w:rPr>
        <w:t xml:space="preserve">  </w:t>
      </w:r>
    </w:p>
    <w:p w:rsidR="00B84756" w:rsidRPr="00E16E70" w:rsidRDefault="00B84756" w:rsidP="0092596C">
      <w:pPr>
        <w:spacing w:after="0" w:line="240" w:lineRule="auto"/>
        <w:rPr>
          <w:rFonts w:ascii="Times New Roman" w:hAnsi="Times New Roman"/>
          <w:sz w:val="24"/>
          <w:szCs w:val="24"/>
        </w:rPr>
      </w:pPr>
    </w:p>
    <w:p w:rsidR="00D80254" w:rsidRPr="00E16E70" w:rsidRDefault="00B84756" w:rsidP="0092596C">
      <w:pPr>
        <w:spacing w:after="0" w:line="240" w:lineRule="auto"/>
        <w:rPr>
          <w:rFonts w:ascii="Times New Roman" w:hAnsi="Times New Roman"/>
          <w:sz w:val="24"/>
          <w:szCs w:val="24"/>
        </w:rPr>
      </w:pPr>
      <w:r w:rsidRPr="00E16E70">
        <w:rPr>
          <w:rFonts w:ascii="Times New Roman" w:hAnsi="Times New Roman"/>
          <w:sz w:val="24"/>
          <w:szCs w:val="24"/>
        </w:rPr>
        <w:t xml:space="preserve">The modifications proposed in FAC-003-3 would extend NERC’s vegetation management requirements to Generator Owners with qualifying interconnection facilities, including requirements to create and maintain records related to the </w:t>
      </w:r>
      <w:r w:rsidR="00D80254" w:rsidRPr="00E16E70">
        <w:rPr>
          <w:rFonts w:ascii="Times New Roman" w:hAnsi="Times New Roman"/>
          <w:sz w:val="24"/>
          <w:szCs w:val="24"/>
        </w:rPr>
        <w:t>G</w:t>
      </w:r>
      <w:r w:rsidRPr="00E16E70">
        <w:rPr>
          <w:rFonts w:ascii="Times New Roman" w:hAnsi="Times New Roman"/>
          <w:sz w:val="24"/>
          <w:szCs w:val="24"/>
        </w:rPr>
        <w:t xml:space="preserve">enerator </w:t>
      </w:r>
      <w:r w:rsidR="00D80254" w:rsidRPr="00E16E70">
        <w:rPr>
          <w:rFonts w:ascii="Times New Roman" w:hAnsi="Times New Roman"/>
          <w:sz w:val="24"/>
          <w:szCs w:val="24"/>
        </w:rPr>
        <w:t>O</w:t>
      </w:r>
      <w:r w:rsidRPr="00E16E70">
        <w:rPr>
          <w:rFonts w:ascii="Times New Roman" w:hAnsi="Times New Roman"/>
          <w:sz w:val="24"/>
          <w:szCs w:val="24"/>
        </w:rPr>
        <w:t>wner’s vegetation management work plan and performance of inspections.</w:t>
      </w:r>
      <w:r w:rsidR="00D80254" w:rsidRPr="00E16E70">
        <w:rPr>
          <w:rFonts w:ascii="Times New Roman" w:hAnsi="Times New Roman"/>
          <w:sz w:val="24"/>
          <w:szCs w:val="24"/>
        </w:rPr>
        <w:t xml:space="preserve">  NERC states that:</w:t>
      </w:r>
    </w:p>
    <w:p w:rsidR="00D80254" w:rsidRPr="00E16E70" w:rsidRDefault="00D80254" w:rsidP="0092596C">
      <w:pPr>
        <w:spacing w:after="0" w:line="240" w:lineRule="auto"/>
        <w:rPr>
          <w:rFonts w:ascii="Times New Roman" w:hAnsi="Times New Roman"/>
          <w:sz w:val="24"/>
          <w:szCs w:val="24"/>
        </w:rPr>
      </w:pPr>
    </w:p>
    <w:p w:rsidR="00D80254" w:rsidRPr="00E16E70" w:rsidRDefault="00D80254" w:rsidP="00D80254">
      <w:pPr>
        <w:spacing w:after="0" w:line="240" w:lineRule="auto"/>
        <w:ind w:left="720"/>
        <w:rPr>
          <w:rFonts w:ascii="Times New Roman" w:hAnsi="Times New Roman"/>
          <w:sz w:val="24"/>
          <w:szCs w:val="24"/>
        </w:rPr>
      </w:pPr>
      <w:r w:rsidRPr="00E16E70">
        <w:rPr>
          <w:rFonts w:ascii="Times New Roman" w:hAnsi="Times New Roman"/>
          <w:sz w:val="24"/>
          <w:szCs w:val="24"/>
        </w:rPr>
        <w:t>When it comes to vegetation management, [the generator interconnection lines] should be treated as though they are transmission lines; the risk of outages from vegetation located on a right-of-way for a generator-owned line is similar to the risk for Transmission Owners.</w:t>
      </w:r>
    </w:p>
    <w:p w:rsidR="00D80254" w:rsidRPr="00E16E70" w:rsidRDefault="00D80254" w:rsidP="00D80254">
      <w:pPr>
        <w:spacing w:after="0" w:line="240" w:lineRule="auto"/>
        <w:rPr>
          <w:rFonts w:ascii="Times New Roman" w:hAnsi="Times New Roman"/>
          <w:sz w:val="24"/>
          <w:szCs w:val="24"/>
        </w:rPr>
      </w:pPr>
    </w:p>
    <w:p w:rsidR="00B84756" w:rsidRPr="00E16E70" w:rsidRDefault="00D80254" w:rsidP="00D80254">
      <w:pPr>
        <w:spacing w:after="0" w:line="240" w:lineRule="auto"/>
        <w:rPr>
          <w:rFonts w:ascii="Times New Roman" w:hAnsi="Times New Roman"/>
          <w:sz w:val="24"/>
          <w:szCs w:val="24"/>
        </w:rPr>
      </w:pPr>
      <w:r w:rsidRPr="00E16E70">
        <w:rPr>
          <w:rFonts w:ascii="Times New Roman" w:hAnsi="Times New Roman"/>
          <w:sz w:val="24"/>
          <w:szCs w:val="24"/>
        </w:rPr>
        <w:lastRenderedPageBreak/>
        <w:t>The documentation related to vegetation management requirements assist</w:t>
      </w:r>
      <w:r w:rsidR="005D7513" w:rsidRPr="00E16E70">
        <w:rPr>
          <w:rFonts w:ascii="Times New Roman" w:hAnsi="Times New Roman"/>
          <w:sz w:val="24"/>
          <w:szCs w:val="24"/>
        </w:rPr>
        <w:t>s respondents to mana</w:t>
      </w:r>
      <w:r w:rsidR="00FE5AFA">
        <w:rPr>
          <w:rFonts w:ascii="Times New Roman" w:hAnsi="Times New Roman"/>
          <w:sz w:val="24"/>
          <w:szCs w:val="24"/>
        </w:rPr>
        <w:t>ge vegetation located on rights-of-</w:t>
      </w:r>
      <w:r w:rsidR="005D7513" w:rsidRPr="00E16E70">
        <w:rPr>
          <w:rFonts w:ascii="Times New Roman" w:hAnsi="Times New Roman"/>
          <w:sz w:val="24"/>
          <w:szCs w:val="24"/>
        </w:rPr>
        <w:t>way and minimize vegetation encroachments.  The documentation further provides a way for auditors to evaluate compliance with this standard.</w:t>
      </w:r>
      <w:r w:rsidRPr="00E16E70">
        <w:rPr>
          <w:rFonts w:ascii="Times New Roman" w:hAnsi="Times New Roman"/>
          <w:sz w:val="24"/>
          <w:szCs w:val="24"/>
        </w:rPr>
        <w:t xml:space="preserve">     </w:t>
      </w:r>
    </w:p>
    <w:p w:rsidR="00D80254" w:rsidRPr="00E16E70" w:rsidRDefault="00D80254" w:rsidP="00D80254">
      <w:pPr>
        <w:spacing w:after="0" w:line="240" w:lineRule="auto"/>
        <w:rPr>
          <w:rFonts w:ascii="Times New Roman" w:hAnsi="Times New Roman"/>
          <w:sz w:val="24"/>
          <w:szCs w:val="24"/>
        </w:rPr>
      </w:pPr>
    </w:p>
    <w:p w:rsidR="00A968FB" w:rsidRPr="00E16E70" w:rsidRDefault="005D7513" w:rsidP="0092596C">
      <w:pPr>
        <w:spacing w:after="0" w:line="240" w:lineRule="auto"/>
        <w:rPr>
          <w:rFonts w:ascii="Times New Roman" w:hAnsi="Times New Roman" w:cs="Times New Roman"/>
          <w:sz w:val="24"/>
          <w:szCs w:val="24"/>
        </w:rPr>
      </w:pPr>
      <w:r w:rsidRPr="00E16E70">
        <w:rPr>
          <w:rFonts w:ascii="Times New Roman" w:hAnsi="Times New Roman"/>
          <w:sz w:val="24"/>
          <w:szCs w:val="24"/>
        </w:rPr>
        <w:t>F</w:t>
      </w:r>
      <w:r w:rsidR="00D80254" w:rsidRPr="00E16E70">
        <w:rPr>
          <w:rFonts w:ascii="Times New Roman" w:hAnsi="Times New Roman"/>
          <w:sz w:val="24"/>
          <w:szCs w:val="24"/>
        </w:rPr>
        <w:t>ailure to fill this reliability gap could lead to vegetation-related outages.</w:t>
      </w:r>
    </w:p>
    <w:p w:rsidR="00EB3E6F" w:rsidRPr="00E16E70" w:rsidRDefault="00EB3E6F" w:rsidP="0092596C">
      <w:pPr>
        <w:spacing w:after="0" w:line="240" w:lineRule="auto"/>
        <w:rPr>
          <w:rFonts w:ascii="Times New Roman" w:hAnsi="Times New Roman" w:cs="Times New Roman"/>
          <w:sz w:val="24"/>
          <w:szCs w:val="24"/>
        </w:rPr>
      </w:pPr>
    </w:p>
    <w:p w:rsidR="00EB3E6F" w:rsidRPr="00E16E70"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 xml:space="preserve">DESCRIBE ANY CONSIDERATION OF THE USE OF IMPROVED </w:t>
      </w:r>
      <w:r w:rsidRPr="00E16E70">
        <w:rPr>
          <w:rFonts w:ascii="Times New Roman" w:hAnsi="Times New Roman" w:cs="Times New Roman"/>
          <w:b/>
          <w:sz w:val="24"/>
          <w:szCs w:val="24"/>
        </w:rPr>
        <w:t>INFORMATION TECHNOLOGY TO REDUCE THE BURDEN AND TECHNICAL OR LEGAL OBSTACLES TO REDUCING BURDEN</w:t>
      </w:r>
    </w:p>
    <w:p w:rsidR="00EB3E6F" w:rsidRPr="00E16E70" w:rsidRDefault="00EB3E6F" w:rsidP="0092596C">
      <w:pPr>
        <w:spacing w:after="0" w:line="240" w:lineRule="auto"/>
        <w:rPr>
          <w:rFonts w:ascii="Times New Roman" w:hAnsi="Times New Roman" w:cs="Times New Roman"/>
          <w:sz w:val="24"/>
          <w:szCs w:val="24"/>
        </w:rPr>
      </w:pPr>
    </w:p>
    <w:p w:rsidR="007C5853" w:rsidRPr="00E16E70" w:rsidRDefault="007C5853" w:rsidP="0092596C">
      <w:pPr>
        <w:spacing w:after="0" w:line="240" w:lineRule="auto"/>
        <w:rPr>
          <w:rFonts w:ascii="Times New Roman" w:hAnsi="Times New Roman" w:cs="Times New Roman"/>
          <w:sz w:val="24"/>
          <w:szCs w:val="24"/>
        </w:rPr>
      </w:pPr>
      <w:r w:rsidRPr="00D663D5">
        <w:rPr>
          <w:rFonts w:ascii="Times New Roman" w:hAnsi="Times New Roman" w:cs="Times New Roman"/>
          <w:sz w:val="24"/>
          <w:szCs w:val="24"/>
        </w:rPr>
        <w:t xml:space="preserve">The periodic data submittal to the regional entity is specified in FAC-003-3 under Section C.: Compliance, Subsection 1.4: Additional Compliance Information.  This section specifies the minimum information required to be submitted to the regional entity.  The eight regional entities have a well-established compliance portal for registered entities to electronically submit compliance information and reports.  The compliance portals allow documents developed by the registered entities to be attached and uploaded to the regional entity’s portal.  </w:t>
      </w:r>
      <w:r w:rsidR="000303AD" w:rsidRPr="00D663D5">
        <w:rPr>
          <w:rFonts w:ascii="Times New Roman" w:hAnsi="Times New Roman" w:cs="Times New Roman"/>
          <w:sz w:val="24"/>
          <w:szCs w:val="24"/>
        </w:rPr>
        <w:t xml:space="preserve">Compliance data can also be submitted via data forms on the portals.  These portals are accessible through an internet browser password protected user interface.  </w:t>
      </w:r>
    </w:p>
    <w:p w:rsidR="00EB3E6F" w:rsidRPr="00E16E70" w:rsidRDefault="00EB3E6F" w:rsidP="0092596C">
      <w:pPr>
        <w:spacing w:after="0" w:line="240" w:lineRule="auto"/>
        <w:rPr>
          <w:rFonts w:ascii="Times New Roman" w:hAnsi="Times New Roman" w:cs="Times New Roman"/>
          <w:sz w:val="24"/>
          <w:szCs w:val="24"/>
        </w:rPr>
      </w:pPr>
    </w:p>
    <w:p w:rsidR="00EB3E6F" w:rsidRPr="00E16E70"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DESCRIBE EFFORTS TO IDENTIF</w:t>
      </w:r>
      <w:r w:rsidR="00E05FA3" w:rsidRPr="00E16E70">
        <w:rPr>
          <w:rFonts w:ascii="Times New Roman" w:hAnsi="Times New Roman" w:cs="Times New Roman"/>
          <w:b/>
          <w:sz w:val="24"/>
          <w:szCs w:val="24"/>
        </w:rPr>
        <w:t>Y</w:t>
      </w:r>
      <w:r w:rsidRPr="00E16E70">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RPr="00E16E70" w:rsidRDefault="00EB3E6F" w:rsidP="0092596C">
      <w:pPr>
        <w:spacing w:after="0" w:line="240" w:lineRule="auto"/>
        <w:rPr>
          <w:rFonts w:ascii="Times New Roman" w:hAnsi="Times New Roman" w:cs="Times New Roman"/>
          <w:sz w:val="24"/>
          <w:szCs w:val="24"/>
        </w:rPr>
      </w:pPr>
    </w:p>
    <w:p w:rsidR="00EB3E6F" w:rsidRPr="00E16E70" w:rsidRDefault="00C00D70" w:rsidP="0092596C">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The information collection</w:t>
      </w:r>
      <w:r w:rsidR="005D7513" w:rsidRPr="00E16E70">
        <w:rPr>
          <w:rFonts w:ascii="Times New Roman" w:hAnsi="Times New Roman" w:cs="Times New Roman"/>
          <w:sz w:val="24"/>
          <w:szCs w:val="24"/>
        </w:rPr>
        <w:t xml:space="preserve"> requirements are unique to these</w:t>
      </w:r>
      <w:r w:rsidRPr="00E16E70">
        <w:rPr>
          <w:rFonts w:ascii="Times New Roman" w:hAnsi="Times New Roman" w:cs="Times New Roman"/>
          <w:sz w:val="24"/>
          <w:szCs w:val="24"/>
        </w:rPr>
        <w:t xml:space="preserve"> reliability standard</w:t>
      </w:r>
      <w:r w:rsidR="005D7513" w:rsidRPr="00E16E70">
        <w:rPr>
          <w:rFonts w:ascii="Times New Roman" w:hAnsi="Times New Roman" w:cs="Times New Roman"/>
          <w:sz w:val="24"/>
          <w:szCs w:val="24"/>
        </w:rPr>
        <w:t>s</w:t>
      </w:r>
      <w:r w:rsidRPr="00E16E70">
        <w:rPr>
          <w:rFonts w:ascii="Times New Roman" w:hAnsi="Times New Roman" w:cs="Times New Roman"/>
          <w:sz w:val="24"/>
          <w:szCs w:val="24"/>
        </w:rPr>
        <w:t xml:space="preserve"> and to this </w:t>
      </w:r>
      <w:proofErr w:type="gramStart"/>
      <w:r w:rsidRPr="00E16E70">
        <w:rPr>
          <w:rFonts w:ascii="Times New Roman" w:hAnsi="Times New Roman" w:cs="Times New Roman"/>
          <w:sz w:val="24"/>
          <w:szCs w:val="24"/>
        </w:rPr>
        <w:t>information</w:t>
      </w:r>
      <w:proofErr w:type="gramEnd"/>
      <w:r w:rsidRPr="00E16E70">
        <w:rPr>
          <w:rFonts w:ascii="Times New Roman" w:hAnsi="Times New Roman" w:cs="Times New Roman"/>
          <w:sz w:val="24"/>
          <w:szCs w:val="24"/>
        </w:rPr>
        <w:t xml:space="preserve"> collection.  The Commission does not know of any duplication in the requirements.</w:t>
      </w:r>
    </w:p>
    <w:p w:rsidR="00C00D70" w:rsidRPr="00E16E70" w:rsidRDefault="00C00D70" w:rsidP="0092596C">
      <w:pPr>
        <w:spacing w:after="0" w:line="240" w:lineRule="auto"/>
        <w:rPr>
          <w:rFonts w:ascii="Times New Roman" w:hAnsi="Times New Roman" w:cs="Times New Roman"/>
          <w:sz w:val="24"/>
          <w:szCs w:val="24"/>
        </w:rPr>
      </w:pPr>
    </w:p>
    <w:p w:rsidR="00EB3E6F" w:rsidRPr="00E16E70"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METHODS USED TO MINIMIZE THE BURDEN IN COLLECTION OF INFORMATION INVOLVING SMALL ENTITIES</w:t>
      </w:r>
    </w:p>
    <w:p w:rsidR="00EB3E6F" w:rsidRPr="00E16E70" w:rsidRDefault="00EB3E6F" w:rsidP="0092596C">
      <w:pPr>
        <w:spacing w:after="0" w:line="240" w:lineRule="auto"/>
        <w:rPr>
          <w:rFonts w:ascii="Times New Roman" w:hAnsi="Times New Roman" w:cs="Times New Roman"/>
          <w:sz w:val="24"/>
          <w:szCs w:val="24"/>
        </w:rPr>
      </w:pPr>
    </w:p>
    <w:p w:rsidR="00C00D70" w:rsidRPr="00E16E70" w:rsidRDefault="00C00D70" w:rsidP="0092596C">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 xml:space="preserve">Small entities </w:t>
      </w:r>
      <w:r w:rsidR="00E36732" w:rsidRPr="00E16E70">
        <w:rPr>
          <w:rFonts w:ascii="Times New Roman" w:hAnsi="Times New Roman" w:cs="Times New Roman"/>
          <w:sz w:val="24"/>
          <w:szCs w:val="24"/>
        </w:rPr>
        <w:t>are expected to</w:t>
      </w:r>
      <w:r w:rsidRPr="00E16E70">
        <w:rPr>
          <w:rFonts w:ascii="Times New Roman" w:hAnsi="Times New Roman" w:cs="Times New Roman"/>
          <w:sz w:val="24"/>
          <w:szCs w:val="24"/>
        </w:rPr>
        <w:t xml:space="preserve"> see a small increase in burden due to the revised requirements in the proposed Reliability Standard</w:t>
      </w:r>
      <w:r w:rsidR="00E36732" w:rsidRPr="00E16E70">
        <w:rPr>
          <w:rFonts w:ascii="Times New Roman" w:hAnsi="Times New Roman" w:cs="Times New Roman"/>
          <w:sz w:val="24"/>
          <w:szCs w:val="24"/>
        </w:rPr>
        <w:t>s</w:t>
      </w:r>
      <w:r w:rsidRPr="00E16E70">
        <w:rPr>
          <w:rFonts w:ascii="Times New Roman" w:hAnsi="Times New Roman" w:cs="Times New Roman"/>
          <w:sz w:val="24"/>
          <w:szCs w:val="24"/>
        </w:rPr>
        <w:t xml:space="preserve">. </w:t>
      </w:r>
      <w:r w:rsidR="00E36732" w:rsidRPr="00E16E70">
        <w:rPr>
          <w:rFonts w:ascii="Times New Roman" w:hAnsi="Times New Roman" w:cs="Times New Roman"/>
          <w:sz w:val="24"/>
          <w:szCs w:val="24"/>
        </w:rPr>
        <w:t xml:space="preserve"> </w:t>
      </w:r>
      <w:r w:rsidRPr="00E16E70">
        <w:rPr>
          <w:rFonts w:ascii="Times New Roman" w:hAnsi="Times New Roman" w:cs="Times New Roman"/>
          <w:sz w:val="24"/>
          <w:szCs w:val="24"/>
        </w:rPr>
        <w:t xml:space="preserve"> </w:t>
      </w:r>
    </w:p>
    <w:p w:rsidR="00C00D70" w:rsidRPr="00E16E70" w:rsidRDefault="00C00D70" w:rsidP="0092596C">
      <w:pPr>
        <w:spacing w:after="0" w:line="240" w:lineRule="auto"/>
        <w:rPr>
          <w:rFonts w:ascii="Times New Roman" w:hAnsi="Times New Roman" w:cs="Times New Roman"/>
          <w:sz w:val="24"/>
          <w:szCs w:val="24"/>
        </w:rPr>
      </w:pPr>
    </w:p>
    <w:p w:rsidR="00C00D70" w:rsidRPr="00E16E70" w:rsidRDefault="00C00D70" w:rsidP="0092596C">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 xml:space="preserve">In general, small entities may </w:t>
      </w:r>
      <w:r w:rsidR="00B86284" w:rsidRPr="00E16E70">
        <w:rPr>
          <w:rFonts w:ascii="Times New Roman" w:hAnsi="Times New Roman" w:cs="Times New Roman"/>
          <w:sz w:val="24"/>
          <w:szCs w:val="24"/>
        </w:rPr>
        <w:t xml:space="preserve">reduce their burden by taking part in a joint registration organization or </w:t>
      </w:r>
      <w:r w:rsidRPr="00E16E70">
        <w:rPr>
          <w:rFonts w:ascii="Times New Roman" w:hAnsi="Times New Roman" w:cs="Times New Roman"/>
          <w:sz w:val="24"/>
          <w:szCs w:val="24"/>
        </w:rPr>
        <w:t>a coordinated functional registration</w:t>
      </w:r>
      <w:r w:rsidR="00B86284" w:rsidRPr="00E16E70">
        <w:rPr>
          <w:rFonts w:ascii="Times New Roman" w:hAnsi="Times New Roman" w:cs="Times New Roman"/>
          <w:sz w:val="24"/>
          <w:szCs w:val="24"/>
        </w:rPr>
        <w:t>.  These options allow an entity to share its compliance burden with other entities.</w:t>
      </w:r>
    </w:p>
    <w:p w:rsidR="00EB3E6F" w:rsidRPr="00E16E70" w:rsidRDefault="00EB3E6F" w:rsidP="0092596C">
      <w:pPr>
        <w:spacing w:after="0" w:line="240" w:lineRule="auto"/>
        <w:rPr>
          <w:rFonts w:ascii="Times New Roman" w:hAnsi="Times New Roman" w:cs="Times New Roman"/>
          <w:sz w:val="24"/>
          <w:szCs w:val="24"/>
        </w:rPr>
      </w:pPr>
    </w:p>
    <w:p w:rsidR="00EB3E6F" w:rsidRPr="00E16E70"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CONSEQUENCE TO FEDERAL PROGRAM IF COLLECTION WERE CONDUCTED LESS FREQUENTLY</w:t>
      </w:r>
    </w:p>
    <w:p w:rsidR="00E36732" w:rsidRPr="00E16E70" w:rsidRDefault="00E36732" w:rsidP="0092596C">
      <w:pPr>
        <w:spacing w:after="0" w:line="240" w:lineRule="auto"/>
        <w:rPr>
          <w:rFonts w:ascii="Times New Roman" w:hAnsi="Times New Roman" w:cs="Times New Roman"/>
          <w:sz w:val="24"/>
          <w:szCs w:val="24"/>
        </w:rPr>
      </w:pPr>
    </w:p>
    <w:p w:rsidR="00E36732" w:rsidRPr="00E16E70" w:rsidRDefault="00E36732" w:rsidP="0092596C">
      <w:pPr>
        <w:spacing w:after="0" w:line="240" w:lineRule="auto"/>
        <w:rPr>
          <w:rFonts w:ascii="Times New Roman" w:hAnsi="Times New Roman" w:cs="Times New Roman"/>
          <w:sz w:val="24"/>
          <w:szCs w:val="24"/>
        </w:rPr>
      </w:pPr>
      <w:r w:rsidRPr="00A1279B">
        <w:rPr>
          <w:rFonts w:ascii="Times New Roman" w:hAnsi="Times New Roman"/>
          <w:sz w:val="24"/>
          <w:szCs w:val="24"/>
        </w:rPr>
        <w:t>There is the potential for a reliability gap if FAC-001 is not modified as the reliability impact assessment could be delayed.</w:t>
      </w:r>
      <w:r w:rsidRPr="00E16E70">
        <w:rPr>
          <w:rFonts w:ascii="Times New Roman" w:hAnsi="Times New Roman"/>
          <w:sz w:val="24"/>
          <w:szCs w:val="24"/>
        </w:rPr>
        <w:t xml:space="preserve">  </w:t>
      </w:r>
    </w:p>
    <w:p w:rsidR="00E36732" w:rsidRPr="00E16E70" w:rsidRDefault="00E36732" w:rsidP="0092596C">
      <w:pPr>
        <w:spacing w:after="0" w:line="240" w:lineRule="auto"/>
        <w:rPr>
          <w:rFonts w:ascii="Times New Roman" w:hAnsi="Times New Roman" w:cs="Times New Roman"/>
          <w:sz w:val="24"/>
          <w:szCs w:val="24"/>
        </w:rPr>
      </w:pPr>
    </w:p>
    <w:p w:rsidR="00E36732" w:rsidRPr="00E16E70" w:rsidRDefault="00E36732" w:rsidP="0092596C">
      <w:pPr>
        <w:spacing w:after="0" w:line="240" w:lineRule="auto"/>
        <w:rPr>
          <w:rFonts w:ascii="Times New Roman" w:hAnsi="Times New Roman"/>
          <w:sz w:val="24"/>
          <w:szCs w:val="24"/>
        </w:rPr>
      </w:pPr>
      <w:r w:rsidRPr="00E16E70">
        <w:rPr>
          <w:rFonts w:ascii="Times New Roman" w:hAnsi="Times New Roman"/>
          <w:sz w:val="24"/>
          <w:szCs w:val="24"/>
        </w:rPr>
        <w:t xml:space="preserve">Failure to follow requirements and compliance of FAC-003-2 could lead to additional sustained power outages due to tree-line contact.  These types of failures could jeopardize system </w:t>
      </w:r>
      <w:r w:rsidRPr="00E16E70">
        <w:rPr>
          <w:rFonts w:ascii="Times New Roman" w:hAnsi="Times New Roman"/>
          <w:sz w:val="24"/>
          <w:szCs w:val="24"/>
        </w:rPr>
        <w:lastRenderedPageBreak/>
        <w:t xml:space="preserve">reliability.   Vegetation contact with transmission lines </w:t>
      </w:r>
      <w:r w:rsidR="00A84D79" w:rsidRPr="00E16E70">
        <w:rPr>
          <w:rFonts w:ascii="Times New Roman" w:hAnsi="Times New Roman"/>
          <w:sz w:val="24"/>
          <w:szCs w:val="24"/>
        </w:rPr>
        <w:t>w</w:t>
      </w:r>
      <w:r w:rsidR="00A84D79">
        <w:rPr>
          <w:rFonts w:ascii="Times New Roman" w:hAnsi="Times New Roman"/>
          <w:sz w:val="24"/>
          <w:szCs w:val="24"/>
        </w:rPr>
        <w:t>as a</w:t>
      </w:r>
      <w:r w:rsidR="00A84D79" w:rsidRPr="00E16E70">
        <w:rPr>
          <w:rFonts w:ascii="Times New Roman" w:hAnsi="Times New Roman"/>
          <w:sz w:val="24"/>
          <w:szCs w:val="24"/>
        </w:rPr>
        <w:t xml:space="preserve"> </w:t>
      </w:r>
      <w:r w:rsidRPr="00E16E70">
        <w:rPr>
          <w:rFonts w:ascii="Times New Roman" w:hAnsi="Times New Roman"/>
          <w:sz w:val="24"/>
          <w:szCs w:val="24"/>
        </w:rPr>
        <w:t xml:space="preserve">major factor in two significant blackouts in WECC territory in 1996 and the August 2003 </w:t>
      </w:r>
      <w:r w:rsidR="00A84D79">
        <w:rPr>
          <w:rFonts w:ascii="Times New Roman" w:hAnsi="Times New Roman"/>
          <w:sz w:val="24"/>
          <w:szCs w:val="24"/>
        </w:rPr>
        <w:t>N</w:t>
      </w:r>
      <w:r w:rsidR="00A84D79" w:rsidRPr="00E16E70">
        <w:rPr>
          <w:rFonts w:ascii="Times New Roman" w:hAnsi="Times New Roman"/>
          <w:sz w:val="24"/>
          <w:szCs w:val="24"/>
        </w:rPr>
        <w:t xml:space="preserve">ortheast </w:t>
      </w:r>
      <w:r w:rsidRPr="00E16E70">
        <w:rPr>
          <w:rFonts w:ascii="Times New Roman" w:hAnsi="Times New Roman"/>
          <w:sz w:val="24"/>
          <w:szCs w:val="24"/>
        </w:rPr>
        <w:t>blackout.</w:t>
      </w:r>
    </w:p>
    <w:p w:rsidR="00B86284" w:rsidRPr="00E16E70" w:rsidRDefault="00B86284" w:rsidP="0092596C">
      <w:pPr>
        <w:spacing w:after="0" w:line="240" w:lineRule="auto"/>
        <w:rPr>
          <w:rFonts w:ascii="Times New Roman" w:hAnsi="Times New Roman" w:cs="Times New Roman"/>
          <w:sz w:val="24"/>
          <w:szCs w:val="24"/>
        </w:rPr>
      </w:pPr>
    </w:p>
    <w:p w:rsidR="00EB3E6F" w:rsidRPr="00E16E70"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EXPLAIN ANY SPECIAL CIRCUMSTANCES RELATING TO THE INFORMATION COLLECTION</w:t>
      </w:r>
    </w:p>
    <w:p w:rsidR="00EB3E6F" w:rsidRPr="00E16E70" w:rsidRDefault="00EB3E6F" w:rsidP="0092596C">
      <w:pPr>
        <w:spacing w:after="0" w:line="240" w:lineRule="auto"/>
        <w:rPr>
          <w:rFonts w:ascii="Times New Roman" w:hAnsi="Times New Roman" w:cs="Times New Roman"/>
          <w:sz w:val="24"/>
          <w:szCs w:val="24"/>
        </w:rPr>
      </w:pPr>
    </w:p>
    <w:p w:rsidR="00C60EDC" w:rsidRPr="00D663D5" w:rsidRDefault="00C60EDC" w:rsidP="00C60EDC">
      <w:pPr>
        <w:spacing w:after="0" w:line="240" w:lineRule="auto"/>
        <w:rPr>
          <w:rFonts w:ascii="Times New Roman" w:hAnsi="Times New Roman"/>
          <w:sz w:val="24"/>
          <w:szCs w:val="24"/>
        </w:rPr>
      </w:pPr>
      <w:r w:rsidRPr="00E16E70">
        <w:rPr>
          <w:rFonts w:ascii="Times New Roman" w:hAnsi="Times New Roman"/>
          <w:sz w:val="24"/>
          <w:szCs w:val="24"/>
        </w:rPr>
        <w:t>There are some special circumstances as described in 5 CFR 1320.5(d</w:t>
      </w:r>
      <w:proofErr w:type="gramStart"/>
      <w:r w:rsidRPr="00E16E70">
        <w:rPr>
          <w:rFonts w:ascii="Times New Roman" w:hAnsi="Times New Roman"/>
          <w:sz w:val="24"/>
          <w:szCs w:val="24"/>
        </w:rPr>
        <w:t>)(</w:t>
      </w:r>
      <w:proofErr w:type="gramEnd"/>
      <w:r w:rsidRPr="00E16E70">
        <w:rPr>
          <w:rFonts w:ascii="Times New Roman" w:hAnsi="Times New Roman"/>
          <w:sz w:val="24"/>
          <w:szCs w:val="24"/>
        </w:rPr>
        <w:t xml:space="preserve">2) related to this </w:t>
      </w:r>
      <w:r w:rsidRPr="00E16E70">
        <w:rPr>
          <w:rFonts w:ascii="Times New Roman" w:hAnsi="Times New Roman"/>
          <w:sz w:val="24"/>
          <w:szCs w:val="24"/>
        </w:rPr>
        <w:t xml:space="preserve">information </w:t>
      </w:r>
      <w:r w:rsidRPr="00D663D5">
        <w:rPr>
          <w:rFonts w:ascii="Times New Roman" w:hAnsi="Times New Roman"/>
          <w:sz w:val="24"/>
          <w:szCs w:val="24"/>
        </w:rPr>
        <w:t>collection.</w:t>
      </w:r>
    </w:p>
    <w:p w:rsidR="00C60EDC" w:rsidRPr="00D663D5" w:rsidRDefault="00C60EDC" w:rsidP="00C60EDC">
      <w:pPr>
        <w:spacing w:after="0" w:line="240" w:lineRule="auto"/>
        <w:rPr>
          <w:rFonts w:ascii="Times New Roman" w:hAnsi="Times New Roman"/>
          <w:sz w:val="24"/>
          <w:szCs w:val="24"/>
        </w:rPr>
      </w:pPr>
    </w:p>
    <w:p w:rsidR="00C60EDC" w:rsidRPr="00E16E70" w:rsidRDefault="00C60EDC" w:rsidP="00C60EDC">
      <w:pPr>
        <w:spacing w:after="0" w:line="240" w:lineRule="auto"/>
        <w:rPr>
          <w:rFonts w:ascii="Times New Roman" w:hAnsi="Times New Roman"/>
          <w:sz w:val="24"/>
          <w:szCs w:val="24"/>
        </w:rPr>
      </w:pPr>
      <w:r w:rsidRPr="00D663D5">
        <w:rPr>
          <w:rFonts w:ascii="Times New Roman" w:hAnsi="Times New Roman"/>
          <w:sz w:val="24"/>
          <w:szCs w:val="24"/>
        </w:rPr>
        <w:t xml:space="preserve">Some of the requirements </w:t>
      </w:r>
      <w:r w:rsidR="00961139" w:rsidRPr="00D663D5">
        <w:rPr>
          <w:rFonts w:ascii="Times New Roman" w:hAnsi="Times New Roman"/>
          <w:sz w:val="24"/>
          <w:szCs w:val="24"/>
        </w:rPr>
        <w:t>in the proposed rule</w:t>
      </w:r>
      <w:r w:rsidRPr="00D663D5">
        <w:rPr>
          <w:rFonts w:ascii="Times New Roman" w:hAnsi="Times New Roman"/>
          <w:sz w:val="24"/>
          <w:szCs w:val="24"/>
        </w:rPr>
        <w:t xml:space="preserve"> may require entities to review </w:t>
      </w:r>
      <w:r w:rsidR="00B1381C" w:rsidRPr="00D663D5">
        <w:rPr>
          <w:rFonts w:ascii="Times New Roman" w:hAnsi="Times New Roman"/>
          <w:sz w:val="24"/>
          <w:szCs w:val="24"/>
        </w:rPr>
        <w:t xml:space="preserve">or produce </w:t>
      </w:r>
      <w:r w:rsidRPr="00D663D5">
        <w:rPr>
          <w:rFonts w:ascii="Times New Roman" w:hAnsi="Times New Roman"/>
          <w:sz w:val="24"/>
          <w:szCs w:val="24"/>
        </w:rPr>
        <w:t xml:space="preserve">documentation more often than quarterly. </w:t>
      </w:r>
      <w:r w:rsidR="00EE388D" w:rsidRPr="00D663D5">
        <w:rPr>
          <w:rFonts w:ascii="Times New Roman" w:hAnsi="Times New Roman"/>
          <w:sz w:val="24"/>
          <w:szCs w:val="24"/>
        </w:rPr>
        <w:t xml:space="preserve">  These </w:t>
      </w:r>
      <w:r w:rsidR="00586F29" w:rsidRPr="00D663D5">
        <w:rPr>
          <w:rFonts w:ascii="Times New Roman" w:hAnsi="Times New Roman"/>
          <w:sz w:val="24"/>
          <w:szCs w:val="24"/>
        </w:rPr>
        <w:t>occurrences</w:t>
      </w:r>
      <w:r w:rsidR="00EE388D" w:rsidRPr="00D663D5">
        <w:rPr>
          <w:rFonts w:ascii="Times New Roman" w:hAnsi="Times New Roman"/>
          <w:sz w:val="24"/>
          <w:szCs w:val="24"/>
        </w:rPr>
        <w:t xml:space="preserve"> would be relatively </w:t>
      </w:r>
      <w:r w:rsidR="00715FCF" w:rsidRPr="00D663D5">
        <w:rPr>
          <w:rFonts w:ascii="Times New Roman" w:hAnsi="Times New Roman"/>
          <w:sz w:val="24"/>
          <w:szCs w:val="24"/>
        </w:rPr>
        <w:t xml:space="preserve">infrequent, and occur primarily in association with </w:t>
      </w:r>
      <w:r w:rsidR="00EE388D" w:rsidRPr="00D663D5">
        <w:rPr>
          <w:rFonts w:ascii="Times New Roman" w:hAnsi="Times New Roman"/>
          <w:sz w:val="24"/>
          <w:szCs w:val="24"/>
        </w:rPr>
        <w:t>compliance spot checks, compliance violation investigations and self-reporting of a compliance violation.</w:t>
      </w:r>
    </w:p>
    <w:p w:rsidR="00C60EDC" w:rsidRPr="00E16E70" w:rsidRDefault="00C60EDC" w:rsidP="00C60EDC">
      <w:pPr>
        <w:spacing w:after="0" w:line="240" w:lineRule="auto"/>
        <w:rPr>
          <w:rFonts w:ascii="Times New Roman" w:hAnsi="Times New Roman"/>
          <w:sz w:val="24"/>
          <w:szCs w:val="24"/>
        </w:rPr>
      </w:pPr>
    </w:p>
    <w:p w:rsidR="00C60EDC" w:rsidRPr="00E16E70" w:rsidRDefault="00C60EDC" w:rsidP="00174014">
      <w:pPr>
        <w:spacing w:after="0" w:line="240" w:lineRule="auto"/>
        <w:rPr>
          <w:rFonts w:ascii="Times New Roman" w:hAnsi="Times New Roman"/>
          <w:sz w:val="24"/>
          <w:szCs w:val="24"/>
        </w:rPr>
      </w:pPr>
      <w:r w:rsidRPr="00E16E70">
        <w:rPr>
          <w:rFonts w:ascii="Times New Roman" w:hAnsi="Times New Roman"/>
          <w:sz w:val="24"/>
          <w:szCs w:val="24"/>
        </w:rPr>
        <w:t xml:space="preserve">Depending on the timing and details of a particular audit or investigation, some entities may have to retain information </w:t>
      </w:r>
      <w:r w:rsidR="00174014">
        <w:rPr>
          <w:rFonts w:ascii="Times New Roman" w:hAnsi="Times New Roman"/>
          <w:sz w:val="24"/>
          <w:szCs w:val="24"/>
        </w:rPr>
        <w:t xml:space="preserve">and </w:t>
      </w:r>
      <w:r w:rsidR="001C57A3">
        <w:rPr>
          <w:rFonts w:ascii="Times New Roman" w:hAnsi="Times New Roman"/>
          <w:sz w:val="24"/>
          <w:szCs w:val="24"/>
        </w:rPr>
        <w:t>evidence</w:t>
      </w:r>
      <w:r w:rsidR="00174014">
        <w:rPr>
          <w:rFonts w:ascii="Times New Roman" w:hAnsi="Times New Roman"/>
          <w:sz w:val="24"/>
          <w:szCs w:val="24"/>
        </w:rPr>
        <w:t xml:space="preserve"> </w:t>
      </w:r>
      <w:r w:rsidRPr="00E16E70">
        <w:rPr>
          <w:rFonts w:ascii="Times New Roman" w:hAnsi="Times New Roman"/>
          <w:sz w:val="24"/>
          <w:szCs w:val="24"/>
        </w:rPr>
        <w:t xml:space="preserve">for longer than three years.  </w:t>
      </w:r>
      <w:r w:rsidR="00174014">
        <w:rPr>
          <w:rFonts w:ascii="Times New Roman" w:hAnsi="Times New Roman"/>
          <w:sz w:val="24"/>
          <w:szCs w:val="24"/>
        </w:rPr>
        <w:t xml:space="preserve">For example, in proposed </w:t>
      </w:r>
      <w:proofErr w:type="gramStart"/>
      <w:r w:rsidR="00174014">
        <w:rPr>
          <w:rFonts w:ascii="Times New Roman" w:hAnsi="Times New Roman"/>
          <w:sz w:val="24"/>
          <w:szCs w:val="24"/>
        </w:rPr>
        <w:t>standard  FAC</w:t>
      </w:r>
      <w:proofErr w:type="gramEnd"/>
      <w:r w:rsidR="00174014">
        <w:rPr>
          <w:rFonts w:ascii="Times New Roman" w:hAnsi="Times New Roman"/>
          <w:sz w:val="24"/>
          <w:szCs w:val="24"/>
        </w:rPr>
        <w:t>-003-3</w:t>
      </w:r>
      <w:r w:rsidR="00766418">
        <w:rPr>
          <w:rFonts w:ascii="Times New Roman" w:hAnsi="Times New Roman"/>
          <w:sz w:val="24"/>
          <w:szCs w:val="24"/>
        </w:rPr>
        <w:t>, Compliance, it</w:t>
      </w:r>
      <w:r w:rsidR="00174014">
        <w:rPr>
          <w:rFonts w:ascii="Times New Roman" w:hAnsi="Times New Roman"/>
          <w:sz w:val="24"/>
          <w:szCs w:val="24"/>
        </w:rPr>
        <w:t xml:space="preserve"> states:</w:t>
      </w:r>
    </w:p>
    <w:p w:rsidR="00174014" w:rsidRDefault="00174014" w:rsidP="00C60EDC">
      <w:pPr>
        <w:spacing w:after="0" w:line="240" w:lineRule="auto"/>
        <w:rPr>
          <w:rFonts w:ascii="Times New Roman" w:hAnsi="Times New Roman"/>
          <w:sz w:val="24"/>
          <w:szCs w:val="24"/>
        </w:rPr>
      </w:pPr>
    </w:p>
    <w:p w:rsidR="00174014" w:rsidRPr="00174014" w:rsidRDefault="00174014" w:rsidP="00715FCF">
      <w:pPr>
        <w:spacing w:after="0" w:line="240" w:lineRule="auto"/>
        <w:ind w:left="720"/>
        <w:rPr>
          <w:rFonts w:ascii="Times New Roman" w:hAnsi="Times New Roman"/>
          <w:sz w:val="24"/>
          <w:szCs w:val="24"/>
        </w:rPr>
      </w:pPr>
      <w:r>
        <w:rPr>
          <w:rFonts w:ascii="Times New Roman" w:hAnsi="Times New Roman"/>
          <w:sz w:val="24"/>
          <w:szCs w:val="24"/>
        </w:rPr>
        <w:t>“</w:t>
      </w:r>
      <w:r w:rsidRPr="00174014">
        <w:rPr>
          <w:rFonts w:ascii="Times New Roman" w:hAnsi="Times New Roman"/>
          <w:sz w:val="24"/>
          <w:szCs w:val="24"/>
        </w:rPr>
        <w:t>1.2 Evidence Retention</w:t>
      </w:r>
    </w:p>
    <w:p w:rsidR="00174014" w:rsidRPr="00174014" w:rsidRDefault="00174014" w:rsidP="00715FCF">
      <w:pPr>
        <w:spacing w:after="0" w:line="240" w:lineRule="auto"/>
        <w:ind w:left="720"/>
        <w:rPr>
          <w:rFonts w:ascii="Times New Roman" w:hAnsi="Times New Roman"/>
          <w:sz w:val="24"/>
          <w:szCs w:val="24"/>
        </w:rPr>
      </w:pPr>
      <w:r>
        <w:rPr>
          <w:rFonts w:ascii="Times New Roman" w:hAnsi="Times New Roman"/>
          <w:sz w:val="24"/>
          <w:szCs w:val="24"/>
        </w:rPr>
        <w:t>….</w:t>
      </w:r>
    </w:p>
    <w:p w:rsidR="00174014" w:rsidRPr="00174014" w:rsidRDefault="00174014" w:rsidP="00715FCF">
      <w:pPr>
        <w:spacing w:after="0" w:line="240" w:lineRule="auto"/>
        <w:ind w:left="720"/>
        <w:rPr>
          <w:rFonts w:ascii="Times New Roman" w:hAnsi="Times New Roman"/>
          <w:sz w:val="24"/>
          <w:szCs w:val="24"/>
        </w:rPr>
      </w:pPr>
      <w:r w:rsidRPr="00174014">
        <w:rPr>
          <w:rFonts w:ascii="Times New Roman" w:hAnsi="Times New Roman"/>
          <w:sz w:val="24"/>
          <w:szCs w:val="24"/>
        </w:rPr>
        <w:t>The applicable Transmission Owner and applicable Generator Owner retains data</w:t>
      </w:r>
    </w:p>
    <w:p w:rsidR="00174014" w:rsidRPr="00174014" w:rsidRDefault="00174014" w:rsidP="00715FCF">
      <w:pPr>
        <w:spacing w:after="0" w:line="240" w:lineRule="auto"/>
        <w:ind w:left="720"/>
        <w:rPr>
          <w:rFonts w:ascii="Times New Roman" w:hAnsi="Times New Roman"/>
          <w:sz w:val="24"/>
          <w:szCs w:val="24"/>
        </w:rPr>
      </w:pPr>
      <w:proofErr w:type="gramStart"/>
      <w:r w:rsidRPr="00174014">
        <w:rPr>
          <w:rFonts w:ascii="Times New Roman" w:hAnsi="Times New Roman"/>
          <w:sz w:val="24"/>
          <w:szCs w:val="24"/>
        </w:rPr>
        <w:t>or</w:t>
      </w:r>
      <w:proofErr w:type="gramEnd"/>
      <w:r w:rsidRPr="00174014">
        <w:rPr>
          <w:rFonts w:ascii="Times New Roman" w:hAnsi="Times New Roman"/>
          <w:sz w:val="24"/>
          <w:szCs w:val="24"/>
        </w:rPr>
        <w:t xml:space="preserve"> evidence to show compliance with Requirements R1, R2, R3, R5, R6 and R7,</w:t>
      </w:r>
    </w:p>
    <w:p w:rsidR="00174014" w:rsidRPr="00174014" w:rsidRDefault="00174014" w:rsidP="00715FCF">
      <w:pPr>
        <w:spacing w:after="0" w:line="240" w:lineRule="auto"/>
        <w:ind w:left="720"/>
        <w:rPr>
          <w:rFonts w:ascii="Times New Roman" w:hAnsi="Times New Roman"/>
          <w:sz w:val="24"/>
          <w:szCs w:val="24"/>
        </w:rPr>
      </w:pPr>
      <w:r w:rsidRPr="00174014">
        <w:rPr>
          <w:rFonts w:ascii="Times New Roman" w:hAnsi="Times New Roman"/>
          <w:sz w:val="24"/>
          <w:szCs w:val="24"/>
        </w:rPr>
        <w:t>Measures M1, M2, M3, M5, M6 and M7 for three calendar years unless directed</w:t>
      </w:r>
    </w:p>
    <w:p w:rsidR="00174014" w:rsidRPr="00174014" w:rsidRDefault="00174014" w:rsidP="00715FCF">
      <w:pPr>
        <w:spacing w:after="0" w:line="240" w:lineRule="auto"/>
        <w:ind w:left="720"/>
        <w:rPr>
          <w:rFonts w:ascii="Times New Roman" w:hAnsi="Times New Roman"/>
          <w:sz w:val="24"/>
          <w:szCs w:val="24"/>
        </w:rPr>
      </w:pPr>
      <w:proofErr w:type="gramStart"/>
      <w:r w:rsidRPr="00174014">
        <w:rPr>
          <w:rFonts w:ascii="Times New Roman" w:hAnsi="Times New Roman"/>
          <w:sz w:val="24"/>
          <w:szCs w:val="24"/>
        </w:rPr>
        <w:t>by</w:t>
      </w:r>
      <w:proofErr w:type="gramEnd"/>
      <w:r w:rsidRPr="00174014">
        <w:rPr>
          <w:rFonts w:ascii="Times New Roman" w:hAnsi="Times New Roman"/>
          <w:sz w:val="24"/>
          <w:szCs w:val="24"/>
        </w:rPr>
        <w:t xml:space="preserve"> its Compliance Enforcement Authority to retain specific evidence for a longer</w:t>
      </w:r>
    </w:p>
    <w:p w:rsidR="00174014" w:rsidRDefault="00174014" w:rsidP="00715FCF">
      <w:pPr>
        <w:spacing w:after="0" w:line="240" w:lineRule="auto"/>
        <w:ind w:left="720"/>
        <w:rPr>
          <w:rFonts w:ascii="Times New Roman" w:hAnsi="Times New Roman"/>
          <w:sz w:val="24"/>
          <w:szCs w:val="24"/>
        </w:rPr>
      </w:pPr>
      <w:proofErr w:type="gramStart"/>
      <w:r w:rsidRPr="00174014">
        <w:rPr>
          <w:rFonts w:ascii="Times New Roman" w:hAnsi="Times New Roman"/>
          <w:sz w:val="24"/>
          <w:szCs w:val="24"/>
        </w:rPr>
        <w:t>period</w:t>
      </w:r>
      <w:proofErr w:type="gramEnd"/>
      <w:r w:rsidRPr="00174014">
        <w:rPr>
          <w:rFonts w:ascii="Times New Roman" w:hAnsi="Times New Roman"/>
          <w:sz w:val="24"/>
          <w:szCs w:val="24"/>
        </w:rPr>
        <w:t xml:space="preserve"> of time as part of an investigation.</w:t>
      </w:r>
    </w:p>
    <w:p w:rsidR="00174014" w:rsidRPr="00174014" w:rsidRDefault="00174014" w:rsidP="00715FCF">
      <w:pPr>
        <w:spacing w:after="0" w:line="240" w:lineRule="auto"/>
        <w:ind w:left="720"/>
        <w:rPr>
          <w:rFonts w:ascii="Times New Roman" w:hAnsi="Times New Roman"/>
          <w:sz w:val="24"/>
          <w:szCs w:val="24"/>
        </w:rPr>
      </w:pPr>
      <w:r w:rsidRPr="00174014">
        <w:rPr>
          <w:rFonts w:ascii="Times New Roman" w:hAnsi="Times New Roman"/>
          <w:sz w:val="24"/>
          <w:szCs w:val="24"/>
        </w:rPr>
        <w:t>The applicable Transmission Owner and applicable Generator Owner retains data</w:t>
      </w:r>
    </w:p>
    <w:p w:rsidR="00174014" w:rsidRPr="00174014" w:rsidRDefault="00174014" w:rsidP="00715FCF">
      <w:pPr>
        <w:spacing w:after="0" w:line="240" w:lineRule="auto"/>
        <w:ind w:left="720"/>
        <w:rPr>
          <w:rFonts w:ascii="Times New Roman" w:hAnsi="Times New Roman"/>
          <w:sz w:val="24"/>
          <w:szCs w:val="24"/>
        </w:rPr>
      </w:pPr>
      <w:proofErr w:type="gramStart"/>
      <w:r w:rsidRPr="00174014">
        <w:rPr>
          <w:rFonts w:ascii="Times New Roman" w:hAnsi="Times New Roman"/>
          <w:sz w:val="24"/>
          <w:szCs w:val="24"/>
        </w:rPr>
        <w:t>or</w:t>
      </w:r>
      <w:proofErr w:type="gramEnd"/>
      <w:r w:rsidRPr="00174014">
        <w:rPr>
          <w:rFonts w:ascii="Times New Roman" w:hAnsi="Times New Roman"/>
          <w:sz w:val="24"/>
          <w:szCs w:val="24"/>
        </w:rPr>
        <w:t xml:space="preserve"> evidence to show compliance with Requirement R4, Measure M4 for most</w:t>
      </w:r>
    </w:p>
    <w:p w:rsidR="00174014" w:rsidRPr="00174014" w:rsidRDefault="00174014" w:rsidP="00715FCF">
      <w:pPr>
        <w:spacing w:after="0" w:line="240" w:lineRule="auto"/>
        <w:ind w:left="720"/>
        <w:rPr>
          <w:rFonts w:ascii="Times New Roman" w:hAnsi="Times New Roman"/>
          <w:sz w:val="24"/>
          <w:szCs w:val="24"/>
        </w:rPr>
      </w:pPr>
      <w:proofErr w:type="gramStart"/>
      <w:r w:rsidRPr="00174014">
        <w:rPr>
          <w:rFonts w:ascii="Times New Roman" w:hAnsi="Times New Roman"/>
          <w:sz w:val="24"/>
          <w:szCs w:val="24"/>
        </w:rPr>
        <w:t>recent</w:t>
      </w:r>
      <w:proofErr w:type="gramEnd"/>
      <w:r w:rsidRPr="00174014">
        <w:rPr>
          <w:rFonts w:ascii="Times New Roman" w:hAnsi="Times New Roman"/>
          <w:sz w:val="24"/>
          <w:szCs w:val="24"/>
        </w:rPr>
        <w:t xml:space="preserve"> 12 months of operator logs or most recent 3 months of voice recordings or</w:t>
      </w:r>
    </w:p>
    <w:p w:rsidR="00174014" w:rsidRPr="00174014" w:rsidRDefault="00174014" w:rsidP="00715FCF">
      <w:pPr>
        <w:spacing w:after="0" w:line="240" w:lineRule="auto"/>
        <w:ind w:left="720"/>
        <w:rPr>
          <w:rFonts w:ascii="Times New Roman" w:hAnsi="Times New Roman"/>
          <w:sz w:val="24"/>
          <w:szCs w:val="24"/>
        </w:rPr>
      </w:pPr>
      <w:proofErr w:type="gramStart"/>
      <w:r w:rsidRPr="00174014">
        <w:rPr>
          <w:rFonts w:ascii="Times New Roman" w:hAnsi="Times New Roman"/>
          <w:sz w:val="24"/>
          <w:szCs w:val="24"/>
        </w:rPr>
        <w:t>transcripts</w:t>
      </w:r>
      <w:proofErr w:type="gramEnd"/>
      <w:r w:rsidRPr="00174014">
        <w:rPr>
          <w:rFonts w:ascii="Times New Roman" w:hAnsi="Times New Roman"/>
          <w:sz w:val="24"/>
          <w:szCs w:val="24"/>
        </w:rPr>
        <w:t xml:space="preserve"> of voice recordings, unless directed by its Compliance Enforcement</w:t>
      </w:r>
    </w:p>
    <w:p w:rsidR="00174014" w:rsidRPr="00174014" w:rsidRDefault="00174014" w:rsidP="00715FCF">
      <w:pPr>
        <w:spacing w:after="0" w:line="240" w:lineRule="auto"/>
        <w:ind w:left="720"/>
        <w:rPr>
          <w:rFonts w:ascii="Times New Roman" w:hAnsi="Times New Roman"/>
          <w:sz w:val="24"/>
          <w:szCs w:val="24"/>
        </w:rPr>
      </w:pPr>
      <w:r w:rsidRPr="00174014">
        <w:rPr>
          <w:rFonts w:ascii="Times New Roman" w:hAnsi="Times New Roman"/>
          <w:sz w:val="24"/>
          <w:szCs w:val="24"/>
        </w:rPr>
        <w:t>Authority to retain specific evidence for a longer period of time as part of an</w:t>
      </w:r>
    </w:p>
    <w:p w:rsidR="00174014" w:rsidRPr="00174014" w:rsidRDefault="00174014" w:rsidP="00715FCF">
      <w:pPr>
        <w:spacing w:after="0" w:line="240" w:lineRule="auto"/>
        <w:ind w:left="720"/>
        <w:rPr>
          <w:rFonts w:ascii="Times New Roman" w:hAnsi="Times New Roman"/>
          <w:sz w:val="24"/>
          <w:szCs w:val="24"/>
        </w:rPr>
      </w:pPr>
      <w:proofErr w:type="gramStart"/>
      <w:r w:rsidRPr="00174014">
        <w:rPr>
          <w:rFonts w:ascii="Times New Roman" w:hAnsi="Times New Roman"/>
          <w:sz w:val="24"/>
          <w:szCs w:val="24"/>
        </w:rPr>
        <w:t>investigation</w:t>
      </w:r>
      <w:proofErr w:type="gramEnd"/>
      <w:r w:rsidRPr="00174014">
        <w:rPr>
          <w:rFonts w:ascii="Times New Roman" w:hAnsi="Times New Roman"/>
          <w:sz w:val="24"/>
          <w:szCs w:val="24"/>
        </w:rPr>
        <w:t>.</w:t>
      </w:r>
    </w:p>
    <w:p w:rsidR="00174014" w:rsidRPr="00174014" w:rsidRDefault="00174014" w:rsidP="00715FCF">
      <w:pPr>
        <w:spacing w:after="0" w:line="240" w:lineRule="auto"/>
        <w:ind w:left="720"/>
        <w:rPr>
          <w:rFonts w:ascii="Times New Roman" w:hAnsi="Times New Roman"/>
          <w:sz w:val="24"/>
          <w:szCs w:val="24"/>
        </w:rPr>
      </w:pPr>
      <w:r w:rsidRPr="00174014">
        <w:rPr>
          <w:rFonts w:ascii="Times New Roman" w:hAnsi="Times New Roman"/>
          <w:sz w:val="24"/>
          <w:szCs w:val="24"/>
        </w:rPr>
        <w:t xml:space="preserve">If </w:t>
      </w:r>
      <w:proofErr w:type="gramStart"/>
      <w:r w:rsidRPr="00174014">
        <w:rPr>
          <w:rFonts w:ascii="Times New Roman" w:hAnsi="Times New Roman"/>
          <w:sz w:val="24"/>
          <w:szCs w:val="24"/>
        </w:rPr>
        <w:t>a</w:t>
      </w:r>
      <w:proofErr w:type="gramEnd"/>
      <w:r w:rsidRPr="00174014">
        <w:rPr>
          <w:rFonts w:ascii="Times New Roman" w:hAnsi="Times New Roman"/>
          <w:sz w:val="24"/>
          <w:szCs w:val="24"/>
        </w:rPr>
        <w:t xml:space="preserve"> applicable Transmission Owner or applicable Generator Owner is found noncompliant,</w:t>
      </w:r>
      <w:r>
        <w:rPr>
          <w:rFonts w:ascii="Times New Roman" w:hAnsi="Times New Roman"/>
          <w:sz w:val="24"/>
          <w:szCs w:val="24"/>
        </w:rPr>
        <w:t xml:space="preserve"> </w:t>
      </w:r>
      <w:r w:rsidRPr="00174014">
        <w:rPr>
          <w:rFonts w:ascii="Times New Roman" w:hAnsi="Times New Roman"/>
          <w:sz w:val="24"/>
          <w:szCs w:val="24"/>
        </w:rPr>
        <w:t>it shall keep information related to the non-compliance until found</w:t>
      </w:r>
    </w:p>
    <w:p w:rsidR="00174014" w:rsidRPr="00174014" w:rsidRDefault="00174014" w:rsidP="00715FCF">
      <w:pPr>
        <w:spacing w:after="0" w:line="240" w:lineRule="auto"/>
        <w:ind w:left="720"/>
        <w:rPr>
          <w:rFonts w:ascii="Times New Roman" w:hAnsi="Times New Roman"/>
          <w:sz w:val="24"/>
          <w:szCs w:val="24"/>
        </w:rPr>
      </w:pPr>
      <w:proofErr w:type="gramStart"/>
      <w:r w:rsidRPr="00174014">
        <w:rPr>
          <w:rFonts w:ascii="Times New Roman" w:hAnsi="Times New Roman"/>
          <w:sz w:val="24"/>
          <w:szCs w:val="24"/>
        </w:rPr>
        <w:t>compliant</w:t>
      </w:r>
      <w:proofErr w:type="gramEnd"/>
      <w:r w:rsidRPr="00174014">
        <w:rPr>
          <w:rFonts w:ascii="Times New Roman" w:hAnsi="Times New Roman"/>
          <w:sz w:val="24"/>
          <w:szCs w:val="24"/>
        </w:rPr>
        <w:t xml:space="preserve"> or for the time period specified above, whichever is longer.</w:t>
      </w:r>
    </w:p>
    <w:p w:rsidR="00174014" w:rsidRPr="00174014" w:rsidRDefault="00174014" w:rsidP="00174014">
      <w:pPr>
        <w:spacing w:after="0" w:line="240" w:lineRule="auto"/>
        <w:ind w:left="720"/>
        <w:rPr>
          <w:rFonts w:ascii="Times New Roman" w:hAnsi="Times New Roman"/>
          <w:sz w:val="24"/>
          <w:szCs w:val="24"/>
        </w:rPr>
      </w:pPr>
      <w:r w:rsidRPr="00174014">
        <w:rPr>
          <w:rFonts w:ascii="Times New Roman" w:hAnsi="Times New Roman"/>
          <w:sz w:val="24"/>
          <w:szCs w:val="24"/>
        </w:rPr>
        <w:t>The Compliance Enforcement Authority shall keep the</w:t>
      </w:r>
      <w:r>
        <w:rPr>
          <w:rFonts w:ascii="Times New Roman" w:hAnsi="Times New Roman"/>
          <w:sz w:val="24"/>
          <w:szCs w:val="24"/>
        </w:rPr>
        <w:t xml:space="preserve"> </w:t>
      </w:r>
      <w:r w:rsidRPr="00174014">
        <w:rPr>
          <w:rFonts w:ascii="Times New Roman" w:hAnsi="Times New Roman"/>
          <w:sz w:val="24"/>
          <w:szCs w:val="24"/>
        </w:rPr>
        <w:t>last audit records and all</w:t>
      </w:r>
    </w:p>
    <w:p w:rsidR="00174014" w:rsidRDefault="00174014" w:rsidP="00715FCF">
      <w:pPr>
        <w:spacing w:after="0" w:line="240" w:lineRule="auto"/>
        <w:ind w:left="720"/>
        <w:rPr>
          <w:rFonts w:ascii="Times New Roman" w:hAnsi="Times New Roman"/>
          <w:sz w:val="24"/>
          <w:szCs w:val="24"/>
        </w:rPr>
      </w:pPr>
      <w:proofErr w:type="gramStart"/>
      <w:r w:rsidRPr="00174014">
        <w:rPr>
          <w:rFonts w:ascii="Times New Roman" w:hAnsi="Times New Roman"/>
          <w:sz w:val="24"/>
          <w:szCs w:val="24"/>
        </w:rPr>
        <w:t>requested</w:t>
      </w:r>
      <w:proofErr w:type="gramEnd"/>
      <w:r w:rsidRPr="00174014">
        <w:rPr>
          <w:rFonts w:ascii="Times New Roman" w:hAnsi="Times New Roman"/>
          <w:sz w:val="24"/>
          <w:szCs w:val="24"/>
        </w:rPr>
        <w:t xml:space="preserve"> and submitted subsequent audit records.</w:t>
      </w:r>
      <w:r>
        <w:rPr>
          <w:rFonts w:ascii="Times New Roman" w:hAnsi="Times New Roman"/>
          <w:sz w:val="24"/>
          <w:szCs w:val="24"/>
        </w:rPr>
        <w:t>”</w:t>
      </w:r>
    </w:p>
    <w:p w:rsidR="00466325" w:rsidRDefault="00466325" w:rsidP="00466325">
      <w:pPr>
        <w:spacing w:after="0" w:line="240" w:lineRule="auto"/>
        <w:rPr>
          <w:rFonts w:ascii="Times New Roman" w:hAnsi="Times New Roman"/>
          <w:sz w:val="24"/>
          <w:szCs w:val="24"/>
        </w:rPr>
      </w:pPr>
    </w:p>
    <w:p w:rsidR="00466325" w:rsidRDefault="00466325" w:rsidP="00466325">
      <w:pPr>
        <w:spacing w:after="0" w:line="240" w:lineRule="auto"/>
        <w:rPr>
          <w:rFonts w:ascii="Times New Roman" w:hAnsi="Times New Roman"/>
          <w:sz w:val="24"/>
          <w:szCs w:val="24"/>
        </w:rPr>
      </w:pPr>
      <w:r>
        <w:rPr>
          <w:rFonts w:ascii="Times New Roman" w:hAnsi="Times New Roman"/>
          <w:sz w:val="24"/>
          <w:szCs w:val="24"/>
        </w:rPr>
        <w:t>Similarly, proposed standard FAC-001-1 states that the Comp</w:t>
      </w:r>
      <w:r w:rsidR="00FE1E75">
        <w:rPr>
          <w:rFonts w:ascii="Times New Roman" w:hAnsi="Times New Roman"/>
          <w:sz w:val="24"/>
          <w:szCs w:val="24"/>
        </w:rPr>
        <w:t>l</w:t>
      </w:r>
      <w:r>
        <w:rPr>
          <w:rFonts w:ascii="Times New Roman" w:hAnsi="Times New Roman"/>
          <w:sz w:val="24"/>
          <w:szCs w:val="24"/>
        </w:rPr>
        <w:t xml:space="preserve">iance </w:t>
      </w:r>
      <w:r w:rsidR="00FE1E75">
        <w:rPr>
          <w:rFonts w:ascii="Times New Roman" w:hAnsi="Times New Roman"/>
          <w:sz w:val="24"/>
          <w:szCs w:val="24"/>
        </w:rPr>
        <w:t>Enforcement Authority may direct certain entities to retain specific evidence for a longer period of time as part of an investigation; evidence must also be retained from the last audit.</w:t>
      </w:r>
    </w:p>
    <w:p w:rsidR="00174014" w:rsidRPr="00E16E70" w:rsidRDefault="00174014" w:rsidP="00C60EDC">
      <w:pPr>
        <w:spacing w:after="0" w:line="240" w:lineRule="auto"/>
        <w:rPr>
          <w:rFonts w:ascii="Times New Roman" w:hAnsi="Times New Roman"/>
          <w:sz w:val="24"/>
          <w:szCs w:val="24"/>
        </w:rPr>
      </w:pPr>
    </w:p>
    <w:p w:rsidR="00C60EDC" w:rsidRPr="00E16E70" w:rsidRDefault="00C60EDC" w:rsidP="00C60EDC">
      <w:pPr>
        <w:spacing w:after="0" w:line="240" w:lineRule="auto"/>
        <w:rPr>
          <w:rFonts w:ascii="Times New Roman" w:hAnsi="Times New Roman"/>
          <w:sz w:val="24"/>
          <w:szCs w:val="24"/>
          <w:highlight w:val="yellow"/>
        </w:rPr>
      </w:pPr>
      <w:r w:rsidRPr="00E16E70">
        <w:rPr>
          <w:rFonts w:ascii="Times New Roman" w:hAnsi="Times New Roman"/>
          <w:sz w:val="24"/>
          <w:szCs w:val="24"/>
        </w:rPr>
        <w:t>These special circumstances are ne</w:t>
      </w:r>
      <w:r w:rsidR="00E57B7F" w:rsidRPr="00E16E70">
        <w:rPr>
          <w:rFonts w:ascii="Times New Roman" w:hAnsi="Times New Roman"/>
          <w:sz w:val="24"/>
          <w:szCs w:val="24"/>
        </w:rPr>
        <w:t>cessary to ensure reliability on the bulk power system</w:t>
      </w:r>
      <w:r w:rsidRPr="00E16E70">
        <w:rPr>
          <w:rFonts w:ascii="Times New Roman" w:hAnsi="Times New Roman"/>
          <w:sz w:val="24"/>
          <w:szCs w:val="24"/>
        </w:rPr>
        <w:t>.</w:t>
      </w:r>
    </w:p>
    <w:p w:rsidR="00EB3E6F" w:rsidRPr="00E16E70" w:rsidRDefault="00EB3E6F" w:rsidP="0092596C">
      <w:pPr>
        <w:spacing w:after="0" w:line="240" w:lineRule="auto"/>
        <w:rPr>
          <w:rFonts w:ascii="Times New Roman" w:hAnsi="Times New Roman" w:cs="Times New Roman"/>
          <w:sz w:val="24"/>
          <w:szCs w:val="24"/>
        </w:rPr>
      </w:pPr>
    </w:p>
    <w:p w:rsidR="00EB3E6F" w:rsidRPr="00E16E70"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DESCRIBE EFFORTS TO CONSULT OUTSIDE THE AGENCY: SUMMARIZE PUBLIC COMMENTS AND THE AGENCY’S RESPONSE</w:t>
      </w:r>
    </w:p>
    <w:p w:rsidR="00EB3E6F" w:rsidRPr="00E16E70" w:rsidRDefault="00EB3E6F" w:rsidP="0092596C">
      <w:pPr>
        <w:spacing w:after="0" w:line="240" w:lineRule="auto"/>
        <w:rPr>
          <w:rFonts w:ascii="Times New Roman" w:hAnsi="Times New Roman" w:cs="Times New Roman"/>
          <w:sz w:val="24"/>
          <w:szCs w:val="24"/>
        </w:rPr>
      </w:pPr>
    </w:p>
    <w:p w:rsidR="00E57B7F" w:rsidRPr="00961139" w:rsidRDefault="0072126E" w:rsidP="00E57B7F">
      <w:pPr>
        <w:spacing w:after="0" w:line="240" w:lineRule="auto"/>
        <w:rPr>
          <w:rFonts w:ascii="Times New Roman" w:hAnsi="Times New Roman"/>
          <w:sz w:val="24"/>
          <w:szCs w:val="24"/>
        </w:rPr>
      </w:pPr>
      <w:r w:rsidRPr="00E16E70">
        <w:rPr>
          <w:rFonts w:ascii="Times New Roman" w:hAnsi="Times New Roman"/>
          <w:bCs/>
          <w:sz w:val="24"/>
          <w:szCs w:val="24"/>
        </w:rPr>
        <w:t>The ERO process to establish Reliability Standards is a collaborative process with the ERO, Regional Entities and other stakeholders developing and reviewing drafts, and providing comments, with the final proposed standard submitted to the FERC for review and approval.</w:t>
      </w:r>
      <w:r w:rsidRPr="00E16E70">
        <w:rPr>
          <w:rFonts w:ascii="Times New Roman" w:hAnsi="Times New Roman"/>
          <w:b/>
          <w:bCs/>
          <w:sz w:val="24"/>
          <w:szCs w:val="24"/>
          <w:vertAlign w:val="superscript"/>
        </w:rPr>
        <w:footnoteReference w:id="4"/>
      </w:r>
      <w:r w:rsidRPr="00E16E70">
        <w:rPr>
          <w:rFonts w:ascii="Times New Roman" w:hAnsi="Times New Roman"/>
          <w:bCs/>
          <w:sz w:val="24"/>
          <w:szCs w:val="24"/>
        </w:rPr>
        <w:t xml:space="preserve">  In addition, each FERC rulemaking (both proposed and final rules) is published in the </w:t>
      </w:r>
      <w:r w:rsidRPr="00E16E70">
        <w:rPr>
          <w:rFonts w:ascii="Times New Roman" w:hAnsi="Times New Roman"/>
          <w:bCs/>
          <w:sz w:val="24"/>
          <w:szCs w:val="24"/>
          <w:u w:val="single"/>
        </w:rPr>
        <w:t>Federal Register</w:t>
      </w:r>
      <w:r w:rsidRPr="00E16E70">
        <w:rPr>
          <w:rFonts w:ascii="Times New Roman" w:hAnsi="Times New Roman"/>
          <w:bCs/>
          <w:sz w:val="24"/>
          <w:szCs w:val="24"/>
        </w:rPr>
        <w:t xml:space="preserve">, thereby providing public utilities and licensees, state commissions, Federal agencies, and other interested parties an opportunity to submit data, views, comments or suggestions concerning the proposed collection of data. </w:t>
      </w:r>
      <w:r w:rsidRPr="00E16E70">
        <w:rPr>
          <w:rFonts w:ascii="Times New Roman" w:hAnsi="Times New Roman"/>
          <w:sz w:val="24"/>
          <w:szCs w:val="24"/>
        </w:rPr>
        <w:t xml:space="preserve"> </w:t>
      </w:r>
    </w:p>
    <w:p w:rsidR="00E57B7F" w:rsidRPr="00E16E70" w:rsidRDefault="00E57B7F" w:rsidP="00E57B7F">
      <w:pPr>
        <w:spacing w:after="0" w:line="240" w:lineRule="auto"/>
        <w:rPr>
          <w:rFonts w:ascii="Times New Roman" w:hAnsi="Times New Roman" w:cs="Times New Roman"/>
          <w:sz w:val="24"/>
          <w:szCs w:val="24"/>
        </w:rPr>
      </w:pPr>
    </w:p>
    <w:p w:rsidR="00E57B7F" w:rsidRPr="00E16E70" w:rsidRDefault="00E57B7F" w:rsidP="00E57B7F">
      <w:pPr>
        <w:spacing w:after="0" w:line="240" w:lineRule="auto"/>
        <w:rPr>
          <w:rFonts w:ascii="Times New Roman" w:hAnsi="Times New Roman"/>
          <w:sz w:val="24"/>
          <w:szCs w:val="24"/>
        </w:rPr>
      </w:pPr>
      <w:r w:rsidRPr="00E16E70">
        <w:rPr>
          <w:rFonts w:ascii="Times New Roman" w:hAnsi="Times New Roman"/>
          <w:sz w:val="24"/>
          <w:szCs w:val="24"/>
        </w:rPr>
        <w:t>The proposed rule</w:t>
      </w:r>
      <w:r w:rsidR="00961139">
        <w:rPr>
          <w:rFonts w:ascii="Times New Roman" w:hAnsi="Times New Roman"/>
          <w:sz w:val="24"/>
          <w:szCs w:val="24"/>
        </w:rPr>
        <w:t xml:space="preserve"> in RM12-16</w:t>
      </w:r>
      <w:r w:rsidRPr="00E16E70">
        <w:rPr>
          <w:rFonts w:ascii="Times New Roman" w:hAnsi="Times New Roman"/>
          <w:sz w:val="24"/>
          <w:szCs w:val="24"/>
        </w:rPr>
        <w:t xml:space="preserve"> was issued on 4/18/2013 and published in the Federal Register on 4/24/2013 (7</w:t>
      </w:r>
      <w:r w:rsidR="00D8433A">
        <w:rPr>
          <w:rFonts w:ascii="Times New Roman" w:hAnsi="Times New Roman"/>
          <w:sz w:val="24"/>
          <w:szCs w:val="24"/>
        </w:rPr>
        <w:t>8</w:t>
      </w:r>
      <w:r w:rsidRPr="00E16E70">
        <w:rPr>
          <w:rFonts w:ascii="Times New Roman" w:hAnsi="Times New Roman"/>
          <w:sz w:val="24"/>
          <w:szCs w:val="24"/>
        </w:rPr>
        <w:t xml:space="preserve"> FR</w:t>
      </w:r>
      <w:r w:rsidRPr="00E16E70">
        <w:rPr>
          <w:sz w:val="24"/>
          <w:szCs w:val="24"/>
        </w:rPr>
        <w:t xml:space="preserve"> </w:t>
      </w:r>
      <w:r w:rsidRPr="00E16E70">
        <w:rPr>
          <w:rFonts w:ascii="Times New Roman" w:hAnsi="Times New Roman"/>
          <w:sz w:val="24"/>
          <w:szCs w:val="24"/>
        </w:rPr>
        <w:t>24101).</w:t>
      </w:r>
    </w:p>
    <w:p w:rsidR="00EB3E6F" w:rsidRPr="00E16E70" w:rsidRDefault="00EB3E6F" w:rsidP="0092596C">
      <w:pPr>
        <w:spacing w:after="0" w:line="240" w:lineRule="auto"/>
        <w:rPr>
          <w:rFonts w:ascii="Times New Roman" w:hAnsi="Times New Roman" w:cs="Times New Roman"/>
          <w:sz w:val="24"/>
          <w:szCs w:val="24"/>
        </w:rPr>
      </w:pPr>
    </w:p>
    <w:p w:rsidR="00EB3E6F" w:rsidRPr="00E16E70"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EXPLAIN ANY PAYMENT OR GIFTS TO RESPONDENTS</w:t>
      </w:r>
    </w:p>
    <w:p w:rsidR="00D80FBD" w:rsidRPr="00E16E70" w:rsidRDefault="00D80FBD" w:rsidP="0092596C">
      <w:pPr>
        <w:spacing w:after="0" w:line="240" w:lineRule="auto"/>
        <w:rPr>
          <w:rFonts w:ascii="Times New Roman" w:hAnsi="Times New Roman" w:cs="Times New Roman"/>
          <w:sz w:val="24"/>
          <w:szCs w:val="24"/>
        </w:rPr>
      </w:pPr>
    </w:p>
    <w:p w:rsidR="0072126E" w:rsidRPr="00E16E70" w:rsidRDefault="0072126E" w:rsidP="0092596C">
      <w:pPr>
        <w:spacing w:after="0" w:line="240" w:lineRule="auto"/>
        <w:rPr>
          <w:rFonts w:ascii="Times New Roman" w:hAnsi="Times New Roman"/>
          <w:sz w:val="24"/>
          <w:szCs w:val="24"/>
        </w:rPr>
      </w:pPr>
      <w:r w:rsidRPr="00E16E70">
        <w:rPr>
          <w:rFonts w:ascii="Times New Roman" w:hAnsi="Times New Roman"/>
          <w:sz w:val="24"/>
          <w:szCs w:val="24"/>
        </w:rPr>
        <w:t>The Commission does not make payments or provide gifts for respondents related to this collection.</w:t>
      </w:r>
    </w:p>
    <w:p w:rsidR="00D80FBD" w:rsidRPr="00E16E70" w:rsidRDefault="00D80FBD" w:rsidP="0092596C">
      <w:pPr>
        <w:spacing w:after="0" w:line="240" w:lineRule="auto"/>
        <w:rPr>
          <w:rFonts w:ascii="Times New Roman" w:hAnsi="Times New Roman" w:cs="Times New Roman"/>
          <w:sz w:val="24"/>
          <w:szCs w:val="24"/>
        </w:rPr>
      </w:pPr>
    </w:p>
    <w:p w:rsidR="00D80FBD" w:rsidRPr="00E16E70"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DESCRIBE ANY ASSURANCE OF CONFIDENTIALITY PROVIDED TO RESPONDENTS</w:t>
      </w:r>
    </w:p>
    <w:p w:rsidR="00E57B7F" w:rsidRPr="00E16E70" w:rsidRDefault="00E57B7F" w:rsidP="0092596C">
      <w:pPr>
        <w:spacing w:after="0" w:line="240" w:lineRule="auto"/>
        <w:rPr>
          <w:rFonts w:ascii="Times New Roman" w:hAnsi="Times New Roman" w:cs="Times New Roman"/>
          <w:sz w:val="24"/>
          <w:szCs w:val="24"/>
        </w:rPr>
      </w:pPr>
    </w:p>
    <w:p w:rsidR="00D80FBD" w:rsidRPr="00E16E70" w:rsidRDefault="004552E9" w:rsidP="0092596C">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There are no specific assurances of confidentiality mentioned to respondents.</w:t>
      </w:r>
    </w:p>
    <w:p w:rsidR="00D80FBD" w:rsidRPr="00E16E70" w:rsidRDefault="00D80FBD" w:rsidP="0092596C">
      <w:pPr>
        <w:spacing w:after="0" w:line="240" w:lineRule="auto"/>
        <w:rPr>
          <w:rFonts w:ascii="Times New Roman" w:hAnsi="Times New Roman" w:cs="Times New Roman"/>
          <w:sz w:val="24"/>
          <w:szCs w:val="24"/>
        </w:rPr>
      </w:pPr>
    </w:p>
    <w:p w:rsidR="00D80FBD" w:rsidRPr="00E16E70"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PROVIDE ADDITIONAL JUSTIFICATION FOR ANY QUESTIONS OF A SENSITIVE NATURE</w:t>
      </w:r>
    </w:p>
    <w:p w:rsidR="00D80FBD" w:rsidRPr="00E16E70" w:rsidRDefault="00D80FBD" w:rsidP="0092596C">
      <w:pPr>
        <w:spacing w:after="0" w:line="240" w:lineRule="auto"/>
        <w:rPr>
          <w:rFonts w:ascii="Times New Roman" w:hAnsi="Times New Roman" w:cs="Times New Roman"/>
          <w:sz w:val="24"/>
          <w:szCs w:val="24"/>
        </w:rPr>
      </w:pPr>
    </w:p>
    <w:p w:rsidR="00A4336A" w:rsidRPr="00E16E70" w:rsidRDefault="00A4336A" w:rsidP="0092596C">
      <w:pPr>
        <w:spacing w:after="0" w:line="240" w:lineRule="auto"/>
        <w:rPr>
          <w:rFonts w:ascii="Times New Roman" w:hAnsi="Times New Roman"/>
          <w:sz w:val="24"/>
          <w:szCs w:val="24"/>
        </w:rPr>
      </w:pPr>
      <w:r w:rsidRPr="00E16E70">
        <w:rPr>
          <w:rFonts w:ascii="Times New Roman" w:hAnsi="Times New Roman"/>
          <w:sz w:val="24"/>
          <w:szCs w:val="24"/>
        </w:rPr>
        <w:t>This collection does not include any questions of a sensitive nature.</w:t>
      </w:r>
    </w:p>
    <w:p w:rsidR="00D80FBD" w:rsidRPr="00E16E70" w:rsidRDefault="00D80FBD" w:rsidP="0092596C">
      <w:pPr>
        <w:spacing w:after="0" w:line="240" w:lineRule="auto"/>
        <w:rPr>
          <w:rFonts w:ascii="Times New Roman" w:hAnsi="Times New Roman" w:cs="Times New Roman"/>
          <w:sz w:val="24"/>
          <w:szCs w:val="24"/>
        </w:rPr>
      </w:pPr>
    </w:p>
    <w:p w:rsidR="00D80FBD" w:rsidRPr="00E16E70"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ESTIMATED BURDEN OF COLLECTION OF INFORMATION</w:t>
      </w:r>
    </w:p>
    <w:p w:rsidR="000E0E62" w:rsidRPr="00E16E70" w:rsidRDefault="000E0E62" w:rsidP="000E0E62">
      <w:pPr>
        <w:spacing w:after="0" w:line="240" w:lineRule="auto"/>
        <w:rPr>
          <w:rFonts w:ascii="Times New Roman" w:hAnsi="Times New Roman" w:cs="Times New Roman"/>
          <w:sz w:val="24"/>
          <w:szCs w:val="24"/>
        </w:rPr>
      </w:pPr>
    </w:p>
    <w:p w:rsidR="000E0E62" w:rsidRPr="00E16E70" w:rsidRDefault="00995232" w:rsidP="000E0E62">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 xml:space="preserve">This rule </w:t>
      </w:r>
      <w:r w:rsidR="00961139">
        <w:rPr>
          <w:rFonts w:ascii="Times New Roman" w:hAnsi="Times New Roman" w:cs="Times New Roman"/>
          <w:sz w:val="24"/>
          <w:szCs w:val="24"/>
        </w:rPr>
        <w:t>proposes</w:t>
      </w:r>
      <w:r w:rsidRPr="00E16E70">
        <w:rPr>
          <w:rFonts w:ascii="Times New Roman" w:hAnsi="Times New Roman" w:cs="Times New Roman"/>
          <w:sz w:val="24"/>
          <w:szCs w:val="24"/>
        </w:rPr>
        <w:t xml:space="preserve"> 1,345 hours per year for the first three years.  After year three</w:t>
      </w:r>
      <w:r w:rsidR="00A84D79">
        <w:rPr>
          <w:rFonts w:ascii="Times New Roman" w:hAnsi="Times New Roman" w:cs="Times New Roman"/>
          <w:sz w:val="24"/>
          <w:szCs w:val="24"/>
        </w:rPr>
        <w:t>,</w:t>
      </w:r>
      <w:r w:rsidRPr="00E16E70">
        <w:rPr>
          <w:rFonts w:ascii="Times New Roman" w:hAnsi="Times New Roman" w:cs="Times New Roman"/>
          <w:sz w:val="24"/>
          <w:szCs w:val="24"/>
        </w:rPr>
        <w:t xml:space="preserve"> the one-time burden hours would be removed leaving only an increase of 369 hours per year. </w:t>
      </w:r>
    </w:p>
    <w:p w:rsidR="00995232" w:rsidRPr="00E16E70" w:rsidRDefault="00995232" w:rsidP="000E0E62">
      <w:pPr>
        <w:spacing w:after="0" w:line="240" w:lineRule="auto"/>
        <w:rPr>
          <w:rFonts w:ascii="Times New Roman" w:hAnsi="Times New Roman" w:cs="Times New Roman"/>
          <w:sz w:val="24"/>
          <w:szCs w:val="24"/>
        </w:rPr>
      </w:pPr>
    </w:p>
    <w:p w:rsidR="00995232" w:rsidRPr="00E16E70" w:rsidRDefault="00995232" w:rsidP="000E0E62">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 xml:space="preserve">The total annual cost for the changes is $73,114, dropping to $21,882 annually after year 3.  </w:t>
      </w:r>
    </w:p>
    <w:p w:rsidR="00D80FBD" w:rsidRDefault="00D80FBD" w:rsidP="0092596C">
      <w:pPr>
        <w:spacing w:after="0" w:line="240" w:lineRule="auto"/>
        <w:rPr>
          <w:rFonts w:ascii="Times New Roman" w:hAnsi="Times New Roman" w:cs="Times New Roman"/>
          <w:sz w:val="24"/>
          <w:szCs w:val="24"/>
        </w:rPr>
      </w:pPr>
    </w:p>
    <w:p w:rsidR="00961139" w:rsidRPr="00E16E70" w:rsidRDefault="00961139" w:rsidP="00961139">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 xml:space="preserve">The burden and cost estimates below are based on the increase in the reporting and recordkeeping burden imposed by the proposed Reliability Standards.  Our estimate of the number of respondents affected is based on the NERC Compliance Registry as of March 19, 2013.  According to the Compliance Registry, NERC has registered 892 generator owners within the United States, and we estimate that approximately 10 percent (or 89) of these generator </w:t>
      </w:r>
      <w:proofErr w:type="gramStart"/>
      <w:r w:rsidRPr="00E16E70">
        <w:rPr>
          <w:rFonts w:ascii="Times New Roman" w:hAnsi="Times New Roman" w:cs="Times New Roman"/>
          <w:sz w:val="24"/>
          <w:szCs w:val="24"/>
        </w:rPr>
        <w:t>owners</w:t>
      </w:r>
      <w:proofErr w:type="gramEnd"/>
      <w:r w:rsidRPr="00E16E70">
        <w:rPr>
          <w:rFonts w:ascii="Times New Roman" w:hAnsi="Times New Roman" w:cs="Times New Roman"/>
          <w:sz w:val="24"/>
          <w:szCs w:val="24"/>
        </w:rPr>
        <w:t xml:space="preserve"> have interconnection facilities that meet the proposed requirements for applicability of </w:t>
      </w:r>
      <w:r w:rsidRPr="00E16E70">
        <w:rPr>
          <w:rFonts w:ascii="Times New Roman" w:hAnsi="Times New Roman" w:cs="Times New Roman"/>
          <w:sz w:val="24"/>
          <w:szCs w:val="24"/>
        </w:rPr>
        <w:lastRenderedPageBreak/>
        <w:t>the new standard (i.e.,</w:t>
      </w:r>
      <w:r w:rsidRPr="00E16E70">
        <w:rPr>
          <w:rFonts w:ascii="Times New Roman" w:hAnsi="Times New Roman" w:cs="Times New Roman"/>
          <w:i/>
          <w:sz w:val="24"/>
          <w:szCs w:val="24"/>
        </w:rPr>
        <w:t xml:space="preserve"> </w:t>
      </w:r>
      <w:r w:rsidRPr="00E16E70">
        <w:rPr>
          <w:rFonts w:ascii="Times New Roman" w:hAnsi="Times New Roman" w:cs="Times New Roman"/>
          <w:sz w:val="24"/>
          <w:szCs w:val="24"/>
        </w:rPr>
        <w:t>having overhead lines that are greater than 200 kV or are part of an IROL or WECC Transfer Path, and that are either longer than one mile or without a clear sightline to the point of interconnection with the host transmission system).</w:t>
      </w:r>
      <w:r w:rsidR="00060FF7" w:rsidRPr="00D663D5">
        <w:rPr>
          <w:rStyle w:val="FootnoteReference"/>
          <w:rFonts w:ascii="Times New Roman" w:hAnsi="Times New Roman" w:cs="Times New Roman"/>
          <w:b/>
          <w:sz w:val="24"/>
          <w:szCs w:val="24"/>
          <w:vertAlign w:val="superscript"/>
        </w:rPr>
        <w:footnoteReference w:id="5"/>
      </w:r>
      <w:r w:rsidRPr="00E16E70">
        <w:rPr>
          <w:rFonts w:ascii="Times New Roman" w:hAnsi="Times New Roman" w:cs="Times New Roman"/>
          <w:sz w:val="24"/>
          <w:szCs w:val="24"/>
        </w:rPr>
        <w:t xml:space="preserve">  </w:t>
      </w:r>
    </w:p>
    <w:p w:rsidR="00961139" w:rsidRDefault="00961139" w:rsidP="00961139">
      <w:pPr>
        <w:spacing w:after="0" w:line="240" w:lineRule="auto"/>
        <w:rPr>
          <w:rFonts w:ascii="Times New Roman" w:hAnsi="Times New Roman" w:cs="Times New Roman"/>
          <w:sz w:val="24"/>
          <w:szCs w:val="24"/>
        </w:rPr>
      </w:pPr>
    </w:p>
    <w:p w:rsidR="00961139" w:rsidRDefault="00961139" w:rsidP="00961139">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 xml:space="preserve">The burden estimates reflect the changes in the standards and the number of affected entities (e.g., the generator owner’s one-time burden to develop, or review and modify, an existing vegetation management program, and the on-going, relatively minor burden of preparing quarterly reports of relevant outages).  Estimates for the proposed additional burden imposed by the </w:t>
      </w:r>
      <w:r>
        <w:rPr>
          <w:rFonts w:ascii="Times New Roman" w:hAnsi="Times New Roman" w:cs="Times New Roman"/>
          <w:sz w:val="24"/>
          <w:szCs w:val="24"/>
        </w:rPr>
        <w:t>proposed rule</w:t>
      </w:r>
      <w:r w:rsidRPr="00E16E70">
        <w:rPr>
          <w:rFonts w:ascii="Times New Roman" w:hAnsi="Times New Roman" w:cs="Times New Roman"/>
          <w:sz w:val="24"/>
          <w:szCs w:val="24"/>
        </w:rPr>
        <w:t xml:space="preserve"> in RM12-16 follow.</w:t>
      </w:r>
    </w:p>
    <w:p w:rsidR="00961139" w:rsidRPr="00E16E70" w:rsidRDefault="00961139" w:rsidP="00961139">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1976"/>
        <w:gridCol w:w="1530"/>
        <w:gridCol w:w="1258"/>
        <w:gridCol w:w="1387"/>
        <w:gridCol w:w="1373"/>
      </w:tblGrid>
      <w:tr w:rsidR="00961139" w:rsidRPr="00E16E70" w:rsidTr="00343823">
        <w:trPr>
          <w:cantSplit/>
        </w:trPr>
        <w:tc>
          <w:tcPr>
            <w:tcW w:w="1071" w:type="pct"/>
            <w:shd w:val="clear" w:color="auto" w:fill="D9D9D9" w:themeFill="background1" w:themeFillShade="D9"/>
            <w:vAlign w:val="bottom"/>
          </w:tcPr>
          <w:p w:rsidR="00961139" w:rsidRDefault="00A1279B" w:rsidP="003438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FERC-725M</w:t>
            </w:r>
            <w:r w:rsidR="00041D75">
              <w:rPr>
                <w:rFonts w:ascii="Times New Roman" w:hAnsi="Times New Roman" w:cs="Times New Roman"/>
                <w:b/>
                <w:sz w:val="24"/>
                <w:szCs w:val="24"/>
              </w:rPr>
              <w:t xml:space="preserve">, </w:t>
            </w:r>
            <w:r w:rsidR="00041D75" w:rsidRPr="005B24AF">
              <w:rPr>
                <w:rFonts w:ascii="Times New Roman" w:hAnsi="Times New Roman" w:cs="Times New Roman"/>
                <w:b/>
                <w:sz w:val="24"/>
                <w:szCs w:val="24"/>
                <w:vertAlign w:val="superscript"/>
              </w:rPr>
              <w:fldChar w:fldCharType="begin"/>
            </w:r>
            <w:r w:rsidR="00041D75" w:rsidRPr="005B24AF">
              <w:rPr>
                <w:rFonts w:ascii="Times New Roman" w:hAnsi="Times New Roman" w:cs="Times New Roman"/>
                <w:b/>
                <w:sz w:val="24"/>
                <w:szCs w:val="24"/>
                <w:vertAlign w:val="superscript"/>
              </w:rPr>
              <w:instrText xml:space="preserve"> NOTEREF _Ref358363919 \h </w:instrText>
            </w:r>
            <w:r w:rsidR="00041D75">
              <w:rPr>
                <w:rFonts w:ascii="Times New Roman" w:hAnsi="Times New Roman" w:cs="Times New Roman"/>
                <w:b/>
                <w:sz w:val="24"/>
                <w:szCs w:val="24"/>
                <w:vertAlign w:val="superscript"/>
              </w:rPr>
              <w:instrText xml:space="preserve"> \* MERGEFORMAT </w:instrText>
            </w:r>
            <w:r w:rsidR="00041D75" w:rsidRPr="005B24AF">
              <w:rPr>
                <w:rFonts w:ascii="Times New Roman" w:hAnsi="Times New Roman" w:cs="Times New Roman"/>
                <w:b/>
                <w:sz w:val="24"/>
                <w:szCs w:val="24"/>
                <w:vertAlign w:val="superscript"/>
              </w:rPr>
            </w:r>
            <w:r w:rsidR="00041D75" w:rsidRPr="005B24AF">
              <w:rPr>
                <w:rFonts w:ascii="Times New Roman" w:hAnsi="Times New Roman" w:cs="Times New Roman"/>
                <w:b/>
                <w:sz w:val="24"/>
                <w:szCs w:val="24"/>
                <w:vertAlign w:val="superscript"/>
              </w:rPr>
              <w:fldChar w:fldCharType="separate"/>
            </w:r>
            <w:r w:rsidR="00322AB7">
              <w:rPr>
                <w:rFonts w:ascii="Times New Roman" w:hAnsi="Times New Roman" w:cs="Times New Roman"/>
                <w:b/>
                <w:sz w:val="24"/>
                <w:szCs w:val="24"/>
                <w:vertAlign w:val="superscript"/>
              </w:rPr>
              <w:t>1</w:t>
            </w:r>
            <w:r w:rsidR="00041D75" w:rsidRPr="005B24AF">
              <w:rPr>
                <w:rFonts w:ascii="Times New Roman" w:hAnsi="Times New Roman" w:cs="Times New Roman"/>
                <w:b/>
                <w:sz w:val="24"/>
                <w:szCs w:val="24"/>
                <w:vertAlign w:val="superscript"/>
              </w:rPr>
              <w:fldChar w:fldCharType="end"/>
            </w:r>
            <w:r w:rsidR="00A84D79">
              <w:rPr>
                <w:rFonts w:ascii="Times New Roman" w:hAnsi="Times New Roman" w:cs="Times New Roman"/>
                <w:b/>
                <w:sz w:val="24"/>
                <w:szCs w:val="24"/>
              </w:rPr>
              <w:t xml:space="preserve"> NOPR in </w:t>
            </w:r>
          </w:p>
          <w:p w:rsidR="00961139" w:rsidRPr="00E16E70" w:rsidRDefault="00961139" w:rsidP="003438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RM12-16</w:t>
            </w:r>
          </w:p>
        </w:tc>
        <w:tc>
          <w:tcPr>
            <w:tcW w:w="1032" w:type="pct"/>
            <w:shd w:val="clear" w:color="auto" w:fill="D9D9D9" w:themeFill="background1" w:themeFillShade="D9"/>
            <w:vAlign w:val="bottom"/>
          </w:tcPr>
          <w:p w:rsidR="00961139" w:rsidRPr="00E16E70" w:rsidRDefault="00961139" w:rsidP="00343823">
            <w:pPr>
              <w:spacing w:after="0" w:line="240" w:lineRule="auto"/>
              <w:jc w:val="center"/>
              <w:rPr>
                <w:rFonts w:ascii="Times New Roman" w:hAnsi="Times New Roman" w:cs="Times New Roman"/>
                <w:b/>
                <w:sz w:val="24"/>
                <w:szCs w:val="24"/>
              </w:rPr>
            </w:pPr>
            <w:r w:rsidRPr="00E16E70">
              <w:rPr>
                <w:rFonts w:ascii="Times New Roman" w:hAnsi="Times New Roman" w:cs="Times New Roman"/>
                <w:b/>
                <w:sz w:val="24"/>
                <w:szCs w:val="24"/>
              </w:rPr>
              <w:t>Number of Respondents</w:t>
            </w:r>
            <w:r w:rsidRPr="00E16E70">
              <w:rPr>
                <w:rFonts w:ascii="Times New Roman" w:hAnsi="Times New Roman" w:cs="Times New Roman"/>
                <w:b/>
                <w:sz w:val="24"/>
                <w:szCs w:val="24"/>
                <w:vertAlign w:val="superscript"/>
              </w:rPr>
              <w:footnoteReference w:id="6"/>
            </w:r>
            <w:r w:rsidRPr="00E16E70">
              <w:rPr>
                <w:rFonts w:ascii="Times New Roman" w:hAnsi="Times New Roman" w:cs="Times New Roman"/>
                <w:b/>
                <w:sz w:val="24"/>
                <w:szCs w:val="24"/>
              </w:rPr>
              <w:br/>
              <w:t>(1)</w:t>
            </w:r>
          </w:p>
        </w:tc>
        <w:tc>
          <w:tcPr>
            <w:tcW w:w="799" w:type="pct"/>
            <w:shd w:val="clear" w:color="auto" w:fill="D9D9D9" w:themeFill="background1" w:themeFillShade="D9"/>
            <w:vAlign w:val="bottom"/>
          </w:tcPr>
          <w:p w:rsidR="00961139" w:rsidRPr="00E16E70" w:rsidRDefault="00961139" w:rsidP="00343823">
            <w:pPr>
              <w:spacing w:after="0" w:line="240" w:lineRule="auto"/>
              <w:jc w:val="center"/>
              <w:rPr>
                <w:rFonts w:ascii="Times New Roman" w:hAnsi="Times New Roman" w:cs="Times New Roman"/>
                <w:b/>
                <w:sz w:val="24"/>
                <w:szCs w:val="24"/>
              </w:rPr>
            </w:pPr>
            <w:r w:rsidRPr="00E16E70">
              <w:rPr>
                <w:rFonts w:ascii="Times New Roman" w:hAnsi="Times New Roman" w:cs="Times New Roman"/>
                <w:b/>
                <w:sz w:val="24"/>
                <w:szCs w:val="24"/>
              </w:rPr>
              <w:t>Number of Responses per Respondent</w:t>
            </w:r>
          </w:p>
          <w:p w:rsidR="00961139" w:rsidRPr="00E16E70" w:rsidRDefault="00961139" w:rsidP="00343823">
            <w:pPr>
              <w:spacing w:after="0" w:line="240" w:lineRule="auto"/>
              <w:jc w:val="center"/>
              <w:rPr>
                <w:rFonts w:ascii="Times New Roman" w:hAnsi="Times New Roman" w:cs="Times New Roman"/>
                <w:b/>
                <w:sz w:val="24"/>
                <w:szCs w:val="24"/>
              </w:rPr>
            </w:pPr>
            <w:r w:rsidRPr="00E16E70">
              <w:rPr>
                <w:rFonts w:ascii="Times New Roman" w:hAnsi="Times New Roman" w:cs="Times New Roman"/>
                <w:b/>
                <w:sz w:val="24"/>
                <w:szCs w:val="24"/>
              </w:rPr>
              <w:t>(2)</w:t>
            </w:r>
          </w:p>
        </w:tc>
        <w:tc>
          <w:tcPr>
            <w:tcW w:w="657" w:type="pct"/>
            <w:shd w:val="clear" w:color="auto" w:fill="D9D9D9" w:themeFill="background1" w:themeFillShade="D9"/>
            <w:vAlign w:val="bottom"/>
          </w:tcPr>
          <w:p w:rsidR="00961139" w:rsidRPr="00E16E70" w:rsidRDefault="00961139" w:rsidP="00343823">
            <w:pPr>
              <w:spacing w:after="0" w:line="240" w:lineRule="auto"/>
              <w:jc w:val="center"/>
              <w:rPr>
                <w:rFonts w:ascii="Times New Roman" w:hAnsi="Times New Roman" w:cs="Times New Roman"/>
                <w:b/>
                <w:sz w:val="24"/>
                <w:szCs w:val="24"/>
              </w:rPr>
            </w:pPr>
            <w:r w:rsidRPr="00E16E70">
              <w:rPr>
                <w:rFonts w:ascii="Times New Roman" w:hAnsi="Times New Roman" w:cs="Times New Roman"/>
                <w:b/>
                <w:sz w:val="24"/>
                <w:szCs w:val="24"/>
              </w:rPr>
              <w:t>Average Burden Hours Per Response</w:t>
            </w:r>
          </w:p>
          <w:p w:rsidR="00961139" w:rsidRPr="00E16E70" w:rsidRDefault="00961139" w:rsidP="00343823">
            <w:pPr>
              <w:spacing w:after="0" w:line="240" w:lineRule="auto"/>
              <w:jc w:val="center"/>
              <w:rPr>
                <w:rFonts w:ascii="Times New Roman" w:hAnsi="Times New Roman" w:cs="Times New Roman"/>
                <w:b/>
                <w:sz w:val="24"/>
                <w:szCs w:val="24"/>
              </w:rPr>
            </w:pPr>
            <w:r w:rsidRPr="00E16E70">
              <w:rPr>
                <w:rFonts w:ascii="Times New Roman" w:hAnsi="Times New Roman" w:cs="Times New Roman"/>
                <w:b/>
                <w:sz w:val="24"/>
                <w:szCs w:val="24"/>
              </w:rPr>
              <w:t>(3)</w:t>
            </w:r>
          </w:p>
        </w:tc>
        <w:tc>
          <w:tcPr>
            <w:tcW w:w="724" w:type="pct"/>
            <w:shd w:val="clear" w:color="auto" w:fill="D9D9D9" w:themeFill="background1" w:themeFillShade="D9"/>
            <w:vAlign w:val="bottom"/>
          </w:tcPr>
          <w:p w:rsidR="00961139" w:rsidRPr="00E16E70" w:rsidRDefault="00961139" w:rsidP="00343823">
            <w:pPr>
              <w:spacing w:after="0" w:line="240" w:lineRule="auto"/>
              <w:jc w:val="center"/>
              <w:rPr>
                <w:rFonts w:ascii="Times New Roman" w:hAnsi="Times New Roman" w:cs="Times New Roman"/>
                <w:b/>
                <w:sz w:val="24"/>
                <w:szCs w:val="24"/>
              </w:rPr>
            </w:pPr>
            <w:r w:rsidRPr="00E16E70">
              <w:rPr>
                <w:rFonts w:ascii="Times New Roman" w:hAnsi="Times New Roman" w:cs="Times New Roman"/>
                <w:b/>
                <w:sz w:val="24"/>
                <w:szCs w:val="24"/>
              </w:rPr>
              <w:t>Total Annual Burden Hours</w:t>
            </w:r>
          </w:p>
          <w:p w:rsidR="00961139" w:rsidRPr="00E16E70" w:rsidRDefault="00961139" w:rsidP="00343823">
            <w:pPr>
              <w:spacing w:after="0" w:line="240" w:lineRule="auto"/>
              <w:jc w:val="center"/>
              <w:rPr>
                <w:rFonts w:ascii="Times New Roman" w:hAnsi="Times New Roman" w:cs="Times New Roman"/>
                <w:b/>
                <w:sz w:val="24"/>
                <w:szCs w:val="24"/>
              </w:rPr>
            </w:pPr>
            <w:r w:rsidRPr="00E16E70">
              <w:rPr>
                <w:rFonts w:ascii="Times New Roman" w:hAnsi="Times New Roman" w:cs="Times New Roman"/>
                <w:b/>
                <w:sz w:val="24"/>
                <w:szCs w:val="24"/>
              </w:rPr>
              <w:t>(1)x(2)x(3)</w:t>
            </w:r>
          </w:p>
        </w:tc>
        <w:tc>
          <w:tcPr>
            <w:tcW w:w="717" w:type="pct"/>
            <w:shd w:val="clear" w:color="auto" w:fill="D9D9D9" w:themeFill="background1" w:themeFillShade="D9"/>
            <w:vAlign w:val="bottom"/>
          </w:tcPr>
          <w:p w:rsidR="00961139" w:rsidRPr="00E16E70" w:rsidRDefault="00961139" w:rsidP="00343823">
            <w:pPr>
              <w:spacing w:after="0" w:line="240" w:lineRule="auto"/>
              <w:jc w:val="center"/>
              <w:rPr>
                <w:rFonts w:ascii="Times New Roman" w:hAnsi="Times New Roman" w:cs="Times New Roman"/>
                <w:b/>
                <w:sz w:val="24"/>
                <w:szCs w:val="24"/>
              </w:rPr>
            </w:pPr>
            <w:r w:rsidRPr="00E16E70">
              <w:rPr>
                <w:rFonts w:ascii="Times New Roman" w:hAnsi="Times New Roman" w:cs="Times New Roman"/>
                <w:b/>
                <w:sz w:val="24"/>
                <w:szCs w:val="24"/>
              </w:rPr>
              <w:t>Total Annual Cost</w:t>
            </w:r>
            <w:r w:rsidRPr="00E16E70">
              <w:rPr>
                <w:rFonts w:ascii="Times New Roman" w:hAnsi="Times New Roman" w:cs="Times New Roman"/>
                <w:b/>
                <w:sz w:val="24"/>
                <w:szCs w:val="24"/>
                <w:vertAlign w:val="superscript"/>
              </w:rPr>
              <w:footnoteReference w:id="7"/>
            </w:r>
          </w:p>
        </w:tc>
      </w:tr>
      <w:tr w:rsidR="00961139" w:rsidRPr="00E16E70" w:rsidTr="00343823">
        <w:trPr>
          <w:cantSplit/>
        </w:trPr>
        <w:tc>
          <w:tcPr>
            <w:tcW w:w="5000" w:type="pct"/>
            <w:gridSpan w:val="6"/>
          </w:tcPr>
          <w:p w:rsidR="00961139" w:rsidRPr="00E16E70" w:rsidRDefault="00961139" w:rsidP="005B24AF">
            <w:pPr>
              <w:spacing w:after="0" w:line="240" w:lineRule="auto"/>
              <w:jc w:val="center"/>
              <w:rPr>
                <w:rFonts w:ascii="Times New Roman" w:hAnsi="Times New Roman" w:cs="Times New Roman"/>
                <w:b/>
                <w:sz w:val="24"/>
                <w:szCs w:val="24"/>
              </w:rPr>
            </w:pPr>
            <w:r w:rsidRPr="00E16E70">
              <w:rPr>
                <w:rFonts w:ascii="Times New Roman" w:hAnsi="Times New Roman" w:cs="Times New Roman"/>
                <w:b/>
                <w:sz w:val="24"/>
                <w:szCs w:val="24"/>
              </w:rPr>
              <w:t>FAC-003-3  (Transmission Vegetation Management)</w:t>
            </w:r>
          </w:p>
        </w:tc>
      </w:tr>
      <w:tr w:rsidR="00961139" w:rsidRPr="00E16E70" w:rsidTr="005B24AF">
        <w:trPr>
          <w:cantSplit/>
        </w:trPr>
        <w:tc>
          <w:tcPr>
            <w:tcW w:w="1071" w:type="pct"/>
          </w:tcPr>
          <w:p w:rsidR="00961139" w:rsidRPr="00E16E70" w:rsidRDefault="00961139" w:rsidP="00343823">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Strategies, documentation, processes,  &amp; procedures (M3)</w:t>
            </w:r>
          </w:p>
        </w:tc>
        <w:tc>
          <w:tcPr>
            <w:tcW w:w="1032"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89</w:t>
            </w:r>
          </w:p>
        </w:tc>
        <w:tc>
          <w:tcPr>
            <w:tcW w:w="799"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1</w:t>
            </w:r>
          </w:p>
        </w:tc>
        <w:tc>
          <w:tcPr>
            <w:tcW w:w="657"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32</w:t>
            </w:r>
          </w:p>
        </w:tc>
        <w:tc>
          <w:tcPr>
            <w:tcW w:w="724"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2,848 (one-time)</w:t>
            </w:r>
          </w:p>
        </w:tc>
        <w:tc>
          <w:tcPr>
            <w:tcW w:w="717"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$148,096</w:t>
            </w:r>
            <w:r w:rsidRPr="00E16E70">
              <w:rPr>
                <w:rFonts w:ascii="Times New Roman" w:hAnsi="Times New Roman" w:cs="Times New Roman"/>
                <w:sz w:val="24"/>
                <w:szCs w:val="24"/>
              </w:rPr>
              <w:br/>
              <w:t>one-time [@$52/hr.]</w:t>
            </w:r>
          </w:p>
        </w:tc>
      </w:tr>
      <w:tr w:rsidR="00961139" w:rsidRPr="00E16E70" w:rsidTr="005B24AF">
        <w:trPr>
          <w:cantSplit/>
        </w:trPr>
        <w:tc>
          <w:tcPr>
            <w:tcW w:w="1071" w:type="pct"/>
          </w:tcPr>
          <w:p w:rsidR="00961139" w:rsidRPr="00E16E70" w:rsidRDefault="00961139" w:rsidP="00343823">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lastRenderedPageBreak/>
              <w:t>Quarterly Reporting (Compliance 1.4)</w:t>
            </w:r>
          </w:p>
        </w:tc>
        <w:tc>
          <w:tcPr>
            <w:tcW w:w="1032" w:type="pct"/>
            <w:vAlign w:val="bottom"/>
          </w:tcPr>
          <w:p w:rsidR="00961139" w:rsidRPr="005B24AF" w:rsidRDefault="00961139" w:rsidP="005B24AF">
            <w:pPr>
              <w:spacing w:after="0" w:line="240" w:lineRule="auto"/>
              <w:jc w:val="right"/>
              <w:rPr>
                <w:rFonts w:ascii="Times New Roman" w:hAnsi="Times New Roman" w:cs="Times New Roman"/>
                <w:sz w:val="24"/>
                <w:szCs w:val="24"/>
              </w:rPr>
            </w:pPr>
            <w:r w:rsidRPr="005B24AF">
              <w:rPr>
                <w:rFonts w:ascii="Times New Roman" w:hAnsi="Times New Roman" w:cs="Times New Roman"/>
                <w:sz w:val="24"/>
                <w:szCs w:val="24"/>
              </w:rPr>
              <w:t>97</w:t>
            </w:r>
            <w:r w:rsidRPr="005B24AF">
              <w:rPr>
                <w:rFonts w:ascii="Times New Roman" w:hAnsi="Times New Roman" w:cs="Times New Roman"/>
                <w:b/>
                <w:sz w:val="24"/>
                <w:szCs w:val="24"/>
                <w:vertAlign w:val="superscript"/>
              </w:rPr>
              <w:footnoteReference w:id="8"/>
            </w:r>
            <w:r w:rsidRPr="005B24AF">
              <w:rPr>
                <w:rFonts w:ascii="Times New Roman" w:hAnsi="Times New Roman" w:cs="Times New Roman"/>
                <w:sz w:val="24"/>
                <w:szCs w:val="24"/>
              </w:rPr>
              <w:t xml:space="preserve"> </w:t>
            </w:r>
          </w:p>
        </w:tc>
        <w:tc>
          <w:tcPr>
            <w:tcW w:w="799" w:type="pct"/>
            <w:vAlign w:val="bottom"/>
          </w:tcPr>
          <w:p w:rsidR="00961139" w:rsidRPr="005B24AF" w:rsidRDefault="00961139" w:rsidP="005B24AF">
            <w:pPr>
              <w:spacing w:after="0" w:line="240" w:lineRule="auto"/>
              <w:jc w:val="right"/>
              <w:rPr>
                <w:rFonts w:ascii="Times New Roman" w:hAnsi="Times New Roman" w:cs="Times New Roman"/>
                <w:sz w:val="24"/>
                <w:szCs w:val="24"/>
              </w:rPr>
            </w:pPr>
            <w:r w:rsidRPr="005B24AF">
              <w:rPr>
                <w:rFonts w:ascii="Times New Roman" w:hAnsi="Times New Roman" w:cs="Times New Roman"/>
                <w:sz w:val="24"/>
                <w:szCs w:val="24"/>
              </w:rPr>
              <w:t>4</w:t>
            </w:r>
          </w:p>
        </w:tc>
        <w:tc>
          <w:tcPr>
            <w:tcW w:w="657"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0.25</w:t>
            </w:r>
          </w:p>
        </w:tc>
        <w:tc>
          <w:tcPr>
            <w:tcW w:w="724"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97</w:t>
            </w:r>
          </w:p>
        </w:tc>
        <w:tc>
          <w:tcPr>
            <w:tcW w:w="717"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$6,790 [@$70/hr.]</w:t>
            </w:r>
          </w:p>
        </w:tc>
      </w:tr>
      <w:tr w:rsidR="00961139" w:rsidRPr="00E16E70" w:rsidTr="005B24AF">
        <w:trPr>
          <w:cantSplit/>
          <w:trHeight w:val="897"/>
        </w:trPr>
        <w:tc>
          <w:tcPr>
            <w:tcW w:w="1071" w:type="pct"/>
          </w:tcPr>
          <w:p w:rsidR="00961139" w:rsidRPr="00E16E70" w:rsidRDefault="00961139" w:rsidP="00343823">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Annual Veg. Inspect. Doc.  (M6); annual veg. work plan (M7); evidence of mgt. of veg. (M1 &amp; M2), confirmed veg. condition (M4) &amp; corrective action (M5)</w:t>
            </w:r>
          </w:p>
        </w:tc>
        <w:tc>
          <w:tcPr>
            <w:tcW w:w="1032"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89</w:t>
            </w:r>
          </w:p>
        </w:tc>
        <w:tc>
          <w:tcPr>
            <w:tcW w:w="799"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1</w:t>
            </w:r>
          </w:p>
        </w:tc>
        <w:tc>
          <w:tcPr>
            <w:tcW w:w="657"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2</w:t>
            </w:r>
          </w:p>
        </w:tc>
        <w:tc>
          <w:tcPr>
            <w:tcW w:w="724"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178</w:t>
            </w:r>
          </w:p>
        </w:tc>
        <w:tc>
          <w:tcPr>
            <w:tcW w:w="717"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Pr="00E16E70">
              <w:rPr>
                <w:rFonts w:ascii="Times New Roman" w:hAnsi="Times New Roman" w:cs="Times New Roman"/>
                <w:sz w:val="24"/>
                <w:szCs w:val="24"/>
              </w:rPr>
              <w:t>12,460 [@$70/hr.]</w:t>
            </w:r>
          </w:p>
        </w:tc>
      </w:tr>
      <w:tr w:rsidR="00961139" w:rsidRPr="00E16E70" w:rsidTr="005B24AF">
        <w:trPr>
          <w:cantSplit/>
          <w:trHeight w:val="897"/>
        </w:trPr>
        <w:tc>
          <w:tcPr>
            <w:tcW w:w="1071" w:type="pct"/>
          </w:tcPr>
          <w:p w:rsidR="00961139" w:rsidRPr="00E16E70" w:rsidRDefault="00961139" w:rsidP="00343823">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Record Retention (Compliance 1.2)</w:t>
            </w:r>
          </w:p>
        </w:tc>
        <w:tc>
          <w:tcPr>
            <w:tcW w:w="1032"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89</w:t>
            </w:r>
          </w:p>
        </w:tc>
        <w:tc>
          <w:tcPr>
            <w:tcW w:w="799"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1</w:t>
            </w:r>
          </w:p>
        </w:tc>
        <w:tc>
          <w:tcPr>
            <w:tcW w:w="657"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1</w:t>
            </w:r>
          </w:p>
        </w:tc>
        <w:tc>
          <w:tcPr>
            <w:tcW w:w="724"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89</w:t>
            </w:r>
          </w:p>
        </w:tc>
        <w:tc>
          <w:tcPr>
            <w:tcW w:w="717"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$2,492 [@$28/hr.]</w:t>
            </w:r>
          </w:p>
        </w:tc>
      </w:tr>
      <w:tr w:rsidR="00961139" w:rsidRPr="00E16E70" w:rsidTr="00343823">
        <w:trPr>
          <w:cantSplit/>
          <w:trHeight w:val="431"/>
        </w:trPr>
        <w:tc>
          <w:tcPr>
            <w:tcW w:w="5000" w:type="pct"/>
            <w:gridSpan w:val="6"/>
          </w:tcPr>
          <w:p w:rsidR="00961139" w:rsidRPr="00E16E70" w:rsidRDefault="00961139" w:rsidP="005B24AF">
            <w:pPr>
              <w:spacing w:after="0" w:line="240" w:lineRule="auto"/>
              <w:jc w:val="center"/>
              <w:rPr>
                <w:rFonts w:ascii="Times New Roman" w:hAnsi="Times New Roman" w:cs="Times New Roman"/>
                <w:b/>
                <w:sz w:val="24"/>
                <w:szCs w:val="24"/>
              </w:rPr>
            </w:pPr>
            <w:r w:rsidRPr="00E16E70">
              <w:rPr>
                <w:rFonts w:ascii="Times New Roman" w:hAnsi="Times New Roman" w:cs="Times New Roman"/>
                <w:b/>
                <w:sz w:val="24"/>
                <w:szCs w:val="24"/>
              </w:rPr>
              <w:t>FAC-001-1 (Facility Connection Requirements)</w:t>
            </w:r>
          </w:p>
        </w:tc>
      </w:tr>
      <w:tr w:rsidR="00961139" w:rsidRPr="00E16E70" w:rsidTr="005B24AF">
        <w:trPr>
          <w:cantSplit/>
          <w:trHeight w:val="710"/>
        </w:trPr>
        <w:tc>
          <w:tcPr>
            <w:tcW w:w="1071" w:type="pct"/>
          </w:tcPr>
          <w:p w:rsidR="00961139" w:rsidRPr="00E16E70" w:rsidRDefault="00961139" w:rsidP="00343823">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 xml:space="preserve">Facility connection </w:t>
            </w:r>
            <w:proofErr w:type="spellStart"/>
            <w:r w:rsidRPr="00E16E70">
              <w:rPr>
                <w:rFonts w:ascii="Times New Roman" w:hAnsi="Times New Roman" w:cs="Times New Roman"/>
                <w:sz w:val="24"/>
                <w:szCs w:val="24"/>
              </w:rPr>
              <w:t>reqs</w:t>
            </w:r>
            <w:proofErr w:type="spellEnd"/>
            <w:r w:rsidRPr="00E16E70">
              <w:rPr>
                <w:rFonts w:ascii="Times New Roman" w:hAnsi="Times New Roman" w:cs="Times New Roman"/>
                <w:sz w:val="24"/>
                <w:szCs w:val="24"/>
              </w:rPr>
              <w:t>. (R2, R3, M2, &amp; M3)</w:t>
            </w:r>
          </w:p>
        </w:tc>
        <w:tc>
          <w:tcPr>
            <w:tcW w:w="1032"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5</w:t>
            </w:r>
            <w:r w:rsidR="00090614" w:rsidRPr="00715FCF">
              <w:rPr>
                <w:b/>
                <w:vertAlign w:val="superscript"/>
              </w:rPr>
              <w:footnoteReference w:id="9"/>
            </w:r>
          </w:p>
        </w:tc>
        <w:tc>
          <w:tcPr>
            <w:tcW w:w="799"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1</w:t>
            </w:r>
          </w:p>
        </w:tc>
        <w:tc>
          <w:tcPr>
            <w:tcW w:w="657"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16</w:t>
            </w:r>
          </w:p>
        </w:tc>
        <w:tc>
          <w:tcPr>
            <w:tcW w:w="724"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80(one-time)</w:t>
            </w:r>
          </w:p>
        </w:tc>
        <w:tc>
          <w:tcPr>
            <w:tcW w:w="717"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$5,600 (one-time) [@$70/hr.]</w:t>
            </w:r>
          </w:p>
        </w:tc>
      </w:tr>
      <w:tr w:rsidR="00961139" w:rsidRPr="00E16E70" w:rsidTr="005B24AF">
        <w:trPr>
          <w:cantSplit/>
          <w:trHeight w:val="719"/>
        </w:trPr>
        <w:tc>
          <w:tcPr>
            <w:tcW w:w="1071" w:type="pct"/>
          </w:tcPr>
          <w:p w:rsidR="00961139" w:rsidRPr="00E16E70" w:rsidRDefault="00961139" w:rsidP="00343823">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Record Retention</w:t>
            </w:r>
            <w:r w:rsidRPr="00E16E70">
              <w:rPr>
                <w:rFonts w:ascii="Times New Roman" w:hAnsi="Times New Roman" w:cs="Times New Roman"/>
                <w:b/>
                <w:sz w:val="24"/>
                <w:szCs w:val="24"/>
                <w:vertAlign w:val="superscript"/>
              </w:rPr>
              <w:footnoteReference w:id="10"/>
            </w:r>
          </w:p>
        </w:tc>
        <w:tc>
          <w:tcPr>
            <w:tcW w:w="1032"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5</w:t>
            </w:r>
          </w:p>
        </w:tc>
        <w:tc>
          <w:tcPr>
            <w:tcW w:w="799"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1</w:t>
            </w:r>
          </w:p>
        </w:tc>
        <w:tc>
          <w:tcPr>
            <w:tcW w:w="657"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1</w:t>
            </w:r>
          </w:p>
        </w:tc>
        <w:tc>
          <w:tcPr>
            <w:tcW w:w="724"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5</w:t>
            </w:r>
          </w:p>
        </w:tc>
        <w:tc>
          <w:tcPr>
            <w:tcW w:w="717" w:type="pct"/>
            <w:vAlign w:val="bottom"/>
          </w:tcPr>
          <w:p w:rsidR="00961139" w:rsidRPr="00E16E70" w:rsidRDefault="00961139" w:rsidP="005B24AF">
            <w:pPr>
              <w:spacing w:after="0" w:line="240" w:lineRule="auto"/>
              <w:jc w:val="right"/>
              <w:rPr>
                <w:rFonts w:ascii="Times New Roman" w:hAnsi="Times New Roman" w:cs="Times New Roman"/>
                <w:sz w:val="24"/>
                <w:szCs w:val="24"/>
              </w:rPr>
            </w:pPr>
            <w:r w:rsidRPr="00E16E70">
              <w:rPr>
                <w:rFonts w:ascii="Times New Roman" w:hAnsi="Times New Roman" w:cs="Times New Roman"/>
                <w:sz w:val="24"/>
                <w:szCs w:val="24"/>
              </w:rPr>
              <w:t>$140 [@$28/hr.]</w:t>
            </w:r>
          </w:p>
        </w:tc>
      </w:tr>
      <w:tr w:rsidR="00961139" w:rsidRPr="00E16E70" w:rsidTr="005B24AF">
        <w:trPr>
          <w:cantSplit/>
          <w:trHeight w:val="701"/>
        </w:trPr>
        <w:tc>
          <w:tcPr>
            <w:tcW w:w="1071" w:type="pct"/>
          </w:tcPr>
          <w:p w:rsidR="00961139" w:rsidRPr="00E16E70" w:rsidRDefault="00961139" w:rsidP="00343823">
            <w:pPr>
              <w:spacing w:after="0" w:line="240" w:lineRule="auto"/>
              <w:rPr>
                <w:rFonts w:ascii="Times New Roman" w:hAnsi="Times New Roman" w:cs="Times New Roman"/>
                <w:b/>
                <w:sz w:val="24"/>
                <w:szCs w:val="24"/>
              </w:rPr>
            </w:pPr>
            <w:r w:rsidRPr="00E16E70">
              <w:rPr>
                <w:rFonts w:ascii="Times New Roman" w:hAnsi="Times New Roman" w:cs="Times New Roman"/>
                <w:b/>
                <w:sz w:val="24"/>
                <w:szCs w:val="24"/>
              </w:rPr>
              <w:t>Total</w:t>
            </w:r>
            <w:r>
              <w:rPr>
                <w:rFonts w:ascii="Times New Roman" w:hAnsi="Times New Roman" w:cs="Times New Roman"/>
                <w:b/>
                <w:sz w:val="24"/>
                <w:szCs w:val="24"/>
              </w:rPr>
              <w:t xml:space="preserve"> one-time</w:t>
            </w:r>
          </w:p>
        </w:tc>
        <w:tc>
          <w:tcPr>
            <w:tcW w:w="1032" w:type="pct"/>
            <w:shd w:val="clear" w:color="auto" w:fill="BFBFBF" w:themeFill="background1" w:themeFillShade="BF"/>
            <w:vAlign w:val="bottom"/>
          </w:tcPr>
          <w:p w:rsidR="00961139" w:rsidRPr="00E16E70" w:rsidRDefault="00961139" w:rsidP="005B24AF">
            <w:pPr>
              <w:spacing w:after="0" w:line="240" w:lineRule="auto"/>
              <w:jc w:val="right"/>
              <w:rPr>
                <w:rFonts w:ascii="Times New Roman" w:hAnsi="Times New Roman" w:cs="Times New Roman"/>
                <w:sz w:val="24"/>
                <w:szCs w:val="24"/>
              </w:rPr>
            </w:pPr>
          </w:p>
        </w:tc>
        <w:tc>
          <w:tcPr>
            <w:tcW w:w="799" w:type="pct"/>
            <w:shd w:val="clear" w:color="auto" w:fill="BFBFBF" w:themeFill="background1" w:themeFillShade="BF"/>
            <w:vAlign w:val="bottom"/>
          </w:tcPr>
          <w:p w:rsidR="00961139" w:rsidRPr="00E16E70" w:rsidRDefault="00961139" w:rsidP="005B24AF">
            <w:pPr>
              <w:spacing w:after="0" w:line="240" w:lineRule="auto"/>
              <w:jc w:val="right"/>
              <w:rPr>
                <w:rFonts w:ascii="Times New Roman" w:hAnsi="Times New Roman" w:cs="Times New Roman"/>
                <w:sz w:val="24"/>
                <w:szCs w:val="24"/>
              </w:rPr>
            </w:pPr>
          </w:p>
        </w:tc>
        <w:tc>
          <w:tcPr>
            <w:tcW w:w="657" w:type="pct"/>
            <w:shd w:val="clear" w:color="auto" w:fill="BFBFBF" w:themeFill="background1" w:themeFillShade="BF"/>
            <w:vAlign w:val="bottom"/>
          </w:tcPr>
          <w:p w:rsidR="00961139" w:rsidRPr="00E16E70" w:rsidRDefault="00961139" w:rsidP="005B24AF">
            <w:pPr>
              <w:spacing w:after="0" w:line="240" w:lineRule="auto"/>
              <w:jc w:val="right"/>
              <w:rPr>
                <w:rFonts w:ascii="Times New Roman" w:hAnsi="Times New Roman" w:cs="Times New Roman"/>
                <w:sz w:val="24"/>
                <w:szCs w:val="24"/>
              </w:rPr>
            </w:pPr>
          </w:p>
        </w:tc>
        <w:tc>
          <w:tcPr>
            <w:tcW w:w="724" w:type="pct"/>
            <w:vAlign w:val="bottom"/>
          </w:tcPr>
          <w:p w:rsidR="00961139" w:rsidRPr="00E16E70" w:rsidRDefault="00961139" w:rsidP="005B24A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2,928</w:t>
            </w:r>
          </w:p>
        </w:tc>
        <w:tc>
          <w:tcPr>
            <w:tcW w:w="717" w:type="pct"/>
            <w:vAlign w:val="bottom"/>
          </w:tcPr>
          <w:p w:rsidR="00961139" w:rsidRPr="00E16E70" w:rsidRDefault="00961139" w:rsidP="005B24AF">
            <w:pPr>
              <w:spacing w:after="0" w:line="240" w:lineRule="auto"/>
              <w:jc w:val="right"/>
              <w:rPr>
                <w:rFonts w:ascii="Times New Roman" w:hAnsi="Times New Roman" w:cs="Times New Roman"/>
                <w:b/>
                <w:sz w:val="24"/>
                <w:szCs w:val="24"/>
              </w:rPr>
            </w:pPr>
            <w:r w:rsidRPr="00E16E70">
              <w:rPr>
                <w:rFonts w:ascii="Times New Roman" w:hAnsi="Times New Roman" w:cs="Times New Roman"/>
                <w:b/>
                <w:sz w:val="24"/>
                <w:szCs w:val="24"/>
              </w:rPr>
              <w:t>$</w:t>
            </w:r>
            <w:r>
              <w:rPr>
                <w:rFonts w:ascii="Times New Roman" w:hAnsi="Times New Roman" w:cs="Times New Roman"/>
                <w:b/>
                <w:sz w:val="24"/>
                <w:szCs w:val="24"/>
              </w:rPr>
              <w:t>153,696</w:t>
            </w:r>
          </w:p>
        </w:tc>
      </w:tr>
      <w:tr w:rsidR="00961139" w:rsidRPr="00E16E70" w:rsidTr="005B24AF">
        <w:trPr>
          <w:cantSplit/>
          <w:trHeight w:val="701"/>
        </w:trPr>
        <w:tc>
          <w:tcPr>
            <w:tcW w:w="1071" w:type="pct"/>
          </w:tcPr>
          <w:p w:rsidR="00961139" w:rsidRPr="00E16E70" w:rsidRDefault="00961139" w:rsidP="00343823">
            <w:pPr>
              <w:spacing w:after="0" w:line="240" w:lineRule="auto"/>
              <w:rPr>
                <w:rFonts w:ascii="Times New Roman" w:hAnsi="Times New Roman" w:cs="Times New Roman"/>
                <w:b/>
                <w:sz w:val="24"/>
                <w:szCs w:val="24"/>
              </w:rPr>
            </w:pPr>
            <w:r>
              <w:rPr>
                <w:rFonts w:ascii="Times New Roman" w:hAnsi="Times New Roman" w:cs="Times New Roman"/>
                <w:b/>
                <w:sz w:val="24"/>
                <w:szCs w:val="24"/>
              </w:rPr>
              <w:t>Total reoccurring</w:t>
            </w:r>
          </w:p>
        </w:tc>
        <w:tc>
          <w:tcPr>
            <w:tcW w:w="1032" w:type="pct"/>
            <w:shd w:val="clear" w:color="auto" w:fill="BFBFBF" w:themeFill="background1" w:themeFillShade="BF"/>
            <w:vAlign w:val="bottom"/>
          </w:tcPr>
          <w:p w:rsidR="00961139" w:rsidRPr="00E16E70" w:rsidRDefault="00961139" w:rsidP="005B24AF">
            <w:pPr>
              <w:spacing w:after="0" w:line="240" w:lineRule="auto"/>
              <w:jc w:val="right"/>
              <w:rPr>
                <w:rFonts w:ascii="Times New Roman" w:hAnsi="Times New Roman" w:cs="Times New Roman"/>
                <w:sz w:val="24"/>
                <w:szCs w:val="24"/>
              </w:rPr>
            </w:pPr>
          </w:p>
        </w:tc>
        <w:tc>
          <w:tcPr>
            <w:tcW w:w="799" w:type="pct"/>
            <w:shd w:val="clear" w:color="auto" w:fill="BFBFBF" w:themeFill="background1" w:themeFillShade="BF"/>
            <w:vAlign w:val="bottom"/>
          </w:tcPr>
          <w:p w:rsidR="00961139" w:rsidRPr="00E16E70" w:rsidRDefault="00961139" w:rsidP="005B24AF">
            <w:pPr>
              <w:spacing w:after="0" w:line="240" w:lineRule="auto"/>
              <w:jc w:val="right"/>
              <w:rPr>
                <w:rFonts w:ascii="Times New Roman" w:hAnsi="Times New Roman" w:cs="Times New Roman"/>
                <w:sz w:val="24"/>
                <w:szCs w:val="24"/>
              </w:rPr>
            </w:pPr>
          </w:p>
        </w:tc>
        <w:tc>
          <w:tcPr>
            <w:tcW w:w="657" w:type="pct"/>
            <w:shd w:val="clear" w:color="auto" w:fill="BFBFBF" w:themeFill="background1" w:themeFillShade="BF"/>
            <w:vAlign w:val="bottom"/>
          </w:tcPr>
          <w:p w:rsidR="00961139" w:rsidRPr="00E16E70" w:rsidRDefault="00961139" w:rsidP="005B24AF">
            <w:pPr>
              <w:spacing w:after="0" w:line="240" w:lineRule="auto"/>
              <w:jc w:val="right"/>
              <w:rPr>
                <w:rFonts w:ascii="Times New Roman" w:hAnsi="Times New Roman" w:cs="Times New Roman"/>
                <w:sz w:val="24"/>
                <w:szCs w:val="24"/>
              </w:rPr>
            </w:pPr>
          </w:p>
        </w:tc>
        <w:tc>
          <w:tcPr>
            <w:tcW w:w="724" w:type="pct"/>
            <w:vAlign w:val="bottom"/>
          </w:tcPr>
          <w:p w:rsidR="00961139" w:rsidRPr="00E16E70" w:rsidRDefault="00322AB7" w:rsidP="005B24A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369</w:t>
            </w:r>
          </w:p>
        </w:tc>
        <w:tc>
          <w:tcPr>
            <w:tcW w:w="717" w:type="pct"/>
            <w:vAlign w:val="bottom"/>
          </w:tcPr>
          <w:p w:rsidR="00961139" w:rsidRPr="00E16E70" w:rsidRDefault="00961139" w:rsidP="005B24A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$21,882</w:t>
            </w:r>
          </w:p>
        </w:tc>
      </w:tr>
      <w:tr w:rsidR="00961139" w:rsidRPr="00E16E70" w:rsidTr="005B24AF">
        <w:trPr>
          <w:cantSplit/>
          <w:trHeight w:val="701"/>
        </w:trPr>
        <w:tc>
          <w:tcPr>
            <w:tcW w:w="1071" w:type="pct"/>
          </w:tcPr>
          <w:p w:rsidR="00961139" w:rsidRPr="00E16E70" w:rsidRDefault="00E97136" w:rsidP="00343823">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Annual </w:t>
            </w:r>
            <w:r w:rsidR="00961139" w:rsidRPr="00E16E70">
              <w:rPr>
                <w:rFonts w:ascii="Times New Roman" w:hAnsi="Times New Roman" w:cs="Times New Roman"/>
                <w:b/>
                <w:sz w:val="24"/>
                <w:szCs w:val="24"/>
              </w:rPr>
              <w:t>Total over Years 1-3</w:t>
            </w:r>
            <w:r w:rsidR="00961139">
              <w:rPr>
                <w:rFonts w:ascii="Times New Roman" w:hAnsi="Times New Roman" w:cs="Times New Roman"/>
                <w:b/>
                <w:sz w:val="24"/>
                <w:szCs w:val="24"/>
              </w:rPr>
              <w:t xml:space="preserve"> (averaging the one-time burden over 3 years)</w:t>
            </w:r>
          </w:p>
        </w:tc>
        <w:tc>
          <w:tcPr>
            <w:tcW w:w="1032" w:type="pct"/>
            <w:shd w:val="clear" w:color="auto" w:fill="BFBFBF" w:themeFill="background1" w:themeFillShade="BF"/>
            <w:vAlign w:val="bottom"/>
          </w:tcPr>
          <w:p w:rsidR="00961139" w:rsidRPr="00E16E70" w:rsidRDefault="00961139" w:rsidP="005B24AF">
            <w:pPr>
              <w:spacing w:after="0" w:line="240" w:lineRule="auto"/>
              <w:jc w:val="right"/>
              <w:rPr>
                <w:rFonts w:ascii="Times New Roman" w:hAnsi="Times New Roman" w:cs="Times New Roman"/>
                <w:sz w:val="24"/>
                <w:szCs w:val="24"/>
              </w:rPr>
            </w:pPr>
          </w:p>
        </w:tc>
        <w:tc>
          <w:tcPr>
            <w:tcW w:w="799" w:type="pct"/>
            <w:shd w:val="clear" w:color="auto" w:fill="BFBFBF" w:themeFill="background1" w:themeFillShade="BF"/>
            <w:vAlign w:val="bottom"/>
          </w:tcPr>
          <w:p w:rsidR="00961139" w:rsidRPr="00E16E70" w:rsidRDefault="00961139" w:rsidP="005B24AF">
            <w:pPr>
              <w:spacing w:after="0" w:line="240" w:lineRule="auto"/>
              <w:jc w:val="right"/>
              <w:rPr>
                <w:rFonts w:ascii="Times New Roman" w:hAnsi="Times New Roman" w:cs="Times New Roman"/>
                <w:sz w:val="24"/>
                <w:szCs w:val="24"/>
              </w:rPr>
            </w:pPr>
          </w:p>
        </w:tc>
        <w:tc>
          <w:tcPr>
            <w:tcW w:w="657" w:type="pct"/>
            <w:shd w:val="clear" w:color="auto" w:fill="BFBFBF" w:themeFill="background1" w:themeFillShade="BF"/>
            <w:vAlign w:val="bottom"/>
          </w:tcPr>
          <w:p w:rsidR="00961139" w:rsidRPr="00E16E70" w:rsidRDefault="00961139" w:rsidP="005B24AF">
            <w:pPr>
              <w:spacing w:after="0" w:line="240" w:lineRule="auto"/>
              <w:jc w:val="right"/>
              <w:rPr>
                <w:rFonts w:ascii="Times New Roman" w:hAnsi="Times New Roman" w:cs="Times New Roman"/>
                <w:sz w:val="24"/>
                <w:szCs w:val="24"/>
              </w:rPr>
            </w:pPr>
          </w:p>
        </w:tc>
        <w:tc>
          <w:tcPr>
            <w:tcW w:w="724" w:type="pct"/>
            <w:vAlign w:val="bottom"/>
          </w:tcPr>
          <w:p w:rsidR="00961139" w:rsidRPr="00E16E70" w:rsidRDefault="00961139" w:rsidP="005B24A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1,</w:t>
            </w:r>
            <w:r w:rsidR="00322AB7">
              <w:rPr>
                <w:rFonts w:ascii="Times New Roman" w:hAnsi="Times New Roman" w:cs="Times New Roman"/>
                <w:b/>
                <w:sz w:val="24"/>
                <w:szCs w:val="24"/>
              </w:rPr>
              <w:t>345</w:t>
            </w:r>
          </w:p>
        </w:tc>
        <w:tc>
          <w:tcPr>
            <w:tcW w:w="717" w:type="pct"/>
            <w:vAlign w:val="bottom"/>
          </w:tcPr>
          <w:p w:rsidR="00961139" w:rsidRPr="00E16E70" w:rsidRDefault="00961139" w:rsidP="005B24A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$73,114</w:t>
            </w:r>
          </w:p>
        </w:tc>
      </w:tr>
    </w:tbl>
    <w:p w:rsidR="00961139" w:rsidRPr="00E16E70" w:rsidRDefault="00961139" w:rsidP="0092596C">
      <w:pPr>
        <w:spacing w:after="0" w:line="240" w:lineRule="auto"/>
        <w:rPr>
          <w:rFonts w:ascii="Times New Roman" w:hAnsi="Times New Roman" w:cs="Times New Roman"/>
          <w:sz w:val="24"/>
          <w:szCs w:val="24"/>
        </w:rPr>
      </w:pPr>
    </w:p>
    <w:p w:rsidR="00D80FBD" w:rsidRPr="00E16E70" w:rsidRDefault="00E636D7"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ESTIMATE OF THE TOTAL ANNUAL COST BURDEN TO RESPONDENTS</w:t>
      </w:r>
    </w:p>
    <w:p w:rsidR="00E636D7" w:rsidRPr="00E16E70" w:rsidRDefault="00E636D7" w:rsidP="0092596C">
      <w:pPr>
        <w:spacing w:after="0" w:line="240" w:lineRule="auto"/>
        <w:rPr>
          <w:rFonts w:ascii="Times New Roman" w:hAnsi="Times New Roman" w:cs="Times New Roman"/>
          <w:sz w:val="24"/>
          <w:szCs w:val="24"/>
        </w:rPr>
      </w:pPr>
    </w:p>
    <w:p w:rsidR="004552E9" w:rsidRPr="00E16E70" w:rsidRDefault="004552E9" w:rsidP="0092596C">
      <w:pPr>
        <w:spacing w:after="0" w:line="240" w:lineRule="auto"/>
        <w:rPr>
          <w:rFonts w:ascii="Times New Roman" w:hAnsi="Times New Roman"/>
          <w:sz w:val="24"/>
          <w:szCs w:val="24"/>
        </w:rPr>
      </w:pPr>
      <w:r w:rsidRPr="00E16E70">
        <w:rPr>
          <w:rFonts w:ascii="Times New Roman" w:hAnsi="Times New Roman"/>
          <w:sz w:val="24"/>
          <w:szCs w:val="24"/>
        </w:rPr>
        <w:t xml:space="preserve">There is no start-up or other non-labor hour cost associated </w:t>
      </w:r>
      <w:r w:rsidR="00961139">
        <w:rPr>
          <w:rFonts w:ascii="Times New Roman" w:hAnsi="Times New Roman"/>
          <w:sz w:val="24"/>
          <w:szCs w:val="24"/>
        </w:rPr>
        <w:t>with the proposed rule</w:t>
      </w:r>
      <w:r w:rsidRPr="00E16E70">
        <w:rPr>
          <w:rFonts w:ascii="Times New Roman" w:hAnsi="Times New Roman"/>
          <w:sz w:val="24"/>
          <w:szCs w:val="24"/>
        </w:rPr>
        <w:t>.  We assume that the information collection r</w:t>
      </w:r>
      <w:r w:rsidR="00DE4922" w:rsidRPr="00E16E70">
        <w:rPr>
          <w:rFonts w:ascii="Times New Roman" w:hAnsi="Times New Roman"/>
          <w:sz w:val="24"/>
          <w:szCs w:val="24"/>
        </w:rPr>
        <w:t>e</w:t>
      </w:r>
      <w:r w:rsidR="00961139">
        <w:rPr>
          <w:rFonts w:ascii="Times New Roman" w:hAnsi="Times New Roman"/>
          <w:sz w:val="24"/>
          <w:szCs w:val="24"/>
        </w:rPr>
        <w:t>quirements associated with this</w:t>
      </w:r>
      <w:r w:rsidRPr="00E16E70">
        <w:rPr>
          <w:rFonts w:ascii="Times New Roman" w:hAnsi="Times New Roman"/>
          <w:sz w:val="24"/>
          <w:szCs w:val="24"/>
        </w:rPr>
        <w:t xml:space="preserve"> </w:t>
      </w:r>
      <w:r w:rsidR="00DE4922" w:rsidRPr="00E16E70">
        <w:rPr>
          <w:rFonts w:ascii="Times New Roman" w:hAnsi="Times New Roman"/>
          <w:sz w:val="24"/>
          <w:szCs w:val="24"/>
        </w:rPr>
        <w:t>proposed</w:t>
      </w:r>
      <w:r w:rsidRPr="00E16E70">
        <w:rPr>
          <w:rFonts w:ascii="Times New Roman" w:hAnsi="Times New Roman"/>
          <w:sz w:val="24"/>
          <w:szCs w:val="24"/>
        </w:rPr>
        <w:t xml:space="preserve"> rule can be completed by entities using existing hardware and software.  We assume that the recordkeeping requ</w:t>
      </w:r>
      <w:r w:rsidR="00DE4922" w:rsidRPr="00E16E70">
        <w:rPr>
          <w:rFonts w:ascii="Times New Roman" w:hAnsi="Times New Roman"/>
          <w:sz w:val="24"/>
          <w:szCs w:val="24"/>
        </w:rPr>
        <w:t>irements</w:t>
      </w:r>
      <w:r w:rsidRPr="00E16E70">
        <w:rPr>
          <w:rFonts w:ascii="Times New Roman" w:hAnsi="Times New Roman"/>
          <w:sz w:val="24"/>
          <w:szCs w:val="24"/>
        </w:rPr>
        <w:t xml:space="preserve"> </w:t>
      </w:r>
      <w:r w:rsidR="00DE4922" w:rsidRPr="00E16E70">
        <w:rPr>
          <w:rFonts w:ascii="Times New Roman" w:hAnsi="Times New Roman"/>
          <w:sz w:val="24"/>
          <w:szCs w:val="24"/>
        </w:rPr>
        <w:t>are predominately</w:t>
      </w:r>
      <w:r w:rsidRPr="00E16E70">
        <w:rPr>
          <w:rFonts w:ascii="Times New Roman" w:hAnsi="Times New Roman"/>
          <w:sz w:val="24"/>
          <w:szCs w:val="24"/>
        </w:rPr>
        <w:t xml:space="preserve"> labor cost</w:t>
      </w:r>
      <w:r w:rsidR="00DE4922" w:rsidRPr="00E16E70">
        <w:rPr>
          <w:rFonts w:ascii="Times New Roman" w:hAnsi="Times New Roman"/>
          <w:sz w:val="24"/>
          <w:szCs w:val="24"/>
        </w:rPr>
        <w:t>s</w:t>
      </w:r>
      <w:r w:rsidRPr="00E16E70">
        <w:rPr>
          <w:rFonts w:ascii="Times New Roman" w:hAnsi="Times New Roman"/>
          <w:sz w:val="24"/>
          <w:szCs w:val="24"/>
        </w:rPr>
        <w:t xml:space="preserve"> as the generated records will not require extensive record storage facilities or server space.       </w:t>
      </w:r>
    </w:p>
    <w:p w:rsidR="00E636D7" w:rsidRPr="00E16E70" w:rsidRDefault="00E636D7" w:rsidP="0092596C">
      <w:pPr>
        <w:spacing w:after="0" w:line="240" w:lineRule="auto"/>
        <w:rPr>
          <w:rFonts w:ascii="Times New Roman" w:hAnsi="Times New Roman" w:cs="Times New Roman"/>
          <w:sz w:val="24"/>
          <w:szCs w:val="24"/>
        </w:rPr>
      </w:pPr>
    </w:p>
    <w:p w:rsidR="00E636D7" w:rsidRPr="00E16E70"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ESTIMATED ANNUALIZED COST TO FEDERAL GOVERNMENT</w:t>
      </w:r>
    </w:p>
    <w:p w:rsidR="00A276F5" w:rsidRPr="00E16E70" w:rsidRDefault="00A276F5" w:rsidP="0092596C">
      <w:pPr>
        <w:spacing w:after="0" w:line="240" w:lineRule="auto"/>
        <w:rPr>
          <w:rFonts w:ascii="Times New Roman" w:hAnsi="Times New Roman" w:cs="Times New Roman"/>
          <w:sz w:val="24"/>
          <w:szCs w:val="24"/>
        </w:rPr>
      </w:pPr>
    </w:p>
    <w:p w:rsidR="004552E9" w:rsidRPr="00E16E70" w:rsidRDefault="004552E9" w:rsidP="0092596C">
      <w:pPr>
        <w:spacing w:after="0" w:line="240" w:lineRule="auto"/>
        <w:rPr>
          <w:rFonts w:ascii="Times New Roman" w:hAnsi="Times New Roman"/>
          <w:sz w:val="24"/>
          <w:szCs w:val="24"/>
        </w:rPr>
      </w:pPr>
      <w:r w:rsidRPr="00E16E70">
        <w:rPr>
          <w:rFonts w:ascii="Times New Roman" w:hAnsi="Times New Roman"/>
          <w:sz w:val="24"/>
          <w:szCs w:val="24"/>
        </w:rPr>
        <w:t xml:space="preserve">The Regional Entities and NERC do most of the data processing, monitoring and compliance work for Reliability Standards.  Any involvement by the Commission is covered under the FERC-725 collection (1902-0225) and is not part of this request or package.  </w:t>
      </w:r>
    </w:p>
    <w:p w:rsidR="004552E9" w:rsidRPr="00E16E70" w:rsidRDefault="004552E9" w:rsidP="0092596C">
      <w:pPr>
        <w:spacing w:after="0" w:line="240" w:lineRule="auto"/>
        <w:rPr>
          <w:rFonts w:ascii="Times New Roman" w:hAnsi="Times New Roman"/>
          <w:sz w:val="24"/>
          <w:szCs w:val="24"/>
        </w:rPr>
      </w:pPr>
    </w:p>
    <w:p w:rsidR="00A276F5" w:rsidRPr="00E16E70" w:rsidRDefault="004552E9" w:rsidP="0092596C">
      <w:pPr>
        <w:spacing w:after="0" w:line="240" w:lineRule="auto"/>
        <w:rPr>
          <w:rFonts w:ascii="Times New Roman" w:hAnsi="Times New Roman" w:cs="Times New Roman"/>
          <w:sz w:val="24"/>
          <w:szCs w:val="24"/>
        </w:rPr>
      </w:pPr>
      <w:r w:rsidRPr="00E16E70">
        <w:rPr>
          <w:rFonts w:ascii="Times New Roman" w:hAnsi="Times New Roman"/>
          <w:sz w:val="24"/>
          <w:szCs w:val="24"/>
        </w:rPr>
        <w:t>The Commission does incur the costs associated with obtaining OMB clearance under the Paperwork Reduction Act for this Collection.  FERC estimates the annual co</w:t>
      </w:r>
      <w:r w:rsidR="00DE4922" w:rsidRPr="00E16E70">
        <w:rPr>
          <w:rFonts w:ascii="Times New Roman" w:hAnsi="Times New Roman"/>
          <w:sz w:val="24"/>
          <w:szCs w:val="24"/>
        </w:rPr>
        <w:t>st for this effort to be $2,250</w:t>
      </w:r>
      <w:r w:rsidRPr="00E16E70">
        <w:rPr>
          <w:rStyle w:val="FootnoteReference"/>
          <w:rFonts w:ascii="Times New Roman" w:hAnsi="Times New Roman"/>
          <w:sz w:val="24"/>
          <w:szCs w:val="24"/>
          <w:vertAlign w:val="superscript"/>
        </w:rPr>
        <w:footnoteReference w:id="11"/>
      </w:r>
      <w:r w:rsidR="00AA792C" w:rsidRPr="00E16E70">
        <w:rPr>
          <w:rFonts w:ascii="Times New Roman" w:hAnsi="Times New Roman"/>
          <w:sz w:val="24"/>
          <w:szCs w:val="24"/>
        </w:rPr>
        <w:t>.</w:t>
      </w:r>
    </w:p>
    <w:p w:rsidR="00A276F5" w:rsidRPr="00E16E70" w:rsidRDefault="00A276F5" w:rsidP="0092596C">
      <w:pPr>
        <w:spacing w:after="0" w:line="240" w:lineRule="auto"/>
        <w:rPr>
          <w:rFonts w:ascii="Times New Roman" w:hAnsi="Times New Roman" w:cs="Times New Roman"/>
          <w:sz w:val="24"/>
          <w:szCs w:val="24"/>
        </w:rPr>
      </w:pPr>
    </w:p>
    <w:p w:rsidR="00A276F5" w:rsidRPr="00E16E70"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REASONS FOR CHANGES IN BURDEN INCLUDING THE NEED FOR ANY INCREASE</w:t>
      </w:r>
    </w:p>
    <w:p w:rsidR="00A276F5" w:rsidRPr="00E16E70" w:rsidRDefault="00A276F5" w:rsidP="0092596C">
      <w:pPr>
        <w:spacing w:after="0" w:line="240" w:lineRule="auto"/>
        <w:rPr>
          <w:rFonts w:ascii="Times New Roman" w:hAnsi="Times New Roman" w:cs="Times New Roman"/>
          <w:sz w:val="24"/>
          <w:szCs w:val="24"/>
        </w:rPr>
      </w:pPr>
    </w:p>
    <w:p w:rsidR="00A1279B" w:rsidRPr="00E16E70" w:rsidRDefault="00A1279B" w:rsidP="00A1279B">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In this proposed rule</w:t>
      </w:r>
      <w:r w:rsidR="00136886">
        <w:rPr>
          <w:rFonts w:ascii="Times New Roman" w:hAnsi="Times New Roman" w:cs="Times New Roman"/>
          <w:sz w:val="24"/>
          <w:szCs w:val="24"/>
        </w:rPr>
        <w:t>,</w:t>
      </w:r>
      <w:r w:rsidRPr="00E16E70">
        <w:rPr>
          <w:rFonts w:ascii="Times New Roman" w:hAnsi="Times New Roman" w:cs="Times New Roman"/>
          <w:sz w:val="24"/>
          <w:szCs w:val="24"/>
        </w:rPr>
        <w:t xml:space="preserve"> the Commission </w:t>
      </w:r>
      <w:r w:rsidRPr="00E16E70">
        <w:rPr>
          <w:rFonts w:ascii="Times New Roman" w:hAnsi="Times New Roman" w:cs="Times New Roman"/>
          <w:sz w:val="24"/>
          <w:szCs w:val="24"/>
        </w:rPr>
        <w:t xml:space="preserve">proposes to approve </w:t>
      </w:r>
      <w:r>
        <w:rPr>
          <w:rFonts w:ascii="Times New Roman" w:hAnsi="Times New Roman" w:cs="Times New Roman"/>
          <w:sz w:val="24"/>
          <w:szCs w:val="24"/>
        </w:rPr>
        <w:t xml:space="preserve">the </w:t>
      </w:r>
      <w:r w:rsidRPr="00E16E70">
        <w:rPr>
          <w:rFonts w:ascii="Times New Roman" w:hAnsi="Times New Roman" w:cs="Times New Roman"/>
          <w:sz w:val="24"/>
          <w:szCs w:val="24"/>
        </w:rPr>
        <w:t xml:space="preserve">revised Reliability Standards which, as NERC states: </w:t>
      </w:r>
    </w:p>
    <w:p w:rsidR="00A1279B" w:rsidRPr="00E16E70" w:rsidRDefault="00A1279B" w:rsidP="00A1279B">
      <w:pPr>
        <w:spacing w:after="0" w:line="240" w:lineRule="auto"/>
        <w:rPr>
          <w:rFonts w:ascii="Times New Roman" w:hAnsi="Times New Roman" w:cs="Times New Roman"/>
          <w:sz w:val="24"/>
          <w:szCs w:val="24"/>
        </w:rPr>
      </w:pPr>
    </w:p>
    <w:p w:rsidR="00A1279B" w:rsidRPr="00E16E70" w:rsidRDefault="00A1279B" w:rsidP="00A1279B">
      <w:pPr>
        <w:spacing w:after="0" w:line="240" w:lineRule="auto"/>
        <w:ind w:left="720"/>
        <w:rPr>
          <w:rFonts w:ascii="Times New Roman" w:hAnsi="Times New Roman" w:cs="Times New Roman"/>
          <w:sz w:val="24"/>
          <w:szCs w:val="24"/>
        </w:rPr>
      </w:pPr>
      <w:r w:rsidRPr="00E16E70">
        <w:rPr>
          <w:rFonts w:ascii="Times New Roman" w:hAnsi="Times New Roman" w:cs="Times New Roman"/>
          <w:sz w:val="24"/>
          <w:szCs w:val="24"/>
        </w:rPr>
        <w:t>Represent an improvement over the currently effective standards because they ensure that there are no reliability gaps in (1) the development of Facility connection requirements when a third party requests interconnection to a Generator Owner Facility and (2) the performance of vegetation management on Bulk Electric System Facilities.</w:t>
      </w:r>
      <w:r w:rsidRPr="00D663D5">
        <w:rPr>
          <w:rStyle w:val="FootnoteReference"/>
          <w:rFonts w:ascii="Times New Roman" w:hAnsi="Times New Roman" w:cs="Times New Roman"/>
          <w:b/>
          <w:sz w:val="24"/>
          <w:szCs w:val="24"/>
          <w:vertAlign w:val="superscript"/>
        </w:rPr>
        <w:footnoteReference w:id="12"/>
      </w:r>
      <w:r w:rsidRPr="00E16E70">
        <w:rPr>
          <w:rFonts w:ascii="Times New Roman" w:hAnsi="Times New Roman" w:cs="Times New Roman"/>
          <w:sz w:val="24"/>
          <w:szCs w:val="24"/>
        </w:rPr>
        <w:t xml:space="preserve">    </w:t>
      </w:r>
    </w:p>
    <w:p w:rsidR="00D1275B" w:rsidRPr="00A1279B" w:rsidRDefault="00A1279B" w:rsidP="00D127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A792C" w:rsidRPr="00E16E70">
        <w:rPr>
          <w:rFonts w:ascii="Times New Roman" w:hAnsi="Times New Roman" w:cs="Times New Roman"/>
          <w:sz w:val="24"/>
          <w:szCs w:val="24"/>
        </w:rPr>
        <w:t xml:space="preserve">  </w:t>
      </w:r>
    </w:p>
    <w:p w:rsidR="0092596C" w:rsidRPr="00E16E70" w:rsidRDefault="00A1279B"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table shows </w:t>
      </w:r>
      <w:r w:rsidR="0092596C" w:rsidRPr="00E16E70">
        <w:rPr>
          <w:rFonts w:ascii="Times New Roman" w:hAnsi="Times New Roman" w:cs="Times New Roman"/>
          <w:sz w:val="24"/>
          <w:szCs w:val="24"/>
        </w:rPr>
        <w:t>the burden</w:t>
      </w:r>
      <w:r w:rsidR="00993AB1">
        <w:rPr>
          <w:rFonts w:ascii="Times New Roman" w:hAnsi="Times New Roman" w:cs="Times New Roman"/>
          <w:sz w:val="24"/>
          <w:szCs w:val="24"/>
        </w:rPr>
        <w:t xml:space="preserve"> </w:t>
      </w:r>
      <w:r w:rsidR="0092596C" w:rsidRPr="00E16E70">
        <w:rPr>
          <w:rFonts w:ascii="Times New Roman" w:hAnsi="Times New Roman" w:cs="Times New Roman"/>
          <w:sz w:val="24"/>
          <w:szCs w:val="24"/>
        </w:rPr>
        <w:t>inventory</w:t>
      </w:r>
      <w:r w:rsidR="00993AB1">
        <w:rPr>
          <w:rFonts w:ascii="Times New Roman" w:hAnsi="Times New Roman" w:cs="Times New Roman"/>
          <w:sz w:val="24"/>
          <w:szCs w:val="24"/>
        </w:rPr>
        <w:t xml:space="preserve"> for</w:t>
      </w:r>
      <w:r w:rsidR="0092596C" w:rsidRPr="00E16E70">
        <w:rPr>
          <w:rFonts w:ascii="Times New Roman" w:hAnsi="Times New Roman" w:cs="Times New Roman"/>
          <w:sz w:val="24"/>
          <w:szCs w:val="24"/>
        </w:rPr>
        <w:t xml:space="preserve"> </w:t>
      </w:r>
      <w:r w:rsidR="00961139">
        <w:rPr>
          <w:rFonts w:ascii="Times New Roman" w:hAnsi="Times New Roman" w:cs="Times New Roman"/>
          <w:sz w:val="24"/>
          <w:szCs w:val="24"/>
        </w:rPr>
        <w:t xml:space="preserve">this </w:t>
      </w:r>
      <w:r w:rsidR="00847E3D">
        <w:rPr>
          <w:rFonts w:ascii="Times New Roman" w:hAnsi="Times New Roman" w:cs="Times New Roman"/>
          <w:sz w:val="24"/>
          <w:szCs w:val="24"/>
        </w:rPr>
        <w:t>‘</w:t>
      </w:r>
      <w:r w:rsidR="00961139">
        <w:rPr>
          <w:rFonts w:ascii="Times New Roman" w:hAnsi="Times New Roman" w:cs="Times New Roman"/>
          <w:sz w:val="24"/>
          <w:szCs w:val="24"/>
        </w:rPr>
        <w:t>new</w:t>
      </w:r>
      <w:r w:rsidR="00847E3D">
        <w:rPr>
          <w:rFonts w:ascii="Times New Roman" w:hAnsi="Times New Roman" w:cs="Times New Roman"/>
          <w:sz w:val="24"/>
          <w:szCs w:val="24"/>
        </w:rPr>
        <w:t>’</w:t>
      </w:r>
      <w:r w:rsidR="00961139">
        <w:rPr>
          <w:rFonts w:ascii="Times New Roman" w:hAnsi="Times New Roman" w:cs="Times New Roman"/>
          <w:sz w:val="24"/>
          <w:szCs w:val="24"/>
        </w:rPr>
        <w:t xml:space="preserve"> collection</w:t>
      </w:r>
      <w:r w:rsidR="00136886" w:rsidRPr="005B24AF">
        <w:rPr>
          <w:rFonts w:ascii="Times New Roman" w:hAnsi="Times New Roman" w:cs="Times New Roman"/>
          <w:sz w:val="24"/>
          <w:szCs w:val="24"/>
          <w:vertAlign w:val="superscript"/>
        </w:rPr>
        <w:fldChar w:fldCharType="begin"/>
      </w:r>
      <w:r w:rsidR="00136886" w:rsidRPr="005B24AF">
        <w:rPr>
          <w:rFonts w:ascii="Times New Roman" w:hAnsi="Times New Roman" w:cs="Times New Roman"/>
          <w:sz w:val="24"/>
          <w:szCs w:val="24"/>
          <w:vertAlign w:val="superscript"/>
        </w:rPr>
        <w:instrText xml:space="preserve"> NOTEREF _Ref358363919 \h </w:instrText>
      </w:r>
      <w:r w:rsidR="00136886">
        <w:rPr>
          <w:rFonts w:ascii="Times New Roman" w:hAnsi="Times New Roman" w:cs="Times New Roman"/>
          <w:sz w:val="24"/>
          <w:szCs w:val="24"/>
          <w:vertAlign w:val="superscript"/>
        </w:rPr>
        <w:instrText xml:space="preserve"> \* MERGEFORMAT </w:instrText>
      </w:r>
      <w:r w:rsidR="00136886" w:rsidRPr="005B24AF">
        <w:rPr>
          <w:rFonts w:ascii="Times New Roman" w:hAnsi="Times New Roman" w:cs="Times New Roman"/>
          <w:sz w:val="24"/>
          <w:szCs w:val="24"/>
          <w:vertAlign w:val="superscript"/>
        </w:rPr>
      </w:r>
      <w:r w:rsidR="00136886" w:rsidRPr="005B24AF">
        <w:rPr>
          <w:rFonts w:ascii="Times New Roman" w:hAnsi="Times New Roman" w:cs="Times New Roman"/>
          <w:sz w:val="24"/>
          <w:szCs w:val="24"/>
          <w:vertAlign w:val="superscript"/>
        </w:rPr>
        <w:fldChar w:fldCharType="separate"/>
      </w:r>
      <w:r w:rsidR="00136886" w:rsidRPr="005B24AF">
        <w:rPr>
          <w:rFonts w:ascii="Times New Roman" w:hAnsi="Times New Roman" w:cs="Times New Roman"/>
          <w:sz w:val="24"/>
          <w:szCs w:val="24"/>
          <w:vertAlign w:val="superscript"/>
        </w:rPr>
        <w:t>1</w:t>
      </w:r>
      <w:r w:rsidR="00136886" w:rsidRPr="005B24AF">
        <w:rPr>
          <w:rFonts w:ascii="Times New Roman" w:hAnsi="Times New Roman" w:cs="Times New Roman"/>
          <w:sz w:val="24"/>
          <w:szCs w:val="24"/>
          <w:vertAlign w:val="superscript"/>
        </w:rPr>
        <w:fldChar w:fldCharType="end"/>
      </w:r>
      <w:r w:rsidR="0092596C" w:rsidRPr="00E16E70">
        <w:rPr>
          <w:rFonts w:ascii="Times New Roman" w:hAnsi="Times New Roman" w:cs="Times New Roman"/>
          <w:sz w:val="24"/>
          <w:szCs w:val="24"/>
        </w:rPr>
        <w:t>.</w:t>
      </w:r>
    </w:p>
    <w:p w:rsidR="0092596C" w:rsidRPr="00E16E70" w:rsidRDefault="0092596C" w:rsidP="0092596C">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92596C" w:rsidRPr="00E16E70" w:rsidTr="0092596C">
        <w:trPr>
          <w:trHeight w:val="870"/>
        </w:trPr>
        <w:tc>
          <w:tcPr>
            <w:tcW w:w="2679" w:type="dxa"/>
            <w:shd w:val="clear" w:color="auto" w:fill="D9D9D9"/>
            <w:vAlign w:val="bottom"/>
          </w:tcPr>
          <w:p w:rsidR="0092596C" w:rsidRPr="00E16E70" w:rsidRDefault="00961139" w:rsidP="0092596C">
            <w:pPr>
              <w:spacing w:after="0" w:line="240" w:lineRule="auto"/>
              <w:jc w:val="center"/>
              <w:rPr>
                <w:rFonts w:ascii="Times New Roman" w:hAnsi="Times New Roman"/>
                <w:b/>
                <w:sz w:val="24"/>
                <w:szCs w:val="24"/>
              </w:rPr>
            </w:pPr>
            <w:r>
              <w:rPr>
                <w:rFonts w:ascii="Times New Roman" w:hAnsi="Times New Roman"/>
                <w:b/>
                <w:sz w:val="24"/>
                <w:szCs w:val="24"/>
              </w:rPr>
              <w:t>FERC-725M</w:t>
            </w:r>
          </w:p>
        </w:tc>
        <w:tc>
          <w:tcPr>
            <w:tcW w:w="1461" w:type="dxa"/>
            <w:shd w:val="clear" w:color="auto" w:fill="D9D9D9"/>
            <w:vAlign w:val="bottom"/>
          </w:tcPr>
          <w:p w:rsidR="0092596C" w:rsidRPr="00E16E70" w:rsidRDefault="0092596C" w:rsidP="0092596C">
            <w:pPr>
              <w:spacing w:after="0" w:line="240" w:lineRule="auto"/>
              <w:jc w:val="center"/>
              <w:rPr>
                <w:rFonts w:ascii="Times New Roman" w:hAnsi="Times New Roman"/>
                <w:b/>
                <w:sz w:val="24"/>
                <w:szCs w:val="24"/>
              </w:rPr>
            </w:pPr>
            <w:r w:rsidRPr="00E16E70">
              <w:rPr>
                <w:rFonts w:ascii="Times New Roman" w:hAnsi="Times New Roman"/>
                <w:b/>
                <w:sz w:val="24"/>
                <w:szCs w:val="24"/>
              </w:rPr>
              <w:t>Total Request</w:t>
            </w:r>
          </w:p>
        </w:tc>
        <w:tc>
          <w:tcPr>
            <w:tcW w:w="1620" w:type="dxa"/>
            <w:shd w:val="clear" w:color="auto" w:fill="D9D9D9"/>
            <w:vAlign w:val="bottom"/>
          </w:tcPr>
          <w:p w:rsidR="0092596C" w:rsidRPr="00E16E70" w:rsidRDefault="0092596C" w:rsidP="0092596C">
            <w:pPr>
              <w:spacing w:after="0" w:line="240" w:lineRule="auto"/>
              <w:jc w:val="center"/>
              <w:rPr>
                <w:rFonts w:ascii="Times New Roman" w:hAnsi="Times New Roman"/>
                <w:b/>
                <w:sz w:val="24"/>
                <w:szCs w:val="24"/>
              </w:rPr>
            </w:pPr>
            <w:r w:rsidRPr="00E16E70">
              <w:rPr>
                <w:rFonts w:ascii="Times New Roman" w:hAnsi="Times New Roman"/>
                <w:b/>
                <w:sz w:val="24"/>
                <w:szCs w:val="24"/>
              </w:rPr>
              <w:t>Previously Approved</w:t>
            </w:r>
          </w:p>
        </w:tc>
        <w:tc>
          <w:tcPr>
            <w:tcW w:w="1800" w:type="dxa"/>
            <w:shd w:val="clear" w:color="auto" w:fill="D9D9D9"/>
            <w:vAlign w:val="bottom"/>
          </w:tcPr>
          <w:p w:rsidR="0092596C" w:rsidRPr="00E16E70" w:rsidRDefault="0092596C" w:rsidP="0092596C">
            <w:pPr>
              <w:spacing w:after="0" w:line="240" w:lineRule="auto"/>
              <w:jc w:val="center"/>
              <w:rPr>
                <w:rFonts w:ascii="Times New Roman" w:hAnsi="Times New Roman"/>
                <w:b/>
                <w:sz w:val="24"/>
                <w:szCs w:val="24"/>
              </w:rPr>
            </w:pPr>
            <w:r w:rsidRPr="00E16E70">
              <w:rPr>
                <w:rFonts w:ascii="Times New Roman" w:hAnsi="Times New Roman"/>
                <w:b/>
                <w:sz w:val="24"/>
                <w:szCs w:val="24"/>
              </w:rPr>
              <w:t>Change due to Adjustment in Estimate</w:t>
            </w:r>
          </w:p>
        </w:tc>
        <w:tc>
          <w:tcPr>
            <w:tcW w:w="1800" w:type="dxa"/>
            <w:shd w:val="clear" w:color="auto" w:fill="D9D9D9"/>
            <w:vAlign w:val="bottom"/>
          </w:tcPr>
          <w:p w:rsidR="0092596C" w:rsidRPr="00E16E70" w:rsidRDefault="0092596C" w:rsidP="0092596C">
            <w:pPr>
              <w:spacing w:after="0" w:line="240" w:lineRule="auto"/>
              <w:jc w:val="center"/>
              <w:rPr>
                <w:rFonts w:ascii="Times New Roman" w:hAnsi="Times New Roman"/>
                <w:b/>
                <w:sz w:val="24"/>
                <w:szCs w:val="24"/>
              </w:rPr>
            </w:pPr>
            <w:r w:rsidRPr="00E16E70">
              <w:rPr>
                <w:rFonts w:ascii="Times New Roman" w:hAnsi="Times New Roman"/>
                <w:b/>
                <w:sz w:val="24"/>
                <w:szCs w:val="24"/>
              </w:rPr>
              <w:t>Change Due to Agency Discretion</w:t>
            </w:r>
          </w:p>
        </w:tc>
      </w:tr>
      <w:tr w:rsidR="0092596C" w:rsidRPr="00E16E70" w:rsidTr="0092596C">
        <w:trPr>
          <w:trHeight w:val="591"/>
        </w:trPr>
        <w:tc>
          <w:tcPr>
            <w:tcW w:w="2679" w:type="dxa"/>
          </w:tcPr>
          <w:p w:rsidR="0092596C" w:rsidRPr="00E16E70" w:rsidRDefault="0092596C" w:rsidP="0092596C">
            <w:pPr>
              <w:spacing w:after="0" w:line="240" w:lineRule="auto"/>
              <w:jc w:val="center"/>
              <w:rPr>
                <w:rFonts w:ascii="Times New Roman" w:hAnsi="Times New Roman"/>
                <w:sz w:val="24"/>
                <w:szCs w:val="24"/>
              </w:rPr>
            </w:pPr>
            <w:r w:rsidRPr="00E16E70">
              <w:rPr>
                <w:rFonts w:ascii="Times New Roman" w:hAnsi="Times New Roman"/>
                <w:sz w:val="24"/>
                <w:szCs w:val="24"/>
              </w:rPr>
              <w:lastRenderedPageBreak/>
              <w:t>Annual Number of Responses</w:t>
            </w:r>
          </w:p>
        </w:tc>
        <w:tc>
          <w:tcPr>
            <w:tcW w:w="1461" w:type="dxa"/>
            <w:vAlign w:val="center"/>
          </w:tcPr>
          <w:p w:rsidR="0092596C" w:rsidRPr="00E16E70" w:rsidRDefault="00A75525" w:rsidP="0092596C">
            <w:pPr>
              <w:spacing w:after="0" w:line="240" w:lineRule="auto"/>
              <w:jc w:val="right"/>
              <w:rPr>
                <w:rFonts w:ascii="Times New Roman" w:hAnsi="Times New Roman"/>
                <w:sz w:val="24"/>
                <w:szCs w:val="24"/>
              </w:rPr>
            </w:pPr>
            <w:r>
              <w:rPr>
                <w:rFonts w:ascii="Times New Roman" w:hAnsi="Times New Roman"/>
                <w:sz w:val="24"/>
                <w:szCs w:val="24"/>
              </w:rPr>
              <w:t>97</w:t>
            </w:r>
            <w:bookmarkStart w:id="1" w:name="_GoBack"/>
            <w:bookmarkEnd w:id="1"/>
          </w:p>
        </w:tc>
        <w:tc>
          <w:tcPr>
            <w:tcW w:w="1620" w:type="dxa"/>
            <w:vAlign w:val="center"/>
          </w:tcPr>
          <w:p w:rsidR="0092596C" w:rsidRPr="00E16E70" w:rsidRDefault="00993AB1" w:rsidP="0092596C">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rsidR="0092596C" w:rsidRPr="00E16E70" w:rsidRDefault="0092596C" w:rsidP="0092596C">
            <w:pPr>
              <w:spacing w:after="0" w:line="240" w:lineRule="auto"/>
              <w:jc w:val="right"/>
              <w:rPr>
                <w:rFonts w:ascii="Times New Roman" w:hAnsi="Times New Roman"/>
                <w:sz w:val="24"/>
                <w:szCs w:val="24"/>
              </w:rPr>
            </w:pPr>
            <w:r w:rsidRPr="00E16E70">
              <w:rPr>
                <w:rFonts w:ascii="Times New Roman" w:hAnsi="Times New Roman"/>
                <w:sz w:val="24"/>
                <w:szCs w:val="24"/>
              </w:rPr>
              <w:t>-</w:t>
            </w:r>
          </w:p>
        </w:tc>
        <w:tc>
          <w:tcPr>
            <w:tcW w:w="1800" w:type="dxa"/>
            <w:vAlign w:val="center"/>
          </w:tcPr>
          <w:p w:rsidR="0092596C" w:rsidRPr="00E16E70" w:rsidRDefault="00595A46" w:rsidP="0092596C">
            <w:pPr>
              <w:spacing w:after="0" w:line="240" w:lineRule="auto"/>
              <w:jc w:val="right"/>
              <w:rPr>
                <w:rFonts w:ascii="Times New Roman" w:hAnsi="Times New Roman"/>
                <w:sz w:val="24"/>
                <w:szCs w:val="24"/>
              </w:rPr>
            </w:pPr>
            <w:r>
              <w:rPr>
                <w:rFonts w:ascii="Times New Roman" w:hAnsi="Times New Roman"/>
                <w:sz w:val="24"/>
                <w:szCs w:val="24"/>
              </w:rPr>
              <w:t>97</w:t>
            </w:r>
          </w:p>
        </w:tc>
      </w:tr>
      <w:tr w:rsidR="0092596C" w:rsidRPr="00E16E70" w:rsidTr="0092596C">
        <w:trPr>
          <w:trHeight w:val="575"/>
        </w:trPr>
        <w:tc>
          <w:tcPr>
            <w:tcW w:w="2679" w:type="dxa"/>
          </w:tcPr>
          <w:p w:rsidR="0092596C" w:rsidRPr="00E16E70" w:rsidRDefault="0092596C" w:rsidP="0092596C">
            <w:pPr>
              <w:spacing w:after="0" w:line="240" w:lineRule="auto"/>
              <w:jc w:val="center"/>
              <w:rPr>
                <w:rFonts w:ascii="Times New Roman" w:hAnsi="Times New Roman"/>
                <w:sz w:val="24"/>
                <w:szCs w:val="24"/>
              </w:rPr>
            </w:pPr>
            <w:r w:rsidRPr="00E16E70">
              <w:rPr>
                <w:rFonts w:ascii="Times New Roman" w:hAnsi="Times New Roman"/>
                <w:sz w:val="24"/>
                <w:szCs w:val="24"/>
              </w:rPr>
              <w:t>Annual Time Burden (</w:t>
            </w:r>
            <w:proofErr w:type="spellStart"/>
            <w:r w:rsidRPr="00E16E70">
              <w:rPr>
                <w:rFonts w:ascii="Times New Roman" w:hAnsi="Times New Roman"/>
                <w:sz w:val="24"/>
                <w:szCs w:val="24"/>
              </w:rPr>
              <w:t>Hr</w:t>
            </w:r>
            <w:proofErr w:type="spellEnd"/>
            <w:r w:rsidRPr="00E16E70">
              <w:rPr>
                <w:rFonts w:ascii="Times New Roman" w:hAnsi="Times New Roman"/>
                <w:sz w:val="24"/>
                <w:szCs w:val="24"/>
              </w:rPr>
              <w:t>)</w:t>
            </w:r>
          </w:p>
        </w:tc>
        <w:tc>
          <w:tcPr>
            <w:tcW w:w="1461" w:type="dxa"/>
            <w:vAlign w:val="center"/>
          </w:tcPr>
          <w:p w:rsidR="0092596C" w:rsidRPr="00E16E70" w:rsidRDefault="00A1279B" w:rsidP="0092596C">
            <w:pPr>
              <w:spacing w:after="0" w:line="240" w:lineRule="auto"/>
              <w:jc w:val="right"/>
              <w:rPr>
                <w:rFonts w:ascii="Times New Roman" w:hAnsi="Times New Roman"/>
                <w:sz w:val="24"/>
                <w:szCs w:val="24"/>
              </w:rPr>
            </w:pPr>
            <w:r>
              <w:rPr>
                <w:rFonts w:ascii="Times New Roman" w:hAnsi="Times New Roman"/>
                <w:sz w:val="24"/>
                <w:szCs w:val="24"/>
              </w:rPr>
              <w:t>1,345</w:t>
            </w:r>
          </w:p>
        </w:tc>
        <w:tc>
          <w:tcPr>
            <w:tcW w:w="1620" w:type="dxa"/>
            <w:vAlign w:val="center"/>
          </w:tcPr>
          <w:p w:rsidR="0092596C" w:rsidRPr="00E16E70" w:rsidRDefault="00A1279B" w:rsidP="0092596C">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rsidR="0092596C" w:rsidRPr="00E16E70" w:rsidRDefault="0092596C" w:rsidP="0092596C">
            <w:pPr>
              <w:spacing w:after="0" w:line="240" w:lineRule="auto"/>
              <w:jc w:val="right"/>
              <w:rPr>
                <w:rFonts w:ascii="Times New Roman" w:hAnsi="Times New Roman"/>
                <w:sz w:val="24"/>
                <w:szCs w:val="24"/>
              </w:rPr>
            </w:pPr>
            <w:r w:rsidRPr="00E16E70">
              <w:rPr>
                <w:rFonts w:ascii="Times New Roman" w:hAnsi="Times New Roman"/>
                <w:sz w:val="24"/>
                <w:szCs w:val="24"/>
              </w:rPr>
              <w:t>-</w:t>
            </w:r>
          </w:p>
        </w:tc>
        <w:tc>
          <w:tcPr>
            <w:tcW w:w="1800" w:type="dxa"/>
            <w:vAlign w:val="center"/>
          </w:tcPr>
          <w:p w:rsidR="00D1275B" w:rsidRPr="00E16E70" w:rsidRDefault="00A1279B" w:rsidP="00D1275B">
            <w:pPr>
              <w:spacing w:after="0" w:line="240" w:lineRule="auto"/>
              <w:jc w:val="right"/>
              <w:rPr>
                <w:rFonts w:ascii="Times New Roman" w:hAnsi="Times New Roman"/>
                <w:sz w:val="24"/>
                <w:szCs w:val="24"/>
              </w:rPr>
            </w:pPr>
            <w:r>
              <w:rPr>
                <w:rFonts w:ascii="Times New Roman" w:hAnsi="Times New Roman"/>
                <w:sz w:val="24"/>
                <w:szCs w:val="24"/>
              </w:rPr>
              <w:t>1,345</w:t>
            </w:r>
          </w:p>
        </w:tc>
      </w:tr>
      <w:tr w:rsidR="0092596C" w:rsidRPr="00E16E70" w:rsidTr="0092596C">
        <w:trPr>
          <w:trHeight w:val="295"/>
        </w:trPr>
        <w:tc>
          <w:tcPr>
            <w:tcW w:w="2679" w:type="dxa"/>
          </w:tcPr>
          <w:p w:rsidR="0092596C" w:rsidRPr="00E16E70" w:rsidRDefault="0092596C" w:rsidP="0092596C">
            <w:pPr>
              <w:spacing w:after="0" w:line="240" w:lineRule="auto"/>
              <w:jc w:val="center"/>
              <w:rPr>
                <w:rFonts w:ascii="Times New Roman" w:hAnsi="Times New Roman"/>
                <w:sz w:val="24"/>
                <w:szCs w:val="24"/>
              </w:rPr>
            </w:pPr>
            <w:r w:rsidRPr="00E16E70">
              <w:rPr>
                <w:rFonts w:ascii="Times New Roman" w:hAnsi="Times New Roman"/>
                <w:sz w:val="24"/>
                <w:szCs w:val="24"/>
              </w:rPr>
              <w:t>Annual Cost Burden ($)</w:t>
            </w:r>
          </w:p>
        </w:tc>
        <w:tc>
          <w:tcPr>
            <w:tcW w:w="1461" w:type="dxa"/>
            <w:vAlign w:val="center"/>
          </w:tcPr>
          <w:p w:rsidR="0092596C" w:rsidRPr="00E16E70" w:rsidRDefault="00A1279B" w:rsidP="0092596C">
            <w:pPr>
              <w:spacing w:after="0" w:line="240" w:lineRule="auto"/>
              <w:jc w:val="right"/>
              <w:rPr>
                <w:rFonts w:ascii="Times New Roman" w:hAnsi="Times New Roman"/>
                <w:sz w:val="24"/>
                <w:szCs w:val="24"/>
              </w:rPr>
            </w:pPr>
            <w:r>
              <w:rPr>
                <w:rFonts w:ascii="Times New Roman" w:hAnsi="Times New Roman"/>
                <w:sz w:val="24"/>
                <w:szCs w:val="24"/>
              </w:rPr>
              <w:t>-</w:t>
            </w:r>
          </w:p>
        </w:tc>
        <w:tc>
          <w:tcPr>
            <w:tcW w:w="1620" w:type="dxa"/>
            <w:vAlign w:val="center"/>
          </w:tcPr>
          <w:p w:rsidR="0092596C" w:rsidRPr="00E16E70" w:rsidRDefault="00A1279B" w:rsidP="0092596C">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rsidR="0092596C" w:rsidRPr="00E16E70" w:rsidRDefault="0092596C" w:rsidP="0092596C">
            <w:pPr>
              <w:spacing w:after="0" w:line="240" w:lineRule="auto"/>
              <w:jc w:val="right"/>
              <w:rPr>
                <w:rFonts w:ascii="Times New Roman" w:hAnsi="Times New Roman"/>
                <w:sz w:val="24"/>
                <w:szCs w:val="24"/>
              </w:rPr>
            </w:pPr>
            <w:r w:rsidRPr="00E16E70">
              <w:rPr>
                <w:rFonts w:ascii="Times New Roman" w:hAnsi="Times New Roman"/>
                <w:sz w:val="24"/>
                <w:szCs w:val="24"/>
              </w:rPr>
              <w:t>-</w:t>
            </w:r>
          </w:p>
        </w:tc>
        <w:tc>
          <w:tcPr>
            <w:tcW w:w="1800" w:type="dxa"/>
            <w:vAlign w:val="center"/>
          </w:tcPr>
          <w:p w:rsidR="0092596C" w:rsidRPr="00E16E70" w:rsidRDefault="00D1275B" w:rsidP="0092596C">
            <w:pPr>
              <w:spacing w:after="0" w:line="240" w:lineRule="auto"/>
              <w:jc w:val="right"/>
              <w:rPr>
                <w:rFonts w:ascii="Times New Roman" w:hAnsi="Times New Roman"/>
                <w:sz w:val="24"/>
                <w:szCs w:val="24"/>
              </w:rPr>
            </w:pPr>
            <w:r w:rsidRPr="00E16E70">
              <w:rPr>
                <w:rFonts w:ascii="Times New Roman" w:hAnsi="Times New Roman"/>
                <w:sz w:val="24"/>
                <w:szCs w:val="24"/>
              </w:rPr>
              <w:t>-</w:t>
            </w:r>
          </w:p>
        </w:tc>
      </w:tr>
    </w:tbl>
    <w:p w:rsidR="0092596C" w:rsidRPr="00E16E70" w:rsidRDefault="0092596C" w:rsidP="0092596C">
      <w:pPr>
        <w:spacing w:after="0" w:line="240" w:lineRule="auto"/>
        <w:rPr>
          <w:rFonts w:ascii="Times New Roman" w:hAnsi="Times New Roman" w:cs="Times New Roman"/>
          <w:sz w:val="24"/>
          <w:szCs w:val="24"/>
        </w:rPr>
      </w:pPr>
    </w:p>
    <w:p w:rsidR="00970FE4" w:rsidRPr="00E16E70" w:rsidRDefault="00970FE4" w:rsidP="0092596C">
      <w:pPr>
        <w:spacing w:after="0" w:line="240" w:lineRule="auto"/>
        <w:rPr>
          <w:rFonts w:ascii="Times New Roman" w:hAnsi="Times New Roman" w:cs="Times New Roman"/>
          <w:sz w:val="24"/>
          <w:szCs w:val="24"/>
        </w:rPr>
      </w:pPr>
    </w:p>
    <w:p w:rsidR="00A276F5" w:rsidRPr="00E16E70"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TIME SCHEDULE FOR PUBLICATION OF DATA</w:t>
      </w:r>
    </w:p>
    <w:p w:rsidR="00826750" w:rsidRPr="00E16E70" w:rsidRDefault="00826750" w:rsidP="0092596C">
      <w:pPr>
        <w:spacing w:after="0" w:line="240" w:lineRule="auto"/>
        <w:rPr>
          <w:rFonts w:ascii="Times New Roman" w:hAnsi="Times New Roman" w:cs="Times New Roman"/>
          <w:sz w:val="24"/>
          <w:szCs w:val="24"/>
        </w:rPr>
      </w:pPr>
    </w:p>
    <w:p w:rsidR="00414F32" w:rsidRPr="00E16E70" w:rsidRDefault="00826750" w:rsidP="0092596C">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There are no data publications as part of this collection</w:t>
      </w:r>
    </w:p>
    <w:p w:rsidR="00414F32" w:rsidRPr="00E16E70" w:rsidRDefault="00414F32" w:rsidP="0092596C">
      <w:pPr>
        <w:spacing w:after="0" w:line="240" w:lineRule="auto"/>
        <w:rPr>
          <w:rFonts w:ascii="Times New Roman" w:hAnsi="Times New Roman" w:cs="Times New Roman"/>
          <w:sz w:val="24"/>
          <w:szCs w:val="24"/>
        </w:rPr>
      </w:pPr>
    </w:p>
    <w:p w:rsidR="00414F32" w:rsidRPr="00E16E70"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DISPLAY OF EXPIRATION DATE</w:t>
      </w:r>
    </w:p>
    <w:p w:rsidR="00414F32" w:rsidRPr="00E16E70" w:rsidRDefault="00414F32" w:rsidP="0092596C">
      <w:pPr>
        <w:spacing w:after="0" w:line="240" w:lineRule="auto"/>
        <w:rPr>
          <w:rFonts w:ascii="Times New Roman" w:hAnsi="Times New Roman" w:cs="Times New Roman"/>
          <w:sz w:val="24"/>
          <w:szCs w:val="24"/>
        </w:rPr>
      </w:pPr>
    </w:p>
    <w:p w:rsidR="00B16372" w:rsidRPr="00E16E70" w:rsidRDefault="00B16372" w:rsidP="0092596C">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It is not appropriate to display the expiration date because the information is not collected on a preformatted form or in any format that would allow for such a display.</w:t>
      </w:r>
    </w:p>
    <w:p w:rsidR="00414F32" w:rsidRPr="00E16E70" w:rsidRDefault="00414F32" w:rsidP="0092596C">
      <w:pPr>
        <w:spacing w:after="0" w:line="240" w:lineRule="auto"/>
        <w:rPr>
          <w:rFonts w:ascii="Times New Roman" w:hAnsi="Times New Roman" w:cs="Times New Roman"/>
          <w:sz w:val="24"/>
          <w:szCs w:val="24"/>
        </w:rPr>
      </w:pPr>
    </w:p>
    <w:p w:rsidR="00414F32" w:rsidRPr="00E16E70"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E16E70">
        <w:rPr>
          <w:rFonts w:ascii="Times New Roman" w:hAnsi="Times New Roman" w:cs="Times New Roman"/>
          <w:b/>
          <w:sz w:val="24"/>
          <w:szCs w:val="24"/>
        </w:rPr>
        <w:t>EXCEPTIONS TO THE CERTIFICATION STATEMENT</w:t>
      </w:r>
    </w:p>
    <w:p w:rsidR="0057700F" w:rsidRPr="00E16E70" w:rsidRDefault="0057700F" w:rsidP="0092596C">
      <w:pPr>
        <w:spacing w:after="0" w:line="240" w:lineRule="auto"/>
        <w:rPr>
          <w:rFonts w:ascii="Times New Roman" w:hAnsi="Times New Roman" w:cs="Times New Roman"/>
          <w:b/>
          <w:sz w:val="24"/>
          <w:szCs w:val="24"/>
        </w:rPr>
      </w:pPr>
    </w:p>
    <w:p w:rsidR="00B16372" w:rsidRPr="00E16E70" w:rsidRDefault="00B16372" w:rsidP="0092596C">
      <w:pPr>
        <w:spacing w:after="0" w:line="240" w:lineRule="auto"/>
        <w:rPr>
          <w:rFonts w:ascii="Times New Roman" w:hAnsi="Times New Roman" w:cs="Times New Roman"/>
          <w:b/>
          <w:sz w:val="24"/>
          <w:szCs w:val="24"/>
        </w:rPr>
      </w:pPr>
      <w:r w:rsidRPr="00E16E70">
        <w:rPr>
          <w:rFonts w:ascii="Times New Roman" w:eastAsia="Calibri" w:hAnsi="Times New Roman" w:cs="Times New Roman"/>
          <w:sz w:val="24"/>
          <w:szCs w:val="24"/>
        </w:rPr>
        <w:t>The Commission does not use statistical methods for this collection.  Therefore the Commission does not certify that the collection uses statistical methods.</w:t>
      </w:r>
    </w:p>
    <w:p w:rsidR="00970FE4" w:rsidRPr="00E16E70" w:rsidRDefault="00970FE4" w:rsidP="0092596C">
      <w:pPr>
        <w:spacing w:after="0" w:line="240" w:lineRule="auto"/>
        <w:rPr>
          <w:rFonts w:ascii="Times New Roman" w:hAnsi="Times New Roman" w:cs="Times New Roman"/>
          <w:sz w:val="24"/>
          <w:szCs w:val="24"/>
        </w:rPr>
      </w:pPr>
    </w:p>
    <w:p w:rsidR="00414F32" w:rsidRPr="00E16E70" w:rsidRDefault="00414F32" w:rsidP="0092596C">
      <w:pPr>
        <w:spacing w:after="0" w:line="240" w:lineRule="auto"/>
        <w:rPr>
          <w:rFonts w:ascii="Times New Roman" w:hAnsi="Times New Roman" w:cs="Times New Roman"/>
          <w:sz w:val="24"/>
          <w:szCs w:val="24"/>
        </w:rPr>
      </w:pPr>
    </w:p>
    <w:sectPr w:rsidR="00414F32" w:rsidRPr="00E16E7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07F" w:rsidRDefault="00E3607F" w:rsidP="00FD66F1">
      <w:pPr>
        <w:spacing w:after="0" w:line="240" w:lineRule="auto"/>
      </w:pPr>
      <w:r>
        <w:separator/>
      </w:r>
    </w:p>
  </w:endnote>
  <w:endnote w:type="continuationSeparator" w:id="0">
    <w:p w:rsidR="00E3607F" w:rsidRDefault="00E3607F"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197" w:rsidRDefault="005031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rsidR="00C60EDC" w:rsidRPr="0052587A" w:rsidRDefault="00C60EDC">
        <w:pPr>
          <w:pStyle w:val="Footer"/>
          <w:jc w:val="right"/>
          <w:rPr>
            <w:rFonts w:ascii="Times New Roman" w:hAnsi="Times New Roman" w:cs="Times New Roman"/>
          </w:rPr>
        </w:pPr>
        <w:r w:rsidRPr="0052587A">
          <w:rPr>
            <w:rFonts w:ascii="Times New Roman" w:hAnsi="Times New Roman" w:cs="Times New Roman"/>
          </w:rPr>
          <w:fldChar w:fldCharType="begin"/>
        </w:r>
        <w:r w:rsidRPr="0052587A">
          <w:rPr>
            <w:rFonts w:ascii="Times New Roman" w:hAnsi="Times New Roman" w:cs="Times New Roman"/>
          </w:rPr>
          <w:instrText xml:space="preserve"> PAGE   \* MERGEFORMAT </w:instrText>
        </w:r>
        <w:r w:rsidRPr="0052587A">
          <w:rPr>
            <w:rFonts w:ascii="Times New Roman" w:hAnsi="Times New Roman" w:cs="Times New Roman"/>
          </w:rPr>
          <w:fldChar w:fldCharType="separate"/>
        </w:r>
        <w:r w:rsidR="00D663D5">
          <w:rPr>
            <w:rFonts w:ascii="Times New Roman" w:hAnsi="Times New Roman" w:cs="Times New Roman"/>
            <w:noProof/>
          </w:rPr>
          <w:t>1</w:t>
        </w:r>
        <w:r w:rsidRPr="0052587A">
          <w:rPr>
            <w:rFonts w:ascii="Times New Roman" w:hAnsi="Times New Roman" w:cs="Times New Roman"/>
            <w:noProof/>
          </w:rPr>
          <w:fldChar w:fldCharType="end"/>
        </w:r>
      </w:p>
    </w:sdtContent>
  </w:sdt>
  <w:p w:rsidR="00C60EDC" w:rsidRDefault="00C60E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197" w:rsidRDefault="00503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07F" w:rsidRDefault="00E3607F" w:rsidP="00FD66F1">
      <w:pPr>
        <w:spacing w:after="0" w:line="240" w:lineRule="auto"/>
      </w:pPr>
      <w:r>
        <w:separator/>
      </w:r>
    </w:p>
  </w:footnote>
  <w:footnote w:type="continuationSeparator" w:id="0">
    <w:p w:rsidR="00E3607F" w:rsidRDefault="00E3607F" w:rsidP="00FD66F1">
      <w:pPr>
        <w:spacing w:after="0" w:line="240" w:lineRule="auto"/>
      </w:pPr>
      <w:r>
        <w:continuationSeparator/>
      </w:r>
    </w:p>
  </w:footnote>
  <w:footnote w:id="1">
    <w:p w:rsidR="00A03493" w:rsidRPr="005B24AF" w:rsidRDefault="00A03493" w:rsidP="005B24AF">
      <w:pPr>
        <w:pStyle w:val="FootnoteText"/>
        <w:ind w:firstLine="720"/>
        <w:rPr>
          <w:sz w:val="24"/>
          <w:szCs w:val="24"/>
        </w:rPr>
      </w:pPr>
      <w:r w:rsidRPr="00D663D5">
        <w:rPr>
          <w:rStyle w:val="FootnoteReference"/>
          <w:b/>
          <w:sz w:val="24"/>
          <w:szCs w:val="24"/>
          <w:vertAlign w:val="superscript"/>
        </w:rPr>
        <w:footnoteRef/>
      </w:r>
      <w:r w:rsidRPr="005B24AF">
        <w:rPr>
          <w:sz w:val="24"/>
          <w:szCs w:val="24"/>
          <w:vertAlign w:val="superscript"/>
        </w:rPr>
        <w:t xml:space="preserve"> </w:t>
      </w:r>
      <w:r w:rsidRPr="005B24AF">
        <w:rPr>
          <w:sz w:val="24"/>
          <w:szCs w:val="24"/>
        </w:rPr>
        <w:t xml:space="preserve">Note that in the NOPR, the </w:t>
      </w:r>
      <w:r w:rsidR="00CF458F">
        <w:rPr>
          <w:sz w:val="24"/>
          <w:szCs w:val="24"/>
        </w:rPr>
        <w:t xml:space="preserve">associated </w:t>
      </w:r>
      <w:r w:rsidRPr="005B24AF">
        <w:rPr>
          <w:sz w:val="24"/>
          <w:szCs w:val="24"/>
        </w:rPr>
        <w:t>collection is listed as FERC-725A</w:t>
      </w:r>
      <w:r w:rsidR="00CF458F">
        <w:rPr>
          <w:sz w:val="24"/>
          <w:szCs w:val="24"/>
        </w:rPr>
        <w:t xml:space="preserve"> </w:t>
      </w:r>
      <w:r w:rsidR="00CF458F" w:rsidRPr="00CF458F">
        <w:rPr>
          <w:sz w:val="24"/>
          <w:szCs w:val="24"/>
        </w:rPr>
        <w:t>(OMB Control No. 1902-0244)</w:t>
      </w:r>
      <w:r w:rsidR="00CF458F">
        <w:rPr>
          <w:sz w:val="24"/>
          <w:szCs w:val="24"/>
        </w:rPr>
        <w:t>.  H</w:t>
      </w:r>
      <w:r w:rsidRPr="005B24AF">
        <w:rPr>
          <w:sz w:val="24"/>
          <w:szCs w:val="24"/>
        </w:rPr>
        <w:t xml:space="preserve">owever it is being </w:t>
      </w:r>
      <w:r>
        <w:rPr>
          <w:sz w:val="24"/>
          <w:szCs w:val="24"/>
        </w:rPr>
        <w:t>submitted under</w:t>
      </w:r>
      <w:r w:rsidRPr="005B24AF">
        <w:rPr>
          <w:sz w:val="24"/>
          <w:szCs w:val="24"/>
        </w:rPr>
        <w:t xml:space="preserve"> </w:t>
      </w:r>
      <w:r>
        <w:rPr>
          <w:sz w:val="24"/>
          <w:szCs w:val="24"/>
        </w:rPr>
        <w:t xml:space="preserve">new </w:t>
      </w:r>
      <w:r w:rsidRPr="005B24AF">
        <w:rPr>
          <w:sz w:val="24"/>
          <w:szCs w:val="24"/>
        </w:rPr>
        <w:t>FERC-725M</w:t>
      </w:r>
      <w:r w:rsidR="00CF458F">
        <w:rPr>
          <w:sz w:val="24"/>
          <w:szCs w:val="24"/>
        </w:rPr>
        <w:t xml:space="preserve"> instead</w:t>
      </w:r>
      <w:r w:rsidRPr="005B24AF">
        <w:rPr>
          <w:sz w:val="24"/>
          <w:szCs w:val="24"/>
        </w:rPr>
        <w:t xml:space="preserve"> in order to be able to submit </w:t>
      </w:r>
      <w:r>
        <w:rPr>
          <w:sz w:val="24"/>
          <w:szCs w:val="24"/>
        </w:rPr>
        <w:t xml:space="preserve">the RM12-16 materials </w:t>
      </w:r>
      <w:r w:rsidRPr="005B24AF">
        <w:rPr>
          <w:sz w:val="24"/>
          <w:szCs w:val="24"/>
        </w:rPr>
        <w:t xml:space="preserve">to OMB </w:t>
      </w:r>
      <w:r>
        <w:rPr>
          <w:sz w:val="24"/>
          <w:szCs w:val="24"/>
        </w:rPr>
        <w:t xml:space="preserve">for PRA review </w:t>
      </w:r>
      <w:r w:rsidRPr="00A03493">
        <w:rPr>
          <w:sz w:val="24"/>
          <w:szCs w:val="24"/>
        </w:rPr>
        <w:t>while other FERC-725</w:t>
      </w:r>
      <w:r w:rsidRPr="005B24AF">
        <w:rPr>
          <w:sz w:val="24"/>
          <w:szCs w:val="24"/>
        </w:rPr>
        <w:t>A items are pending OMB review or planned for submittal.</w:t>
      </w:r>
    </w:p>
    <w:p w:rsidR="00847E3D" w:rsidRPr="005B24AF" w:rsidRDefault="00847E3D" w:rsidP="005B24AF">
      <w:pPr>
        <w:pStyle w:val="FootnoteText"/>
        <w:ind w:firstLine="720"/>
        <w:rPr>
          <w:sz w:val="24"/>
          <w:szCs w:val="24"/>
        </w:rPr>
      </w:pPr>
      <w:r w:rsidRPr="005B24AF">
        <w:rPr>
          <w:sz w:val="24"/>
          <w:szCs w:val="24"/>
        </w:rPr>
        <w:t xml:space="preserve">In addition, the standards being superseded </w:t>
      </w:r>
      <w:r w:rsidR="0079255D" w:rsidRPr="005B24AF">
        <w:rPr>
          <w:sz w:val="24"/>
          <w:szCs w:val="24"/>
        </w:rPr>
        <w:t xml:space="preserve">(and the associated burdens) </w:t>
      </w:r>
      <w:r w:rsidRPr="005B24AF">
        <w:rPr>
          <w:sz w:val="24"/>
          <w:szCs w:val="24"/>
        </w:rPr>
        <w:t>are included in FERC-725A.  If and when a final rule in RM12-16 is issued, the burden associated with the existing standards being superseded will be removed from FERC-725A</w:t>
      </w:r>
      <w:r w:rsidR="00D418BA" w:rsidRPr="005B24AF">
        <w:rPr>
          <w:sz w:val="24"/>
          <w:szCs w:val="24"/>
        </w:rPr>
        <w:t>, as appropriate</w:t>
      </w:r>
      <w:r w:rsidR="00D426EE" w:rsidRPr="005B24AF">
        <w:rPr>
          <w:sz w:val="24"/>
          <w:szCs w:val="24"/>
        </w:rPr>
        <w:t>, so it is not double counted</w:t>
      </w:r>
      <w:r w:rsidRPr="005B24AF">
        <w:rPr>
          <w:sz w:val="24"/>
          <w:szCs w:val="24"/>
        </w:rPr>
        <w:t>.</w:t>
      </w:r>
    </w:p>
  </w:footnote>
  <w:footnote w:id="2">
    <w:p w:rsidR="00C60EDC" w:rsidRPr="0052587A" w:rsidRDefault="00C60EDC" w:rsidP="00561A66">
      <w:pPr>
        <w:pStyle w:val="FootnoteText"/>
        <w:spacing w:after="220"/>
        <w:ind w:firstLine="720"/>
        <w:rPr>
          <w:sz w:val="24"/>
          <w:szCs w:val="24"/>
        </w:rPr>
      </w:pPr>
      <w:r w:rsidRPr="0052587A">
        <w:rPr>
          <w:rStyle w:val="FootnoteReference"/>
          <w:b/>
          <w:sz w:val="24"/>
          <w:szCs w:val="24"/>
          <w:vertAlign w:val="superscript"/>
        </w:rPr>
        <w:footnoteRef/>
      </w:r>
      <w:r w:rsidRPr="0052587A">
        <w:rPr>
          <w:sz w:val="24"/>
          <w:szCs w:val="24"/>
        </w:rPr>
        <w:t xml:space="preserve"> The Energy Policy Act of 2005, Pub. L. No 109-58, Title XII, Subtitle A, 119 Stat. 594, 941 (2005), codified at 16 U.S.C. 824o (2000).</w:t>
      </w:r>
    </w:p>
  </w:footnote>
  <w:footnote w:id="3">
    <w:p w:rsidR="004632BC" w:rsidRDefault="004632BC" w:rsidP="00D663D5">
      <w:pPr>
        <w:pStyle w:val="FootnoteText"/>
        <w:ind w:firstLine="720"/>
      </w:pPr>
      <w:r w:rsidRPr="00D663D5">
        <w:rPr>
          <w:rStyle w:val="FootnoteReference"/>
          <w:b/>
          <w:vertAlign w:val="superscript"/>
        </w:rPr>
        <w:footnoteRef/>
      </w:r>
      <w:r>
        <w:t xml:space="preserve"> </w:t>
      </w:r>
      <w:r>
        <w:rPr>
          <w:i/>
        </w:rPr>
        <w:t>See</w:t>
      </w:r>
      <w:r>
        <w:t xml:space="preserve"> NERC Petition at 4</w:t>
      </w:r>
    </w:p>
  </w:footnote>
  <w:footnote w:id="4">
    <w:p w:rsidR="00C60EDC" w:rsidRPr="00D663D5" w:rsidRDefault="00C60EDC" w:rsidP="00561A66">
      <w:pPr>
        <w:pStyle w:val="FootnoteText"/>
        <w:spacing w:after="220"/>
        <w:ind w:firstLine="720"/>
        <w:rPr>
          <w:sz w:val="24"/>
          <w:szCs w:val="24"/>
        </w:rPr>
      </w:pPr>
      <w:r w:rsidRPr="00D663D5">
        <w:rPr>
          <w:rStyle w:val="FootnoteReference"/>
          <w:b/>
          <w:sz w:val="24"/>
          <w:szCs w:val="24"/>
          <w:vertAlign w:val="superscript"/>
        </w:rPr>
        <w:footnoteRef/>
      </w:r>
      <w:r w:rsidRPr="00D663D5">
        <w:rPr>
          <w:sz w:val="24"/>
          <w:szCs w:val="24"/>
        </w:rPr>
        <w:t xml:space="preserve"> Details of the current ERO standard processes are available on the NERC website at </w:t>
      </w:r>
      <w:r w:rsidR="00CB4603" w:rsidRPr="00D663D5">
        <w:rPr>
          <w:sz w:val="24"/>
          <w:szCs w:val="24"/>
        </w:rPr>
        <w:t>http://www.nerc.com/FilingsOrders/us/RuleOfProcedureDL/Appendix_3A_StandardProcessesManual_20130626.pdf</w:t>
      </w:r>
      <w:r w:rsidRPr="00D663D5">
        <w:rPr>
          <w:sz w:val="24"/>
          <w:szCs w:val="24"/>
        </w:rPr>
        <w:t xml:space="preserve"> </w:t>
      </w:r>
    </w:p>
  </w:footnote>
  <w:footnote w:id="5">
    <w:p w:rsidR="00060FF7" w:rsidRPr="00D663D5" w:rsidRDefault="00060FF7" w:rsidP="00715FCF">
      <w:pPr>
        <w:pStyle w:val="FootnoteText"/>
        <w:ind w:firstLine="720"/>
        <w:rPr>
          <w:sz w:val="24"/>
          <w:szCs w:val="24"/>
        </w:rPr>
      </w:pPr>
      <w:r w:rsidRPr="00D663D5">
        <w:rPr>
          <w:rStyle w:val="FootnoteReference"/>
          <w:b/>
          <w:sz w:val="24"/>
          <w:szCs w:val="24"/>
          <w:vertAlign w:val="superscript"/>
        </w:rPr>
        <w:footnoteRef/>
      </w:r>
      <w:r w:rsidRPr="00D663D5">
        <w:rPr>
          <w:sz w:val="24"/>
          <w:szCs w:val="24"/>
        </w:rPr>
        <w:t xml:space="preserve"> </w:t>
      </w:r>
      <w:r w:rsidR="00715FCF" w:rsidRPr="00D663D5">
        <w:rPr>
          <w:sz w:val="24"/>
          <w:szCs w:val="24"/>
        </w:rPr>
        <w:t xml:space="preserve">For Reliability Standard FAC-008-3, OMB Control No. 1902-2044, the Commission estimated that </w:t>
      </w:r>
      <w:r w:rsidR="00CD7A92" w:rsidRPr="00D663D5">
        <w:rPr>
          <w:sz w:val="24"/>
          <w:szCs w:val="24"/>
        </w:rPr>
        <w:t>10</w:t>
      </w:r>
      <w:r w:rsidR="00BE63AB" w:rsidRPr="00D663D5">
        <w:rPr>
          <w:sz w:val="24"/>
          <w:szCs w:val="24"/>
        </w:rPr>
        <w:t xml:space="preserve"> </w:t>
      </w:r>
      <w:r w:rsidR="00332E2A" w:rsidRPr="00D663D5">
        <w:rPr>
          <w:sz w:val="24"/>
          <w:szCs w:val="24"/>
        </w:rPr>
        <w:t>percent of</w:t>
      </w:r>
      <w:r w:rsidR="00CD7A92" w:rsidRPr="00D663D5">
        <w:rPr>
          <w:sz w:val="24"/>
          <w:szCs w:val="24"/>
        </w:rPr>
        <w:t xml:space="preserve"> registered generator owners own facilities between the step-up transformer and the point of interconnection</w:t>
      </w:r>
      <w:r w:rsidR="00715FCF" w:rsidRPr="00D663D5">
        <w:rPr>
          <w:sz w:val="24"/>
          <w:szCs w:val="24"/>
        </w:rPr>
        <w:t xml:space="preserve">, and are not already registered as a transmission owner.  That ten percent estimate was not challenged.  </w:t>
      </w:r>
      <w:r w:rsidR="00BE63AB" w:rsidRPr="00D663D5">
        <w:rPr>
          <w:sz w:val="24"/>
          <w:szCs w:val="24"/>
        </w:rPr>
        <w:t>In this instance</w:t>
      </w:r>
      <w:r w:rsidR="00715FCF" w:rsidRPr="00D663D5">
        <w:rPr>
          <w:sz w:val="24"/>
          <w:szCs w:val="24"/>
        </w:rPr>
        <w:t>,</w:t>
      </w:r>
      <w:r w:rsidR="00BE63AB" w:rsidRPr="00D663D5">
        <w:rPr>
          <w:sz w:val="24"/>
          <w:szCs w:val="24"/>
        </w:rPr>
        <w:t xml:space="preserve"> for FAC-003-3, </w:t>
      </w:r>
      <w:r w:rsidR="000E4BF5" w:rsidRPr="00D663D5">
        <w:rPr>
          <w:sz w:val="24"/>
          <w:szCs w:val="24"/>
        </w:rPr>
        <w:t xml:space="preserve">the Commission has used that same ten percent figure </w:t>
      </w:r>
      <w:r w:rsidR="00715FCF" w:rsidRPr="00D663D5">
        <w:rPr>
          <w:sz w:val="24"/>
          <w:szCs w:val="24"/>
        </w:rPr>
        <w:t xml:space="preserve">even though the percentage of generators newly affected by FAC-003-3 will actually be </w:t>
      </w:r>
      <w:r w:rsidR="000E4BF5" w:rsidRPr="00D663D5">
        <w:rPr>
          <w:sz w:val="24"/>
          <w:szCs w:val="24"/>
        </w:rPr>
        <w:t xml:space="preserve">much smaller, </w:t>
      </w:r>
      <w:r w:rsidR="00715FCF" w:rsidRPr="00D663D5">
        <w:rPr>
          <w:sz w:val="24"/>
          <w:szCs w:val="24"/>
        </w:rPr>
        <w:t xml:space="preserve">because FAC-00303 applies only to those </w:t>
      </w:r>
      <w:r w:rsidR="00BE63AB" w:rsidRPr="00D663D5">
        <w:rPr>
          <w:sz w:val="24"/>
          <w:szCs w:val="24"/>
        </w:rPr>
        <w:t>generat</w:t>
      </w:r>
      <w:r w:rsidR="00715FCF" w:rsidRPr="00D663D5">
        <w:rPr>
          <w:sz w:val="24"/>
          <w:szCs w:val="24"/>
        </w:rPr>
        <w:t xml:space="preserve">ing facilities with </w:t>
      </w:r>
      <w:r w:rsidR="00BE63AB" w:rsidRPr="00D663D5">
        <w:rPr>
          <w:sz w:val="24"/>
          <w:szCs w:val="24"/>
        </w:rPr>
        <w:t>overhead lines that are greater than 200 kV or are part of an IROL or WECC Transfer Path, and that are either longer than one mile or without a clear sightline to the point of interconnection with the host transmission system</w:t>
      </w:r>
      <w:r w:rsidR="00715FCF" w:rsidRPr="00D663D5">
        <w:rPr>
          <w:sz w:val="24"/>
          <w:szCs w:val="24"/>
        </w:rPr>
        <w:t xml:space="preserve">.  Thus, the ten percent estimate is a conservative estimate as applied to FAC-003-3.  </w:t>
      </w:r>
    </w:p>
  </w:footnote>
  <w:footnote w:id="6">
    <w:p w:rsidR="00961139" w:rsidRPr="00D663D5" w:rsidRDefault="00961139" w:rsidP="00961139">
      <w:pPr>
        <w:pStyle w:val="FootnoteText"/>
        <w:ind w:firstLine="720"/>
        <w:rPr>
          <w:sz w:val="24"/>
          <w:szCs w:val="24"/>
        </w:rPr>
      </w:pPr>
      <w:r w:rsidRPr="00D663D5">
        <w:rPr>
          <w:rStyle w:val="FootnoteReference"/>
          <w:b/>
          <w:sz w:val="24"/>
          <w:szCs w:val="24"/>
          <w:vertAlign w:val="superscript"/>
        </w:rPr>
        <w:footnoteRef/>
      </w:r>
      <w:r w:rsidRPr="00D663D5">
        <w:rPr>
          <w:sz w:val="24"/>
          <w:szCs w:val="24"/>
        </w:rPr>
        <w:t xml:space="preserve"> GO = Generator Owner; RE = Regional Entity.  The respondents are generator owners, unless otherwise indicated.</w:t>
      </w:r>
    </w:p>
  </w:footnote>
  <w:footnote w:id="7">
    <w:p w:rsidR="00961139" w:rsidRPr="00D663D5" w:rsidRDefault="00961139" w:rsidP="00961139">
      <w:pPr>
        <w:pStyle w:val="FootnoteText"/>
        <w:ind w:firstLine="720"/>
        <w:rPr>
          <w:sz w:val="24"/>
          <w:szCs w:val="24"/>
        </w:rPr>
      </w:pPr>
      <w:r w:rsidRPr="00D663D5">
        <w:rPr>
          <w:rStyle w:val="FootnoteReference"/>
          <w:b/>
          <w:sz w:val="24"/>
          <w:szCs w:val="24"/>
          <w:vertAlign w:val="superscript"/>
        </w:rPr>
        <w:footnoteRef/>
      </w:r>
      <w:r w:rsidRPr="00D663D5">
        <w:rPr>
          <w:sz w:val="24"/>
          <w:szCs w:val="24"/>
        </w:rPr>
        <w:t xml:space="preserve"> The estimates for cost per hour are derived as follows:</w:t>
      </w:r>
    </w:p>
    <w:p w:rsidR="00961139" w:rsidRPr="00D663D5" w:rsidRDefault="00961139" w:rsidP="00A84D79">
      <w:pPr>
        <w:pStyle w:val="ListParagraph"/>
        <w:numPr>
          <w:ilvl w:val="0"/>
          <w:numId w:val="19"/>
        </w:numPr>
        <w:spacing w:after="0" w:line="240" w:lineRule="auto"/>
        <w:rPr>
          <w:rFonts w:ascii="Times New Roman" w:hAnsi="Times New Roman" w:cs="Times New Roman"/>
          <w:sz w:val="24"/>
          <w:szCs w:val="24"/>
        </w:rPr>
      </w:pPr>
      <w:r w:rsidRPr="00D663D5">
        <w:rPr>
          <w:rFonts w:ascii="Times New Roman" w:hAnsi="Times New Roman" w:cs="Times New Roman"/>
          <w:sz w:val="24"/>
          <w:szCs w:val="24"/>
        </w:rPr>
        <w:t>$52/hour,</w:t>
      </w:r>
      <w:r w:rsidR="00A84D79" w:rsidRPr="00D663D5">
        <w:rPr>
          <w:rFonts w:ascii="Times New Roman" w:hAnsi="Times New Roman" w:cs="Times New Roman"/>
          <w:sz w:val="24"/>
          <w:szCs w:val="24"/>
        </w:rPr>
        <w:t xml:space="preserve"> </w:t>
      </w:r>
      <w:r w:rsidRPr="00D663D5">
        <w:rPr>
          <w:rFonts w:ascii="Times New Roman" w:hAnsi="Times New Roman" w:cs="Times New Roman"/>
          <w:sz w:val="24"/>
          <w:szCs w:val="24"/>
        </w:rPr>
        <w:t xml:space="preserve">the average of the salary plus benefits for an engineer and a forester, from Bureau of Labor and Statistics at </w:t>
      </w:r>
      <w:hyperlink r:id="rId1" w:history="1">
        <w:r w:rsidRPr="00D663D5">
          <w:rPr>
            <w:rStyle w:val="Hyperlink"/>
            <w:rFonts w:ascii="Times New Roman" w:hAnsi="Times New Roman"/>
            <w:sz w:val="24"/>
            <w:szCs w:val="24"/>
          </w:rPr>
          <w:t>http://bls.gov/oes/current/naics3_221000.htm</w:t>
        </w:r>
      </w:hyperlink>
    </w:p>
    <w:p w:rsidR="00961139" w:rsidRPr="0052587A" w:rsidRDefault="00961139" w:rsidP="00A84D79">
      <w:pPr>
        <w:pStyle w:val="ListParagraph"/>
        <w:numPr>
          <w:ilvl w:val="0"/>
          <w:numId w:val="19"/>
        </w:numPr>
        <w:spacing w:after="0" w:line="240" w:lineRule="auto"/>
        <w:rPr>
          <w:rFonts w:ascii="Times New Roman" w:hAnsi="Times New Roman" w:cs="Times New Roman"/>
          <w:sz w:val="24"/>
          <w:szCs w:val="24"/>
        </w:rPr>
      </w:pPr>
      <w:r w:rsidRPr="0052587A">
        <w:rPr>
          <w:rFonts w:ascii="Times New Roman" w:hAnsi="Times New Roman" w:cs="Times New Roman"/>
          <w:sz w:val="24"/>
          <w:szCs w:val="24"/>
        </w:rPr>
        <w:t xml:space="preserve">$70/hour, the average of the salary plus benefits for a manager and an engineer, from Bureau of Labor and Statistics at </w:t>
      </w:r>
      <w:hyperlink r:id="rId2" w:tooltip="blocked::http://bls.gov/oes/current/naics3_221000.htm" w:history="1">
        <w:r w:rsidRPr="0052587A">
          <w:rPr>
            <w:rStyle w:val="Hyperlink"/>
            <w:rFonts w:ascii="Times New Roman" w:hAnsi="Times New Roman"/>
            <w:sz w:val="24"/>
            <w:szCs w:val="24"/>
          </w:rPr>
          <w:t>http://bls.gov/oes/current/naics3_221000.htm</w:t>
        </w:r>
      </w:hyperlink>
    </w:p>
    <w:p w:rsidR="00961139" w:rsidRPr="0052587A" w:rsidRDefault="00961139" w:rsidP="00A84D79">
      <w:pPr>
        <w:pStyle w:val="ListParagraph"/>
        <w:numPr>
          <w:ilvl w:val="0"/>
          <w:numId w:val="19"/>
        </w:numPr>
        <w:spacing w:after="0" w:line="240" w:lineRule="auto"/>
        <w:rPr>
          <w:rFonts w:ascii="Times New Roman" w:hAnsi="Times New Roman" w:cs="Times New Roman"/>
          <w:sz w:val="24"/>
          <w:szCs w:val="24"/>
        </w:rPr>
      </w:pPr>
      <w:r w:rsidRPr="0052587A">
        <w:rPr>
          <w:rFonts w:ascii="Times New Roman" w:hAnsi="Times New Roman" w:cs="Times New Roman"/>
          <w:sz w:val="24"/>
          <w:szCs w:val="24"/>
        </w:rPr>
        <w:t>$28/hour, based on a Commission staff study of record retention burden cost.</w:t>
      </w:r>
    </w:p>
  </w:footnote>
  <w:footnote w:id="8">
    <w:p w:rsidR="00961139" w:rsidRPr="00D663D5" w:rsidRDefault="00961139" w:rsidP="00961139">
      <w:pPr>
        <w:pStyle w:val="FootnoteText"/>
        <w:ind w:firstLine="720"/>
        <w:rPr>
          <w:sz w:val="24"/>
          <w:szCs w:val="24"/>
        </w:rPr>
      </w:pPr>
      <w:r w:rsidRPr="00D663D5">
        <w:rPr>
          <w:rStyle w:val="FootnoteReference"/>
          <w:b/>
          <w:sz w:val="24"/>
          <w:szCs w:val="24"/>
          <w:vertAlign w:val="superscript"/>
        </w:rPr>
        <w:footnoteRef/>
      </w:r>
      <w:r w:rsidRPr="00D663D5">
        <w:rPr>
          <w:sz w:val="24"/>
          <w:szCs w:val="24"/>
        </w:rPr>
        <w:t xml:space="preserve"> Number of respondents includes 89 generator owners, who may be subject to the recordkeeping and reporting burdens of FAC-003 for the first time, and 8 Regional Entities, who may have a slight increase in recordkeeping and reporting requirements due to the increase in entities covered by the vegetation management standard.</w:t>
      </w:r>
    </w:p>
  </w:footnote>
  <w:footnote w:id="9">
    <w:p w:rsidR="00090614" w:rsidRPr="00D663D5" w:rsidRDefault="00090614" w:rsidP="00715FCF">
      <w:pPr>
        <w:pStyle w:val="FootnoteText"/>
        <w:ind w:firstLine="720"/>
        <w:rPr>
          <w:sz w:val="24"/>
          <w:szCs w:val="24"/>
        </w:rPr>
      </w:pPr>
      <w:r w:rsidRPr="00D663D5">
        <w:rPr>
          <w:rStyle w:val="FootnoteReference"/>
          <w:b/>
          <w:sz w:val="24"/>
          <w:szCs w:val="24"/>
          <w:vertAlign w:val="superscript"/>
        </w:rPr>
        <w:footnoteRef/>
      </w:r>
      <w:r w:rsidRPr="00D663D5">
        <w:rPr>
          <w:sz w:val="24"/>
          <w:szCs w:val="24"/>
          <w:vertAlign w:val="superscript"/>
        </w:rPr>
        <w:t xml:space="preserve"> </w:t>
      </w:r>
      <w:r w:rsidRPr="00D663D5">
        <w:rPr>
          <w:sz w:val="24"/>
          <w:szCs w:val="24"/>
        </w:rPr>
        <w:t xml:space="preserve">This estimate is based on the slight possibility that a third party will request to interconnect to a generator interconnection facility in the future.  To date, only two generator owners have experienced such a request, Cedar Creek Wind Energy, LLC and Milford Wind Corridor Phase I, LLC, and both have subsequently been registered as transmission owners and transmission operators.  See </w:t>
      </w:r>
      <w:r w:rsidR="000E4BF5" w:rsidRPr="00D663D5">
        <w:rPr>
          <w:i/>
          <w:iCs/>
          <w:sz w:val="24"/>
          <w:szCs w:val="24"/>
        </w:rPr>
        <w:t>Cedar Creek Wind Energy, LLC</w:t>
      </w:r>
      <w:r w:rsidR="000E4BF5" w:rsidRPr="00D663D5">
        <w:rPr>
          <w:sz w:val="24"/>
          <w:szCs w:val="24"/>
        </w:rPr>
        <w:t xml:space="preserve">, 135 FERC ¶ 61,241, </w:t>
      </w:r>
      <w:r w:rsidR="000E4BF5" w:rsidRPr="00D663D5">
        <w:rPr>
          <w:i/>
          <w:sz w:val="24"/>
          <w:szCs w:val="24"/>
        </w:rPr>
        <w:t>order on reh’g and clarification</w:t>
      </w:r>
      <w:r w:rsidR="000E4BF5" w:rsidRPr="00D663D5">
        <w:rPr>
          <w:sz w:val="24"/>
          <w:szCs w:val="24"/>
        </w:rPr>
        <w:t>, 137 FERC ¶ 61,141 (November 17 Order</w:t>
      </w:r>
      <w:proofErr w:type="gramStart"/>
      <w:r w:rsidR="000E4BF5" w:rsidRPr="00D663D5">
        <w:rPr>
          <w:sz w:val="24"/>
          <w:szCs w:val="24"/>
        </w:rPr>
        <w:t>)(</w:t>
      </w:r>
      <w:proofErr w:type="gramEnd"/>
      <w:r w:rsidR="000E4BF5" w:rsidRPr="00D663D5">
        <w:rPr>
          <w:sz w:val="24"/>
          <w:szCs w:val="24"/>
        </w:rPr>
        <w:t xml:space="preserve">2011).  </w:t>
      </w:r>
    </w:p>
  </w:footnote>
  <w:footnote w:id="10">
    <w:p w:rsidR="00961139" w:rsidRPr="0052587A" w:rsidRDefault="00961139" w:rsidP="00961139">
      <w:pPr>
        <w:pStyle w:val="FootnoteText"/>
        <w:ind w:firstLine="720"/>
        <w:rPr>
          <w:sz w:val="24"/>
          <w:szCs w:val="24"/>
        </w:rPr>
      </w:pPr>
      <w:r w:rsidRPr="00D663D5">
        <w:rPr>
          <w:rStyle w:val="FootnoteReference"/>
          <w:b/>
          <w:sz w:val="24"/>
          <w:szCs w:val="24"/>
          <w:vertAlign w:val="superscript"/>
        </w:rPr>
        <w:footnoteRef/>
      </w:r>
      <w:r w:rsidRPr="00D663D5">
        <w:rPr>
          <w:sz w:val="24"/>
          <w:szCs w:val="24"/>
        </w:rPr>
        <w:t xml:space="preserve"> Regional Entities may have a de </w:t>
      </w:r>
      <w:proofErr w:type="spellStart"/>
      <w:r w:rsidRPr="00D663D5">
        <w:rPr>
          <w:sz w:val="24"/>
          <w:szCs w:val="24"/>
        </w:rPr>
        <w:t>minimis</w:t>
      </w:r>
      <w:proofErr w:type="spellEnd"/>
      <w:r w:rsidRPr="00D663D5">
        <w:rPr>
          <w:sz w:val="24"/>
          <w:szCs w:val="24"/>
        </w:rPr>
        <w:t xml:space="preserve"> increase in burden due to the increase in the number of entities potentially subject to the revised standard; that burden has been rolled into the estimated Average Burden Hours per Response.</w:t>
      </w:r>
      <w:r w:rsidRPr="0052587A">
        <w:rPr>
          <w:sz w:val="24"/>
          <w:szCs w:val="24"/>
        </w:rPr>
        <w:t xml:space="preserve">  </w:t>
      </w:r>
    </w:p>
  </w:footnote>
  <w:footnote w:id="11">
    <w:p w:rsidR="00C60EDC" w:rsidRPr="0052587A" w:rsidRDefault="00C60EDC" w:rsidP="00D663D5">
      <w:pPr>
        <w:pStyle w:val="FootnoteText"/>
        <w:ind w:firstLine="720"/>
        <w:rPr>
          <w:sz w:val="24"/>
          <w:szCs w:val="24"/>
        </w:rPr>
      </w:pPr>
      <w:r w:rsidRPr="0052587A">
        <w:rPr>
          <w:rStyle w:val="FootnoteReference"/>
          <w:b/>
          <w:sz w:val="24"/>
          <w:szCs w:val="24"/>
          <w:vertAlign w:val="superscript"/>
        </w:rPr>
        <w:footnoteRef/>
      </w:r>
      <w:r w:rsidRPr="0052587A">
        <w:rPr>
          <w:sz w:val="24"/>
          <w:szCs w:val="24"/>
        </w:rPr>
        <w:t xml:space="preserve"> This is based on an estimate of work done by the Information Clearance team </w:t>
      </w:r>
      <w:r w:rsidR="00136886">
        <w:rPr>
          <w:sz w:val="24"/>
          <w:szCs w:val="24"/>
        </w:rPr>
        <w:t>and</w:t>
      </w:r>
      <w:r w:rsidRPr="0052587A">
        <w:rPr>
          <w:sz w:val="24"/>
          <w:szCs w:val="24"/>
        </w:rPr>
        <w:t xml:space="preserve"> other FERC staff as well as a non-labor cost related to publishing material in the Federal Register.  </w:t>
      </w:r>
    </w:p>
  </w:footnote>
  <w:footnote w:id="12">
    <w:p w:rsidR="00A1279B" w:rsidRPr="005B24AF" w:rsidRDefault="00A1279B" w:rsidP="005B24AF">
      <w:pPr>
        <w:pStyle w:val="FootnoteText"/>
        <w:ind w:firstLine="720"/>
        <w:rPr>
          <w:sz w:val="24"/>
          <w:szCs w:val="24"/>
        </w:rPr>
      </w:pPr>
      <w:r w:rsidRPr="00D663D5">
        <w:rPr>
          <w:rStyle w:val="FootnoteReference"/>
          <w:b/>
          <w:sz w:val="24"/>
          <w:szCs w:val="24"/>
          <w:vertAlign w:val="superscript"/>
        </w:rPr>
        <w:footnoteRef/>
      </w:r>
      <w:r w:rsidRPr="005B24AF">
        <w:rPr>
          <w:sz w:val="24"/>
          <w:szCs w:val="24"/>
        </w:rPr>
        <w:t xml:space="preserve"> </w:t>
      </w:r>
      <w:r w:rsidRPr="005B24AF">
        <w:rPr>
          <w:i/>
          <w:sz w:val="24"/>
          <w:szCs w:val="24"/>
        </w:rPr>
        <w:t>See</w:t>
      </w:r>
      <w:r w:rsidRPr="005B24AF">
        <w:rPr>
          <w:sz w:val="24"/>
          <w:szCs w:val="24"/>
        </w:rPr>
        <w:t xml:space="preserve"> NERC Petition at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197" w:rsidRDefault="005031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EDC" w:rsidRDefault="00E75112" w:rsidP="00B3407F">
    <w:pPr>
      <w:pStyle w:val="Header"/>
      <w:rPr>
        <w:rFonts w:ascii="Times New Roman" w:hAnsi="Times New Roman"/>
        <w:sz w:val="24"/>
        <w:szCs w:val="24"/>
      </w:rPr>
    </w:pPr>
    <w:r>
      <w:rPr>
        <w:rFonts w:ascii="Times New Roman" w:hAnsi="Times New Roman"/>
        <w:sz w:val="24"/>
        <w:szCs w:val="24"/>
      </w:rPr>
      <w:t>FERC-725M</w:t>
    </w:r>
    <w:r w:rsidR="00C60EDC">
      <w:rPr>
        <w:rFonts w:ascii="Times New Roman" w:hAnsi="Times New Roman"/>
        <w:sz w:val="24"/>
        <w:szCs w:val="24"/>
      </w:rPr>
      <w:t xml:space="preserve"> (OMB Control No.</w:t>
    </w:r>
    <w:r w:rsidR="00B5067C">
      <w:rPr>
        <w:rFonts w:ascii="Times New Roman" w:hAnsi="Times New Roman"/>
        <w:sz w:val="24"/>
        <w:szCs w:val="24"/>
      </w:rPr>
      <w:t>:</w:t>
    </w:r>
    <w:r w:rsidR="00C60EDC">
      <w:rPr>
        <w:rFonts w:ascii="Times New Roman" w:hAnsi="Times New Roman"/>
        <w:sz w:val="24"/>
        <w:szCs w:val="24"/>
      </w:rPr>
      <w:t xml:space="preserve"> </w:t>
    </w:r>
    <w:r>
      <w:rPr>
        <w:rFonts w:ascii="Times New Roman" w:hAnsi="Times New Roman"/>
        <w:sz w:val="24"/>
        <w:szCs w:val="24"/>
      </w:rPr>
      <w:t>To Be Determined</w:t>
    </w:r>
    <w:r w:rsidR="00C60EDC">
      <w:rPr>
        <w:rFonts w:ascii="Times New Roman" w:hAnsi="Times New Roman"/>
        <w:sz w:val="24"/>
        <w:szCs w:val="24"/>
      </w:rPr>
      <w:t xml:space="preserve">) </w:t>
    </w:r>
  </w:p>
  <w:p w:rsidR="00C60EDC" w:rsidRDefault="00C60EDC" w:rsidP="00B3407F">
    <w:pPr>
      <w:pStyle w:val="Header"/>
      <w:rPr>
        <w:rFonts w:ascii="Times New Roman" w:hAnsi="Times New Roman"/>
        <w:sz w:val="24"/>
        <w:szCs w:val="24"/>
      </w:rPr>
    </w:pPr>
    <w:r>
      <w:rPr>
        <w:rFonts w:ascii="Times New Roman" w:hAnsi="Times New Roman"/>
        <w:sz w:val="24"/>
        <w:szCs w:val="24"/>
      </w:rPr>
      <w:t xml:space="preserve">Docket No. </w:t>
    </w:r>
    <w:r w:rsidR="0098205C">
      <w:rPr>
        <w:rFonts w:ascii="Times New Roman" w:hAnsi="Times New Roman"/>
        <w:sz w:val="24"/>
        <w:szCs w:val="24"/>
      </w:rPr>
      <w:t>RM12-16</w:t>
    </w:r>
    <w:r w:rsidR="007B5073">
      <w:rPr>
        <w:rFonts w:ascii="Times New Roman" w:hAnsi="Times New Roman"/>
        <w:sz w:val="24"/>
        <w:szCs w:val="24"/>
      </w:rPr>
      <w:t>,</w:t>
    </w:r>
    <w:r>
      <w:rPr>
        <w:rFonts w:ascii="Times New Roman" w:hAnsi="Times New Roman"/>
        <w:sz w:val="24"/>
        <w:szCs w:val="24"/>
      </w:rPr>
      <w:t xml:space="preserve"> </w:t>
    </w:r>
    <w:r w:rsidRPr="00EC63CA">
      <w:rPr>
        <w:rFonts w:ascii="Times New Roman" w:hAnsi="Times New Roman"/>
        <w:sz w:val="24"/>
        <w:szCs w:val="24"/>
      </w:rPr>
      <w:t>Proposed Rule</w:t>
    </w:r>
    <w:r w:rsidR="00EC63CA" w:rsidRPr="00EC63CA">
      <w:rPr>
        <w:rFonts w:ascii="Times New Roman" w:hAnsi="Times New Roman"/>
        <w:sz w:val="24"/>
        <w:szCs w:val="24"/>
      </w:rPr>
      <w:t xml:space="preserve"> issued </w:t>
    </w:r>
    <w:r w:rsidR="007B5073">
      <w:rPr>
        <w:rFonts w:ascii="Times New Roman" w:hAnsi="Times New Roman"/>
        <w:sz w:val="24"/>
        <w:szCs w:val="24"/>
      </w:rPr>
      <w:t>4/</w:t>
    </w:r>
    <w:r w:rsidRPr="00EC63CA">
      <w:rPr>
        <w:rFonts w:ascii="Times New Roman" w:hAnsi="Times New Roman"/>
        <w:sz w:val="24"/>
        <w:szCs w:val="24"/>
      </w:rPr>
      <w:t>1</w:t>
    </w:r>
    <w:r w:rsidR="00EC63CA" w:rsidRPr="00EC63CA">
      <w:rPr>
        <w:rFonts w:ascii="Times New Roman" w:hAnsi="Times New Roman"/>
        <w:sz w:val="24"/>
        <w:szCs w:val="24"/>
      </w:rPr>
      <w:t>8</w:t>
    </w:r>
    <w:r w:rsidR="007B5073">
      <w:rPr>
        <w:rFonts w:ascii="Times New Roman" w:hAnsi="Times New Roman"/>
        <w:sz w:val="24"/>
        <w:szCs w:val="24"/>
      </w:rPr>
      <w:t>/</w:t>
    </w:r>
    <w:r w:rsidRPr="00EC63CA">
      <w:rPr>
        <w:rFonts w:ascii="Times New Roman" w:hAnsi="Times New Roman"/>
        <w:sz w:val="24"/>
        <w:szCs w:val="24"/>
      </w:rPr>
      <w:t>2013</w:t>
    </w:r>
    <w:r>
      <w:rPr>
        <w:rFonts w:ascii="Times New Roman" w:hAnsi="Times New Roman"/>
        <w:sz w:val="24"/>
        <w:szCs w:val="24"/>
      </w:rPr>
      <w:t xml:space="preserve"> </w:t>
    </w:r>
  </w:p>
  <w:p w:rsidR="00C60EDC" w:rsidRDefault="00C60EDC" w:rsidP="00B3407F">
    <w:pPr>
      <w:pStyle w:val="Header"/>
      <w:rPr>
        <w:rFonts w:ascii="Times New Roman" w:hAnsi="Times New Roman"/>
        <w:sz w:val="24"/>
        <w:szCs w:val="24"/>
      </w:rPr>
    </w:pPr>
    <w:r>
      <w:rPr>
        <w:rFonts w:ascii="Times New Roman" w:hAnsi="Times New Roman"/>
        <w:sz w:val="24"/>
        <w:szCs w:val="24"/>
      </w:rPr>
      <w:t xml:space="preserve">RIN: </w:t>
    </w:r>
    <w:r w:rsidRPr="00AB5EF8">
      <w:rPr>
        <w:rFonts w:ascii="Times New Roman" w:hAnsi="Times New Roman"/>
        <w:sz w:val="24"/>
        <w:szCs w:val="24"/>
      </w:rPr>
      <w:t>1902</w:t>
    </w:r>
    <w:r w:rsidR="00AB5EF8" w:rsidRPr="00AB5EF8">
      <w:rPr>
        <w:rFonts w:ascii="Times New Roman" w:hAnsi="Times New Roman"/>
        <w:sz w:val="24"/>
        <w:szCs w:val="24"/>
      </w:rPr>
      <w:t>-AE67</w:t>
    </w:r>
  </w:p>
  <w:p w:rsidR="00C60EDC" w:rsidRDefault="00C60EDC" w:rsidP="00B340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197" w:rsidRDefault="005031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893EE1"/>
    <w:multiLevelType w:val="hybridMultilevel"/>
    <w:tmpl w:val="FEB892D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8">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1"/>
  </w:num>
  <w:num w:numId="3">
    <w:abstractNumId w:val="14"/>
  </w:num>
  <w:num w:numId="4">
    <w:abstractNumId w:val="16"/>
  </w:num>
  <w:num w:numId="5">
    <w:abstractNumId w:val="18"/>
  </w:num>
  <w:num w:numId="6">
    <w:abstractNumId w:val="17"/>
  </w:num>
  <w:num w:numId="7">
    <w:abstractNumId w:val="10"/>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139C4"/>
    <w:rsid w:val="0002242D"/>
    <w:rsid w:val="000303AD"/>
    <w:rsid w:val="0003582A"/>
    <w:rsid w:val="00035845"/>
    <w:rsid w:val="00041D75"/>
    <w:rsid w:val="0004235F"/>
    <w:rsid w:val="00043272"/>
    <w:rsid w:val="000442F9"/>
    <w:rsid w:val="00060FF7"/>
    <w:rsid w:val="00090614"/>
    <w:rsid w:val="000B0C37"/>
    <w:rsid w:val="000E0E62"/>
    <w:rsid w:val="000E4BF5"/>
    <w:rsid w:val="00131E16"/>
    <w:rsid w:val="00134A4A"/>
    <w:rsid w:val="00136886"/>
    <w:rsid w:val="00143103"/>
    <w:rsid w:val="0016687D"/>
    <w:rsid w:val="00174014"/>
    <w:rsid w:val="0017787C"/>
    <w:rsid w:val="00181727"/>
    <w:rsid w:val="00185730"/>
    <w:rsid w:val="001C57A3"/>
    <w:rsid w:val="00216610"/>
    <w:rsid w:val="002503AE"/>
    <w:rsid w:val="002664E8"/>
    <w:rsid w:val="0026674D"/>
    <w:rsid w:val="002B13E2"/>
    <w:rsid w:val="00322AB7"/>
    <w:rsid w:val="00332E2A"/>
    <w:rsid w:val="003332E8"/>
    <w:rsid w:val="003B25DD"/>
    <w:rsid w:val="003C76C3"/>
    <w:rsid w:val="00403465"/>
    <w:rsid w:val="00414F32"/>
    <w:rsid w:val="00445E53"/>
    <w:rsid w:val="004552E9"/>
    <w:rsid w:val="004609F6"/>
    <w:rsid w:val="004632BC"/>
    <w:rsid w:val="00466325"/>
    <w:rsid w:val="004779B9"/>
    <w:rsid w:val="004B01EE"/>
    <w:rsid w:val="004B6F86"/>
    <w:rsid w:val="004C4C89"/>
    <w:rsid w:val="004D35AC"/>
    <w:rsid w:val="004E6AF7"/>
    <w:rsid w:val="004F6977"/>
    <w:rsid w:val="005012BD"/>
    <w:rsid w:val="00502481"/>
    <w:rsid w:val="00503197"/>
    <w:rsid w:val="00522F69"/>
    <w:rsid w:val="005244A1"/>
    <w:rsid w:val="0052587A"/>
    <w:rsid w:val="00530462"/>
    <w:rsid w:val="0053287C"/>
    <w:rsid w:val="00552686"/>
    <w:rsid w:val="00561A66"/>
    <w:rsid w:val="005651EE"/>
    <w:rsid w:val="00571C5E"/>
    <w:rsid w:val="0057700F"/>
    <w:rsid w:val="00577C70"/>
    <w:rsid w:val="00586F29"/>
    <w:rsid w:val="0058754A"/>
    <w:rsid w:val="00595A46"/>
    <w:rsid w:val="005A2792"/>
    <w:rsid w:val="005B0F16"/>
    <w:rsid w:val="005B24AF"/>
    <w:rsid w:val="005B5E5C"/>
    <w:rsid w:val="005B77CE"/>
    <w:rsid w:val="005D7513"/>
    <w:rsid w:val="005E6E6D"/>
    <w:rsid w:val="005E7290"/>
    <w:rsid w:val="005F1C3C"/>
    <w:rsid w:val="00605201"/>
    <w:rsid w:val="006102D8"/>
    <w:rsid w:val="006166FA"/>
    <w:rsid w:val="00634691"/>
    <w:rsid w:val="00664BC0"/>
    <w:rsid w:val="006750CD"/>
    <w:rsid w:val="00690136"/>
    <w:rsid w:val="006B5694"/>
    <w:rsid w:val="006C155B"/>
    <w:rsid w:val="006D3627"/>
    <w:rsid w:val="00706B00"/>
    <w:rsid w:val="00715FCF"/>
    <w:rsid w:val="0072126E"/>
    <w:rsid w:val="00725B8F"/>
    <w:rsid w:val="00734625"/>
    <w:rsid w:val="00734692"/>
    <w:rsid w:val="00766418"/>
    <w:rsid w:val="00773AEB"/>
    <w:rsid w:val="007776A0"/>
    <w:rsid w:val="00787670"/>
    <w:rsid w:val="0079255D"/>
    <w:rsid w:val="007A2F92"/>
    <w:rsid w:val="007A331C"/>
    <w:rsid w:val="007B3F15"/>
    <w:rsid w:val="007B5073"/>
    <w:rsid w:val="007B75D9"/>
    <w:rsid w:val="007C5853"/>
    <w:rsid w:val="007E7C0F"/>
    <w:rsid w:val="00826750"/>
    <w:rsid w:val="0084780E"/>
    <w:rsid w:val="00847E3D"/>
    <w:rsid w:val="008548EA"/>
    <w:rsid w:val="008619E1"/>
    <w:rsid w:val="00876F75"/>
    <w:rsid w:val="008A21A4"/>
    <w:rsid w:val="008B703B"/>
    <w:rsid w:val="008C288D"/>
    <w:rsid w:val="008C47E3"/>
    <w:rsid w:val="008D0203"/>
    <w:rsid w:val="008E5DEE"/>
    <w:rsid w:val="008E70CD"/>
    <w:rsid w:val="00913A8B"/>
    <w:rsid w:val="0092596C"/>
    <w:rsid w:val="00961139"/>
    <w:rsid w:val="00964815"/>
    <w:rsid w:val="00970FE4"/>
    <w:rsid w:val="0098205C"/>
    <w:rsid w:val="00993AB1"/>
    <w:rsid w:val="00995232"/>
    <w:rsid w:val="009E1190"/>
    <w:rsid w:val="009E68B7"/>
    <w:rsid w:val="00A03493"/>
    <w:rsid w:val="00A1279B"/>
    <w:rsid w:val="00A1585D"/>
    <w:rsid w:val="00A21EE1"/>
    <w:rsid w:val="00A276F5"/>
    <w:rsid w:val="00A27B62"/>
    <w:rsid w:val="00A4336A"/>
    <w:rsid w:val="00A60CA4"/>
    <w:rsid w:val="00A72E7B"/>
    <w:rsid w:val="00A75525"/>
    <w:rsid w:val="00A82A44"/>
    <w:rsid w:val="00A84D79"/>
    <w:rsid w:val="00A92DED"/>
    <w:rsid w:val="00A968FB"/>
    <w:rsid w:val="00A96B65"/>
    <w:rsid w:val="00AA792C"/>
    <w:rsid w:val="00AB5EF8"/>
    <w:rsid w:val="00AD3DE5"/>
    <w:rsid w:val="00B1381C"/>
    <w:rsid w:val="00B16372"/>
    <w:rsid w:val="00B25772"/>
    <w:rsid w:val="00B3407F"/>
    <w:rsid w:val="00B5067C"/>
    <w:rsid w:val="00B84756"/>
    <w:rsid w:val="00B86284"/>
    <w:rsid w:val="00BA1C7D"/>
    <w:rsid w:val="00BA5743"/>
    <w:rsid w:val="00BA7C56"/>
    <w:rsid w:val="00BB2BC0"/>
    <w:rsid w:val="00BC302C"/>
    <w:rsid w:val="00BE63AB"/>
    <w:rsid w:val="00C00D70"/>
    <w:rsid w:val="00C01698"/>
    <w:rsid w:val="00C01D75"/>
    <w:rsid w:val="00C142AB"/>
    <w:rsid w:val="00C16D1B"/>
    <w:rsid w:val="00C22E32"/>
    <w:rsid w:val="00C24ADA"/>
    <w:rsid w:val="00C510DD"/>
    <w:rsid w:val="00C60EDC"/>
    <w:rsid w:val="00C6593D"/>
    <w:rsid w:val="00C867EB"/>
    <w:rsid w:val="00CA495F"/>
    <w:rsid w:val="00CA59C3"/>
    <w:rsid w:val="00CB4603"/>
    <w:rsid w:val="00CD7A92"/>
    <w:rsid w:val="00CE069D"/>
    <w:rsid w:val="00CF458F"/>
    <w:rsid w:val="00CF734E"/>
    <w:rsid w:val="00D1275B"/>
    <w:rsid w:val="00D21C3B"/>
    <w:rsid w:val="00D301F0"/>
    <w:rsid w:val="00D418BA"/>
    <w:rsid w:val="00D426EE"/>
    <w:rsid w:val="00D6257F"/>
    <w:rsid w:val="00D663D5"/>
    <w:rsid w:val="00D70F07"/>
    <w:rsid w:val="00D80254"/>
    <w:rsid w:val="00D80FBD"/>
    <w:rsid w:val="00D8433A"/>
    <w:rsid w:val="00DB5C98"/>
    <w:rsid w:val="00DC4E36"/>
    <w:rsid w:val="00DE4922"/>
    <w:rsid w:val="00DF401D"/>
    <w:rsid w:val="00E05FA3"/>
    <w:rsid w:val="00E11CA6"/>
    <w:rsid w:val="00E14565"/>
    <w:rsid w:val="00E16E70"/>
    <w:rsid w:val="00E20612"/>
    <w:rsid w:val="00E3607F"/>
    <w:rsid w:val="00E36732"/>
    <w:rsid w:val="00E44D14"/>
    <w:rsid w:val="00E571B2"/>
    <w:rsid w:val="00E57B7F"/>
    <w:rsid w:val="00E636D7"/>
    <w:rsid w:val="00E63D0E"/>
    <w:rsid w:val="00E75112"/>
    <w:rsid w:val="00E87A4F"/>
    <w:rsid w:val="00E946D7"/>
    <w:rsid w:val="00E97136"/>
    <w:rsid w:val="00EB3E6F"/>
    <w:rsid w:val="00EC63CA"/>
    <w:rsid w:val="00ED5560"/>
    <w:rsid w:val="00EE0260"/>
    <w:rsid w:val="00EE2C6B"/>
    <w:rsid w:val="00EE334B"/>
    <w:rsid w:val="00EE388D"/>
    <w:rsid w:val="00F12DC2"/>
    <w:rsid w:val="00F12E6C"/>
    <w:rsid w:val="00F152DF"/>
    <w:rsid w:val="00F32073"/>
    <w:rsid w:val="00F361B0"/>
    <w:rsid w:val="00F52D53"/>
    <w:rsid w:val="00F7710A"/>
    <w:rsid w:val="00FB60F4"/>
    <w:rsid w:val="00FC1142"/>
    <w:rsid w:val="00FD66F1"/>
    <w:rsid w:val="00FE1E75"/>
    <w:rsid w:val="00FE2717"/>
    <w:rsid w:val="00FE5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uiPriority w:val="99"/>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paragraph" w:styleId="Revision">
    <w:name w:val="Revision"/>
    <w:hidden/>
    <w:uiPriority w:val="99"/>
    <w:semiHidden/>
    <w:rsid w:val="000139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uiPriority w:val="99"/>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paragraph" w:styleId="Revision">
    <w:name w:val="Revision"/>
    <w:hidden/>
    <w:uiPriority w:val="99"/>
    <w:semiHidden/>
    <w:rsid w:val="000139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bls.gov/oes/current/naics3_221000.htm" TargetMode="External"/><Relationship Id="rId1" Type="http://schemas.openxmlformats.org/officeDocument/2006/relationships/hyperlink" Target="http://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4D812-5F8C-449C-8120-F9A94597C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2249</Words>
  <Characters>13721</Characters>
  <Application>Microsoft Office Word</Application>
  <DocSecurity>0</DocSecurity>
  <Lines>258</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2013-07-08T18:20:00Z</dcterms:created>
  <dcterms:modified xsi:type="dcterms:W3CDTF">2013-07-08T18:20:00Z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-1879344815</vt:i4>
  </property>
  <property fmtid="{D5CDD505-2E9C-101B-9397-08002B2CF9AE}" pid="3" name="_NewReviewCycle">
    <vt:lpwstr/>
  </property>
  <property fmtid="{D5CDD505-2E9C-101B-9397-08002B2CF9AE}" pid="4" name="_ReviewingToolsShownOnce">
    <vt:lpwstr/>
  </property>
</Properties>
</file>