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D7" w:rsidRPr="006A3538" w:rsidRDefault="00BD0CD7" w:rsidP="00BD0CD7"/>
    <w:p w:rsidR="00BD0CD7" w:rsidRPr="006A3538" w:rsidRDefault="00BD0CD7" w:rsidP="00BD0CD7"/>
    <w:p w:rsidR="00BD0CD7" w:rsidRDefault="00BD0CD7" w:rsidP="00BD0CD7">
      <w:pPr>
        <w:rPr>
          <w:sz w:val="22"/>
        </w:rPr>
      </w:pPr>
    </w:p>
    <w:p w:rsidR="00BD0CD7" w:rsidRDefault="00BD0CD7" w:rsidP="00BD0CD7">
      <w:pPr>
        <w:rPr>
          <w:sz w:val="22"/>
        </w:rPr>
      </w:pPr>
    </w:p>
    <w:p w:rsidR="00BD0CD7" w:rsidRDefault="00BD0CD7" w:rsidP="00BD0CD7">
      <w:pPr>
        <w:rPr>
          <w:sz w:val="22"/>
        </w:rPr>
      </w:pPr>
    </w:p>
    <w:p w:rsidR="00BD0CD7" w:rsidRDefault="00BD0CD7" w:rsidP="00BD0CD7">
      <w:pPr>
        <w:rPr>
          <w:sz w:val="22"/>
        </w:rPr>
      </w:pPr>
    </w:p>
    <w:p w:rsidR="00BD0CD7" w:rsidRDefault="00BD0CD7" w:rsidP="00BD0CD7">
      <w:pPr>
        <w:rPr>
          <w:sz w:val="22"/>
        </w:rPr>
      </w:pPr>
    </w:p>
    <w:p w:rsidR="00BD0CD7" w:rsidRDefault="00BD0CD7" w:rsidP="00BD0CD7">
      <w:pPr>
        <w:rPr>
          <w:sz w:val="22"/>
        </w:rPr>
      </w:pPr>
    </w:p>
    <w:p w:rsidR="00BD0CD7" w:rsidRDefault="00BD0CD7" w:rsidP="00BD0CD7">
      <w:pPr>
        <w:rPr>
          <w:sz w:val="22"/>
        </w:rPr>
      </w:pPr>
    </w:p>
    <w:p w:rsidR="00BD0CD7" w:rsidRDefault="00BD0CD7" w:rsidP="00BD0CD7">
      <w:pPr>
        <w:rPr>
          <w:sz w:val="22"/>
        </w:rPr>
      </w:pPr>
    </w:p>
    <w:p w:rsidR="00BD0CD7" w:rsidRDefault="00BD0CD7" w:rsidP="00BD0CD7">
      <w:pPr>
        <w:rPr>
          <w:sz w:val="22"/>
        </w:rPr>
      </w:pPr>
    </w:p>
    <w:p w:rsidR="00BD0CD7" w:rsidRPr="0007797B" w:rsidRDefault="00BD0CD7" w:rsidP="00BD0CD7">
      <w:pPr>
        <w:pStyle w:val="Heading1"/>
        <w:jc w:val="center"/>
        <w:rPr>
          <w:bCs w:val="0"/>
          <w:sz w:val="22"/>
        </w:rPr>
      </w:pPr>
      <w:bookmarkStart w:id="0" w:name="_Toc334609750"/>
      <w:r w:rsidRPr="0007797B">
        <w:rPr>
          <w:bCs w:val="0"/>
          <w:sz w:val="22"/>
        </w:rPr>
        <w:t xml:space="preserve">ATTACHMENT </w:t>
      </w:r>
      <w:r>
        <w:rPr>
          <w:bCs w:val="0"/>
          <w:sz w:val="22"/>
        </w:rPr>
        <w:t>D</w:t>
      </w:r>
      <w:bookmarkEnd w:id="0"/>
    </w:p>
    <w:p w:rsidR="00BD0CD7" w:rsidRDefault="00BD0CD7" w:rsidP="00BD0CD7">
      <w:pPr>
        <w:jc w:val="center"/>
        <w:rPr>
          <w:b/>
        </w:rPr>
      </w:pPr>
    </w:p>
    <w:p w:rsidR="00BD0CD7" w:rsidRDefault="00BD0CD7" w:rsidP="00BD0CD7">
      <w:pPr>
        <w:jc w:val="center"/>
        <w:rPr>
          <w:b/>
          <w:sz w:val="22"/>
          <w:szCs w:val="22"/>
        </w:rPr>
      </w:pPr>
      <w:r>
        <w:rPr>
          <w:b/>
          <w:sz w:val="22"/>
          <w:szCs w:val="22"/>
        </w:rPr>
        <w:t>DfE Formulator Program:  Form for Adding Third-Party Partners and Products</w:t>
      </w:r>
    </w:p>
    <w:p w:rsidR="00BD0CD7" w:rsidRDefault="00BD0CD7" w:rsidP="00BD0CD7">
      <w:pPr>
        <w:jc w:val="center"/>
        <w:rPr>
          <w:b/>
          <w:sz w:val="22"/>
          <w:szCs w:val="22"/>
        </w:rPr>
      </w:pPr>
      <w:r>
        <w:rPr>
          <w:b/>
          <w:sz w:val="22"/>
          <w:szCs w:val="22"/>
        </w:rPr>
        <w:t>(Private Label Companies, Licensees, or Toll Manufacturers)</w:t>
      </w:r>
    </w:p>
    <w:p w:rsidR="00BD0CD7" w:rsidRDefault="00BD0CD7" w:rsidP="00BD0CD7">
      <w:pPr>
        <w:jc w:val="center"/>
        <w:rPr>
          <w:b/>
          <w:sz w:val="22"/>
          <w:szCs w:val="22"/>
        </w:rPr>
      </w:pPr>
      <w:r>
        <w:rPr>
          <w:b/>
          <w:sz w:val="22"/>
          <w:szCs w:val="22"/>
        </w:rPr>
        <w:br w:type="page"/>
      </w:r>
    </w:p>
    <w:p w:rsidR="00BD0CD7" w:rsidRDefault="00BD0CD7" w:rsidP="00BD0CD7">
      <w:pPr>
        <w:jc w:val="center"/>
        <w:rPr>
          <w:b/>
          <w:sz w:val="22"/>
          <w:szCs w:val="22"/>
        </w:rPr>
      </w:pPr>
    </w:p>
    <w:p w:rsidR="00BD0CD7" w:rsidRDefault="00BD0CD7" w:rsidP="00BD0CD7">
      <w:pPr>
        <w:jc w:val="center"/>
        <w:rPr>
          <w:b/>
          <w:sz w:val="22"/>
          <w:szCs w:val="22"/>
        </w:rPr>
      </w:pPr>
    </w:p>
    <w:p w:rsidR="00BD0CD7" w:rsidRDefault="00BD0CD7" w:rsidP="00BD0CD7">
      <w:pPr>
        <w:jc w:val="center"/>
        <w:rPr>
          <w:b/>
          <w:sz w:val="22"/>
          <w:szCs w:val="22"/>
        </w:rPr>
      </w:pPr>
    </w:p>
    <w:p w:rsidR="00BD0CD7" w:rsidRDefault="00BD0CD7" w:rsidP="00BD0CD7">
      <w:pPr>
        <w:jc w:val="center"/>
        <w:rPr>
          <w:b/>
          <w:sz w:val="22"/>
          <w:szCs w:val="22"/>
        </w:rPr>
      </w:pPr>
    </w:p>
    <w:p w:rsidR="00BD0CD7" w:rsidRDefault="00BD0CD7" w:rsidP="00BD0CD7">
      <w:pPr>
        <w:jc w:val="center"/>
        <w:rPr>
          <w:b/>
          <w:sz w:val="22"/>
          <w:szCs w:val="22"/>
        </w:rPr>
      </w:pPr>
    </w:p>
    <w:p w:rsidR="00BD0CD7" w:rsidRDefault="00BD0CD7" w:rsidP="00BD0CD7">
      <w:pPr>
        <w:jc w:val="center"/>
        <w:rPr>
          <w:b/>
          <w:sz w:val="22"/>
          <w:szCs w:val="22"/>
        </w:rPr>
      </w:pPr>
    </w:p>
    <w:p w:rsidR="00BD0CD7" w:rsidRDefault="00BD0CD7" w:rsidP="00BD0CD7">
      <w:pPr>
        <w:jc w:val="center"/>
        <w:rPr>
          <w:b/>
          <w:sz w:val="22"/>
          <w:szCs w:val="22"/>
        </w:rPr>
      </w:pPr>
    </w:p>
    <w:p w:rsidR="00BD0CD7" w:rsidRDefault="00BD0CD7" w:rsidP="00BD0CD7">
      <w:pPr>
        <w:jc w:val="center"/>
        <w:rPr>
          <w:b/>
          <w:sz w:val="22"/>
          <w:szCs w:val="22"/>
        </w:rPr>
      </w:pPr>
    </w:p>
    <w:p w:rsidR="00BD0CD7" w:rsidRDefault="00BD0CD7" w:rsidP="00BD0CD7">
      <w:pPr>
        <w:jc w:val="center"/>
        <w:rPr>
          <w:b/>
          <w:sz w:val="22"/>
          <w:szCs w:val="22"/>
        </w:rPr>
      </w:pPr>
    </w:p>
    <w:p w:rsidR="00BD0CD7" w:rsidRDefault="00BD0CD7" w:rsidP="00BD0CD7">
      <w:pPr>
        <w:jc w:val="center"/>
        <w:rPr>
          <w:b/>
          <w:sz w:val="22"/>
          <w:szCs w:val="22"/>
        </w:rPr>
      </w:pPr>
    </w:p>
    <w:p w:rsidR="00D8765A" w:rsidRPr="00C6296E" w:rsidRDefault="00D8765A" w:rsidP="00D8765A">
      <w:pPr>
        <w:jc w:val="center"/>
        <w:rPr>
          <w:b/>
          <w:bCs/>
        </w:rPr>
      </w:pPr>
      <w:r w:rsidRPr="00C6296E">
        <w:rPr>
          <w:b/>
          <w:bCs/>
        </w:rPr>
        <w:t>OMB Control No. 2070-</w:t>
      </w:r>
      <w:r>
        <w:rPr>
          <w:b/>
          <w:bCs/>
        </w:rPr>
        <w:t>0178</w:t>
      </w:r>
    </w:p>
    <w:p w:rsidR="00BD0CD7" w:rsidRPr="00C6296E" w:rsidRDefault="00BD0CD7" w:rsidP="00BD0CD7">
      <w:pPr>
        <w:ind w:left="1170" w:right="842"/>
        <w:jc w:val="center"/>
        <w:rPr>
          <w:b/>
          <w:bCs/>
        </w:rPr>
      </w:pPr>
    </w:p>
    <w:p w:rsidR="00BD0CD7" w:rsidRDefault="00BD0CD7" w:rsidP="00BD0CD7">
      <w:pPr>
        <w:pStyle w:val="BodyTextIndent"/>
        <w:spacing w:after="0" w:line="240" w:lineRule="auto"/>
        <w:ind w:left="1170" w:right="842" w:firstLine="0"/>
        <w:rPr>
          <w:sz w:val="18"/>
        </w:rPr>
        <w:sectPr w:rsidR="00BD0CD7" w:rsidSect="001B7421">
          <w:pgSz w:w="12240" w:h="15840" w:code="1"/>
          <w:pgMar w:top="1440" w:right="720" w:bottom="1440" w:left="58" w:header="187" w:footer="720" w:gutter="0"/>
          <w:cols w:space="720"/>
          <w:docGrid w:linePitch="360"/>
        </w:sectPr>
      </w:pPr>
      <w:r w:rsidRPr="00C6296E">
        <w:rPr>
          <w:sz w:val="18"/>
        </w:rPr>
        <w:tab/>
        <w:t>The public reporting and recordkeeping burden for this collection of informat</w:t>
      </w:r>
      <w:r w:rsidR="00A30A4D">
        <w:rPr>
          <w:sz w:val="18"/>
        </w:rPr>
        <w:t>ion is estimated to average 27.2</w:t>
      </w:r>
      <w:r w:rsidRPr="00C6296E">
        <w:rPr>
          <w:sz w:val="18"/>
        </w:rPr>
        <w:t xml:space="preserve"> hours per response for formulators of cleaning and non-cleaning products and 9.5 hours per response for partners wishing to add third-party partners and products, including the time for reviewing instructions, gathering information, and completing and reviewing</w:t>
      </w:r>
      <w:r w:rsidRPr="00F637D8">
        <w:rPr>
          <w:sz w:val="18"/>
        </w:rPr>
        <w:t xml:space="preserve"> the application.  Send comments on the Agency's need for this information, the accuracy of the provided burden estimates, and any suggested methods for minimizing respondent</w:t>
      </w:r>
      <w:r w:rsidRPr="00A65EE6">
        <w:rPr>
          <w:sz w:val="18"/>
        </w:rPr>
        <w:t xml:space="preserve">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application to this address.</w:t>
      </w:r>
    </w:p>
    <w:p w:rsidR="00BD0CD7" w:rsidRDefault="00BD0CD7" w:rsidP="00BD0CD7">
      <w:pPr>
        <w:jc w:val="center"/>
        <w:sectPr w:rsidR="00BD0CD7" w:rsidSect="001B7421">
          <w:pgSz w:w="12240" w:h="15840" w:code="1"/>
          <w:pgMar w:top="1440" w:right="720" w:bottom="1440" w:left="58" w:header="187" w:footer="720" w:gutter="0"/>
          <w:cols w:space="720"/>
          <w:docGrid w:linePitch="360"/>
        </w:sectPr>
      </w:pPr>
      <w:r>
        <w:rPr>
          <w:noProof/>
        </w:rPr>
        <w:lastRenderedPageBreak/>
        <w:drawing>
          <wp:inline distT="0" distB="0" distL="0" distR="0">
            <wp:extent cx="6362700" cy="822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62700" cy="8220075"/>
                    </a:xfrm>
                    <a:prstGeom prst="rect">
                      <a:avLst/>
                    </a:prstGeom>
                    <a:noFill/>
                    <a:ln w="9525">
                      <a:noFill/>
                      <a:miter lim="800000"/>
                      <a:headEnd/>
                      <a:tailEnd/>
                    </a:ln>
                  </pic:spPr>
                </pic:pic>
              </a:graphicData>
            </a:graphic>
          </wp:inline>
        </w:drawing>
      </w:r>
    </w:p>
    <w:p w:rsidR="00BD0CD7" w:rsidRDefault="00BD0CD7" w:rsidP="00BD0CD7">
      <w:pPr>
        <w:jc w:val="center"/>
        <w:sectPr w:rsidR="00BD0CD7" w:rsidSect="001B7421">
          <w:pgSz w:w="15840" w:h="12240" w:orient="landscape" w:code="1"/>
          <w:pgMar w:top="58" w:right="1440" w:bottom="720" w:left="1440" w:header="187" w:footer="720" w:gutter="0"/>
          <w:cols w:space="720"/>
          <w:docGrid w:linePitch="360"/>
        </w:sectPr>
      </w:pPr>
      <w:r>
        <w:rPr>
          <w:noProof/>
        </w:rPr>
        <w:lastRenderedPageBreak/>
        <w:drawing>
          <wp:inline distT="0" distB="0" distL="0" distR="0">
            <wp:extent cx="8553450" cy="6524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553450" cy="6524625"/>
                    </a:xfrm>
                    <a:prstGeom prst="rect">
                      <a:avLst/>
                    </a:prstGeom>
                    <a:noFill/>
                    <a:ln w="9525">
                      <a:noFill/>
                      <a:miter lim="800000"/>
                      <a:headEnd/>
                      <a:tailEnd/>
                    </a:ln>
                  </pic:spPr>
                </pic:pic>
              </a:graphicData>
            </a:graphic>
          </wp:inline>
        </w:drawing>
      </w:r>
    </w:p>
    <w:p w:rsidR="00BD0CD7" w:rsidRPr="00B07A01" w:rsidRDefault="00BD0CD7" w:rsidP="00BD0CD7">
      <w:pPr>
        <w:pStyle w:val="Heading1"/>
        <w:rPr>
          <w:b w:val="0"/>
        </w:rPr>
      </w:pPr>
    </w:p>
    <w:p w:rsidR="001E11FE" w:rsidRPr="00BD0CD7" w:rsidRDefault="001E11FE">
      <w:pPr>
        <w:rPr>
          <w:sz w:val="2"/>
        </w:rPr>
      </w:pPr>
    </w:p>
    <w:sectPr w:rsidR="001E11FE" w:rsidRPr="00BD0CD7" w:rsidSect="003615D5">
      <w:pgSz w:w="12240" w:h="15840" w:code="1"/>
      <w:pgMar w:top="1440" w:right="720" w:bottom="1440" w:left="720" w:header="18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CD7"/>
    <w:rsid w:val="00153BA6"/>
    <w:rsid w:val="001E11FE"/>
    <w:rsid w:val="001E5D42"/>
    <w:rsid w:val="00293FA2"/>
    <w:rsid w:val="002E6820"/>
    <w:rsid w:val="004A5B1F"/>
    <w:rsid w:val="00870E57"/>
    <w:rsid w:val="00A30A4D"/>
    <w:rsid w:val="00A601EF"/>
    <w:rsid w:val="00B80CE2"/>
    <w:rsid w:val="00BC1CD8"/>
    <w:rsid w:val="00BD0CD7"/>
    <w:rsid w:val="00BD74FD"/>
    <w:rsid w:val="00BE3507"/>
    <w:rsid w:val="00D8765A"/>
    <w:rsid w:val="00E85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D7"/>
    <w:pPr>
      <w:spacing w:after="0" w:line="240" w:lineRule="auto"/>
    </w:pPr>
    <w:rPr>
      <w:rFonts w:eastAsia="Times New Roman" w:cs="Times New Roman"/>
      <w:szCs w:val="24"/>
    </w:rPr>
  </w:style>
  <w:style w:type="paragraph" w:styleId="Heading1">
    <w:name w:val="heading 1"/>
    <w:basedOn w:val="Normal"/>
    <w:next w:val="Normal"/>
    <w:link w:val="Heading1Char"/>
    <w:qFormat/>
    <w:rsid w:val="00BD0CD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D7"/>
    <w:rPr>
      <w:rFonts w:eastAsia="Times New Roman" w:cs="Times New Roman"/>
      <w:b/>
      <w:bCs/>
      <w:szCs w:val="24"/>
    </w:rPr>
  </w:style>
  <w:style w:type="paragraph" w:styleId="BodyTextIndent">
    <w:name w:val="Body Text Indent"/>
    <w:basedOn w:val="Normal"/>
    <w:link w:val="BodyTextIndentChar"/>
    <w:rsid w:val="00BD0CD7"/>
    <w:pPr>
      <w:numPr>
        <w:ilvl w:val="12"/>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line="480" w:lineRule="auto"/>
      <w:ind w:firstLine="720"/>
      <w:jc w:val="center"/>
    </w:pPr>
    <w:rPr>
      <w:sz w:val="16"/>
    </w:rPr>
  </w:style>
  <w:style w:type="character" w:customStyle="1" w:styleId="BodyTextIndentChar">
    <w:name w:val="Body Text Indent Char"/>
    <w:basedOn w:val="DefaultParagraphFont"/>
    <w:link w:val="BodyTextIndent"/>
    <w:rsid w:val="00BD0CD7"/>
    <w:rPr>
      <w:rFonts w:eastAsia="Times New Roman" w:cs="Times New Roman"/>
      <w:sz w:val="16"/>
      <w:szCs w:val="24"/>
    </w:rPr>
  </w:style>
  <w:style w:type="paragraph" w:styleId="BalloonText">
    <w:name w:val="Balloon Text"/>
    <w:basedOn w:val="Normal"/>
    <w:link w:val="BalloonTextChar"/>
    <w:uiPriority w:val="99"/>
    <w:semiHidden/>
    <w:unhideWhenUsed/>
    <w:rsid w:val="00BD0CD7"/>
    <w:rPr>
      <w:rFonts w:ascii="Tahoma" w:hAnsi="Tahoma" w:cs="Tahoma"/>
      <w:sz w:val="16"/>
      <w:szCs w:val="16"/>
    </w:rPr>
  </w:style>
  <w:style w:type="character" w:customStyle="1" w:styleId="BalloonTextChar">
    <w:name w:val="Balloon Text Char"/>
    <w:basedOn w:val="DefaultParagraphFont"/>
    <w:link w:val="BalloonText"/>
    <w:uiPriority w:val="99"/>
    <w:semiHidden/>
    <w:rsid w:val="00BD0CD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Jonah</cp:lastModifiedBy>
  <cp:revision>3</cp:revision>
  <dcterms:created xsi:type="dcterms:W3CDTF">2013-06-13T18:53:00Z</dcterms:created>
  <dcterms:modified xsi:type="dcterms:W3CDTF">2013-06-13T21:49:00Z</dcterms:modified>
</cp:coreProperties>
</file>