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04" w:rsidRDefault="00A91A04" w:rsidP="00923BCE">
      <w:pPr>
        <w:pStyle w:val="NoSpacing"/>
        <w:jc w:val="center"/>
        <w:rPr>
          <w:b/>
        </w:rPr>
      </w:pPr>
      <w:r>
        <w:rPr>
          <w:b/>
        </w:rPr>
        <w:t>Department of Transportation</w:t>
      </w:r>
    </w:p>
    <w:p w:rsidR="00A91A04" w:rsidRDefault="00A91A04" w:rsidP="00923BCE">
      <w:pPr>
        <w:pStyle w:val="NoSpacing"/>
        <w:jc w:val="center"/>
        <w:rPr>
          <w:b/>
        </w:rPr>
      </w:pPr>
      <w:r>
        <w:rPr>
          <w:b/>
        </w:rPr>
        <w:t>Office of the Chief Information Officer</w:t>
      </w:r>
    </w:p>
    <w:p w:rsidR="00A91A04" w:rsidRDefault="00A91A04" w:rsidP="00923BCE">
      <w:pPr>
        <w:pStyle w:val="NoSpacing"/>
        <w:jc w:val="center"/>
        <w:rPr>
          <w:b/>
        </w:rPr>
      </w:pPr>
    </w:p>
    <w:p w:rsidR="00A91A04" w:rsidRDefault="00A91A04" w:rsidP="00923BCE">
      <w:pPr>
        <w:pStyle w:val="NoSpacing"/>
        <w:jc w:val="center"/>
        <w:rPr>
          <w:b/>
        </w:rPr>
      </w:pPr>
      <w:r>
        <w:rPr>
          <w:b/>
        </w:rPr>
        <w:t>SUPPORTING STATEMENT</w:t>
      </w:r>
    </w:p>
    <w:p w:rsidR="00A91A04" w:rsidRDefault="00F03C80" w:rsidP="00923BCE">
      <w:pPr>
        <w:pStyle w:val="NoSpacing"/>
        <w:jc w:val="center"/>
        <w:rPr>
          <w:b/>
        </w:rPr>
      </w:pPr>
      <w:r>
        <w:rPr>
          <w:b/>
        </w:rPr>
        <w:t>Driver and Carrier Surveys Related to Electronic On-Board Recorders (EOBRs), and Potential Harassment Deriving from EOBR Use</w:t>
      </w:r>
    </w:p>
    <w:p w:rsidR="00A91A04" w:rsidRDefault="00A91A04" w:rsidP="00923BCE">
      <w:pPr>
        <w:pStyle w:val="NoSpacing"/>
        <w:jc w:val="center"/>
        <w:rPr>
          <w:b/>
        </w:rPr>
      </w:pPr>
    </w:p>
    <w:p w:rsidR="00A91A04" w:rsidRPr="00F03C80" w:rsidRDefault="00A91A04" w:rsidP="009A1EC9">
      <w:pPr>
        <w:pStyle w:val="NoSpacing"/>
      </w:pPr>
      <w:r>
        <w:t xml:space="preserve">This </w:t>
      </w:r>
      <w:r w:rsidR="00F4173F">
        <w:t xml:space="preserve">is to request </w:t>
      </w:r>
      <w:r>
        <w:t xml:space="preserve">the Office of </w:t>
      </w:r>
      <w:r w:rsidR="00D7535D">
        <w:t>M</w:t>
      </w:r>
      <w:r>
        <w:t>anagement and Budget’s (OMB) review and approv</w:t>
      </w:r>
      <w:r w:rsidR="003D1FCC">
        <w:t>al of</w:t>
      </w:r>
      <w:r>
        <w:t xml:space="preserve"> a new </w:t>
      </w:r>
      <w:r w:rsidR="00F4173F">
        <w:t>Federal Motor Carrier Safety Administration (FMCSA) information collection request (ICR)</w:t>
      </w:r>
      <w:r>
        <w:t xml:space="preserve"> entitled</w:t>
      </w:r>
      <w:r w:rsidR="00F03C80">
        <w:t>, “Driver and Carrier Surveys Related to Electronic On-Board Recorders (EOBRs), and Potential Harassment Deriving from EOBR Use</w:t>
      </w:r>
      <w:r>
        <w:rPr>
          <w:i/>
        </w:rPr>
        <w:t>.</w:t>
      </w:r>
      <w:r w:rsidR="00F03C80">
        <w:t xml:space="preserve">” </w:t>
      </w:r>
      <w:r w:rsidR="005C3D65">
        <w:t xml:space="preserve"> </w:t>
      </w:r>
      <w:r w:rsidR="00F03C80">
        <w:t xml:space="preserve">This ICR will be used for research to support revisions to </w:t>
      </w:r>
      <w:r w:rsidR="00F978D8">
        <w:t>FMCSA</w:t>
      </w:r>
      <w:r w:rsidR="00C155FF">
        <w:t>’s</w:t>
      </w:r>
      <w:r w:rsidR="00F978D8">
        <w:t xml:space="preserve"> </w:t>
      </w:r>
      <w:r w:rsidR="00F03C80">
        <w:t xml:space="preserve">Electronic On-Board Recorders (EOBR) Rule.  </w:t>
      </w:r>
    </w:p>
    <w:p w:rsidR="00A91A04" w:rsidRDefault="00A91A04" w:rsidP="009A1EC9">
      <w:pPr>
        <w:pStyle w:val="NoSpacing"/>
        <w:rPr>
          <w:i/>
        </w:rPr>
      </w:pPr>
    </w:p>
    <w:p w:rsidR="00A91A04" w:rsidRDefault="00A91A04" w:rsidP="009A1EC9">
      <w:pPr>
        <w:pStyle w:val="NoSpacing"/>
        <w:rPr>
          <w:b/>
        </w:rPr>
      </w:pPr>
      <w:r>
        <w:rPr>
          <w:b/>
        </w:rPr>
        <w:t>Section A. Justification:</w:t>
      </w:r>
    </w:p>
    <w:p w:rsidR="00A91A04" w:rsidRDefault="00A91A04" w:rsidP="009A1EC9">
      <w:pPr>
        <w:pStyle w:val="NoSpacing"/>
        <w:rPr>
          <w:b/>
        </w:rPr>
      </w:pPr>
    </w:p>
    <w:p w:rsidR="00A91A04" w:rsidRDefault="00A91A04" w:rsidP="009A1EC9">
      <w:pPr>
        <w:pStyle w:val="NoSpacing"/>
      </w:pPr>
      <w:r w:rsidRPr="003F0B0F">
        <w:rPr>
          <w:b/>
        </w:rPr>
        <w:t>1.  Circumstances that make collection of information necessary</w:t>
      </w:r>
      <w:r>
        <w:t>.</w:t>
      </w:r>
    </w:p>
    <w:p w:rsidR="00A91A04" w:rsidRDefault="00A91A04" w:rsidP="009A1EC9">
      <w:pPr>
        <w:pStyle w:val="NoSpacing"/>
      </w:pPr>
    </w:p>
    <w:p w:rsidR="00A91A04" w:rsidRPr="005E0700" w:rsidRDefault="00A91A04" w:rsidP="00ED2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E0700">
        <w:t>Motor carrier management and oversight of drivers</w:t>
      </w:r>
      <w:r>
        <w:t>’</w:t>
      </w:r>
      <w:r w:rsidRPr="005E0700">
        <w:t xml:space="preserve"> hours-of-service</w:t>
      </w:r>
      <w:r>
        <w:t xml:space="preserve"> (HOS)</w:t>
      </w:r>
      <w:r w:rsidRPr="005E0700">
        <w:t xml:space="preserve"> is one of </w:t>
      </w:r>
      <w:r w:rsidR="005E37B9">
        <w:t>FMCSA’s</w:t>
      </w:r>
      <w:r w:rsidRPr="005E0700">
        <w:t xml:space="preserve"> fundamental concerns.  Motor carriers began to look to automated methods of recording drivers’ duty status records in the mid-1980s as a way to save drivers time and improve the efficiency of their compliance assurance procedures.  In April 1985 the Federal Highway Administration (FHWA), the predecessor agency to FMCSA within the U.S. Department of T</w:t>
      </w:r>
      <w:r>
        <w:t>ransportation (DOT), granted the</w:t>
      </w:r>
      <w:r w:rsidRPr="005E0700">
        <w:t xml:space="preserve"> first of 10 waivers to allow use of on-board computers in lieu of requiring drivers to complete handwritten records of duty status (RODS). </w:t>
      </w:r>
    </w:p>
    <w:p w:rsidR="00A91A04" w:rsidRPr="005E0700" w:rsidRDefault="00A91A04" w:rsidP="00ED2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91A04" w:rsidRPr="005E0700" w:rsidRDefault="00A91A04" w:rsidP="00ED2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5E0700">
        <w:t>After conducting notice-and-comment rulemaking, the Agency issued a final rule on Sep</w:t>
      </w:r>
      <w:r>
        <w:t>tember</w:t>
      </w:r>
      <w:r w:rsidRPr="005E0700">
        <w:t xml:space="preserve"> 30, 1988.  The rule revised part 395 </w:t>
      </w:r>
      <w:r w:rsidR="00FB2189">
        <w:t>(</w:t>
      </w:r>
      <w:r w:rsidR="00225D89">
        <w:t>A</w:t>
      </w:r>
      <w:r w:rsidR="00FB2189">
        <w:t xml:space="preserve">ttachment A) </w:t>
      </w:r>
      <w:r w:rsidRPr="005E0700">
        <w:t>of the Federal Motor Carrier Safety Regulations</w:t>
      </w:r>
      <w:r>
        <w:t xml:space="preserve"> (FMCSRs)</w:t>
      </w:r>
      <w:r w:rsidRPr="005E0700">
        <w:t xml:space="preserve"> by allowing motor carriers the flexibility to equip </w:t>
      </w:r>
      <w:r>
        <w:t>commercial motor vehicles (</w:t>
      </w:r>
      <w:r w:rsidRPr="005E0700">
        <w:t>CMVs</w:t>
      </w:r>
      <w:r>
        <w:t>)</w:t>
      </w:r>
      <w:r w:rsidRPr="005E0700">
        <w:t xml:space="preserve"> with an automatic on-board recording device (AOBRD) in lieu of requiring drivers to complete handwritten RODS.  The term “</w:t>
      </w:r>
      <w:r>
        <w:t>a</w:t>
      </w:r>
      <w:r w:rsidRPr="005E0700">
        <w:t>utomatic on-board recording device</w:t>
      </w:r>
      <w:r>
        <w:t>” was defined under § 395.2 as</w:t>
      </w:r>
      <w:r w:rsidRPr="005E0700">
        <w:t xml:space="preserve"> </w:t>
      </w:r>
      <w:r>
        <w:t>“</w:t>
      </w:r>
      <w:r w:rsidRPr="005E0700">
        <w:t xml:space="preserve">an electric, electronic, electromechanical, or mechanical device capable of recording driver's duty status information accurately and automatically as required by §395.15. The device must be integrally synchronized with specific operations of the commercial motor vehicle in which it is installed. </w:t>
      </w:r>
      <w:r w:rsidR="00AB08A2">
        <w:t xml:space="preserve"> </w:t>
      </w:r>
      <w:r w:rsidRPr="005E0700">
        <w:t xml:space="preserve">At a minimum, the device must record engine use, road speed, miles driven, the date, and time of day.” </w:t>
      </w:r>
    </w:p>
    <w:p w:rsidR="00A91A04" w:rsidRPr="005E0700" w:rsidRDefault="00A91A04" w:rsidP="00ED2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91A04" w:rsidRPr="00715264" w:rsidRDefault="00A91A04" w:rsidP="00ED2096">
      <w:pPr>
        <w:pStyle w:val="FMCSAFrontHeading"/>
        <w:spacing w:after="0"/>
        <w:rPr>
          <w:rFonts w:ascii="Times New Roman" w:eastAsia="Times New Roman" w:hAnsi="Times New Roman"/>
          <w:b w:val="0"/>
          <w:caps w:val="0"/>
          <w:sz w:val="24"/>
          <w:szCs w:val="24"/>
        </w:rPr>
      </w:pPr>
      <w:r w:rsidRPr="00715264">
        <w:rPr>
          <w:rFonts w:ascii="Times New Roman" w:eastAsia="Times New Roman" w:hAnsi="Times New Roman"/>
          <w:b w:val="0"/>
          <w:caps w:val="0"/>
          <w:sz w:val="24"/>
          <w:szCs w:val="24"/>
        </w:rPr>
        <w:t>During the next 20-plus years, the needs of motor carriers to monitor operational productivity led to significant changes in CMV and driver monitoring and on-board recording practices.  At the same time, FMCSA’s need to improve the efficiency and effectiveness of its HOS oversight also increased.  On April 5, 2010, FMCSA published a final rule</w:t>
      </w:r>
      <w:r w:rsidR="00225D89">
        <w:rPr>
          <w:rFonts w:ascii="Times New Roman" w:eastAsia="Times New Roman" w:hAnsi="Times New Roman"/>
          <w:b w:val="0"/>
          <w:caps w:val="0"/>
          <w:sz w:val="24"/>
          <w:szCs w:val="24"/>
        </w:rPr>
        <w:t xml:space="preserve"> entitled, “Electronic On-Board Recorders for Hours-of-Service Compliance,” (75 FR 17208) (Attachment B)</w:t>
      </w:r>
      <w:r w:rsidRPr="00715264">
        <w:rPr>
          <w:rFonts w:ascii="Times New Roman" w:eastAsia="Times New Roman" w:hAnsi="Times New Roman"/>
          <w:b w:val="0"/>
          <w:caps w:val="0"/>
          <w:sz w:val="24"/>
          <w:szCs w:val="24"/>
        </w:rPr>
        <w:t xml:space="preserve"> that incorporate</w:t>
      </w:r>
      <w:r w:rsidR="00C155FF">
        <w:rPr>
          <w:rFonts w:ascii="Times New Roman" w:eastAsia="Times New Roman" w:hAnsi="Times New Roman"/>
          <w:b w:val="0"/>
          <w:caps w:val="0"/>
          <w:sz w:val="24"/>
          <w:szCs w:val="24"/>
        </w:rPr>
        <w:t>d</w:t>
      </w:r>
      <w:r w:rsidRPr="00715264">
        <w:rPr>
          <w:rFonts w:ascii="Times New Roman" w:eastAsia="Times New Roman" w:hAnsi="Times New Roman"/>
          <w:b w:val="0"/>
          <w:caps w:val="0"/>
          <w:sz w:val="24"/>
          <w:szCs w:val="24"/>
        </w:rPr>
        <w:t xml:space="preserve"> new performance standards for electronic on-board recorders (EOBRs) installed in CMVs manufactured on or after June 4, 2012.  The new rule also called for mandatory installation of EOBRs meeting the new performance standards in CMVs operated by motor carriers found by the Agency to have serious HOS noncompliance.</w:t>
      </w:r>
    </w:p>
    <w:p w:rsidR="00A91A04" w:rsidRDefault="00A91A04" w:rsidP="00ED2096">
      <w:pPr>
        <w:pStyle w:val="FMCSAText1"/>
        <w:spacing w:after="0"/>
        <w:rPr>
          <w:rFonts w:eastAsia="Times New Roman"/>
        </w:rPr>
      </w:pPr>
    </w:p>
    <w:p w:rsidR="00A91A04" w:rsidRDefault="00A91A04" w:rsidP="00ED2096">
      <w:pPr>
        <w:pStyle w:val="FMCSAText1"/>
        <w:spacing w:after="0"/>
        <w:rPr>
          <w:rFonts w:eastAsia="Times New Roman"/>
        </w:rPr>
      </w:pPr>
      <w:r>
        <w:rPr>
          <w:rFonts w:eastAsia="Times New Roman"/>
        </w:rPr>
        <w:lastRenderedPageBreak/>
        <w:t xml:space="preserve">The 2010 EOBR rule was challenged in court based in part on concerns that EOBRs could be used to harass drivers. </w:t>
      </w:r>
      <w:proofErr w:type="gramStart"/>
      <w:r w:rsidRPr="00507F44">
        <w:rPr>
          <w:rFonts w:eastAsia="Times New Roman"/>
          <w:i/>
        </w:rPr>
        <w:t>Owner-Operators Independent Drivers Association v. U.S. Department of Transportation</w:t>
      </w:r>
      <w:r>
        <w:rPr>
          <w:rFonts w:eastAsia="Times New Roman"/>
        </w:rPr>
        <w:t>, 656 F.3d 580 (7</w:t>
      </w:r>
      <w:r w:rsidRPr="00507F44">
        <w:rPr>
          <w:rFonts w:eastAsia="Times New Roman"/>
          <w:vertAlign w:val="superscript"/>
        </w:rPr>
        <w:t>th</w:t>
      </w:r>
      <w:r>
        <w:rPr>
          <w:rFonts w:eastAsia="Times New Roman"/>
        </w:rPr>
        <w:t xml:space="preserve"> Cir. 2011)</w:t>
      </w:r>
      <w:r w:rsidR="00225D89">
        <w:rPr>
          <w:rFonts w:eastAsia="Times New Roman"/>
        </w:rPr>
        <w:t xml:space="preserve"> (Attachment C)</w:t>
      </w:r>
      <w:r>
        <w:rPr>
          <w:rFonts w:eastAsia="Times New Roman"/>
        </w:rPr>
        <w:t>.</w:t>
      </w:r>
      <w:proofErr w:type="gramEnd"/>
      <w:r>
        <w:rPr>
          <w:rFonts w:eastAsia="Times New Roman"/>
        </w:rPr>
        <w:t xml:space="preserve"> </w:t>
      </w:r>
      <w:r w:rsidR="0096509A">
        <w:rPr>
          <w:rFonts w:eastAsia="Times New Roman"/>
        </w:rPr>
        <w:t xml:space="preserve"> </w:t>
      </w:r>
      <w:r>
        <w:rPr>
          <w:rFonts w:eastAsia="Times New Roman"/>
        </w:rPr>
        <w:t>Based on issues raised in the litigation, on April 13, 2011, FMCSA published a notice requesting public comment on the harassment issue (76 FR 2061</w:t>
      </w:r>
      <w:r w:rsidR="00B74513">
        <w:rPr>
          <w:rFonts w:eastAsia="Times New Roman"/>
        </w:rPr>
        <w:t>1</w:t>
      </w:r>
      <w:r>
        <w:rPr>
          <w:rFonts w:eastAsia="Times New Roman"/>
        </w:rPr>
        <w:t>)</w:t>
      </w:r>
      <w:r w:rsidR="00B74513">
        <w:rPr>
          <w:rFonts w:eastAsia="Times New Roman"/>
        </w:rPr>
        <w:t xml:space="preserve"> (Attachment D)</w:t>
      </w:r>
      <w:r>
        <w:rPr>
          <w:rFonts w:eastAsia="Times New Roman"/>
        </w:rPr>
        <w:t xml:space="preserve">. </w:t>
      </w:r>
      <w:r w:rsidR="00F03C80">
        <w:rPr>
          <w:rFonts w:eastAsia="Times New Roman"/>
        </w:rPr>
        <w:t xml:space="preserve"> </w:t>
      </w:r>
      <w:r>
        <w:rPr>
          <w:rFonts w:eastAsia="Times New Roman"/>
        </w:rPr>
        <w:t xml:space="preserve">The Agency sought and received some comments on the following items:  </w:t>
      </w:r>
    </w:p>
    <w:p w:rsidR="00A91A04" w:rsidRDefault="00A91A04" w:rsidP="00ED2096">
      <w:pPr>
        <w:pStyle w:val="FMCSAText1"/>
        <w:spacing w:after="0"/>
        <w:rPr>
          <w:rFonts w:eastAsia="Times New Roman"/>
        </w:rPr>
      </w:pPr>
    </w:p>
    <w:p w:rsidR="00A91A04" w:rsidRDefault="00A91A04" w:rsidP="00ED2096">
      <w:pPr>
        <w:pStyle w:val="FMCSAText1"/>
        <w:numPr>
          <w:ilvl w:val="0"/>
          <w:numId w:val="3"/>
        </w:numPr>
        <w:spacing w:after="0"/>
        <w:rPr>
          <w:rFonts w:eastAsia="Times New Roman"/>
        </w:rPr>
      </w:pPr>
      <w:r w:rsidRPr="00BD5861">
        <w:rPr>
          <w:rFonts w:eastAsia="Times New Roman"/>
        </w:rPr>
        <w:t>Experiences drivers have had</w:t>
      </w:r>
      <w:r>
        <w:rPr>
          <w:rFonts w:eastAsia="Times New Roman"/>
        </w:rPr>
        <w:t xml:space="preserve"> </w:t>
      </w:r>
      <w:r w:rsidRPr="00BD5861">
        <w:rPr>
          <w:rFonts w:eastAsia="Times New Roman"/>
        </w:rPr>
        <w:t>regarding harassment, including</w:t>
      </w:r>
      <w:r>
        <w:rPr>
          <w:rFonts w:eastAsia="Times New Roman"/>
        </w:rPr>
        <w:t xml:space="preserve"> </w:t>
      </w:r>
      <w:r w:rsidRPr="00BD5861">
        <w:rPr>
          <w:rFonts w:eastAsia="Times New Roman"/>
        </w:rPr>
        <w:t>coercion by carriers to evade the HOS</w:t>
      </w:r>
      <w:r>
        <w:rPr>
          <w:rFonts w:eastAsia="Times New Roman"/>
        </w:rPr>
        <w:t xml:space="preserve"> </w:t>
      </w:r>
      <w:r w:rsidRPr="00BD5861">
        <w:rPr>
          <w:rFonts w:eastAsia="Times New Roman"/>
        </w:rPr>
        <w:t>regulations;</w:t>
      </w:r>
    </w:p>
    <w:p w:rsidR="00A91A04" w:rsidRDefault="00A91A04" w:rsidP="00ED2096">
      <w:pPr>
        <w:pStyle w:val="FMCSAText1"/>
        <w:numPr>
          <w:ilvl w:val="0"/>
          <w:numId w:val="4"/>
        </w:numPr>
        <w:spacing w:after="0"/>
        <w:rPr>
          <w:rFonts w:eastAsia="Times New Roman"/>
        </w:rPr>
      </w:pPr>
      <w:r w:rsidRPr="00BD5861">
        <w:rPr>
          <w:rFonts w:eastAsia="Times New Roman"/>
        </w:rPr>
        <w:t>Whether such carrier activity would</w:t>
      </w:r>
      <w:r>
        <w:rPr>
          <w:rFonts w:eastAsia="Times New Roman"/>
        </w:rPr>
        <w:t xml:space="preserve"> </w:t>
      </w:r>
      <w:r w:rsidRPr="00BD5861">
        <w:rPr>
          <w:rFonts w:eastAsia="Times New Roman"/>
        </w:rPr>
        <w:t>be permitted as productivity monitoring</w:t>
      </w:r>
      <w:r>
        <w:rPr>
          <w:rFonts w:eastAsia="Times New Roman"/>
        </w:rPr>
        <w:t xml:space="preserve"> </w:t>
      </w:r>
      <w:r w:rsidRPr="00BD5861">
        <w:rPr>
          <w:rFonts w:eastAsia="Times New Roman"/>
        </w:rPr>
        <w:t>or would be barred by other statutory or</w:t>
      </w:r>
      <w:r>
        <w:rPr>
          <w:rFonts w:eastAsia="Times New Roman"/>
        </w:rPr>
        <w:t xml:space="preserve"> </w:t>
      </w:r>
      <w:r w:rsidRPr="00BD5861">
        <w:rPr>
          <w:rFonts w:eastAsia="Times New Roman"/>
        </w:rPr>
        <w:t>regulatory provisions;</w:t>
      </w:r>
    </w:p>
    <w:p w:rsidR="00A91A04" w:rsidRDefault="00A91A04" w:rsidP="00ED2096">
      <w:pPr>
        <w:pStyle w:val="FMCSAText1"/>
        <w:numPr>
          <w:ilvl w:val="0"/>
          <w:numId w:val="4"/>
        </w:numPr>
        <w:spacing w:after="0"/>
        <w:rPr>
          <w:rFonts w:eastAsia="Times New Roman"/>
        </w:rPr>
      </w:pPr>
      <w:r w:rsidRPr="00BD5861">
        <w:rPr>
          <w:rFonts w:eastAsia="Times New Roman"/>
        </w:rPr>
        <w:t>Whether use of EOBRs would</w:t>
      </w:r>
      <w:r>
        <w:rPr>
          <w:rFonts w:eastAsia="Times New Roman"/>
        </w:rPr>
        <w:t xml:space="preserve"> </w:t>
      </w:r>
      <w:r w:rsidRPr="00BD5861">
        <w:rPr>
          <w:rFonts w:eastAsia="Times New Roman"/>
        </w:rPr>
        <w:t>impact the ability of carriers, shippers,</w:t>
      </w:r>
      <w:r>
        <w:rPr>
          <w:rFonts w:eastAsia="Times New Roman"/>
        </w:rPr>
        <w:t xml:space="preserve"> </w:t>
      </w:r>
      <w:r w:rsidRPr="00BD5861">
        <w:rPr>
          <w:rFonts w:eastAsia="Times New Roman"/>
        </w:rPr>
        <w:t>and other parties to harass or coerce</w:t>
      </w:r>
      <w:r>
        <w:rPr>
          <w:rFonts w:eastAsia="Times New Roman"/>
        </w:rPr>
        <w:t xml:space="preserve"> </w:t>
      </w:r>
      <w:r w:rsidRPr="00BD5861">
        <w:rPr>
          <w:rFonts w:eastAsia="Times New Roman"/>
        </w:rPr>
        <w:t>drivers to violate HOS requirements;</w:t>
      </w:r>
    </w:p>
    <w:p w:rsidR="00A91A04" w:rsidRDefault="00A91A04" w:rsidP="00ED2096">
      <w:pPr>
        <w:pStyle w:val="FMCSAText1"/>
        <w:numPr>
          <w:ilvl w:val="0"/>
          <w:numId w:val="4"/>
        </w:numPr>
        <w:spacing w:after="0"/>
        <w:rPr>
          <w:rFonts w:eastAsia="Times New Roman"/>
        </w:rPr>
      </w:pPr>
      <w:r w:rsidRPr="00BD5861">
        <w:rPr>
          <w:rFonts w:eastAsia="Times New Roman"/>
        </w:rPr>
        <w:t>The effectiveness of mechanisms</w:t>
      </w:r>
      <w:r>
        <w:rPr>
          <w:rFonts w:eastAsia="Times New Roman"/>
        </w:rPr>
        <w:t xml:space="preserve"> </w:t>
      </w:r>
      <w:r w:rsidRPr="00BD5861">
        <w:rPr>
          <w:rFonts w:eastAsia="Times New Roman"/>
        </w:rPr>
        <w:t>currently available under 49 CFR 392.3</w:t>
      </w:r>
      <w:r w:rsidR="0025210A">
        <w:rPr>
          <w:rFonts w:eastAsia="Times New Roman"/>
        </w:rPr>
        <w:t xml:space="preserve"> (Attachment E)</w:t>
      </w:r>
      <w:r w:rsidRPr="00BD5861">
        <w:rPr>
          <w:rFonts w:eastAsia="Times New Roman"/>
        </w:rPr>
        <w:t>,</w:t>
      </w:r>
      <w:r>
        <w:rPr>
          <w:rFonts w:eastAsia="Times New Roman"/>
        </w:rPr>
        <w:t xml:space="preserve"> </w:t>
      </w:r>
      <w:r w:rsidRPr="00BD5861">
        <w:rPr>
          <w:rFonts w:eastAsia="Times New Roman"/>
        </w:rPr>
        <w:t>49 CFR part 395 and 49 U.S.C. 31105(a)</w:t>
      </w:r>
      <w:r>
        <w:rPr>
          <w:rFonts w:eastAsia="Times New Roman"/>
        </w:rPr>
        <w:t xml:space="preserve"> </w:t>
      </w:r>
      <w:r w:rsidR="00B74513">
        <w:rPr>
          <w:rFonts w:eastAsia="Times New Roman"/>
        </w:rPr>
        <w:t>(Attachment E)</w:t>
      </w:r>
      <w:r w:rsidR="00074BDA">
        <w:rPr>
          <w:rFonts w:eastAsia="Times New Roman"/>
        </w:rPr>
        <w:t xml:space="preserve"> </w:t>
      </w:r>
      <w:r w:rsidRPr="00BD5861">
        <w:rPr>
          <w:rFonts w:eastAsia="Times New Roman"/>
        </w:rPr>
        <w:t>to protect against carrier coercion; and</w:t>
      </w:r>
    </w:p>
    <w:p w:rsidR="00A91A04" w:rsidRDefault="00A91A04" w:rsidP="00ED2096">
      <w:pPr>
        <w:pStyle w:val="FMCSAText1"/>
        <w:numPr>
          <w:ilvl w:val="0"/>
          <w:numId w:val="4"/>
        </w:numPr>
        <w:spacing w:after="0"/>
        <w:rPr>
          <w:rFonts w:eastAsia="Times New Roman"/>
        </w:rPr>
      </w:pPr>
      <w:r w:rsidRPr="00BD5861">
        <w:rPr>
          <w:rFonts w:eastAsia="Times New Roman"/>
        </w:rPr>
        <w:t>Whether additional regulations or</w:t>
      </w:r>
      <w:r>
        <w:rPr>
          <w:rFonts w:eastAsia="Times New Roman"/>
        </w:rPr>
        <w:t xml:space="preserve"> </w:t>
      </w:r>
      <w:r w:rsidRPr="00BD5861">
        <w:rPr>
          <w:rFonts w:eastAsia="Times New Roman"/>
        </w:rPr>
        <w:t>guidance from FMCSA are necessary to</w:t>
      </w:r>
      <w:r>
        <w:rPr>
          <w:rFonts w:eastAsia="Times New Roman"/>
        </w:rPr>
        <w:t xml:space="preserve"> </w:t>
      </w:r>
      <w:r w:rsidRPr="00BD5861">
        <w:rPr>
          <w:rFonts w:eastAsia="Times New Roman"/>
        </w:rPr>
        <w:t>ensure EOBR devices are not used to</w:t>
      </w:r>
      <w:r>
        <w:rPr>
          <w:rFonts w:eastAsia="Times New Roman"/>
        </w:rPr>
        <w:t xml:space="preserve"> </w:t>
      </w:r>
      <w:r w:rsidRPr="00BD5861">
        <w:rPr>
          <w:rFonts w:eastAsia="Times New Roman"/>
        </w:rPr>
        <w:t>harass vehicle operators.</w:t>
      </w:r>
    </w:p>
    <w:p w:rsidR="00A91A04" w:rsidRPr="00715264" w:rsidRDefault="00A91A04" w:rsidP="00ED2096">
      <w:pPr>
        <w:pStyle w:val="FMCSAText1"/>
        <w:spacing w:after="0"/>
        <w:rPr>
          <w:rFonts w:eastAsia="Times New Roman"/>
        </w:rPr>
      </w:pPr>
    </w:p>
    <w:p w:rsidR="00A91A04" w:rsidRDefault="00A91A04" w:rsidP="00ED2096">
      <w:pPr>
        <w:pStyle w:val="FMCSAText112above"/>
        <w:spacing w:before="0" w:after="0"/>
      </w:pPr>
      <w:r w:rsidRPr="00715264">
        <w:rPr>
          <w:rFonts w:eastAsia="Times New Roman"/>
        </w:rPr>
        <w:t xml:space="preserve">On August </w:t>
      </w:r>
      <w:r>
        <w:rPr>
          <w:rFonts w:eastAsia="Times New Roman"/>
        </w:rPr>
        <w:t>26</w:t>
      </w:r>
      <w:r w:rsidRPr="00715264">
        <w:rPr>
          <w:rFonts w:eastAsia="Times New Roman"/>
        </w:rPr>
        <w:t>, 2011, the U.S</w:t>
      </w:r>
      <w:r>
        <w:rPr>
          <w:rFonts w:eastAsia="Times New Roman"/>
        </w:rPr>
        <w:t>.</w:t>
      </w:r>
      <w:r w:rsidRPr="00715264">
        <w:rPr>
          <w:rFonts w:eastAsia="Times New Roman"/>
        </w:rPr>
        <w:t xml:space="preserve"> Court of Appeals for the Seventh Circuit vacated the Agency’s April 2010 final rule on the use of EOBRs</w:t>
      </w:r>
      <w:r w:rsidR="0096509A">
        <w:rPr>
          <w:rFonts w:eastAsia="Times New Roman"/>
        </w:rPr>
        <w:t xml:space="preserve">. </w:t>
      </w:r>
      <w:r>
        <w:rPr>
          <w:rFonts w:eastAsia="Times New Roman"/>
        </w:rPr>
        <w:t xml:space="preserve"> </w:t>
      </w:r>
      <w:r w:rsidRPr="00715264">
        <w:rPr>
          <w:rFonts w:eastAsia="Times New Roman"/>
        </w:rPr>
        <w:t>The Court stated that contrary to statutory requirements</w:t>
      </w:r>
      <w:r w:rsidRPr="005E0700">
        <w:t>, the Agency failed to address</w:t>
      </w:r>
      <w:r>
        <w:t xml:space="preserve"> the issue of driver harassment, including </w:t>
      </w:r>
      <w:r w:rsidRPr="005E0700">
        <w:t xml:space="preserve">how EOBRs could potentially be used to harass drivers and ways to ensure that EOBRs were not used to harass drivers. </w:t>
      </w:r>
      <w:r w:rsidR="0096509A">
        <w:t xml:space="preserve">  </w:t>
      </w:r>
      <w:r w:rsidRPr="005E0700">
        <w:t>The basis for the Court’s decision was FMCSA’s failure to directly address a requirement in 49 U.S.C. § 31137(a)</w:t>
      </w:r>
      <w:r w:rsidR="000C639D">
        <w:t xml:space="preserve"> (Attachment F)</w:t>
      </w:r>
      <w:r>
        <w:t xml:space="preserve">. </w:t>
      </w:r>
      <w:r w:rsidR="0096509A">
        <w:t xml:space="preserve"> </w:t>
      </w:r>
      <w:r>
        <w:t>The statute reads as follows</w:t>
      </w:r>
      <w:r w:rsidRPr="005E0700">
        <w:t xml:space="preserve">:  </w:t>
      </w:r>
    </w:p>
    <w:p w:rsidR="00A91A04" w:rsidRPr="005E0700" w:rsidRDefault="00A91A04" w:rsidP="00ED2096">
      <w:pPr>
        <w:pStyle w:val="FMCSAText1"/>
        <w:spacing w:after="0"/>
      </w:pPr>
    </w:p>
    <w:p w:rsidR="00A91A04" w:rsidRPr="005E0700" w:rsidRDefault="00A91A04" w:rsidP="00ED2096">
      <w:pPr>
        <w:pStyle w:val="FMCSAText1"/>
        <w:spacing w:after="0"/>
        <w:ind w:left="432" w:right="432"/>
      </w:pPr>
      <w:proofErr w:type="gramStart"/>
      <w:r w:rsidRPr="005E0700">
        <w:t>USE OF MONITORING DEVICES.</w:t>
      </w:r>
      <w:proofErr w:type="gramEnd"/>
      <w:r w:rsidRPr="005E0700">
        <w:t xml:space="preserve">  If the Secretary of Transportation prescribes a regulation about the use of monitoring devices on commercial motor vehicles to increase compliance by operators of the vehicles with hours of service regulations of the Secretary, the regulation shall ensure that the devices are not used to harass vehicle operators.  However, the devices may be used to monitor productivity of the operators.  </w:t>
      </w:r>
    </w:p>
    <w:p w:rsidR="00A91A04" w:rsidRDefault="00A91A04" w:rsidP="00ED2096">
      <w:pPr>
        <w:pStyle w:val="FMCSAText1"/>
        <w:spacing w:after="0"/>
      </w:pPr>
    </w:p>
    <w:p w:rsidR="00A91A04" w:rsidRPr="00A44650" w:rsidRDefault="00A91A04" w:rsidP="00ED2096">
      <w:pPr>
        <w:pStyle w:val="FMCSAText1"/>
      </w:pPr>
      <w:r w:rsidRPr="00A44650">
        <w:t>As a result of the court’s ruling, carriers relying on electronic devices to monitor HOS compliance are currently governed by the rules addressing the use of automatic on-board recording devices</w:t>
      </w:r>
      <w:r>
        <w:t xml:space="preserve"> as in effect immediately before the court’s ruling (49 CFR 395.15)</w:t>
      </w:r>
      <w:r w:rsidR="00125BD4">
        <w:t xml:space="preserve"> (Attachment</w:t>
      </w:r>
      <w:r w:rsidR="00C155FF">
        <w:t xml:space="preserve"> </w:t>
      </w:r>
      <w:r w:rsidR="00125BD4">
        <w:t>A)</w:t>
      </w:r>
      <w:r>
        <w:t xml:space="preserve">. </w:t>
      </w:r>
      <w:r w:rsidR="0096509A">
        <w:t xml:space="preserve"> </w:t>
      </w:r>
      <w:r>
        <w:t xml:space="preserve">These </w:t>
      </w:r>
      <w:r w:rsidRPr="00A44650">
        <w:t>rules were not affected by the Seventh Circuit’s decision.</w:t>
      </w:r>
    </w:p>
    <w:p w:rsidR="00A91A04" w:rsidRPr="00A120B9" w:rsidRDefault="00A91A04" w:rsidP="00ED2096">
      <w:pPr>
        <w:pStyle w:val="FMCSAText112above"/>
        <w:spacing w:before="0" w:after="0"/>
      </w:pPr>
      <w:r>
        <w:t xml:space="preserve">The </w:t>
      </w:r>
      <w:r w:rsidRPr="005E0700">
        <w:t xml:space="preserve">objective </w:t>
      </w:r>
      <w:r>
        <w:t xml:space="preserve">of </w:t>
      </w:r>
      <w:r w:rsidR="006626F2">
        <w:t xml:space="preserve">conducting </w:t>
      </w:r>
      <w:r>
        <w:t>the survey through this information collection</w:t>
      </w:r>
      <w:r w:rsidR="006626F2">
        <w:t xml:space="preserve"> request (ICR)</w:t>
      </w:r>
      <w:r>
        <w:t xml:space="preserve"> </w:t>
      </w:r>
      <w:r w:rsidRPr="005E0700">
        <w:t xml:space="preserve">is to examine the issue of driver harassment and determine the extent to which </w:t>
      </w:r>
      <w:r>
        <w:t>EOBRs</w:t>
      </w:r>
      <w:r w:rsidRPr="005E0700">
        <w:t xml:space="preserve"> are used to either harass and/or monitor driver productivity. </w:t>
      </w:r>
      <w:r>
        <w:t xml:space="preserve"> The </w:t>
      </w:r>
      <w:r w:rsidR="006626F2">
        <w:t xml:space="preserve">proposed </w:t>
      </w:r>
      <w:r>
        <w:t>survey will explore the relevant issues from the perspective of both drivers and carriers</w:t>
      </w:r>
      <w:r w:rsidR="00040481">
        <w:t>.  The intention of this survey</w:t>
      </w:r>
      <w:r>
        <w:t xml:space="preserve"> is to specifically respond, in part, to the </w:t>
      </w:r>
      <w:r w:rsidR="002619CF">
        <w:t>Court’s suggestion</w:t>
      </w:r>
      <w:r w:rsidR="00C51D21">
        <w:t xml:space="preserve"> </w:t>
      </w:r>
      <w:r>
        <w:t xml:space="preserve">that the Agency </w:t>
      </w:r>
      <w:r w:rsidR="00074BDA">
        <w:t>examine</w:t>
      </w:r>
      <w:r>
        <w:t xml:space="preserve"> the </w:t>
      </w:r>
      <w:r w:rsidR="006626F2">
        <w:t xml:space="preserve">issue </w:t>
      </w:r>
      <w:r>
        <w:t>of harassment</w:t>
      </w:r>
      <w:r w:rsidR="00C51D21">
        <w:t xml:space="preserve"> based on the use of the devices</w:t>
      </w:r>
      <w:r>
        <w:t xml:space="preserve">.  </w:t>
      </w:r>
      <w:r w:rsidR="003D1FCC">
        <w:t xml:space="preserve">The </w:t>
      </w:r>
      <w:r>
        <w:t>research questions which have guided the framing of the survey question</w:t>
      </w:r>
      <w:r w:rsidR="008D29A5">
        <w:t>naire</w:t>
      </w:r>
      <w:r>
        <w:t xml:space="preserve"> </w:t>
      </w:r>
      <w:r w:rsidR="003D1FCC">
        <w:t>are</w:t>
      </w:r>
      <w:r w:rsidRPr="00A120B9">
        <w:t xml:space="preserve"> </w:t>
      </w:r>
      <w:r w:rsidR="00783A4B">
        <w:t xml:space="preserve">shown below: </w:t>
      </w:r>
      <w:r w:rsidRPr="00A120B9">
        <w:t xml:space="preserve"> </w:t>
      </w:r>
    </w:p>
    <w:p w:rsidR="00A91A04" w:rsidRDefault="00A91A04" w:rsidP="00ED2096">
      <w:pPr>
        <w:pStyle w:val="FMCSAText1"/>
        <w:spacing w:after="0"/>
      </w:pPr>
    </w:p>
    <w:p w:rsidR="00A91A04" w:rsidRPr="00A120B9" w:rsidRDefault="00A91A04" w:rsidP="00ED2096">
      <w:pPr>
        <w:pStyle w:val="FMCSAListBullet1"/>
        <w:numPr>
          <w:ilvl w:val="0"/>
          <w:numId w:val="2"/>
        </w:numPr>
        <w:spacing w:before="0"/>
      </w:pPr>
      <w:r w:rsidRPr="00A120B9">
        <w:t xml:space="preserve">What types of actions by motor carriers and others do CMV drivers consider harassment? </w:t>
      </w:r>
    </w:p>
    <w:p w:rsidR="00A91A04" w:rsidRPr="00A120B9" w:rsidRDefault="00A91A04" w:rsidP="00ED2096">
      <w:pPr>
        <w:pStyle w:val="FMCSAListBullet1"/>
        <w:numPr>
          <w:ilvl w:val="0"/>
          <w:numId w:val="2"/>
        </w:numPr>
        <w:spacing w:before="0"/>
      </w:pPr>
      <w:r w:rsidRPr="00A120B9">
        <w:lastRenderedPageBreak/>
        <w:t>What is CMV driver harassment, in the context of HOS compliance or noncompliance?</w:t>
      </w:r>
    </w:p>
    <w:p w:rsidR="00A91A04" w:rsidRPr="00A120B9" w:rsidRDefault="00A91A04" w:rsidP="00ED2096">
      <w:pPr>
        <w:pStyle w:val="FMCSAListBullet1"/>
        <w:numPr>
          <w:ilvl w:val="0"/>
          <w:numId w:val="2"/>
        </w:numPr>
        <w:spacing w:before="0"/>
      </w:pPr>
      <w:r w:rsidRPr="00A120B9">
        <w:t xml:space="preserve">How often does HOS-related driver harassment take place and how severe is it? </w:t>
      </w:r>
    </w:p>
    <w:p w:rsidR="00A91A04" w:rsidRDefault="00A91A04" w:rsidP="00ED2096">
      <w:pPr>
        <w:pStyle w:val="FMCSAListBullet1"/>
        <w:numPr>
          <w:ilvl w:val="0"/>
          <w:numId w:val="2"/>
        </w:numPr>
        <w:spacing w:before="0"/>
      </w:pPr>
      <w:r w:rsidRPr="00A120B9">
        <w:t>Is there a statistically significant difference in the actions that drivers consider harassment between users and non-users of HOS</w:t>
      </w:r>
      <w:r w:rsidR="00E41AAD">
        <w:t xml:space="preserve"> monitoring devices (HOS</w:t>
      </w:r>
      <w:r w:rsidRPr="00A120B9">
        <w:t>-MDs</w:t>
      </w:r>
      <w:r w:rsidR="00E41AAD">
        <w:t>)</w:t>
      </w:r>
      <w:r w:rsidRPr="00A120B9">
        <w:t>?</w:t>
      </w:r>
    </w:p>
    <w:p w:rsidR="00A91A04" w:rsidRPr="00A120B9" w:rsidRDefault="00A91A04" w:rsidP="00ED2096">
      <w:pPr>
        <w:pStyle w:val="FMCSAListBullet1"/>
        <w:numPr>
          <w:ilvl w:val="0"/>
          <w:numId w:val="2"/>
        </w:numPr>
        <w:spacing w:before="0"/>
      </w:pPr>
      <w:r>
        <w:t>Are there differences in the level of reported driver harassment by type of HOS-MD?</w:t>
      </w:r>
    </w:p>
    <w:p w:rsidR="00A91A04" w:rsidRPr="00A120B9" w:rsidRDefault="00A91A04" w:rsidP="00ED2096">
      <w:pPr>
        <w:pStyle w:val="FMCSAListBullet1"/>
        <w:numPr>
          <w:ilvl w:val="0"/>
          <w:numId w:val="2"/>
        </w:numPr>
        <w:spacing w:before="0"/>
      </w:pPr>
      <w:r w:rsidRPr="00A120B9">
        <w:t xml:space="preserve">How are HOS-MDs used by motor carriers to monitor </w:t>
      </w:r>
      <w:r>
        <w:t xml:space="preserve">and improve </w:t>
      </w:r>
      <w:r w:rsidRPr="00A120B9">
        <w:t xml:space="preserve">driver productivity? </w:t>
      </w:r>
    </w:p>
    <w:p w:rsidR="00A91A04" w:rsidRPr="00A120B9" w:rsidRDefault="00A91A04" w:rsidP="00ED2096">
      <w:pPr>
        <w:pStyle w:val="FMCSAListBullet1"/>
        <w:numPr>
          <w:ilvl w:val="0"/>
          <w:numId w:val="2"/>
        </w:numPr>
        <w:spacing w:before="0"/>
      </w:pPr>
      <w:r w:rsidRPr="00A120B9">
        <w:t xml:space="preserve">What measures </w:t>
      </w:r>
      <w:r>
        <w:t xml:space="preserve">of productivity </w:t>
      </w:r>
      <w:r w:rsidRPr="00A120B9">
        <w:t xml:space="preserve">are used and how extensive is their use? </w:t>
      </w:r>
    </w:p>
    <w:p w:rsidR="00A91A04" w:rsidRPr="00A120B9" w:rsidRDefault="00A91A04" w:rsidP="00ED2096">
      <w:pPr>
        <w:pStyle w:val="FMCSAListBullet1"/>
        <w:numPr>
          <w:ilvl w:val="0"/>
          <w:numId w:val="2"/>
        </w:numPr>
        <w:spacing w:before="0"/>
      </w:pPr>
      <w:r w:rsidRPr="00A120B9">
        <w:t xml:space="preserve">How does the use of these </w:t>
      </w:r>
      <w:r>
        <w:t xml:space="preserve">productivity </w:t>
      </w:r>
      <w:r w:rsidRPr="00A120B9">
        <w:t xml:space="preserve">metrics differ between users and non-users of HOS-MDs? </w:t>
      </w:r>
    </w:p>
    <w:p w:rsidR="00A91A04" w:rsidRPr="00A120B9" w:rsidRDefault="00A91A04" w:rsidP="00ED2096">
      <w:pPr>
        <w:pStyle w:val="FMCSAListBullet1"/>
        <w:numPr>
          <w:ilvl w:val="0"/>
          <w:numId w:val="2"/>
        </w:numPr>
        <w:spacing w:before="0"/>
      </w:pPr>
      <w:r w:rsidRPr="00A120B9">
        <w:t xml:space="preserve">Is there a statistically significant difference in the use of these </w:t>
      </w:r>
      <w:r w:rsidR="006626F2">
        <w:t>measures</w:t>
      </w:r>
      <w:r w:rsidRPr="00A120B9">
        <w:t xml:space="preserve"> between users and non-users of HOS-MDs?</w:t>
      </w:r>
    </w:p>
    <w:p w:rsidR="00A91A04" w:rsidRPr="00A120B9" w:rsidRDefault="00A91A04" w:rsidP="00ED2096">
      <w:pPr>
        <w:pStyle w:val="FMCSAListBullet1"/>
        <w:numPr>
          <w:ilvl w:val="0"/>
          <w:numId w:val="2"/>
        </w:numPr>
        <w:spacing w:before="0"/>
      </w:pPr>
      <w:r w:rsidRPr="00A120B9">
        <w:t>What is the level of driver acceptance associated with these measures of productivity?</w:t>
      </w:r>
    </w:p>
    <w:p w:rsidR="00A91A04" w:rsidRPr="00B94AA8" w:rsidRDefault="00A91A04" w:rsidP="00ED2096">
      <w:pPr>
        <w:pStyle w:val="FMCSAListBullet1"/>
        <w:numPr>
          <w:ilvl w:val="0"/>
          <w:numId w:val="2"/>
        </w:numPr>
        <w:spacing w:before="0"/>
      </w:pPr>
      <w:r w:rsidRPr="00B94AA8">
        <w:t xml:space="preserve">Are there notable distinctions in the way HOS-MDs are used to monitor versus harass drivers? </w:t>
      </w:r>
    </w:p>
    <w:p w:rsidR="00A91A04" w:rsidRDefault="00A91A04" w:rsidP="00ED2096">
      <w:pPr>
        <w:pStyle w:val="FMCSAListBullet1"/>
        <w:numPr>
          <w:ilvl w:val="0"/>
          <w:numId w:val="2"/>
        </w:numPr>
        <w:spacing w:before="0"/>
      </w:pPr>
      <w:r w:rsidRPr="00A120B9">
        <w:t xml:space="preserve">What are various ways to ensure that HOS-MDs are not used by motor carriers, shippers and others in the transportation chain to harass drivers?  </w:t>
      </w:r>
    </w:p>
    <w:p w:rsidR="00A91A04" w:rsidRPr="00A120B9" w:rsidRDefault="00074BDA" w:rsidP="00ED2096">
      <w:pPr>
        <w:pStyle w:val="FMCSAListBullet1"/>
        <w:numPr>
          <w:ilvl w:val="0"/>
          <w:numId w:val="2"/>
        </w:numPr>
        <w:spacing w:before="0"/>
      </w:pPr>
      <w:r>
        <w:rPr>
          <w:rFonts w:eastAsia="Times New Roman"/>
        </w:rPr>
        <w:t>How</w:t>
      </w:r>
      <w:r w:rsidR="00A91A04">
        <w:rPr>
          <w:rFonts w:eastAsia="Times New Roman"/>
        </w:rPr>
        <w:t xml:space="preserve"> </w:t>
      </w:r>
      <w:r w:rsidR="00A91A04" w:rsidRPr="00BD5861">
        <w:rPr>
          <w:rFonts w:eastAsia="Times New Roman"/>
        </w:rPr>
        <w:t>effective</w:t>
      </w:r>
      <w:r>
        <w:rPr>
          <w:rFonts w:eastAsia="Times New Roman"/>
        </w:rPr>
        <w:t xml:space="preserve"> are</w:t>
      </w:r>
      <w:r w:rsidR="00A91A04" w:rsidRPr="00BD5861">
        <w:rPr>
          <w:rFonts w:eastAsia="Times New Roman"/>
        </w:rPr>
        <w:t xml:space="preserve"> mechanisms</w:t>
      </w:r>
      <w:r w:rsidR="00A91A04">
        <w:rPr>
          <w:rFonts w:eastAsia="Times New Roman"/>
        </w:rPr>
        <w:t xml:space="preserve"> </w:t>
      </w:r>
      <w:r w:rsidR="00A91A04" w:rsidRPr="00BD5861">
        <w:rPr>
          <w:rFonts w:eastAsia="Times New Roman"/>
        </w:rPr>
        <w:t>currently available under 49 CFR 392.3</w:t>
      </w:r>
      <w:r w:rsidR="0025210A">
        <w:rPr>
          <w:rFonts w:eastAsia="Times New Roman"/>
        </w:rPr>
        <w:t xml:space="preserve"> (Attachment</w:t>
      </w:r>
      <w:r w:rsidR="00125BD4">
        <w:rPr>
          <w:rFonts w:eastAsia="Times New Roman"/>
        </w:rPr>
        <w:t xml:space="preserve"> E)</w:t>
      </w:r>
      <w:r w:rsidR="00A91A04" w:rsidRPr="00BD5861">
        <w:rPr>
          <w:rFonts w:eastAsia="Times New Roman"/>
        </w:rPr>
        <w:t>,</w:t>
      </w:r>
      <w:r w:rsidR="00A91A04">
        <w:rPr>
          <w:rFonts w:eastAsia="Times New Roman"/>
        </w:rPr>
        <w:t xml:space="preserve"> </w:t>
      </w:r>
      <w:r w:rsidR="00A91A04" w:rsidRPr="00BD5861">
        <w:rPr>
          <w:rFonts w:eastAsia="Times New Roman"/>
        </w:rPr>
        <w:t>49 CFR part 395</w:t>
      </w:r>
      <w:r w:rsidR="00125BD4">
        <w:rPr>
          <w:rFonts w:eastAsia="Times New Roman"/>
        </w:rPr>
        <w:t xml:space="preserve"> (Attachment A)</w:t>
      </w:r>
      <w:r w:rsidR="00A91A04" w:rsidRPr="00BD5861">
        <w:rPr>
          <w:rFonts w:eastAsia="Times New Roman"/>
        </w:rPr>
        <w:t xml:space="preserve"> and 49 U.S.C. 31105(a)</w:t>
      </w:r>
      <w:r w:rsidR="00125BD4">
        <w:rPr>
          <w:rFonts w:eastAsia="Times New Roman"/>
        </w:rPr>
        <w:t xml:space="preserve"> (Attachment F)</w:t>
      </w:r>
      <w:r w:rsidR="00A91A04">
        <w:rPr>
          <w:rFonts w:eastAsia="Times New Roman"/>
        </w:rPr>
        <w:t xml:space="preserve"> </w:t>
      </w:r>
      <w:r w:rsidR="00A91A04" w:rsidRPr="00BD5861">
        <w:rPr>
          <w:rFonts w:eastAsia="Times New Roman"/>
        </w:rPr>
        <w:t>to protect against carrier coercion</w:t>
      </w:r>
      <w:r w:rsidR="00A91A04">
        <w:rPr>
          <w:rFonts w:eastAsia="Times New Roman"/>
        </w:rPr>
        <w:t>?</w:t>
      </w:r>
    </w:p>
    <w:p w:rsidR="00A91A04" w:rsidRDefault="00A91A04" w:rsidP="00ED2096">
      <w:pPr>
        <w:pStyle w:val="FMCSAListBullet1"/>
        <w:numPr>
          <w:ilvl w:val="0"/>
          <w:numId w:val="2"/>
        </w:numPr>
        <w:spacing w:before="0"/>
      </w:pPr>
      <w:r w:rsidRPr="00A120B9">
        <w:t xml:space="preserve">What actions could FMCSA take to address situations where a motor carrier has been found by FMCSA to harass drivers?  </w:t>
      </w:r>
    </w:p>
    <w:p w:rsidR="00A91A04" w:rsidRDefault="00A91A04" w:rsidP="003F0B0F">
      <w:pPr>
        <w:pStyle w:val="FMCSAListBullet1"/>
        <w:numPr>
          <w:ilvl w:val="0"/>
          <w:numId w:val="0"/>
        </w:numPr>
        <w:spacing w:before="0"/>
        <w:ind w:left="720" w:hanging="360"/>
      </w:pPr>
    </w:p>
    <w:p w:rsidR="006A12BF" w:rsidRPr="006A12BF" w:rsidRDefault="006A12BF" w:rsidP="006A12BF">
      <w:pPr>
        <w:rPr>
          <w:rFonts w:eastAsia="Times New Roman"/>
          <w:szCs w:val="22"/>
        </w:rPr>
      </w:pPr>
      <w:r w:rsidRPr="006A12BF">
        <w:rPr>
          <w:rFonts w:eastAsia="Times New Roman"/>
          <w:b/>
          <w:szCs w:val="22"/>
        </w:rPr>
        <w:t>2.  How, by whom, how frequently, and for what purpose the information is used.</w:t>
      </w:r>
    </w:p>
    <w:p w:rsidR="006A12BF" w:rsidRPr="006A12BF" w:rsidRDefault="006A12BF" w:rsidP="006A12BF">
      <w:pPr>
        <w:rPr>
          <w:rFonts w:eastAsia="Times New Roman"/>
          <w:szCs w:val="22"/>
        </w:rPr>
      </w:pPr>
    </w:p>
    <w:p w:rsidR="006A12BF" w:rsidRDefault="006A12BF" w:rsidP="006A12BF">
      <w:pPr>
        <w:rPr>
          <w:rFonts w:eastAsia="Times New Roman"/>
          <w:szCs w:val="22"/>
        </w:rPr>
      </w:pPr>
      <w:r w:rsidRPr="006A12BF">
        <w:rPr>
          <w:rFonts w:eastAsia="Times New Roman"/>
          <w:szCs w:val="22"/>
        </w:rPr>
        <w:t xml:space="preserve">The focus of the </w:t>
      </w:r>
      <w:r w:rsidR="00074BDA">
        <w:rPr>
          <w:rFonts w:eastAsia="Times New Roman"/>
          <w:szCs w:val="22"/>
        </w:rPr>
        <w:t>ICR</w:t>
      </w:r>
      <w:r w:rsidRPr="006A12BF">
        <w:rPr>
          <w:rFonts w:eastAsia="Times New Roman"/>
          <w:szCs w:val="22"/>
        </w:rPr>
        <w:t xml:space="preserve"> and the surveys is to inform FMCSA in its planned regulation relating to </w:t>
      </w:r>
      <w:r w:rsidR="00F54E8A">
        <w:rPr>
          <w:rFonts w:eastAsia="Times New Roman"/>
          <w:szCs w:val="22"/>
        </w:rPr>
        <w:t xml:space="preserve">the </w:t>
      </w:r>
      <w:r w:rsidRPr="006A12BF">
        <w:rPr>
          <w:rFonts w:eastAsia="Times New Roman"/>
          <w:szCs w:val="22"/>
        </w:rPr>
        <w:t xml:space="preserve">use of EOBRs in commercial vehicle operations, including </w:t>
      </w:r>
      <w:r w:rsidR="00F54E8A">
        <w:rPr>
          <w:rFonts w:eastAsia="Times New Roman"/>
          <w:szCs w:val="22"/>
        </w:rPr>
        <w:t xml:space="preserve">the </w:t>
      </w:r>
      <w:r w:rsidRPr="006A12BF">
        <w:rPr>
          <w:rFonts w:eastAsia="Times New Roman"/>
          <w:szCs w:val="22"/>
        </w:rPr>
        <w:t>potential countermeasures or best practices that will ensure that EOBRs are not used by carriers for driver harassment.</w:t>
      </w:r>
    </w:p>
    <w:p w:rsidR="002D4EEB" w:rsidRDefault="002D4EEB" w:rsidP="006A12BF">
      <w:pPr>
        <w:rPr>
          <w:rFonts w:eastAsia="Times New Roman"/>
          <w:szCs w:val="22"/>
        </w:rPr>
      </w:pPr>
    </w:p>
    <w:p w:rsidR="002D4EEB" w:rsidRDefault="002D4EEB" w:rsidP="002D4EEB">
      <w:pPr>
        <w:rPr>
          <w:rFonts w:eastAsia="Times New Roman"/>
          <w:szCs w:val="22"/>
        </w:rPr>
      </w:pPr>
      <w:r w:rsidRPr="009B561D">
        <w:rPr>
          <w:rFonts w:eastAsia="Times New Roman"/>
          <w:szCs w:val="22"/>
        </w:rPr>
        <w:t xml:space="preserve">This </w:t>
      </w:r>
      <w:r>
        <w:rPr>
          <w:rFonts w:eastAsia="Times New Roman"/>
          <w:szCs w:val="22"/>
        </w:rPr>
        <w:t>ICR has been disaggregated into two information collections (ICs) as follow:</w:t>
      </w:r>
    </w:p>
    <w:p w:rsidR="002D4EEB" w:rsidRDefault="002D4EEB" w:rsidP="002D4EEB">
      <w:pPr>
        <w:rPr>
          <w:rFonts w:eastAsia="Times New Roman"/>
          <w:szCs w:val="22"/>
        </w:rPr>
      </w:pPr>
    </w:p>
    <w:p w:rsidR="002D4EEB" w:rsidRPr="009B561D" w:rsidRDefault="002D4EEB" w:rsidP="002D4EEB">
      <w:pPr>
        <w:pStyle w:val="ListParagraph"/>
        <w:numPr>
          <w:ilvl w:val="0"/>
          <w:numId w:val="9"/>
        </w:numPr>
        <w:rPr>
          <w:rFonts w:eastAsia="Times New Roman"/>
          <w:szCs w:val="22"/>
          <w:u w:val="single"/>
        </w:rPr>
      </w:pPr>
      <w:r w:rsidRPr="009B561D">
        <w:rPr>
          <w:rFonts w:eastAsia="Times New Roman"/>
          <w:szCs w:val="22"/>
          <w:u w:val="single"/>
        </w:rPr>
        <w:t>IC-1:  Carriers</w:t>
      </w:r>
      <w:r w:rsidRPr="00CE3E69">
        <w:rPr>
          <w:rFonts w:eastAsia="Times New Roman"/>
          <w:szCs w:val="22"/>
        </w:rPr>
        <w:t>:</w:t>
      </w:r>
    </w:p>
    <w:p w:rsidR="002D4EEB" w:rsidRPr="009B561D" w:rsidRDefault="002D4EEB" w:rsidP="002D4EEB">
      <w:pPr>
        <w:pStyle w:val="ListParagraph"/>
        <w:rPr>
          <w:rFonts w:eastAsia="Times New Roman"/>
          <w:szCs w:val="22"/>
        </w:rPr>
      </w:pPr>
      <w:r w:rsidRPr="009B561D">
        <w:rPr>
          <w:rFonts w:eastAsia="Times New Roman"/>
          <w:szCs w:val="22"/>
        </w:rPr>
        <w:t>MCSA-5877, Qualitative Discussion Guide One-on-One In Depth Interview with Carriers</w:t>
      </w:r>
      <w:r>
        <w:rPr>
          <w:rFonts w:eastAsia="Times New Roman"/>
          <w:szCs w:val="22"/>
        </w:rPr>
        <w:t>.</w:t>
      </w:r>
    </w:p>
    <w:p w:rsidR="002D4EEB" w:rsidRPr="009B561D" w:rsidRDefault="002D4EEB" w:rsidP="002D4EEB">
      <w:pPr>
        <w:pStyle w:val="ListParagraph"/>
        <w:rPr>
          <w:rFonts w:eastAsia="Times New Roman"/>
          <w:szCs w:val="22"/>
        </w:rPr>
      </w:pPr>
      <w:r w:rsidRPr="009B561D">
        <w:rPr>
          <w:rFonts w:eastAsia="Times New Roman"/>
          <w:szCs w:val="22"/>
        </w:rPr>
        <w:t>MCSA-5878, Qualitative Discussion Guide One-on-One In Depth Interview with Carriers Recruitment Questionnaire</w:t>
      </w:r>
      <w:r>
        <w:rPr>
          <w:rFonts w:eastAsia="Times New Roman"/>
          <w:szCs w:val="22"/>
        </w:rPr>
        <w:t>.</w:t>
      </w:r>
    </w:p>
    <w:p w:rsidR="002D4EEB" w:rsidRDefault="002D4EEB" w:rsidP="002D4EEB">
      <w:pPr>
        <w:pStyle w:val="ListParagraph"/>
        <w:rPr>
          <w:rFonts w:eastAsia="Times New Roman"/>
          <w:szCs w:val="22"/>
        </w:rPr>
      </w:pPr>
      <w:proofErr w:type="gramStart"/>
      <w:r w:rsidRPr="009B561D">
        <w:rPr>
          <w:rFonts w:eastAsia="Times New Roman"/>
          <w:szCs w:val="22"/>
        </w:rPr>
        <w:t>MCSA-5879,</w:t>
      </w:r>
      <w:r>
        <w:rPr>
          <w:rFonts w:eastAsia="Times New Roman"/>
          <w:szCs w:val="22"/>
        </w:rPr>
        <w:t xml:space="preserve"> </w:t>
      </w:r>
      <w:r w:rsidRPr="009B561D">
        <w:rPr>
          <w:rFonts w:eastAsia="Times New Roman"/>
          <w:szCs w:val="22"/>
        </w:rPr>
        <w:t>Web Survey with Carriers</w:t>
      </w:r>
      <w:r>
        <w:rPr>
          <w:rFonts w:eastAsia="Times New Roman"/>
          <w:szCs w:val="22"/>
        </w:rPr>
        <w:t>.</w:t>
      </w:r>
      <w:proofErr w:type="gramEnd"/>
    </w:p>
    <w:p w:rsidR="002D4EEB" w:rsidRDefault="002D4EEB" w:rsidP="002D4EEB">
      <w:pPr>
        <w:pStyle w:val="ListParagraph"/>
        <w:rPr>
          <w:rFonts w:eastAsia="Times New Roman"/>
          <w:szCs w:val="22"/>
        </w:rPr>
      </w:pPr>
      <w:proofErr w:type="gramStart"/>
      <w:r>
        <w:rPr>
          <w:rFonts w:eastAsia="Times New Roman"/>
          <w:szCs w:val="22"/>
        </w:rPr>
        <w:t>MCSA-5885, Non-Response Survey with Carriers (Telephone).</w:t>
      </w:r>
      <w:proofErr w:type="gramEnd"/>
    </w:p>
    <w:p w:rsidR="002D4EEB" w:rsidRPr="009B561D" w:rsidRDefault="002D4EEB" w:rsidP="002D4EEB">
      <w:pPr>
        <w:pStyle w:val="ListParagraph"/>
        <w:numPr>
          <w:ilvl w:val="0"/>
          <w:numId w:val="9"/>
        </w:numPr>
        <w:rPr>
          <w:rFonts w:eastAsia="Times New Roman"/>
          <w:szCs w:val="22"/>
          <w:u w:val="single"/>
        </w:rPr>
      </w:pPr>
      <w:r w:rsidRPr="009B561D">
        <w:rPr>
          <w:rFonts w:eastAsia="Times New Roman"/>
          <w:szCs w:val="22"/>
          <w:u w:val="single"/>
        </w:rPr>
        <w:t>IC-2:  Drivers</w:t>
      </w:r>
      <w:r w:rsidRPr="00CE3E69">
        <w:rPr>
          <w:rFonts w:eastAsia="Times New Roman"/>
          <w:szCs w:val="22"/>
        </w:rPr>
        <w:t>:</w:t>
      </w:r>
    </w:p>
    <w:p w:rsidR="002D4EEB" w:rsidRPr="009B561D" w:rsidRDefault="002D4EEB" w:rsidP="002D4EEB">
      <w:pPr>
        <w:pStyle w:val="ListParagraph"/>
        <w:rPr>
          <w:rFonts w:eastAsia="Times New Roman"/>
          <w:szCs w:val="22"/>
        </w:rPr>
      </w:pPr>
      <w:r w:rsidRPr="009B561D">
        <w:rPr>
          <w:rFonts w:eastAsia="Times New Roman"/>
          <w:szCs w:val="22"/>
        </w:rPr>
        <w:t>MCSA-5880, Qualitative Discussion Guide One-on-One In Depth Interview with Drivers Main Questionnaire</w:t>
      </w:r>
      <w:r>
        <w:rPr>
          <w:rFonts w:eastAsia="Times New Roman"/>
          <w:szCs w:val="22"/>
        </w:rPr>
        <w:t>.</w:t>
      </w:r>
    </w:p>
    <w:p w:rsidR="002D4EEB" w:rsidRPr="009B561D" w:rsidRDefault="002D4EEB" w:rsidP="002D4EEB">
      <w:pPr>
        <w:pStyle w:val="ListParagraph"/>
        <w:rPr>
          <w:rFonts w:eastAsia="Times New Roman"/>
          <w:szCs w:val="22"/>
        </w:rPr>
      </w:pPr>
      <w:r w:rsidRPr="009B561D">
        <w:rPr>
          <w:rFonts w:eastAsia="Times New Roman"/>
          <w:szCs w:val="22"/>
        </w:rPr>
        <w:t>MCSA-5881, Qualitative Discussion Guide One-on-One In Depth Interview with Drivers Recruitment Questionnaire</w:t>
      </w:r>
      <w:r>
        <w:rPr>
          <w:rFonts w:eastAsia="Times New Roman"/>
          <w:szCs w:val="22"/>
        </w:rPr>
        <w:t>.</w:t>
      </w:r>
    </w:p>
    <w:p w:rsidR="002D4EEB" w:rsidRPr="009B561D" w:rsidRDefault="002D4EEB" w:rsidP="002D4EEB">
      <w:pPr>
        <w:pStyle w:val="ListParagraph"/>
        <w:rPr>
          <w:rFonts w:eastAsia="Times New Roman"/>
          <w:szCs w:val="22"/>
        </w:rPr>
      </w:pPr>
      <w:proofErr w:type="gramStart"/>
      <w:r w:rsidRPr="009B561D">
        <w:rPr>
          <w:rFonts w:eastAsia="Times New Roman"/>
          <w:szCs w:val="22"/>
        </w:rPr>
        <w:t>MCSA-5882, In</w:t>
      </w:r>
      <w:r>
        <w:rPr>
          <w:rFonts w:eastAsia="Times New Roman"/>
          <w:szCs w:val="22"/>
        </w:rPr>
        <w:t>ter</w:t>
      </w:r>
      <w:r w:rsidRPr="009B561D">
        <w:rPr>
          <w:rFonts w:eastAsia="Times New Roman"/>
          <w:szCs w:val="22"/>
        </w:rPr>
        <w:t>cept Survey with Drivers</w:t>
      </w:r>
      <w:r>
        <w:rPr>
          <w:rFonts w:eastAsia="Times New Roman"/>
          <w:szCs w:val="22"/>
        </w:rPr>
        <w:t>.</w:t>
      </w:r>
      <w:proofErr w:type="gramEnd"/>
    </w:p>
    <w:p w:rsidR="002D4EEB" w:rsidRPr="006A12BF" w:rsidRDefault="002D4EEB" w:rsidP="006A12BF">
      <w:pPr>
        <w:rPr>
          <w:rFonts w:eastAsia="Times New Roman"/>
          <w:szCs w:val="22"/>
        </w:rPr>
      </w:pPr>
    </w:p>
    <w:p w:rsidR="006A12BF" w:rsidRDefault="00120FFE" w:rsidP="006A12BF">
      <w:pPr>
        <w:rPr>
          <w:rFonts w:eastAsia="Times New Roman"/>
          <w:szCs w:val="22"/>
        </w:rPr>
      </w:pPr>
      <w:r>
        <w:rPr>
          <w:rFonts w:eastAsia="Times New Roman"/>
          <w:szCs w:val="22"/>
        </w:rPr>
        <w:t xml:space="preserve">Hand Cards:   </w:t>
      </w:r>
      <w:r w:rsidR="00CE3E69">
        <w:rPr>
          <w:rFonts w:eastAsia="Times New Roman"/>
          <w:szCs w:val="22"/>
        </w:rPr>
        <w:t>Sheets drivers can read from, which will speed the interview.</w:t>
      </w:r>
    </w:p>
    <w:p w:rsidR="00120FFE" w:rsidRDefault="00120FFE" w:rsidP="006A12BF">
      <w:pPr>
        <w:rPr>
          <w:rFonts w:eastAsia="Times New Roman"/>
          <w:szCs w:val="22"/>
        </w:rPr>
      </w:pPr>
      <w:r>
        <w:rPr>
          <w:rFonts w:eastAsia="Times New Roman"/>
          <w:szCs w:val="22"/>
        </w:rPr>
        <w:lastRenderedPageBreak/>
        <w:t>P</w:t>
      </w:r>
      <w:r w:rsidR="00CE3E69">
        <w:rPr>
          <w:rFonts w:eastAsia="Times New Roman"/>
          <w:szCs w:val="22"/>
        </w:rPr>
        <w:t>e</w:t>
      </w:r>
      <w:r>
        <w:rPr>
          <w:rFonts w:eastAsia="Times New Roman"/>
          <w:szCs w:val="22"/>
        </w:rPr>
        <w:t>rmission and Acknowledgement Cards:</w:t>
      </w:r>
      <w:r w:rsidR="00CE3E69">
        <w:rPr>
          <w:rFonts w:eastAsia="Times New Roman"/>
          <w:szCs w:val="22"/>
        </w:rPr>
        <w:t xml:space="preserve">  Acknowledgement that the interview is understood to be voluntary.</w:t>
      </w:r>
    </w:p>
    <w:p w:rsidR="00CE3E69" w:rsidRPr="006A12BF" w:rsidRDefault="00CE3E69" w:rsidP="006A12BF">
      <w:pPr>
        <w:rPr>
          <w:rFonts w:eastAsia="Times New Roman"/>
          <w:szCs w:val="22"/>
        </w:rPr>
      </w:pPr>
    </w:p>
    <w:p w:rsidR="006A12BF" w:rsidRPr="006A12BF" w:rsidRDefault="006A12BF" w:rsidP="006A12BF">
      <w:pPr>
        <w:rPr>
          <w:rFonts w:eastAsia="Times New Roman"/>
          <w:szCs w:val="22"/>
        </w:rPr>
      </w:pPr>
      <w:r w:rsidRPr="006A12BF">
        <w:rPr>
          <w:rFonts w:eastAsia="Times New Roman"/>
          <w:szCs w:val="22"/>
        </w:rPr>
        <w:t xml:space="preserve">The information collection is a one-time period event, including surveys of carriers and individual drivers.  The survey </w:t>
      </w:r>
      <w:r w:rsidR="00F54E8A">
        <w:rPr>
          <w:rFonts w:eastAsia="Times New Roman"/>
          <w:szCs w:val="22"/>
        </w:rPr>
        <w:t xml:space="preserve">method with an </w:t>
      </w:r>
      <w:r w:rsidR="00040481">
        <w:rPr>
          <w:rFonts w:eastAsia="Times New Roman"/>
          <w:szCs w:val="22"/>
        </w:rPr>
        <w:t>appropriate</w:t>
      </w:r>
      <w:r w:rsidRPr="006A12BF">
        <w:rPr>
          <w:rFonts w:eastAsia="Times New Roman"/>
          <w:szCs w:val="22"/>
        </w:rPr>
        <w:t xml:space="preserve"> design is </w:t>
      </w:r>
      <w:r w:rsidR="00040481">
        <w:rPr>
          <w:rFonts w:eastAsia="Times New Roman"/>
          <w:szCs w:val="22"/>
        </w:rPr>
        <w:t>included hereunder</w:t>
      </w:r>
      <w:r w:rsidRPr="006A12BF">
        <w:rPr>
          <w:rFonts w:eastAsia="Times New Roman"/>
          <w:szCs w:val="22"/>
        </w:rPr>
        <w:t>:</w:t>
      </w:r>
    </w:p>
    <w:p w:rsidR="006A12BF" w:rsidRPr="006A12BF" w:rsidRDefault="006A12BF" w:rsidP="006A12BF">
      <w:pPr>
        <w:rPr>
          <w:rFonts w:eastAsia="Times New Roman"/>
          <w:szCs w:val="22"/>
        </w:rPr>
      </w:pPr>
    </w:p>
    <w:p w:rsidR="006A12BF" w:rsidRPr="006A12BF" w:rsidRDefault="006A12BF" w:rsidP="006A12BF">
      <w:pPr>
        <w:numPr>
          <w:ilvl w:val="0"/>
          <w:numId w:val="6"/>
        </w:numPr>
        <w:tabs>
          <w:tab w:val="clear" w:pos="1800"/>
          <w:tab w:val="num" w:pos="720"/>
        </w:tabs>
        <w:ind w:left="720"/>
        <w:rPr>
          <w:rFonts w:eastAsia="Times New Roman"/>
          <w:szCs w:val="22"/>
        </w:rPr>
      </w:pPr>
      <w:r w:rsidRPr="006A12BF">
        <w:rPr>
          <w:rFonts w:eastAsia="Times New Roman"/>
          <w:szCs w:val="22"/>
        </w:rPr>
        <w:t>Qualitative, in-depth interviews conducted on the telephone with 7 truck drivers</w:t>
      </w:r>
      <w:r w:rsidR="002D4EEB">
        <w:rPr>
          <w:rFonts w:eastAsia="Times New Roman"/>
          <w:szCs w:val="22"/>
        </w:rPr>
        <w:t xml:space="preserve"> (Form MCSA-58</w:t>
      </w:r>
      <w:r w:rsidR="003D6169">
        <w:rPr>
          <w:rFonts w:eastAsia="Times New Roman"/>
          <w:szCs w:val="22"/>
        </w:rPr>
        <w:t>80</w:t>
      </w:r>
      <w:r w:rsidRPr="006A12BF">
        <w:rPr>
          <w:rFonts w:eastAsia="Times New Roman"/>
          <w:szCs w:val="22"/>
        </w:rPr>
        <w:t xml:space="preserve"> and 2 carriers</w:t>
      </w:r>
      <w:r w:rsidR="002D4EEB">
        <w:rPr>
          <w:rFonts w:eastAsia="Times New Roman"/>
          <w:szCs w:val="22"/>
        </w:rPr>
        <w:t xml:space="preserve"> (Form MCSA-58</w:t>
      </w:r>
      <w:r w:rsidR="003D6169">
        <w:rPr>
          <w:rFonts w:eastAsia="Times New Roman"/>
          <w:szCs w:val="22"/>
        </w:rPr>
        <w:t>77</w:t>
      </w:r>
      <w:r w:rsidR="002D4EEB">
        <w:rPr>
          <w:rFonts w:eastAsia="Times New Roman"/>
          <w:szCs w:val="22"/>
        </w:rPr>
        <w:t>)</w:t>
      </w:r>
      <w:r w:rsidRPr="006A12BF">
        <w:rPr>
          <w:rFonts w:eastAsia="Times New Roman"/>
          <w:szCs w:val="22"/>
        </w:rPr>
        <w:t>, each lasting 30 minutes on average.</w:t>
      </w:r>
    </w:p>
    <w:p w:rsidR="006A12BF" w:rsidRPr="006A12BF" w:rsidRDefault="006A12BF" w:rsidP="006A12BF">
      <w:pPr>
        <w:numPr>
          <w:ilvl w:val="0"/>
          <w:numId w:val="6"/>
        </w:numPr>
        <w:tabs>
          <w:tab w:val="clear" w:pos="1800"/>
          <w:tab w:val="num" w:pos="720"/>
        </w:tabs>
        <w:ind w:left="720"/>
        <w:rPr>
          <w:rFonts w:eastAsia="Times New Roman"/>
          <w:szCs w:val="22"/>
        </w:rPr>
      </w:pPr>
      <w:r w:rsidRPr="006A12BF">
        <w:rPr>
          <w:rFonts w:eastAsia="Times New Roman"/>
          <w:szCs w:val="22"/>
        </w:rPr>
        <w:t xml:space="preserve">A </w:t>
      </w:r>
      <w:r w:rsidR="005C3D65">
        <w:rPr>
          <w:rFonts w:eastAsia="Times New Roman"/>
          <w:szCs w:val="22"/>
        </w:rPr>
        <w:t>pilot study</w:t>
      </w:r>
      <w:r w:rsidRPr="006A12BF">
        <w:rPr>
          <w:rFonts w:eastAsia="Times New Roman"/>
          <w:szCs w:val="22"/>
        </w:rPr>
        <w:t xml:space="preserve"> of the planned carrier survey, using a mail-web methodology. </w:t>
      </w:r>
      <w:r w:rsidR="005C3D65">
        <w:rPr>
          <w:rFonts w:eastAsia="Times New Roman"/>
          <w:szCs w:val="22"/>
        </w:rPr>
        <w:t xml:space="preserve"> </w:t>
      </w:r>
      <w:r w:rsidRPr="006A12BF">
        <w:rPr>
          <w:rFonts w:eastAsia="Times New Roman"/>
          <w:szCs w:val="22"/>
        </w:rPr>
        <w:t>200 carriers from the MCMIS data base will be solicited to</w:t>
      </w:r>
      <w:r w:rsidR="00074BDA">
        <w:rPr>
          <w:rFonts w:eastAsia="Times New Roman"/>
          <w:szCs w:val="22"/>
        </w:rPr>
        <w:t xml:space="preserve"> participate in</w:t>
      </w:r>
      <w:r w:rsidRPr="006A12BF">
        <w:rPr>
          <w:rFonts w:eastAsia="Times New Roman"/>
          <w:szCs w:val="22"/>
        </w:rPr>
        <w:t xml:space="preserve"> an online survey</w:t>
      </w:r>
      <w:r w:rsidR="003D6169">
        <w:rPr>
          <w:rFonts w:eastAsia="Times New Roman"/>
          <w:szCs w:val="22"/>
        </w:rPr>
        <w:t xml:space="preserve"> (Form MCSA-587</w:t>
      </w:r>
      <w:r w:rsidR="00C92C9B">
        <w:rPr>
          <w:rFonts w:eastAsia="Times New Roman"/>
          <w:szCs w:val="22"/>
        </w:rPr>
        <w:t>8</w:t>
      </w:r>
      <w:r w:rsidR="003D6169">
        <w:rPr>
          <w:rFonts w:eastAsia="Times New Roman"/>
          <w:szCs w:val="22"/>
        </w:rPr>
        <w:t>)</w:t>
      </w:r>
      <w:r w:rsidRPr="006A12BF">
        <w:rPr>
          <w:rFonts w:eastAsia="Times New Roman"/>
          <w:szCs w:val="22"/>
        </w:rPr>
        <w:t xml:space="preserve">, using a recruitment letter, a reminder postcard, and a second follow-up letter. </w:t>
      </w:r>
      <w:r w:rsidR="005C3D65">
        <w:rPr>
          <w:rFonts w:eastAsia="Times New Roman"/>
          <w:szCs w:val="22"/>
        </w:rPr>
        <w:t xml:space="preserve"> </w:t>
      </w:r>
      <w:r w:rsidRPr="006A12BF">
        <w:rPr>
          <w:rFonts w:eastAsia="Times New Roman"/>
          <w:szCs w:val="22"/>
        </w:rPr>
        <w:t xml:space="preserve">The web </w:t>
      </w:r>
      <w:r w:rsidR="005C3D65">
        <w:rPr>
          <w:rFonts w:eastAsia="Times New Roman"/>
          <w:szCs w:val="22"/>
        </w:rPr>
        <w:t>survey is expected to average 20</w:t>
      </w:r>
      <w:r w:rsidRPr="006A12BF">
        <w:rPr>
          <w:rFonts w:eastAsia="Times New Roman"/>
          <w:szCs w:val="22"/>
        </w:rPr>
        <w:t xml:space="preserve"> minutes to complete, and its response rate will inform expectations for the full survey with carriers. Our initial expectation is that 10% of the 200 (20) will complete the </w:t>
      </w:r>
      <w:r w:rsidR="00661826">
        <w:rPr>
          <w:rFonts w:eastAsia="Times New Roman"/>
          <w:szCs w:val="22"/>
        </w:rPr>
        <w:t>pilot study</w:t>
      </w:r>
      <w:r w:rsidRPr="006A12BF">
        <w:rPr>
          <w:rFonts w:eastAsia="Times New Roman"/>
          <w:szCs w:val="22"/>
        </w:rPr>
        <w:t xml:space="preserve"> survey on the web.  The burden analysis is based on this figure of 20.</w:t>
      </w:r>
    </w:p>
    <w:p w:rsidR="006A12BF" w:rsidRPr="006A12BF" w:rsidRDefault="006A12BF" w:rsidP="006A12BF">
      <w:pPr>
        <w:numPr>
          <w:ilvl w:val="0"/>
          <w:numId w:val="6"/>
        </w:numPr>
        <w:tabs>
          <w:tab w:val="clear" w:pos="1800"/>
          <w:tab w:val="num" w:pos="720"/>
        </w:tabs>
        <w:ind w:left="720"/>
        <w:rPr>
          <w:rFonts w:eastAsia="Times New Roman"/>
          <w:szCs w:val="22"/>
        </w:rPr>
      </w:pPr>
      <w:r w:rsidRPr="006A12BF">
        <w:rPr>
          <w:rFonts w:eastAsia="Times New Roman"/>
          <w:szCs w:val="22"/>
        </w:rPr>
        <w:t>A full carrier survey, using a mail-web methodology</w:t>
      </w:r>
      <w:r w:rsidR="00C92C9B">
        <w:rPr>
          <w:rFonts w:eastAsia="Times New Roman"/>
          <w:szCs w:val="22"/>
        </w:rPr>
        <w:t xml:space="preserve"> (Form MCSA-5879)</w:t>
      </w:r>
      <w:r w:rsidRPr="006A12BF">
        <w:rPr>
          <w:rFonts w:eastAsia="Times New Roman"/>
          <w:szCs w:val="22"/>
        </w:rPr>
        <w:t xml:space="preserve">. </w:t>
      </w:r>
      <w:r w:rsidR="005C3D65">
        <w:rPr>
          <w:rFonts w:eastAsia="Times New Roman"/>
          <w:szCs w:val="22"/>
        </w:rPr>
        <w:t xml:space="preserve"> </w:t>
      </w:r>
      <w:r w:rsidRPr="006A12BF">
        <w:rPr>
          <w:rFonts w:eastAsia="Times New Roman"/>
          <w:szCs w:val="22"/>
        </w:rPr>
        <w:t xml:space="preserve">4,000 carriers from the MCMIS data base will be solicited to an online survey, using a recruitment letter, a reminder postcard, and a second follow-up letter. </w:t>
      </w:r>
      <w:r w:rsidR="005C3D65">
        <w:rPr>
          <w:rFonts w:eastAsia="Times New Roman"/>
          <w:szCs w:val="22"/>
        </w:rPr>
        <w:t xml:space="preserve"> </w:t>
      </w:r>
      <w:r w:rsidRPr="006A12BF">
        <w:rPr>
          <w:rFonts w:eastAsia="Times New Roman"/>
          <w:szCs w:val="22"/>
        </w:rPr>
        <w:t xml:space="preserve">Our initial expectation (which will be </w:t>
      </w:r>
      <w:r w:rsidR="005C3D65">
        <w:rPr>
          <w:rFonts w:eastAsia="Times New Roman"/>
          <w:szCs w:val="22"/>
        </w:rPr>
        <w:t>refined</w:t>
      </w:r>
      <w:r w:rsidRPr="006A12BF">
        <w:rPr>
          <w:rFonts w:eastAsia="Times New Roman"/>
          <w:szCs w:val="22"/>
        </w:rPr>
        <w:t xml:space="preserve"> through the </w:t>
      </w:r>
      <w:r w:rsidR="005C3D65">
        <w:rPr>
          <w:rFonts w:eastAsia="Times New Roman"/>
          <w:szCs w:val="22"/>
        </w:rPr>
        <w:t>pilot study</w:t>
      </w:r>
      <w:r w:rsidRPr="006A12BF">
        <w:rPr>
          <w:rFonts w:eastAsia="Times New Roman"/>
          <w:szCs w:val="22"/>
        </w:rPr>
        <w:t xml:space="preserve">) is that 10% of the 4,000 (400) will complete the survey on the web.  The burden analysis is based on this figure of 400. </w:t>
      </w:r>
      <w:r w:rsidR="005C3D65">
        <w:rPr>
          <w:rFonts w:eastAsia="Times New Roman"/>
          <w:szCs w:val="22"/>
        </w:rPr>
        <w:t xml:space="preserve"> </w:t>
      </w:r>
      <w:r w:rsidRPr="006A12BF">
        <w:rPr>
          <w:rFonts w:eastAsia="Times New Roman"/>
          <w:szCs w:val="22"/>
        </w:rPr>
        <w:t xml:space="preserve">The web survey is expected to average </w:t>
      </w:r>
      <w:r w:rsidR="005C3D65">
        <w:rPr>
          <w:rFonts w:eastAsia="Times New Roman"/>
          <w:szCs w:val="22"/>
        </w:rPr>
        <w:t>20</w:t>
      </w:r>
      <w:r w:rsidRPr="006A12BF">
        <w:rPr>
          <w:rFonts w:eastAsia="Times New Roman"/>
          <w:szCs w:val="22"/>
        </w:rPr>
        <w:t xml:space="preserve"> minutes to complete.</w:t>
      </w:r>
    </w:p>
    <w:p w:rsidR="006A12BF" w:rsidRPr="006A12BF" w:rsidRDefault="006A12BF" w:rsidP="006A12BF">
      <w:pPr>
        <w:numPr>
          <w:ilvl w:val="0"/>
          <w:numId w:val="6"/>
        </w:numPr>
        <w:tabs>
          <w:tab w:val="clear" w:pos="1800"/>
          <w:tab w:val="num" w:pos="720"/>
        </w:tabs>
        <w:ind w:left="720"/>
        <w:rPr>
          <w:rFonts w:eastAsia="Times New Roman"/>
          <w:szCs w:val="22"/>
        </w:rPr>
      </w:pPr>
      <w:r w:rsidRPr="006A12BF">
        <w:rPr>
          <w:rFonts w:eastAsia="Times New Roman"/>
          <w:szCs w:val="22"/>
        </w:rPr>
        <w:t xml:space="preserve">A non-response follow-up </w:t>
      </w:r>
      <w:r w:rsidR="003D6169" w:rsidRPr="006A12BF">
        <w:rPr>
          <w:rFonts w:eastAsia="Times New Roman"/>
          <w:szCs w:val="22"/>
        </w:rPr>
        <w:t>survey</w:t>
      </w:r>
      <w:r w:rsidR="003D6169">
        <w:rPr>
          <w:rFonts w:eastAsia="Times New Roman"/>
          <w:szCs w:val="22"/>
        </w:rPr>
        <w:t xml:space="preserve"> (Form 5885)</w:t>
      </w:r>
      <w:r w:rsidR="00C92C9B">
        <w:rPr>
          <w:rFonts w:eastAsia="Times New Roman"/>
          <w:szCs w:val="22"/>
        </w:rPr>
        <w:t xml:space="preserve"> will be </w:t>
      </w:r>
      <w:r w:rsidRPr="006A12BF">
        <w:rPr>
          <w:rFonts w:eastAsia="Times New Roman"/>
          <w:szCs w:val="22"/>
        </w:rPr>
        <w:t>conducted on the telephone with 100 carriers who did not participate in the web survey.</w:t>
      </w:r>
    </w:p>
    <w:p w:rsidR="009B561D" w:rsidRDefault="006A12BF" w:rsidP="009B561D">
      <w:pPr>
        <w:numPr>
          <w:ilvl w:val="0"/>
          <w:numId w:val="6"/>
        </w:numPr>
        <w:tabs>
          <w:tab w:val="clear" w:pos="1800"/>
          <w:tab w:val="num" w:pos="720"/>
        </w:tabs>
        <w:ind w:left="720"/>
        <w:rPr>
          <w:rFonts w:eastAsia="Times New Roman"/>
          <w:szCs w:val="22"/>
        </w:rPr>
      </w:pPr>
      <w:r w:rsidRPr="006A12BF">
        <w:rPr>
          <w:rFonts w:eastAsia="Times New Roman"/>
          <w:szCs w:val="22"/>
        </w:rPr>
        <w:t>Intercept surveys with truck drivers</w:t>
      </w:r>
      <w:r w:rsidR="00C92C9B">
        <w:rPr>
          <w:rFonts w:eastAsia="Times New Roman"/>
          <w:szCs w:val="22"/>
        </w:rPr>
        <w:t xml:space="preserve"> (Form MCSA-5882)</w:t>
      </w:r>
      <w:r w:rsidRPr="006A12BF">
        <w:rPr>
          <w:rFonts w:eastAsia="Times New Roman"/>
          <w:szCs w:val="22"/>
        </w:rPr>
        <w:t xml:space="preserve">, conducted at </w:t>
      </w:r>
      <w:r w:rsidR="005C3D65">
        <w:rPr>
          <w:rFonts w:eastAsia="Times New Roman"/>
          <w:szCs w:val="22"/>
        </w:rPr>
        <w:t>25</w:t>
      </w:r>
      <w:r w:rsidRPr="006A12BF">
        <w:rPr>
          <w:rFonts w:eastAsia="Times New Roman"/>
          <w:szCs w:val="22"/>
        </w:rPr>
        <w:t xml:space="preserve"> truck stops.  </w:t>
      </w:r>
      <w:r w:rsidR="00212DA5">
        <w:rPr>
          <w:rFonts w:eastAsia="Times New Roman"/>
          <w:szCs w:val="22"/>
        </w:rPr>
        <w:t>The t</w:t>
      </w:r>
      <w:r w:rsidRPr="006A12BF">
        <w:rPr>
          <w:rFonts w:eastAsia="Times New Roman"/>
          <w:szCs w:val="22"/>
        </w:rPr>
        <w:t xml:space="preserve">ruck stops will be selected from </w:t>
      </w:r>
      <w:r w:rsidR="00212DA5">
        <w:rPr>
          <w:rFonts w:eastAsia="Times New Roman"/>
          <w:szCs w:val="22"/>
        </w:rPr>
        <w:t xml:space="preserve">1,465 truck stops </w:t>
      </w:r>
      <w:r w:rsidRPr="006A12BF">
        <w:rPr>
          <w:rFonts w:eastAsia="Times New Roman"/>
          <w:szCs w:val="22"/>
        </w:rPr>
        <w:t>in the United States with</w:t>
      </w:r>
      <w:r w:rsidR="00212DA5">
        <w:rPr>
          <w:rFonts w:eastAsia="Times New Roman"/>
          <w:szCs w:val="22"/>
        </w:rPr>
        <w:t xml:space="preserve">in 20 miles of a Metropolitan Statistical Area (MSA) with minimum population of 500,000 on a route with average daily truck traffic of at least 5,000. </w:t>
      </w:r>
      <w:r w:rsidRPr="006A12BF">
        <w:rPr>
          <w:rFonts w:eastAsia="Times New Roman"/>
          <w:szCs w:val="22"/>
        </w:rPr>
        <w:t xml:space="preserve"> The interview is expected to average </w:t>
      </w:r>
      <w:r w:rsidR="005C3D65">
        <w:rPr>
          <w:rFonts w:eastAsia="Times New Roman"/>
          <w:szCs w:val="22"/>
        </w:rPr>
        <w:t>20</w:t>
      </w:r>
      <w:r w:rsidRPr="006A12BF">
        <w:rPr>
          <w:rFonts w:eastAsia="Times New Roman"/>
          <w:szCs w:val="22"/>
        </w:rPr>
        <w:t xml:space="preserve"> minutes; p</w:t>
      </w:r>
      <w:r w:rsidR="005C3D65">
        <w:rPr>
          <w:rFonts w:eastAsia="Times New Roman"/>
          <w:szCs w:val="22"/>
        </w:rPr>
        <w:t>articipating drivers</w:t>
      </w:r>
      <w:r w:rsidRPr="006A12BF">
        <w:rPr>
          <w:rFonts w:eastAsia="Times New Roman"/>
          <w:szCs w:val="22"/>
        </w:rPr>
        <w:t xml:space="preserve"> will be given $10 as compensation for their time; those who do not participate will be asked a brief series of questions to allow for non-response analysis.</w:t>
      </w:r>
      <w:r w:rsidR="005C3D65">
        <w:rPr>
          <w:rFonts w:eastAsia="Times New Roman"/>
          <w:szCs w:val="22"/>
        </w:rPr>
        <w:t xml:space="preserve">  Limits will be placed on the number of truck drivers who do not use EOBRs and are interviewed, in order to increase the number of EOBR-using drivers who are included in the sample.  In total</w:t>
      </w:r>
      <w:r w:rsidR="002D4EEB">
        <w:rPr>
          <w:rFonts w:eastAsia="Times New Roman"/>
          <w:szCs w:val="22"/>
        </w:rPr>
        <w:t>,</w:t>
      </w:r>
      <w:r w:rsidR="005C3D65">
        <w:rPr>
          <w:rFonts w:eastAsia="Times New Roman"/>
          <w:szCs w:val="22"/>
        </w:rPr>
        <w:t xml:space="preserve"> we expect 510 drivers to participate</w:t>
      </w:r>
      <w:r w:rsidR="0005694A">
        <w:rPr>
          <w:rFonts w:eastAsia="Times New Roman"/>
          <w:szCs w:val="22"/>
        </w:rPr>
        <w:t>; the burden analysis is based on the 510 drivers, and does not include drivers who are screened out</w:t>
      </w:r>
      <w:r w:rsidR="005C3D65">
        <w:rPr>
          <w:rFonts w:eastAsia="Times New Roman"/>
          <w:szCs w:val="22"/>
        </w:rPr>
        <w:t>.</w:t>
      </w:r>
    </w:p>
    <w:p w:rsidR="009B561D" w:rsidRDefault="009B561D" w:rsidP="009B561D">
      <w:pPr>
        <w:rPr>
          <w:rFonts w:eastAsia="Times New Roman"/>
          <w:szCs w:val="22"/>
        </w:rPr>
      </w:pPr>
    </w:p>
    <w:p w:rsidR="00A91A04" w:rsidRDefault="00A91A04" w:rsidP="009A1EC9">
      <w:pPr>
        <w:pStyle w:val="NoSpacing"/>
        <w:rPr>
          <w:b/>
        </w:rPr>
      </w:pPr>
      <w:r>
        <w:rPr>
          <w:b/>
        </w:rPr>
        <w:t>3.  Extent of automated information collection.</w:t>
      </w:r>
    </w:p>
    <w:p w:rsidR="00A91A04" w:rsidRDefault="00A91A04" w:rsidP="009A1EC9">
      <w:pPr>
        <w:pStyle w:val="NoSpacing"/>
        <w:rPr>
          <w:b/>
        </w:rPr>
      </w:pPr>
    </w:p>
    <w:p w:rsidR="00A91A04" w:rsidRPr="00A200B1" w:rsidRDefault="00A200B1" w:rsidP="00DA12B3">
      <w:pPr>
        <w:pStyle w:val="NoSpacing"/>
      </w:pPr>
      <w:r>
        <w:t xml:space="preserve">Automated information collection is limited to carriers; their recruitment letters will provide them with a PIN to allow them to access an online survey. </w:t>
      </w:r>
      <w:r w:rsidR="0096509A">
        <w:t xml:space="preserve"> </w:t>
      </w:r>
      <w:r w:rsidR="00D944EB">
        <w:t>F</w:t>
      </w:r>
      <w:r w:rsidRPr="00A200B1">
        <w:t>ollowing standard survey protocol, the respondents will be informed that they may chose not to answer any question and that they may end the survey at any time.  Further, the respondent will be offered the opportunity to begin the survey in one session and finish it in another session.</w:t>
      </w:r>
    </w:p>
    <w:p w:rsidR="00A200B1" w:rsidRDefault="00A200B1" w:rsidP="00DA12B3">
      <w:pPr>
        <w:pStyle w:val="NoSpacing"/>
        <w:rPr>
          <w:b/>
        </w:rPr>
      </w:pPr>
    </w:p>
    <w:p w:rsidR="00A91A04" w:rsidRDefault="00A91A04" w:rsidP="00DA12B3">
      <w:pPr>
        <w:pStyle w:val="NoSpacing"/>
        <w:rPr>
          <w:b/>
        </w:rPr>
      </w:pPr>
      <w:r>
        <w:rPr>
          <w:b/>
        </w:rPr>
        <w:t>4.  Efforts to identify duplication</w:t>
      </w:r>
      <w:r w:rsidR="000D1E15">
        <w:rPr>
          <w:b/>
        </w:rPr>
        <w:t>.</w:t>
      </w:r>
    </w:p>
    <w:p w:rsidR="00A91A04" w:rsidRPr="0096509A" w:rsidRDefault="00A91A04" w:rsidP="00DA12B3">
      <w:pPr>
        <w:pStyle w:val="NoSpacing"/>
        <w:rPr>
          <w:b/>
        </w:rPr>
      </w:pPr>
    </w:p>
    <w:p w:rsidR="002D4EEB" w:rsidRDefault="00074BDA" w:rsidP="00DA12B3">
      <w:pPr>
        <w:pStyle w:val="NoSpacing"/>
        <w:rPr>
          <w:b/>
        </w:rPr>
      </w:pPr>
      <w:r>
        <w:t>We have attempted to minimize burden by not asking questions whose answers are part of the MCMIS database.</w:t>
      </w:r>
      <w:r w:rsidR="00D944EB">
        <w:t xml:space="preserve">  </w:t>
      </w:r>
      <w:r>
        <w:t>Otherwise, t</w:t>
      </w:r>
      <w:r w:rsidR="00A200B1" w:rsidRPr="0096509A">
        <w:t xml:space="preserve">he FMCSA has investigated the availability of information </w:t>
      </w:r>
      <w:r w:rsidR="00A200B1" w:rsidRPr="0096509A">
        <w:lastRenderedPageBreak/>
        <w:t>regarding the research goals and has not found anything to suggest that the information gathered here is redundant.</w:t>
      </w:r>
    </w:p>
    <w:p w:rsidR="00116FBD" w:rsidRDefault="00116FBD" w:rsidP="00DA12B3">
      <w:pPr>
        <w:pStyle w:val="NoSpacing"/>
        <w:rPr>
          <w:b/>
        </w:rPr>
      </w:pPr>
    </w:p>
    <w:p w:rsidR="00A91A04" w:rsidRDefault="00A91A04" w:rsidP="00DA12B3">
      <w:pPr>
        <w:pStyle w:val="NoSpacing"/>
        <w:rPr>
          <w:b/>
        </w:rPr>
      </w:pPr>
      <w:r>
        <w:rPr>
          <w:b/>
        </w:rPr>
        <w:t>5.  Efforts to minimize burden on small businesses</w:t>
      </w:r>
      <w:r w:rsidR="00116FBD">
        <w:rPr>
          <w:b/>
        </w:rPr>
        <w:t>.</w:t>
      </w:r>
    </w:p>
    <w:p w:rsidR="00A91A04" w:rsidRDefault="00A91A04" w:rsidP="00DA12B3">
      <w:pPr>
        <w:pStyle w:val="NoSpacing"/>
        <w:rPr>
          <w:b/>
        </w:rPr>
      </w:pPr>
    </w:p>
    <w:p w:rsidR="00A91A04" w:rsidRDefault="00A91A04" w:rsidP="00DA12B3">
      <w:pPr>
        <w:pStyle w:val="NoSpacing"/>
      </w:pPr>
      <w:r>
        <w:t xml:space="preserve">The intended driver population will be interviewed through intercepts at </w:t>
      </w:r>
      <w:r w:rsidR="00116FBD">
        <w:t>t</w:t>
      </w:r>
      <w:r>
        <w:t xml:space="preserve">ruck </w:t>
      </w:r>
      <w:r w:rsidR="00116FBD">
        <w:t>s</w:t>
      </w:r>
      <w:r>
        <w:t>tops during off duty periods, and should have no business effect.  The carrier population being targeted is generally large, not small business</w:t>
      </w:r>
      <w:r w:rsidR="00074BDA">
        <w:t>,</w:t>
      </w:r>
      <w:r>
        <w:t xml:space="preserve"> operations.</w:t>
      </w:r>
    </w:p>
    <w:p w:rsidR="00A91A04" w:rsidRDefault="00A91A04" w:rsidP="00DA12B3">
      <w:pPr>
        <w:pStyle w:val="NoSpacing"/>
      </w:pPr>
    </w:p>
    <w:p w:rsidR="00A91A04" w:rsidRDefault="00A91A04" w:rsidP="00DA12B3">
      <w:pPr>
        <w:pStyle w:val="NoSpacing"/>
        <w:rPr>
          <w:b/>
        </w:rPr>
      </w:pPr>
      <w:r>
        <w:rPr>
          <w:b/>
        </w:rPr>
        <w:t>6.  Impact of less frequent collection of information.</w:t>
      </w:r>
    </w:p>
    <w:p w:rsidR="00A91A04" w:rsidRDefault="00A91A04" w:rsidP="00DA12B3">
      <w:pPr>
        <w:pStyle w:val="NoSpacing"/>
        <w:rPr>
          <w:b/>
        </w:rPr>
      </w:pPr>
    </w:p>
    <w:p w:rsidR="00A91A04" w:rsidRPr="00A200B1" w:rsidRDefault="00A200B1" w:rsidP="008E08A0">
      <w:pPr>
        <w:pStyle w:val="NoSpacing"/>
      </w:pPr>
      <w:r>
        <w:t xml:space="preserve">The data for this research is intended to be collected only once.  A delay will impact the implementation of </w:t>
      </w:r>
      <w:r w:rsidR="00661826">
        <w:t>rulemaking</w:t>
      </w:r>
      <w:r>
        <w:t>.</w:t>
      </w:r>
    </w:p>
    <w:p w:rsidR="00A91A04" w:rsidRDefault="00A91A04" w:rsidP="00DA12B3">
      <w:pPr>
        <w:pStyle w:val="NoSpacing"/>
        <w:rPr>
          <w:b/>
        </w:rPr>
      </w:pPr>
    </w:p>
    <w:p w:rsidR="00A91A04" w:rsidRDefault="00A91A04" w:rsidP="00DA12B3">
      <w:pPr>
        <w:pStyle w:val="NoSpacing"/>
        <w:rPr>
          <w:b/>
        </w:rPr>
      </w:pPr>
      <w:r>
        <w:rPr>
          <w:b/>
        </w:rPr>
        <w:t>7.  Special Circumstances</w:t>
      </w:r>
      <w:r w:rsidR="000D1E15">
        <w:rPr>
          <w:b/>
        </w:rPr>
        <w:t>.</w:t>
      </w:r>
    </w:p>
    <w:p w:rsidR="00A91A04" w:rsidRDefault="00A91A04" w:rsidP="00DA12B3">
      <w:pPr>
        <w:pStyle w:val="NoSpacing"/>
        <w:rPr>
          <w:b/>
        </w:rPr>
      </w:pPr>
    </w:p>
    <w:p w:rsidR="00A91A04" w:rsidRDefault="00A91A04" w:rsidP="00DA12B3">
      <w:pPr>
        <w:pStyle w:val="NoSpacing"/>
      </w:pPr>
      <w:r w:rsidRPr="008E08A0">
        <w:t>There are no special circumstances related to this information collection</w:t>
      </w:r>
      <w:r>
        <w:t>.</w:t>
      </w:r>
    </w:p>
    <w:p w:rsidR="00A91A04" w:rsidRDefault="00A91A04" w:rsidP="00DA12B3">
      <w:pPr>
        <w:pStyle w:val="NoSpacing"/>
      </w:pPr>
    </w:p>
    <w:p w:rsidR="00A91A04" w:rsidRDefault="00A91A04" w:rsidP="00DA12B3">
      <w:pPr>
        <w:pStyle w:val="NoSpacing"/>
        <w:rPr>
          <w:b/>
        </w:rPr>
      </w:pPr>
      <w:r>
        <w:rPr>
          <w:b/>
        </w:rPr>
        <w:t>8.  Compliance with 5 CFR 1320.8</w:t>
      </w:r>
      <w:r w:rsidR="000D1E15">
        <w:rPr>
          <w:b/>
        </w:rPr>
        <w:t>.</w:t>
      </w:r>
    </w:p>
    <w:p w:rsidR="00A91A04" w:rsidRDefault="00A91A04" w:rsidP="00DA12B3">
      <w:pPr>
        <w:pStyle w:val="NoSpacing"/>
        <w:rPr>
          <w:b/>
        </w:rPr>
      </w:pPr>
    </w:p>
    <w:p w:rsidR="00F4173F" w:rsidRPr="00121D50" w:rsidRDefault="00F4173F" w:rsidP="0092296D">
      <w:pPr>
        <w:tabs>
          <w:tab w:val="left" w:pos="4860"/>
        </w:tabs>
      </w:pPr>
      <w:r w:rsidRPr="00121D50">
        <w:t xml:space="preserve">The FMCSA published a notice in the Federal Register with a 60-day public comment period to announce this proposed information collection on </w:t>
      </w:r>
      <w:r w:rsidR="00853859">
        <w:t>December</w:t>
      </w:r>
      <w:r>
        <w:t xml:space="preserve"> </w:t>
      </w:r>
      <w:r w:rsidR="00853859">
        <w:t>13</w:t>
      </w:r>
      <w:r w:rsidRPr="00121D50">
        <w:t>, 201</w:t>
      </w:r>
      <w:r>
        <w:t>2</w:t>
      </w:r>
      <w:r w:rsidRPr="00121D50">
        <w:t xml:space="preserve"> (7</w:t>
      </w:r>
      <w:r>
        <w:t>7</w:t>
      </w:r>
      <w:r w:rsidRPr="00121D50">
        <w:t xml:space="preserve"> FR </w:t>
      </w:r>
      <w:r w:rsidR="00853859">
        <w:t>74267</w:t>
      </w:r>
      <w:r w:rsidRPr="00121D50">
        <w:t xml:space="preserve">) (see Attachment </w:t>
      </w:r>
      <w:r w:rsidR="00910216">
        <w:t>H</w:t>
      </w:r>
      <w:r w:rsidRPr="00121D50">
        <w:t xml:space="preserve">).  </w:t>
      </w:r>
      <w:r>
        <w:t xml:space="preserve">The Agency </w:t>
      </w:r>
      <w:r w:rsidRPr="00121D50">
        <w:t>receive</w:t>
      </w:r>
      <w:r>
        <w:t xml:space="preserve">d </w:t>
      </w:r>
      <w:r w:rsidR="0000503C">
        <w:t>3</w:t>
      </w:r>
      <w:r w:rsidR="00C27FBB">
        <w:t>6</w:t>
      </w:r>
      <w:r>
        <w:t xml:space="preserve"> comments </w:t>
      </w:r>
      <w:r w:rsidRPr="00121D50">
        <w:t>in response to this notice</w:t>
      </w:r>
      <w:r>
        <w:t xml:space="preserve"> (see Attachment </w:t>
      </w:r>
      <w:r w:rsidR="00910216">
        <w:t>I</w:t>
      </w:r>
      <w:r>
        <w:t>)</w:t>
      </w:r>
      <w:r w:rsidRPr="00121D50">
        <w:t>.</w:t>
      </w:r>
      <w:r w:rsidR="00910216">
        <w:t xml:space="preserve"> </w:t>
      </w:r>
      <w:r w:rsidR="0092296D">
        <w:t xml:space="preserve"> </w:t>
      </w:r>
      <w:r w:rsidR="0000503C">
        <w:t>The comments</w:t>
      </w:r>
      <w:r w:rsidR="0092296D">
        <w:t xml:space="preserve"> focused primarily on the need for timely completion of the proposed surveys, use of EOBRs as a safety tool, possible impacts of EOBRs on drivers’ desire for independence and management’s oversight, and EOBRs as a tool for harassment by dispatchers.  These comments will be considered during the conduct of the study.  The </w:t>
      </w:r>
      <w:r w:rsidR="00910216">
        <w:t xml:space="preserve">FMCSA replies to </w:t>
      </w:r>
      <w:r w:rsidR="0092296D">
        <w:t xml:space="preserve">the </w:t>
      </w:r>
      <w:r w:rsidR="00910216">
        <w:t>comments</w:t>
      </w:r>
      <w:r w:rsidR="0092296D">
        <w:t xml:space="preserve"> received</w:t>
      </w:r>
      <w:r w:rsidR="00910216">
        <w:t xml:space="preserve"> are provided at Attachment J.</w:t>
      </w:r>
    </w:p>
    <w:p w:rsidR="00F4173F" w:rsidRPr="00121D50" w:rsidRDefault="00F4173F" w:rsidP="00F4173F"/>
    <w:p w:rsidR="00F4173F" w:rsidRPr="00121D50" w:rsidRDefault="00F4173F" w:rsidP="00F4173F">
      <w:r w:rsidRPr="00121D50">
        <w:t xml:space="preserve">The FMCSA published a notice in the Federal Register on </w:t>
      </w:r>
      <w:r w:rsidR="00116FBD">
        <w:t>May</w:t>
      </w:r>
      <w:r w:rsidR="005A4FA9">
        <w:t xml:space="preserve"> </w:t>
      </w:r>
      <w:r w:rsidR="0070047B">
        <w:t>28</w:t>
      </w:r>
      <w:r w:rsidRPr="00121D50">
        <w:t>, 201</w:t>
      </w:r>
      <w:r w:rsidR="005A4FA9">
        <w:t>3</w:t>
      </w:r>
      <w:r w:rsidRPr="00121D50">
        <w:t xml:space="preserve"> (7</w:t>
      </w:r>
      <w:r w:rsidR="005A4FA9">
        <w:t>8</w:t>
      </w:r>
      <w:r w:rsidRPr="00121D50">
        <w:t xml:space="preserve"> FR </w:t>
      </w:r>
      <w:r w:rsidR="0070047B">
        <w:t>32001</w:t>
      </w:r>
      <w:r w:rsidRPr="00121D50">
        <w:t xml:space="preserve">) with a 30-day public comment period that announced this ICR would be sent to OMB for </w:t>
      </w:r>
      <w:r>
        <w:t xml:space="preserve">its review and </w:t>
      </w:r>
      <w:r w:rsidRPr="00121D50">
        <w:t xml:space="preserve">approval (see Attachment </w:t>
      </w:r>
      <w:r w:rsidR="00910216">
        <w:t>K</w:t>
      </w:r>
      <w:r w:rsidRPr="00121D50">
        <w:t xml:space="preserve">).  </w:t>
      </w:r>
    </w:p>
    <w:p w:rsidR="00F4173F" w:rsidRDefault="00F4173F" w:rsidP="00F4173F"/>
    <w:p w:rsidR="00A91A04" w:rsidRDefault="00A91A04" w:rsidP="00DA12B3">
      <w:pPr>
        <w:pStyle w:val="NoSpacing"/>
        <w:rPr>
          <w:b/>
        </w:rPr>
      </w:pPr>
      <w:r>
        <w:rPr>
          <w:b/>
        </w:rPr>
        <w:t>9.  Payment or gifts to respondents.</w:t>
      </w:r>
    </w:p>
    <w:p w:rsidR="00A91A04" w:rsidRDefault="00A91A04" w:rsidP="00DA12B3">
      <w:pPr>
        <w:pStyle w:val="NoSpacing"/>
        <w:rPr>
          <w:b/>
        </w:rPr>
      </w:pPr>
    </w:p>
    <w:p w:rsidR="00F23ECB" w:rsidRDefault="00A200B1" w:rsidP="00946F70">
      <w:pPr>
        <w:pStyle w:val="NoSpacing"/>
      </w:pPr>
      <w:r>
        <w:t xml:space="preserve">Drivers who participate in the intercept survey will be given $10 to compensate them for their time.  The average length of interview is expected to be </w:t>
      </w:r>
      <w:r w:rsidR="005C3D65">
        <w:t>20</w:t>
      </w:r>
      <w:r>
        <w:t xml:space="preserve"> minutes, but for some it will be longer.  </w:t>
      </w:r>
      <w:r w:rsidR="008D24F6">
        <w:t xml:space="preserve">Information from the Bureau of Labor Statistics suggests that on average, workers in transportation and warehousing are </w:t>
      </w:r>
      <w:r>
        <w:t xml:space="preserve">paid </w:t>
      </w:r>
      <w:r w:rsidR="008D24F6">
        <w:t xml:space="preserve">approximately $22 </w:t>
      </w:r>
      <w:r w:rsidRPr="008D24F6">
        <w:t>per hour</w:t>
      </w:r>
      <w:r w:rsidR="005A5308">
        <w:t>.</w:t>
      </w:r>
      <w:r w:rsidR="008D24F6">
        <w:rPr>
          <w:rStyle w:val="FootnoteReference"/>
        </w:rPr>
        <w:footnoteReference w:id="1"/>
      </w:r>
      <w:r>
        <w:t xml:space="preserve"> </w:t>
      </w:r>
      <w:r w:rsidR="005A5308">
        <w:t xml:space="preserve">The compensation is offered to minimize response bias and add to the robustness of the findings; failure to take this step may lead to drivers who are most sensitive about their time </w:t>
      </w:r>
      <w:r w:rsidR="00D90F9D">
        <w:t xml:space="preserve">to </w:t>
      </w:r>
      <w:r w:rsidR="005A5308">
        <w:t>not particip</w:t>
      </w:r>
      <w:r w:rsidR="00814F5D">
        <w:t>ate</w:t>
      </w:r>
      <w:r w:rsidR="005A5308">
        <w:t xml:space="preserve"> in the research. </w:t>
      </w:r>
    </w:p>
    <w:p w:rsidR="00F23ECB" w:rsidRDefault="00F23ECB" w:rsidP="00946F70">
      <w:pPr>
        <w:pStyle w:val="NoSpacing"/>
      </w:pPr>
    </w:p>
    <w:p w:rsidR="00A91A04" w:rsidRPr="00A200B1" w:rsidRDefault="00A91A04" w:rsidP="00946F70">
      <w:pPr>
        <w:pStyle w:val="NoSpacing"/>
      </w:pPr>
    </w:p>
    <w:p w:rsidR="00A91A04" w:rsidRDefault="00A91A04" w:rsidP="00946F70">
      <w:pPr>
        <w:pStyle w:val="NoSpacing"/>
        <w:rPr>
          <w:b/>
        </w:rPr>
      </w:pPr>
      <w:r>
        <w:rPr>
          <w:b/>
        </w:rPr>
        <w:lastRenderedPageBreak/>
        <w:t>10.  Assurance of Confidentiality</w:t>
      </w:r>
      <w:r w:rsidR="000D1E15">
        <w:rPr>
          <w:b/>
        </w:rPr>
        <w:t>.</w:t>
      </w:r>
    </w:p>
    <w:p w:rsidR="00A91A04" w:rsidRDefault="00A91A04" w:rsidP="00946F70">
      <w:pPr>
        <w:pStyle w:val="NoSpacing"/>
        <w:rPr>
          <w:b/>
        </w:rPr>
      </w:pPr>
    </w:p>
    <w:p w:rsidR="00A91A04" w:rsidRDefault="00A91A04" w:rsidP="00F23ECB">
      <w:pPr>
        <w:pStyle w:val="NoSpacing"/>
      </w:pPr>
      <w:r>
        <w:t xml:space="preserve">This collection will be kept private to the extent </w:t>
      </w:r>
      <w:r w:rsidR="00814F5D">
        <w:t>permitted</w:t>
      </w:r>
      <w:r>
        <w:t xml:space="preserve"> under law.  Data will be treated in a secure manner and will not be disclosed, unless the FMCSA is otherwise c</w:t>
      </w:r>
      <w:r w:rsidR="005A5308">
        <w:t xml:space="preserve">ompelled by law.  Respondents’ </w:t>
      </w:r>
      <w:r>
        <w:t>identifying information will not be included on study materials</w:t>
      </w:r>
      <w:r w:rsidR="00264C74">
        <w:t xml:space="preserve">.  No contact information is requested from drivers. </w:t>
      </w:r>
      <w:r w:rsidR="00F23ECB" w:rsidRPr="00F23ECB">
        <w:t xml:space="preserve">In addition, measures will be taken by </w:t>
      </w:r>
      <w:r w:rsidR="00F23ECB">
        <w:t xml:space="preserve">the subcontractor, </w:t>
      </w:r>
      <w:proofErr w:type="spellStart"/>
      <w:r w:rsidR="00F23ECB" w:rsidRPr="00F23ECB">
        <w:t>Abt</w:t>
      </w:r>
      <w:proofErr w:type="spellEnd"/>
      <w:r w:rsidR="00F23ECB" w:rsidRPr="00F23ECB">
        <w:t xml:space="preserve"> </w:t>
      </w:r>
      <w:r w:rsidR="00F23ECB">
        <w:t>SRBI,</w:t>
      </w:r>
      <w:r w:rsidR="00F23ECB" w:rsidRPr="00F23ECB">
        <w:t xml:space="preserve"> to remove key identifiers (e.g., name of company, </w:t>
      </w:r>
      <w:r w:rsidR="00F23ECB">
        <w:t xml:space="preserve">name of individual, </w:t>
      </w:r>
      <w:r w:rsidR="00F23ECB" w:rsidRPr="00F23ECB">
        <w:t xml:space="preserve">name of employer) prior to data analysis, so that individual responses or aggregate results, henceforth, cannot be linked to a specific individual or employer.  </w:t>
      </w:r>
    </w:p>
    <w:p w:rsidR="00F23ECB" w:rsidRDefault="00F23ECB" w:rsidP="003736A6">
      <w:pPr>
        <w:pStyle w:val="NoSpacing"/>
      </w:pPr>
    </w:p>
    <w:p w:rsidR="00F23ECB" w:rsidRPr="00F23ECB" w:rsidRDefault="00F23ECB" w:rsidP="00F23ECB">
      <w:r w:rsidRPr="00F23ECB">
        <w:t xml:space="preserve">The survey data will be stored on an </w:t>
      </w:r>
      <w:proofErr w:type="spellStart"/>
      <w:r w:rsidRPr="00F23ECB">
        <w:t>Abt</w:t>
      </w:r>
      <w:proofErr w:type="spellEnd"/>
      <w:r w:rsidR="00FF7B5B">
        <w:t xml:space="preserve"> </w:t>
      </w:r>
      <w:r w:rsidRPr="00F23ECB">
        <w:t>SRBI computer that is protected by a firewall that monitors and evaluates all attempted connections from the Internet.  Private information on each survey respondent (name and telephone number, only) will be maintained in a separate data file apart from the survey data so that it is not possible to link particular responses to individual respondents</w:t>
      </w:r>
      <w:r w:rsidR="00FF7B5B">
        <w:t xml:space="preserve">.  </w:t>
      </w:r>
      <w:r w:rsidRPr="00F23ECB">
        <w:t>Any data used for analysis by the contractor or the Department will be completely de-identified</w:t>
      </w:r>
      <w:r w:rsidR="00FF7B5B">
        <w:t xml:space="preserve">.  </w:t>
      </w:r>
      <w:r w:rsidRPr="00F23ECB">
        <w:t xml:space="preserve">Finally, access to any data with identifying information will be limited only to contractor staff directly working on the survey.  </w:t>
      </w:r>
    </w:p>
    <w:p w:rsidR="00F23ECB" w:rsidRPr="00F23ECB" w:rsidRDefault="00F23ECB" w:rsidP="00F23ECB">
      <w:pPr>
        <w:pStyle w:val="NoSpacing"/>
        <w:rPr>
          <w:szCs w:val="24"/>
        </w:rPr>
      </w:pPr>
    </w:p>
    <w:p w:rsidR="00F23ECB" w:rsidRPr="00F23ECB" w:rsidRDefault="00F23ECB" w:rsidP="00F23ECB">
      <w:pPr>
        <w:pStyle w:val="NoSpacing"/>
        <w:rPr>
          <w:szCs w:val="24"/>
        </w:rPr>
      </w:pPr>
      <w:r w:rsidRPr="00F23ECB">
        <w:rPr>
          <w:szCs w:val="24"/>
        </w:rPr>
        <w:t>Participation in the survey is voluntary.  All analyses, summaries or briefings will be presented at the aggregate level and it will not be possible to link specific responses to individual respondents in any way.</w:t>
      </w:r>
    </w:p>
    <w:p w:rsidR="00F23ECB" w:rsidRDefault="00F23ECB" w:rsidP="003736A6">
      <w:pPr>
        <w:pStyle w:val="NoSpacing"/>
        <w:rPr>
          <w:b/>
        </w:rPr>
      </w:pPr>
    </w:p>
    <w:p w:rsidR="00A91A04" w:rsidRDefault="00A91A04" w:rsidP="003736A6">
      <w:pPr>
        <w:pStyle w:val="NoSpacing"/>
        <w:rPr>
          <w:b/>
        </w:rPr>
      </w:pPr>
      <w:r>
        <w:rPr>
          <w:b/>
        </w:rPr>
        <w:t>11.  Justification for collection of sensitive information</w:t>
      </w:r>
      <w:r w:rsidR="000D1E15">
        <w:rPr>
          <w:b/>
        </w:rPr>
        <w:t>.</w:t>
      </w:r>
    </w:p>
    <w:p w:rsidR="00A91A04" w:rsidRDefault="00A91A04" w:rsidP="003736A6">
      <w:pPr>
        <w:pStyle w:val="NoSpacing"/>
        <w:rPr>
          <w:b/>
        </w:rPr>
      </w:pPr>
    </w:p>
    <w:p w:rsidR="00A91A04" w:rsidRDefault="00A91A04" w:rsidP="00E5734E">
      <w:pPr>
        <w:pStyle w:val="NoSpacing"/>
      </w:pPr>
      <w:r>
        <w:t>This information collection involves some data of a sensitive nature, such as potential violation of regulations, or practices that lead to such violations.  These questions are essential to meet research objectives of identifying potential harassment effects and mitigation related to use of EOBR devices, so that FMCSA can treat these concerns in its proposed regulations and meet court</w:t>
      </w:r>
      <w:r w:rsidR="00264C74">
        <w:t>-</w:t>
      </w:r>
      <w:r>
        <w:t xml:space="preserve">mandated requirements related to EOBR regulations.  Additionally, participants will be informed that they do not have to answer any questions that they consider to be of a sensitive nature.  </w:t>
      </w:r>
    </w:p>
    <w:p w:rsidR="00F44474" w:rsidRDefault="00F44474" w:rsidP="00E5734E">
      <w:pPr>
        <w:pStyle w:val="NoSpacing"/>
        <w:rPr>
          <w:b/>
        </w:rPr>
      </w:pPr>
    </w:p>
    <w:p w:rsidR="00A91A04" w:rsidRDefault="00A91A04" w:rsidP="00E5734E">
      <w:pPr>
        <w:pStyle w:val="NoSpacing"/>
        <w:rPr>
          <w:b/>
        </w:rPr>
      </w:pPr>
      <w:r>
        <w:rPr>
          <w:b/>
        </w:rPr>
        <w:t>12.  Estimates of burden hours for information requested</w:t>
      </w:r>
      <w:r w:rsidR="00EA6B3C">
        <w:rPr>
          <w:b/>
        </w:rPr>
        <w:t xml:space="preserve">. </w:t>
      </w:r>
    </w:p>
    <w:p w:rsidR="0083388F" w:rsidRDefault="0083388F" w:rsidP="00E5734E">
      <w:pPr>
        <w:pStyle w:val="NoSpacing"/>
        <w:rPr>
          <w:b/>
        </w:rPr>
      </w:pPr>
    </w:p>
    <w:p w:rsidR="0092296D" w:rsidRDefault="00BA43F3" w:rsidP="008D24F6">
      <w:pPr>
        <w:pStyle w:val="NoSpacing"/>
        <w:ind w:left="540"/>
        <w:rPr>
          <w:b/>
        </w:rPr>
      </w:pPr>
      <w:r w:rsidRPr="0083388F">
        <w:t>This ICR will comprise two categories of burden, one associated with carrier interviews and the other associated with driver interviews.</w:t>
      </w:r>
      <w:r w:rsidR="00C77A69">
        <w:t xml:space="preserve">  The Agency’s contractor will conduct </w:t>
      </w:r>
      <w:r w:rsidR="008175CE">
        <w:t>several types of interviews with carriers and drivers.  These are descri</w:t>
      </w:r>
      <w:r w:rsidR="008E401B">
        <w:t xml:space="preserve">bed in detail in item 2 above.  </w:t>
      </w:r>
      <w:r w:rsidR="008D2882">
        <w:t xml:space="preserve">All of the estimated burden will occur once during a fifteen-month period. </w:t>
      </w:r>
      <w:r w:rsidR="00AB08A2">
        <w:t xml:space="preserve"> </w:t>
      </w:r>
      <w:r w:rsidR="008D2882">
        <w:t>However, b</w:t>
      </w:r>
      <w:r w:rsidR="008E401B">
        <w:t xml:space="preserve">ecause information collection requests are approved for three years, </w:t>
      </w:r>
      <w:r w:rsidR="008D2882">
        <w:t>these one-time burden estimates have been annualized by dividing by three.</w:t>
      </w:r>
    </w:p>
    <w:p w:rsidR="0092296D" w:rsidRDefault="0092296D" w:rsidP="008D24F6">
      <w:pPr>
        <w:pStyle w:val="NoSpacing"/>
        <w:ind w:left="540"/>
        <w:rPr>
          <w:b/>
        </w:rPr>
      </w:pPr>
    </w:p>
    <w:p w:rsidR="00264C74" w:rsidRDefault="00264C74" w:rsidP="008D24F6">
      <w:pPr>
        <w:pStyle w:val="NoSpacing"/>
        <w:ind w:left="540"/>
        <w:rPr>
          <w:b/>
        </w:rPr>
      </w:pPr>
    </w:p>
    <w:p w:rsidR="00264C74" w:rsidRDefault="00264C74" w:rsidP="008D24F6">
      <w:pPr>
        <w:pStyle w:val="NoSpacing"/>
        <w:ind w:left="540"/>
        <w:rPr>
          <w:b/>
        </w:rPr>
      </w:pPr>
    </w:p>
    <w:p w:rsidR="000D1E15" w:rsidRDefault="000D1E15" w:rsidP="008D24F6">
      <w:pPr>
        <w:pStyle w:val="NoSpacing"/>
        <w:ind w:left="540"/>
        <w:rPr>
          <w:b/>
        </w:rPr>
      </w:pPr>
    </w:p>
    <w:p w:rsidR="000D1E15" w:rsidRDefault="000D1E15" w:rsidP="008D24F6">
      <w:pPr>
        <w:pStyle w:val="NoSpacing"/>
        <w:ind w:left="540"/>
        <w:rPr>
          <w:b/>
        </w:rPr>
      </w:pPr>
    </w:p>
    <w:p w:rsidR="000D1E15" w:rsidRDefault="000D1E15" w:rsidP="008D24F6">
      <w:pPr>
        <w:pStyle w:val="NoSpacing"/>
        <w:ind w:left="540"/>
        <w:rPr>
          <w:b/>
        </w:rPr>
      </w:pPr>
    </w:p>
    <w:p w:rsidR="00A91A04" w:rsidRDefault="00EA6B3C" w:rsidP="008D24F6">
      <w:pPr>
        <w:pStyle w:val="NoSpacing"/>
        <w:ind w:left="540"/>
        <w:rPr>
          <w:b/>
        </w:rPr>
      </w:pPr>
      <w:r>
        <w:rPr>
          <w:b/>
        </w:rPr>
        <w:lastRenderedPageBreak/>
        <w:t xml:space="preserve">IC1:  </w:t>
      </w:r>
      <w:r w:rsidR="008D24F6" w:rsidRPr="008D24F6">
        <w:rPr>
          <w:b/>
        </w:rPr>
        <w:t>Carriers:</w:t>
      </w:r>
    </w:p>
    <w:tbl>
      <w:tblPr>
        <w:tblStyle w:val="TableGrid"/>
        <w:tblW w:w="0" w:type="auto"/>
        <w:tblInd w:w="540" w:type="dxa"/>
        <w:tblLook w:val="04A0" w:firstRow="1" w:lastRow="0" w:firstColumn="1" w:lastColumn="0" w:noHBand="0" w:noVBand="1"/>
      </w:tblPr>
      <w:tblGrid>
        <w:gridCol w:w="2870"/>
        <w:gridCol w:w="1541"/>
        <w:gridCol w:w="1542"/>
        <w:gridCol w:w="1541"/>
        <w:gridCol w:w="1542"/>
      </w:tblGrid>
      <w:tr w:rsidR="008E401B" w:rsidTr="008E401B">
        <w:tc>
          <w:tcPr>
            <w:tcW w:w="2870" w:type="dxa"/>
            <w:vAlign w:val="center"/>
          </w:tcPr>
          <w:p w:rsidR="008E401B" w:rsidRPr="00D6397E" w:rsidRDefault="008E401B" w:rsidP="008E401B">
            <w:pPr>
              <w:pStyle w:val="NoSpacing"/>
              <w:jc w:val="right"/>
              <w:rPr>
                <w:b/>
                <w:sz w:val="22"/>
              </w:rPr>
            </w:pPr>
            <w:r w:rsidRPr="00D6397E">
              <w:rPr>
                <w:b/>
                <w:sz w:val="22"/>
              </w:rPr>
              <w:t>Item</w:t>
            </w:r>
          </w:p>
        </w:tc>
        <w:tc>
          <w:tcPr>
            <w:tcW w:w="1541" w:type="dxa"/>
            <w:vAlign w:val="center"/>
          </w:tcPr>
          <w:p w:rsidR="00264C74" w:rsidRDefault="008E401B" w:rsidP="008E401B">
            <w:pPr>
              <w:pStyle w:val="NoSpacing"/>
              <w:jc w:val="right"/>
              <w:rPr>
                <w:b/>
                <w:sz w:val="22"/>
              </w:rPr>
            </w:pPr>
            <w:r w:rsidRPr="00D6397E">
              <w:rPr>
                <w:b/>
                <w:sz w:val="22"/>
              </w:rPr>
              <w:t>Minutes per</w:t>
            </w:r>
          </w:p>
          <w:p w:rsidR="008E401B" w:rsidRPr="00D6397E" w:rsidRDefault="00264C74" w:rsidP="008E401B">
            <w:pPr>
              <w:pStyle w:val="NoSpacing"/>
              <w:jc w:val="right"/>
              <w:rPr>
                <w:b/>
                <w:sz w:val="22"/>
              </w:rPr>
            </w:pPr>
            <w:r>
              <w:rPr>
                <w:b/>
                <w:sz w:val="22"/>
              </w:rPr>
              <w:t>Form</w:t>
            </w:r>
            <w:r w:rsidR="008E401B" w:rsidRPr="00D6397E">
              <w:rPr>
                <w:b/>
                <w:sz w:val="22"/>
              </w:rPr>
              <w:t xml:space="preserve"> Response</w:t>
            </w:r>
          </w:p>
        </w:tc>
        <w:tc>
          <w:tcPr>
            <w:tcW w:w="1542" w:type="dxa"/>
            <w:vAlign w:val="center"/>
          </w:tcPr>
          <w:p w:rsidR="008E401B" w:rsidRPr="00D6397E" w:rsidRDefault="008E401B" w:rsidP="008E401B">
            <w:pPr>
              <w:pStyle w:val="NoSpacing"/>
              <w:jc w:val="right"/>
              <w:rPr>
                <w:b/>
                <w:sz w:val="22"/>
              </w:rPr>
            </w:pPr>
            <w:r w:rsidRPr="00D6397E">
              <w:rPr>
                <w:b/>
                <w:sz w:val="22"/>
              </w:rPr>
              <w:t>Responses and Respondents</w:t>
            </w:r>
          </w:p>
        </w:tc>
        <w:tc>
          <w:tcPr>
            <w:tcW w:w="1541" w:type="dxa"/>
            <w:vAlign w:val="center"/>
          </w:tcPr>
          <w:p w:rsidR="008E401B" w:rsidRPr="00D6397E" w:rsidRDefault="008E401B" w:rsidP="008E401B">
            <w:pPr>
              <w:pStyle w:val="NoSpacing"/>
              <w:jc w:val="right"/>
              <w:rPr>
                <w:b/>
                <w:sz w:val="22"/>
              </w:rPr>
            </w:pPr>
            <w:r w:rsidRPr="00D6397E">
              <w:rPr>
                <w:b/>
                <w:sz w:val="22"/>
              </w:rPr>
              <w:t>Total Burden Hours</w:t>
            </w:r>
          </w:p>
        </w:tc>
        <w:tc>
          <w:tcPr>
            <w:tcW w:w="1542" w:type="dxa"/>
            <w:vAlign w:val="center"/>
          </w:tcPr>
          <w:p w:rsidR="008E401B" w:rsidRPr="00D6397E" w:rsidRDefault="008E401B" w:rsidP="008E401B">
            <w:pPr>
              <w:pStyle w:val="NoSpacing"/>
              <w:jc w:val="right"/>
              <w:rPr>
                <w:b/>
                <w:sz w:val="22"/>
              </w:rPr>
            </w:pPr>
            <w:r w:rsidRPr="00D6397E">
              <w:rPr>
                <w:b/>
                <w:sz w:val="22"/>
              </w:rPr>
              <w:t>Total Annualized Burden Hours (Total Burden ÷ 3)</w:t>
            </w:r>
          </w:p>
        </w:tc>
      </w:tr>
      <w:tr w:rsidR="008E401B" w:rsidTr="008E401B">
        <w:tc>
          <w:tcPr>
            <w:tcW w:w="2870" w:type="dxa"/>
            <w:vAlign w:val="center"/>
          </w:tcPr>
          <w:p w:rsidR="008E401B" w:rsidRPr="00D6397E" w:rsidRDefault="008E401B" w:rsidP="009B2293">
            <w:pPr>
              <w:pStyle w:val="NoSpacing"/>
              <w:rPr>
                <w:sz w:val="22"/>
              </w:rPr>
            </w:pPr>
            <w:r w:rsidRPr="00D6397E">
              <w:rPr>
                <w:sz w:val="22"/>
              </w:rPr>
              <w:t>In-depth interviews</w:t>
            </w:r>
          </w:p>
          <w:p w:rsidR="009B2293" w:rsidRPr="00D6397E" w:rsidRDefault="00264C74" w:rsidP="009B2293">
            <w:pPr>
              <w:pStyle w:val="NoSpacing"/>
              <w:rPr>
                <w:b/>
                <w:sz w:val="22"/>
              </w:rPr>
            </w:pPr>
            <w:r>
              <w:rPr>
                <w:sz w:val="22"/>
              </w:rPr>
              <w:t xml:space="preserve">Form </w:t>
            </w:r>
            <w:r w:rsidR="009B2293" w:rsidRPr="00D6397E">
              <w:rPr>
                <w:sz w:val="22"/>
              </w:rPr>
              <w:t xml:space="preserve">MCSA-5877 &amp; </w:t>
            </w:r>
            <w:r>
              <w:rPr>
                <w:sz w:val="22"/>
              </w:rPr>
              <w:t xml:space="preserve">Form </w:t>
            </w:r>
            <w:r w:rsidR="009B2293" w:rsidRPr="00D6397E">
              <w:rPr>
                <w:sz w:val="22"/>
              </w:rPr>
              <w:t>MCSA-5878</w:t>
            </w:r>
          </w:p>
        </w:tc>
        <w:tc>
          <w:tcPr>
            <w:tcW w:w="1541" w:type="dxa"/>
            <w:vAlign w:val="center"/>
          </w:tcPr>
          <w:p w:rsidR="008E401B" w:rsidRPr="00D6397E" w:rsidRDefault="008E401B" w:rsidP="008E401B">
            <w:pPr>
              <w:pStyle w:val="NoSpacing"/>
              <w:jc w:val="right"/>
              <w:rPr>
                <w:sz w:val="22"/>
              </w:rPr>
            </w:pPr>
            <w:r w:rsidRPr="00D6397E">
              <w:rPr>
                <w:sz w:val="22"/>
              </w:rPr>
              <w:t>30</w:t>
            </w:r>
          </w:p>
        </w:tc>
        <w:tc>
          <w:tcPr>
            <w:tcW w:w="1542" w:type="dxa"/>
            <w:vAlign w:val="center"/>
          </w:tcPr>
          <w:p w:rsidR="008E401B" w:rsidRPr="00D6397E" w:rsidRDefault="008E401B" w:rsidP="008E401B">
            <w:pPr>
              <w:pStyle w:val="NoSpacing"/>
              <w:jc w:val="right"/>
              <w:rPr>
                <w:sz w:val="22"/>
              </w:rPr>
            </w:pPr>
            <w:r w:rsidRPr="00D6397E">
              <w:rPr>
                <w:sz w:val="22"/>
              </w:rPr>
              <w:t>2</w:t>
            </w:r>
          </w:p>
        </w:tc>
        <w:tc>
          <w:tcPr>
            <w:tcW w:w="1541" w:type="dxa"/>
            <w:vAlign w:val="center"/>
          </w:tcPr>
          <w:p w:rsidR="008E401B" w:rsidRPr="00D6397E" w:rsidRDefault="008E401B" w:rsidP="008E401B">
            <w:pPr>
              <w:pStyle w:val="NoSpacing"/>
              <w:jc w:val="right"/>
              <w:rPr>
                <w:sz w:val="22"/>
              </w:rPr>
            </w:pPr>
            <w:r w:rsidRPr="00D6397E">
              <w:rPr>
                <w:sz w:val="22"/>
              </w:rPr>
              <w:t>1</w:t>
            </w:r>
          </w:p>
        </w:tc>
        <w:tc>
          <w:tcPr>
            <w:tcW w:w="1542" w:type="dxa"/>
            <w:vAlign w:val="center"/>
          </w:tcPr>
          <w:p w:rsidR="008E401B" w:rsidRPr="00D6397E" w:rsidRDefault="008E401B" w:rsidP="008E401B">
            <w:pPr>
              <w:pStyle w:val="NoSpacing"/>
              <w:jc w:val="right"/>
              <w:rPr>
                <w:sz w:val="22"/>
              </w:rPr>
            </w:pPr>
            <w:r w:rsidRPr="00D6397E">
              <w:rPr>
                <w:sz w:val="22"/>
              </w:rPr>
              <w:t>0.3</w:t>
            </w:r>
          </w:p>
        </w:tc>
      </w:tr>
      <w:tr w:rsidR="008E401B" w:rsidTr="008E401B">
        <w:tc>
          <w:tcPr>
            <w:tcW w:w="2870" w:type="dxa"/>
            <w:vAlign w:val="center"/>
          </w:tcPr>
          <w:p w:rsidR="008E401B" w:rsidRPr="00D6397E" w:rsidRDefault="00661826" w:rsidP="009B2293">
            <w:pPr>
              <w:pStyle w:val="NoSpacing"/>
              <w:rPr>
                <w:sz w:val="22"/>
              </w:rPr>
            </w:pPr>
            <w:r w:rsidRPr="00D6397E">
              <w:rPr>
                <w:sz w:val="22"/>
              </w:rPr>
              <w:t>Pilot study</w:t>
            </w:r>
            <w:r w:rsidR="008E401B" w:rsidRPr="00D6397E">
              <w:rPr>
                <w:sz w:val="22"/>
              </w:rPr>
              <w:t xml:space="preserve"> web interviews</w:t>
            </w:r>
          </w:p>
          <w:p w:rsidR="009B2293" w:rsidRPr="00D6397E" w:rsidRDefault="00264C74" w:rsidP="006A6C07">
            <w:pPr>
              <w:pStyle w:val="NoSpacing"/>
              <w:rPr>
                <w:b/>
                <w:sz w:val="22"/>
              </w:rPr>
            </w:pPr>
            <w:r>
              <w:rPr>
                <w:sz w:val="22"/>
              </w:rPr>
              <w:t xml:space="preserve">Form </w:t>
            </w:r>
            <w:r w:rsidR="009B2293" w:rsidRPr="00D6397E">
              <w:rPr>
                <w:sz w:val="22"/>
              </w:rPr>
              <w:t>MCSA-5</w:t>
            </w:r>
            <w:r w:rsidR="006A6C07">
              <w:rPr>
                <w:sz w:val="22"/>
              </w:rPr>
              <w:t>8</w:t>
            </w:r>
            <w:r w:rsidR="009B2293" w:rsidRPr="00D6397E">
              <w:rPr>
                <w:sz w:val="22"/>
              </w:rPr>
              <w:t xml:space="preserve">79    </w:t>
            </w:r>
          </w:p>
        </w:tc>
        <w:tc>
          <w:tcPr>
            <w:tcW w:w="1541" w:type="dxa"/>
            <w:vAlign w:val="center"/>
          </w:tcPr>
          <w:p w:rsidR="008E401B" w:rsidRPr="00D6397E" w:rsidRDefault="00661826" w:rsidP="008E401B">
            <w:pPr>
              <w:pStyle w:val="NoSpacing"/>
              <w:jc w:val="right"/>
              <w:rPr>
                <w:sz w:val="22"/>
              </w:rPr>
            </w:pPr>
            <w:r w:rsidRPr="00D6397E">
              <w:rPr>
                <w:sz w:val="22"/>
              </w:rPr>
              <w:t>20</w:t>
            </w:r>
          </w:p>
        </w:tc>
        <w:tc>
          <w:tcPr>
            <w:tcW w:w="1542" w:type="dxa"/>
            <w:vAlign w:val="center"/>
          </w:tcPr>
          <w:p w:rsidR="008E401B" w:rsidRPr="00D6397E" w:rsidRDefault="008E401B" w:rsidP="008E401B">
            <w:pPr>
              <w:pStyle w:val="NoSpacing"/>
              <w:jc w:val="right"/>
              <w:rPr>
                <w:sz w:val="22"/>
              </w:rPr>
            </w:pPr>
            <w:r w:rsidRPr="00D6397E">
              <w:rPr>
                <w:sz w:val="22"/>
              </w:rPr>
              <w:t>20</w:t>
            </w:r>
          </w:p>
        </w:tc>
        <w:tc>
          <w:tcPr>
            <w:tcW w:w="1541" w:type="dxa"/>
            <w:vAlign w:val="center"/>
          </w:tcPr>
          <w:p w:rsidR="008E401B" w:rsidRPr="00D6397E" w:rsidRDefault="00661826" w:rsidP="008E401B">
            <w:pPr>
              <w:pStyle w:val="NoSpacing"/>
              <w:jc w:val="right"/>
              <w:rPr>
                <w:sz w:val="22"/>
              </w:rPr>
            </w:pPr>
            <w:r w:rsidRPr="00D6397E">
              <w:rPr>
                <w:sz w:val="22"/>
              </w:rPr>
              <w:t>6.7</w:t>
            </w:r>
          </w:p>
        </w:tc>
        <w:tc>
          <w:tcPr>
            <w:tcW w:w="1542" w:type="dxa"/>
            <w:vAlign w:val="center"/>
          </w:tcPr>
          <w:p w:rsidR="008E401B" w:rsidRPr="00D6397E" w:rsidRDefault="00661826" w:rsidP="008E401B">
            <w:pPr>
              <w:pStyle w:val="NoSpacing"/>
              <w:jc w:val="right"/>
              <w:rPr>
                <w:sz w:val="22"/>
              </w:rPr>
            </w:pPr>
            <w:r w:rsidRPr="00D6397E">
              <w:rPr>
                <w:sz w:val="22"/>
              </w:rPr>
              <w:t>2.2</w:t>
            </w:r>
          </w:p>
        </w:tc>
      </w:tr>
      <w:tr w:rsidR="008E401B" w:rsidTr="008E401B">
        <w:tc>
          <w:tcPr>
            <w:tcW w:w="2870" w:type="dxa"/>
            <w:vAlign w:val="center"/>
          </w:tcPr>
          <w:p w:rsidR="008E401B" w:rsidRPr="00D6397E" w:rsidRDefault="008E401B" w:rsidP="009B2293">
            <w:pPr>
              <w:pStyle w:val="NoSpacing"/>
              <w:rPr>
                <w:sz w:val="22"/>
              </w:rPr>
            </w:pPr>
            <w:r w:rsidRPr="00D6397E">
              <w:rPr>
                <w:sz w:val="22"/>
              </w:rPr>
              <w:t>Main survey web</w:t>
            </w:r>
            <w:r w:rsidR="00D6397E">
              <w:rPr>
                <w:sz w:val="22"/>
              </w:rPr>
              <w:t xml:space="preserve"> </w:t>
            </w:r>
            <w:r w:rsidRPr="00D6397E">
              <w:rPr>
                <w:sz w:val="22"/>
              </w:rPr>
              <w:t>interviews</w:t>
            </w:r>
          </w:p>
          <w:p w:rsidR="009B2293" w:rsidRPr="00D6397E" w:rsidRDefault="00264C74" w:rsidP="006A6C07">
            <w:pPr>
              <w:pStyle w:val="NoSpacing"/>
              <w:rPr>
                <w:b/>
                <w:sz w:val="22"/>
              </w:rPr>
            </w:pPr>
            <w:r>
              <w:rPr>
                <w:sz w:val="22"/>
              </w:rPr>
              <w:t xml:space="preserve">Form </w:t>
            </w:r>
            <w:r w:rsidR="009B2293" w:rsidRPr="00D6397E">
              <w:rPr>
                <w:sz w:val="22"/>
              </w:rPr>
              <w:t>MCSA-5</w:t>
            </w:r>
            <w:r w:rsidR="006A6C07">
              <w:rPr>
                <w:sz w:val="22"/>
              </w:rPr>
              <w:t>8</w:t>
            </w:r>
            <w:r w:rsidR="00E5004C">
              <w:rPr>
                <w:sz w:val="22"/>
              </w:rPr>
              <w:t>79</w:t>
            </w:r>
          </w:p>
        </w:tc>
        <w:tc>
          <w:tcPr>
            <w:tcW w:w="1541" w:type="dxa"/>
            <w:vAlign w:val="center"/>
          </w:tcPr>
          <w:p w:rsidR="008E401B" w:rsidRPr="00D6397E" w:rsidRDefault="00661826" w:rsidP="008E401B">
            <w:pPr>
              <w:pStyle w:val="NoSpacing"/>
              <w:jc w:val="right"/>
              <w:rPr>
                <w:sz w:val="22"/>
              </w:rPr>
            </w:pPr>
            <w:r w:rsidRPr="00D6397E">
              <w:rPr>
                <w:sz w:val="22"/>
              </w:rPr>
              <w:t>20</w:t>
            </w:r>
          </w:p>
        </w:tc>
        <w:tc>
          <w:tcPr>
            <w:tcW w:w="1542" w:type="dxa"/>
            <w:vAlign w:val="center"/>
          </w:tcPr>
          <w:p w:rsidR="008E401B" w:rsidRPr="00D6397E" w:rsidRDefault="008E401B" w:rsidP="008E401B">
            <w:pPr>
              <w:pStyle w:val="NoSpacing"/>
              <w:jc w:val="right"/>
              <w:rPr>
                <w:sz w:val="22"/>
              </w:rPr>
            </w:pPr>
            <w:r w:rsidRPr="00D6397E">
              <w:rPr>
                <w:sz w:val="22"/>
              </w:rPr>
              <w:t>400</w:t>
            </w:r>
          </w:p>
        </w:tc>
        <w:tc>
          <w:tcPr>
            <w:tcW w:w="1541" w:type="dxa"/>
            <w:vAlign w:val="center"/>
          </w:tcPr>
          <w:p w:rsidR="008E401B" w:rsidRPr="00D6397E" w:rsidRDefault="00661826" w:rsidP="008E401B">
            <w:pPr>
              <w:pStyle w:val="NoSpacing"/>
              <w:jc w:val="right"/>
              <w:rPr>
                <w:sz w:val="22"/>
              </w:rPr>
            </w:pPr>
            <w:r w:rsidRPr="00D6397E">
              <w:rPr>
                <w:sz w:val="22"/>
              </w:rPr>
              <w:t>133.3</w:t>
            </w:r>
          </w:p>
        </w:tc>
        <w:tc>
          <w:tcPr>
            <w:tcW w:w="1542" w:type="dxa"/>
            <w:vAlign w:val="center"/>
          </w:tcPr>
          <w:p w:rsidR="008E401B" w:rsidRPr="00D6397E" w:rsidRDefault="00661826" w:rsidP="008E401B">
            <w:pPr>
              <w:pStyle w:val="NoSpacing"/>
              <w:jc w:val="right"/>
              <w:rPr>
                <w:sz w:val="22"/>
              </w:rPr>
            </w:pPr>
            <w:r w:rsidRPr="00D6397E">
              <w:rPr>
                <w:sz w:val="22"/>
              </w:rPr>
              <w:t>44.4</w:t>
            </w:r>
          </w:p>
        </w:tc>
      </w:tr>
      <w:tr w:rsidR="008E401B" w:rsidTr="008E401B">
        <w:tc>
          <w:tcPr>
            <w:tcW w:w="2870" w:type="dxa"/>
            <w:vAlign w:val="center"/>
          </w:tcPr>
          <w:p w:rsidR="008E401B" w:rsidRPr="00D6397E" w:rsidRDefault="008E401B" w:rsidP="009B2293">
            <w:pPr>
              <w:pStyle w:val="NoSpacing"/>
              <w:rPr>
                <w:b/>
                <w:sz w:val="22"/>
              </w:rPr>
            </w:pPr>
            <w:r w:rsidRPr="00D6397E">
              <w:rPr>
                <w:sz w:val="22"/>
              </w:rPr>
              <w:t>Non-response follow up interviews</w:t>
            </w:r>
            <w:r w:rsidR="00E5004C">
              <w:rPr>
                <w:sz w:val="22"/>
              </w:rPr>
              <w:t xml:space="preserve">  </w:t>
            </w:r>
            <w:r w:rsidR="00264C74">
              <w:rPr>
                <w:sz w:val="22"/>
              </w:rPr>
              <w:t xml:space="preserve">Form </w:t>
            </w:r>
            <w:r w:rsidR="00E5004C">
              <w:rPr>
                <w:sz w:val="22"/>
              </w:rPr>
              <w:t>MCSA-5885</w:t>
            </w:r>
          </w:p>
        </w:tc>
        <w:tc>
          <w:tcPr>
            <w:tcW w:w="1541" w:type="dxa"/>
            <w:vAlign w:val="center"/>
          </w:tcPr>
          <w:p w:rsidR="008E401B" w:rsidRPr="00D6397E" w:rsidRDefault="008E401B" w:rsidP="008E401B">
            <w:pPr>
              <w:pStyle w:val="NoSpacing"/>
              <w:jc w:val="right"/>
              <w:rPr>
                <w:sz w:val="22"/>
              </w:rPr>
            </w:pPr>
            <w:r w:rsidRPr="00D6397E">
              <w:rPr>
                <w:sz w:val="22"/>
              </w:rPr>
              <w:t>10</w:t>
            </w:r>
          </w:p>
        </w:tc>
        <w:tc>
          <w:tcPr>
            <w:tcW w:w="1542" w:type="dxa"/>
            <w:vAlign w:val="center"/>
          </w:tcPr>
          <w:p w:rsidR="008E401B" w:rsidRPr="00D6397E" w:rsidRDefault="008E401B" w:rsidP="008E401B">
            <w:pPr>
              <w:pStyle w:val="NoSpacing"/>
              <w:jc w:val="right"/>
              <w:rPr>
                <w:sz w:val="22"/>
              </w:rPr>
            </w:pPr>
            <w:r w:rsidRPr="00D6397E">
              <w:rPr>
                <w:sz w:val="22"/>
              </w:rPr>
              <w:t>100</w:t>
            </w:r>
          </w:p>
        </w:tc>
        <w:tc>
          <w:tcPr>
            <w:tcW w:w="1541" w:type="dxa"/>
            <w:vAlign w:val="center"/>
          </w:tcPr>
          <w:p w:rsidR="008E401B" w:rsidRPr="00D6397E" w:rsidRDefault="008E401B" w:rsidP="008E401B">
            <w:pPr>
              <w:pStyle w:val="NoSpacing"/>
              <w:jc w:val="right"/>
              <w:rPr>
                <w:sz w:val="22"/>
              </w:rPr>
            </w:pPr>
            <w:r w:rsidRPr="00D6397E">
              <w:rPr>
                <w:sz w:val="22"/>
              </w:rPr>
              <w:t>16.7</w:t>
            </w:r>
          </w:p>
        </w:tc>
        <w:tc>
          <w:tcPr>
            <w:tcW w:w="1542" w:type="dxa"/>
            <w:vAlign w:val="center"/>
          </w:tcPr>
          <w:p w:rsidR="008E401B" w:rsidRPr="00D6397E" w:rsidRDefault="008E401B" w:rsidP="008E401B">
            <w:pPr>
              <w:pStyle w:val="NoSpacing"/>
              <w:jc w:val="right"/>
              <w:rPr>
                <w:sz w:val="22"/>
              </w:rPr>
            </w:pPr>
            <w:r w:rsidRPr="00D6397E">
              <w:rPr>
                <w:sz w:val="22"/>
              </w:rPr>
              <w:t>5.6</w:t>
            </w:r>
          </w:p>
        </w:tc>
      </w:tr>
      <w:tr w:rsidR="008E401B" w:rsidTr="008E401B">
        <w:tc>
          <w:tcPr>
            <w:tcW w:w="2870" w:type="dxa"/>
            <w:vAlign w:val="center"/>
          </w:tcPr>
          <w:p w:rsidR="008E401B" w:rsidRPr="00D6397E" w:rsidRDefault="008E401B" w:rsidP="008E401B">
            <w:pPr>
              <w:pStyle w:val="NoSpacing"/>
              <w:jc w:val="right"/>
              <w:rPr>
                <w:b/>
                <w:sz w:val="22"/>
              </w:rPr>
            </w:pPr>
            <w:r w:rsidRPr="00D6397E">
              <w:rPr>
                <w:b/>
                <w:sz w:val="22"/>
              </w:rPr>
              <w:t>Total</w:t>
            </w:r>
          </w:p>
        </w:tc>
        <w:tc>
          <w:tcPr>
            <w:tcW w:w="1541" w:type="dxa"/>
            <w:vAlign w:val="center"/>
          </w:tcPr>
          <w:p w:rsidR="008E401B" w:rsidRPr="00D6397E" w:rsidRDefault="008E401B" w:rsidP="008E401B">
            <w:pPr>
              <w:pStyle w:val="NoSpacing"/>
              <w:jc w:val="right"/>
              <w:rPr>
                <w:b/>
                <w:sz w:val="22"/>
              </w:rPr>
            </w:pPr>
          </w:p>
        </w:tc>
        <w:tc>
          <w:tcPr>
            <w:tcW w:w="1542" w:type="dxa"/>
            <w:vAlign w:val="center"/>
          </w:tcPr>
          <w:p w:rsidR="008E401B" w:rsidRPr="00D6397E" w:rsidRDefault="008E401B" w:rsidP="008E401B">
            <w:pPr>
              <w:pStyle w:val="NoSpacing"/>
              <w:jc w:val="right"/>
              <w:rPr>
                <w:b/>
                <w:sz w:val="22"/>
              </w:rPr>
            </w:pPr>
            <w:r w:rsidRPr="00D6397E">
              <w:rPr>
                <w:b/>
                <w:sz w:val="22"/>
              </w:rPr>
              <w:t>522</w:t>
            </w:r>
          </w:p>
        </w:tc>
        <w:tc>
          <w:tcPr>
            <w:tcW w:w="1541" w:type="dxa"/>
            <w:vAlign w:val="center"/>
          </w:tcPr>
          <w:p w:rsidR="008E401B" w:rsidRPr="00D6397E" w:rsidRDefault="008E401B" w:rsidP="00661826">
            <w:pPr>
              <w:pStyle w:val="NoSpacing"/>
              <w:jc w:val="right"/>
              <w:rPr>
                <w:b/>
                <w:sz w:val="22"/>
              </w:rPr>
            </w:pPr>
            <w:r w:rsidRPr="00D6397E">
              <w:rPr>
                <w:b/>
                <w:sz w:val="22"/>
              </w:rPr>
              <w:t>1</w:t>
            </w:r>
            <w:r w:rsidR="00661826" w:rsidRPr="00D6397E">
              <w:rPr>
                <w:b/>
                <w:sz w:val="22"/>
              </w:rPr>
              <w:t>57</w:t>
            </w:r>
            <w:r w:rsidRPr="00D6397E">
              <w:rPr>
                <w:b/>
                <w:sz w:val="22"/>
              </w:rPr>
              <w:t>.7</w:t>
            </w:r>
          </w:p>
        </w:tc>
        <w:tc>
          <w:tcPr>
            <w:tcW w:w="1542" w:type="dxa"/>
            <w:vAlign w:val="center"/>
          </w:tcPr>
          <w:p w:rsidR="008E401B" w:rsidRPr="00D6397E" w:rsidRDefault="00661826" w:rsidP="008E401B">
            <w:pPr>
              <w:pStyle w:val="NoSpacing"/>
              <w:jc w:val="right"/>
              <w:rPr>
                <w:b/>
                <w:sz w:val="22"/>
              </w:rPr>
            </w:pPr>
            <w:r w:rsidRPr="00D6397E">
              <w:rPr>
                <w:b/>
                <w:sz w:val="22"/>
              </w:rPr>
              <w:t>52.6</w:t>
            </w:r>
          </w:p>
        </w:tc>
      </w:tr>
    </w:tbl>
    <w:p w:rsidR="00D7535D" w:rsidRDefault="00D7535D" w:rsidP="008D24F6">
      <w:pPr>
        <w:pStyle w:val="NoSpacing"/>
        <w:ind w:left="540"/>
        <w:rPr>
          <w:b/>
        </w:rPr>
      </w:pPr>
    </w:p>
    <w:p w:rsidR="00D025FD" w:rsidRPr="008175CE" w:rsidRDefault="00EA6B3C" w:rsidP="008D24F6">
      <w:pPr>
        <w:pStyle w:val="NoSpacing"/>
        <w:ind w:left="540"/>
      </w:pPr>
      <w:r w:rsidRPr="008175CE">
        <w:rPr>
          <w:b/>
        </w:rPr>
        <w:t xml:space="preserve">IC2:  </w:t>
      </w:r>
      <w:r w:rsidR="00D025FD" w:rsidRPr="008175CE">
        <w:rPr>
          <w:b/>
        </w:rPr>
        <w:t>Drivers:</w:t>
      </w:r>
    </w:p>
    <w:tbl>
      <w:tblPr>
        <w:tblStyle w:val="TableGrid"/>
        <w:tblW w:w="0" w:type="auto"/>
        <w:tblInd w:w="540" w:type="dxa"/>
        <w:tblLook w:val="04A0" w:firstRow="1" w:lastRow="0" w:firstColumn="1" w:lastColumn="0" w:noHBand="0" w:noVBand="1"/>
      </w:tblPr>
      <w:tblGrid>
        <w:gridCol w:w="2870"/>
        <w:gridCol w:w="1541"/>
        <w:gridCol w:w="1542"/>
        <w:gridCol w:w="1541"/>
        <w:gridCol w:w="1542"/>
      </w:tblGrid>
      <w:tr w:rsidR="008E401B" w:rsidTr="008E401B">
        <w:tc>
          <w:tcPr>
            <w:tcW w:w="2870" w:type="dxa"/>
            <w:vAlign w:val="center"/>
          </w:tcPr>
          <w:p w:rsidR="008E401B" w:rsidRPr="00D6397E" w:rsidRDefault="008E401B" w:rsidP="0029428A">
            <w:pPr>
              <w:pStyle w:val="NoSpacing"/>
              <w:jc w:val="right"/>
              <w:rPr>
                <w:b/>
                <w:sz w:val="22"/>
              </w:rPr>
            </w:pPr>
            <w:r w:rsidRPr="00D6397E">
              <w:rPr>
                <w:b/>
                <w:sz w:val="22"/>
              </w:rPr>
              <w:t>Item</w:t>
            </w:r>
          </w:p>
        </w:tc>
        <w:tc>
          <w:tcPr>
            <w:tcW w:w="1541" w:type="dxa"/>
            <w:vAlign w:val="center"/>
          </w:tcPr>
          <w:p w:rsidR="008E401B" w:rsidRPr="00D6397E" w:rsidRDefault="008E401B" w:rsidP="0029428A">
            <w:pPr>
              <w:pStyle w:val="NoSpacing"/>
              <w:jc w:val="right"/>
              <w:rPr>
                <w:b/>
                <w:sz w:val="22"/>
              </w:rPr>
            </w:pPr>
            <w:r w:rsidRPr="00D6397E">
              <w:rPr>
                <w:b/>
                <w:sz w:val="22"/>
              </w:rPr>
              <w:t>Minutes per Response</w:t>
            </w:r>
          </w:p>
        </w:tc>
        <w:tc>
          <w:tcPr>
            <w:tcW w:w="1542" w:type="dxa"/>
            <w:vAlign w:val="center"/>
          </w:tcPr>
          <w:p w:rsidR="008E401B" w:rsidRPr="00D6397E" w:rsidRDefault="008E401B" w:rsidP="0029428A">
            <w:pPr>
              <w:pStyle w:val="NoSpacing"/>
              <w:jc w:val="right"/>
              <w:rPr>
                <w:b/>
                <w:sz w:val="22"/>
              </w:rPr>
            </w:pPr>
            <w:r w:rsidRPr="00D6397E">
              <w:rPr>
                <w:b/>
                <w:sz w:val="22"/>
              </w:rPr>
              <w:t>Responses and Respondents</w:t>
            </w:r>
          </w:p>
        </w:tc>
        <w:tc>
          <w:tcPr>
            <w:tcW w:w="1541" w:type="dxa"/>
            <w:vAlign w:val="center"/>
          </w:tcPr>
          <w:p w:rsidR="008E401B" w:rsidRPr="00D6397E" w:rsidRDefault="008E401B" w:rsidP="0029428A">
            <w:pPr>
              <w:pStyle w:val="NoSpacing"/>
              <w:jc w:val="right"/>
              <w:rPr>
                <w:b/>
                <w:sz w:val="22"/>
              </w:rPr>
            </w:pPr>
            <w:r w:rsidRPr="00D6397E">
              <w:rPr>
                <w:b/>
                <w:sz w:val="22"/>
              </w:rPr>
              <w:t>Total Burden Hours</w:t>
            </w:r>
          </w:p>
        </w:tc>
        <w:tc>
          <w:tcPr>
            <w:tcW w:w="1542" w:type="dxa"/>
          </w:tcPr>
          <w:p w:rsidR="008E401B" w:rsidRPr="00D6397E" w:rsidRDefault="008E401B" w:rsidP="0029428A">
            <w:pPr>
              <w:pStyle w:val="NoSpacing"/>
              <w:jc w:val="right"/>
              <w:rPr>
                <w:b/>
                <w:sz w:val="22"/>
              </w:rPr>
            </w:pPr>
            <w:r w:rsidRPr="00D6397E">
              <w:rPr>
                <w:b/>
                <w:sz w:val="22"/>
              </w:rPr>
              <w:t>Total Annualized Burden Hours (Total Burden ÷ 3)</w:t>
            </w:r>
          </w:p>
        </w:tc>
      </w:tr>
      <w:tr w:rsidR="008E401B" w:rsidTr="008E401B">
        <w:tc>
          <w:tcPr>
            <w:tcW w:w="2870" w:type="dxa"/>
            <w:vAlign w:val="center"/>
          </w:tcPr>
          <w:p w:rsidR="008E401B" w:rsidRPr="00D6397E" w:rsidRDefault="008E401B" w:rsidP="00D6397E">
            <w:pPr>
              <w:pStyle w:val="NoSpacing"/>
              <w:rPr>
                <w:sz w:val="22"/>
              </w:rPr>
            </w:pPr>
            <w:r w:rsidRPr="00D6397E">
              <w:rPr>
                <w:sz w:val="22"/>
              </w:rPr>
              <w:t>In-depth interviews</w:t>
            </w:r>
          </w:p>
          <w:p w:rsidR="009B2293" w:rsidRPr="00D6397E" w:rsidRDefault="00264C74" w:rsidP="00D6397E">
            <w:pPr>
              <w:pStyle w:val="NoSpacing"/>
              <w:rPr>
                <w:b/>
                <w:sz w:val="22"/>
              </w:rPr>
            </w:pPr>
            <w:r>
              <w:rPr>
                <w:sz w:val="22"/>
              </w:rPr>
              <w:t xml:space="preserve">Form </w:t>
            </w:r>
            <w:r w:rsidR="009B2293" w:rsidRPr="00D6397E">
              <w:rPr>
                <w:sz w:val="22"/>
              </w:rPr>
              <w:t>MCSA-588</w:t>
            </w:r>
            <w:r w:rsidR="00E5004C">
              <w:rPr>
                <w:sz w:val="22"/>
              </w:rPr>
              <w:t xml:space="preserve">0 &amp; </w:t>
            </w:r>
            <w:r>
              <w:rPr>
                <w:sz w:val="22"/>
              </w:rPr>
              <w:t xml:space="preserve">Form </w:t>
            </w:r>
            <w:r w:rsidR="00E5004C">
              <w:rPr>
                <w:sz w:val="22"/>
              </w:rPr>
              <w:t>MCSA-5881</w:t>
            </w:r>
          </w:p>
        </w:tc>
        <w:tc>
          <w:tcPr>
            <w:tcW w:w="1541" w:type="dxa"/>
            <w:vAlign w:val="center"/>
          </w:tcPr>
          <w:p w:rsidR="008E401B" w:rsidRPr="00D6397E" w:rsidRDefault="008E401B" w:rsidP="0029428A">
            <w:pPr>
              <w:pStyle w:val="NoSpacing"/>
              <w:jc w:val="right"/>
              <w:rPr>
                <w:sz w:val="22"/>
              </w:rPr>
            </w:pPr>
            <w:r w:rsidRPr="00D6397E">
              <w:rPr>
                <w:sz w:val="22"/>
              </w:rPr>
              <w:t>30</w:t>
            </w:r>
          </w:p>
        </w:tc>
        <w:tc>
          <w:tcPr>
            <w:tcW w:w="1542" w:type="dxa"/>
            <w:vAlign w:val="center"/>
          </w:tcPr>
          <w:p w:rsidR="008E401B" w:rsidRPr="00D6397E" w:rsidRDefault="008E401B" w:rsidP="0029428A">
            <w:pPr>
              <w:pStyle w:val="NoSpacing"/>
              <w:jc w:val="right"/>
              <w:rPr>
                <w:sz w:val="22"/>
              </w:rPr>
            </w:pPr>
            <w:r w:rsidRPr="00D6397E">
              <w:rPr>
                <w:sz w:val="22"/>
              </w:rPr>
              <w:t>7</w:t>
            </w:r>
          </w:p>
        </w:tc>
        <w:tc>
          <w:tcPr>
            <w:tcW w:w="1541" w:type="dxa"/>
            <w:vAlign w:val="center"/>
          </w:tcPr>
          <w:p w:rsidR="008E401B" w:rsidRPr="00D6397E" w:rsidRDefault="008E401B" w:rsidP="0029428A">
            <w:pPr>
              <w:pStyle w:val="NoSpacing"/>
              <w:jc w:val="right"/>
              <w:rPr>
                <w:sz w:val="22"/>
              </w:rPr>
            </w:pPr>
            <w:r w:rsidRPr="00D6397E">
              <w:rPr>
                <w:sz w:val="22"/>
              </w:rPr>
              <w:t>3.5</w:t>
            </w:r>
          </w:p>
        </w:tc>
        <w:tc>
          <w:tcPr>
            <w:tcW w:w="1542" w:type="dxa"/>
          </w:tcPr>
          <w:p w:rsidR="008E401B" w:rsidRPr="00D6397E" w:rsidRDefault="008D2882" w:rsidP="0029428A">
            <w:pPr>
              <w:pStyle w:val="NoSpacing"/>
              <w:jc w:val="right"/>
              <w:rPr>
                <w:sz w:val="22"/>
              </w:rPr>
            </w:pPr>
            <w:r w:rsidRPr="00D6397E">
              <w:rPr>
                <w:sz w:val="22"/>
              </w:rPr>
              <w:t>1.2</w:t>
            </w:r>
          </w:p>
        </w:tc>
      </w:tr>
      <w:tr w:rsidR="008E401B" w:rsidTr="008E401B">
        <w:tc>
          <w:tcPr>
            <w:tcW w:w="2870" w:type="dxa"/>
            <w:vAlign w:val="center"/>
          </w:tcPr>
          <w:p w:rsidR="008E401B" w:rsidRPr="00D6397E" w:rsidRDefault="008E401B" w:rsidP="00D6397E">
            <w:pPr>
              <w:pStyle w:val="NoSpacing"/>
              <w:rPr>
                <w:sz w:val="22"/>
              </w:rPr>
            </w:pPr>
            <w:r w:rsidRPr="00D6397E">
              <w:rPr>
                <w:sz w:val="22"/>
              </w:rPr>
              <w:t>Intercept interviews</w:t>
            </w:r>
          </w:p>
          <w:p w:rsidR="00D6397E" w:rsidRPr="00D6397E" w:rsidRDefault="00264C74" w:rsidP="00D6397E">
            <w:pPr>
              <w:pStyle w:val="NoSpacing"/>
              <w:rPr>
                <w:b/>
                <w:sz w:val="22"/>
              </w:rPr>
            </w:pPr>
            <w:r>
              <w:rPr>
                <w:sz w:val="22"/>
              </w:rPr>
              <w:t xml:space="preserve">Form </w:t>
            </w:r>
            <w:r w:rsidR="00D6397E" w:rsidRPr="00D6397E">
              <w:rPr>
                <w:sz w:val="22"/>
              </w:rPr>
              <w:t>MCSA-5882</w:t>
            </w:r>
          </w:p>
        </w:tc>
        <w:tc>
          <w:tcPr>
            <w:tcW w:w="1541" w:type="dxa"/>
            <w:vAlign w:val="center"/>
          </w:tcPr>
          <w:p w:rsidR="008E401B" w:rsidRPr="00D6397E" w:rsidRDefault="00661826" w:rsidP="0029428A">
            <w:pPr>
              <w:pStyle w:val="NoSpacing"/>
              <w:jc w:val="right"/>
              <w:rPr>
                <w:sz w:val="22"/>
              </w:rPr>
            </w:pPr>
            <w:r w:rsidRPr="00D6397E">
              <w:rPr>
                <w:sz w:val="22"/>
              </w:rPr>
              <w:t>20</w:t>
            </w:r>
          </w:p>
        </w:tc>
        <w:tc>
          <w:tcPr>
            <w:tcW w:w="1542" w:type="dxa"/>
            <w:vAlign w:val="center"/>
          </w:tcPr>
          <w:p w:rsidR="008E401B" w:rsidRPr="00D6397E" w:rsidRDefault="0005694A" w:rsidP="0029428A">
            <w:pPr>
              <w:pStyle w:val="NoSpacing"/>
              <w:jc w:val="right"/>
              <w:rPr>
                <w:sz w:val="22"/>
              </w:rPr>
            </w:pPr>
            <w:r w:rsidRPr="00D6397E">
              <w:rPr>
                <w:sz w:val="22"/>
              </w:rPr>
              <w:t>510</w:t>
            </w:r>
          </w:p>
        </w:tc>
        <w:tc>
          <w:tcPr>
            <w:tcW w:w="1541" w:type="dxa"/>
            <w:vAlign w:val="center"/>
          </w:tcPr>
          <w:p w:rsidR="008E401B" w:rsidRPr="00D6397E" w:rsidRDefault="0005694A" w:rsidP="0029428A">
            <w:pPr>
              <w:pStyle w:val="NoSpacing"/>
              <w:jc w:val="right"/>
              <w:rPr>
                <w:sz w:val="22"/>
              </w:rPr>
            </w:pPr>
            <w:r w:rsidRPr="00D6397E">
              <w:rPr>
                <w:sz w:val="22"/>
              </w:rPr>
              <w:t>170</w:t>
            </w:r>
          </w:p>
        </w:tc>
        <w:tc>
          <w:tcPr>
            <w:tcW w:w="1542" w:type="dxa"/>
          </w:tcPr>
          <w:p w:rsidR="008E401B" w:rsidRPr="00D6397E" w:rsidRDefault="0005694A" w:rsidP="0029428A">
            <w:pPr>
              <w:pStyle w:val="NoSpacing"/>
              <w:jc w:val="right"/>
              <w:rPr>
                <w:sz w:val="22"/>
              </w:rPr>
            </w:pPr>
            <w:r w:rsidRPr="00D6397E">
              <w:rPr>
                <w:sz w:val="22"/>
              </w:rPr>
              <w:t>5</w:t>
            </w:r>
            <w:r w:rsidR="00661826" w:rsidRPr="00D6397E">
              <w:rPr>
                <w:sz w:val="22"/>
              </w:rPr>
              <w:t>6.7</w:t>
            </w:r>
          </w:p>
        </w:tc>
      </w:tr>
      <w:tr w:rsidR="008E401B" w:rsidTr="008E401B">
        <w:tc>
          <w:tcPr>
            <w:tcW w:w="2870" w:type="dxa"/>
            <w:vAlign w:val="center"/>
          </w:tcPr>
          <w:p w:rsidR="008E401B" w:rsidRPr="00D6397E" w:rsidRDefault="008E401B" w:rsidP="0029428A">
            <w:pPr>
              <w:pStyle w:val="NoSpacing"/>
              <w:jc w:val="right"/>
              <w:rPr>
                <w:b/>
                <w:sz w:val="22"/>
              </w:rPr>
            </w:pPr>
            <w:r w:rsidRPr="00D6397E">
              <w:rPr>
                <w:b/>
                <w:sz w:val="22"/>
              </w:rPr>
              <w:t>Total</w:t>
            </w:r>
          </w:p>
        </w:tc>
        <w:tc>
          <w:tcPr>
            <w:tcW w:w="1541" w:type="dxa"/>
            <w:vAlign w:val="center"/>
          </w:tcPr>
          <w:p w:rsidR="008E401B" w:rsidRPr="00D6397E" w:rsidRDefault="008E401B" w:rsidP="0029428A">
            <w:pPr>
              <w:pStyle w:val="NoSpacing"/>
              <w:jc w:val="right"/>
              <w:rPr>
                <w:b/>
                <w:sz w:val="22"/>
              </w:rPr>
            </w:pPr>
          </w:p>
        </w:tc>
        <w:tc>
          <w:tcPr>
            <w:tcW w:w="1542" w:type="dxa"/>
            <w:vAlign w:val="center"/>
          </w:tcPr>
          <w:p w:rsidR="008E401B" w:rsidRPr="00D6397E" w:rsidRDefault="0005694A" w:rsidP="0029428A">
            <w:pPr>
              <w:pStyle w:val="NoSpacing"/>
              <w:jc w:val="right"/>
              <w:rPr>
                <w:b/>
                <w:sz w:val="22"/>
              </w:rPr>
            </w:pPr>
            <w:r w:rsidRPr="00D6397E">
              <w:rPr>
                <w:b/>
                <w:sz w:val="22"/>
              </w:rPr>
              <w:t>517</w:t>
            </w:r>
          </w:p>
        </w:tc>
        <w:tc>
          <w:tcPr>
            <w:tcW w:w="1541" w:type="dxa"/>
            <w:vAlign w:val="center"/>
          </w:tcPr>
          <w:p w:rsidR="008E401B" w:rsidRPr="00D6397E" w:rsidRDefault="0005694A" w:rsidP="0029428A">
            <w:pPr>
              <w:pStyle w:val="NoSpacing"/>
              <w:jc w:val="right"/>
              <w:rPr>
                <w:b/>
                <w:sz w:val="22"/>
              </w:rPr>
            </w:pPr>
            <w:r w:rsidRPr="00D6397E">
              <w:rPr>
                <w:b/>
                <w:sz w:val="22"/>
              </w:rPr>
              <w:t>17</w:t>
            </w:r>
            <w:r w:rsidR="00661826" w:rsidRPr="00D6397E">
              <w:rPr>
                <w:b/>
                <w:sz w:val="22"/>
              </w:rPr>
              <w:t>3</w:t>
            </w:r>
            <w:r w:rsidR="008E401B" w:rsidRPr="00D6397E">
              <w:rPr>
                <w:b/>
                <w:sz w:val="22"/>
              </w:rPr>
              <w:t>.5</w:t>
            </w:r>
          </w:p>
        </w:tc>
        <w:tc>
          <w:tcPr>
            <w:tcW w:w="1542" w:type="dxa"/>
          </w:tcPr>
          <w:p w:rsidR="008E401B" w:rsidRPr="00D6397E" w:rsidRDefault="0005694A" w:rsidP="0029428A">
            <w:pPr>
              <w:pStyle w:val="NoSpacing"/>
              <w:jc w:val="right"/>
              <w:rPr>
                <w:b/>
                <w:sz w:val="22"/>
              </w:rPr>
            </w:pPr>
            <w:r w:rsidRPr="00D6397E">
              <w:rPr>
                <w:b/>
                <w:sz w:val="22"/>
              </w:rPr>
              <w:t>5</w:t>
            </w:r>
            <w:r w:rsidR="00661826" w:rsidRPr="00D6397E">
              <w:rPr>
                <w:b/>
                <w:sz w:val="22"/>
              </w:rPr>
              <w:t>7.9</w:t>
            </w:r>
          </w:p>
        </w:tc>
      </w:tr>
    </w:tbl>
    <w:p w:rsidR="008175CE" w:rsidRDefault="008175CE" w:rsidP="00B61511">
      <w:pPr>
        <w:pStyle w:val="NoSpacing"/>
        <w:ind w:left="540"/>
      </w:pPr>
    </w:p>
    <w:p w:rsidR="008175CE" w:rsidRPr="008175CE" w:rsidRDefault="008175CE" w:rsidP="008175CE">
      <w:pPr>
        <w:pStyle w:val="NoSpacing"/>
        <w:rPr>
          <w:b/>
        </w:rPr>
      </w:pPr>
      <w:r w:rsidRPr="008175CE">
        <w:rPr>
          <w:b/>
        </w:rPr>
        <w:t xml:space="preserve">Estimated Total Annual Burden Hours: </w:t>
      </w:r>
      <w:r w:rsidR="0005694A">
        <w:rPr>
          <w:b/>
        </w:rPr>
        <w:t>11</w:t>
      </w:r>
      <w:r w:rsidR="00661826">
        <w:rPr>
          <w:b/>
        </w:rPr>
        <w:t>0.5</w:t>
      </w:r>
      <w:r w:rsidRPr="008175CE">
        <w:rPr>
          <w:b/>
        </w:rPr>
        <w:t xml:space="preserve"> hours (</w:t>
      </w:r>
      <w:r w:rsidR="00661826">
        <w:rPr>
          <w:b/>
        </w:rPr>
        <w:t>52.6</w:t>
      </w:r>
      <w:r w:rsidRPr="008175CE">
        <w:rPr>
          <w:b/>
        </w:rPr>
        <w:t xml:space="preserve"> hours for IC1 + </w:t>
      </w:r>
      <w:r w:rsidR="0005694A">
        <w:rPr>
          <w:b/>
        </w:rPr>
        <w:t>5</w:t>
      </w:r>
      <w:r w:rsidR="00661826">
        <w:rPr>
          <w:b/>
        </w:rPr>
        <w:t>7.9</w:t>
      </w:r>
      <w:r w:rsidRPr="008175CE">
        <w:rPr>
          <w:b/>
        </w:rPr>
        <w:t xml:space="preserve"> hours for IC2)</w:t>
      </w:r>
    </w:p>
    <w:p w:rsidR="008175CE" w:rsidRPr="008175CE" w:rsidRDefault="008175CE" w:rsidP="008175CE">
      <w:pPr>
        <w:pStyle w:val="NoSpacing"/>
        <w:rPr>
          <w:b/>
        </w:rPr>
      </w:pPr>
    </w:p>
    <w:p w:rsidR="008175CE" w:rsidRPr="008175CE" w:rsidRDefault="008175CE" w:rsidP="008175CE">
      <w:pPr>
        <w:pStyle w:val="NoSpacing"/>
        <w:rPr>
          <w:b/>
        </w:rPr>
      </w:pPr>
      <w:r w:rsidRPr="008175CE">
        <w:rPr>
          <w:b/>
        </w:rPr>
        <w:t>Estimated Total Annual Responses: 1,</w:t>
      </w:r>
      <w:r w:rsidR="0005694A">
        <w:rPr>
          <w:b/>
        </w:rPr>
        <w:t>03</w:t>
      </w:r>
      <w:r w:rsidRPr="008175CE">
        <w:rPr>
          <w:b/>
        </w:rPr>
        <w:t xml:space="preserve">9 responses (522 responses for IC1 + </w:t>
      </w:r>
      <w:r w:rsidR="0005694A">
        <w:rPr>
          <w:b/>
        </w:rPr>
        <w:t>51</w:t>
      </w:r>
      <w:r w:rsidRPr="008175CE">
        <w:rPr>
          <w:b/>
        </w:rPr>
        <w:t>7 responses for IC2)</w:t>
      </w:r>
    </w:p>
    <w:p w:rsidR="008175CE" w:rsidRPr="008175CE" w:rsidRDefault="008175CE" w:rsidP="008175CE">
      <w:pPr>
        <w:pStyle w:val="NoSpacing"/>
        <w:rPr>
          <w:b/>
        </w:rPr>
      </w:pPr>
    </w:p>
    <w:p w:rsidR="0029428A" w:rsidRDefault="008175CE" w:rsidP="008175CE">
      <w:pPr>
        <w:pStyle w:val="NoSpacing"/>
        <w:rPr>
          <w:b/>
        </w:rPr>
      </w:pPr>
      <w:r w:rsidRPr="008175CE">
        <w:rPr>
          <w:b/>
        </w:rPr>
        <w:t>Estimated Total Annual Respondents: 1,</w:t>
      </w:r>
      <w:r w:rsidR="0005694A">
        <w:rPr>
          <w:b/>
        </w:rPr>
        <w:t>03</w:t>
      </w:r>
      <w:r w:rsidRPr="008175CE">
        <w:rPr>
          <w:b/>
        </w:rPr>
        <w:t>9 responden</w:t>
      </w:r>
      <w:r w:rsidR="0005694A">
        <w:rPr>
          <w:b/>
        </w:rPr>
        <w:t>ts (522 respondents for IC1 + 51</w:t>
      </w:r>
      <w:r w:rsidRPr="008175CE">
        <w:rPr>
          <w:b/>
        </w:rPr>
        <w:t>7 respondents for IC2)</w:t>
      </w:r>
      <w:r w:rsidRPr="008175CE">
        <w:rPr>
          <w:b/>
        </w:rPr>
        <w:tab/>
      </w:r>
    </w:p>
    <w:p w:rsidR="0029428A" w:rsidRDefault="0029428A" w:rsidP="008175CE">
      <w:pPr>
        <w:pStyle w:val="NoSpacing"/>
        <w:rPr>
          <w:b/>
        </w:rPr>
      </w:pPr>
    </w:p>
    <w:p w:rsidR="0029428A" w:rsidRDefault="0029428A" w:rsidP="0029428A">
      <w:pPr>
        <w:pStyle w:val="NoSpacing"/>
      </w:pPr>
      <w:r>
        <w:t>Using a cost of $22</w:t>
      </w:r>
      <w:r>
        <w:rPr>
          <w:rStyle w:val="FootnoteReference"/>
        </w:rPr>
        <w:footnoteReference w:id="2"/>
      </w:r>
      <w:r>
        <w:t xml:space="preserve"> per hour</w:t>
      </w:r>
      <w:r w:rsidR="00661826">
        <w:t>, the Agency estimates that the</w:t>
      </w:r>
      <w:r>
        <w:t xml:space="preserve"> total annual labor cost of this ICR will be $</w:t>
      </w:r>
      <w:r w:rsidR="008D2882">
        <w:t>2,</w:t>
      </w:r>
      <w:r w:rsidR="0005694A">
        <w:t>43</w:t>
      </w:r>
      <w:r w:rsidR="00661826">
        <w:t>1</w:t>
      </w:r>
      <w:r w:rsidR="008D2882">
        <w:t>, comprising $</w:t>
      </w:r>
      <w:r w:rsidR="00661826">
        <w:t>1,157</w:t>
      </w:r>
      <w:r>
        <w:t xml:space="preserve"> for IC1 (</w:t>
      </w:r>
      <w:r w:rsidR="00661826">
        <w:t>52.6</w:t>
      </w:r>
      <w:r>
        <w:t xml:space="preserve"> × $22) and $</w:t>
      </w:r>
      <w:r w:rsidR="008D2882">
        <w:t>1,</w:t>
      </w:r>
      <w:r w:rsidR="0005694A">
        <w:t>27</w:t>
      </w:r>
      <w:r w:rsidR="00661826">
        <w:t>4</w:t>
      </w:r>
      <w:r>
        <w:t xml:space="preserve"> for IC2 (</w:t>
      </w:r>
      <w:r w:rsidR="0005694A">
        <w:t>5</w:t>
      </w:r>
      <w:r w:rsidR="00661826">
        <w:t>7.9</w:t>
      </w:r>
      <w:r>
        <w:t xml:space="preserve"> × $22)</w:t>
      </w:r>
      <w:r w:rsidR="008D2882">
        <w:t>.</w:t>
      </w:r>
    </w:p>
    <w:p w:rsidR="00D025FD" w:rsidRDefault="00D025FD" w:rsidP="008175CE">
      <w:pPr>
        <w:pStyle w:val="NoSpacing"/>
      </w:pPr>
    </w:p>
    <w:p w:rsidR="000D1E15" w:rsidRDefault="000D1E15" w:rsidP="00E5734E">
      <w:pPr>
        <w:pStyle w:val="NoSpacing"/>
        <w:rPr>
          <w:b/>
        </w:rPr>
      </w:pPr>
    </w:p>
    <w:p w:rsidR="000D1E15" w:rsidRDefault="000D1E15" w:rsidP="00E5734E">
      <w:pPr>
        <w:pStyle w:val="NoSpacing"/>
        <w:rPr>
          <w:b/>
        </w:rPr>
      </w:pPr>
    </w:p>
    <w:p w:rsidR="000D1E15" w:rsidRDefault="000D1E15" w:rsidP="00E5734E">
      <w:pPr>
        <w:pStyle w:val="NoSpacing"/>
        <w:rPr>
          <w:b/>
        </w:rPr>
      </w:pPr>
    </w:p>
    <w:p w:rsidR="00A91A04" w:rsidRDefault="00D025FD" w:rsidP="00E5734E">
      <w:pPr>
        <w:pStyle w:val="NoSpacing"/>
        <w:rPr>
          <w:b/>
        </w:rPr>
      </w:pPr>
      <w:r>
        <w:rPr>
          <w:b/>
        </w:rPr>
        <w:lastRenderedPageBreak/>
        <w:t>13</w:t>
      </w:r>
      <w:r w:rsidR="00A91A04">
        <w:rPr>
          <w:b/>
        </w:rPr>
        <w:t xml:space="preserve">.  </w:t>
      </w:r>
      <w:r w:rsidR="00EA6B3C">
        <w:rPr>
          <w:b/>
        </w:rPr>
        <w:t>Estimate of total annual costs to respondents</w:t>
      </w:r>
      <w:r w:rsidR="000D1E15">
        <w:rPr>
          <w:b/>
        </w:rPr>
        <w:t>.</w:t>
      </w:r>
    </w:p>
    <w:p w:rsidR="0083388F" w:rsidRDefault="0083388F" w:rsidP="00E5734E">
      <w:pPr>
        <w:pStyle w:val="NoSpacing"/>
        <w:rPr>
          <w:b/>
        </w:rPr>
      </w:pPr>
    </w:p>
    <w:p w:rsidR="0083388F" w:rsidRDefault="0029428A" w:rsidP="0029428A">
      <w:pPr>
        <w:pStyle w:val="NoSpacing"/>
      </w:pPr>
      <w:r w:rsidRPr="0029428A">
        <w:t>There are no costs to respondents beyond those associated with the annual hourly burden (not to be included here).</w:t>
      </w:r>
    </w:p>
    <w:p w:rsidR="00A91A04" w:rsidRDefault="00A91A04" w:rsidP="003B74ED">
      <w:pPr>
        <w:pStyle w:val="NoSpacing"/>
      </w:pPr>
    </w:p>
    <w:p w:rsidR="00A91A04" w:rsidRDefault="00D025FD" w:rsidP="003B74ED">
      <w:pPr>
        <w:pStyle w:val="NoSpacing"/>
        <w:rPr>
          <w:b/>
        </w:rPr>
      </w:pPr>
      <w:r>
        <w:rPr>
          <w:b/>
        </w:rPr>
        <w:t>14</w:t>
      </w:r>
      <w:r w:rsidR="00A91A04">
        <w:rPr>
          <w:b/>
        </w:rPr>
        <w:t xml:space="preserve">.  </w:t>
      </w:r>
      <w:r w:rsidR="00EA6B3C">
        <w:rPr>
          <w:b/>
        </w:rPr>
        <w:t>Estimate of cost to the Federal government.</w:t>
      </w:r>
      <w:r w:rsidR="00EA6B3C" w:rsidDel="00EA6B3C">
        <w:rPr>
          <w:b/>
        </w:rPr>
        <w:t xml:space="preserve"> </w:t>
      </w:r>
    </w:p>
    <w:p w:rsidR="0083388F" w:rsidRDefault="0083388F" w:rsidP="003B74ED">
      <w:pPr>
        <w:pStyle w:val="NoSpacing"/>
        <w:rPr>
          <w:b/>
        </w:rPr>
      </w:pPr>
    </w:p>
    <w:p w:rsidR="0083388F" w:rsidRDefault="0083388F" w:rsidP="0083388F">
      <w:pPr>
        <w:pStyle w:val="NoSpacing"/>
      </w:pPr>
      <w:r>
        <w:t xml:space="preserve">The total Federal government budget for this information collection is $460,000, and </w:t>
      </w:r>
      <w:r w:rsidR="00EE1191">
        <w:t xml:space="preserve">it is </w:t>
      </w:r>
      <w:r>
        <w:t>itemized in the</w:t>
      </w:r>
      <w:r w:rsidR="00EE1191">
        <w:t xml:space="preserve"> following </w:t>
      </w:r>
      <w:r>
        <w:t>table</w:t>
      </w:r>
      <w:r w:rsidR="00EE1191">
        <w:t>.</w:t>
      </w:r>
    </w:p>
    <w:p w:rsidR="0083388F" w:rsidRDefault="0083388F" w:rsidP="0083388F">
      <w:pPr>
        <w:pStyle w:val="NoSpacing"/>
        <w:jc w:val="center"/>
        <w:rPr>
          <w:b/>
        </w:rPr>
      </w:pPr>
      <w:r>
        <w:rPr>
          <w:b/>
        </w:rPr>
        <w:t>COSTS TO FEDERAL GOVERNMENT</w:t>
      </w:r>
    </w:p>
    <w:p w:rsidR="0083388F" w:rsidRDefault="0083388F" w:rsidP="0083388F">
      <w:pPr>
        <w:pStyle w:val="NoSpacing"/>
        <w:jc w:val="center"/>
        <w:rPr>
          <w:b/>
        </w:rPr>
      </w:pPr>
    </w:p>
    <w:p w:rsidR="0083388F" w:rsidRDefault="0083388F" w:rsidP="0083388F">
      <w:pPr>
        <w:pStyle w:val="NoSpacing"/>
        <w:rPr>
          <w:b/>
        </w:rPr>
      </w:pPr>
      <w:r>
        <w:rPr>
          <w:b/>
        </w:rPr>
        <w:t>Tasks</w:t>
      </w:r>
      <w:r>
        <w:rPr>
          <w:b/>
        </w:rPr>
        <w:tab/>
      </w:r>
      <w:r>
        <w:rPr>
          <w:b/>
        </w:rPr>
        <w:tab/>
      </w:r>
      <w:r>
        <w:rPr>
          <w:b/>
        </w:rPr>
        <w:tab/>
      </w:r>
      <w:r>
        <w:rPr>
          <w:b/>
        </w:rPr>
        <w:tab/>
      </w:r>
      <w:r>
        <w:rPr>
          <w:b/>
        </w:rPr>
        <w:tab/>
      </w:r>
      <w:r>
        <w:rPr>
          <w:b/>
        </w:rPr>
        <w:tab/>
      </w:r>
      <w:r>
        <w:rPr>
          <w:b/>
        </w:rPr>
        <w:tab/>
      </w:r>
      <w:r>
        <w:rPr>
          <w:b/>
        </w:rPr>
        <w:tab/>
      </w:r>
      <w:r>
        <w:rPr>
          <w:b/>
        </w:rPr>
        <w:tab/>
        <w:t>Total costs by Task</w:t>
      </w:r>
    </w:p>
    <w:p w:rsidR="0083388F" w:rsidRDefault="0083388F" w:rsidP="0083388F">
      <w:pPr>
        <w:pStyle w:val="NoSpacing"/>
        <w:rPr>
          <w:b/>
        </w:rPr>
      </w:pPr>
    </w:p>
    <w:p w:rsidR="0083388F" w:rsidRDefault="0083388F" w:rsidP="0083388F">
      <w:pPr>
        <w:pStyle w:val="NoSpacing"/>
      </w:pPr>
      <w:r>
        <w:t>Kickoff and Design Plan</w:t>
      </w:r>
      <w:r>
        <w:tab/>
      </w:r>
      <w:r>
        <w:tab/>
      </w:r>
      <w:r>
        <w:tab/>
      </w:r>
      <w:r>
        <w:tab/>
      </w:r>
      <w:r>
        <w:tab/>
      </w:r>
      <w:r>
        <w:tab/>
      </w:r>
      <w:r>
        <w:tab/>
        <w:t>$  72,000</w:t>
      </w:r>
    </w:p>
    <w:p w:rsidR="0083388F" w:rsidRDefault="0083388F" w:rsidP="0083388F">
      <w:pPr>
        <w:pStyle w:val="NoSpacing"/>
      </w:pPr>
      <w:r>
        <w:t>Peer Review</w:t>
      </w:r>
      <w:r>
        <w:tab/>
      </w:r>
      <w:r>
        <w:tab/>
      </w:r>
      <w:r>
        <w:tab/>
      </w:r>
      <w:r>
        <w:tab/>
      </w:r>
      <w:r>
        <w:tab/>
      </w:r>
      <w:r>
        <w:tab/>
      </w:r>
      <w:r>
        <w:tab/>
      </w:r>
      <w:r>
        <w:tab/>
      </w:r>
      <w:r>
        <w:tab/>
        <w:t>$  14,000</w:t>
      </w:r>
    </w:p>
    <w:p w:rsidR="0083388F" w:rsidRDefault="0083388F" w:rsidP="0083388F">
      <w:pPr>
        <w:pStyle w:val="NoSpacing"/>
      </w:pPr>
      <w:r>
        <w:t>Literature Review, Technology Scan</w:t>
      </w:r>
      <w:r>
        <w:tab/>
      </w:r>
      <w:r>
        <w:tab/>
      </w:r>
      <w:r>
        <w:tab/>
      </w:r>
      <w:r>
        <w:tab/>
      </w:r>
      <w:r>
        <w:tab/>
      </w:r>
      <w:r>
        <w:tab/>
        <w:t>$  46,000</w:t>
      </w:r>
    </w:p>
    <w:p w:rsidR="0083388F" w:rsidRDefault="0083388F" w:rsidP="0083388F">
      <w:pPr>
        <w:pStyle w:val="NoSpacing"/>
      </w:pPr>
      <w:r>
        <w:t>Collect Data</w:t>
      </w:r>
      <w:r>
        <w:tab/>
      </w:r>
      <w:r>
        <w:tab/>
      </w:r>
      <w:r>
        <w:tab/>
      </w:r>
      <w:r>
        <w:tab/>
      </w:r>
      <w:r>
        <w:tab/>
      </w:r>
      <w:r>
        <w:tab/>
      </w:r>
      <w:r>
        <w:tab/>
      </w:r>
      <w:r>
        <w:tab/>
      </w:r>
      <w:r>
        <w:tab/>
        <w:t>$160,000</w:t>
      </w:r>
    </w:p>
    <w:p w:rsidR="0083388F" w:rsidRDefault="0083388F" w:rsidP="0083388F">
      <w:pPr>
        <w:pStyle w:val="NoSpacing"/>
      </w:pPr>
      <w:r>
        <w:t>Conduct Analysis</w:t>
      </w:r>
      <w:r>
        <w:tab/>
      </w:r>
      <w:r>
        <w:tab/>
      </w:r>
      <w:r>
        <w:tab/>
      </w:r>
      <w:r>
        <w:tab/>
      </w:r>
      <w:r>
        <w:tab/>
      </w:r>
      <w:r>
        <w:tab/>
      </w:r>
      <w:r>
        <w:tab/>
      </w:r>
      <w:r>
        <w:tab/>
        <w:t>$  52,000</w:t>
      </w:r>
    </w:p>
    <w:p w:rsidR="0083388F" w:rsidRDefault="0083388F" w:rsidP="0083388F">
      <w:pPr>
        <w:pStyle w:val="NoSpacing"/>
      </w:pPr>
      <w:r>
        <w:t>Final Report and Peer Review</w:t>
      </w:r>
      <w:r>
        <w:tab/>
      </w:r>
      <w:r>
        <w:tab/>
      </w:r>
      <w:r>
        <w:tab/>
      </w:r>
      <w:r>
        <w:tab/>
      </w:r>
      <w:r>
        <w:tab/>
      </w:r>
      <w:r>
        <w:tab/>
        <w:t>$  48,500</w:t>
      </w:r>
    </w:p>
    <w:p w:rsidR="0083388F" w:rsidRDefault="0083388F" w:rsidP="0083388F">
      <w:pPr>
        <w:pStyle w:val="NoSpacing"/>
      </w:pPr>
      <w:r>
        <w:t>Presentation and 508 Compliance</w:t>
      </w:r>
      <w:r>
        <w:tab/>
      </w:r>
      <w:r>
        <w:tab/>
      </w:r>
      <w:r>
        <w:tab/>
      </w:r>
      <w:r>
        <w:tab/>
      </w:r>
      <w:r>
        <w:tab/>
      </w:r>
      <w:r>
        <w:tab/>
        <w:t>$  30,500</w:t>
      </w:r>
    </w:p>
    <w:p w:rsidR="0083388F" w:rsidRDefault="0083388F" w:rsidP="0083388F">
      <w:pPr>
        <w:pStyle w:val="NoSpacing"/>
      </w:pPr>
    </w:p>
    <w:p w:rsidR="0083388F" w:rsidRDefault="0083388F" w:rsidP="0083388F">
      <w:pPr>
        <w:pStyle w:val="NoSpacing"/>
      </w:pPr>
      <w:r>
        <w:t>Direct Costs, including Travel</w:t>
      </w:r>
      <w:r>
        <w:tab/>
      </w:r>
      <w:r>
        <w:tab/>
      </w:r>
      <w:r>
        <w:tab/>
      </w:r>
      <w:r>
        <w:tab/>
      </w:r>
      <w:r>
        <w:tab/>
      </w:r>
      <w:r>
        <w:tab/>
        <w:t>$  37,000</w:t>
      </w:r>
    </w:p>
    <w:p w:rsidR="0083388F" w:rsidRDefault="0083388F" w:rsidP="0083388F">
      <w:pPr>
        <w:pStyle w:val="NoSpacing"/>
      </w:pPr>
    </w:p>
    <w:p w:rsidR="0083388F" w:rsidRDefault="0083388F" w:rsidP="0083388F">
      <w:pPr>
        <w:pStyle w:val="NoSpacing"/>
      </w:pPr>
      <w:r>
        <w:t>TOTAL</w:t>
      </w:r>
      <w:r>
        <w:tab/>
      </w:r>
      <w:r>
        <w:tab/>
      </w:r>
      <w:r>
        <w:tab/>
      </w:r>
      <w:r>
        <w:tab/>
      </w:r>
      <w:r>
        <w:tab/>
      </w:r>
      <w:r>
        <w:tab/>
      </w:r>
      <w:r>
        <w:tab/>
      </w:r>
      <w:r>
        <w:tab/>
      </w:r>
      <w:r>
        <w:tab/>
        <w:t>$460,000</w:t>
      </w:r>
      <w:r w:rsidR="00F978D8">
        <w:t xml:space="preserve">  </w:t>
      </w:r>
    </w:p>
    <w:p w:rsidR="00F978D8" w:rsidRDefault="00F978D8" w:rsidP="0083388F">
      <w:pPr>
        <w:pStyle w:val="NoSpacing"/>
      </w:pPr>
    </w:p>
    <w:p w:rsidR="00F978D8" w:rsidRDefault="00F978D8" w:rsidP="00F978D8">
      <w:pPr>
        <w:pStyle w:val="NoSpacing"/>
      </w:pPr>
      <w:r>
        <w:t xml:space="preserve">The hours and costs, as noted above, were based on the agreed upon specific labor hours and rates between US DOT—FMCSA and </w:t>
      </w:r>
      <w:proofErr w:type="spellStart"/>
      <w:r>
        <w:t>MaineWay</w:t>
      </w:r>
      <w:proofErr w:type="spellEnd"/>
      <w:r>
        <w:t xml:space="preserve"> Services.  The period of performance for data collection is 15 months.</w:t>
      </w:r>
    </w:p>
    <w:p w:rsidR="00F978D8" w:rsidRDefault="00F978D8" w:rsidP="0083388F">
      <w:pPr>
        <w:pStyle w:val="NoSpacing"/>
      </w:pPr>
    </w:p>
    <w:p w:rsidR="00EA6B3C" w:rsidRDefault="00D025FD" w:rsidP="00EA6B3C">
      <w:pPr>
        <w:pStyle w:val="NoSpacing"/>
        <w:rPr>
          <w:b/>
        </w:rPr>
      </w:pPr>
      <w:r>
        <w:rPr>
          <w:b/>
        </w:rPr>
        <w:t>1</w:t>
      </w:r>
      <w:r w:rsidR="00EA6B3C">
        <w:rPr>
          <w:b/>
        </w:rPr>
        <w:t>5</w:t>
      </w:r>
      <w:r w:rsidR="00A91A04">
        <w:rPr>
          <w:b/>
        </w:rPr>
        <w:t xml:space="preserve">.  </w:t>
      </w:r>
      <w:r w:rsidR="00EA6B3C">
        <w:rPr>
          <w:b/>
        </w:rPr>
        <w:t>Explanation of program changes or adjustments</w:t>
      </w:r>
      <w:r w:rsidR="000D1E15">
        <w:rPr>
          <w:b/>
        </w:rPr>
        <w:t>.</w:t>
      </w:r>
    </w:p>
    <w:p w:rsidR="00EA6B3C" w:rsidRDefault="00EA6B3C" w:rsidP="00EA6B3C">
      <w:pPr>
        <w:pStyle w:val="NoSpacing"/>
        <w:rPr>
          <w:b/>
        </w:rPr>
      </w:pPr>
    </w:p>
    <w:p w:rsidR="00EA6B3C" w:rsidRDefault="00EA6B3C" w:rsidP="00EA6B3C">
      <w:pPr>
        <w:pStyle w:val="NoSpacing"/>
      </w:pPr>
      <w:r>
        <w:t>This is a new information collection</w:t>
      </w:r>
    </w:p>
    <w:p w:rsidR="00EA6B3C" w:rsidRDefault="00EA6B3C" w:rsidP="00EA6B3C">
      <w:pPr>
        <w:pStyle w:val="NoSpacing"/>
        <w:rPr>
          <w:b/>
        </w:rPr>
      </w:pPr>
    </w:p>
    <w:p w:rsidR="00A91A04" w:rsidRDefault="0066068C" w:rsidP="0066068C">
      <w:pPr>
        <w:pStyle w:val="NoSpacing"/>
        <w:rPr>
          <w:b/>
        </w:rPr>
      </w:pPr>
      <w:r>
        <w:rPr>
          <w:b/>
        </w:rPr>
        <w:t>16.</w:t>
      </w:r>
      <w:r w:rsidR="00E51086">
        <w:rPr>
          <w:b/>
        </w:rPr>
        <w:t xml:space="preserve"> </w:t>
      </w:r>
      <w:r w:rsidR="00A91A04">
        <w:rPr>
          <w:b/>
        </w:rPr>
        <w:t>Publication of results of data collection.</w:t>
      </w:r>
    </w:p>
    <w:p w:rsidR="00A91A04" w:rsidRDefault="00A91A04" w:rsidP="003B74ED">
      <w:pPr>
        <w:pStyle w:val="NoSpacing"/>
        <w:rPr>
          <w:b/>
        </w:rPr>
      </w:pPr>
    </w:p>
    <w:p w:rsidR="00A91A04" w:rsidRDefault="00A91A04" w:rsidP="003B74ED">
      <w:pPr>
        <w:pStyle w:val="NoSpacing"/>
      </w:pPr>
      <w:r>
        <w:t xml:space="preserve">The </w:t>
      </w:r>
      <w:r w:rsidR="00272008">
        <w:t xml:space="preserve">data collected through the proposed survey </w:t>
      </w:r>
      <w:r>
        <w:t>w</w:t>
      </w:r>
      <w:r w:rsidR="00040481">
        <w:t>ill</w:t>
      </w:r>
      <w:r>
        <w:t xml:space="preserve"> be analyzed and </w:t>
      </w:r>
      <w:r w:rsidR="00E51086">
        <w:t xml:space="preserve">the </w:t>
      </w:r>
      <w:r w:rsidR="006706E0">
        <w:t xml:space="preserve">results obtained </w:t>
      </w:r>
      <w:r w:rsidR="00E51086">
        <w:t xml:space="preserve">from </w:t>
      </w:r>
      <w:r w:rsidR="006706E0">
        <w:t xml:space="preserve">data </w:t>
      </w:r>
      <w:r w:rsidR="00E51086">
        <w:t xml:space="preserve">analysis </w:t>
      </w:r>
      <w:r w:rsidR="00040481">
        <w:t>will be used to produce</w:t>
      </w:r>
      <w:r>
        <w:t xml:space="preserve"> the main study report.  Data collectio</w:t>
      </w:r>
      <w:r w:rsidR="00DA3C41">
        <w:t xml:space="preserve">n will be completed in 4 months, </w:t>
      </w:r>
      <w:r>
        <w:t xml:space="preserve">followed by </w:t>
      </w:r>
      <w:r w:rsidR="00272008">
        <w:t xml:space="preserve">basic and advanced </w:t>
      </w:r>
      <w:r>
        <w:t>statistical analys</w:t>
      </w:r>
      <w:r w:rsidR="00272008">
        <w:t>e</w:t>
      </w:r>
      <w:r>
        <w:t xml:space="preserve">s.  Both descriptive and analytical methods will be employed </w:t>
      </w:r>
      <w:r w:rsidR="00272008">
        <w:t xml:space="preserve">to analyzing </w:t>
      </w:r>
      <w:r>
        <w:t xml:space="preserve">the </w:t>
      </w:r>
      <w:r w:rsidR="00272008">
        <w:t xml:space="preserve">survey </w:t>
      </w:r>
      <w:r>
        <w:t>data</w:t>
      </w:r>
      <w:r w:rsidR="00272008">
        <w:t xml:space="preserve">.  </w:t>
      </w:r>
      <w:r>
        <w:t xml:space="preserve">Statistical methods, such as </w:t>
      </w:r>
      <w:r w:rsidR="00D025FD">
        <w:t>regression</w:t>
      </w:r>
      <w:r>
        <w:t xml:space="preserve"> </w:t>
      </w:r>
      <w:r w:rsidR="00272008">
        <w:t xml:space="preserve">type analysis </w:t>
      </w:r>
      <w:r>
        <w:t>will be adopted when appropriate.  The results of th</w:t>
      </w:r>
      <w:r w:rsidR="00040481">
        <w:t>is</w:t>
      </w:r>
      <w:r>
        <w:t xml:space="preserve"> study w</w:t>
      </w:r>
      <w:r w:rsidR="00040481">
        <w:t>ill</w:t>
      </w:r>
      <w:r>
        <w:t xml:space="preserve"> be </w:t>
      </w:r>
      <w:r w:rsidR="00272008">
        <w:t xml:space="preserve">used to write </w:t>
      </w:r>
      <w:r>
        <w:t xml:space="preserve"> a technical report to be delivered to and maintained by FMCSA.  This report would be available to the public at the FMCSA web site at </w:t>
      </w:r>
      <w:hyperlink r:id="rId8" w:history="1">
        <w:r w:rsidRPr="00226E74">
          <w:rPr>
            <w:rStyle w:val="Hyperlink"/>
          </w:rPr>
          <w:t>www.fmcsa.dot.gov</w:t>
        </w:r>
      </w:hyperlink>
      <w:r>
        <w:t>.</w:t>
      </w:r>
    </w:p>
    <w:p w:rsidR="000D1E15" w:rsidRDefault="000D1E15" w:rsidP="003B74ED">
      <w:pPr>
        <w:pStyle w:val="NoSpacing"/>
      </w:pPr>
    </w:p>
    <w:p w:rsidR="000D1E15" w:rsidRDefault="000D1E15" w:rsidP="003B74ED">
      <w:pPr>
        <w:pStyle w:val="NoSpacing"/>
        <w:rPr>
          <w:b/>
        </w:rPr>
      </w:pPr>
    </w:p>
    <w:p w:rsidR="000D1E15" w:rsidRDefault="000D1E15" w:rsidP="003B74ED">
      <w:pPr>
        <w:pStyle w:val="NoSpacing"/>
        <w:rPr>
          <w:b/>
        </w:rPr>
      </w:pPr>
    </w:p>
    <w:p w:rsidR="000D1E15" w:rsidRDefault="000D1E15" w:rsidP="003B74ED">
      <w:pPr>
        <w:pStyle w:val="NoSpacing"/>
        <w:rPr>
          <w:b/>
        </w:rPr>
      </w:pPr>
    </w:p>
    <w:p w:rsidR="00A91A04" w:rsidRDefault="00A91A04" w:rsidP="003B74ED">
      <w:pPr>
        <w:pStyle w:val="NoSpacing"/>
        <w:rPr>
          <w:b/>
        </w:rPr>
      </w:pPr>
      <w:r>
        <w:rPr>
          <w:b/>
        </w:rPr>
        <w:lastRenderedPageBreak/>
        <w:t>17.  Approval for not displaying the expiration date of OMB Approval</w:t>
      </w:r>
      <w:r w:rsidR="000D1E15">
        <w:rPr>
          <w:b/>
        </w:rPr>
        <w:t>.</w:t>
      </w:r>
    </w:p>
    <w:p w:rsidR="00A91A04" w:rsidRDefault="00A91A04" w:rsidP="003B74ED">
      <w:pPr>
        <w:pStyle w:val="NoSpacing"/>
        <w:rPr>
          <w:b/>
        </w:rPr>
      </w:pPr>
    </w:p>
    <w:p w:rsidR="00A91A04" w:rsidRDefault="00A91A04" w:rsidP="003B74ED">
      <w:pPr>
        <w:pStyle w:val="NoSpacing"/>
      </w:pPr>
      <w:r>
        <w:t>FMCSA is not seeking an exemption from displaying the expiration date on the information collection questionnaire.</w:t>
      </w:r>
    </w:p>
    <w:p w:rsidR="0092296D" w:rsidRDefault="0092296D" w:rsidP="003B74ED">
      <w:pPr>
        <w:pStyle w:val="NoSpacing"/>
        <w:rPr>
          <w:b/>
        </w:rPr>
      </w:pPr>
    </w:p>
    <w:p w:rsidR="00A91A04" w:rsidRDefault="00A91A04" w:rsidP="003B74ED">
      <w:pPr>
        <w:pStyle w:val="NoSpacing"/>
        <w:rPr>
          <w:b/>
        </w:rPr>
      </w:pPr>
      <w:r>
        <w:rPr>
          <w:b/>
        </w:rPr>
        <w:t>18.  Exceptions to certification statement.</w:t>
      </w:r>
    </w:p>
    <w:p w:rsidR="00A91A04" w:rsidRDefault="00A91A04" w:rsidP="003B74ED">
      <w:pPr>
        <w:pStyle w:val="NoSpacing"/>
        <w:rPr>
          <w:b/>
        </w:rPr>
      </w:pPr>
    </w:p>
    <w:p w:rsidR="00A91A04" w:rsidRDefault="00A91A04" w:rsidP="003B74ED">
      <w:pPr>
        <w:pStyle w:val="NoSpacing"/>
      </w:pPr>
      <w:r>
        <w:t>None</w:t>
      </w:r>
      <w:r w:rsidR="00F44474">
        <w:t>.</w:t>
      </w:r>
    </w:p>
    <w:p w:rsidR="00A91A04" w:rsidRDefault="00A91A04" w:rsidP="003B74ED">
      <w:pPr>
        <w:pStyle w:val="NoSpacing"/>
      </w:pPr>
    </w:p>
    <w:p w:rsidR="00A91A04" w:rsidRDefault="00A91A04" w:rsidP="003B74ED">
      <w:pPr>
        <w:pStyle w:val="NoSpacing"/>
        <w:rPr>
          <w:b/>
        </w:rPr>
      </w:pPr>
    </w:p>
    <w:p w:rsidR="00A91A04" w:rsidRDefault="00A91A04" w:rsidP="003B74ED">
      <w:pPr>
        <w:pStyle w:val="NoSpacing"/>
        <w:rPr>
          <w:b/>
        </w:rPr>
      </w:pPr>
    </w:p>
    <w:p w:rsidR="00A91A04" w:rsidRDefault="00A91A04" w:rsidP="003B74ED">
      <w:pPr>
        <w:pStyle w:val="NoSpacing"/>
        <w:rPr>
          <w:b/>
        </w:rPr>
      </w:pPr>
    </w:p>
    <w:p w:rsidR="00A91A04" w:rsidRDefault="00A91A04" w:rsidP="003B74ED">
      <w:pPr>
        <w:pStyle w:val="NoSpacing"/>
        <w:rPr>
          <w:b/>
        </w:rPr>
      </w:pPr>
      <w:r>
        <w:rPr>
          <w:b/>
        </w:rPr>
        <w:t>Attachments:</w:t>
      </w:r>
    </w:p>
    <w:p w:rsidR="00A91A04" w:rsidRDefault="00A91A04" w:rsidP="003B74ED">
      <w:pPr>
        <w:pStyle w:val="NoSpacing"/>
        <w:rPr>
          <w:b/>
        </w:rPr>
      </w:pPr>
    </w:p>
    <w:p w:rsidR="00FB2189" w:rsidRDefault="00FB2189" w:rsidP="00B3414A">
      <w:pPr>
        <w:numPr>
          <w:ilvl w:val="0"/>
          <w:numId w:val="5"/>
        </w:numPr>
      </w:pPr>
      <w:r>
        <w:t>Title 49 CFR § 395 titled, “Hours of Service of Drivers.”</w:t>
      </w:r>
    </w:p>
    <w:p w:rsidR="00225D89" w:rsidRDefault="00225D89" w:rsidP="00B3414A">
      <w:pPr>
        <w:numPr>
          <w:ilvl w:val="0"/>
          <w:numId w:val="5"/>
        </w:numPr>
      </w:pPr>
      <w:r>
        <w:t>Final Rule entitled, “Electronic On-Board Recorders for Hours-of-Service Compliance,” April 5, 2010 (75 FR 17208).</w:t>
      </w:r>
    </w:p>
    <w:p w:rsidR="00B74513" w:rsidRPr="00B74513" w:rsidRDefault="00B74513" w:rsidP="00B3414A">
      <w:pPr>
        <w:numPr>
          <w:ilvl w:val="0"/>
          <w:numId w:val="5"/>
        </w:numPr>
      </w:pPr>
      <w:r w:rsidRPr="00B74513">
        <w:rPr>
          <w:rFonts w:eastAsia="Times New Roman"/>
        </w:rPr>
        <w:t>Owner-Operators Independent Drivers Association v. U.S. Department of Transportation, 656 F.3d 580 (7</w:t>
      </w:r>
      <w:r w:rsidRPr="00B74513">
        <w:rPr>
          <w:rFonts w:eastAsia="Times New Roman"/>
          <w:vertAlign w:val="superscript"/>
        </w:rPr>
        <w:t>th</w:t>
      </w:r>
      <w:r w:rsidRPr="00B74513">
        <w:rPr>
          <w:rFonts w:eastAsia="Times New Roman"/>
        </w:rPr>
        <w:t xml:space="preserve"> Cir. 2011)</w:t>
      </w:r>
      <w:r>
        <w:rPr>
          <w:rFonts w:eastAsia="Times New Roman"/>
        </w:rPr>
        <w:t>.</w:t>
      </w:r>
    </w:p>
    <w:p w:rsidR="00B74513" w:rsidRPr="0025210A" w:rsidRDefault="00B74513" w:rsidP="00B3414A">
      <w:pPr>
        <w:numPr>
          <w:ilvl w:val="0"/>
          <w:numId w:val="5"/>
        </w:numPr>
      </w:pPr>
      <w:r>
        <w:rPr>
          <w:rFonts w:eastAsia="Times New Roman"/>
        </w:rPr>
        <w:t>Notice</w:t>
      </w:r>
      <w:r w:rsidR="00205671">
        <w:rPr>
          <w:rFonts w:eastAsia="Times New Roman"/>
        </w:rPr>
        <w:t xml:space="preserve">: </w:t>
      </w:r>
      <w:r>
        <w:rPr>
          <w:rFonts w:eastAsia="Times New Roman"/>
        </w:rPr>
        <w:t xml:space="preserve"> Request for Comments entitled, “Electronic On-Board Recorders and Hours of Service Supporting Documents,” April 13, 2011 (76 FR 20611).</w:t>
      </w:r>
    </w:p>
    <w:p w:rsidR="0025210A" w:rsidRPr="00B74513" w:rsidRDefault="0025210A" w:rsidP="00B3414A">
      <w:pPr>
        <w:numPr>
          <w:ilvl w:val="0"/>
          <w:numId w:val="5"/>
        </w:numPr>
      </w:pPr>
      <w:r>
        <w:rPr>
          <w:rFonts w:eastAsia="Times New Roman"/>
        </w:rPr>
        <w:t xml:space="preserve">49 CFR </w:t>
      </w:r>
      <w:r w:rsidR="00125BD4">
        <w:rPr>
          <w:rFonts w:eastAsia="Times New Roman"/>
        </w:rPr>
        <w:t xml:space="preserve">§ </w:t>
      </w:r>
      <w:r>
        <w:rPr>
          <w:rFonts w:eastAsia="Times New Roman"/>
        </w:rPr>
        <w:t>392.3</w:t>
      </w:r>
      <w:r w:rsidR="00125BD4">
        <w:rPr>
          <w:rFonts w:eastAsia="Times New Roman"/>
        </w:rPr>
        <w:t xml:space="preserve"> titled, “Ill or fatigued operator.”</w:t>
      </w:r>
    </w:p>
    <w:p w:rsidR="00B74513" w:rsidRPr="00D30410" w:rsidRDefault="00B74513" w:rsidP="00B3414A">
      <w:pPr>
        <w:numPr>
          <w:ilvl w:val="0"/>
          <w:numId w:val="5"/>
        </w:numPr>
      </w:pPr>
      <w:r>
        <w:rPr>
          <w:rFonts w:eastAsia="Times New Roman"/>
        </w:rPr>
        <w:t>49 U.S.C. § 31105(a) titled</w:t>
      </w:r>
      <w:r w:rsidR="000C639D">
        <w:rPr>
          <w:rFonts w:eastAsia="Times New Roman"/>
        </w:rPr>
        <w:t>, “Employee protections.”</w:t>
      </w:r>
    </w:p>
    <w:p w:rsidR="00D30410" w:rsidRPr="00B74513" w:rsidRDefault="00D30410" w:rsidP="00B3414A">
      <w:pPr>
        <w:numPr>
          <w:ilvl w:val="0"/>
          <w:numId w:val="5"/>
        </w:numPr>
      </w:pPr>
      <w:r>
        <w:rPr>
          <w:rFonts w:eastAsia="Times New Roman"/>
        </w:rPr>
        <w:t>49 U.S.C. § 31137(a) titled, “Use of monitoring devices.”</w:t>
      </w:r>
    </w:p>
    <w:p w:rsidR="00A91A04" w:rsidRDefault="00125BD4" w:rsidP="00B3414A">
      <w:pPr>
        <w:numPr>
          <w:ilvl w:val="0"/>
          <w:numId w:val="5"/>
        </w:numPr>
      </w:pPr>
      <w:r>
        <w:t xml:space="preserve">60-day Comment Request Federal Register Notice, </w:t>
      </w:r>
      <w:r w:rsidR="00853859">
        <w:t>December</w:t>
      </w:r>
      <w:r>
        <w:t xml:space="preserve"> </w:t>
      </w:r>
      <w:r w:rsidR="00853859">
        <w:t>13</w:t>
      </w:r>
      <w:r>
        <w:t>, 2012</w:t>
      </w:r>
      <w:r w:rsidR="00910216">
        <w:t xml:space="preserve"> (77 FR </w:t>
      </w:r>
      <w:r w:rsidR="00853859">
        <w:t>74267</w:t>
      </w:r>
      <w:r w:rsidR="00910216">
        <w:t>)</w:t>
      </w:r>
      <w:r w:rsidR="00A91A04">
        <w:t xml:space="preserve">. </w:t>
      </w:r>
    </w:p>
    <w:p w:rsidR="00A91A04" w:rsidRDefault="00910216" w:rsidP="00B3414A">
      <w:pPr>
        <w:numPr>
          <w:ilvl w:val="0"/>
          <w:numId w:val="5"/>
        </w:numPr>
      </w:pPr>
      <w:r>
        <w:t>Comments Received in Response to 60-day Comment Request Federal Register Notice and FMCSA replies.</w:t>
      </w:r>
    </w:p>
    <w:p w:rsidR="009F1892" w:rsidRDefault="009F1892" w:rsidP="00B3414A">
      <w:pPr>
        <w:numPr>
          <w:ilvl w:val="0"/>
          <w:numId w:val="5"/>
        </w:numPr>
      </w:pPr>
      <w:r>
        <w:t>FMCSA responses to Comments Received in Response to 60-day Federal Register Notice.</w:t>
      </w:r>
    </w:p>
    <w:p w:rsidR="00A91A04" w:rsidRPr="0000503C" w:rsidRDefault="0096509A" w:rsidP="0096509A">
      <w:pPr>
        <w:pStyle w:val="ListParagraph"/>
        <w:numPr>
          <w:ilvl w:val="0"/>
          <w:numId w:val="5"/>
        </w:numPr>
        <w:rPr>
          <w:b/>
        </w:rPr>
      </w:pPr>
      <w:r w:rsidRPr="0096509A">
        <w:t xml:space="preserve">30-day Comment Request Federal Register Notice, </w:t>
      </w:r>
      <w:r w:rsidR="00116FBD">
        <w:t>May</w:t>
      </w:r>
      <w:r w:rsidR="00853859" w:rsidRPr="0096509A">
        <w:t xml:space="preserve"> </w:t>
      </w:r>
      <w:r w:rsidR="0070047B">
        <w:t>28</w:t>
      </w:r>
      <w:r w:rsidRPr="0096509A">
        <w:t>, 201</w:t>
      </w:r>
      <w:r w:rsidR="005A4FA9">
        <w:t>3</w:t>
      </w:r>
      <w:r w:rsidRPr="0096509A">
        <w:t xml:space="preserve"> (7</w:t>
      </w:r>
      <w:r w:rsidR="005A4FA9">
        <w:t>8</w:t>
      </w:r>
      <w:r w:rsidRPr="0096509A">
        <w:t xml:space="preserve"> FR </w:t>
      </w:r>
      <w:r w:rsidR="0070047B">
        <w:t>32001</w:t>
      </w:r>
      <w:bookmarkStart w:id="0" w:name="_GoBack"/>
      <w:bookmarkEnd w:id="0"/>
      <w:r w:rsidRPr="0096509A">
        <w:t>).</w:t>
      </w:r>
      <w:r w:rsidR="009F1892" w:rsidRPr="009F1892">
        <w:t xml:space="preserve"> </w:t>
      </w:r>
    </w:p>
    <w:p w:rsidR="0000503C" w:rsidRDefault="0000503C" w:rsidP="0000503C">
      <w:pPr>
        <w:rPr>
          <w:b/>
        </w:rPr>
      </w:pPr>
    </w:p>
    <w:p w:rsidR="0000503C" w:rsidRPr="0092296D" w:rsidRDefault="0000503C" w:rsidP="0000503C">
      <w:pPr>
        <w:rPr>
          <w:b/>
        </w:rPr>
      </w:pPr>
      <w:r w:rsidRPr="0092296D">
        <w:rPr>
          <w:b/>
        </w:rPr>
        <w:t>Forms:</w:t>
      </w:r>
    </w:p>
    <w:p w:rsidR="0000503C" w:rsidRPr="0000503C" w:rsidRDefault="0000503C" w:rsidP="0000503C"/>
    <w:p w:rsidR="0000503C" w:rsidRDefault="0000503C" w:rsidP="0000503C">
      <w:r w:rsidRPr="0000503C">
        <w:t>MCSA</w:t>
      </w:r>
      <w:r>
        <w:t>-5877, Qualitative Discussion Guide One-on-One In Depth Interview with Carriers</w:t>
      </w:r>
    </w:p>
    <w:p w:rsidR="0000503C" w:rsidRDefault="0000503C" w:rsidP="0000503C">
      <w:r>
        <w:t>MCSA-5878, Qualitative Discussion Guide One-on-One In Depth Interview with Carriers Recruitment Questionnaire</w:t>
      </w:r>
    </w:p>
    <w:p w:rsidR="0000503C" w:rsidRDefault="0000503C" w:rsidP="0000503C">
      <w:r>
        <w:t>MCSA-5879, Web Survey with Carriers</w:t>
      </w:r>
    </w:p>
    <w:p w:rsidR="0000503C" w:rsidRDefault="0000503C" w:rsidP="0000503C">
      <w:r>
        <w:t>MCSA-5880, Qualitative Discussion Guide One-on-One In Depth Interview with Drivers Main Questionnaire</w:t>
      </w:r>
    </w:p>
    <w:p w:rsidR="0000503C" w:rsidRDefault="0000503C" w:rsidP="0000503C">
      <w:r>
        <w:t>MCSA-5881, Qualitative Discussion Guide One-on-One In Depth Interview with Drivers Recruitment Questionnaire</w:t>
      </w:r>
    </w:p>
    <w:p w:rsidR="0000503C" w:rsidRDefault="0000503C" w:rsidP="0000503C">
      <w:r>
        <w:t>MCSA-5882, Incept Survey with Drivers</w:t>
      </w:r>
    </w:p>
    <w:p w:rsidR="0000503C" w:rsidRDefault="0000503C" w:rsidP="0000503C">
      <w:r>
        <w:t>MCSA-5882, Hand Cards</w:t>
      </w:r>
    </w:p>
    <w:p w:rsidR="00E5004C" w:rsidRPr="0000503C" w:rsidRDefault="00E5004C" w:rsidP="0000503C">
      <w:r>
        <w:t>Permission and Acknowledgement Cards</w:t>
      </w:r>
    </w:p>
    <w:sectPr w:rsidR="00E5004C" w:rsidRPr="0000503C" w:rsidSect="00C2085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042" w:rsidRDefault="00887042">
      <w:r>
        <w:separator/>
      </w:r>
    </w:p>
  </w:endnote>
  <w:endnote w:type="continuationSeparator" w:id="0">
    <w:p w:rsidR="00887042" w:rsidRDefault="0088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343506"/>
      <w:docPartObj>
        <w:docPartGallery w:val="Page Numbers (Bottom of Page)"/>
        <w:docPartUnique/>
      </w:docPartObj>
    </w:sdtPr>
    <w:sdtEndPr>
      <w:rPr>
        <w:noProof/>
      </w:rPr>
    </w:sdtEndPr>
    <w:sdtContent>
      <w:p w:rsidR="00D90F9D" w:rsidRDefault="00AB08A2">
        <w:pPr>
          <w:pStyle w:val="Footer"/>
          <w:jc w:val="center"/>
        </w:pPr>
        <w:r>
          <w:fldChar w:fldCharType="begin"/>
        </w:r>
        <w:r>
          <w:instrText xml:space="preserve"> PAGE   \* MERGEFORMAT </w:instrText>
        </w:r>
        <w:r>
          <w:fldChar w:fldCharType="separate"/>
        </w:r>
        <w:r w:rsidR="0070047B">
          <w:rPr>
            <w:noProof/>
          </w:rPr>
          <w:t>9</w:t>
        </w:r>
        <w:r>
          <w:rPr>
            <w:noProof/>
          </w:rPr>
          <w:fldChar w:fldCharType="end"/>
        </w:r>
      </w:p>
    </w:sdtContent>
  </w:sdt>
  <w:p w:rsidR="00D90F9D" w:rsidRDefault="00D90F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042" w:rsidRDefault="00887042">
      <w:r>
        <w:separator/>
      </w:r>
    </w:p>
  </w:footnote>
  <w:footnote w:type="continuationSeparator" w:id="0">
    <w:p w:rsidR="00887042" w:rsidRDefault="00887042">
      <w:r>
        <w:continuationSeparator/>
      </w:r>
    </w:p>
  </w:footnote>
  <w:footnote w:id="1">
    <w:p w:rsidR="00D90F9D" w:rsidRDefault="00D90F9D">
      <w:pPr>
        <w:pStyle w:val="FootnoteText"/>
      </w:pPr>
      <w:r>
        <w:rPr>
          <w:rStyle w:val="FootnoteReference"/>
        </w:rPr>
        <w:footnoteRef/>
      </w:r>
      <w:r>
        <w:t xml:space="preserve"> </w:t>
      </w:r>
      <w:proofErr w:type="gramStart"/>
      <w:r w:rsidRPr="00800813">
        <w:t>U.S.</w:t>
      </w:r>
      <w:r>
        <w:t xml:space="preserve"> </w:t>
      </w:r>
      <w:r w:rsidRPr="00800813">
        <w:t>Department of Labor, Bureau of Labor Statistics, Table B-3.</w:t>
      </w:r>
      <w:proofErr w:type="gramEnd"/>
      <w:r w:rsidRPr="00800813">
        <w:t xml:space="preserve">  Average hourly and weekly earnings of all employees on private nonfarm payrolls by industry sector, seasonally adjusted (accessed from the following website as of </w:t>
      </w:r>
      <w:r>
        <w:t>August 2012</w:t>
      </w:r>
      <w:r w:rsidRPr="00800813">
        <w:t xml:space="preserve">: </w:t>
      </w:r>
      <w:hyperlink r:id="rId1" w:history="1">
        <w:r w:rsidRPr="00800813">
          <w:rPr>
            <w:rStyle w:val="Hyperlink"/>
          </w:rPr>
          <w:t>http://www.bls.gov/webapps/legacy/cesbtab3.htm</w:t>
        </w:r>
      </w:hyperlink>
      <w:r w:rsidRPr="00800813">
        <w:t>)</w:t>
      </w:r>
    </w:p>
  </w:footnote>
  <w:footnote w:id="2">
    <w:p w:rsidR="00D90F9D" w:rsidRDefault="00D90F9D" w:rsidP="0029428A">
      <w:pPr>
        <w:pStyle w:val="FootnoteText"/>
      </w:pPr>
      <w:r>
        <w:rPr>
          <w:rStyle w:val="FootnoteReference"/>
        </w:rPr>
        <w:footnoteRef/>
      </w:r>
      <w:r>
        <w:t xml:space="preserve"> </w:t>
      </w:r>
      <w:r w:rsidRPr="00D025FD">
        <w:rPr>
          <w:i/>
        </w:rPr>
        <w:t>Ibid</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hint="default"/>
        <w:kern w:val="0"/>
        <w:position w:val="-2"/>
        <w:sz w:val="28"/>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19E6137"/>
    <w:multiLevelType w:val="hybridMultilevel"/>
    <w:tmpl w:val="9B0E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81607D"/>
    <w:multiLevelType w:val="hybridMultilevel"/>
    <w:tmpl w:val="88E8D5D6"/>
    <w:lvl w:ilvl="0" w:tplc="FD266714">
      <w:start w:val="1"/>
      <w:numFmt w:val="upperLetter"/>
      <w:lvlText w:val="%1."/>
      <w:lvlJc w:val="left"/>
      <w:pPr>
        <w:tabs>
          <w:tab w:val="num" w:pos="900"/>
        </w:tabs>
        <w:ind w:left="900" w:hanging="360"/>
      </w:pPr>
      <w:rPr>
        <w:rFonts w:cs="Times New Roman" w:hint="default"/>
        <w:b w:val="0"/>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3BC25417"/>
    <w:multiLevelType w:val="hybridMultilevel"/>
    <w:tmpl w:val="23E6B922"/>
    <w:lvl w:ilvl="0" w:tplc="E52EA05A">
      <w:start w:val="1"/>
      <w:numFmt w:val="decimal"/>
      <w:lvlText w:val="%1."/>
      <w:lvlJc w:val="left"/>
      <w:pPr>
        <w:ind w:left="720" w:hanging="360"/>
      </w:pPr>
      <w:rPr>
        <w:rFonts w:cs="Times New Roman" w:hint="default"/>
        <w:kern w:val="0"/>
        <w:position w:val="-2"/>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AD862CC"/>
    <w:multiLevelType w:val="hybridMultilevel"/>
    <w:tmpl w:val="5F92BE3A"/>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327BF6"/>
    <w:multiLevelType w:val="hybridMultilevel"/>
    <w:tmpl w:val="DE2E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C66181"/>
    <w:multiLevelType w:val="hybridMultilevel"/>
    <w:tmpl w:val="FD30C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ED665B"/>
    <w:multiLevelType w:val="hybridMultilevel"/>
    <w:tmpl w:val="EFA40844"/>
    <w:lvl w:ilvl="0" w:tplc="41E8C61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D4E2192"/>
    <w:multiLevelType w:val="hybridMultilevel"/>
    <w:tmpl w:val="2A8E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2"/>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BCE"/>
    <w:rsid w:val="00001B3F"/>
    <w:rsid w:val="0000503C"/>
    <w:rsid w:val="00034135"/>
    <w:rsid w:val="00040481"/>
    <w:rsid w:val="0005694A"/>
    <w:rsid w:val="00074BDA"/>
    <w:rsid w:val="00084BC2"/>
    <w:rsid w:val="000A6505"/>
    <w:rsid w:val="000C639D"/>
    <w:rsid w:val="000D1E15"/>
    <w:rsid w:val="001135F8"/>
    <w:rsid w:val="00116FBD"/>
    <w:rsid w:val="00120FFE"/>
    <w:rsid w:val="00125BD4"/>
    <w:rsid w:val="00141978"/>
    <w:rsid w:val="001718F8"/>
    <w:rsid w:val="001D4493"/>
    <w:rsid w:val="00205671"/>
    <w:rsid w:val="00212DA5"/>
    <w:rsid w:val="00225D89"/>
    <w:rsid w:val="00226E74"/>
    <w:rsid w:val="00235979"/>
    <w:rsid w:val="0025210A"/>
    <w:rsid w:val="002619CF"/>
    <w:rsid w:val="00264C74"/>
    <w:rsid w:val="00266945"/>
    <w:rsid w:val="00272008"/>
    <w:rsid w:val="00290B6F"/>
    <w:rsid w:val="0029428A"/>
    <w:rsid w:val="002A0CE8"/>
    <w:rsid w:val="002C4D26"/>
    <w:rsid w:val="002D4EEB"/>
    <w:rsid w:val="00311C2D"/>
    <w:rsid w:val="0031649B"/>
    <w:rsid w:val="003232E5"/>
    <w:rsid w:val="00335689"/>
    <w:rsid w:val="003710D7"/>
    <w:rsid w:val="003736A6"/>
    <w:rsid w:val="00373B56"/>
    <w:rsid w:val="003B74ED"/>
    <w:rsid w:val="003C784B"/>
    <w:rsid w:val="003D1FCC"/>
    <w:rsid w:val="003D6169"/>
    <w:rsid w:val="003F0B0F"/>
    <w:rsid w:val="003F10E8"/>
    <w:rsid w:val="004A753F"/>
    <w:rsid w:val="004B5AFE"/>
    <w:rsid w:val="004D299F"/>
    <w:rsid w:val="004F7A0A"/>
    <w:rsid w:val="00507F44"/>
    <w:rsid w:val="005A4FA9"/>
    <w:rsid w:val="005A5308"/>
    <w:rsid w:val="005C3D65"/>
    <w:rsid w:val="005E0700"/>
    <w:rsid w:val="005E37B9"/>
    <w:rsid w:val="005F3F4B"/>
    <w:rsid w:val="00623A41"/>
    <w:rsid w:val="0066068C"/>
    <w:rsid w:val="00661826"/>
    <w:rsid w:val="006626F2"/>
    <w:rsid w:val="006706E0"/>
    <w:rsid w:val="00693C06"/>
    <w:rsid w:val="006A12BF"/>
    <w:rsid w:val="006A6C07"/>
    <w:rsid w:val="006B028B"/>
    <w:rsid w:val="0070047B"/>
    <w:rsid w:val="00715264"/>
    <w:rsid w:val="007548DC"/>
    <w:rsid w:val="00766E8F"/>
    <w:rsid w:val="00783A4B"/>
    <w:rsid w:val="007F3673"/>
    <w:rsid w:val="00814F5D"/>
    <w:rsid w:val="008175CE"/>
    <w:rsid w:val="008321DF"/>
    <w:rsid w:val="0083388F"/>
    <w:rsid w:val="00843EA0"/>
    <w:rsid w:val="00853859"/>
    <w:rsid w:val="00887042"/>
    <w:rsid w:val="008D24F6"/>
    <w:rsid w:val="008D2882"/>
    <w:rsid w:val="008D29A5"/>
    <w:rsid w:val="008E08A0"/>
    <w:rsid w:val="008E401B"/>
    <w:rsid w:val="00910216"/>
    <w:rsid w:val="009128E2"/>
    <w:rsid w:val="0092296D"/>
    <w:rsid w:val="00923BCE"/>
    <w:rsid w:val="00926F6B"/>
    <w:rsid w:val="00946F70"/>
    <w:rsid w:val="0096509A"/>
    <w:rsid w:val="00973628"/>
    <w:rsid w:val="009A1EC9"/>
    <w:rsid w:val="009A3D2A"/>
    <w:rsid w:val="009B2293"/>
    <w:rsid w:val="009B561D"/>
    <w:rsid w:val="009D094B"/>
    <w:rsid w:val="009F1892"/>
    <w:rsid w:val="00A056CD"/>
    <w:rsid w:val="00A120B9"/>
    <w:rsid w:val="00A200B1"/>
    <w:rsid w:val="00A35D9D"/>
    <w:rsid w:val="00A44650"/>
    <w:rsid w:val="00A550AE"/>
    <w:rsid w:val="00A63E06"/>
    <w:rsid w:val="00A91A04"/>
    <w:rsid w:val="00A955AC"/>
    <w:rsid w:val="00AB08A2"/>
    <w:rsid w:val="00AE01FD"/>
    <w:rsid w:val="00AF5B97"/>
    <w:rsid w:val="00B24F3F"/>
    <w:rsid w:val="00B3414A"/>
    <w:rsid w:val="00B60097"/>
    <w:rsid w:val="00B61511"/>
    <w:rsid w:val="00B74513"/>
    <w:rsid w:val="00B94AA8"/>
    <w:rsid w:val="00BA43F3"/>
    <w:rsid w:val="00BC15F8"/>
    <w:rsid w:val="00BD5861"/>
    <w:rsid w:val="00BF4891"/>
    <w:rsid w:val="00C14ACB"/>
    <w:rsid w:val="00C155FF"/>
    <w:rsid w:val="00C20856"/>
    <w:rsid w:val="00C27FBB"/>
    <w:rsid w:val="00C31233"/>
    <w:rsid w:val="00C51D21"/>
    <w:rsid w:val="00C77A69"/>
    <w:rsid w:val="00C92C9B"/>
    <w:rsid w:val="00CE3E69"/>
    <w:rsid w:val="00D025FD"/>
    <w:rsid w:val="00D075BB"/>
    <w:rsid w:val="00D30410"/>
    <w:rsid w:val="00D33DB1"/>
    <w:rsid w:val="00D41674"/>
    <w:rsid w:val="00D6397E"/>
    <w:rsid w:val="00D70577"/>
    <w:rsid w:val="00D7535D"/>
    <w:rsid w:val="00D90F9D"/>
    <w:rsid w:val="00D944EB"/>
    <w:rsid w:val="00DA12B3"/>
    <w:rsid w:val="00DA3C41"/>
    <w:rsid w:val="00DA68B1"/>
    <w:rsid w:val="00E10EE7"/>
    <w:rsid w:val="00E24F2E"/>
    <w:rsid w:val="00E41AAD"/>
    <w:rsid w:val="00E45528"/>
    <w:rsid w:val="00E5004C"/>
    <w:rsid w:val="00E50A68"/>
    <w:rsid w:val="00E51086"/>
    <w:rsid w:val="00E5734E"/>
    <w:rsid w:val="00E643C2"/>
    <w:rsid w:val="00E9421E"/>
    <w:rsid w:val="00EA298F"/>
    <w:rsid w:val="00EA6B3C"/>
    <w:rsid w:val="00EB7EEF"/>
    <w:rsid w:val="00ED2096"/>
    <w:rsid w:val="00EE1191"/>
    <w:rsid w:val="00F03C80"/>
    <w:rsid w:val="00F23ECB"/>
    <w:rsid w:val="00F4173F"/>
    <w:rsid w:val="00F44474"/>
    <w:rsid w:val="00F54E8A"/>
    <w:rsid w:val="00F978D8"/>
    <w:rsid w:val="00FB2189"/>
    <w:rsid w:val="00FF32CC"/>
    <w:rsid w:val="00FF78D5"/>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096"/>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B3573"/>
    <w:rPr>
      <w:rFonts w:ascii="Tahoma" w:eastAsia="Times New Roman" w:hAnsi="Tahoma" w:cs="Tahoma"/>
      <w:sz w:val="16"/>
      <w:szCs w:val="16"/>
    </w:rPr>
  </w:style>
  <w:style w:type="paragraph" w:styleId="NoSpacing">
    <w:name w:val="No Spacing"/>
    <w:qFormat/>
    <w:rsid w:val="00923BCE"/>
    <w:rPr>
      <w:rFonts w:ascii="Times New Roman" w:eastAsia="Times New Roman" w:hAnsi="Times New Roman"/>
      <w:sz w:val="24"/>
      <w:szCs w:val="22"/>
    </w:rPr>
  </w:style>
  <w:style w:type="paragraph" w:customStyle="1" w:styleId="FMCSAText1">
    <w:name w:val="FMCSA Text 1"/>
    <w:rsid w:val="00ED2096"/>
    <w:pPr>
      <w:spacing w:after="240"/>
    </w:pPr>
    <w:rPr>
      <w:rFonts w:ascii="Times New Roman" w:hAnsi="Times New Roman"/>
      <w:sz w:val="24"/>
      <w:szCs w:val="24"/>
    </w:rPr>
  </w:style>
  <w:style w:type="paragraph" w:customStyle="1" w:styleId="FMCSAFrontHeading">
    <w:name w:val="FMCSA Front Heading"/>
    <w:next w:val="FMCSAText1"/>
    <w:rsid w:val="00ED2096"/>
    <w:pPr>
      <w:keepNext/>
      <w:keepLines/>
      <w:spacing w:after="240"/>
    </w:pPr>
    <w:rPr>
      <w:rFonts w:ascii="Times New Roman Bold" w:hAnsi="Times New Roman Bold"/>
      <w:b/>
      <w:caps/>
      <w:sz w:val="32"/>
      <w:szCs w:val="28"/>
    </w:rPr>
  </w:style>
  <w:style w:type="paragraph" w:customStyle="1" w:styleId="FMCSAText112above">
    <w:name w:val="FMCSA Text 1 + 12 above"/>
    <w:basedOn w:val="FMCSAText1"/>
    <w:next w:val="FMCSAText1"/>
    <w:rsid w:val="00ED2096"/>
    <w:pPr>
      <w:spacing w:before="240"/>
    </w:pPr>
  </w:style>
  <w:style w:type="paragraph" w:customStyle="1" w:styleId="FMCSAListBullet1">
    <w:name w:val="FMCSA List Bullet 1"/>
    <w:rsid w:val="00ED2096"/>
    <w:pPr>
      <w:numPr>
        <w:numId w:val="1"/>
      </w:numPr>
      <w:spacing w:before="120"/>
    </w:pPr>
    <w:rPr>
      <w:rFonts w:ascii="Times New Roman" w:hAnsi="Times New Roman"/>
      <w:sz w:val="24"/>
      <w:szCs w:val="24"/>
    </w:rPr>
  </w:style>
  <w:style w:type="character" w:styleId="Hyperlink">
    <w:name w:val="Hyperlink"/>
    <w:rsid w:val="001135F8"/>
    <w:rPr>
      <w:rFonts w:cs="Times New Roman"/>
      <w:color w:val="0000FF"/>
      <w:u w:val="single"/>
    </w:rPr>
  </w:style>
  <w:style w:type="paragraph" w:styleId="NormalWeb">
    <w:name w:val="Normal (Web)"/>
    <w:basedOn w:val="Normal"/>
    <w:rsid w:val="00B3414A"/>
    <w:pPr>
      <w:spacing w:before="100" w:beforeAutospacing="1" w:after="100" w:afterAutospacing="1"/>
    </w:pPr>
  </w:style>
  <w:style w:type="paragraph" w:styleId="Header">
    <w:name w:val="header"/>
    <w:basedOn w:val="Normal"/>
    <w:rsid w:val="00F23ECB"/>
    <w:pPr>
      <w:widowControl w:val="0"/>
      <w:tabs>
        <w:tab w:val="center" w:pos="4320"/>
        <w:tab w:val="right" w:pos="8640"/>
      </w:tabs>
      <w:autoSpaceDE w:val="0"/>
      <w:autoSpaceDN w:val="0"/>
      <w:spacing w:before="240"/>
    </w:pPr>
    <w:rPr>
      <w:rFonts w:eastAsia="Times New Roman"/>
    </w:rPr>
  </w:style>
  <w:style w:type="paragraph" w:styleId="FootnoteText">
    <w:name w:val="footnote text"/>
    <w:basedOn w:val="Normal"/>
    <w:semiHidden/>
    <w:rsid w:val="008D24F6"/>
    <w:rPr>
      <w:sz w:val="20"/>
      <w:szCs w:val="20"/>
    </w:rPr>
  </w:style>
  <w:style w:type="character" w:styleId="FootnoteReference">
    <w:name w:val="footnote reference"/>
    <w:semiHidden/>
    <w:rsid w:val="008D24F6"/>
    <w:rPr>
      <w:vertAlign w:val="superscript"/>
    </w:rPr>
  </w:style>
  <w:style w:type="character" w:styleId="FollowedHyperlink">
    <w:name w:val="FollowedHyperlink"/>
    <w:rsid w:val="008D24F6"/>
    <w:rPr>
      <w:color w:val="800080"/>
      <w:u w:val="single"/>
    </w:rPr>
  </w:style>
  <w:style w:type="character" w:styleId="CommentReference">
    <w:name w:val="annotation reference"/>
    <w:rsid w:val="00EA6B3C"/>
    <w:rPr>
      <w:sz w:val="16"/>
      <w:szCs w:val="16"/>
    </w:rPr>
  </w:style>
  <w:style w:type="paragraph" w:styleId="CommentText">
    <w:name w:val="annotation text"/>
    <w:basedOn w:val="Normal"/>
    <w:link w:val="CommentTextChar"/>
    <w:rsid w:val="00EA6B3C"/>
    <w:rPr>
      <w:sz w:val="20"/>
      <w:szCs w:val="20"/>
    </w:rPr>
  </w:style>
  <w:style w:type="character" w:customStyle="1" w:styleId="CommentTextChar">
    <w:name w:val="Comment Text Char"/>
    <w:link w:val="CommentText"/>
    <w:rsid w:val="00EA6B3C"/>
    <w:rPr>
      <w:rFonts w:ascii="Times New Roman" w:hAnsi="Times New Roman"/>
    </w:rPr>
  </w:style>
  <w:style w:type="paragraph" w:styleId="CommentSubject">
    <w:name w:val="annotation subject"/>
    <w:basedOn w:val="CommentText"/>
    <w:next w:val="CommentText"/>
    <w:link w:val="CommentSubjectChar"/>
    <w:rsid w:val="00EA6B3C"/>
    <w:rPr>
      <w:b/>
      <w:bCs/>
    </w:rPr>
  </w:style>
  <w:style w:type="character" w:customStyle="1" w:styleId="CommentSubjectChar">
    <w:name w:val="Comment Subject Char"/>
    <w:link w:val="CommentSubject"/>
    <w:rsid w:val="00EA6B3C"/>
    <w:rPr>
      <w:rFonts w:ascii="Times New Roman" w:hAnsi="Times New Roman"/>
      <w:b/>
      <w:bCs/>
    </w:rPr>
  </w:style>
  <w:style w:type="table" w:styleId="TableGrid">
    <w:name w:val="Table Grid"/>
    <w:basedOn w:val="TableNormal"/>
    <w:locked/>
    <w:rsid w:val="00817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A6505"/>
    <w:pPr>
      <w:tabs>
        <w:tab w:val="center" w:pos="4680"/>
        <w:tab w:val="right" w:pos="9360"/>
      </w:tabs>
    </w:pPr>
  </w:style>
  <w:style w:type="character" w:customStyle="1" w:styleId="FooterChar">
    <w:name w:val="Footer Char"/>
    <w:basedOn w:val="DefaultParagraphFont"/>
    <w:link w:val="Footer"/>
    <w:uiPriority w:val="99"/>
    <w:rsid w:val="000A6505"/>
    <w:rPr>
      <w:rFonts w:ascii="Times New Roman" w:hAnsi="Times New Roman"/>
      <w:sz w:val="24"/>
      <w:szCs w:val="24"/>
    </w:rPr>
  </w:style>
  <w:style w:type="paragraph" w:styleId="ListParagraph">
    <w:name w:val="List Paragraph"/>
    <w:basedOn w:val="Normal"/>
    <w:uiPriority w:val="34"/>
    <w:qFormat/>
    <w:rsid w:val="009F18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2096"/>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B3573"/>
    <w:rPr>
      <w:rFonts w:ascii="Tahoma" w:eastAsia="Times New Roman" w:hAnsi="Tahoma" w:cs="Tahoma"/>
      <w:sz w:val="16"/>
      <w:szCs w:val="16"/>
    </w:rPr>
  </w:style>
  <w:style w:type="paragraph" w:styleId="NoSpacing">
    <w:name w:val="No Spacing"/>
    <w:qFormat/>
    <w:rsid w:val="00923BCE"/>
    <w:rPr>
      <w:rFonts w:ascii="Times New Roman" w:eastAsia="Times New Roman" w:hAnsi="Times New Roman"/>
      <w:sz w:val="24"/>
      <w:szCs w:val="22"/>
    </w:rPr>
  </w:style>
  <w:style w:type="paragraph" w:customStyle="1" w:styleId="FMCSAText1">
    <w:name w:val="FMCSA Text 1"/>
    <w:rsid w:val="00ED2096"/>
    <w:pPr>
      <w:spacing w:after="240"/>
    </w:pPr>
    <w:rPr>
      <w:rFonts w:ascii="Times New Roman" w:hAnsi="Times New Roman"/>
      <w:sz w:val="24"/>
      <w:szCs w:val="24"/>
    </w:rPr>
  </w:style>
  <w:style w:type="paragraph" w:customStyle="1" w:styleId="FMCSAFrontHeading">
    <w:name w:val="FMCSA Front Heading"/>
    <w:next w:val="FMCSAText1"/>
    <w:rsid w:val="00ED2096"/>
    <w:pPr>
      <w:keepNext/>
      <w:keepLines/>
      <w:spacing w:after="240"/>
    </w:pPr>
    <w:rPr>
      <w:rFonts w:ascii="Times New Roman Bold" w:hAnsi="Times New Roman Bold"/>
      <w:b/>
      <w:caps/>
      <w:sz w:val="32"/>
      <w:szCs w:val="28"/>
    </w:rPr>
  </w:style>
  <w:style w:type="paragraph" w:customStyle="1" w:styleId="FMCSAText112above">
    <w:name w:val="FMCSA Text 1 + 12 above"/>
    <w:basedOn w:val="FMCSAText1"/>
    <w:next w:val="FMCSAText1"/>
    <w:rsid w:val="00ED2096"/>
    <w:pPr>
      <w:spacing w:before="240"/>
    </w:pPr>
  </w:style>
  <w:style w:type="paragraph" w:customStyle="1" w:styleId="FMCSAListBullet1">
    <w:name w:val="FMCSA List Bullet 1"/>
    <w:rsid w:val="00ED2096"/>
    <w:pPr>
      <w:numPr>
        <w:numId w:val="1"/>
      </w:numPr>
      <w:spacing w:before="120"/>
    </w:pPr>
    <w:rPr>
      <w:rFonts w:ascii="Times New Roman" w:hAnsi="Times New Roman"/>
      <w:sz w:val="24"/>
      <w:szCs w:val="24"/>
    </w:rPr>
  </w:style>
  <w:style w:type="character" w:styleId="Hyperlink">
    <w:name w:val="Hyperlink"/>
    <w:rsid w:val="001135F8"/>
    <w:rPr>
      <w:rFonts w:cs="Times New Roman"/>
      <w:color w:val="0000FF"/>
      <w:u w:val="single"/>
    </w:rPr>
  </w:style>
  <w:style w:type="paragraph" w:styleId="NormalWeb">
    <w:name w:val="Normal (Web)"/>
    <w:basedOn w:val="Normal"/>
    <w:rsid w:val="00B3414A"/>
    <w:pPr>
      <w:spacing w:before="100" w:beforeAutospacing="1" w:after="100" w:afterAutospacing="1"/>
    </w:pPr>
  </w:style>
  <w:style w:type="paragraph" w:styleId="Header">
    <w:name w:val="header"/>
    <w:basedOn w:val="Normal"/>
    <w:rsid w:val="00F23ECB"/>
    <w:pPr>
      <w:widowControl w:val="0"/>
      <w:tabs>
        <w:tab w:val="center" w:pos="4320"/>
        <w:tab w:val="right" w:pos="8640"/>
      </w:tabs>
      <w:autoSpaceDE w:val="0"/>
      <w:autoSpaceDN w:val="0"/>
      <w:spacing w:before="240"/>
    </w:pPr>
    <w:rPr>
      <w:rFonts w:eastAsia="Times New Roman"/>
    </w:rPr>
  </w:style>
  <w:style w:type="paragraph" w:styleId="FootnoteText">
    <w:name w:val="footnote text"/>
    <w:basedOn w:val="Normal"/>
    <w:semiHidden/>
    <w:rsid w:val="008D24F6"/>
    <w:rPr>
      <w:sz w:val="20"/>
      <w:szCs w:val="20"/>
    </w:rPr>
  </w:style>
  <w:style w:type="character" w:styleId="FootnoteReference">
    <w:name w:val="footnote reference"/>
    <w:semiHidden/>
    <w:rsid w:val="008D24F6"/>
    <w:rPr>
      <w:vertAlign w:val="superscript"/>
    </w:rPr>
  </w:style>
  <w:style w:type="character" w:styleId="FollowedHyperlink">
    <w:name w:val="FollowedHyperlink"/>
    <w:rsid w:val="008D24F6"/>
    <w:rPr>
      <w:color w:val="800080"/>
      <w:u w:val="single"/>
    </w:rPr>
  </w:style>
  <w:style w:type="character" w:styleId="CommentReference">
    <w:name w:val="annotation reference"/>
    <w:rsid w:val="00EA6B3C"/>
    <w:rPr>
      <w:sz w:val="16"/>
      <w:szCs w:val="16"/>
    </w:rPr>
  </w:style>
  <w:style w:type="paragraph" w:styleId="CommentText">
    <w:name w:val="annotation text"/>
    <w:basedOn w:val="Normal"/>
    <w:link w:val="CommentTextChar"/>
    <w:rsid w:val="00EA6B3C"/>
    <w:rPr>
      <w:sz w:val="20"/>
      <w:szCs w:val="20"/>
    </w:rPr>
  </w:style>
  <w:style w:type="character" w:customStyle="1" w:styleId="CommentTextChar">
    <w:name w:val="Comment Text Char"/>
    <w:link w:val="CommentText"/>
    <w:rsid w:val="00EA6B3C"/>
    <w:rPr>
      <w:rFonts w:ascii="Times New Roman" w:hAnsi="Times New Roman"/>
    </w:rPr>
  </w:style>
  <w:style w:type="paragraph" w:styleId="CommentSubject">
    <w:name w:val="annotation subject"/>
    <w:basedOn w:val="CommentText"/>
    <w:next w:val="CommentText"/>
    <w:link w:val="CommentSubjectChar"/>
    <w:rsid w:val="00EA6B3C"/>
    <w:rPr>
      <w:b/>
      <w:bCs/>
    </w:rPr>
  </w:style>
  <w:style w:type="character" w:customStyle="1" w:styleId="CommentSubjectChar">
    <w:name w:val="Comment Subject Char"/>
    <w:link w:val="CommentSubject"/>
    <w:rsid w:val="00EA6B3C"/>
    <w:rPr>
      <w:rFonts w:ascii="Times New Roman" w:hAnsi="Times New Roman"/>
      <w:b/>
      <w:bCs/>
    </w:rPr>
  </w:style>
  <w:style w:type="table" w:styleId="TableGrid">
    <w:name w:val="Table Grid"/>
    <w:basedOn w:val="TableNormal"/>
    <w:locked/>
    <w:rsid w:val="008175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0A6505"/>
    <w:pPr>
      <w:tabs>
        <w:tab w:val="center" w:pos="4680"/>
        <w:tab w:val="right" w:pos="9360"/>
      </w:tabs>
    </w:pPr>
  </w:style>
  <w:style w:type="character" w:customStyle="1" w:styleId="FooterChar">
    <w:name w:val="Footer Char"/>
    <w:basedOn w:val="DefaultParagraphFont"/>
    <w:link w:val="Footer"/>
    <w:uiPriority w:val="99"/>
    <w:rsid w:val="000A6505"/>
    <w:rPr>
      <w:rFonts w:ascii="Times New Roman" w:hAnsi="Times New Roman"/>
      <w:sz w:val="24"/>
      <w:szCs w:val="24"/>
    </w:rPr>
  </w:style>
  <w:style w:type="paragraph" w:styleId="ListParagraph">
    <w:name w:val="List Paragraph"/>
    <w:basedOn w:val="Normal"/>
    <w:uiPriority w:val="34"/>
    <w:qFormat/>
    <w:rsid w:val="009F1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1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mcsa.dot.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webapps/legacy/cesbtab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3317</Words>
  <Characters>18311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Department of Transportation</vt:lpstr>
    </vt:vector>
  </TitlesOfParts>
  <Company>Hewlett-Packard Company</Company>
  <LinksUpToDate>false</LinksUpToDate>
  <CharactersWithSpaces>21585</CharactersWithSpaces>
  <SharedDoc>false</SharedDoc>
  <HLinks>
    <vt:vector size="12" baseType="variant">
      <vt:variant>
        <vt:i4>5111886</vt:i4>
      </vt:variant>
      <vt:variant>
        <vt:i4>0</vt:i4>
      </vt:variant>
      <vt:variant>
        <vt:i4>0</vt:i4>
      </vt:variant>
      <vt:variant>
        <vt:i4>5</vt:i4>
      </vt:variant>
      <vt:variant>
        <vt:lpwstr>http://www.fmcsa.dot.gov/</vt:lpwstr>
      </vt:variant>
      <vt:variant>
        <vt:lpwstr/>
      </vt:variant>
      <vt:variant>
        <vt:i4>2752552</vt:i4>
      </vt:variant>
      <vt:variant>
        <vt:i4>0</vt:i4>
      </vt:variant>
      <vt:variant>
        <vt:i4>0</vt:i4>
      </vt:variant>
      <vt:variant>
        <vt:i4>5</vt:i4>
      </vt:variant>
      <vt:variant>
        <vt:lpwstr>http://www.bls.gov/webapps/legacy/cesbtab3.htm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Transportation</dc:title>
  <dc:creator>Gene</dc:creator>
  <cp:lastModifiedBy>herman.dogan</cp:lastModifiedBy>
  <cp:revision>2</cp:revision>
  <cp:lastPrinted>2013-02-20T18:11:00Z</cp:lastPrinted>
  <dcterms:created xsi:type="dcterms:W3CDTF">2013-06-06T15:39:00Z</dcterms:created>
  <dcterms:modified xsi:type="dcterms:W3CDTF">2013-06-06T15:39:00Z</dcterms:modified>
</cp:coreProperties>
</file>