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F18" w:rsidRPr="008F6371" w:rsidRDefault="008F6371" w:rsidP="00EF45A5">
      <w:pPr>
        <w:jc w:val="center"/>
        <w:rPr>
          <w:b/>
        </w:rPr>
      </w:pPr>
      <w:r w:rsidRPr="008F6371">
        <w:rPr>
          <w:b/>
        </w:rPr>
        <w:t xml:space="preserve">Senior Corps Independent Living </w:t>
      </w:r>
      <w:r w:rsidR="00DF2A0C">
        <w:rPr>
          <w:b/>
        </w:rPr>
        <w:t xml:space="preserve">Impact </w:t>
      </w:r>
      <w:r w:rsidRPr="008F6371">
        <w:rPr>
          <w:b/>
        </w:rPr>
        <w:t>Evaluation S</w:t>
      </w:r>
      <w:r w:rsidR="00C4655F">
        <w:rPr>
          <w:b/>
        </w:rPr>
        <w:t>tudy</w:t>
      </w:r>
    </w:p>
    <w:p w:rsidR="00A3225C" w:rsidRDefault="00A3225C"/>
    <w:p w:rsidR="00F84F18" w:rsidRDefault="00F84F18">
      <w:r>
        <w:t>Part A: Justification</w:t>
      </w:r>
    </w:p>
    <w:p w:rsidR="00F84F18" w:rsidRDefault="00F84F18"/>
    <w:p w:rsidR="00F84F18" w:rsidRPr="00F84F18" w:rsidRDefault="00F84F18" w:rsidP="00F84F18">
      <w:pPr>
        <w:pStyle w:val="ListParagraph"/>
        <w:numPr>
          <w:ilvl w:val="0"/>
          <w:numId w:val="1"/>
        </w:numPr>
        <w:autoSpaceDE w:val="0"/>
        <w:autoSpaceDN w:val="0"/>
        <w:adjustRightInd w:val="0"/>
        <w:rPr>
          <w:rFonts w:eastAsiaTheme="minorHAnsi"/>
        </w:rPr>
      </w:pPr>
      <w:r w:rsidRPr="00F84F18">
        <w:rPr>
          <w:rFonts w:eastAsiaTheme="minorHAnsi"/>
        </w:rPr>
        <w:t>Ne</w:t>
      </w:r>
      <w:r>
        <w:rPr>
          <w:rFonts w:eastAsiaTheme="minorHAnsi"/>
        </w:rPr>
        <w:t xml:space="preserve">cessity </w:t>
      </w:r>
      <w:r w:rsidR="0048611E">
        <w:rPr>
          <w:rFonts w:eastAsiaTheme="minorHAnsi"/>
        </w:rPr>
        <w:t>of</w:t>
      </w:r>
      <w:r>
        <w:rPr>
          <w:rFonts w:eastAsiaTheme="minorHAnsi"/>
        </w:rPr>
        <w:t xml:space="preserve"> the Data Collection</w:t>
      </w:r>
    </w:p>
    <w:p w:rsidR="00F84F18" w:rsidRPr="00F84F18" w:rsidRDefault="00F84F18" w:rsidP="00F84F18">
      <w:pPr>
        <w:autoSpaceDE w:val="0"/>
        <w:autoSpaceDN w:val="0"/>
        <w:adjustRightInd w:val="0"/>
        <w:ind w:left="360"/>
        <w:rPr>
          <w:rFonts w:eastAsiaTheme="minorHAnsi"/>
        </w:rPr>
      </w:pPr>
    </w:p>
    <w:p w:rsidR="0086244D" w:rsidRDefault="003A6205" w:rsidP="0086244D">
      <w:r>
        <w:rPr>
          <w:bCs/>
        </w:rPr>
        <w:t xml:space="preserve">The </w:t>
      </w:r>
      <w:r w:rsidR="005B3FBE" w:rsidRPr="000D100E">
        <w:rPr>
          <w:bCs/>
        </w:rPr>
        <w:t>Corporation for National and Community Service</w:t>
      </w:r>
      <w:r w:rsidR="005B3FBE">
        <w:t xml:space="preserve"> (</w:t>
      </w:r>
      <w:r w:rsidR="00A3225C">
        <w:t>CNCS</w:t>
      </w:r>
      <w:r w:rsidR="005B3FBE">
        <w:t>)</w:t>
      </w:r>
      <w:r w:rsidR="00A3225C">
        <w:t xml:space="preserve"> seeks approval to conduct a study to </w:t>
      </w:r>
      <w:r w:rsidR="0086244D">
        <w:t>assess</w:t>
      </w:r>
      <w:r w:rsidR="0086244D" w:rsidRPr="002F025F">
        <w:t xml:space="preserve"> </w:t>
      </w:r>
      <w:r w:rsidR="006E4534" w:rsidRPr="0074663C">
        <w:t xml:space="preserve">the impact of Senior Companion Program (SCP) on clients’ </w:t>
      </w:r>
      <w:r w:rsidR="006E4534">
        <w:t xml:space="preserve">self-efficacy, life satisfaction, and perceived </w:t>
      </w:r>
      <w:r w:rsidR="006E4534" w:rsidRPr="0074663C">
        <w:t>social ties and social supports.</w:t>
      </w:r>
      <w:r w:rsidR="006E4534">
        <w:t xml:space="preserve"> </w:t>
      </w:r>
      <w:r w:rsidR="0086244D">
        <w:t xml:space="preserve">This study </w:t>
      </w:r>
      <w:r w:rsidR="00054F64">
        <w:t>will include</w:t>
      </w:r>
      <w:r w:rsidR="0086244D">
        <w:t xml:space="preserve"> a comparison group from the Health and Retirement Study (HRS) dataset developed and collected by the University of Michigan. The study will contribute to CNCS’</w:t>
      </w:r>
      <w:r w:rsidR="001035D4">
        <w:t>s</w:t>
      </w:r>
      <w:r w:rsidR="0086244D">
        <w:t xml:space="preserve"> ability to report on progress towards two of the goals of its Strategic Plan. The first goal is to increase the impact of national service on community needs in communities served by CNCS-supported programs. The second goal is to strengthen national service so that participants engaged in CNCS-supported programs consistently find satisfaction, meaning, and opportunity.</w:t>
      </w:r>
    </w:p>
    <w:p w:rsidR="00C4655F" w:rsidRDefault="00C4655F" w:rsidP="00C4655F"/>
    <w:p w:rsidR="005E2BDA" w:rsidRDefault="00FB16E0" w:rsidP="00FB16E0">
      <w:pPr>
        <w:pStyle w:val="ListParagraph"/>
        <w:numPr>
          <w:ilvl w:val="0"/>
          <w:numId w:val="1"/>
        </w:numPr>
        <w:autoSpaceDE w:val="0"/>
        <w:autoSpaceDN w:val="0"/>
        <w:adjustRightInd w:val="0"/>
        <w:rPr>
          <w:rFonts w:eastAsiaTheme="minorHAnsi"/>
        </w:rPr>
      </w:pPr>
      <w:r w:rsidRPr="00FB16E0">
        <w:rPr>
          <w:rFonts w:eastAsiaTheme="minorHAnsi"/>
        </w:rPr>
        <w:t>Purpose of the Data Collection</w:t>
      </w:r>
    </w:p>
    <w:p w:rsidR="005232F8" w:rsidRDefault="005232F8" w:rsidP="005232F8"/>
    <w:p w:rsidR="005E2BDA" w:rsidRDefault="00F8313D" w:rsidP="00F8313D">
      <w:pPr>
        <w:rPr>
          <w:rFonts w:eastAsiaTheme="minorHAnsi"/>
        </w:rPr>
      </w:pPr>
      <w:r>
        <w:rPr>
          <w:rFonts w:eastAsiaTheme="minorHAnsi"/>
        </w:rPr>
        <w:t xml:space="preserve">The </w:t>
      </w:r>
      <w:r w:rsidR="00C03298">
        <w:rPr>
          <w:rFonts w:eastAsiaTheme="minorHAnsi"/>
        </w:rPr>
        <w:t>data collection</w:t>
      </w:r>
      <w:r>
        <w:rPr>
          <w:rFonts w:eastAsiaTheme="minorHAnsi"/>
        </w:rPr>
        <w:t xml:space="preserve"> </w:t>
      </w:r>
      <w:r w:rsidR="00C03298">
        <w:rPr>
          <w:rFonts w:eastAsiaTheme="minorHAnsi"/>
        </w:rPr>
        <w:t>will</w:t>
      </w:r>
      <w:r>
        <w:rPr>
          <w:rFonts w:eastAsiaTheme="minorHAnsi"/>
        </w:rPr>
        <w:t xml:space="preserve"> be used for </w:t>
      </w:r>
      <w:r w:rsidR="00F24586">
        <w:rPr>
          <w:rFonts w:eastAsiaTheme="minorHAnsi"/>
        </w:rPr>
        <w:t>three primary</w:t>
      </w:r>
      <w:r>
        <w:rPr>
          <w:rFonts w:eastAsiaTheme="minorHAnsi"/>
        </w:rPr>
        <w:t xml:space="preserve"> purposes. </w:t>
      </w:r>
      <w:r w:rsidR="00F24586">
        <w:rPr>
          <w:rFonts w:eastAsiaTheme="minorHAnsi"/>
        </w:rPr>
        <w:t xml:space="preserve">First, the data will be used to assess the impact of </w:t>
      </w:r>
      <w:r w:rsidR="00B428E6">
        <w:rPr>
          <w:rFonts w:eastAsiaTheme="minorHAnsi"/>
        </w:rPr>
        <w:t>Senior Companion</w:t>
      </w:r>
      <w:r w:rsidR="00F24586">
        <w:rPr>
          <w:rFonts w:eastAsiaTheme="minorHAnsi"/>
        </w:rPr>
        <w:t xml:space="preserve"> services on established clients’ </w:t>
      </w:r>
      <w:r w:rsidR="00E14795">
        <w:t xml:space="preserve">self-efficacy, life satisfaction, and perceived </w:t>
      </w:r>
      <w:r w:rsidR="00E14795" w:rsidRPr="0074663C">
        <w:t>social ties and social supports</w:t>
      </w:r>
      <w:r w:rsidR="00F24586">
        <w:rPr>
          <w:rFonts w:eastAsiaTheme="minorHAnsi"/>
        </w:rPr>
        <w:t xml:space="preserve">. </w:t>
      </w:r>
      <w:r w:rsidR="00B428E6">
        <w:rPr>
          <w:rFonts w:eastAsiaTheme="minorHAnsi"/>
        </w:rPr>
        <w:t xml:space="preserve">Established clients are individuals who have been receiving services for a year or more. </w:t>
      </w:r>
      <w:r w:rsidR="00F24586">
        <w:rPr>
          <w:rFonts w:eastAsiaTheme="minorHAnsi"/>
        </w:rPr>
        <w:t xml:space="preserve">Second, the data will be used to </w:t>
      </w:r>
      <w:r w:rsidR="00B428E6">
        <w:rPr>
          <w:rFonts w:eastAsiaTheme="minorHAnsi"/>
        </w:rPr>
        <w:t>determine</w:t>
      </w:r>
      <w:r w:rsidR="00F24586">
        <w:rPr>
          <w:rFonts w:eastAsiaTheme="minorHAnsi"/>
        </w:rPr>
        <w:t xml:space="preserve"> the feasibility of conducting future studies with this population. Third, the data will be used to inform the feasibility of using the same instrument to conduct an evaluation of CNCS’</w:t>
      </w:r>
      <w:r w:rsidR="001035D4">
        <w:rPr>
          <w:rFonts w:eastAsiaTheme="minorHAnsi"/>
        </w:rPr>
        <w:t>s</w:t>
      </w:r>
      <w:r w:rsidR="00F24586">
        <w:rPr>
          <w:rFonts w:eastAsiaTheme="minorHAnsi"/>
        </w:rPr>
        <w:t xml:space="preserve"> RSVP </w:t>
      </w:r>
      <w:r w:rsidR="009E5E1D">
        <w:rPr>
          <w:rFonts w:eastAsiaTheme="minorHAnsi"/>
        </w:rPr>
        <w:t>P</w:t>
      </w:r>
      <w:r w:rsidR="00F24586">
        <w:rPr>
          <w:rFonts w:eastAsiaTheme="minorHAnsi"/>
        </w:rPr>
        <w:t>rogram.</w:t>
      </w:r>
    </w:p>
    <w:p w:rsidR="00054F64" w:rsidRDefault="00054F64" w:rsidP="00F8313D">
      <w:pPr>
        <w:rPr>
          <w:rFonts w:eastAsiaTheme="minorHAnsi"/>
        </w:rPr>
      </w:pPr>
    </w:p>
    <w:p w:rsidR="00503B53" w:rsidRDefault="00B428E6" w:rsidP="00F8313D">
      <w:r>
        <w:rPr>
          <w:rFonts w:eastAsiaTheme="minorHAnsi"/>
        </w:rPr>
        <w:t>T</w:t>
      </w:r>
      <w:r w:rsidR="00F24586">
        <w:rPr>
          <w:rFonts w:eastAsiaTheme="minorHAnsi"/>
        </w:rPr>
        <w:t xml:space="preserve">he data collection is divided into two parts. The first part is the main study and entails the administration of </w:t>
      </w:r>
      <w:r w:rsidR="00F8313D">
        <w:t xml:space="preserve">a </w:t>
      </w:r>
      <w:r w:rsidR="00E14795">
        <w:t>2</w:t>
      </w:r>
      <w:r w:rsidR="00F8313D">
        <w:t>0-minute telephone</w:t>
      </w:r>
      <w:r w:rsidR="00F8313D" w:rsidRPr="002F025F">
        <w:t xml:space="preserve"> survey to </w:t>
      </w:r>
      <w:r w:rsidR="007E6166">
        <w:t>1,980</w:t>
      </w:r>
      <w:r w:rsidR="00F8313D" w:rsidRPr="002F025F">
        <w:t xml:space="preserve"> established SCP clients via </w:t>
      </w:r>
      <w:r w:rsidR="009E5E1D">
        <w:t>computer-assisted telephone interviewing (</w:t>
      </w:r>
      <w:r w:rsidR="00F8313D" w:rsidRPr="002F025F">
        <w:t>CATI</w:t>
      </w:r>
      <w:r w:rsidR="009E5E1D">
        <w:t>)</w:t>
      </w:r>
      <w:r w:rsidR="00F8313D" w:rsidRPr="002F025F">
        <w:t xml:space="preserve"> to measure self-efficacy, social ties</w:t>
      </w:r>
      <w:r w:rsidR="001035D4">
        <w:t>,</w:t>
      </w:r>
      <w:r w:rsidR="00F8313D" w:rsidRPr="002F025F">
        <w:t xml:space="preserve"> social support</w:t>
      </w:r>
      <w:r w:rsidR="00DF2A0C">
        <w:t>, well being and social demographic characteristics</w:t>
      </w:r>
      <w:r w:rsidR="00F8313D" w:rsidRPr="002F025F">
        <w:t xml:space="preserve">. </w:t>
      </w:r>
      <w:r w:rsidR="00914B19">
        <w:t>The main study is designed to provide preliminary estimates of the impact of Senior Companion</w:t>
      </w:r>
      <w:r w:rsidR="0065359F">
        <w:t xml:space="preserve"> services, and to</w:t>
      </w:r>
      <w:r w:rsidR="00914B19">
        <w:t xml:space="preserve"> test the feasibility of future studies with this population. </w:t>
      </w:r>
      <w:r w:rsidR="00F8313D" w:rsidRPr="002F025F">
        <w:t xml:space="preserve">The data </w:t>
      </w:r>
      <w:r>
        <w:t xml:space="preserve">from the main study </w:t>
      </w:r>
      <w:r w:rsidR="00F8313D" w:rsidRPr="002F025F">
        <w:t>will be matched to similar respondents from the HRS dataset to form a comparison group</w:t>
      </w:r>
      <w:r>
        <w:t xml:space="preserve"> using propensity score matching</w:t>
      </w:r>
      <w:r w:rsidR="00F8313D" w:rsidRPr="002F025F">
        <w:t xml:space="preserve">. The treatment group will </w:t>
      </w:r>
      <w:r w:rsidR="00054F64">
        <w:t>be SCP</w:t>
      </w:r>
      <w:r w:rsidR="00F8313D" w:rsidRPr="002F025F">
        <w:t xml:space="preserve"> clients matched with a </w:t>
      </w:r>
      <w:r w:rsidR="00E14795">
        <w:t>comparison</w:t>
      </w:r>
      <w:r w:rsidR="00E14795" w:rsidRPr="002F025F">
        <w:t xml:space="preserve"> </w:t>
      </w:r>
      <w:r w:rsidR="00F8313D" w:rsidRPr="002F025F">
        <w:t xml:space="preserve">group of respondents </w:t>
      </w:r>
      <w:r w:rsidR="00054F64">
        <w:t xml:space="preserve">from the HRS data </w:t>
      </w:r>
      <w:r w:rsidR="00F8313D" w:rsidRPr="002F025F">
        <w:t xml:space="preserve">with similar characteristics who did not receive Senior </w:t>
      </w:r>
      <w:r>
        <w:t>Companion</w:t>
      </w:r>
      <w:r w:rsidR="00F8313D" w:rsidRPr="002F025F">
        <w:t xml:space="preserve"> services. </w:t>
      </w:r>
      <w:r w:rsidR="00E14795">
        <w:t>Senior Companion g</w:t>
      </w:r>
      <w:r w:rsidR="00BD04A2">
        <w:t>rantees wil</w:t>
      </w:r>
      <w:r w:rsidR="00DF2A0C">
        <w:t xml:space="preserve">l also be asked to provide </w:t>
      </w:r>
      <w:r w:rsidR="0065359F">
        <w:t xml:space="preserve">a </w:t>
      </w:r>
      <w:r w:rsidR="00DF2A0C">
        <w:t>list</w:t>
      </w:r>
      <w:r w:rsidR="00BD04A2">
        <w:t xml:space="preserve"> of the clients they serve that will be used as the sampling universe</w:t>
      </w:r>
      <w:r w:rsidR="008832BC">
        <w:t xml:space="preserve">. </w:t>
      </w:r>
      <w:r w:rsidR="00EA3990">
        <w:t>This main study is large enough to provide Senior Corps with a first look at outcomes from its SCP services involving supporting independent living seniors</w:t>
      </w:r>
      <w:r w:rsidR="008832BC">
        <w:t xml:space="preserve">. </w:t>
      </w:r>
      <w:r w:rsidR="00C453B1">
        <w:t xml:space="preserve">CNCS recognizes that the quasi-experimental for the main study is subject to limitations and threats to internal validity that will be noted in all reports of the results.  </w:t>
      </w:r>
      <w:r w:rsidR="00EA3990">
        <w:t>At the same time, this study provides a test of the survey instrument that is being considered for a future longitudinal study.</w:t>
      </w:r>
    </w:p>
    <w:p w:rsidR="00F8313D" w:rsidRDefault="00F8313D" w:rsidP="00F8313D"/>
    <w:p w:rsidR="00503B53" w:rsidRDefault="00F8313D" w:rsidP="00F8313D">
      <w:r w:rsidRPr="002F025F">
        <w:t xml:space="preserve">The second part of the </w:t>
      </w:r>
      <w:r w:rsidR="00F24586">
        <w:t>data collection</w:t>
      </w:r>
      <w:r w:rsidR="000847F1">
        <w:t xml:space="preserve"> is </w:t>
      </w:r>
      <w:r w:rsidR="00914B19">
        <w:t xml:space="preserve">exploratory. It is </w:t>
      </w:r>
      <w:r w:rsidR="000847F1">
        <w:t xml:space="preserve">a pilot </w:t>
      </w:r>
      <w:r w:rsidR="00EA3990">
        <w:t xml:space="preserve">and feasibility study </w:t>
      </w:r>
      <w:r w:rsidR="00914B19">
        <w:t xml:space="preserve">designed as </w:t>
      </w:r>
      <w:r w:rsidR="00EA3990">
        <w:t xml:space="preserve">a </w:t>
      </w:r>
      <w:r w:rsidR="000847F1">
        <w:t>pre/post study</w:t>
      </w:r>
      <w:r w:rsidRPr="002F025F">
        <w:t xml:space="preserve"> </w:t>
      </w:r>
      <w:r w:rsidR="00E14795">
        <w:t xml:space="preserve">with </w:t>
      </w:r>
      <w:r w:rsidRPr="002F025F">
        <w:t xml:space="preserve">new recipients </w:t>
      </w:r>
      <w:r w:rsidR="00B65AFA">
        <w:t xml:space="preserve">of </w:t>
      </w:r>
      <w:r w:rsidR="00D23353">
        <w:t>Senior Companion</w:t>
      </w:r>
      <w:r w:rsidR="00057822">
        <w:t xml:space="preserve"> services</w:t>
      </w:r>
      <w:r w:rsidR="00E14795">
        <w:t xml:space="preserve">. </w:t>
      </w:r>
      <w:r w:rsidR="00E7039F">
        <w:t>For the pre/post study, CNCS anticipates conducting two follow-up data collection</w:t>
      </w:r>
      <w:r w:rsidR="00057822">
        <w:t>s</w:t>
      </w:r>
      <w:r w:rsidR="00E7039F">
        <w:t xml:space="preserve"> to look at the feasibility of </w:t>
      </w:r>
      <w:r w:rsidR="00914B19">
        <w:t xml:space="preserve">conducting multiple rounds of data collection among this population, and to gather preliminary exploratory data </w:t>
      </w:r>
      <w:r w:rsidR="00B71DC7">
        <w:t>about</w:t>
      </w:r>
      <w:r w:rsidR="0065359F">
        <w:t xml:space="preserve"> </w:t>
      </w:r>
      <w:r w:rsidR="00914B19">
        <w:t xml:space="preserve">whether and when changes in health benefits following entry into the </w:t>
      </w:r>
      <w:r w:rsidR="00914B19">
        <w:lastRenderedPageBreak/>
        <w:t xml:space="preserve">Senior Companion program might occur. </w:t>
      </w:r>
      <w:r w:rsidR="00E14795">
        <w:t xml:space="preserve">New recipients are adults who at baseline </w:t>
      </w:r>
      <w:r w:rsidR="00DF2A0C">
        <w:t>are</w:t>
      </w:r>
      <w:r w:rsidR="00E14795">
        <w:t xml:space="preserve"> not </w:t>
      </w:r>
      <w:r w:rsidR="00DF2A0C">
        <w:t>receiving</w:t>
      </w:r>
      <w:r w:rsidR="00E14795">
        <w:t xml:space="preserve"> any Senior Companion services. The anticipated sample size for the </w:t>
      </w:r>
      <w:r w:rsidR="00DF2A0C">
        <w:t xml:space="preserve">pilot </w:t>
      </w:r>
      <w:r w:rsidR="00E14795">
        <w:t xml:space="preserve">pre/post study is </w:t>
      </w:r>
      <w:r w:rsidR="00CA3242">
        <w:t>5</w:t>
      </w:r>
      <w:r w:rsidR="004476CA">
        <w:t xml:space="preserve">00 </w:t>
      </w:r>
      <w:r w:rsidR="00FF55C5">
        <w:t xml:space="preserve">new Senior Companion clients. </w:t>
      </w:r>
      <w:r w:rsidR="00F24586">
        <w:t xml:space="preserve">The </w:t>
      </w:r>
      <w:r w:rsidR="00BD04A2">
        <w:t xml:space="preserve">data </w:t>
      </w:r>
      <w:r w:rsidR="00F24586">
        <w:t xml:space="preserve">analysis for the pilot pre/post survey will be exploratory. </w:t>
      </w:r>
      <w:r w:rsidRPr="002F025F">
        <w:rPr>
          <w:color w:val="000000"/>
        </w:rPr>
        <w:t xml:space="preserve">The </w:t>
      </w:r>
      <w:r w:rsidR="00914B19">
        <w:rPr>
          <w:color w:val="000000"/>
        </w:rPr>
        <w:t xml:space="preserve">exploratory </w:t>
      </w:r>
      <w:r w:rsidRPr="002F025F">
        <w:rPr>
          <w:color w:val="000000"/>
        </w:rPr>
        <w:t xml:space="preserve">data from the </w:t>
      </w:r>
      <w:r w:rsidR="00BD04A2">
        <w:rPr>
          <w:color w:val="000000"/>
        </w:rPr>
        <w:t xml:space="preserve">longitudinal </w:t>
      </w:r>
      <w:r w:rsidR="00054F64">
        <w:rPr>
          <w:color w:val="000000"/>
        </w:rPr>
        <w:t>pilot</w:t>
      </w:r>
      <w:r w:rsidR="00B65AFA">
        <w:rPr>
          <w:color w:val="000000"/>
        </w:rPr>
        <w:t xml:space="preserve"> </w:t>
      </w:r>
      <w:r w:rsidR="00BD04A2">
        <w:rPr>
          <w:color w:val="000000"/>
        </w:rPr>
        <w:t xml:space="preserve">study </w:t>
      </w:r>
      <w:r w:rsidR="00B65AFA">
        <w:rPr>
          <w:color w:val="000000"/>
        </w:rPr>
        <w:t>of</w:t>
      </w:r>
      <w:r w:rsidR="00B65AFA" w:rsidRPr="002F025F">
        <w:rPr>
          <w:color w:val="000000"/>
        </w:rPr>
        <w:t xml:space="preserve"> new</w:t>
      </w:r>
      <w:r w:rsidR="00B65AFA">
        <w:rPr>
          <w:color w:val="000000"/>
        </w:rPr>
        <w:t xml:space="preserve"> </w:t>
      </w:r>
      <w:r w:rsidR="00B65AFA" w:rsidRPr="002F025F">
        <w:rPr>
          <w:color w:val="000000"/>
        </w:rPr>
        <w:t>clients</w:t>
      </w:r>
      <w:r w:rsidR="00B65AFA">
        <w:rPr>
          <w:color w:val="000000"/>
        </w:rPr>
        <w:t xml:space="preserve"> combined with the results from the main study of established clients </w:t>
      </w:r>
      <w:r w:rsidRPr="002F025F">
        <w:rPr>
          <w:color w:val="000000"/>
        </w:rPr>
        <w:t xml:space="preserve">will </w:t>
      </w:r>
      <w:r w:rsidR="00F24586">
        <w:rPr>
          <w:color w:val="000000"/>
        </w:rPr>
        <w:t xml:space="preserve">be used to </w:t>
      </w:r>
      <w:r w:rsidRPr="002F025F">
        <w:rPr>
          <w:color w:val="000000"/>
        </w:rPr>
        <w:t xml:space="preserve">provide </w:t>
      </w:r>
      <w:r w:rsidRPr="002F025F">
        <w:t xml:space="preserve">information allowing CNCS to assess the feasibility of </w:t>
      </w:r>
      <w:r w:rsidR="00B65AFA">
        <w:t xml:space="preserve">conducting </w:t>
      </w:r>
      <w:r w:rsidRPr="002F025F">
        <w:t xml:space="preserve">future </w:t>
      </w:r>
      <w:r w:rsidR="00B65AFA">
        <w:t xml:space="preserve">longitudinal </w:t>
      </w:r>
      <w:r w:rsidRPr="002F025F">
        <w:t>studies</w:t>
      </w:r>
      <w:r w:rsidR="00B65AFA">
        <w:t xml:space="preserve"> </w:t>
      </w:r>
      <w:r w:rsidR="00BD04A2">
        <w:t>to examine</w:t>
      </w:r>
      <w:r w:rsidR="00BD04A2" w:rsidRPr="002F025F">
        <w:t xml:space="preserve"> </w:t>
      </w:r>
      <w:r w:rsidR="00BD04A2">
        <w:t xml:space="preserve">changes </w:t>
      </w:r>
      <w:r w:rsidR="00A65485">
        <w:t xml:space="preserve">in </w:t>
      </w:r>
      <w:r w:rsidR="00BD04A2">
        <w:t>outcomes among</w:t>
      </w:r>
      <w:r w:rsidR="00BD04A2" w:rsidRPr="002F025F">
        <w:t xml:space="preserve"> </w:t>
      </w:r>
      <w:r w:rsidR="00BD04A2">
        <w:t xml:space="preserve">new </w:t>
      </w:r>
      <w:r w:rsidR="00BD04A2" w:rsidRPr="002F025F">
        <w:t>clients</w:t>
      </w:r>
      <w:r w:rsidR="00BD04A2">
        <w:t xml:space="preserve"> in the Senior Companion </w:t>
      </w:r>
      <w:r w:rsidR="00DF2A0C">
        <w:t>P</w:t>
      </w:r>
      <w:r w:rsidR="00BD04A2">
        <w:t>rogram</w:t>
      </w:r>
      <w:r w:rsidRPr="002F025F">
        <w:t xml:space="preserve">. </w:t>
      </w:r>
      <w:r w:rsidR="00F24586">
        <w:t>The results from this study will also inform the feasibility of using the same instrument to conduct an evaluation of CNCS’</w:t>
      </w:r>
      <w:r w:rsidR="00494D7A">
        <w:t>s</w:t>
      </w:r>
      <w:r w:rsidR="00F24586">
        <w:t xml:space="preserve"> RSVP </w:t>
      </w:r>
      <w:r w:rsidR="009E5E1D">
        <w:t>P</w:t>
      </w:r>
      <w:r w:rsidR="00F24586">
        <w:t>rogram</w:t>
      </w:r>
      <w:r w:rsidR="00D23353">
        <w:t xml:space="preserve"> and services</w:t>
      </w:r>
      <w:r w:rsidR="008832BC">
        <w:t>.</w:t>
      </w:r>
    </w:p>
    <w:p w:rsidR="00F8313D" w:rsidRPr="00F84F18" w:rsidRDefault="00F8313D" w:rsidP="00F84F18">
      <w:pPr>
        <w:autoSpaceDE w:val="0"/>
        <w:autoSpaceDN w:val="0"/>
        <w:adjustRightInd w:val="0"/>
        <w:rPr>
          <w:rFonts w:eastAsiaTheme="minorHAnsi"/>
        </w:rPr>
      </w:pPr>
    </w:p>
    <w:p w:rsidR="005E2BDA" w:rsidRDefault="005232F8" w:rsidP="005232F8">
      <w:pPr>
        <w:pStyle w:val="ListParagraph"/>
        <w:numPr>
          <w:ilvl w:val="0"/>
          <w:numId w:val="1"/>
        </w:numPr>
        <w:autoSpaceDE w:val="0"/>
        <w:autoSpaceDN w:val="0"/>
        <w:adjustRightInd w:val="0"/>
        <w:rPr>
          <w:rFonts w:eastAsiaTheme="minorHAnsi"/>
        </w:rPr>
      </w:pPr>
      <w:r>
        <w:rPr>
          <w:rFonts w:eastAsiaTheme="minorHAnsi"/>
        </w:rPr>
        <w:t>Use of</w:t>
      </w:r>
      <w:r w:rsidR="00FD5AD6" w:rsidRPr="00FD5AD6">
        <w:rPr>
          <w:rFonts w:eastAsiaTheme="minorHAnsi"/>
        </w:rPr>
        <w:t xml:space="preserve"> Electronic Media</w:t>
      </w:r>
    </w:p>
    <w:p w:rsidR="00FD5AD6" w:rsidRPr="00FD5AD6" w:rsidRDefault="00FD5AD6" w:rsidP="009E5E1D">
      <w:pPr>
        <w:pStyle w:val="ListParagraph"/>
        <w:ind w:left="0"/>
        <w:rPr>
          <w:rFonts w:eastAsiaTheme="minorHAnsi"/>
        </w:rPr>
      </w:pPr>
    </w:p>
    <w:p w:rsidR="005E2BDA" w:rsidRDefault="00F24586" w:rsidP="00F84F18">
      <w:pPr>
        <w:autoSpaceDE w:val="0"/>
        <w:autoSpaceDN w:val="0"/>
        <w:adjustRightInd w:val="0"/>
      </w:pPr>
      <w:r>
        <w:rPr>
          <w:rFonts w:eastAsiaTheme="minorHAnsi"/>
        </w:rPr>
        <w:t>The survey instrument</w:t>
      </w:r>
      <w:r w:rsidR="000434FA">
        <w:rPr>
          <w:rFonts w:eastAsiaTheme="minorHAnsi"/>
        </w:rPr>
        <w:t xml:space="preserve"> for SCP clients</w:t>
      </w:r>
      <w:r w:rsidR="00A3225C">
        <w:rPr>
          <w:rFonts w:eastAsiaTheme="minorHAnsi"/>
        </w:rPr>
        <w:t xml:space="preserve"> </w:t>
      </w:r>
      <w:r w:rsidR="000847F1">
        <w:rPr>
          <w:rFonts w:eastAsiaTheme="minorHAnsi"/>
        </w:rPr>
        <w:t xml:space="preserve">(both established and new clients) </w:t>
      </w:r>
      <w:r w:rsidR="00A3225C">
        <w:rPr>
          <w:rFonts w:eastAsiaTheme="minorHAnsi"/>
        </w:rPr>
        <w:t xml:space="preserve">will be administered </w:t>
      </w:r>
      <w:r>
        <w:rPr>
          <w:rFonts w:eastAsiaTheme="minorHAnsi"/>
        </w:rPr>
        <w:t>by telephone</w:t>
      </w:r>
      <w:r w:rsidR="00A3225C">
        <w:rPr>
          <w:rFonts w:eastAsiaTheme="minorHAnsi"/>
        </w:rPr>
        <w:t xml:space="preserve">. Informing respondents about the surveys will also be done </w:t>
      </w:r>
      <w:r>
        <w:rPr>
          <w:rFonts w:eastAsiaTheme="minorHAnsi"/>
        </w:rPr>
        <w:t>by telephone</w:t>
      </w:r>
      <w:r w:rsidR="00A3225C">
        <w:rPr>
          <w:rFonts w:eastAsiaTheme="minorHAnsi"/>
        </w:rPr>
        <w:t xml:space="preserve">. </w:t>
      </w:r>
      <w:r w:rsidR="002E386D">
        <w:rPr>
          <w:rFonts w:eastAsiaTheme="minorHAnsi"/>
        </w:rPr>
        <w:t>Trained interviewers will administer the survey.</w:t>
      </w:r>
      <w:r w:rsidR="001C4186" w:rsidRPr="001C4186">
        <w:t xml:space="preserve"> </w:t>
      </w:r>
      <w:r w:rsidR="001C4186">
        <w:t xml:space="preserve">Interviewers will also be trained on how to handle situations involving respondents with special needs, such as cognitive or </w:t>
      </w:r>
      <w:r w:rsidR="00F9663D">
        <w:t>physical impairments</w:t>
      </w:r>
      <w:r w:rsidR="008832BC">
        <w:t xml:space="preserve">. </w:t>
      </w:r>
      <w:r w:rsidR="00E23DCA" w:rsidRPr="002E5F51">
        <w:t xml:space="preserve">In the event that </w:t>
      </w:r>
      <w:r w:rsidR="00805DD8">
        <w:t xml:space="preserve">a </w:t>
      </w:r>
      <w:r w:rsidR="000434FA">
        <w:t>SCP</w:t>
      </w:r>
      <w:r w:rsidR="00805DD8">
        <w:t xml:space="preserve"> </w:t>
      </w:r>
      <w:r w:rsidR="00E23DCA">
        <w:t>client</w:t>
      </w:r>
      <w:r w:rsidR="00E23DCA" w:rsidRPr="002E5F51">
        <w:t xml:space="preserve"> is unable to </w:t>
      </w:r>
      <w:r w:rsidR="00BD04A2">
        <w:t>provide survey responses</w:t>
      </w:r>
      <w:r w:rsidR="00E23DCA" w:rsidRPr="002E5F51">
        <w:t xml:space="preserve">, a </w:t>
      </w:r>
      <w:r w:rsidR="00FF55C5">
        <w:t>proxy</w:t>
      </w:r>
      <w:r w:rsidR="00E23DCA" w:rsidRPr="002E5F51">
        <w:t xml:space="preserve"> respondent will </w:t>
      </w:r>
      <w:r w:rsidR="00494D7A">
        <w:t>respond on the client’s behalf</w:t>
      </w:r>
      <w:r w:rsidR="00E23DCA" w:rsidRPr="002E5F51">
        <w:t xml:space="preserve">. </w:t>
      </w:r>
      <w:r w:rsidR="00541016">
        <w:t xml:space="preserve">A modified version of the instrument will be administered to respondents who require a proxy reporter due to cognitive impairment. Our approach to administer the instrument is further described below. </w:t>
      </w:r>
      <w:r w:rsidR="00E365CB">
        <w:t xml:space="preserve">Interviewers will enter the data directly into the CATI system. </w:t>
      </w:r>
      <w:r w:rsidR="00937E05">
        <w:t xml:space="preserve">Using </w:t>
      </w:r>
      <w:r w:rsidR="00C33608">
        <w:t>the CATI system to administer the survey</w:t>
      </w:r>
      <w:r w:rsidR="00937E05">
        <w:t xml:space="preserve"> minimize</w:t>
      </w:r>
      <w:r w:rsidR="00F50B6C">
        <w:t>s</w:t>
      </w:r>
      <w:r w:rsidR="008A5A17">
        <w:t xml:space="preserve"> both respondent</w:t>
      </w:r>
      <w:r w:rsidR="00937E05">
        <w:t xml:space="preserve"> burden</w:t>
      </w:r>
      <w:r w:rsidR="008A5A17">
        <w:t xml:space="preserve"> and cost to the government</w:t>
      </w:r>
      <w:r w:rsidR="00937E05">
        <w:t xml:space="preserve">. </w:t>
      </w:r>
      <w:r w:rsidR="00C33608">
        <w:t>JBS, the independent contractor collecting and analyzing the data, has extensive expertise conducting evaluation studies with the population affected by this study. The</w:t>
      </w:r>
      <w:r w:rsidR="00E91521">
        <w:t>ir</w:t>
      </w:r>
      <w:r w:rsidR="00C33608">
        <w:t xml:space="preserve"> previous experiences </w:t>
      </w:r>
      <w:r w:rsidR="00E91521">
        <w:t xml:space="preserve">with </w:t>
      </w:r>
      <w:r w:rsidR="00C33608">
        <w:t xml:space="preserve">data collection efforts with the population of elderly clients </w:t>
      </w:r>
      <w:r w:rsidR="000847F1">
        <w:t xml:space="preserve">with special needs </w:t>
      </w:r>
      <w:r w:rsidR="00B67BA4">
        <w:t xml:space="preserve">indicate that </w:t>
      </w:r>
      <w:r w:rsidR="00E91521">
        <w:t xml:space="preserve">a telephone survey </w:t>
      </w:r>
      <w:r w:rsidR="00B67BA4">
        <w:t xml:space="preserve">is the best method </w:t>
      </w:r>
      <w:r w:rsidR="0024076C">
        <w:t>to achieve high retention and response rates while minimizing burden and costs to the government.</w:t>
      </w:r>
    </w:p>
    <w:p w:rsidR="00EC3733" w:rsidRDefault="00EC3733" w:rsidP="00F84F18">
      <w:pPr>
        <w:autoSpaceDE w:val="0"/>
        <w:autoSpaceDN w:val="0"/>
        <w:adjustRightInd w:val="0"/>
      </w:pPr>
    </w:p>
    <w:p w:rsidR="005E2BDA"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t>Identification of Duplication</w:t>
      </w:r>
    </w:p>
    <w:p w:rsidR="00F84F18" w:rsidRPr="00F84F18" w:rsidRDefault="00F84F18" w:rsidP="00F84F18">
      <w:pPr>
        <w:autoSpaceDE w:val="0"/>
        <w:autoSpaceDN w:val="0"/>
        <w:adjustRightInd w:val="0"/>
        <w:rPr>
          <w:rFonts w:eastAsiaTheme="minorHAnsi"/>
        </w:rPr>
      </w:pPr>
    </w:p>
    <w:p w:rsidR="000847F1" w:rsidRDefault="0024076C" w:rsidP="0024076C">
      <w:pPr>
        <w:autoSpaceDE w:val="0"/>
        <w:autoSpaceDN w:val="0"/>
        <w:adjustRightInd w:val="0"/>
        <w:rPr>
          <w:rFonts w:eastAsiaTheme="minorHAnsi"/>
        </w:rPr>
      </w:pPr>
      <w:r>
        <w:rPr>
          <w:rFonts w:eastAsiaTheme="minorHAnsi"/>
        </w:rPr>
        <w:t xml:space="preserve">The instrument </w:t>
      </w:r>
      <w:r w:rsidR="000847F1">
        <w:rPr>
          <w:rFonts w:eastAsiaTheme="minorHAnsi"/>
        </w:rPr>
        <w:t xml:space="preserve">to be administered to clients </w:t>
      </w:r>
      <w:r>
        <w:rPr>
          <w:rFonts w:eastAsiaTheme="minorHAnsi"/>
        </w:rPr>
        <w:t>includes performance measures developed by CNCS to gauge grantee</w:t>
      </w:r>
      <w:r w:rsidR="006C7C6B">
        <w:rPr>
          <w:rFonts w:eastAsiaTheme="minorHAnsi"/>
        </w:rPr>
        <w:t>s’ performance</w:t>
      </w:r>
      <w:r w:rsidR="00E91521">
        <w:rPr>
          <w:rFonts w:eastAsiaTheme="minorHAnsi"/>
        </w:rPr>
        <w:t xml:space="preserve"> in serving </w:t>
      </w:r>
      <w:r w:rsidR="00D7463B">
        <w:rPr>
          <w:rFonts w:eastAsiaTheme="minorHAnsi"/>
        </w:rPr>
        <w:t>SCP</w:t>
      </w:r>
      <w:r w:rsidR="00E91521">
        <w:rPr>
          <w:rFonts w:eastAsiaTheme="minorHAnsi"/>
        </w:rPr>
        <w:t xml:space="preserve"> clients</w:t>
      </w:r>
      <w:r w:rsidR="006C7C6B">
        <w:rPr>
          <w:rFonts w:eastAsiaTheme="minorHAnsi"/>
        </w:rPr>
        <w:t xml:space="preserve">. The instrument also includes items taken from the </w:t>
      </w:r>
      <w:r w:rsidR="00E91521">
        <w:rPr>
          <w:rFonts w:eastAsiaTheme="minorHAnsi"/>
        </w:rPr>
        <w:t xml:space="preserve">HRS </w:t>
      </w:r>
      <w:r w:rsidR="00DF2A0C">
        <w:rPr>
          <w:rFonts w:eastAsiaTheme="minorHAnsi"/>
        </w:rPr>
        <w:t>questionnaire</w:t>
      </w:r>
      <w:r w:rsidR="001C4186">
        <w:rPr>
          <w:rFonts w:eastAsiaTheme="minorHAnsi"/>
        </w:rPr>
        <w:t xml:space="preserve"> to be used in forming a </w:t>
      </w:r>
      <w:r w:rsidR="00F9663D">
        <w:rPr>
          <w:rFonts w:eastAsiaTheme="minorHAnsi"/>
        </w:rPr>
        <w:t>matched comparison</w:t>
      </w:r>
      <w:r w:rsidR="001C4186">
        <w:rPr>
          <w:rFonts w:eastAsiaTheme="minorHAnsi"/>
        </w:rPr>
        <w:t xml:space="preserve"> group</w:t>
      </w:r>
      <w:r w:rsidR="000847F1">
        <w:rPr>
          <w:rFonts w:eastAsiaTheme="minorHAnsi"/>
        </w:rPr>
        <w:t>. However, t</w:t>
      </w:r>
      <w:r w:rsidR="006C7C6B">
        <w:rPr>
          <w:rFonts w:eastAsiaTheme="minorHAnsi"/>
        </w:rPr>
        <w:t xml:space="preserve">he </w:t>
      </w:r>
      <w:r w:rsidR="00E91521">
        <w:rPr>
          <w:rFonts w:eastAsiaTheme="minorHAnsi"/>
        </w:rPr>
        <w:t>data collection</w:t>
      </w:r>
      <w:r w:rsidR="006C7C6B">
        <w:rPr>
          <w:rFonts w:eastAsiaTheme="minorHAnsi"/>
        </w:rPr>
        <w:t xml:space="preserve"> is not a duplication of the HRS </w:t>
      </w:r>
      <w:r w:rsidR="00E91521">
        <w:rPr>
          <w:rFonts w:eastAsiaTheme="minorHAnsi"/>
        </w:rPr>
        <w:t>data</w:t>
      </w:r>
      <w:r w:rsidR="006C7C6B">
        <w:rPr>
          <w:rFonts w:eastAsiaTheme="minorHAnsi"/>
        </w:rPr>
        <w:t xml:space="preserve"> because it involves a sample of elderly clients </w:t>
      </w:r>
      <w:r w:rsidR="000847F1">
        <w:rPr>
          <w:rFonts w:eastAsiaTheme="minorHAnsi"/>
        </w:rPr>
        <w:t xml:space="preserve">with special needs </w:t>
      </w:r>
      <w:r w:rsidR="006C7C6B">
        <w:rPr>
          <w:rFonts w:eastAsiaTheme="minorHAnsi"/>
        </w:rPr>
        <w:t xml:space="preserve">who receive Senior Companion services. By contrast the HRS </w:t>
      </w:r>
      <w:r w:rsidR="003C19F5">
        <w:rPr>
          <w:rFonts w:eastAsiaTheme="minorHAnsi"/>
        </w:rPr>
        <w:t xml:space="preserve">data </w:t>
      </w:r>
      <w:r w:rsidR="006C7C6B">
        <w:rPr>
          <w:rFonts w:eastAsiaTheme="minorHAnsi"/>
        </w:rPr>
        <w:t xml:space="preserve">is a national representative sample of </w:t>
      </w:r>
      <w:r w:rsidR="00A13CDF">
        <w:rPr>
          <w:rFonts w:eastAsiaTheme="minorHAnsi"/>
        </w:rPr>
        <w:t xml:space="preserve">non-institutionalized </w:t>
      </w:r>
      <w:r w:rsidR="00CB38CE">
        <w:rPr>
          <w:rFonts w:eastAsiaTheme="minorHAnsi"/>
        </w:rPr>
        <w:t xml:space="preserve">adults </w:t>
      </w:r>
      <w:r w:rsidR="00DF2A0C">
        <w:rPr>
          <w:rFonts w:eastAsiaTheme="minorHAnsi"/>
        </w:rPr>
        <w:t xml:space="preserve">age </w:t>
      </w:r>
      <w:r w:rsidR="00A13CDF">
        <w:rPr>
          <w:rFonts w:eastAsiaTheme="minorHAnsi"/>
        </w:rPr>
        <w:t>50 and older</w:t>
      </w:r>
      <w:r w:rsidR="003C19F5">
        <w:rPr>
          <w:rFonts w:eastAsiaTheme="minorHAnsi"/>
        </w:rPr>
        <w:t>, and collects a diverse set of information</w:t>
      </w:r>
      <w:r w:rsidR="00A13CDF">
        <w:rPr>
          <w:rFonts w:eastAsiaTheme="minorHAnsi"/>
        </w:rPr>
        <w:t xml:space="preserve"> </w:t>
      </w:r>
      <w:r w:rsidR="003C19F5">
        <w:rPr>
          <w:rFonts w:eastAsiaTheme="minorHAnsi"/>
        </w:rPr>
        <w:t>on</w:t>
      </w:r>
      <w:r w:rsidR="00A13CDF">
        <w:rPr>
          <w:rFonts w:eastAsiaTheme="minorHAnsi"/>
        </w:rPr>
        <w:t xml:space="preserve"> health care, housing, assets, pensions, employment</w:t>
      </w:r>
      <w:r w:rsidR="00494D7A">
        <w:rPr>
          <w:rFonts w:eastAsiaTheme="minorHAnsi"/>
        </w:rPr>
        <w:t>,</w:t>
      </w:r>
      <w:r w:rsidR="00A13CDF">
        <w:rPr>
          <w:rFonts w:eastAsiaTheme="minorHAnsi"/>
        </w:rPr>
        <w:t xml:space="preserve"> and disability</w:t>
      </w:r>
      <w:r w:rsidR="003C19F5">
        <w:rPr>
          <w:rFonts w:eastAsiaTheme="minorHAnsi"/>
        </w:rPr>
        <w:t>, all which are intended to inform a broad discussion about retirement</w:t>
      </w:r>
      <w:r w:rsidR="00A13CDF">
        <w:rPr>
          <w:rFonts w:eastAsiaTheme="minorHAnsi"/>
        </w:rPr>
        <w:t xml:space="preserve">. </w:t>
      </w:r>
      <w:r w:rsidR="00541016">
        <w:rPr>
          <w:rFonts w:eastAsiaTheme="minorHAnsi"/>
        </w:rPr>
        <w:t xml:space="preserve">One of the objectives </w:t>
      </w:r>
      <w:r w:rsidR="00B67BA4">
        <w:rPr>
          <w:rFonts w:eastAsiaTheme="minorHAnsi"/>
        </w:rPr>
        <w:t xml:space="preserve">of the </w:t>
      </w:r>
      <w:r w:rsidR="00A13CDF">
        <w:rPr>
          <w:rFonts w:eastAsiaTheme="minorHAnsi"/>
        </w:rPr>
        <w:t xml:space="preserve">proposed data collection is to understand the impact of </w:t>
      </w:r>
      <w:r w:rsidR="00D7463B">
        <w:rPr>
          <w:rFonts w:eastAsiaTheme="minorHAnsi"/>
        </w:rPr>
        <w:t>CNCS-funded services</w:t>
      </w:r>
      <w:r w:rsidR="00A13CDF">
        <w:rPr>
          <w:rFonts w:eastAsiaTheme="minorHAnsi"/>
        </w:rPr>
        <w:t xml:space="preserve"> on the clients served by that program. The HRS </w:t>
      </w:r>
      <w:r w:rsidR="00FC29BC">
        <w:rPr>
          <w:rFonts w:eastAsiaTheme="minorHAnsi"/>
        </w:rPr>
        <w:t>does</w:t>
      </w:r>
      <w:r w:rsidR="00A13CDF">
        <w:rPr>
          <w:rFonts w:eastAsiaTheme="minorHAnsi"/>
        </w:rPr>
        <w:t xml:space="preserve"> not collect information about Senior Companion services from their </w:t>
      </w:r>
      <w:r w:rsidR="00FC29BC">
        <w:rPr>
          <w:rFonts w:eastAsiaTheme="minorHAnsi"/>
        </w:rPr>
        <w:t>respondents</w:t>
      </w:r>
      <w:r w:rsidR="00A13CDF">
        <w:rPr>
          <w:rFonts w:eastAsiaTheme="minorHAnsi"/>
        </w:rPr>
        <w:t xml:space="preserve">. Therefore, the HRS data are not appropriate for the purpose of </w:t>
      </w:r>
      <w:r w:rsidR="003C19F5">
        <w:rPr>
          <w:rFonts w:eastAsiaTheme="minorHAnsi"/>
        </w:rPr>
        <w:t>this</w:t>
      </w:r>
      <w:r w:rsidR="0073527B">
        <w:rPr>
          <w:rFonts w:eastAsiaTheme="minorHAnsi"/>
        </w:rPr>
        <w:t xml:space="preserve"> data collection</w:t>
      </w:r>
      <w:r w:rsidR="00A13CDF">
        <w:rPr>
          <w:rFonts w:eastAsiaTheme="minorHAnsi"/>
        </w:rPr>
        <w:t xml:space="preserve">. </w:t>
      </w:r>
      <w:r w:rsidR="000847F1">
        <w:rPr>
          <w:rFonts w:eastAsiaTheme="minorHAnsi"/>
        </w:rPr>
        <w:t>T</w:t>
      </w:r>
      <w:r w:rsidR="00A13CDF">
        <w:rPr>
          <w:rFonts w:eastAsiaTheme="minorHAnsi"/>
        </w:rPr>
        <w:t xml:space="preserve">he HRS data will be used to form a comparison group using propensity score matching methods </w:t>
      </w:r>
      <w:r w:rsidR="003C19F5">
        <w:rPr>
          <w:rFonts w:eastAsiaTheme="minorHAnsi"/>
        </w:rPr>
        <w:t xml:space="preserve">to compare to </w:t>
      </w:r>
      <w:r w:rsidR="00D7463B">
        <w:rPr>
          <w:rFonts w:eastAsiaTheme="minorHAnsi"/>
        </w:rPr>
        <w:t>SCP</w:t>
      </w:r>
      <w:r w:rsidR="003C19F5">
        <w:rPr>
          <w:rFonts w:eastAsiaTheme="minorHAnsi"/>
        </w:rPr>
        <w:t xml:space="preserve"> </w:t>
      </w:r>
      <w:r w:rsidR="00A13CDF">
        <w:rPr>
          <w:rFonts w:eastAsiaTheme="minorHAnsi"/>
        </w:rPr>
        <w:t xml:space="preserve">clients. </w:t>
      </w:r>
      <w:r>
        <w:rPr>
          <w:rFonts w:eastAsiaTheme="minorHAnsi"/>
        </w:rPr>
        <w:t xml:space="preserve">Also, this is CNCS’s first attempt to </w:t>
      </w:r>
      <w:r w:rsidR="00A13CDF">
        <w:rPr>
          <w:rFonts w:eastAsiaTheme="minorHAnsi"/>
        </w:rPr>
        <w:t>assess the impact of its services on elderly clients</w:t>
      </w:r>
      <w:r w:rsidR="00B67BA4">
        <w:rPr>
          <w:rFonts w:eastAsiaTheme="minorHAnsi"/>
        </w:rPr>
        <w:t xml:space="preserve"> using quasi-experimental methods</w:t>
      </w:r>
      <w:r w:rsidR="00A13CDF">
        <w:rPr>
          <w:rFonts w:eastAsiaTheme="minorHAnsi"/>
        </w:rPr>
        <w:t xml:space="preserve">. </w:t>
      </w:r>
      <w:r>
        <w:rPr>
          <w:rFonts w:eastAsiaTheme="minorHAnsi"/>
        </w:rPr>
        <w:t>Therefore, the information to be collected does not exist with another organization or with CNCS</w:t>
      </w:r>
      <w:r w:rsidR="005E2BDA">
        <w:rPr>
          <w:rFonts w:eastAsiaTheme="minorHAnsi"/>
        </w:rPr>
        <w:t xml:space="preserve">. </w:t>
      </w:r>
      <w:r w:rsidR="00FC29BC">
        <w:rPr>
          <w:rFonts w:eastAsiaTheme="minorHAnsi"/>
        </w:rPr>
        <w:t>Lists of SCP clients exist only at the grantee level.</w:t>
      </w:r>
    </w:p>
    <w:p w:rsidR="000847F1" w:rsidRDefault="000847F1" w:rsidP="0024076C">
      <w:pPr>
        <w:autoSpaceDE w:val="0"/>
        <w:autoSpaceDN w:val="0"/>
        <w:adjustRightInd w:val="0"/>
        <w:rPr>
          <w:rFonts w:eastAsiaTheme="minorHAnsi"/>
        </w:rPr>
      </w:pPr>
    </w:p>
    <w:p w:rsidR="00937E05" w:rsidRPr="00937E05"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lastRenderedPageBreak/>
        <w:t xml:space="preserve">Impacts on </w:t>
      </w:r>
      <w:r w:rsidR="00252E90">
        <w:rPr>
          <w:rFonts w:eastAsiaTheme="minorHAnsi"/>
        </w:rPr>
        <w:t>S</w:t>
      </w:r>
      <w:r w:rsidRPr="00937E05">
        <w:rPr>
          <w:rFonts w:eastAsiaTheme="minorHAnsi"/>
        </w:rPr>
        <w:t xml:space="preserve">mall </w:t>
      </w:r>
      <w:r w:rsidR="00252E90">
        <w:rPr>
          <w:rFonts w:eastAsiaTheme="minorHAnsi"/>
        </w:rPr>
        <w:t>B</w:t>
      </w:r>
      <w:r w:rsidRPr="00937E05">
        <w:rPr>
          <w:rFonts w:eastAsiaTheme="minorHAnsi"/>
        </w:rPr>
        <w:t>usinesses</w:t>
      </w:r>
    </w:p>
    <w:p w:rsidR="00F84F18" w:rsidRDefault="00F84F18" w:rsidP="00F84F18">
      <w:pPr>
        <w:autoSpaceDE w:val="0"/>
        <w:autoSpaceDN w:val="0"/>
        <w:adjustRightInd w:val="0"/>
        <w:rPr>
          <w:rFonts w:eastAsiaTheme="minorHAnsi"/>
        </w:rPr>
      </w:pPr>
    </w:p>
    <w:p w:rsidR="00503B53" w:rsidRDefault="000E7054" w:rsidP="000E7054">
      <w:pPr>
        <w:autoSpaceDE w:val="0"/>
        <w:autoSpaceDN w:val="0"/>
        <w:adjustRightInd w:val="0"/>
        <w:rPr>
          <w:rFonts w:eastAsiaTheme="minorHAnsi"/>
        </w:rPr>
      </w:pPr>
      <w:r>
        <w:rPr>
          <w:rFonts w:eastAsiaTheme="minorHAnsi"/>
        </w:rPr>
        <w:t xml:space="preserve">The proposed data collection will require input from </w:t>
      </w:r>
      <w:r w:rsidR="00801296">
        <w:rPr>
          <w:rFonts w:eastAsiaTheme="minorHAnsi"/>
        </w:rPr>
        <w:t>SCP</w:t>
      </w:r>
      <w:r w:rsidR="00725060">
        <w:rPr>
          <w:rFonts w:eastAsiaTheme="minorHAnsi"/>
        </w:rPr>
        <w:t xml:space="preserve"> grantees</w:t>
      </w:r>
      <w:r>
        <w:rPr>
          <w:rFonts w:eastAsiaTheme="minorHAnsi"/>
        </w:rPr>
        <w:t xml:space="preserve"> </w:t>
      </w:r>
      <w:r w:rsidR="00144012">
        <w:rPr>
          <w:rFonts w:eastAsiaTheme="minorHAnsi"/>
        </w:rPr>
        <w:t>that</w:t>
      </w:r>
      <w:r>
        <w:rPr>
          <w:rFonts w:eastAsiaTheme="minorHAnsi"/>
        </w:rPr>
        <w:t xml:space="preserve"> are often small, non-profit entities, but will n</w:t>
      </w:r>
      <w:r w:rsidR="00725060">
        <w:rPr>
          <w:rFonts w:eastAsiaTheme="minorHAnsi"/>
        </w:rPr>
        <w:t xml:space="preserve">ot impact small businesses. The grantees will be asked to share the list of clients served </w:t>
      </w:r>
      <w:r w:rsidR="001C4186">
        <w:rPr>
          <w:rFonts w:eastAsiaTheme="minorHAnsi"/>
        </w:rPr>
        <w:t>using</w:t>
      </w:r>
      <w:r w:rsidR="008C45BC">
        <w:rPr>
          <w:rFonts w:eastAsiaTheme="minorHAnsi"/>
        </w:rPr>
        <w:t xml:space="preserve"> CNCS funds </w:t>
      </w:r>
      <w:r w:rsidR="00725060">
        <w:rPr>
          <w:rFonts w:eastAsiaTheme="minorHAnsi"/>
        </w:rPr>
        <w:t xml:space="preserve">with JBS, the external evaluator. </w:t>
      </w:r>
      <w:r w:rsidR="000847F1">
        <w:rPr>
          <w:rFonts w:eastAsiaTheme="minorHAnsi"/>
        </w:rPr>
        <w:t>JBS will use t</w:t>
      </w:r>
      <w:r w:rsidR="008C45BC">
        <w:rPr>
          <w:rFonts w:eastAsiaTheme="minorHAnsi"/>
        </w:rPr>
        <w:t xml:space="preserve">he list of clients </w:t>
      </w:r>
      <w:r w:rsidR="000F19F2">
        <w:rPr>
          <w:rFonts w:eastAsiaTheme="minorHAnsi"/>
        </w:rPr>
        <w:t>to draw the sample.</w:t>
      </w:r>
    </w:p>
    <w:p w:rsidR="00F84F18" w:rsidRPr="00F84F18" w:rsidRDefault="00F84F18" w:rsidP="00F84F18">
      <w:pPr>
        <w:autoSpaceDE w:val="0"/>
        <w:autoSpaceDN w:val="0"/>
        <w:adjustRightInd w:val="0"/>
        <w:rPr>
          <w:rFonts w:eastAsiaTheme="minorHAnsi"/>
        </w:rPr>
      </w:pPr>
    </w:p>
    <w:p w:rsidR="00937E05" w:rsidRPr="00937E05"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t xml:space="preserve">Consequence to Federal </w:t>
      </w:r>
      <w:r w:rsidR="00252E90">
        <w:rPr>
          <w:rFonts w:eastAsiaTheme="minorHAnsi"/>
        </w:rPr>
        <w:t>P</w:t>
      </w:r>
      <w:r w:rsidRPr="00937E05">
        <w:rPr>
          <w:rFonts w:eastAsiaTheme="minorHAnsi"/>
        </w:rPr>
        <w:t xml:space="preserve">rogram or </w:t>
      </w:r>
      <w:r w:rsidR="00252E90">
        <w:rPr>
          <w:rFonts w:eastAsiaTheme="minorHAnsi"/>
        </w:rPr>
        <w:t>P</w:t>
      </w:r>
      <w:r w:rsidRPr="00937E05">
        <w:rPr>
          <w:rFonts w:eastAsiaTheme="minorHAnsi"/>
        </w:rPr>
        <w:t>olicy</w:t>
      </w:r>
    </w:p>
    <w:p w:rsidR="00F84F18" w:rsidRPr="00F84F18" w:rsidRDefault="00F84F18" w:rsidP="00F84F18">
      <w:pPr>
        <w:rPr>
          <w:rFonts w:eastAsiaTheme="minorHAnsi"/>
        </w:rPr>
      </w:pPr>
    </w:p>
    <w:p w:rsidR="001A2C0D" w:rsidRDefault="00AC2C94" w:rsidP="00F84F18">
      <w:r w:rsidRPr="00B703B3">
        <w:t>The Domestic Volunteer Service Act of 1973, as amended (Public Law 93-113), directs CNCS to assess the impact and</w:t>
      </w:r>
      <w:r w:rsidR="00B67BA4">
        <w:t xml:space="preserve"> effectiveness of Senior Corps P</w:t>
      </w:r>
      <w:r w:rsidRPr="00B703B3">
        <w:t>rograms at least once every three years. In addition, CNCS’</w:t>
      </w:r>
      <w:r w:rsidR="00BF1FFB">
        <w:t>s</w:t>
      </w:r>
      <w:r w:rsidRPr="00B703B3">
        <w:t xml:space="preserve"> 2011-2015 Strategic Plan outlines the agency’s commitment to building an evidence base that will allow for informed decision</w:t>
      </w:r>
      <w:r w:rsidR="00B67BA4">
        <w:t>s</w:t>
      </w:r>
      <w:r w:rsidRPr="00B703B3">
        <w:t xml:space="preserve"> and the allocation of resources. The proposed data collection is one of the acti</w:t>
      </w:r>
      <w:r w:rsidR="00B67BA4">
        <w:t xml:space="preserve">vities the agency is undertaking </w:t>
      </w:r>
      <w:r w:rsidRPr="00B703B3">
        <w:t xml:space="preserve">to build its capacity to contribute to this evidence base </w:t>
      </w:r>
      <w:r>
        <w:t xml:space="preserve">with data collected </w:t>
      </w:r>
      <w:r w:rsidRPr="00B703B3">
        <w:t>through uniform, outcome-based performance measures and studies with a comparison group.</w:t>
      </w:r>
      <w:r>
        <w:t xml:space="preserve"> </w:t>
      </w:r>
      <w:r w:rsidR="00725060">
        <w:t xml:space="preserve">The proposed data collection will provide information to CNCS </w:t>
      </w:r>
      <w:r w:rsidR="000C24D9">
        <w:t xml:space="preserve">on how to strengthen </w:t>
      </w:r>
      <w:r w:rsidR="000F19F2">
        <w:t xml:space="preserve">its </w:t>
      </w:r>
      <w:r w:rsidR="000C24D9">
        <w:t xml:space="preserve">national service </w:t>
      </w:r>
      <w:r w:rsidR="00BF1FFB">
        <w:t xml:space="preserve">programs </w:t>
      </w:r>
      <w:r w:rsidR="000C24D9">
        <w:t xml:space="preserve">so that </w:t>
      </w:r>
      <w:r w:rsidR="000F19F2">
        <w:t>clients</w:t>
      </w:r>
      <w:r w:rsidR="000C24D9">
        <w:t xml:space="preserve"> receiving CNCS-supported services </w:t>
      </w:r>
      <w:r w:rsidR="000F19F2">
        <w:t>achieve stronger</w:t>
      </w:r>
      <w:r w:rsidR="000C24D9">
        <w:t xml:space="preserve"> social ties and social support</w:t>
      </w:r>
      <w:r w:rsidR="001455D2">
        <w:t>, life satis</w:t>
      </w:r>
      <w:r w:rsidR="00DF2A0C">
        <w:t>faction, and s</w:t>
      </w:r>
      <w:r w:rsidR="001455D2">
        <w:t>elf-efficacy</w:t>
      </w:r>
      <w:r w:rsidR="000C24D9">
        <w:t xml:space="preserve">. The Senior Companion Program’s dual purpose is to engage individuals </w:t>
      </w:r>
      <w:r w:rsidR="001455D2">
        <w:t xml:space="preserve">age </w:t>
      </w:r>
      <w:r w:rsidR="000C24D9">
        <w:t>55 and older</w:t>
      </w:r>
      <w:r w:rsidR="003500AA">
        <w:t>, especially those with limited income</w:t>
      </w:r>
      <w:r w:rsidR="00BF1FFB">
        <w:t>,</w:t>
      </w:r>
      <w:r w:rsidR="003500AA">
        <w:t xml:space="preserve"> in volunteer service to meet community needs, and to provide </w:t>
      </w:r>
      <w:r w:rsidR="00B67BA4">
        <w:t xml:space="preserve">a </w:t>
      </w:r>
      <w:r w:rsidR="003500AA">
        <w:t>high quality experience. The program</w:t>
      </w:r>
      <w:r>
        <w:t>’s</w:t>
      </w:r>
      <w:r w:rsidR="003500AA">
        <w:t xml:space="preserve"> funds are u</w:t>
      </w:r>
      <w:r w:rsidR="00B67BA4">
        <w:t>sed to support Senior Companion</w:t>
      </w:r>
      <w:r w:rsidR="003500AA">
        <w:t xml:space="preserve"> </w:t>
      </w:r>
      <w:r>
        <w:t xml:space="preserve">volunteers </w:t>
      </w:r>
      <w:r w:rsidR="003500AA">
        <w:t xml:space="preserve">in providing supportive, individualized services to </w:t>
      </w:r>
      <w:r w:rsidR="000F19F2">
        <w:t>help</w:t>
      </w:r>
      <w:r w:rsidR="003500AA">
        <w:t xml:space="preserve"> adults with special needs maintain independence. The </w:t>
      </w:r>
      <w:r>
        <w:t>data collection</w:t>
      </w:r>
      <w:r w:rsidR="003500AA">
        <w:t xml:space="preserve"> will form the basis for improving and strengthening these services to </w:t>
      </w:r>
      <w:r w:rsidR="00801296">
        <w:t>SCP</w:t>
      </w:r>
      <w:r w:rsidR="003500AA">
        <w:t xml:space="preserve"> </w:t>
      </w:r>
      <w:r w:rsidR="000F19F2">
        <w:t>clients</w:t>
      </w:r>
      <w:r w:rsidR="003500AA">
        <w:t>.</w:t>
      </w:r>
    </w:p>
    <w:p w:rsidR="00725060" w:rsidRDefault="00725060" w:rsidP="00F84F18"/>
    <w:p w:rsidR="00600003" w:rsidRPr="00600003" w:rsidRDefault="004B20C9" w:rsidP="005232F8">
      <w:pPr>
        <w:pStyle w:val="ListParagraph"/>
        <w:numPr>
          <w:ilvl w:val="0"/>
          <w:numId w:val="1"/>
        </w:numPr>
        <w:autoSpaceDE w:val="0"/>
        <w:autoSpaceDN w:val="0"/>
        <w:adjustRightInd w:val="0"/>
        <w:rPr>
          <w:rFonts w:eastAsiaTheme="minorHAnsi"/>
        </w:rPr>
      </w:pPr>
      <w:r>
        <w:rPr>
          <w:rFonts w:eastAsiaTheme="minorHAnsi"/>
        </w:rPr>
        <w:t>Special Circumstances</w:t>
      </w:r>
    </w:p>
    <w:p w:rsidR="00600003" w:rsidRDefault="00600003" w:rsidP="00B67BA4">
      <w:pPr>
        <w:autoSpaceDE w:val="0"/>
        <w:autoSpaceDN w:val="0"/>
        <w:adjustRightInd w:val="0"/>
        <w:rPr>
          <w:rFonts w:eastAsiaTheme="minorHAnsi"/>
        </w:rPr>
      </w:pPr>
    </w:p>
    <w:p w:rsidR="002E5A3D" w:rsidRPr="002E5A3D" w:rsidRDefault="002E5A3D" w:rsidP="002E5A3D">
      <w:pPr>
        <w:autoSpaceDE w:val="0"/>
        <w:autoSpaceDN w:val="0"/>
        <w:adjustRightInd w:val="0"/>
        <w:rPr>
          <w:rFonts w:eastAsiaTheme="minorHAnsi"/>
        </w:rPr>
      </w:pPr>
      <w:r w:rsidRPr="002E5A3D">
        <w:rPr>
          <w:rFonts w:eastAsiaTheme="minorHAnsi"/>
        </w:rPr>
        <w:t>There are no special circumstances that would require the collection of information in any other ways specified.</w:t>
      </w:r>
    </w:p>
    <w:p w:rsidR="00412387" w:rsidRPr="00412387" w:rsidRDefault="00412387" w:rsidP="00412387">
      <w:pPr>
        <w:rPr>
          <w:rFonts w:eastAsiaTheme="minorHAnsi"/>
        </w:rPr>
      </w:pPr>
    </w:p>
    <w:p w:rsidR="005E2BDA" w:rsidRDefault="00D94D27" w:rsidP="00412387">
      <w:pPr>
        <w:pStyle w:val="ListParagraph"/>
        <w:numPr>
          <w:ilvl w:val="0"/>
          <w:numId w:val="1"/>
        </w:numPr>
        <w:autoSpaceDE w:val="0"/>
        <w:autoSpaceDN w:val="0"/>
        <w:adjustRightInd w:val="0"/>
        <w:rPr>
          <w:rFonts w:eastAsiaTheme="minorHAnsi"/>
        </w:rPr>
      </w:pPr>
      <w:r w:rsidRPr="00412387">
        <w:rPr>
          <w:rFonts w:eastAsiaTheme="minorHAnsi"/>
        </w:rPr>
        <w:t xml:space="preserve">Publication in the Federal Register </w:t>
      </w:r>
      <w:r w:rsidR="0057798B" w:rsidRPr="00412387">
        <w:rPr>
          <w:rFonts w:eastAsiaTheme="minorHAnsi"/>
        </w:rPr>
        <w:t>and Consultation with</w:t>
      </w:r>
      <w:r w:rsidR="00F80EB2" w:rsidRPr="00412387">
        <w:rPr>
          <w:rFonts w:eastAsiaTheme="minorHAnsi"/>
        </w:rPr>
        <w:t xml:space="preserve"> </w:t>
      </w:r>
      <w:r w:rsidR="008330A0">
        <w:rPr>
          <w:rFonts w:eastAsiaTheme="minorHAnsi"/>
        </w:rPr>
        <w:t>O</w:t>
      </w:r>
      <w:r w:rsidR="00F80EB2" w:rsidRPr="00412387">
        <w:rPr>
          <w:rFonts w:eastAsiaTheme="minorHAnsi"/>
        </w:rPr>
        <w:t xml:space="preserve">ther </w:t>
      </w:r>
      <w:r w:rsidR="008330A0">
        <w:rPr>
          <w:rFonts w:eastAsiaTheme="minorHAnsi"/>
        </w:rPr>
        <w:t>A</w:t>
      </w:r>
      <w:r w:rsidR="00F80EB2" w:rsidRPr="00412387">
        <w:rPr>
          <w:rFonts w:eastAsiaTheme="minorHAnsi"/>
        </w:rPr>
        <w:t>gency</w:t>
      </w:r>
    </w:p>
    <w:p w:rsidR="00412387" w:rsidRPr="00412387" w:rsidRDefault="00412387" w:rsidP="00412387">
      <w:pPr>
        <w:autoSpaceDE w:val="0"/>
        <w:autoSpaceDN w:val="0"/>
        <w:adjustRightInd w:val="0"/>
        <w:ind w:left="360"/>
        <w:rPr>
          <w:rFonts w:eastAsiaTheme="minorHAnsi"/>
        </w:rPr>
      </w:pPr>
    </w:p>
    <w:p w:rsidR="005E2BDA" w:rsidRDefault="00F80EB2" w:rsidP="00412387">
      <w:pPr>
        <w:pStyle w:val="ListParagraph"/>
        <w:numPr>
          <w:ilvl w:val="0"/>
          <w:numId w:val="3"/>
        </w:numPr>
        <w:ind w:left="180" w:hanging="180"/>
        <w:rPr>
          <w:rFonts w:eastAsiaTheme="minorHAnsi"/>
        </w:rPr>
      </w:pPr>
      <w:r w:rsidRPr="00F72F9C">
        <w:rPr>
          <w:rFonts w:eastAsiaTheme="minorHAnsi"/>
        </w:rPr>
        <w:t xml:space="preserve">An agency’s notice in the Federal Register was </w:t>
      </w:r>
      <w:r w:rsidR="00F50B6C" w:rsidRPr="00F72F9C">
        <w:rPr>
          <w:rFonts w:eastAsiaTheme="minorHAnsi"/>
        </w:rPr>
        <w:t>completed</w:t>
      </w:r>
      <w:r w:rsidR="00065491" w:rsidRPr="00412387">
        <w:rPr>
          <w:rFonts w:eastAsiaTheme="minorHAnsi"/>
        </w:rPr>
        <w:t>.</w:t>
      </w:r>
      <w:r w:rsidR="00F50B6C">
        <w:rPr>
          <w:rFonts w:eastAsiaTheme="minorHAnsi"/>
        </w:rPr>
        <w:t xml:space="preserve"> </w:t>
      </w:r>
      <w:r w:rsidR="00A72AE2">
        <w:rPr>
          <w:rFonts w:eastAsiaTheme="minorHAnsi"/>
        </w:rPr>
        <w:t xml:space="preserve">The 60-day Federal Notice was published </w:t>
      </w:r>
      <w:r w:rsidR="007D1DE2">
        <w:rPr>
          <w:rFonts w:eastAsiaTheme="minorHAnsi"/>
        </w:rPr>
        <w:t>on Tuesday, November 27, 2012 in the Federal Register, volume 77, number 228, pages 70739-70740.</w:t>
      </w:r>
    </w:p>
    <w:p w:rsidR="00503B53" w:rsidRDefault="00056763" w:rsidP="00056763">
      <w:pPr>
        <w:pStyle w:val="ListParagraph"/>
        <w:numPr>
          <w:ilvl w:val="0"/>
          <w:numId w:val="3"/>
        </w:numPr>
        <w:ind w:left="180" w:hanging="180"/>
      </w:pPr>
      <w:r w:rsidRPr="00056763">
        <w:rPr>
          <w:rFonts w:eastAsiaTheme="minorHAnsi"/>
        </w:rPr>
        <w:t>CNCS</w:t>
      </w:r>
      <w:r w:rsidR="008B407E">
        <w:t xml:space="preserve"> consulted with a select</w:t>
      </w:r>
      <w:r>
        <w:t xml:space="preserve"> group of </w:t>
      </w:r>
      <w:r w:rsidR="00332A44">
        <w:t xml:space="preserve">four </w:t>
      </w:r>
      <w:r w:rsidR="007D1DE2">
        <w:t xml:space="preserve">Technical Working Group (TWG) </w:t>
      </w:r>
      <w:r w:rsidR="008B407E">
        <w:t xml:space="preserve">members with expertise in </w:t>
      </w:r>
      <w:r w:rsidR="00801296">
        <w:t>p</w:t>
      </w:r>
      <w:r w:rsidR="008B407E">
        <w:t xml:space="preserve">sychometrics, experimental design, survey design, </w:t>
      </w:r>
      <w:r w:rsidR="00D54535">
        <w:t xml:space="preserve">and </w:t>
      </w:r>
      <w:r w:rsidR="008B407E">
        <w:t xml:space="preserve">analysis of clustered data. </w:t>
      </w:r>
      <w:r>
        <w:t>CNCS</w:t>
      </w:r>
      <w:r w:rsidR="008A5A17">
        <w:t xml:space="preserve"> and its contractor </w:t>
      </w:r>
      <w:r w:rsidR="00F635D6">
        <w:t>JBS had</w:t>
      </w:r>
      <w:r>
        <w:t xml:space="preserve"> extensive discussions with the </w:t>
      </w:r>
      <w:r w:rsidR="007D1DE2">
        <w:t>TWG</w:t>
      </w:r>
      <w:r w:rsidR="00471FCA">
        <w:t xml:space="preserve"> </w:t>
      </w:r>
      <w:r>
        <w:t xml:space="preserve">members </w:t>
      </w:r>
      <w:r w:rsidR="007D1DE2">
        <w:t xml:space="preserve">to </w:t>
      </w:r>
      <w:r w:rsidR="00A50AC0">
        <w:t xml:space="preserve">review </w:t>
      </w:r>
      <w:r w:rsidR="007D1DE2">
        <w:t>and revise</w:t>
      </w:r>
      <w:r>
        <w:t xml:space="preserve"> </w:t>
      </w:r>
      <w:r w:rsidR="00471FCA">
        <w:t xml:space="preserve">the </w:t>
      </w:r>
      <w:r w:rsidR="00A50AC0">
        <w:t>instrument previously submitted with the 60-day Federal Notice</w:t>
      </w:r>
      <w:r>
        <w:t xml:space="preserve">. </w:t>
      </w:r>
      <w:r w:rsidR="00332A44">
        <w:t>T</w:t>
      </w:r>
      <w:r w:rsidR="00FF26B3">
        <w:t xml:space="preserve">he </w:t>
      </w:r>
      <w:r w:rsidR="00635CA3">
        <w:t xml:space="preserve">purpose of the discussions was to ascertain whether </w:t>
      </w:r>
      <w:r w:rsidR="00FF26B3">
        <w:t xml:space="preserve">the survey items </w:t>
      </w:r>
      <w:r w:rsidR="00B94299">
        <w:t xml:space="preserve">would be able </w:t>
      </w:r>
      <w:r w:rsidR="00FF26B3">
        <w:t xml:space="preserve">to identify a matched comparison group from the </w:t>
      </w:r>
      <w:r w:rsidR="00FF26B3" w:rsidRPr="00D945D9">
        <w:t>H</w:t>
      </w:r>
      <w:r w:rsidR="00FF26B3">
        <w:t xml:space="preserve">ealth and </w:t>
      </w:r>
      <w:r w:rsidR="00FF26B3" w:rsidRPr="00D945D9">
        <w:t>R</w:t>
      </w:r>
      <w:r w:rsidR="00FF26B3">
        <w:t xml:space="preserve">etirement </w:t>
      </w:r>
      <w:r w:rsidR="00FF26B3" w:rsidRPr="00D945D9">
        <w:t>S</w:t>
      </w:r>
      <w:r w:rsidR="00FF26B3">
        <w:t xml:space="preserve">tudy (HRS) </w:t>
      </w:r>
      <w:r w:rsidR="00B94299">
        <w:t xml:space="preserve">that is </w:t>
      </w:r>
      <w:r w:rsidR="00FF26B3" w:rsidRPr="00D945D9">
        <w:t xml:space="preserve">similar </w:t>
      </w:r>
      <w:r w:rsidR="00B94299">
        <w:t xml:space="preserve">in characteristics </w:t>
      </w:r>
      <w:r w:rsidR="00FF26B3" w:rsidRPr="00D945D9">
        <w:t>to the SCP clients</w:t>
      </w:r>
      <w:r w:rsidR="00FF26B3">
        <w:t>,</w:t>
      </w:r>
      <w:r w:rsidR="00FF26B3" w:rsidRPr="00D945D9">
        <w:t xml:space="preserve"> and </w:t>
      </w:r>
      <w:r w:rsidR="00B94299">
        <w:t xml:space="preserve">to </w:t>
      </w:r>
      <w:r w:rsidR="00FF26B3">
        <w:t xml:space="preserve">determine the set of items </w:t>
      </w:r>
      <w:r w:rsidR="005E20A7">
        <w:t>required</w:t>
      </w:r>
      <w:r w:rsidR="00FF26B3">
        <w:t xml:space="preserve"> </w:t>
      </w:r>
      <w:r w:rsidR="00FF26B3" w:rsidRPr="00D945D9">
        <w:t xml:space="preserve">to reliably measure the key outcomes. </w:t>
      </w:r>
      <w:r w:rsidR="00332A44">
        <w:t xml:space="preserve">Based on this discussion and the TWG’s feedback </w:t>
      </w:r>
      <w:r w:rsidR="00541016">
        <w:t xml:space="preserve">on </w:t>
      </w:r>
      <w:r w:rsidR="00332A44">
        <w:t xml:space="preserve">the instrument was revised to include </w:t>
      </w:r>
      <w:r w:rsidR="00B94299">
        <w:t>additional questions</w:t>
      </w:r>
      <w:r w:rsidR="00332A44">
        <w:t xml:space="preserve"> </w:t>
      </w:r>
      <w:r w:rsidR="005E20A7">
        <w:t xml:space="preserve">which will permit JBS </w:t>
      </w:r>
      <w:r w:rsidR="00B94299">
        <w:t xml:space="preserve">to reliably and efficiently </w:t>
      </w:r>
      <w:r w:rsidR="00332A44">
        <w:t>form a matche</w:t>
      </w:r>
      <w:r w:rsidR="00B94299">
        <w:t>d comparison group with the HRS.</w:t>
      </w:r>
      <w:r w:rsidR="00332A44">
        <w:t xml:space="preserve"> </w:t>
      </w:r>
      <w:r w:rsidR="00B94299">
        <w:t>A</w:t>
      </w:r>
      <w:r w:rsidR="00332A44">
        <w:t xml:space="preserve">dditional </w:t>
      </w:r>
      <w:r w:rsidR="00B94299">
        <w:t xml:space="preserve">survey </w:t>
      </w:r>
      <w:r w:rsidR="00332A44">
        <w:t xml:space="preserve">items were added to </w:t>
      </w:r>
      <w:r w:rsidR="00B94299">
        <w:t>improve the reliability of the key outcome constructs</w:t>
      </w:r>
      <w:r w:rsidR="00332A44">
        <w:t>.</w:t>
      </w:r>
      <w:r w:rsidR="00541016">
        <w:t xml:space="preserve"> JBS consulted with TWG members on the most </w:t>
      </w:r>
      <w:r w:rsidR="00541016">
        <w:lastRenderedPageBreak/>
        <w:t xml:space="preserve">effective procedures to </w:t>
      </w:r>
      <w:r w:rsidR="00EF45A5">
        <w:t>determine when</w:t>
      </w:r>
      <w:r w:rsidR="00541016">
        <w:t xml:space="preserve"> respondents with cognitive impairment </w:t>
      </w:r>
      <w:r w:rsidR="00EF45A5">
        <w:t xml:space="preserve">would be unable to complete a </w:t>
      </w:r>
      <w:r w:rsidR="00541016">
        <w:t>telephone survey</w:t>
      </w:r>
      <w:r w:rsidR="00EF45A5">
        <w:t xml:space="preserve"> on their own</w:t>
      </w:r>
      <w:r w:rsidR="00541016">
        <w:t>.</w:t>
      </w:r>
    </w:p>
    <w:p w:rsidR="005E2BDA" w:rsidRDefault="005E2BDA" w:rsidP="00056763">
      <w:pPr>
        <w:ind w:left="180"/>
      </w:pPr>
    </w:p>
    <w:p w:rsidR="00F80EB2" w:rsidRDefault="00F80EB2" w:rsidP="005232F8">
      <w:pPr>
        <w:pStyle w:val="ListParagraph"/>
        <w:numPr>
          <w:ilvl w:val="0"/>
          <w:numId w:val="1"/>
        </w:numPr>
        <w:autoSpaceDE w:val="0"/>
        <w:autoSpaceDN w:val="0"/>
        <w:adjustRightInd w:val="0"/>
      </w:pPr>
      <w:r>
        <w:t xml:space="preserve">Gifts or </w:t>
      </w:r>
      <w:r w:rsidRPr="005232F8">
        <w:rPr>
          <w:rFonts w:eastAsiaTheme="minorHAnsi"/>
        </w:rPr>
        <w:t>Payments</w:t>
      </w:r>
    </w:p>
    <w:p w:rsidR="00F80EB2" w:rsidRDefault="00F80EB2" w:rsidP="001A2C0D"/>
    <w:p w:rsidR="00F80EB2" w:rsidRDefault="00F80EB2" w:rsidP="001A2C0D">
      <w:r>
        <w:t>Respondents will not receive any incentive for participating in the study.</w:t>
      </w:r>
    </w:p>
    <w:p w:rsidR="00541016" w:rsidRDefault="00541016" w:rsidP="001A2C0D"/>
    <w:p w:rsidR="00F80EB2" w:rsidRDefault="00F80EB2" w:rsidP="005232F8">
      <w:pPr>
        <w:pStyle w:val="ListParagraph"/>
        <w:numPr>
          <w:ilvl w:val="0"/>
          <w:numId w:val="1"/>
        </w:numPr>
        <w:autoSpaceDE w:val="0"/>
        <w:autoSpaceDN w:val="0"/>
        <w:adjustRightInd w:val="0"/>
      </w:pPr>
      <w:r>
        <w:t>Assurance of Confidentiality</w:t>
      </w:r>
    </w:p>
    <w:p w:rsidR="00F80EB2" w:rsidRDefault="00F80EB2" w:rsidP="001A2C0D"/>
    <w:p w:rsidR="005E2BDA" w:rsidRDefault="007D1DE2" w:rsidP="001A2C0D">
      <w:pPr>
        <w:rPr>
          <w:bCs/>
        </w:rPr>
      </w:pPr>
      <w:r w:rsidRPr="004A7A20">
        <w:t xml:space="preserve">Upon contacting respondents, </w:t>
      </w:r>
      <w:r w:rsidR="00B4035E" w:rsidRPr="004A7A20">
        <w:t xml:space="preserve">trained interviewers </w:t>
      </w:r>
      <w:r w:rsidR="00A22AC2" w:rsidRPr="004A7A20">
        <w:t xml:space="preserve">will </w:t>
      </w:r>
      <w:r w:rsidR="00B4035E" w:rsidRPr="004A7A20">
        <w:t xml:space="preserve">explain the study </w:t>
      </w:r>
      <w:r w:rsidR="00A22AC2" w:rsidRPr="004A7A20">
        <w:t xml:space="preserve">and will provide information on </w:t>
      </w:r>
      <w:r w:rsidR="00B4035E" w:rsidRPr="004A7A20">
        <w:t xml:space="preserve">who is conducting the study and why the study is being conducted. Interviewers will describe the background, research activities, risks and benefits, and </w:t>
      </w:r>
      <w:r w:rsidR="00485CAE" w:rsidRPr="004A7A20">
        <w:t>provide assurance of</w:t>
      </w:r>
      <w:r w:rsidR="00B4035E" w:rsidRPr="004A7A20">
        <w:t xml:space="preserve"> confidentiality. Respondents will also receive information on whom to contact if they have questions. Respondents will be informed of the voluntary nature of the research and their right to end participation at any time. </w:t>
      </w:r>
      <w:r w:rsidR="005E20A7">
        <w:t>Respondents will be informed that their</w:t>
      </w:r>
      <w:r w:rsidR="003F4BFA" w:rsidRPr="004A7A20">
        <w:rPr>
          <w:bCs/>
        </w:rPr>
        <w:t xml:space="preserve"> responses will be </w:t>
      </w:r>
      <w:r w:rsidR="00B4035E" w:rsidRPr="004A7A20">
        <w:rPr>
          <w:bCs/>
        </w:rPr>
        <w:t>anonymous.</w:t>
      </w:r>
      <w:r w:rsidR="005E20A7">
        <w:rPr>
          <w:bCs/>
        </w:rPr>
        <w:t xml:space="preserve"> A proxy reporter</w:t>
      </w:r>
      <w:r w:rsidR="00E86ECF">
        <w:rPr>
          <w:bCs/>
        </w:rPr>
        <w:t xml:space="preserve"> will be used with the </w:t>
      </w:r>
      <w:r w:rsidR="005E20A7">
        <w:rPr>
          <w:bCs/>
        </w:rPr>
        <w:t>client’s</w:t>
      </w:r>
      <w:r w:rsidR="00E86ECF">
        <w:rPr>
          <w:bCs/>
        </w:rPr>
        <w:t xml:space="preserve"> consent in cases where it is determined that the </w:t>
      </w:r>
      <w:r w:rsidR="005E20A7">
        <w:rPr>
          <w:bCs/>
        </w:rPr>
        <w:t>client</w:t>
      </w:r>
      <w:r w:rsidR="00E86ECF">
        <w:rPr>
          <w:bCs/>
        </w:rPr>
        <w:t xml:space="preserve"> will not be able to do the interview. </w:t>
      </w:r>
      <w:r w:rsidR="00C675F9">
        <w:rPr>
          <w:bCs/>
        </w:rPr>
        <w:t xml:space="preserve">In situations where </w:t>
      </w:r>
      <w:r w:rsidR="005E20A7">
        <w:rPr>
          <w:bCs/>
        </w:rPr>
        <w:t xml:space="preserve">a </w:t>
      </w:r>
      <w:r w:rsidR="00C675F9">
        <w:rPr>
          <w:bCs/>
        </w:rPr>
        <w:t xml:space="preserve">proxy reporter is used, the proxy’s agreement will be obtained to conduct the interview on behalf of the </w:t>
      </w:r>
      <w:r w:rsidR="005E20A7">
        <w:rPr>
          <w:bCs/>
        </w:rPr>
        <w:t>client</w:t>
      </w:r>
      <w:r w:rsidR="00C675F9">
        <w:rPr>
          <w:bCs/>
        </w:rPr>
        <w:t>. Proxies will be informed of the voluntary nature of the survey and their right to terminate participation at any time. Proxies will be informed that responses will be anonymous.</w:t>
      </w:r>
    </w:p>
    <w:p w:rsidR="00342107" w:rsidRDefault="00342107" w:rsidP="001A2C0D">
      <w:pPr>
        <w:rPr>
          <w:bCs/>
        </w:rPr>
      </w:pPr>
    </w:p>
    <w:p w:rsidR="00342107" w:rsidRPr="004A7A20" w:rsidRDefault="00EF45A5" w:rsidP="001A2C0D">
      <w:pPr>
        <w:rPr>
          <w:bCs/>
        </w:rPr>
      </w:pPr>
      <w:r>
        <w:rPr>
          <w:bCs/>
        </w:rPr>
        <w:t>JBS</w:t>
      </w:r>
      <w:r w:rsidR="00342107">
        <w:rPr>
          <w:bCs/>
        </w:rPr>
        <w:t xml:space="preserve"> anticipate</w:t>
      </w:r>
      <w:r>
        <w:rPr>
          <w:bCs/>
        </w:rPr>
        <w:t>s encountering</w:t>
      </w:r>
      <w:r w:rsidR="00342107">
        <w:rPr>
          <w:bCs/>
        </w:rPr>
        <w:t xml:space="preserve"> situations involving respondents </w:t>
      </w:r>
      <w:r>
        <w:rPr>
          <w:bCs/>
        </w:rPr>
        <w:t xml:space="preserve">who may need a proxy due to </w:t>
      </w:r>
      <w:r w:rsidR="00342107">
        <w:rPr>
          <w:bCs/>
        </w:rPr>
        <w:t xml:space="preserve">cognitive </w:t>
      </w:r>
      <w:r w:rsidR="00B71DC7">
        <w:rPr>
          <w:bCs/>
        </w:rPr>
        <w:t>or physical impairment</w:t>
      </w:r>
      <w:r w:rsidR="00342107">
        <w:rPr>
          <w:bCs/>
        </w:rPr>
        <w:t xml:space="preserve">. In cases where the respondent has a physical impairment, such as for example </w:t>
      </w:r>
      <w:r w:rsidR="0065359F">
        <w:rPr>
          <w:bCs/>
        </w:rPr>
        <w:t>hearing or spee</w:t>
      </w:r>
      <w:r w:rsidR="00342107">
        <w:rPr>
          <w:bCs/>
        </w:rPr>
        <w:t xml:space="preserve">ch impairment, </w:t>
      </w:r>
      <w:r>
        <w:rPr>
          <w:bCs/>
        </w:rPr>
        <w:t>JBS</w:t>
      </w:r>
      <w:r w:rsidR="00342107">
        <w:rPr>
          <w:bCs/>
        </w:rPr>
        <w:t xml:space="preserve"> will obtain the respondent</w:t>
      </w:r>
      <w:r w:rsidR="0065359F">
        <w:rPr>
          <w:bCs/>
        </w:rPr>
        <w:t>’s</w:t>
      </w:r>
      <w:r w:rsidR="00342107">
        <w:rPr>
          <w:bCs/>
        </w:rPr>
        <w:t xml:space="preserve"> permission to select </w:t>
      </w:r>
      <w:r w:rsidR="0065359F">
        <w:rPr>
          <w:bCs/>
        </w:rPr>
        <w:t xml:space="preserve">an individual who will assist </w:t>
      </w:r>
      <w:r w:rsidR="008342E2">
        <w:rPr>
          <w:bCs/>
        </w:rPr>
        <w:t xml:space="preserve">the respondent in </w:t>
      </w:r>
      <w:r w:rsidR="00342107">
        <w:rPr>
          <w:bCs/>
        </w:rPr>
        <w:t xml:space="preserve">providing responses to the questions. In cases where the respondent has a cognitive impairment, </w:t>
      </w:r>
      <w:r w:rsidR="00B71DC7">
        <w:rPr>
          <w:bCs/>
        </w:rPr>
        <w:t>a</w:t>
      </w:r>
      <w:r w:rsidR="00342107">
        <w:rPr>
          <w:bCs/>
        </w:rPr>
        <w:t xml:space="preserve"> proxy reporter will be asked </w:t>
      </w:r>
      <w:r w:rsidR="00B71DC7">
        <w:rPr>
          <w:bCs/>
        </w:rPr>
        <w:t xml:space="preserve">about the respondent’s </w:t>
      </w:r>
      <w:r w:rsidR="00F8474D">
        <w:rPr>
          <w:bCs/>
        </w:rPr>
        <w:t xml:space="preserve">demographics and health characteristics </w:t>
      </w:r>
      <w:r w:rsidR="0065359F">
        <w:rPr>
          <w:bCs/>
        </w:rPr>
        <w:t xml:space="preserve">to </w:t>
      </w:r>
      <w:r w:rsidR="00B71DC7">
        <w:rPr>
          <w:bCs/>
        </w:rPr>
        <w:t>obtain</w:t>
      </w:r>
      <w:r w:rsidR="0065359F">
        <w:rPr>
          <w:bCs/>
        </w:rPr>
        <w:t xml:space="preserve"> data on non-response</w:t>
      </w:r>
      <w:r w:rsidR="00363947">
        <w:rPr>
          <w:bCs/>
        </w:rPr>
        <w:t>.</w:t>
      </w:r>
      <w:r>
        <w:rPr>
          <w:bCs/>
        </w:rPr>
        <w:t xml:space="preserve"> The organization of the survey instrument</w:t>
      </w:r>
      <w:r w:rsidR="008342E2">
        <w:rPr>
          <w:bCs/>
        </w:rPr>
        <w:t xml:space="preserve"> is discussed in greater detail</w:t>
      </w:r>
      <w:r>
        <w:rPr>
          <w:bCs/>
        </w:rPr>
        <w:t xml:space="preserve"> to accommodate each of the</w:t>
      </w:r>
      <w:r w:rsidR="00D70A89">
        <w:rPr>
          <w:bCs/>
        </w:rPr>
        <w:t>se</w:t>
      </w:r>
      <w:r>
        <w:rPr>
          <w:bCs/>
        </w:rPr>
        <w:t xml:space="preserve"> situations under the Dissemination of Information section starting on page 6.</w:t>
      </w:r>
    </w:p>
    <w:p w:rsidR="00FE6721" w:rsidRPr="004A7A20" w:rsidRDefault="00FE6721" w:rsidP="001A2C0D"/>
    <w:p w:rsidR="00454DC1" w:rsidRDefault="00454DC1" w:rsidP="005232F8">
      <w:pPr>
        <w:pStyle w:val="ListParagraph"/>
        <w:numPr>
          <w:ilvl w:val="0"/>
          <w:numId w:val="1"/>
        </w:numPr>
        <w:autoSpaceDE w:val="0"/>
        <w:autoSpaceDN w:val="0"/>
        <w:adjustRightInd w:val="0"/>
      </w:pPr>
      <w:r>
        <w:t>Questions of Sensitive Nature</w:t>
      </w:r>
    </w:p>
    <w:p w:rsidR="00454DC1" w:rsidRDefault="00454DC1" w:rsidP="001A2C0D"/>
    <w:p w:rsidR="005E2BDA" w:rsidRDefault="00ED5933" w:rsidP="001A2C0D">
      <w:r>
        <w:t>The survey instruments do not include any questions of a sensitive nature.</w:t>
      </w:r>
      <w:r w:rsidR="00C675F9">
        <w:t xml:space="preserve"> However, some respondents may </w:t>
      </w:r>
      <w:r w:rsidR="00B062B9">
        <w:t xml:space="preserve">feel that questions on income might be personal in nature. </w:t>
      </w:r>
      <w:r w:rsidR="007123F5">
        <w:t>During the consent process, r</w:t>
      </w:r>
      <w:r w:rsidR="005403A6">
        <w:t xml:space="preserve">espondents </w:t>
      </w:r>
      <w:r w:rsidR="007123F5">
        <w:t xml:space="preserve">will be informed of their right </w:t>
      </w:r>
      <w:r w:rsidR="005403A6">
        <w:t>not to respond to any of the survey questions.</w:t>
      </w:r>
    </w:p>
    <w:p w:rsidR="00471FCA" w:rsidRPr="00ED5933" w:rsidRDefault="00471FCA" w:rsidP="001A2C0D"/>
    <w:p w:rsidR="005E2BDA" w:rsidRDefault="00ED5933" w:rsidP="005232F8">
      <w:pPr>
        <w:pStyle w:val="ListParagraph"/>
        <w:numPr>
          <w:ilvl w:val="0"/>
          <w:numId w:val="1"/>
        </w:numPr>
        <w:autoSpaceDE w:val="0"/>
        <w:autoSpaceDN w:val="0"/>
        <w:adjustRightInd w:val="0"/>
        <w:rPr>
          <w:rFonts w:eastAsiaTheme="minorHAnsi"/>
        </w:rPr>
      </w:pPr>
      <w:r w:rsidRPr="00ED5933">
        <w:rPr>
          <w:rFonts w:eastAsiaTheme="minorHAnsi"/>
        </w:rPr>
        <w:t>Burden Hours</w:t>
      </w:r>
    </w:p>
    <w:p w:rsidR="00ED5933" w:rsidRDefault="00ED5933" w:rsidP="00ED5933">
      <w:pPr>
        <w:autoSpaceDE w:val="0"/>
        <w:autoSpaceDN w:val="0"/>
        <w:adjustRightInd w:val="0"/>
        <w:ind w:left="360"/>
        <w:rPr>
          <w:rFonts w:eastAsiaTheme="minorHAnsi"/>
        </w:rPr>
      </w:pPr>
    </w:p>
    <w:p w:rsidR="005F4EC4" w:rsidRDefault="00801296" w:rsidP="005F4EC4">
      <w:r>
        <w:t xml:space="preserve">The burden hours for each </w:t>
      </w:r>
      <w:r w:rsidR="00EE70C3">
        <w:t>category</w:t>
      </w:r>
      <w:r>
        <w:t xml:space="preserve"> of </w:t>
      </w:r>
      <w:r w:rsidR="000A3AA7">
        <w:t>respondents</w:t>
      </w:r>
      <w:r w:rsidR="005F4EC4">
        <w:t xml:space="preserve"> subject to this clearance a</w:t>
      </w:r>
      <w:r>
        <w:t>re described in the table below.</w:t>
      </w:r>
    </w:p>
    <w:p w:rsidR="005F4EC4" w:rsidRDefault="005F4EC4" w:rsidP="00ED5933">
      <w:pPr>
        <w:autoSpaceDE w:val="0"/>
        <w:autoSpaceDN w:val="0"/>
        <w:adjustRightInd w:val="0"/>
        <w:ind w:left="360"/>
        <w:rPr>
          <w:rFonts w:eastAsiaTheme="minorHAnsi"/>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530"/>
        <w:gridCol w:w="1620"/>
        <w:gridCol w:w="1003"/>
        <w:gridCol w:w="1003"/>
      </w:tblGrid>
      <w:tr w:rsidR="00070933" w:rsidTr="00801296">
        <w:trPr>
          <w:trHeight w:val="274"/>
        </w:trPr>
        <w:tc>
          <w:tcPr>
            <w:tcW w:w="4518" w:type="dxa"/>
          </w:tcPr>
          <w:p w:rsidR="00070933" w:rsidRPr="0001027E" w:rsidRDefault="00C8447F" w:rsidP="00ED5933">
            <w:pPr>
              <w:rPr>
                <w:b/>
              </w:rPr>
            </w:pPr>
            <w:r>
              <w:rPr>
                <w:b/>
              </w:rPr>
              <w:t>Category of Respondent</w:t>
            </w:r>
          </w:p>
        </w:tc>
        <w:tc>
          <w:tcPr>
            <w:tcW w:w="1530" w:type="dxa"/>
          </w:tcPr>
          <w:p w:rsidR="00070933" w:rsidRPr="0001027E" w:rsidRDefault="00070933" w:rsidP="00080042">
            <w:pPr>
              <w:jc w:val="center"/>
              <w:rPr>
                <w:b/>
              </w:rPr>
            </w:pPr>
            <w:r w:rsidRPr="0001027E">
              <w:rPr>
                <w:b/>
              </w:rPr>
              <w:t>No. of Respondents</w:t>
            </w:r>
          </w:p>
        </w:tc>
        <w:tc>
          <w:tcPr>
            <w:tcW w:w="1620" w:type="dxa"/>
          </w:tcPr>
          <w:p w:rsidR="00070933" w:rsidRPr="0001027E" w:rsidRDefault="00070933" w:rsidP="00080042">
            <w:pPr>
              <w:jc w:val="center"/>
              <w:rPr>
                <w:b/>
              </w:rPr>
            </w:pPr>
            <w:r w:rsidRPr="0001027E">
              <w:rPr>
                <w:b/>
              </w:rPr>
              <w:t>Participation Time</w:t>
            </w:r>
            <w:r>
              <w:rPr>
                <w:b/>
              </w:rPr>
              <w:t xml:space="preserve"> (Minutes) per Respondent</w:t>
            </w:r>
          </w:p>
        </w:tc>
        <w:tc>
          <w:tcPr>
            <w:tcW w:w="1003" w:type="dxa"/>
          </w:tcPr>
          <w:p w:rsidR="00070933" w:rsidRPr="0001027E" w:rsidRDefault="00070933" w:rsidP="00080042">
            <w:pPr>
              <w:jc w:val="center"/>
              <w:rPr>
                <w:b/>
              </w:rPr>
            </w:pPr>
            <w:r w:rsidRPr="0001027E">
              <w:rPr>
                <w:b/>
              </w:rPr>
              <w:t>Burden</w:t>
            </w:r>
            <w:r>
              <w:rPr>
                <w:b/>
              </w:rPr>
              <w:t xml:space="preserve"> Hours per Respondent</w:t>
            </w:r>
          </w:p>
        </w:tc>
        <w:tc>
          <w:tcPr>
            <w:tcW w:w="1003" w:type="dxa"/>
          </w:tcPr>
          <w:p w:rsidR="00070933" w:rsidRPr="0001027E" w:rsidRDefault="00070933" w:rsidP="00080042">
            <w:pPr>
              <w:jc w:val="center"/>
              <w:rPr>
                <w:b/>
              </w:rPr>
            </w:pPr>
            <w:r w:rsidRPr="0001027E">
              <w:rPr>
                <w:b/>
              </w:rPr>
              <w:t>Burden</w:t>
            </w:r>
            <w:r>
              <w:rPr>
                <w:b/>
              </w:rPr>
              <w:t xml:space="preserve"> Hours All Respondents</w:t>
            </w:r>
          </w:p>
        </w:tc>
      </w:tr>
      <w:tr w:rsidR="00070933" w:rsidTr="00801296">
        <w:trPr>
          <w:trHeight w:val="274"/>
        </w:trPr>
        <w:tc>
          <w:tcPr>
            <w:tcW w:w="4518" w:type="dxa"/>
          </w:tcPr>
          <w:p w:rsidR="00070933" w:rsidRPr="00485CAE" w:rsidRDefault="008E54E3" w:rsidP="00801296">
            <w:r w:rsidRPr="00485CAE">
              <w:lastRenderedPageBreak/>
              <w:t xml:space="preserve">Main study of established </w:t>
            </w:r>
            <w:r w:rsidR="00801296">
              <w:t xml:space="preserve">SCP </w:t>
            </w:r>
            <w:r w:rsidRPr="00485CAE">
              <w:t xml:space="preserve">clients </w:t>
            </w:r>
          </w:p>
        </w:tc>
        <w:tc>
          <w:tcPr>
            <w:tcW w:w="1530" w:type="dxa"/>
          </w:tcPr>
          <w:p w:rsidR="00070933" w:rsidRDefault="00D70A89" w:rsidP="00080042">
            <w:pPr>
              <w:jc w:val="center"/>
            </w:pPr>
            <w:r>
              <w:t>1,980</w:t>
            </w:r>
          </w:p>
        </w:tc>
        <w:tc>
          <w:tcPr>
            <w:tcW w:w="1620" w:type="dxa"/>
            <w:shd w:val="clear" w:color="auto" w:fill="auto"/>
          </w:tcPr>
          <w:p w:rsidR="00070933" w:rsidRPr="008C6E66" w:rsidRDefault="00436F26" w:rsidP="00080042">
            <w:pPr>
              <w:jc w:val="center"/>
            </w:pPr>
            <w:r>
              <w:t>2</w:t>
            </w:r>
            <w:r w:rsidR="00866688">
              <w:t>0</w:t>
            </w:r>
          </w:p>
        </w:tc>
        <w:tc>
          <w:tcPr>
            <w:tcW w:w="1003" w:type="dxa"/>
            <w:shd w:val="clear" w:color="auto" w:fill="auto"/>
          </w:tcPr>
          <w:p w:rsidR="00070933" w:rsidRPr="008C6E66" w:rsidRDefault="00866688" w:rsidP="00080042">
            <w:pPr>
              <w:jc w:val="center"/>
            </w:pPr>
            <w:r>
              <w:t>0.</w:t>
            </w:r>
            <w:r w:rsidR="00436F26">
              <w:t>33</w:t>
            </w:r>
          </w:p>
        </w:tc>
        <w:tc>
          <w:tcPr>
            <w:tcW w:w="1003" w:type="dxa"/>
            <w:shd w:val="clear" w:color="auto" w:fill="auto"/>
          </w:tcPr>
          <w:p w:rsidR="00070933" w:rsidRPr="008C6E66" w:rsidRDefault="00D70A89" w:rsidP="00D70A89">
            <w:r>
              <w:t>653</w:t>
            </w:r>
          </w:p>
        </w:tc>
      </w:tr>
      <w:tr w:rsidR="00070933" w:rsidRPr="00693513" w:rsidTr="00801296">
        <w:trPr>
          <w:trHeight w:val="289"/>
        </w:trPr>
        <w:tc>
          <w:tcPr>
            <w:tcW w:w="4518" w:type="dxa"/>
          </w:tcPr>
          <w:p w:rsidR="00070933" w:rsidRDefault="00801296" w:rsidP="00EE70C3">
            <w:r>
              <w:t>Pilot pre/p</w:t>
            </w:r>
            <w:r w:rsidR="008E54E3">
              <w:t>ost</w:t>
            </w:r>
            <w:r w:rsidR="004476CA">
              <w:t>/post</w:t>
            </w:r>
            <w:r w:rsidR="008E54E3">
              <w:t xml:space="preserve"> </w:t>
            </w:r>
            <w:r w:rsidR="00EE70C3">
              <w:t>study</w:t>
            </w:r>
            <w:r>
              <w:t xml:space="preserve"> </w:t>
            </w:r>
            <w:r w:rsidR="008E54E3">
              <w:t xml:space="preserve">of </w:t>
            </w:r>
            <w:r>
              <w:t xml:space="preserve">new SCP </w:t>
            </w:r>
            <w:r w:rsidR="008E54E3">
              <w:t>clients</w:t>
            </w:r>
            <w:r w:rsidR="00CA0DDB">
              <w:rPr>
                <w:vertAlign w:val="superscript"/>
              </w:rPr>
              <w:t>*</w:t>
            </w:r>
            <w:r w:rsidR="008E54E3">
              <w:t xml:space="preserve"> </w:t>
            </w:r>
          </w:p>
        </w:tc>
        <w:tc>
          <w:tcPr>
            <w:tcW w:w="1530" w:type="dxa"/>
          </w:tcPr>
          <w:p w:rsidR="00070933" w:rsidRDefault="00CA3242" w:rsidP="00080042">
            <w:pPr>
              <w:jc w:val="center"/>
            </w:pPr>
            <w:r>
              <w:t>5</w:t>
            </w:r>
            <w:r w:rsidR="004476CA">
              <w:t>00</w:t>
            </w:r>
          </w:p>
        </w:tc>
        <w:tc>
          <w:tcPr>
            <w:tcW w:w="1620" w:type="dxa"/>
            <w:shd w:val="clear" w:color="auto" w:fill="auto"/>
          </w:tcPr>
          <w:p w:rsidR="00070933" w:rsidRPr="008C6E66" w:rsidRDefault="004476CA" w:rsidP="00080042">
            <w:pPr>
              <w:jc w:val="center"/>
            </w:pPr>
            <w:r>
              <w:t>60</w:t>
            </w:r>
          </w:p>
        </w:tc>
        <w:tc>
          <w:tcPr>
            <w:tcW w:w="1003" w:type="dxa"/>
            <w:shd w:val="clear" w:color="auto" w:fill="auto"/>
          </w:tcPr>
          <w:p w:rsidR="00070933" w:rsidRPr="008C6E66" w:rsidRDefault="004476CA" w:rsidP="004476CA">
            <w:pPr>
              <w:jc w:val="center"/>
            </w:pPr>
            <w:r>
              <w:t>1</w:t>
            </w:r>
          </w:p>
        </w:tc>
        <w:tc>
          <w:tcPr>
            <w:tcW w:w="1003" w:type="dxa"/>
            <w:shd w:val="clear" w:color="auto" w:fill="auto"/>
          </w:tcPr>
          <w:p w:rsidR="00070933" w:rsidRPr="008C6E66" w:rsidRDefault="00CA3242" w:rsidP="00080042">
            <w:pPr>
              <w:jc w:val="center"/>
            </w:pPr>
            <w:r>
              <w:t>5</w:t>
            </w:r>
            <w:r w:rsidR="004476CA">
              <w:t>00</w:t>
            </w:r>
          </w:p>
        </w:tc>
      </w:tr>
      <w:tr w:rsidR="004A7A20" w:rsidRPr="00693513" w:rsidTr="00801296">
        <w:trPr>
          <w:trHeight w:val="289"/>
        </w:trPr>
        <w:tc>
          <w:tcPr>
            <w:tcW w:w="4518" w:type="dxa"/>
          </w:tcPr>
          <w:p w:rsidR="004A7A20" w:rsidRDefault="004A7A20" w:rsidP="00436F26">
            <w:r>
              <w:t>SCP Project directors (</w:t>
            </w:r>
            <w:r w:rsidR="00436F26">
              <w:t>list of clients</w:t>
            </w:r>
            <w:r>
              <w:t>)</w:t>
            </w:r>
          </w:p>
        </w:tc>
        <w:tc>
          <w:tcPr>
            <w:tcW w:w="1530" w:type="dxa"/>
          </w:tcPr>
          <w:p w:rsidR="004A7A20" w:rsidRDefault="00EF45A5" w:rsidP="00080042">
            <w:pPr>
              <w:jc w:val="center"/>
            </w:pPr>
            <w:r>
              <w:t>50</w:t>
            </w:r>
          </w:p>
        </w:tc>
        <w:tc>
          <w:tcPr>
            <w:tcW w:w="1620" w:type="dxa"/>
            <w:shd w:val="clear" w:color="auto" w:fill="auto"/>
          </w:tcPr>
          <w:p w:rsidR="004A7A20" w:rsidRDefault="004A7A20" w:rsidP="00080042">
            <w:pPr>
              <w:jc w:val="center"/>
            </w:pPr>
            <w:r>
              <w:t>60</w:t>
            </w:r>
          </w:p>
        </w:tc>
        <w:tc>
          <w:tcPr>
            <w:tcW w:w="1003" w:type="dxa"/>
            <w:shd w:val="clear" w:color="auto" w:fill="auto"/>
          </w:tcPr>
          <w:p w:rsidR="004A7A20" w:rsidRDefault="009C50F1" w:rsidP="00080042">
            <w:pPr>
              <w:jc w:val="center"/>
            </w:pPr>
            <w:r>
              <w:t>1.00</w:t>
            </w:r>
          </w:p>
        </w:tc>
        <w:tc>
          <w:tcPr>
            <w:tcW w:w="1003" w:type="dxa"/>
            <w:shd w:val="clear" w:color="auto" w:fill="auto"/>
          </w:tcPr>
          <w:p w:rsidR="004A7A20" w:rsidRDefault="00F8474D" w:rsidP="00080042">
            <w:pPr>
              <w:jc w:val="center"/>
            </w:pPr>
            <w:r>
              <w:t>50</w:t>
            </w:r>
          </w:p>
        </w:tc>
      </w:tr>
    </w:tbl>
    <w:p w:rsidR="00ED5933" w:rsidRPr="00CA0DDB" w:rsidRDefault="00CA0DDB" w:rsidP="00CA0DDB">
      <w:pPr>
        <w:autoSpaceDE w:val="0"/>
        <w:autoSpaceDN w:val="0"/>
        <w:adjustRightInd w:val="0"/>
        <w:ind w:left="180" w:hanging="180"/>
        <w:rPr>
          <w:rFonts w:eastAsiaTheme="minorHAnsi"/>
        </w:rPr>
      </w:pPr>
      <w:r>
        <w:t xml:space="preserve">* </w:t>
      </w:r>
      <w:r w:rsidR="00801296">
        <w:t>Participation t</w:t>
      </w:r>
      <w:r w:rsidR="00EE70C3">
        <w:t xml:space="preserve">ime </w:t>
      </w:r>
      <w:r w:rsidR="007123F5">
        <w:t xml:space="preserve">for new SCP clients </w:t>
      </w:r>
      <w:r w:rsidR="00EE70C3">
        <w:t xml:space="preserve">reflects </w:t>
      </w:r>
      <w:r w:rsidR="00294F07">
        <w:t>2</w:t>
      </w:r>
      <w:r w:rsidR="00EE70C3">
        <w:t>0 minutes for pre-</w:t>
      </w:r>
      <w:r w:rsidR="00801296">
        <w:t xml:space="preserve">test and </w:t>
      </w:r>
      <w:r w:rsidR="00294F07">
        <w:t>2</w:t>
      </w:r>
      <w:r w:rsidR="00801296">
        <w:t xml:space="preserve">0 minutes for </w:t>
      </w:r>
      <w:r w:rsidR="004476CA">
        <w:t xml:space="preserve">each of two </w:t>
      </w:r>
      <w:r w:rsidR="00801296">
        <w:t>post-test</w:t>
      </w:r>
      <w:r w:rsidR="004476CA">
        <w:t>s</w:t>
      </w:r>
      <w:r w:rsidR="00801296">
        <w:t>.</w:t>
      </w:r>
    </w:p>
    <w:p w:rsidR="00801296" w:rsidRDefault="00801296" w:rsidP="00671A3B">
      <w:pPr>
        <w:rPr>
          <w:highlight w:val="yellow"/>
        </w:rPr>
      </w:pPr>
    </w:p>
    <w:p w:rsidR="00503B53" w:rsidRDefault="00935AEC" w:rsidP="00935AEC">
      <w:r>
        <w:t xml:space="preserve">JBS research staff conducted an internal pre-test of survey instrument with </w:t>
      </w:r>
      <w:r w:rsidR="00F8474D">
        <w:t xml:space="preserve">eight </w:t>
      </w:r>
      <w:r>
        <w:t>current SCP clients recommended by SCP Project Directors. The pre-test procedure included how long it took to complete the survey. The pre-test was then followed by a cognitive interview to review survey organization and content, and what problems were encountered. The cognitive interviews were essential to ensuring data quality, allow researchers to determine the extent to which respondents’ understandings of the questions match their intended meaning.</w:t>
      </w:r>
    </w:p>
    <w:p w:rsidR="00935AEC" w:rsidRDefault="00935AEC" w:rsidP="00935AEC"/>
    <w:p w:rsidR="00503B53" w:rsidRDefault="00935AEC" w:rsidP="00935AEC">
      <w:r>
        <w:t>Testers reported in general the instructions were easy to follow, and for the most part the questions were clear. Testers did identify instances of unclear wording and problems with response options for some questions. The instruments were revised to address the problems testers identified. Based on the internal testing we revise</w:t>
      </w:r>
      <w:r w:rsidR="001C4186">
        <w:t>d</w:t>
      </w:r>
      <w:r>
        <w:t xml:space="preserve"> some of the survey items to improve clarity.</w:t>
      </w:r>
    </w:p>
    <w:p w:rsidR="00935AEC" w:rsidRDefault="00935AEC" w:rsidP="00935AEC"/>
    <w:p w:rsidR="00935AEC" w:rsidRDefault="00935AEC" w:rsidP="00935AEC">
      <w:r>
        <w:t xml:space="preserve">The time to complete each instrument varied and depended on </w:t>
      </w:r>
      <w:r w:rsidR="001C4186">
        <w:t xml:space="preserve">the characteristics of those </w:t>
      </w:r>
      <w:r>
        <w:t>complet</w:t>
      </w:r>
      <w:r w:rsidR="001C4186">
        <w:t>ing the</w:t>
      </w:r>
      <w:r>
        <w:t xml:space="preserve"> instrument. </w:t>
      </w:r>
      <w:r w:rsidR="001C4186">
        <w:t xml:space="preserve">Based on the pretest results, it should take the average respondent </w:t>
      </w:r>
      <w:r>
        <w:t xml:space="preserve">20 minutes </w:t>
      </w:r>
      <w:r w:rsidR="001C4186">
        <w:t>to complete the survey</w:t>
      </w:r>
      <w:r>
        <w:t>.</w:t>
      </w:r>
    </w:p>
    <w:p w:rsidR="00F8474D" w:rsidRDefault="00F8474D" w:rsidP="00935AEC"/>
    <w:p w:rsidR="00F8474D" w:rsidRDefault="00B164DE" w:rsidP="00935AEC">
      <w:r>
        <w:t xml:space="preserve">Appendix A </w:t>
      </w:r>
      <w:r w:rsidR="00F8474D">
        <w:t xml:space="preserve">summarizes the process JBS used to conduct the pre-tests as well as </w:t>
      </w:r>
      <w:r>
        <w:t>the results of the pre-test pilot</w:t>
      </w:r>
      <w:r w:rsidR="00F8474D">
        <w:t>.</w:t>
      </w:r>
    </w:p>
    <w:p w:rsidR="00BE6603" w:rsidRDefault="00ED448B" w:rsidP="00AB4C1C">
      <w:pPr>
        <w:spacing w:before="100" w:beforeAutospacing="1" w:after="110"/>
        <w:outlineLvl w:val="1"/>
        <w:rPr>
          <w:rFonts w:eastAsiaTheme="minorHAnsi"/>
        </w:rPr>
      </w:pPr>
      <w:r w:rsidRPr="005F4EC4">
        <w:rPr>
          <w:rFonts w:eastAsiaTheme="minorHAnsi"/>
        </w:rPr>
        <w:t xml:space="preserve">The estimated annualized cost to respondents for </w:t>
      </w:r>
      <w:r w:rsidR="00697D2A">
        <w:rPr>
          <w:rFonts w:eastAsiaTheme="minorHAnsi"/>
        </w:rPr>
        <w:t>the hour burdens for collection</w:t>
      </w:r>
      <w:r w:rsidRPr="005F4EC4">
        <w:rPr>
          <w:rFonts w:eastAsiaTheme="minorHAnsi"/>
        </w:rPr>
        <w:t xml:space="preserve"> of </w:t>
      </w:r>
      <w:r w:rsidR="00697D2A">
        <w:rPr>
          <w:rFonts w:eastAsiaTheme="minorHAnsi"/>
        </w:rPr>
        <w:t xml:space="preserve">the </w:t>
      </w:r>
      <w:r w:rsidR="00AB4C1C">
        <w:rPr>
          <w:rFonts w:eastAsiaTheme="minorHAnsi"/>
        </w:rPr>
        <w:t>information is</w:t>
      </w:r>
      <w:r w:rsidR="00BE6603">
        <w:rPr>
          <w:rFonts w:eastAsiaTheme="minorHAnsi"/>
        </w:rPr>
        <w:t>:</w:t>
      </w:r>
    </w:p>
    <w:p w:rsidR="005E2BDA" w:rsidRPr="000E3593" w:rsidRDefault="00BE6603" w:rsidP="007123F5">
      <w:pPr>
        <w:pStyle w:val="ListParagraph"/>
        <w:numPr>
          <w:ilvl w:val="0"/>
          <w:numId w:val="3"/>
        </w:numPr>
        <w:ind w:left="180" w:hanging="180"/>
        <w:rPr>
          <w:rFonts w:eastAsiaTheme="minorHAnsi"/>
        </w:rPr>
      </w:pPr>
      <w:r w:rsidRPr="000E3593">
        <w:rPr>
          <w:rFonts w:eastAsiaTheme="minorHAnsi"/>
        </w:rPr>
        <w:t xml:space="preserve">Established </w:t>
      </w:r>
      <w:r w:rsidR="00B31132" w:rsidRPr="000E3593">
        <w:rPr>
          <w:rFonts w:eastAsiaTheme="minorHAnsi"/>
        </w:rPr>
        <w:t xml:space="preserve">and new </w:t>
      </w:r>
      <w:r w:rsidRPr="000E3593">
        <w:rPr>
          <w:rFonts w:eastAsiaTheme="minorHAnsi"/>
        </w:rPr>
        <w:t>clients who are elderly seniors:</w:t>
      </w:r>
      <w:r w:rsidR="00B31132" w:rsidRPr="000E3593">
        <w:rPr>
          <w:rFonts w:eastAsiaTheme="minorHAnsi"/>
        </w:rPr>
        <w:t xml:space="preserve"> </w:t>
      </w:r>
      <w:r w:rsidR="00724446" w:rsidRPr="000E3593">
        <w:rPr>
          <w:rFonts w:eastAsiaTheme="minorHAnsi"/>
        </w:rPr>
        <w:t>The estimated annualized cost for respondents is $</w:t>
      </w:r>
      <w:r w:rsidR="00D70A89">
        <w:rPr>
          <w:rFonts w:eastAsiaTheme="minorHAnsi"/>
        </w:rPr>
        <w:t>10,123</w:t>
      </w:r>
      <w:r w:rsidR="00724446" w:rsidRPr="000E3593">
        <w:rPr>
          <w:rFonts w:eastAsiaTheme="minorHAnsi"/>
        </w:rPr>
        <w:t xml:space="preserve"> which is based on an estimated hourly wage rate of $8.</w:t>
      </w:r>
      <w:r w:rsidR="000E3593" w:rsidRPr="000E3593">
        <w:rPr>
          <w:rFonts w:eastAsiaTheme="minorHAnsi"/>
        </w:rPr>
        <w:t xml:space="preserve">78 and total burden hours of </w:t>
      </w:r>
      <w:r w:rsidR="00D70A89">
        <w:rPr>
          <w:rFonts w:eastAsiaTheme="minorHAnsi"/>
        </w:rPr>
        <w:t>1,153</w:t>
      </w:r>
      <w:r w:rsidR="00724446" w:rsidRPr="000E3593">
        <w:rPr>
          <w:rFonts w:eastAsiaTheme="minorHAnsi"/>
        </w:rPr>
        <w:t>.</w:t>
      </w:r>
      <w:r w:rsidR="000E3593" w:rsidRPr="000E3593">
        <w:rPr>
          <w:rFonts w:eastAsiaTheme="minorHAnsi"/>
        </w:rPr>
        <w:t xml:space="preserve"> </w:t>
      </w:r>
      <w:r w:rsidR="001B6C23">
        <w:t>Hourly w</w:t>
      </w:r>
      <w:r w:rsidR="00801296" w:rsidRPr="00724446">
        <w:t>age estimates for elderly adults were based on average Social Security benefit for retired workers. The average monthly Social Security benefit for a retired worker was $1,230 at the beginning of 2012. The estimates were obtained from</w:t>
      </w:r>
      <w:r w:rsidR="00801296" w:rsidRPr="000E3593">
        <w:rPr>
          <w:rFonts w:ascii="Arial" w:hAnsi="Arial" w:cs="Arial"/>
        </w:rPr>
        <w:t xml:space="preserve"> </w:t>
      </w:r>
      <w:r w:rsidR="00801296" w:rsidRPr="000E3593">
        <w:rPr>
          <w:bCs/>
          <w:color w:val="25383C"/>
          <w:kern w:val="36"/>
        </w:rPr>
        <w:t xml:space="preserve">“Average monthly Social Security benefit for a retired worker”, accessed at </w:t>
      </w:r>
      <w:hyperlink r:id="rId9" w:history="1">
        <w:r w:rsidR="00FA3AE1" w:rsidRPr="000E3593">
          <w:rPr>
            <w:rStyle w:val="Hyperlink"/>
            <w:rFonts w:eastAsiaTheme="minorHAnsi"/>
            <w:color w:val="auto"/>
            <w:u w:val="none"/>
          </w:rPr>
          <w:t>http://ssa-custhelp.ssa.gov/app/answers/detail/a_id/13/~/average-monthly-social-security-benefit-for-a-retired-worker</w:t>
        </w:r>
      </w:hyperlink>
      <w:r w:rsidR="00801296" w:rsidRPr="000E3593">
        <w:rPr>
          <w:rFonts w:eastAsiaTheme="minorHAnsi"/>
        </w:rPr>
        <w:t>.</w:t>
      </w:r>
    </w:p>
    <w:p w:rsidR="00ED448B" w:rsidRPr="000E3593" w:rsidRDefault="001B6C23" w:rsidP="007123F5">
      <w:pPr>
        <w:pStyle w:val="ListParagraph"/>
        <w:numPr>
          <w:ilvl w:val="0"/>
          <w:numId w:val="3"/>
        </w:numPr>
        <w:ind w:left="180" w:hanging="180"/>
        <w:rPr>
          <w:rFonts w:eastAsiaTheme="minorHAnsi"/>
        </w:rPr>
      </w:pPr>
      <w:r w:rsidRPr="000E3593">
        <w:rPr>
          <w:rFonts w:eastAsiaTheme="minorHAnsi"/>
        </w:rPr>
        <w:t xml:space="preserve">SCP Project </w:t>
      </w:r>
      <w:r w:rsidRPr="007123F5">
        <w:t>D</w:t>
      </w:r>
      <w:r w:rsidR="00BE6603" w:rsidRPr="007123F5">
        <w:t>irectors</w:t>
      </w:r>
      <w:r w:rsidR="00F53935" w:rsidRPr="000E3593">
        <w:rPr>
          <w:rFonts w:eastAsiaTheme="minorHAnsi"/>
        </w:rPr>
        <w:t xml:space="preserve"> </w:t>
      </w:r>
      <w:r w:rsidR="000E3593" w:rsidRPr="000E3593">
        <w:rPr>
          <w:rFonts w:eastAsiaTheme="minorHAnsi"/>
        </w:rPr>
        <w:t>to compile their client list</w:t>
      </w:r>
      <w:r w:rsidR="00BE6603" w:rsidRPr="000E3593">
        <w:rPr>
          <w:rFonts w:eastAsiaTheme="minorHAnsi"/>
        </w:rPr>
        <w:t>:</w:t>
      </w:r>
      <w:r w:rsidR="00CC673D" w:rsidRPr="000E3593">
        <w:rPr>
          <w:rFonts w:eastAsiaTheme="minorHAnsi"/>
        </w:rPr>
        <w:t xml:space="preserve"> The estimated annualized cost for respondents for the grantee survey is $</w:t>
      </w:r>
      <w:r w:rsidR="009A172C">
        <w:rPr>
          <w:rFonts w:eastAsiaTheme="minorHAnsi"/>
        </w:rPr>
        <w:t>1,742</w:t>
      </w:r>
      <w:r w:rsidR="00C8447F" w:rsidRPr="000E3593">
        <w:rPr>
          <w:rFonts w:eastAsiaTheme="minorHAnsi"/>
        </w:rPr>
        <w:t xml:space="preserve"> </w:t>
      </w:r>
      <w:r w:rsidR="00CC673D" w:rsidRPr="000E3593">
        <w:rPr>
          <w:rFonts w:eastAsiaTheme="minorHAnsi"/>
        </w:rPr>
        <w:t xml:space="preserve">which is based on an estimated hourly wage rate of $34.24 and total burden hours of </w:t>
      </w:r>
      <w:r w:rsidR="009A172C">
        <w:rPr>
          <w:rFonts w:eastAsiaTheme="minorHAnsi"/>
        </w:rPr>
        <w:t>50</w:t>
      </w:r>
      <w:r w:rsidR="00294F07" w:rsidRPr="000E3593">
        <w:rPr>
          <w:rFonts w:eastAsiaTheme="minorHAnsi"/>
        </w:rPr>
        <w:t>.</w:t>
      </w:r>
      <w:r w:rsidR="000E3593" w:rsidRPr="000E3593">
        <w:rPr>
          <w:rFonts w:eastAsiaTheme="minorHAnsi"/>
        </w:rPr>
        <w:t xml:space="preserve"> </w:t>
      </w:r>
      <w:r w:rsidR="00A03D4D" w:rsidRPr="000E3593">
        <w:rPr>
          <w:rFonts w:eastAsiaTheme="minorHAnsi"/>
        </w:rPr>
        <w:t xml:space="preserve">Wage estimates for </w:t>
      </w:r>
      <w:r w:rsidR="00A03D4D" w:rsidRPr="007123F5">
        <w:t>nonprofit</w:t>
      </w:r>
      <w:r w:rsidR="00A03D4D" w:rsidRPr="000E3593">
        <w:rPr>
          <w:rFonts w:eastAsiaTheme="minorHAnsi"/>
        </w:rPr>
        <w:t xml:space="preserve"> fields were taken from </w:t>
      </w:r>
      <w:r w:rsidR="00A03D4D" w:rsidRPr="000E3593">
        <w:rPr>
          <w:kern w:val="36"/>
        </w:rPr>
        <w:t>Wages in the Nonprofit Sector: Management, Professional, and Administrative Support Occupations</w:t>
      </w:r>
      <w:r w:rsidR="00F01188" w:rsidRPr="000E3593">
        <w:rPr>
          <w:kern w:val="36"/>
        </w:rPr>
        <w:t>, accessed at (</w:t>
      </w:r>
      <w:hyperlink r:id="rId10" w:history="1">
        <w:r w:rsidR="00FA3AE1" w:rsidRPr="000E3593">
          <w:rPr>
            <w:rStyle w:val="Hyperlink"/>
            <w:rFonts w:eastAsiaTheme="minorHAnsi"/>
            <w:color w:val="auto"/>
            <w:u w:val="none"/>
          </w:rPr>
          <w:t>http://www.bls.gov/opub/cwc/cm20081022ar01p1.htm</w:t>
        </w:r>
      </w:hyperlink>
      <w:r w:rsidR="00F01188" w:rsidRPr="000E3593">
        <w:rPr>
          <w:rFonts w:eastAsiaTheme="minorHAnsi"/>
        </w:rPr>
        <w:t xml:space="preserve"> ) and are from 2007.</w:t>
      </w:r>
    </w:p>
    <w:p w:rsidR="007123F5" w:rsidRPr="007123F5" w:rsidRDefault="007123F5" w:rsidP="007123F5">
      <w:pPr>
        <w:rPr>
          <w:rFonts w:eastAsiaTheme="minorHAnsi"/>
        </w:rPr>
      </w:pPr>
    </w:p>
    <w:p w:rsidR="005E2BDA" w:rsidRDefault="00ED448B" w:rsidP="005232F8">
      <w:pPr>
        <w:pStyle w:val="ListParagraph"/>
        <w:numPr>
          <w:ilvl w:val="0"/>
          <w:numId w:val="1"/>
        </w:numPr>
        <w:autoSpaceDE w:val="0"/>
        <w:autoSpaceDN w:val="0"/>
        <w:adjustRightInd w:val="0"/>
        <w:rPr>
          <w:rFonts w:eastAsiaTheme="minorHAnsi"/>
        </w:rPr>
      </w:pPr>
      <w:r w:rsidRPr="00ED448B">
        <w:rPr>
          <w:rFonts w:eastAsiaTheme="minorHAnsi"/>
        </w:rPr>
        <w:t>Estimated Total Annual Cost Burden to Respondents</w:t>
      </w:r>
    </w:p>
    <w:p w:rsidR="008B4D94" w:rsidRDefault="008B4D94" w:rsidP="00ED448B">
      <w:pPr>
        <w:autoSpaceDE w:val="0"/>
        <w:autoSpaceDN w:val="0"/>
        <w:adjustRightInd w:val="0"/>
        <w:ind w:left="360"/>
        <w:rPr>
          <w:rFonts w:eastAsiaTheme="minorHAnsi"/>
        </w:rPr>
      </w:pPr>
    </w:p>
    <w:p w:rsidR="005E2BDA" w:rsidRDefault="008B4D94" w:rsidP="00412387">
      <w:pPr>
        <w:autoSpaceDE w:val="0"/>
        <w:autoSpaceDN w:val="0"/>
        <w:adjustRightInd w:val="0"/>
        <w:rPr>
          <w:rFonts w:eastAsiaTheme="minorHAnsi"/>
        </w:rPr>
      </w:pPr>
      <w:r>
        <w:rPr>
          <w:rFonts w:eastAsiaTheme="minorHAnsi"/>
        </w:rPr>
        <w:lastRenderedPageBreak/>
        <w:t>The collection of this information does not have any capital and start-up cost; and it does not have any operation and maintenance cost.</w:t>
      </w:r>
    </w:p>
    <w:p w:rsidR="008B4D94" w:rsidRDefault="008B4D94" w:rsidP="00ED448B">
      <w:pPr>
        <w:autoSpaceDE w:val="0"/>
        <w:autoSpaceDN w:val="0"/>
        <w:adjustRightInd w:val="0"/>
        <w:ind w:left="360"/>
        <w:rPr>
          <w:rFonts w:eastAsiaTheme="minorHAnsi"/>
        </w:rPr>
      </w:pPr>
    </w:p>
    <w:p w:rsidR="00963AD6" w:rsidRPr="00963AD6" w:rsidRDefault="00963AD6" w:rsidP="005232F8">
      <w:pPr>
        <w:pStyle w:val="ListParagraph"/>
        <w:numPr>
          <w:ilvl w:val="0"/>
          <w:numId w:val="1"/>
        </w:numPr>
        <w:autoSpaceDE w:val="0"/>
        <w:autoSpaceDN w:val="0"/>
        <w:adjustRightInd w:val="0"/>
        <w:rPr>
          <w:rFonts w:eastAsiaTheme="minorHAnsi"/>
        </w:rPr>
      </w:pPr>
      <w:r w:rsidRPr="00963AD6">
        <w:rPr>
          <w:rFonts w:eastAsiaTheme="minorHAnsi"/>
        </w:rPr>
        <w:t xml:space="preserve">Estimated Annual Costs to Federal </w:t>
      </w:r>
      <w:r w:rsidR="00F91E52">
        <w:rPr>
          <w:rFonts w:eastAsiaTheme="minorHAnsi"/>
        </w:rPr>
        <w:t>G</w:t>
      </w:r>
      <w:r>
        <w:rPr>
          <w:rFonts w:eastAsiaTheme="minorHAnsi"/>
        </w:rPr>
        <w:t>overnment</w:t>
      </w:r>
    </w:p>
    <w:p w:rsidR="00963AD6" w:rsidRDefault="00963AD6" w:rsidP="00963AD6">
      <w:pPr>
        <w:autoSpaceDE w:val="0"/>
        <w:autoSpaceDN w:val="0"/>
        <w:adjustRightInd w:val="0"/>
        <w:ind w:left="360"/>
        <w:rPr>
          <w:rFonts w:eastAsiaTheme="minorHAnsi"/>
        </w:rPr>
      </w:pPr>
    </w:p>
    <w:p w:rsidR="00EA0970" w:rsidRDefault="00EA0970" w:rsidP="00963AD6">
      <w:r>
        <w:t xml:space="preserve">For </w:t>
      </w:r>
      <w:r w:rsidR="00240D50">
        <w:t>the</w:t>
      </w:r>
      <w:r>
        <w:t xml:space="preserve"> survey design, </w:t>
      </w:r>
      <w:r w:rsidR="002F36E3">
        <w:t>sampling, implementation</w:t>
      </w:r>
      <w:r>
        <w:t xml:space="preserve"> and </w:t>
      </w:r>
      <w:r w:rsidR="00240D50">
        <w:t xml:space="preserve">analysis of the data collected </w:t>
      </w:r>
      <w:r>
        <w:t xml:space="preserve">the estimated annual cost to the Federal government is </w:t>
      </w:r>
      <w:r w:rsidR="002F36E3">
        <w:t>$</w:t>
      </w:r>
      <w:r w:rsidR="006735D8">
        <w:t>306</w:t>
      </w:r>
      <w:r w:rsidR="00E7039F">
        <w:t>,360</w:t>
      </w:r>
      <w:r w:rsidR="005E2BDA">
        <w:t xml:space="preserve">. </w:t>
      </w:r>
      <w:r w:rsidR="002F36E3">
        <w:t>This number is based on the portion of the contract with JBS International that is devoted to the design, sampling, implementation</w:t>
      </w:r>
      <w:r w:rsidR="009C50F1">
        <w:t>,</w:t>
      </w:r>
      <w:r w:rsidR="002F36E3">
        <w:t xml:space="preserve"> and analysis of </w:t>
      </w:r>
      <w:r w:rsidR="00485CAE">
        <w:t>the data collection for th</w:t>
      </w:r>
      <w:r w:rsidR="00E7039F">
        <w:t>e main</w:t>
      </w:r>
      <w:r w:rsidR="00485CAE">
        <w:t xml:space="preserve"> study</w:t>
      </w:r>
      <w:r w:rsidR="00E7039F">
        <w:t xml:space="preserve"> </w:t>
      </w:r>
      <w:r w:rsidR="009A172C">
        <w:t xml:space="preserve">which will provide preliminary estimates of the impacts of Senior Companion services </w:t>
      </w:r>
      <w:r w:rsidR="00E7039F">
        <w:t xml:space="preserve">and the </w:t>
      </w:r>
      <w:r w:rsidR="009A172C">
        <w:t xml:space="preserve">exploratory </w:t>
      </w:r>
      <w:r w:rsidR="00E7039F">
        <w:t>feasibility pilot pre/post study</w:t>
      </w:r>
      <w:r w:rsidR="002F36E3">
        <w:t>.</w:t>
      </w:r>
    </w:p>
    <w:p w:rsidR="0074008E" w:rsidRDefault="0074008E" w:rsidP="00F91E52">
      <w:pPr>
        <w:autoSpaceDE w:val="0"/>
        <w:autoSpaceDN w:val="0"/>
        <w:adjustRightInd w:val="0"/>
        <w:rPr>
          <w:rFonts w:eastAsiaTheme="minorHAnsi"/>
        </w:rPr>
      </w:pPr>
    </w:p>
    <w:p w:rsidR="00963AD6" w:rsidRPr="00963AD6" w:rsidRDefault="00963AD6" w:rsidP="005232F8">
      <w:pPr>
        <w:pStyle w:val="ListParagraph"/>
        <w:numPr>
          <w:ilvl w:val="0"/>
          <w:numId w:val="1"/>
        </w:numPr>
        <w:autoSpaceDE w:val="0"/>
        <w:autoSpaceDN w:val="0"/>
        <w:adjustRightInd w:val="0"/>
        <w:rPr>
          <w:rFonts w:eastAsiaTheme="minorHAnsi"/>
        </w:rPr>
      </w:pPr>
      <w:r w:rsidRPr="00963AD6">
        <w:rPr>
          <w:rFonts w:eastAsiaTheme="minorHAnsi"/>
        </w:rPr>
        <w:t>Explain any Program Changes</w:t>
      </w:r>
    </w:p>
    <w:p w:rsidR="00963AD6" w:rsidRDefault="00963AD6" w:rsidP="00963AD6">
      <w:pPr>
        <w:autoSpaceDE w:val="0"/>
        <w:autoSpaceDN w:val="0"/>
        <w:adjustRightInd w:val="0"/>
        <w:ind w:left="360"/>
        <w:rPr>
          <w:rFonts w:eastAsiaTheme="minorHAnsi"/>
        </w:rPr>
      </w:pPr>
    </w:p>
    <w:p w:rsidR="00963AD6" w:rsidRDefault="00963AD6" w:rsidP="00412387">
      <w:pPr>
        <w:autoSpaceDE w:val="0"/>
        <w:autoSpaceDN w:val="0"/>
        <w:adjustRightInd w:val="0"/>
        <w:ind w:left="360" w:hanging="360"/>
        <w:rPr>
          <w:rFonts w:eastAsiaTheme="minorHAnsi"/>
        </w:rPr>
      </w:pPr>
      <w:r>
        <w:rPr>
          <w:rFonts w:eastAsiaTheme="minorHAnsi"/>
        </w:rPr>
        <w:t>This is an application for new collection. There are no program changes.</w:t>
      </w:r>
    </w:p>
    <w:p w:rsidR="00963AD6" w:rsidRDefault="00963AD6" w:rsidP="00963AD6">
      <w:pPr>
        <w:autoSpaceDE w:val="0"/>
        <w:autoSpaceDN w:val="0"/>
        <w:adjustRightInd w:val="0"/>
        <w:ind w:left="360"/>
        <w:rPr>
          <w:rFonts w:eastAsiaTheme="minorHAnsi"/>
        </w:rPr>
      </w:pPr>
    </w:p>
    <w:p w:rsidR="005E2BDA" w:rsidRDefault="00784109" w:rsidP="005232F8">
      <w:pPr>
        <w:pStyle w:val="ListParagraph"/>
        <w:numPr>
          <w:ilvl w:val="0"/>
          <w:numId w:val="1"/>
        </w:numPr>
        <w:autoSpaceDE w:val="0"/>
        <w:autoSpaceDN w:val="0"/>
        <w:adjustRightInd w:val="0"/>
        <w:rPr>
          <w:rFonts w:eastAsiaTheme="minorHAnsi"/>
        </w:rPr>
      </w:pPr>
      <w:r w:rsidRPr="00784109">
        <w:rPr>
          <w:rFonts w:eastAsiaTheme="minorHAnsi"/>
        </w:rPr>
        <w:t>Dissemination of Information</w:t>
      </w:r>
    </w:p>
    <w:p w:rsidR="00784109" w:rsidRDefault="00784109" w:rsidP="00963AD6">
      <w:pPr>
        <w:rPr>
          <w:rFonts w:eastAsiaTheme="minorHAnsi"/>
        </w:rPr>
      </w:pPr>
    </w:p>
    <w:p w:rsidR="00240D50" w:rsidRDefault="00485CAE" w:rsidP="00240D50">
      <w:r>
        <w:t xml:space="preserve">The data will be analyzed and a final report will be submitted to CNCS. </w:t>
      </w:r>
      <w:r w:rsidR="00F91E52">
        <w:t xml:space="preserve">CNCS will include results in </w:t>
      </w:r>
      <w:r w:rsidR="000D4F70">
        <w:t xml:space="preserve">their </w:t>
      </w:r>
      <w:r w:rsidR="00F91E52">
        <w:t xml:space="preserve">Performance and Accountability Reporting to Congress and in Congressional Budget Justification. </w:t>
      </w:r>
      <w:r>
        <w:t>In addition, research data files will be prepared and submitted to CNCS for future research.</w:t>
      </w:r>
    </w:p>
    <w:p w:rsidR="00E31BC3" w:rsidRDefault="00E31BC3" w:rsidP="00240D50"/>
    <w:p w:rsidR="009A172C" w:rsidRDefault="009A172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Survey Instrument</w:t>
      </w:r>
    </w:p>
    <w:p w:rsidR="00EC4F97" w:rsidRDefault="00E43A42" w:rsidP="00EC4F97">
      <w:r>
        <w:t xml:space="preserve">The survey </w:t>
      </w:r>
      <w:r w:rsidR="00C95A5D">
        <w:t>questions begin with</w:t>
      </w:r>
      <w:r>
        <w:t xml:space="preserve"> Part 1, Page 2. </w:t>
      </w:r>
      <w:r w:rsidR="00132C68">
        <w:t>Our approach in determining</w:t>
      </w:r>
      <w:r w:rsidRPr="00E5262F">
        <w:t xml:space="preserve"> if a respondent needs </w:t>
      </w:r>
      <w:r w:rsidR="00D70A89">
        <w:t>an assistant</w:t>
      </w:r>
      <w:r w:rsidRPr="00E5262F">
        <w:t xml:space="preserve"> is to ask basic information the respondent is expected to know</w:t>
      </w:r>
      <w:r w:rsidR="00132C68">
        <w:t>. The first three questions in the survey are</w:t>
      </w:r>
      <w:r w:rsidRPr="00E5262F">
        <w:t xml:space="preserve"> birth date, ethnicity and marital status. </w:t>
      </w:r>
      <w:r w:rsidR="00132C68">
        <w:t>Interviewers will be trained to recognize if a r</w:t>
      </w:r>
      <w:r w:rsidRPr="00E5262F">
        <w:t xml:space="preserve">espondent </w:t>
      </w:r>
      <w:r w:rsidR="00132C68">
        <w:t>is</w:t>
      </w:r>
      <w:r w:rsidR="00C95A5D">
        <w:t xml:space="preserve"> unable to answer </w:t>
      </w:r>
      <w:r w:rsidRPr="00E5262F">
        <w:t xml:space="preserve">or </w:t>
      </w:r>
      <w:r w:rsidR="00E45DB0">
        <w:t xml:space="preserve">there is indication that the respondent is confused or unsure about how to answer these basic questions. </w:t>
      </w:r>
      <w:r w:rsidR="00132C68">
        <w:t xml:space="preserve">If </w:t>
      </w:r>
      <w:r w:rsidR="00C95A5D">
        <w:t xml:space="preserve">it is determined that </w:t>
      </w:r>
      <w:r w:rsidR="00132C68">
        <w:t xml:space="preserve">a respondent cannot respond to the survey </w:t>
      </w:r>
      <w:r w:rsidR="00D70A89">
        <w:t>independently the interviewer</w:t>
      </w:r>
      <w:r w:rsidR="00132C68">
        <w:t xml:space="preserve"> will attempt to identify a</w:t>
      </w:r>
      <w:r w:rsidR="00D70A89">
        <w:t>n assistant or</w:t>
      </w:r>
      <w:r w:rsidR="00132C68">
        <w:t xml:space="preserve"> proxy, or terminate the interviewer if necessary. JBS’ </w:t>
      </w:r>
      <w:r w:rsidR="00C95A5D">
        <w:t>p</w:t>
      </w:r>
      <w:r w:rsidRPr="00E5262F">
        <w:t>rotocol makes a distinction betwe</w:t>
      </w:r>
      <w:r w:rsidR="00C95A5D">
        <w:t xml:space="preserve">en </w:t>
      </w:r>
      <w:r w:rsidR="0065359F">
        <w:t>an assisted interview</w:t>
      </w:r>
      <w:r w:rsidR="00C95A5D">
        <w:t xml:space="preserve">, where an individual </w:t>
      </w:r>
      <w:r w:rsidR="00132C68">
        <w:t>assist</w:t>
      </w:r>
      <w:r w:rsidR="0065359F">
        <w:t>s</w:t>
      </w:r>
      <w:r w:rsidRPr="00E5262F">
        <w:t xml:space="preserve"> the respondent with the survey</w:t>
      </w:r>
      <w:r w:rsidR="00132C68">
        <w:t>,</w:t>
      </w:r>
      <w:r>
        <w:t xml:space="preserve"> </w:t>
      </w:r>
      <w:r w:rsidRPr="00E5262F">
        <w:t xml:space="preserve">and </w:t>
      </w:r>
      <w:r w:rsidR="0065359F">
        <w:t xml:space="preserve">a </w:t>
      </w:r>
      <w:r w:rsidRPr="00E5262F">
        <w:t xml:space="preserve">proxy </w:t>
      </w:r>
      <w:r w:rsidR="00132C68">
        <w:t>reporter</w:t>
      </w:r>
      <w:r w:rsidRPr="00E5262F">
        <w:t xml:space="preserve"> where the </w:t>
      </w:r>
      <w:r w:rsidR="00C95A5D">
        <w:t xml:space="preserve">individual would have to provide the answers for the </w:t>
      </w:r>
      <w:r w:rsidRPr="00E5262F">
        <w:t xml:space="preserve">respondent </w:t>
      </w:r>
      <w:r w:rsidR="00C95A5D">
        <w:t xml:space="preserve">due to severe </w:t>
      </w:r>
      <w:r w:rsidR="0065359F">
        <w:t>physical or mental</w:t>
      </w:r>
      <w:r w:rsidR="00A150D8">
        <w:t xml:space="preserve"> impair</w:t>
      </w:r>
      <w:r w:rsidR="00D70A89">
        <w:t>ment</w:t>
      </w:r>
      <w:r w:rsidR="00132C68">
        <w:t>.</w:t>
      </w:r>
      <w:r w:rsidRPr="00E5262F">
        <w:t xml:space="preserve"> </w:t>
      </w:r>
      <w:r w:rsidR="0065359F">
        <w:t xml:space="preserve">For assisted interview JBS anticipates </w:t>
      </w:r>
      <w:r w:rsidR="00132C68">
        <w:t>that the respondent can often s</w:t>
      </w:r>
      <w:r w:rsidR="00E45DB0">
        <w:t>uggest</w:t>
      </w:r>
      <w:r w:rsidR="00132C68">
        <w:t xml:space="preserve"> an individual who can serve as </w:t>
      </w:r>
      <w:r w:rsidR="00A150D8">
        <w:t>a</w:t>
      </w:r>
      <w:r w:rsidR="0065359F">
        <w:t>n assistant</w:t>
      </w:r>
      <w:r w:rsidR="00132C68">
        <w:t xml:space="preserve">. </w:t>
      </w:r>
      <w:r w:rsidR="00EC4F97">
        <w:t xml:space="preserve">The respondent’s Senior Companion volunteer will not be an acceptable </w:t>
      </w:r>
      <w:r w:rsidR="0065359F">
        <w:t>assistant</w:t>
      </w:r>
      <w:r w:rsidR="00EC4F97">
        <w:t xml:space="preserve">. In the latter situation where a proxy reporter is used because the respondent has cognitive or physical impairment </w:t>
      </w:r>
      <w:r w:rsidR="0065359F">
        <w:t xml:space="preserve">that prohibits the </w:t>
      </w:r>
      <w:r w:rsidR="00D70A89">
        <w:t xml:space="preserve">respondent to independently respond to </w:t>
      </w:r>
      <w:r w:rsidR="00EC4F97">
        <w:t>the questions, JBS will administer a</w:t>
      </w:r>
      <w:r w:rsidR="00EC4F97" w:rsidRPr="00E5262F">
        <w:t xml:space="preserve"> modified survey </w:t>
      </w:r>
      <w:r w:rsidR="0076043C">
        <w:t>instrument</w:t>
      </w:r>
      <w:r w:rsidR="00EC4F97" w:rsidRPr="00E5262F">
        <w:t xml:space="preserve">. </w:t>
      </w:r>
      <w:r w:rsidR="0076043C">
        <w:t xml:space="preserve">The modified version of the survey includes </w:t>
      </w:r>
      <w:r w:rsidR="0076043C" w:rsidRPr="00E5262F">
        <w:t xml:space="preserve">questions that a </w:t>
      </w:r>
      <w:r w:rsidR="0076043C">
        <w:t>proxy reporter</w:t>
      </w:r>
      <w:r w:rsidR="0076043C" w:rsidRPr="00E5262F">
        <w:t xml:space="preserve"> can be expected to answer</w:t>
      </w:r>
      <w:r w:rsidR="0076043C">
        <w:t xml:space="preserve"> such as d</w:t>
      </w:r>
      <w:r w:rsidR="00E45DB0">
        <w:t>emographic</w:t>
      </w:r>
      <w:r w:rsidR="0076043C">
        <w:t xml:space="preserve"> characteristics. Q</w:t>
      </w:r>
      <w:r w:rsidR="00EC4F97" w:rsidRPr="00E5262F">
        <w:t xml:space="preserve">uestions that use the first person “I” </w:t>
      </w:r>
      <w:r w:rsidR="00D70A89">
        <w:t xml:space="preserve">or </w:t>
      </w:r>
      <w:r w:rsidR="008C5623">
        <w:t xml:space="preserve">use </w:t>
      </w:r>
      <w:r w:rsidR="00D70A89">
        <w:t xml:space="preserve">“you” </w:t>
      </w:r>
      <w:r w:rsidR="0076043C">
        <w:t xml:space="preserve">will </w:t>
      </w:r>
      <w:r w:rsidR="00EC4F97">
        <w:t>be modified to use</w:t>
      </w:r>
      <w:r w:rsidR="00EC4F97" w:rsidRPr="00E5262F">
        <w:t xml:space="preserve"> the third person “the client”.</w:t>
      </w:r>
      <w:r w:rsidR="00EC4F97">
        <w:t xml:space="preserve"> </w:t>
      </w:r>
      <w:r w:rsidR="0065359F" w:rsidRPr="00E5262F">
        <w:t xml:space="preserve">The survey </w:t>
      </w:r>
      <w:r w:rsidR="0065359F">
        <w:t xml:space="preserve">instrument </w:t>
      </w:r>
      <w:r w:rsidR="0065359F" w:rsidRPr="00E5262F">
        <w:t>collect</w:t>
      </w:r>
      <w:r w:rsidR="0065359F">
        <w:t>s</w:t>
      </w:r>
      <w:r w:rsidR="0065359F" w:rsidRPr="00E5262F">
        <w:t xml:space="preserve"> </w:t>
      </w:r>
      <w:r w:rsidR="0065359F">
        <w:t>the relationship of the assistant</w:t>
      </w:r>
      <w:r w:rsidR="0065359F" w:rsidRPr="00E5262F">
        <w:t xml:space="preserve"> </w:t>
      </w:r>
      <w:r w:rsidR="0065359F">
        <w:t xml:space="preserve">or proxy to the respondent </w:t>
      </w:r>
      <w:r w:rsidR="0065359F" w:rsidRPr="00E5262F">
        <w:t xml:space="preserve">so that those responses can be analyzed separately, if necessary. </w:t>
      </w:r>
      <w:r w:rsidR="0076043C">
        <w:t xml:space="preserve">Specifically, </w:t>
      </w:r>
      <w:r w:rsidR="005F39D3">
        <w:t>Table 1</w:t>
      </w:r>
      <w:r w:rsidR="0076043C">
        <w:t xml:space="preserve"> shows the specific questions in the instrument JBS will administer to each type of respondent:</w:t>
      </w:r>
    </w:p>
    <w:p w:rsidR="005F39D3" w:rsidRDefault="005F39D3" w:rsidP="00EC4F97"/>
    <w:p w:rsidR="005F39D3" w:rsidRDefault="005F39D3" w:rsidP="00EC4F97">
      <w:r>
        <w:t>Table 1. Survey Questions to be Administered to Different Types of Respondents</w:t>
      </w:r>
    </w:p>
    <w:p w:rsidR="0076043C" w:rsidRDefault="0076043C" w:rsidP="00EC4F97"/>
    <w:tbl>
      <w:tblPr>
        <w:tblW w:w="6040" w:type="dxa"/>
        <w:jc w:val="center"/>
        <w:tblInd w:w="93" w:type="dxa"/>
        <w:tblLook w:val="04A0" w:firstRow="1" w:lastRow="0" w:firstColumn="1" w:lastColumn="0" w:noHBand="0" w:noVBand="1"/>
      </w:tblPr>
      <w:tblGrid>
        <w:gridCol w:w="2000"/>
        <w:gridCol w:w="1840"/>
        <w:gridCol w:w="2200"/>
      </w:tblGrid>
      <w:tr w:rsidR="00F4126A" w:rsidRPr="00A150D8" w:rsidTr="00F4126A">
        <w:trPr>
          <w:trHeight w:val="9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126A" w:rsidRPr="00A150D8" w:rsidRDefault="00F4126A" w:rsidP="00F4126A">
            <w:pPr>
              <w:rPr>
                <w:b/>
                <w:color w:val="000000"/>
              </w:rPr>
            </w:pPr>
            <w:r w:rsidRPr="00A150D8">
              <w:rPr>
                <w:b/>
                <w:color w:val="000000"/>
              </w:rPr>
              <w:lastRenderedPageBreak/>
              <w:t>Respondents answer for themselves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F4126A" w:rsidRPr="00A150D8" w:rsidRDefault="00B53CF6" w:rsidP="00F4126A">
            <w:pPr>
              <w:rPr>
                <w:b/>
                <w:color w:val="000000"/>
              </w:rPr>
            </w:pPr>
            <w:r>
              <w:rPr>
                <w:b/>
                <w:color w:val="000000"/>
              </w:rPr>
              <w:t>Respondents answer for themselves with assistance</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F4126A" w:rsidRPr="00A150D8" w:rsidRDefault="00F4126A" w:rsidP="00F4126A">
            <w:pPr>
              <w:rPr>
                <w:b/>
                <w:color w:val="000000"/>
              </w:rPr>
            </w:pPr>
            <w:r w:rsidRPr="00A150D8">
              <w:rPr>
                <w:b/>
                <w:color w:val="000000"/>
              </w:rPr>
              <w:t>Proxy Reporter</w:t>
            </w:r>
            <w:r w:rsidR="008C5623">
              <w:rPr>
                <w:b/>
                <w:color w:val="000000"/>
              </w:rPr>
              <w:t>s Answer</w:t>
            </w:r>
            <w:r w:rsidR="00A150D8">
              <w:rPr>
                <w:b/>
                <w:color w:val="000000"/>
              </w:rPr>
              <w:t xml:space="preserve"> for the Respondents</w:t>
            </w:r>
          </w:p>
        </w:tc>
      </w:tr>
      <w:tr w:rsidR="00F4126A" w:rsidRPr="00A150D8" w:rsidTr="00F4126A">
        <w:trPr>
          <w:trHeight w:val="900"/>
          <w:jc w:val="center"/>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F4126A" w:rsidRPr="00A150D8" w:rsidRDefault="00F4126A" w:rsidP="00F4126A">
            <w:pPr>
              <w:rPr>
                <w:color w:val="000000"/>
              </w:rPr>
            </w:pPr>
            <w:r w:rsidRPr="00A150D8">
              <w:rPr>
                <w:color w:val="000000"/>
              </w:rPr>
              <w:t>All Questions</w:t>
            </w:r>
          </w:p>
        </w:tc>
        <w:tc>
          <w:tcPr>
            <w:tcW w:w="1840" w:type="dxa"/>
            <w:tcBorders>
              <w:top w:val="nil"/>
              <w:left w:val="nil"/>
              <w:bottom w:val="single" w:sz="4" w:space="0" w:color="auto"/>
              <w:right w:val="single" w:sz="4" w:space="0" w:color="auto"/>
            </w:tcBorders>
            <w:shd w:val="clear" w:color="auto" w:fill="auto"/>
            <w:vAlign w:val="bottom"/>
            <w:hideMark/>
          </w:tcPr>
          <w:p w:rsidR="00F4126A" w:rsidRPr="00A150D8" w:rsidRDefault="00F4126A" w:rsidP="00F4126A">
            <w:pPr>
              <w:rPr>
                <w:color w:val="000000"/>
              </w:rPr>
            </w:pPr>
            <w:r w:rsidRPr="00A150D8">
              <w:rPr>
                <w:color w:val="000000"/>
              </w:rPr>
              <w:t>All Questions</w:t>
            </w:r>
          </w:p>
        </w:tc>
        <w:tc>
          <w:tcPr>
            <w:tcW w:w="2200" w:type="dxa"/>
            <w:tcBorders>
              <w:top w:val="nil"/>
              <w:left w:val="nil"/>
              <w:bottom w:val="single" w:sz="4" w:space="0" w:color="auto"/>
              <w:right w:val="single" w:sz="4" w:space="0" w:color="auto"/>
            </w:tcBorders>
            <w:shd w:val="clear" w:color="auto" w:fill="auto"/>
            <w:vAlign w:val="bottom"/>
            <w:hideMark/>
          </w:tcPr>
          <w:p w:rsidR="00F4126A" w:rsidRPr="00A150D8" w:rsidRDefault="00F4126A" w:rsidP="00F4126A">
            <w:pPr>
              <w:rPr>
                <w:color w:val="000000"/>
              </w:rPr>
            </w:pPr>
            <w:r w:rsidRPr="00A150D8">
              <w:rPr>
                <w:color w:val="000000"/>
              </w:rPr>
              <w:t xml:space="preserve">Questions 6, 7, 8, 9, 12, 13, 14, 15, 16, 25, and </w:t>
            </w:r>
            <w:r w:rsidR="008C5623">
              <w:rPr>
                <w:color w:val="000000"/>
              </w:rPr>
              <w:t>27-37</w:t>
            </w:r>
          </w:p>
        </w:tc>
      </w:tr>
    </w:tbl>
    <w:p w:rsidR="00E43A42" w:rsidRPr="009A172C" w:rsidRDefault="00E43A42" w:rsidP="00E43A42"/>
    <w:p w:rsidR="000519C2" w:rsidRPr="000519C2" w:rsidRDefault="000519C2"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Exploratory Analysis</w:t>
      </w:r>
    </w:p>
    <w:p w:rsidR="00240D50" w:rsidRDefault="00240D50" w:rsidP="00240D50">
      <w:r w:rsidRPr="0051630F">
        <w:t xml:space="preserve">The exploratory analysis </w:t>
      </w:r>
      <w:r>
        <w:t xml:space="preserve">will be used to assess data quality and reliability of the </w:t>
      </w:r>
      <w:r w:rsidR="00485CAE">
        <w:t xml:space="preserve">survey </w:t>
      </w:r>
      <w:r>
        <w:t xml:space="preserve">items. </w:t>
      </w:r>
      <w:r w:rsidRPr="004116E3">
        <w:t>This is an important initial first step to detect errors, determine if there are any violations of statistical assumptions, determine the relationships among explanatory variables, assess the direction and size of relationships between explanatory and outcome variables, and generate hypotheses. At the end of this exploratory analysis, we expect to have a solid knowledge base about the data characteristics of the variables of interest and the relationships among them. During the exploratory phase</w:t>
      </w:r>
      <w:r>
        <w:t>,</w:t>
      </w:r>
      <w:r w:rsidRPr="004116E3">
        <w:t xml:space="preserve"> we will assess the validity of </w:t>
      </w:r>
      <w:r w:rsidR="00E31BC3">
        <w:t>the</w:t>
      </w:r>
      <w:r w:rsidRPr="004116E3">
        <w:t xml:space="preserve"> instrument and estimate the reliability of the measures.</w:t>
      </w:r>
      <w:r w:rsidR="00E31BC3">
        <w:t xml:space="preserve"> </w:t>
      </w:r>
      <w:r>
        <w:t xml:space="preserve">In the exploratory analysis phase, JBS will determine the response rate, screen the data for incomplete or missing data, detect outliers in responses, and combine items into scales. Since the study will be based on a sample of clients, </w:t>
      </w:r>
      <w:r w:rsidR="00EE48F6">
        <w:t xml:space="preserve">JBS will conduct a non-response bias analysis to </w:t>
      </w:r>
      <w:r>
        <w:t>determine if the final sample of respondents reflects the population from which it was obtained</w:t>
      </w:r>
      <w:r w:rsidR="00EE48F6">
        <w:t xml:space="preserve">, and whether </w:t>
      </w:r>
      <w:r w:rsidR="00363017">
        <w:t>the final sample is significantly different from the population from which it was drawn</w:t>
      </w:r>
      <w:r w:rsidR="007D0DA7">
        <w:t xml:space="preserve">. </w:t>
      </w:r>
      <w:r w:rsidR="00363017">
        <w:t>.</w:t>
      </w:r>
      <w:r w:rsidR="00EE48F6">
        <w:t xml:space="preserve"> </w:t>
      </w:r>
      <w:r w:rsidR="00BB2389">
        <w:t>CNCS has</w:t>
      </w:r>
      <w:r w:rsidR="00EE48F6">
        <w:t xml:space="preserve"> </w:t>
      </w:r>
      <w:r w:rsidR="00A87214">
        <w:t>censused</w:t>
      </w:r>
      <w:r w:rsidR="00BB2389">
        <w:t xml:space="preserve"> </w:t>
      </w:r>
      <w:r w:rsidR="00EE48F6">
        <w:t>the population of SCP clients in a previous study</w:t>
      </w:r>
      <w:r w:rsidR="00A87214">
        <w:t>, however no demographic information was collected</w:t>
      </w:r>
      <w:r w:rsidR="00EE48F6">
        <w:t xml:space="preserve">. The specific variables </w:t>
      </w:r>
      <w:r w:rsidR="007A6E88">
        <w:t>that can be used for the non-response bias</w:t>
      </w:r>
      <w:r w:rsidR="00BB2389">
        <w:t xml:space="preserve"> analysis </w:t>
      </w:r>
      <w:r w:rsidR="00EE48F6">
        <w:t xml:space="preserve">are number of hours </w:t>
      </w:r>
      <w:r w:rsidR="006036AA">
        <w:t xml:space="preserve">the client is </w:t>
      </w:r>
      <w:r w:rsidR="00EE48F6">
        <w:t xml:space="preserve">receiving independent living services, </w:t>
      </w:r>
      <w:r w:rsidR="007A6E88">
        <w:t xml:space="preserve">and </w:t>
      </w:r>
      <w:r w:rsidR="00496236">
        <w:t xml:space="preserve">the set of questions </w:t>
      </w:r>
      <w:r w:rsidR="00BB2389">
        <w:t xml:space="preserve">listed </w:t>
      </w:r>
      <w:r w:rsidR="007A6E88">
        <w:t>under</w:t>
      </w:r>
      <w:r w:rsidR="00496236">
        <w:t xml:space="preserve"> </w:t>
      </w:r>
      <w:r w:rsidR="00BB2389">
        <w:t>‘</w:t>
      </w:r>
      <w:r w:rsidR="00496236" w:rsidRPr="009D0B22">
        <w:t xml:space="preserve">Part 2: </w:t>
      </w:r>
      <w:r w:rsidR="00496236">
        <w:t>Performance Measure</w:t>
      </w:r>
      <w:r w:rsidR="00BB2389">
        <w:t>’</w:t>
      </w:r>
      <w:r w:rsidR="00496236">
        <w:t xml:space="preserve"> </w:t>
      </w:r>
      <w:r w:rsidR="00BB2389">
        <w:t xml:space="preserve">of </w:t>
      </w:r>
      <w:r w:rsidR="00496236">
        <w:t>the survey instrument.</w:t>
      </w:r>
      <w:r w:rsidR="00A87214">
        <w:t xml:space="preserve"> Some information on clients will also be obtained from grantees as part of the sampling process, including gender, primary language spoken, whether the grantee/station has prior information that the client may need an assistant or proxy to complete the survey, and how long the client has been receiving independent living services. JBS </w:t>
      </w:r>
      <w:r w:rsidR="006036AA">
        <w:t xml:space="preserve">will </w:t>
      </w:r>
      <w:r w:rsidR="00A87214">
        <w:t>use this information in its non-response bias. Non-response bias at the grantee level will also be investigated using data on grantee size (i.e</w:t>
      </w:r>
      <w:r w:rsidR="000D0642">
        <w:t>.</w:t>
      </w:r>
      <w:r w:rsidR="00A87214">
        <w:t>, number of SCP clients served) and location obtained as part of the sampling frame.</w:t>
      </w:r>
    </w:p>
    <w:p w:rsidR="00240D50" w:rsidRDefault="00240D50" w:rsidP="00240D50"/>
    <w:p w:rsidR="00503B53" w:rsidRDefault="00362DEB" w:rsidP="00240D50">
      <w:r>
        <w:t>We describe</w:t>
      </w:r>
      <w:r w:rsidR="00240D50">
        <w:t xml:space="preserve"> procedures for imputing missing data, propensity score mat</w:t>
      </w:r>
      <w:r w:rsidR="00E31BC3">
        <w:t>ching</w:t>
      </w:r>
      <w:r w:rsidR="00A1607B">
        <w:t>,</w:t>
      </w:r>
      <w:r w:rsidR="00E31BC3">
        <w:t xml:space="preserve"> and statistical modeling for the main study with </w:t>
      </w:r>
      <w:r w:rsidR="008C5623">
        <w:t>1,980</w:t>
      </w:r>
      <w:r w:rsidR="00E31BC3">
        <w:t xml:space="preserve"> respondents</w:t>
      </w:r>
      <w:r w:rsidR="00240D50">
        <w:t xml:space="preserve">. The analysis for the pilot pre/post survey </w:t>
      </w:r>
      <w:r w:rsidR="00E31BC3">
        <w:t xml:space="preserve">that </w:t>
      </w:r>
      <w:r w:rsidR="00987733">
        <w:t>consists of</w:t>
      </w:r>
      <w:r w:rsidR="00E31BC3">
        <w:t xml:space="preserve"> </w:t>
      </w:r>
      <w:r w:rsidR="006735D8">
        <w:t>5</w:t>
      </w:r>
      <w:r w:rsidR="00EA286C">
        <w:t>0</w:t>
      </w:r>
      <w:r w:rsidR="00E31BC3">
        <w:t xml:space="preserve">0 respondents </w:t>
      </w:r>
      <w:r w:rsidR="00240D50">
        <w:t>will be exploratory only.</w:t>
      </w:r>
    </w:p>
    <w:p w:rsidR="006638BD" w:rsidRDefault="006638BD" w:rsidP="00240D50"/>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Data Imput</w:t>
      </w:r>
      <w:r w:rsidR="00AC3567" w:rsidRPr="000519C2">
        <w:rPr>
          <w:rFonts w:ascii="Times New Roman" w:eastAsia="Times New Roman" w:hAnsi="Times New Roman" w:cs="Times New Roman"/>
          <w:b w:val="0"/>
          <w:bCs w:val="0"/>
          <w:color w:val="auto"/>
          <w:sz w:val="24"/>
          <w:szCs w:val="24"/>
        </w:rPr>
        <w:t>at</w:t>
      </w:r>
      <w:r w:rsidRPr="000519C2">
        <w:rPr>
          <w:rFonts w:ascii="Times New Roman" w:eastAsia="Times New Roman" w:hAnsi="Times New Roman" w:cs="Times New Roman"/>
          <w:b w:val="0"/>
          <w:bCs w:val="0"/>
          <w:color w:val="auto"/>
          <w:sz w:val="24"/>
          <w:szCs w:val="24"/>
        </w:rPr>
        <w:t>ion</w:t>
      </w:r>
    </w:p>
    <w:p w:rsidR="005E2BDA" w:rsidRDefault="001C4186" w:rsidP="00E31BC3">
      <w:r>
        <w:t xml:space="preserve">For the main study, </w:t>
      </w:r>
      <w:r w:rsidR="00240D50" w:rsidRPr="00377CC5">
        <w:t xml:space="preserve">JBS will identify the extent of missing </w:t>
      </w:r>
      <w:r w:rsidR="00240D50">
        <w:t>values</w:t>
      </w:r>
      <w:r w:rsidR="00240D50" w:rsidRPr="00377CC5">
        <w:t xml:space="preserve"> for the items during the exploratory analysis phase. The exploratory analysis will provide information about the source of missing values</w:t>
      </w:r>
      <w:r w:rsidR="00240D50">
        <w:t xml:space="preserve">, and this will allow JBS </w:t>
      </w:r>
      <w:r w:rsidR="00240D50" w:rsidRPr="00377CC5">
        <w:t>to select</w:t>
      </w:r>
      <w:r w:rsidR="00240D50">
        <w:t>, if needed,</w:t>
      </w:r>
      <w:r w:rsidR="00240D50" w:rsidRPr="00377CC5">
        <w:t xml:space="preserve"> the most appropriate imputation method. </w:t>
      </w:r>
      <w:r w:rsidR="00240D50" w:rsidRPr="00DC08A8">
        <w:t xml:space="preserve">It is important </w:t>
      </w:r>
      <w:r w:rsidR="00240D50">
        <w:t xml:space="preserve">to understand whether missing values are </w:t>
      </w:r>
      <w:r w:rsidR="00240D50" w:rsidRPr="00DC08A8">
        <w:t>related to observed characteristics of respondents</w:t>
      </w:r>
      <w:r w:rsidR="00240D50">
        <w:t xml:space="preserve">, </w:t>
      </w:r>
      <w:r w:rsidR="00240D50" w:rsidRPr="00DC08A8">
        <w:t xml:space="preserve">or if </w:t>
      </w:r>
      <w:r w:rsidR="004C281E">
        <w:t xml:space="preserve">in the case of the longitudinal data, </w:t>
      </w:r>
      <w:r w:rsidR="00240D50" w:rsidRPr="00DC08A8">
        <w:t xml:space="preserve">there is </w:t>
      </w:r>
      <w:r w:rsidR="00340FFD">
        <w:t>a</w:t>
      </w:r>
      <w:r w:rsidR="00240D50" w:rsidRPr="00DC08A8">
        <w:t xml:space="preserve"> loss of individuals during follow-up.</w:t>
      </w:r>
      <w:r w:rsidR="00240D50">
        <w:t xml:space="preserve"> </w:t>
      </w:r>
      <w:r w:rsidR="00240D50" w:rsidRPr="000B1BE7">
        <w:t>Once we understand the source</w:t>
      </w:r>
      <w:r w:rsidR="00240D50">
        <w:t>s</w:t>
      </w:r>
      <w:r w:rsidR="00240D50" w:rsidRPr="000B1BE7">
        <w:t xml:space="preserve"> and extent </w:t>
      </w:r>
      <w:r w:rsidR="00240D50">
        <w:t>o</w:t>
      </w:r>
      <w:r w:rsidR="00240D50" w:rsidRPr="000B1BE7">
        <w:t>f missing data</w:t>
      </w:r>
      <w:r w:rsidR="00240D50">
        <w:t>,</w:t>
      </w:r>
      <w:r w:rsidR="00363017">
        <w:t xml:space="preserve"> JBS</w:t>
      </w:r>
      <w:r w:rsidR="00240D50" w:rsidRPr="000B1BE7">
        <w:t xml:space="preserve"> </w:t>
      </w:r>
      <w:r w:rsidR="00240D50">
        <w:lastRenderedPageBreak/>
        <w:t xml:space="preserve">will </w:t>
      </w:r>
      <w:r w:rsidR="00240D50" w:rsidRPr="000B1BE7">
        <w:t xml:space="preserve">review, select, and apply the most efficient method, based on careful consideration of the dataset and </w:t>
      </w:r>
      <w:r w:rsidR="00240D50">
        <w:t xml:space="preserve">the </w:t>
      </w:r>
      <w:r w:rsidR="00240D50" w:rsidRPr="000B1BE7">
        <w:t>type of missing data.</w:t>
      </w:r>
    </w:p>
    <w:p w:rsidR="00E31BC3" w:rsidRDefault="00E31BC3" w:rsidP="00E31BC3">
      <w:pPr>
        <w:rPr>
          <w:rFonts w:ascii="Arial" w:hAnsi="Arial" w:cs="Arial"/>
          <w:sz w:val="20"/>
          <w:szCs w:val="20"/>
        </w:rPr>
      </w:pPr>
    </w:p>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Propensity Score Matching with HRS Data</w:t>
      </w:r>
    </w:p>
    <w:p w:rsidR="005F39D3" w:rsidRDefault="001C4186" w:rsidP="00AF19CE">
      <w:r>
        <w:t xml:space="preserve">For the main study, </w:t>
      </w:r>
      <w:r w:rsidR="00240D50" w:rsidRPr="00A76785">
        <w:t xml:space="preserve">JBS will create </w:t>
      </w:r>
      <w:r w:rsidR="00240D50">
        <w:t xml:space="preserve">a </w:t>
      </w:r>
      <w:r w:rsidR="00240D50" w:rsidRPr="00F13634">
        <w:t>matched</w:t>
      </w:r>
      <w:r w:rsidR="00240D50" w:rsidRPr="00A76785">
        <w:t xml:space="preserve"> comparison group using the HRS data. The treatment group </w:t>
      </w:r>
      <w:r w:rsidR="00240D50">
        <w:t>will include</w:t>
      </w:r>
      <w:r w:rsidR="00240D50" w:rsidRPr="00A76785">
        <w:t xml:space="preserve"> </w:t>
      </w:r>
      <w:r w:rsidR="00B845A7">
        <w:t>SCP</w:t>
      </w:r>
      <w:r w:rsidR="00240D50" w:rsidRPr="00A76785">
        <w:t xml:space="preserve"> clients</w:t>
      </w:r>
      <w:r w:rsidR="00240D50">
        <w:t xml:space="preserve"> matched with</w:t>
      </w:r>
      <w:r w:rsidR="00240D50" w:rsidRPr="00A76785">
        <w:t xml:space="preserve"> a</w:t>
      </w:r>
      <w:r w:rsidR="00240D50">
        <w:t xml:space="preserve"> </w:t>
      </w:r>
      <w:r w:rsidR="0031582C">
        <w:t>comparison</w:t>
      </w:r>
      <w:r w:rsidR="0031582C" w:rsidRPr="00A76785">
        <w:t xml:space="preserve"> </w:t>
      </w:r>
      <w:r w:rsidR="00240D50" w:rsidRPr="00A76785">
        <w:t xml:space="preserve">group </w:t>
      </w:r>
      <w:r w:rsidR="00240D50">
        <w:t xml:space="preserve">of </w:t>
      </w:r>
      <w:r w:rsidR="00240D50" w:rsidRPr="00A76785">
        <w:t xml:space="preserve">HRS respondents </w:t>
      </w:r>
      <w:r w:rsidR="00240D50">
        <w:t xml:space="preserve">with similar characteristics who </w:t>
      </w:r>
      <w:r w:rsidR="00731FA4">
        <w:t>would not have</w:t>
      </w:r>
      <w:r w:rsidR="00B845A7">
        <w:t xml:space="preserve"> receive</w:t>
      </w:r>
      <w:r w:rsidR="00731FA4">
        <w:t>d</w:t>
      </w:r>
      <w:r w:rsidR="00B845A7">
        <w:t xml:space="preserve"> Senior Companion</w:t>
      </w:r>
      <w:r w:rsidR="00240D50" w:rsidRPr="00A76785">
        <w:t xml:space="preserve"> services. </w:t>
      </w:r>
      <w:r w:rsidR="00AF19CE">
        <w:t xml:space="preserve">Table </w:t>
      </w:r>
      <w:r w:rsidR="005F39D3">
        <w:t>2</w:t>
      </w:r>
      <w:r w:rsidR="00AF19CE" w:rsidRPr="00A76785">
        <w:t xml:space="preserve"> </w:t>
      </w:r>
      <w:r w:rsidR="00AF19CE">
        <w:t>below</w:t>
      </w:r>
      <w:r w:rsidR="00AF19CE" w:rsidRPr="00A76785">
        <w:t xml:space="preserve"> </w:t>
      </w:r>
      <w:r w:rsidR="005F39D3">
        <w:t>shows the list of common variables in the SCP and HRS datasets.</w:t>
      </w:r>
    </w:p>
    <w:p w:rsidR="005F39D3" w:rsidRDefault="005F39D3" w:rsidP="00AF19CE"/>
    <w:p w:rsidR="005F39D3" w:rsidRDefault="005F39D3" w:rsidP="00AF19CE">
      <w:r>
        <w:t>Table 2. Common Variables in the SCP and HRS Datasets</w:t>
      </w:r>
    </w:p>
    <w:p w:rsidR="005F39D3" w:rsidRDefault="005F39D3" w:rsidP="00AF19CE"/>
    <w:tbl>
      <w:tblPr>
        <w:tblW w:w="75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840"/>
        <w:gridCol w:w="1840"/>
        <w:gridCol w:w="1840"/>
      </w:tblGrid>
      <w:tr w:rsidR="00BB2389" w:rsidRPr="0009759A" w:rsidTr="00BB2389">
        <w:trPr>
          <w:trHeight w:val="600"/>
          <w:jc w:val="center"/>
        </w:trPr>
        <w:tc>
          <w:tcPr>
            <w:tcW w:w="2000" w:type="dxa"/>
            <w:shd w:val="clear" w:color="auto" w:fill="auto"/>
            <w:vAlign w:val="bottom"/>
            <w:hideMark/>
          </w:tcPr>
          <w:p w:rsidR="00BB2389" w:rsidRPr="0009759A" w:rsidRDefault="00BB2389" w:rsidP="005F39D3">
            <w:pPr>
              <w:rPr>
                <w:b/>
                <w:color w:val="000000"/>
              </w:rPr>
            </w:pPr>
            <w:r w:rsidRPr="0009759A">
              <w:rPr>
                <w:b/>
                <w:color w:val="000000"/>
              </w:rPr>
              <w:t>Senior Corps Survey Instrument</w:t>
            </w:r>
          </w:p>
        </w:tc>
        <w:tc>
          <w:tcPr>
            <w:tcW w:w="1840" w:type="dxa"/>
            <w:shd w:val="clear" w:color="auto" w:fill="auto"/>
            <w:vAlign w:val="bottom"/>
            <w:hideMark/>
          </w:tcPr>
          <w:p w:rsidR="00BB2389" w:rsidRPr="0009759A" w:rsidRDefault="00BB2389" w:rsidP="005F39D3">
            <w:pPr>
              <w:rPr>
                <w:b/>
                <w:color w:val="000000"/>
              </w:rPr>
            </w:pPr>
            <w:r w:rsidRPr="0009759A">
              <w:rPr>
                <w:b/>
                <w:color w:val="000000"/>
              </w:rPr>
              <w:t>HRS Data</w:t>
            </w:r>
          </w:p>
        </w:tc>
        <w:tc>
          <w:tcPr>
            <w:tcW w:w="1840" w:type="dxa"/>
          </w:tcPr>
          <w:p w:rsidR="00BB2389" w:rsidRPr="0009759A" w:rsidRDefault="00BB2389" w:rsidP="005F39D3">
            <w:pPr>
              <w:rPr>
                <w:b/>
                <w:color w:val="000000"/>
              </w:rPr>
            </w:pPr>
            <w:r>
              <w:rPr>
                <w:b/>
                <w:color w:val="000000"/>
              </w:rPr>
              <w:t>Items for propensity score model</w:t>
            </w:r>
          </w:p>
        </w:tc>
        <w:tc>
          <w:tcPr>
            <w:tcW w:w="1840" w:type="dxa"/>
          </w:tcPr>
          <w:p w:rsidR="00BB2389" w:rsidRDefault="00BB2389" w:rsidP="005F39D3">
            <w:pPr>
              <w:rPr>
                <w:b/>
                <w:color w:val="000000"/>
              </w:rPr>
            </w:pPr>
            <w:r>
              <w:rPr>
                <w:b/>
                <w:color w:val="000000"/>
              </w:rPr>
              <w:t>Items that are outcomes</w:t>
            </w:r>
            <w:r w:rsidR="007A6E88">
              <w:rPr>
                <w:b/>
                <w:color w:val="000000"/>
              </w:rPr>
              <w:t xml:space="preserve"> to compare between the two groups</w:t>
            </w:r>
          </w:p>
        </w:tc>
      </w:tr>
      <w:tr w:rsidR="00BB2389" w:rsidRPr="0009759A" w:rsidTr="00BB2389">
        <w:trPr>
          <w:trHeight w:val="600"/>
          <w:jc w:val="center"/>
        </w:trPr>
        <w:tc>
          <w:tcPr>
            <w:tcW w:w="2000" w:type="dxa"/>
            <w:shd w:val="clear" w:color="auto" w:fill="auto"/>
            <w:vAlign w:val="bottom"/>
            <w:hideMark/>
          </w:tcPr>
          <w:p w:rsidR="00BB2389" w:rsidRPr="0009759A" w:rsidRDefault="00BB2389" w:rsidP="007A6E88">
            <w:pPr>
              <w:rPr>
                <w:color w:val="000000"/>
              </w:rPr>
            </w:pPr>
            <w:r w:rsidRPr="0009759A">
              <w:rPr>
                <w:color w:val="000000"/>
              </w:rPr>
              <w:t>Questions 6 - 2</w:t>
            </w:r>
            <w:r w:rsidR="00A87214">
              <w:rPr>
                <w:color w:val="000000"/>
              </w:rPr>
              <w:t>5</w:t>
            </w:r>
            <w:r w:rsidRPr="0009759A">
              <w:rPr>
                <w:color w:val="000000"/>
              </w:rPr>
              <w:t>; 2</w:t>
            </w:r>
            <w:r w:rsidR="00A87214">
              <w:rPr>
                <w:color w:val="000000"/>
              </w:rPr>
              <w:t>6</w:t>
            </w:r>
            <w:r w:rsidRPr="0009759A">
              <w:rPr>
                <w:color w:val="000000"/>
              </w:rPr>
              <w:t xml:space="preserve"> - 3</w:t>
            </w:r>
            <w:r w:rsidR="00A87214">
              <w:rPr>
                <w:color w:val="000000"/>
              </w:rPr>
              <w:t>8</w:t>
            </w:r>
          </w:p>
        </w:tc>
        <w:tc>
          <w:tcPr>
            <w:tcW w:w="1840" w:type="dxa"/>
            <w:shd w:val="clear" w:color="auto" w:fill="auto"/>
            <w:vAlign w:val="bottom"/>
            <w:hideMark/>
          </w:tcPr>
          <w:p w:rsidR="00BB2389" w:rsidRPr="0009759A" w:rsidRDefault="00BB2389" w:rsidP="005F39D3">
            <w:pPr>
              <w:rPr>
                <w:color w:val="000000"/>
              </w:rPr>
            </w:pPr>
            <w:r w:rsidRPr="0009759A">
              <w:rPr>
                <w:color w:val="000000"/>
              </w:rPr>
              <w:t>Common questions</w:t>
            </w:r>
          </w:p>
        </w:tc>
        <w:tc>
          <w:tcPr>
            <w:tcW w:w="1840" w:type="dxa"/>
          </w:tcPr>
          <w:p w:rsidR="00BB2389" w:rsidRPr="0009759A" w:rsidRDefault="00BB2389" w:rsidP="00BB2389">
            <w:pPr>
              <w:rPr>
                <w:color w:val="000000"/>
              </w:rPr>
            </w:pPr>
            <w:r>
              <w:rPr>
                <w:color w:val="000000"/>
              </w:rPr>
              <w:t xml:space="preserve">Demographic </w:t>
            </w:r>
            <w:r w:rsidR="007A6E88">
              <w:rPr>
                <w:color w:val="000000"/>
              </w:rPr>
              <w:t xml:space="preserve">and background </w:t>
            </w:r>
            <w:r>
              <w:rPr>
                <w:color w:val="000000"/>
              </w:rPr>
              <w:t>questions 6-10, and 28-38; health questions 12-19</w:t>
            </w:r>
          </w:p>
        </w:tc>
        <w:tc>
          <w:tcPr>
            <w:tcW w:w="1840" w:type="dxa"/>
          </w:tcPr>
          <w:p w:rsidR="00BB2389" w:rsidRDefault="00BB2389" w:rsidP="007A6E88">
            <w:pPr>
              <w:rPr>
                <w:color w:val="000000"/>
              </w:rPr>
            </w:pPr>
            <w:r>
              <w:rPr>
                <w:color w:val="000000"/>
              </w:rPr>
              <w:t>Life satisfaction question 11; self</w:t>
            </w:r>
            <w:r w:rsidR="007A6E88">
              <w:rPr>
                <w:color w:val="000000"/>
              </w:rPr>
              <w:t>-</w:t>
            </w:r>
            <w:r>
              <w:rPr>
                <w:color w:val="000000"/>
              </w:rPr>
              <w:t>efficacy questions 20-21; social loneliness question 22-23; emotional loneliness 24-25</w:t>
            </w:r>
          </w:p>
        </w:tc>
      </w:tr>
      <w:tr w:rsidR="00BB2389" w:rsidRPr="0009759A" w:rsidTr="00BB2389">
        <w:trPr>
          <w:trHeight w:val="600"/>
          <w:jc w:val="center"/>
        </w:trPr>
        <w:tc>
          <w:tcPr>
            <w:tcW w:w="2000" w:type="dxa"/>
            <w:shd w:val="clear" w:color="auto" w:fill="auto"/>
            <w:vAlign w:val="bottom"/>
            <w:hideMark/>
          </w:tcPr>
          <w:p w:rsidR="00BB2389" w:rsidRPr="0009759A" w:rsidRDefault="00BB2389" w:rsidP="005F39D3">
            <w:pPr>
              <w:rPr>
                <w:color w:val="000000"/>
              </w:rPr>
            </w:pPr>
            <w:r>
              <w:rPr>
                <w:color w:val="000000"/>
              </w:rPr>
              <w:t>Questions 2</w:t>
            </w:r>
            <w:r w:rsidR="007A6E88">
              <w:rPr>
                <w:color w:val="000000"/>
              </w:rPr>
              <w:t>6</w:t>
            </w:r>
            <w:r>
              <w:rPr>
                <w:color w:val="000000"/>
              </w:rPr>
              <w:t xml:space="preserve"> and</w:t>
            </w:r>
            <w:r w:rsidRPr="0009759A">
              <w:rPr>
                <w:color w:val="000000"/>
              </w:rPr>
              <w:t xml:space="preserve"> 2</w:t>
            </w:r>
            <w:r w:rsidR="007A6E88">
              <w:rPr>
                <w:color w:val="000000"/>
              </w:rPr>
              <w:t>7</w:t>
            </w:r>
          </w:p>
        </w:tc>
        <w:tc>
          <w:tcPr>
            <w:tcW w:w="1840" w:type="dxa"/>
            <w:shd w:val="clear" w:color="auto" w:fill="auto"/>
            <w:vAlign w:val="bottom"/>
            <w:hideMark/>
          </w:tcPr>
          <w:p w:rsidR="00BB2389" w:rsidRPr="0009759A" w:rsidRDefault="00BB2389" w:rsidP="005F39D3">
            <w:pPr>
              <w:rPr>
                <w:color w:val="000000"/>
              </w:rPr>
            </w:pPr>
            <w:r w:rsidRPr="0009759A">
              <w:rPr>
                <w:color w:val="000000"/>
              </w:rPr>
              <w:t>Not in the HRS data</w:t>
            </w:r>
          </w:p>
        </w:tc>
        <w:tc>
          <w:tcPr>
            <w:tcW w:w="1840" w:type="dxa"/>
          </w:tcPr>
          <w:p w:rsidR="00BB2389" w:rsidRPr="0009759A" w:rsidRDefault="00BB2389" w:rsidP="005F39D3">
            <w:pPr>
              <w:rPr>
                <w:color w:val="000000"/>
              </w:rPr>
            </w:pPr>
          </w:p>
        </w:tc>
        <w:tc>
          <w:tcPr>
            <w:tcW w:w="1840" w:type="dxa"/>
          </w:tcPr>
          <w:p w:rsidR="00BB2389" w:rsidRPr="0009759A" w:rsidRDefault="00BB2389" w:rsidP="005F39D3">
            <w:pPr>
              <w:rPr>
                <w:color w:val="000000"/>
              </w:rPr>
            </w:pPr>
          </w:p>
        </w:tc>
      </w:tr>
    </w:tbl>
    <w:p w:rsidR="005F39D3" w:rsidRDefault="005F39D3" w:rsidP="00AF19CE"/>
    <w:p w:rsidR="005F39D3" w:rsidRDefault="005F39D3" w:rsidP="00AF19CE"/>
    <w:p w:rsidR="00AF19CE" w:rsidRDefault="005F39D3" w:rsidP="00AF19CE">
      <w:r>
        <w:t xml:space="preserve">Table 3 below </w:t>
      </w:r>
      <w:r w:rsidR="00AF19CE" w:rsidRPr="00A76785">
        <w:t>describes the an</w:t>
      </w:r>
      <w:r w:rsidR="00AF19CE">
        <w:t xml:space="preserve">alytic steps to complete </w:t>
      </w:r>
      <w:r w:rsidR="00B845A7">
        <w:t xml:space="preserve">the </w:t>
      </w:r>
      <w:r w:rsidR="00AF19CE">
        <w:t>p</w:t>
      </w:r>
      <w:r w:rsidR="00AF19CE" w:rsidRPr="00162866">
        <w:t xml:space="preserve">ropensity score matching </w:t>
      </w:r>
      <w:r w:rsidR="00AF19CE">
        <w:t>(PS</w:t>
      </w:r>
      <w:r w:rsidR="00AF19CE" w:rsidRPr="00A76785">
        <w:t>M</w:t>
      </w:r>
      <w:r w:rsidR="00AF19CE">
        <w:t>)</w:t>
      </w:r>
      <w:r w:rsidR="00AF19CE" w:rsidRPr="00A76785">
        <w:t>.</w:t>
      </w:r>
    </w:p>
    <w:p w:rsidR="002C5E1B" w:rsidRDefault="002C5E1B">
      <w:pPr>
        <w:spacing w:after="200" w:line="276" w:lineRule="auto"/>
        <w:rPr>
          <w:b/>
        </w:rPr>
      </w:pPr>
      <w:r>
        <w:rPr>
          <w:b/>
        </w:rPr>
        <w:br w:type="page"/>
      </w:r>
    </w:p>
    <w:p w:rsidR="00AF19CE" w:rsidRDefault="00AF19CE" w:rsidP="00AF19CE">
      <w:pPr>
        <w:rPr>
          <w:b/>
        </w:rPr>
      </w:pPr>
      <w:r>
        <w:rPr>
          <w:b/>
        </w:rPr>
        <w:lastRenderedPageBreak/>
        <w:t xml:space="preserve">Table </w:t>
      </w:r>
      <w:r w:rsidR="005F39D3">
        <w:rPr>
          <w:b/>
        </w:rPr>
        <w:t>3</w:t>
      </w:r>
      <w:r w:rsidRPr="002D2EB0">
        <w:rPr>
          <w:b/>
        </w:rPr>
        <w:t>.</w:t>
      </w:r>
      <w:r>
        <w:rPr>
          <w:b/>
        </w:rPr>
        <w:t xml:space="preserve"> Propensity Score M</w:t>
      </w:r>
      <w:r w:rsidRPr="0029393F">
        <w:rPr>
          <w:b/>
        </w:rPr>
        <w:t>atching</w:t>
      </w:r>
    </w:p>
    <w:p w:rsidR="00240D50" w:rsidRDefault="00240D50" w:rsidP="00240D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200"/>
      </w:tblGrid>
      <w:tr w:rsidR="00AF19CE" w:rsidRPr="00AF19CE" w:rsidTr="002C5E1B">
        <w:trPr>
          <w:cantSplit/>
          <w:tblHeader/>
        </w:trPr>
        <w:tc>
          <w:tcPr>
            <w:tcW w:w="2268" w:type="dxa"/>
            <w:tcBorders>
              <w:right w:val="single" w:sz="4" w:space="0" w:color="FFFFFF"/>
            </w:tcBorders>
            <w:shd w:val="clear" w:color="auto" w:fill="000000"/>
          </w:tcPr>
          <w:p w:rsidR="00AF19CE" w:rsidRPr="00AF19CE" w:rsidRDefault="00AF19CE" w:rsidP="00AF19CE">
            <w:pPr>
              <w:rPr>
                <w:b/>
              </w:rPr>
            </w:pPr>
            <w:r w:rsidRPr="00AF19CE">
              <w:rPr>
                <w:b/>
              </w:rPr>
              <w:t>Activity</w:t>
            </w:r>
          </w:p>
        </w:tc>
        <w:tc>
          <w:tcPr>
            <w:tcW w:w="7200" w:type="dxa"/>
            <w:tcBorders>
              <w:left w:val="single" w:sz="4" w:space="0" w:color="FFFFFF"/>
            </w:tcBorders>
            <w:shd w:val="clear" w:color="auto" w:fill="000000"/>
          </w:tcPr>
          <w:p w:rsidR="00AF19CE" w:rsidRPr="00AF19CE" w:rsidRDefault="00AF19CE" w:rsidP="00AF19CE">
            <w:pPr>
              <w:rPr>
                <w:b/>
              </w:rPr>
            </w:pPr>
            <w:r w:rsidRPr="00AF19CE">
              <w:rPr>
                <w:b/>
              </w:rPr>
              <w:t>How and what will be done</w:t>
            </w:r>
          </w:p>
        </w:tc>
      </w:tr>
      <w:tr w:rsidR="00AF19CE" w:rsidRPr="00AF19CE" w:rsidTr="002C5E1B">
        <w:trPr>
          <w:cantSplit/>
        </w:trPr>
        <w:tc>
          <w:tcPr>
            <w:tcW w:w="2268" w:type="dxa"/>
          </w:tcPr>
          <w:p w:rsidR="00AF19CE" w:rsidRPr="00AF19CE" w:rsidRDefault="00AF19CE" w:rsidP="00AF19CE">
            <w:pPr>
              <w:pStyle w:val="proposaltext"/>
              <w:spacing w:before="0" w:beforeAutospacing="0" w:after="0" w:afterAutospacing="0"/>
            </w:pPr>
            <w:r w:rsidRPr="00AF19CE">
              <w:t>Data preparation and harmonization</w:t>
            </w:r>
          </w:p>
        </w:tc>
        <w:tc>
          <w:tcPr>
            <w:tcW w:w="7200" w:type="dxa"/>
          </w:tcPr>
          <w:p w:rsidR="00AF19CE" w:rsidRPr="00AF19CE" w:rsidRDefault="00AF19CE" w:rsidP="00AF19CE">
            <w:pPr>
              <w:pStyle w:val="ListParagraph"/>
              <w:numPr>
                <w:ilvl w:val="0"/>
                <w:numId w:val="10"/>
              </w:numPr>
              <w:spacing w:after="60"/>
            </w:pPr>
            <w:r w:rsidRPr="00AF19CE">
              <w:t xml:space="preserve">Common variables in </w:t>
            </w:r>
            <w:r w:rsidR="00731FA4">
              <w:t>the SCP and HRS</w:t>
            </w:r>
            <w:r w:rsidRPr="00AF19CE">
              <w:t xml:space="preserve"> datasets will be aligned in terms of their definition and measurements, and their distributions will be aligned as closely as possible to each other so as to minimize differences among common variables across datasets. For example, JBS will examine the ‘age’ variable in both data sets to assess whether the range of values for this variable is similar across both datasets. If they are not, then the ‘age’ variable will be harmonized across both datasets.</w:t>
            </w:r>
          </w:p>
          <w:p w:rsidR="00AF19CE" w:rsidRPr="00AF19CE" w:rsidRDefault="00AF19CE" w:rsidP="00AF19CE">
            <w:pPr>
              <w:pStyle w:val="ListParagraph"/>
              <w:numPr>
                <w:ilvl w:val="0"/>
                <w:numId w:val="10"/>
              </w:numPr>
              <w:spacing w:after="60"/>
            </w:pPr>
            <w:r w:rsidRPr="00AF19CE">
              <w:t>JBS will handle missing data imputation similarly for both datasets.</w:t>
            </w:r>
          </w:p>
          <w:p w:rsidR="00AF19CE" w:rsidRPr="00AF19CE" w:rsidRDefault="00AF19CE" w:rsidP="00731FA4">
            <w:pPr>
              <w:pStyle w:val="ListParagraph"/>
              <w:numPr>
                <w:ilvl w:val="0"/>
                <w:numId w:val="10"/>
              </w:numPr>
              <w:spacing w:after="60"/>
            </w:pPr>
            <w:r w:rsidRPr="00AF19CE">
              <w:t xml:space="preserve">The HRS data will be appended to the </w:t>
            </w:r>
            <w:r w:rsidR="00B845A7">
              <w:t xml:space="preserve">SCP </w:t>
            </w:r>
            <w:r w:rsidRPr="00AF19CE">
              <w:t xml:space="preserve">data to create a combined data file. JBS will add a variable to indicate whether a case belongs to the treatment group from the </w:t>
            </w:r>
            <w:r w:rsidR="00731FA4">
              <w:t>SCP</w:t>
            </w:r>
            <w:r w:rsidRPr="00AF19CE">
              <w:t xml:space="preserve"> data or a control case from the HRS data.</w:t>
            </w:r>
          </w:p>
        </w:tc>
      </w:tr>
      <w:tr w:rsidR="00AF19CE" w:rsidRPr="00AF19CE" w:rsidTr="002C5E1B">
        <w:trPr>
          <w:cantSplit/>
        </w:trPr>
        <w:tc>
          <w:tcPr>
            <w:tcW w:w="2268" w:type="dxa"/>
          </w:tcPr>
          <w:p w:rsidR="00AF19CE" w:rsidRPr="00AF19CE" w:rsidRDefault="00AF19CE" w:rsidP="00AF19CE">
            <w:r w:rsidRPr="00AF19CE">
              <w:t>Weight adjustments</w:t>
            </w:r>
          </w:p>
        </w:tc>
        <w:tc>
          <w:tcPr>
            <w:tcW w:w="7200" w:type="dxa"/>
          </w:tcPr>
          <w:p w:rsidR="00AF19CE" w:rsidRPr="00AF19CE" w:rsidRDefault="00AF19CE" w:rsidP="008C5623">
            <w:pPr>
              <w:pStyle w:val="ListParagraph"/>
              <w:numPr>
                <w:ilvl w:val="0"/>
                <w:numId w:val="10"/>
              </w:numPr>
              <w:spacing w:after="60"/>
            </w:pPr>
            <w:r w:rsidRPr="00AF19CE">
              <w:t xml:space="preserve">Although the </w:t>
            </w:r>
            <w:r w:rsidR="00B845A7">
              <w:t>SCP</w:t>
            </w:r>
            <w:r w:rsidRPr="00AF19CE">
              <w:t xml:space="preserve"> data and the HRS data have common variables on which to match them, the data are produced for different purposes, are based on different designs, and the HRS data will likely be from different years than the </w:t>
            </w:r>
            <w:r w:rsidR="00B845A7">
              <w:t>SCP</w:t>
            </w:r>
            <w:r w:rsidRPr="00AF19CE">
              <w:t xml:space="preserve"> data. </w:t>
            </w:r>
            <w:r w:rsidR="00B53CF6">
              <w:t>The SCP data will be from a self-weighting PPS sample. We will use unweighted HRS data</w:t>
            </w:r>
            <w:r w:rsidR="008C5623">
              <w:t xml:space="preserve"> when estimating the impact of the treatment</w:t>
            </w:r>
            <w:r w:rsidR="00B53CF6">
              <w:t>. We will not make inference to the whole population</w:t>
            </w:r>
            <w:r w:rsidR="008C5623">
              <w:t xml:space="preserve"> of SCP clients</w:t>
            </w:r>
            <w:r w:rsidR="00B53CF6">
              <w:t xml:space="preserve">. </w:t>
            </w:r>
            <w:r w:rsidR="004C4184">
              <w:t xml:space="preserve">The HRS oversamples minority population, given that the SCP population is more heavily minority and low-income, the unweighted HRS data will more likely resemble the SCP population. </w:t>
            </w:r>
            <w:r w:rsidR="00F12103">
              <w:t xml:space="preserve"> </w:t>
            </w:r>
          </w:p>
        </w:tc>
      </w:tr>
      <w:tr w:rsidR="00AF19CE" w:rsidRPr="00AF19CE" w:rsidTr="002C5E1B">
        <w:trPr>
          <w:cantSplit/>
        </w:trPr>
        <w:tc>
          <w:tcPr>
            <w:tcW w:w="2268" w:type="dxa"/>
          </w:tcPr>
          <w:p w:rsidR="00AF19CE" w:rsidRPr="00AF19CE" w:rsidRDefault="00AF19CE" w:rsidP="00AF19CE">
            <w:r w:rsidRPr="00AF19CE">
              <w:t>Stratification and segmentation</w:t>
            </w:r>
          </w:p>
        </w:tc>
        <w:tc>
          <w:tcPr>
            <w:tcW w:w="7200" w:type="dxa"/>
          </w:tcPr>
          <w:p w:rsidR="00AF19CE" w:rsidRPr="00AF19CE" w:rsidRDefault="00AF19CE" w:rsidP="00AF19CE">
            <w:pPr>
              <w:pStyle w:val="ListParagraph"/>
              <w:numPr>
                <w:ilvl w:val="0"/>
                <w:numId w:val="10"/>
              </w:numPr>
              <w:spacing w:after="60"/>
            </w:pPr>
            <w:r w:rsidRPr="00AF19CE">
              <w:t xml:space="preserve">JBS will assess whether it would be beneficial and more efficient to segment the combined </w:t>
            </w:r>
            <w:r w:rsidR="00B845A7">
              <w:t>SCP</w:t>
            </w:r>
            <w:r w:rsidRPr="00AF19CE">
              <w:t>-HRS data into discrete cells. The propensity scores would be estimated separately within cells, and matching of treatment to control cases would be conducted within each cell. The segmentation approach might achieve a tighter fit in matching treatment cases to control cases.</w:t>
            </w:r>
          </w:p>
          <w:p w:rsidR="00AF19CE" w:rsidRPr="00AF19CE" w:rsidRDefault="00AF19CE" w:rsidP="006204AC">
            <w:pPr>
              <w:pStyle w:val="ListParagraph"/>
              <w:numPr>
                <w:ilvl w:val="0"/>
                <w:numId w:val="10"/>
              </w:numPr>
              <w:spacing w:after="60"/>
            </w:pPr>
            <w:r w:rsidRPr="00AF19CE">
              <w:t xml:space="preserve">A reason for exploring this option is that the HRS data oversampled African American, Hispanic, and Florida </w:t>
            </w:r>
            <w:r w:rsidR="006204AC">
              <w:t>respondents</w:t>
            </w:r>
            <w:r w:rsidRPr="00AF19CE">
              <w:t>. Thus, it is important to explore whether matches of certain types of cases should be required and/or avoided.</w:t>
            </w:r>
          </w:p>
        </w:tc>
      </w:tr>
      <w:tr w:rsidR="00AF19CE" w:rsidRPr="00AF19CE" w:rsidTr="002C5E1B">
        <w:trPr>
          <w:cantSplit/>
        </w:trPr>
        <w:tc>
          <w:tcPr>
            <w:tcW w:w="2268" w:type="dxa"/>
          </w:tcPr>
          <w:p w:rsidR="00AF19CE" w:rsidRPr="00AF19CE" w:rsidRDefault="00AF19CE" w:rsidP="00AF19CE">
            <w:pPr>
              <w:pStyle w:val="proposaltext"/>
              <w:spacing w:before="0" w:beforeAutospacing="0" w:after="0" w:afterAutospacing="0"/>
            </w:pPr>
            <w:r w:rsidRPr="00AF19CE">
              <w:lastRenderedPageBreak/>
              <w:t>Estimate the propensity score</w:t>
            </w:r>
          </w:p>
        </w:tc>
        <w:tc>
          <w:tcPr>
            <w:tcW w:w="7200" w:type="dxa"/>
          </w:tcPr>
          <w:p w:rsidR="00AF19CE" w:rsidRPr="00AF19CE" w:rsidRDefault="00AF19CE" w:rsidP="00AF19CE">
            <w:pPr>
              <w:pStyle w:val="ListParagraph"/>
              <w:numPr>
                <w:ilvl w:val="0"/>
                <w:numId w:val="10"/>
              </w:numPr>
              <w:spacing w:after="60"/>
            </w:pPr>
            <w:r w:rsidRPr="00AF19CE">
              <w:t xml:space="preserve">JBS will estimate a logistic regression model on the combined </w:t>
            </w:r>
            <w:r w:rsidR="00B845A7">
              <w:t>SCP</w:t>
            </w:r>
            <w:r w:rsidRPr="00AF19CE">
              <w:t>-HRS dataset where the dependent variable is whether a respondent is a treatment case (e.g</w:t>
            </w:r>
            <w:r w:rsidR="00B845A7">
              <w:t>.,</w:t>
            </w:r>
            <w:r w:rsidRPr="00AF19CE">
              <w:t xml:space="preserve"> </w:t>
            </w:r>
            <w:r w:rsidR="00B845A7">
              <w:t>SCP</w:t>
            </w:r>
            <w:r w:rsidRPr="00AF19CE">
              <w:t xml:space="preserve"> client) and the common variables in the combined data </w:t>
            </w:r>
            <w:r w:rsidR="006204AC">
              <w:t>are</w:t>
            </w:r>
            <w:r w:rsidRPr="00AF19CE">
              <w:t xml:space="preserve"> independent variables (excluding the variable for which we want to detect impact of Senior </w:t>
            </w:r>
            <w:r w:rsidR="00B845A7">
              <w:t>Companion services</w:t>
            </w:r>
            <w:r w:rsidRPr="00AF19CE">
              <w:t>).</w:t>
            </w:r>
          </w:p>
          <w:p w:rsidR="00AF19CE" w:rsidRPr="00AF19CE" w:rsidRDefault="00AF19CE" w:rsidP="00B845A7">
            <w:pPr>
              <w:pStyle w:val="ListParagraph"/>
              <w:numPr>
                <w:ilvl w:val="0"/>
                <w:numId w:val="10"/>
              </w:numPr>
              <w:spacing w:after="60"/>
            </w:pPr>
            <w:r w:rsidRPr="00AF19CE">
              <w:t xml:space="preserve">For example, if we are trying to assess the impact of </w:t>
            </w:r>
            <w:r w:rsidR="00B845A7">
              <w:t>Senior Companion services</w:t>
            </w:r>
            <w:r w:rsidRPr="00AF19CE">
              <w:t xml:space="preserve"> on psychosocial health outcomes, then when estimating the propensity score, the psychosocial health measures will not be included as independent variables to estimate the propensity score. If data are segmented, as discussed in the prior step, JBS will estimate a cell-specific propensity score in order to achieve a tighter fit in matching.</w:t>
            </w:r>
          </w:p>
        </w:tc>
      </w:tr>
      <w:tr w:rsidR="00AF19CE" w:rsidRPr="00AF19CE" w:rsidTr="002C5E1B">
        <w:trPr>
          <w:cantSplit/>
        </w:trPr>
        <w:tc>
          <w:tcPr>
            <w:tcW w:w="2268" w:type="dxa"/>
          </w:tcPr>
          <w:p w:rsidR="00AF19CE" w:rsidRPr="00AF19CE" w:rsidRDefault="00AF19CE" w:rsidP="00AF19CE">
            <w:pPr>
              <w:pStyle w:val="proposaltext"/>
              <w:spacing w:before="0" w:beforeAutospacing="0" w:after="0" w:afterAutospacing="0"/>
            </w:pPr>
            <w:r w:rsidRPr="00AF19CE">
              <w:t>Matching algorithm</w:t>
            </w:r>
          </w:p>
        </w:tc>
        <w:tc>
          <w:tcPr>
            <w:tcW w:w="7200" w:type="dxa"/>
          </w:tcPr>
          <w:p w:rsidR="00AF19CE" w:rsidRPr="00AF19CE" w:rsidRDefault="00AF19CE" w:rsidP="006B6DAF">
            <w:pPr>
              <w:pStyle w:val="ListParagraph"/>
              <w:numPr>
                <w:ilvl w:val="0"/>
                <w:numId w:val="10"/>
              </w:numPr>
              <w:spacing w:after="60"/>
            </w:pPr>
            <w:r w:rsidRPr="00AF19CE">
              <w:t>JBS will use the nearest neighbor matching procedure to match the treatment cases to the control cases. JBS will use sampling with</w:t>
            </w:r>
            <w:r w:rsidR="006B6DAF">
              <w:t>out</w:t>
            </w:r>
            <w:r w:rsidRPr="00AF19CE">
              <w:t xml:space="preserve"> replacement</w:t>
            </w:r>
            <w:r w:rsidR="006B6DAF">
              <w:t xml:space="preserve"> meaning each comparison group respondent will be included as a matched case only once. </w:t>
            </w:r>
            <w:r w:rsidRPr="00AF19CE">
              <w:t>.</w:t>
            </w:r>
          </w:p>
        </w:tc>
      </w:tr>
      <w:tr w:rsidR="00AF19CE" w:rsidRPr="00AF19CE" w:rsidTr="002C5E1B">
        <w:trPr>
          <w:cantSplit/>
        </w:trPr>
        <w:tc>
          <w:tcPr>
            <w:tcW w:w="2268" w:type="dxa"/>
          </w:tcPr>
          <w:p w:rsidR="00AF19CE" w:rsidRPr="00AF19CE" w:rsidRDefault="00AF19CE" w:rsidP="00AF19CE">
            <w:r w:rsidRPr="00AF19CE">
              <w:t>Test properties of the statistical match</w:t>
            </w:r>
          </w:p>
        </w:tc>
        <w:tc>
          <w:tcPr>
            <w:tcW w:w="7200" w:type="dxa"/>
          </w:tcPr>
          <w:p w:rsidR="00AF19CE" w:rsidRPr="00AF19CE" w:rsidRDefault="00AF19CE" w:rsidP="00AF19CE">
            <w:pPr>
              <w:pStyle w:val="ListParagraph"/>
              <w:numPr>
                <w:ilvl w:val="0"/>
                <w:numId w:val="10"/>
              </w:numPr>
              <w:spacing w:after="60"/>
            </w:pPr>
            <w:r w:rsidRPr="00AF19CE">
              <w:t>JBS will check the key assumptions and verify that the model specification to create the comparison group is appropriate and that the results do not exhibit any bias.</w:t>
            </w:r>
          </w:p>
          <w:p w:rsidR="00AF19CE" w:rsidRPr="00AF19CE" w:rsidRDefault="00AF19CE" w:rsidP="00AF19CE">
            <w:pPr>
              <w:pStyle w:val="ListParagraph"/>
              <w:numPr>
                <w:ilvl w:val="0"/>
                <w:numId w:val="10"/>
              </w:numPr>
              <w:spacing w:after="60"/>
            </w:pPr>
            <w:r w:rsidRPr="00AF19CE">
              <w:t>JBS will check that the PSM balances the characteristics between the treatment and comparison group. If differences between treatment and control group persist after the match, JBS will refine the model specification to improve the balance between the groups, or, potentially, consider a different matching approach.</w:t>
            </w:r>
          </w:p>
        </w:tc>
      </w:tr>
    </w:tbl>
    <w:p w:rsidR="00E31BC3" w:rsidRDefault="00E31BC3" w:rsidP="00240D50">
      <w:pPr>
        <w:rPr>
          <w:b/>
        </w:rPr>
      </w:pPr>
    </w:p>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Statistical modeling</w:t>
      </w:r>
    </w:p>
    <w:p w:rsidR="00240D50" w:rsidRDefault="00240D50" w:rsidP="00240D50">
      <w:r>
        <w:t xml:space="preserve">The impact of Senior </w:t>
      </w:r>
      <w:r w:rsidR="00AF19CE">
        <w:t>Companion</w:t>
      </w:r>
      <w:r>
        <w:t xml:space="preserve"> </w:t>
      </w:r>
      <w:r w:rsidR="00B845A7">
        <w:t xml:space="preserve">services </w:t>
      </w:r>
      <w:r>
        <w:t>will be estimated as the average of the difference in outcomes between treatmen</w:t>
      </w:r>
      <w:r w:rsidR="00AF19CE">
        <w:t xml:space="preserve">t and the </w:t>
      </w:r>
      <w:r w:rsidR="0031582C">
        <w:t xml:space="preserve">comparison </w:t>
      </w:r>
      <w:r w:rsidR="00AF19CE">
        <w:t xml:space="preserve">group. We expect the </w:t>
      </w:r>
      <w:r w:rsidR="00B845A7">
        <w:t>SCP</w:t>
      </w:r>
      <w:r w:rsidR="00AF19CE">
        <w:t xml:space="preserve"> data </w:t>
      </w:r>
      <w:r w:rsidR="00B845A7">
        <w:t>will have a nested structure; that is,</w:t>
      </w:r>
      <w:r w:rsidR="00AF19CE">
        <w:t xml:space="preserve"> </w:t>
      </w:r>
      <w:r w:rsidR="00B845A7">
        <w:t xml:space="preserve">SCP </w:t>
      </w:r>
      <w:r w:rsidR="00AF19CE">
        <w:t xml:space="preserve">clients will be nested within sites or stations, </w:t>
      </w:r>
      <w:r w:rsidR="00C473DE">
        <w:t xml:space="preserve">and </w:t>
      </w:r>
      <w:r w:rsidR="00AF19CE">
        <w:t xml:space="preserve">stations will be nested within project. The </w:t>
      </w:r>
      <w:r>
        <w:t xml:space="preserve">HRS </w:t>
      </w:r>
      <w:r w:rsidR="00EB4882" w:rsidRPr="00A065D3">
        <w:t>sample is selected under a multi-stage area probability sample design</w:t>
      </w:r>
      <w:r w:rsidR="00E45DB0">
        <w:t xml:space="preserve">, and  </w:t>
      </w:r>
      <w:r w:rsidR="00EB4882">
        <w:t xml:space="preserve">oversamples minority respondents. </w:t>
      </w:r>
      <w:r>
        <w:t xml:space="preserve">JBS will use multilevel/hierarchical models to estimate the impact of the Senior </w:t>
      </w:r>
      <w:r w:rsidR="00AF19CE">
        <w:t>Companion</w:t>
      </w:r>
      <w:r>
        <w:t xml:space="preserve"> treatment using Generalized Linear Mixed Models (GLMM)</w:t>
      </w:r>
      <w:r w:rsidR="00C473DE">
        <w:t>,</w:t>
      </w:r>
      <w:r>
        <w:t xml:space="preserve"> which are the appropriate multilevel models for complex and clustered samples like the </w:t>
      </w:r>
      <w:r w:rsidR="00B845A7">
        <w:t>SCP</w:t>
      </w:r>
      <w:r>
        <w:t xml:space="preserve"> and HRS data where the outcome measures are either categorical or dichotomous.</w:t>
      </w:r>
    </w:p>
    <w:p w:rsidR="00A14D2F" w:rsidRDefault="00A14D2F" w:rsidP="00240D50"/>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Feasibility of Future Studies</w:t>
      </w:r>
    </w:p>
    <w:p w:rsidR="00240D50" w:rsidRDefault="00240D50" w:rsidP="00240D50">
      <w:r>
        <w:t>JBS</w:t>
      </w:r>
      <w:r w:rsidRPr="00003E2F">
        <w:t xml:space="preserve"> will collaborate and consult with CNCS to identify </w:t>
      </w:r>
      <w:r w:rsidR="00340FFD">
        <w:t xml:space="preserve">and understand </w:t>
      </w:r>
      <w:r w:rsidRPr="00003E2F">
        <w:t xml:space="preserve">the issues to be addressed in future studies of </w:t>
      </w:r>
      <w:r w:rsidR="00B845A7">
        <w:t>SCP</w:t>
      </w:r>
      <w:r w:rsidRPr="00003E2F">
        <w:t xml:space="preserve">. These issues </w:t>
      </w:r>
      <w:r>
        <w:t xml:space="preserve">might </w:t>
      </w:r>
      <w:r w:rsidRPr="00003E2F">
        <w:t>include research objective, design, expect</w:t>
      </w:r>
      <w:r w:rsidR="004C5A4F">
        <w:t>ed data analysis method, detecta</w:t>
      </w:r>
      <w:r w:rsidRPr="00003E2F">
        <w:t xml:space="preserve">ble power, sample size, type I error, variability, and effect size. </w:t>
      </w:r>
      <w:r>
        <w:t xml:space="preserve">JBS </w:t>
      </w:r>
      <w:r w:rsidRPr="00003E2F">
        <w:t xml:space="preserve">will use </w:t>
      </w:r>
      <w:r>
        <w:t xml:space="preserve">the </w:t>
      </w:r>
      <w:r w:rsidRPr="00003E2F">
        <w:t>results</w:t>
      </w:r>
      <w:r>
        <w:t>,</w:t>
      </w:r>
      <w:r w:rsidRPr="00003E2F">
        <w:t xml:space="preserve"> </w:t>
      </w:r>
      <w:r>
        <w:t>including the pilot pre/post survey of new clients, as well as</w:t>
      </w:r>
      <w:r w:rsidRPr="00003E2F">
        <w:t xml:space="preserve"> prior results from </w:t>
      </w:r>
      <w:r>
        <w:t xml:space="preserve">other </w:t>
      </w:r>
      <w:r w:rsidRPr="00003E2F">
        <w:t xml:space="preserve">studies </w:t>
      </w:r>
      <w:r>
        <w:t>(</w:t>
      </w:r>
      <w:r w:rsidR="00B845A7">
        <w:t>such as</w:t>
      </w:r>
      <w:r w:rsidRPr="00003E2F">
        <w:t xml:space="preserve"> reports and papers that used the HRS data and peer-reviewed articles</w:t>
      </w:r>
      <w:r>
        <w:t>)</w:t>
      </w:r>
      <w:r w:rsidR="00C473DE">
        <w:t>,</w:t>
      </w:r>
      <w:r w:rsidRPr="00003E2F">
        <w:t xml:space="preserve"> to arrive at an informed set of values f</w:t>
      </w:r>
      <w:r>
        <w:t>or</w:t>
      </w:r>
      <w:r w:rsidRPr="00003E2F">
        <w:t xml:space="preserve"> the type of information needed to carry out a power analysis</w:t>
      </w:r>
      <w:r>
        <w:t xml:space="preserve"> for future studies</w:t>
      </w:r>
      <w:r w:rsidRPr="00003E2F">
        <w:t xml:space="preserve">. </w:t>
      </w:r>
      <w:r>
        <w:t xml:space="preserve">JBS </w:t>
      </w:r>
      <w:r w:rsidRPr="00003E2F">
        <w:t xml:space="preserve">will conduct several analyses using reasonable ranges in </w:t>
      </w:r>
      <w:r w:rsidRPr="00003E2F">
        <w:lastRenderedPageBreak/>
        <w:t xml:space="preserve">each input component used in the power analysis </w:t>
      </w:r>
      <w:r>
        <w:t xml:space="preserve">to </w:t>
      </w:r>
      <w:r w:rsidRPr="00003E2F">
        <w:t xml:space="preserve">obtain a range of estimated sample size options and effect sizes. Using the results from the power analysis, </w:t>
      </w:r>
      <w:r>
        <w:t>JBS</w:t>
      </w:r>
      <w:r w:rsidRPr="00003E2F">
        <w:t xml:space="preserve"> will provide cost estimates needed to implement future studies.</w:t>
      </w:r>
    </w:p>
    <w:p w:rsidR="00C453B1" w:rsidRDefault="00C453B1" w:rsidP="00240D50"/>
    <w:p w:rsidR="00C453B1" w:rsidRDefault="00C453B1" w:rsidP="00986D49">
      <w:pPr>
        <w:pStyle w:val="ListParagraph"/>
        <w:numPr>
          <w:ilvl w:val="0"/>
          <w:numId w:val="12"/>
        </w:numPr>
      </w:pPr>
      <w:r>
        <w:t>Limitations</w:t>
      </w:r>
    </w:p>
    <w:p w:rsidR="00C453B1" w:rsidRDefault="00C453B1" w:rsidP="00C453B1">
      <w:r>
        <w:t xml:space="preserve">CNCS recognizes that the quasi-experimental for the main study is subject to limitations and threats to internal validity that will be noted in all reports of the results.  Specifically, the main study seeks to match SCP clients using propensity score matching procedures to a completely independent sample survey using common measures from both collections that will be collected at different points in time by different organizations and under different conditions.  Any observed differences may </w:t>
      </w:r>
      <w:r w:rsidR="008F24F5">
        <w:t xml:space="preserve">be due to these and other factors rather than effects of the SCP program per se.  However, CNCS believes that this research design will provide potentially useful insights about potential effects of the SCP program.  </w:t>
      </w:r>
    </w:p>
    <w:p w:rsidR="00784109" w:rsidRDefault="00784109" w:rsidP="00963AD6">
      <w:pPr>
        <w:rPr>
          <w:rFonts w:eastAsiaTheme="minorHAnsi"/>
        </w:rPr>
      </w:pPr>
    </w:p>
    <w:p w:rsidR="00AF19CE" w:rsidRPr="000519C2" w:rsidRDefault="00AF19CE" w:rsidP="00AF19CE">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Data File for Future Research</w:t>
      </w:r>
    </w:p>
    <w:p w:rsidR="00AF19CE" w:rsidRPr="00D442EA" w:rsidRDefault="00AF19CE" w:rsidP="00AF19CE">
      <w:r w:rsidRPr="00D442EA">
        <w:t xml:space="preserve">JBS will produce </w:t>
      </w:r>
      <w:r w:rsidR="00531D65">
        <w:t xml:space="preserve">a </w:t>
      </w:r>
      <w:r w:rsidRPr="00D442EA">
        <w:t>public acces</w:t>
      </w:r>
      <w:r w:rsidR="00531D65">
        <w:t>s and agency specific data file</w:t>
      </w:r>
      <w:r w:rsidRPr="00D442EA">
        <w:t xml:space="preserve"> for </w:t>
      </w:r>
      <w:r w:rsidR="00D442EA">
        <w:t>this data collection</w:t>
      </w:r>
      <w:r w:rsidRPr="00D442EA">
        <w:t xml:space="preserve">. The data files will be clean, well-organized, and adhere to privacy and security standards. </w:t>
      </w:r>
      <w:r w:rsidR="00531D65">
        <w:t xml:space="preserve">JBS will </w:t>
      </w:r>
      <w:r w:rsidR="00D442EA" w:rsidRPr="00D442EA">
        <w:t xml:space="preserve">create </w:t>
      </w:r>
      <w:r w:rsidR="00531D65">
        <w:t xml:space="preserve">a </w:t>
      </w:r>
      <w:r w:rsidR="00D442EA" w:rsidRPr="00D442EA">
        <w:t>de-identified and anonymous Public Us</w:t>
      </w:r>
      <w:r w:rsidR="00531D65">
        <w:t>e Data File</w:t>
      </w:r>
      <w:r w:rsidR="00D442EA" w:rsidRPr="00D442EA">
        <w:t xml:space="preserve">. </w:t>
      </w:r>
      <w:r w:rsidRPr="00D442EA">
        <w:t xml:space="preserve">JBS will follow guidance on government-wide data sharing in all Federal statutes pertaining to data collection, privacy, and human subject research and take adequate steps to ensure that no individual is identifiable. For </w:t>
      </w:r>
      <w:r w:rsidR="00531D65">
        <w:t xml:space="preserve">the </w:t>
      </w:r>
      <w:r w:rsidRPr="00D442EA">
        <w:t xml:space="preserve">Public Use Data File, JBS will produce a sampling and methodology report that will include </w:t>
      </w:r>
      <w:r w:rsidR="00531D65">
        <w:t>a copy of the instrument, description</w:t>
      </w:r>
      <w:r w:rsidRPr="00D442EA">
        <w:t xml:space="preserve"> of the methodology, </w:t>
      </w:r>
      <w:r w:rsidR="00731FA4">
        <w:t xml:space="preserve">and </w:t>
      </w:r>
      <w:r w:rsidRPr="00D442EA">
        <w:t>guid</w:t>
      </w:r>
      <w:r w:rsidR="00B845A7">
        <w:t>ance on using post-sampling</w:t>
      </w:r>
      <w:r w:rsidRPr="00D442EA">
        <w:t xml:space="preserve"> weights.</w:t>
      </w:r>
    </w:p>
    <w:p w:rsidR="00ED6D08" w:rsidRPr="00D442EA" w:rsidRDefault="00ED6D08" w:rsidP="00AF19CE"/>
    <w:p w:rsidR="00E3637C" w:rsidRPr="000519C2" w:rsidRDefault="00E3637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Timeline</w:t>
      </w:r>
      <w:r w:rsidR="00472289">
        <w:rPr>
          <w:rFonts w:ascii="Times New Roman" w:eastAsia="Times New Roman" w:hAnsi="Times New Roman" w:cs="Times New Roman"/>
          <w:b w:val="0"/>
          <w:bCs w:val="0"/>
          <w:color w:val="auto"/>
          <w:sz w:val="24"/>
          <w:szCs w:val="24"/>
        </w:rPr>
        <w:t xml:space="preserve"> (End dates)</w:t>
      </w:r>
    </w:p>
    <w:tbl>
      <w:tblPr>
        <w:tblW w:w="0" w:type="auto"/>
        <w:tblCellMar>
          <w:left w:w="0" w:type="dxa"/>
          <w:right w:w="0" w:type="dxa"/>
        </w:tblCellMar>
        <w:tblLook w:val="04A0" w:firstRow="1" w:lastRow="0" w:firstColumn="1" w:lastColumn="0" w:noHBand="0" w:noVBand="1"/>
      </w:tblPr>
      <w:tblGrid>
        <w:gridCol w:w="4136"/>
        <w:gridCol w:w="1955"/>
        <w:gridCol w:w="1697"/>
        <w:gridCol w:w="1697"/>
      </w:tblGrid>
      <w:tr w:rsidR="00472289" w:rsidTr="00472289">
        <w:tc>
          <w:tcPr>
            <w:tcW w:w="4136"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bottom"/>
            <w:hideMark/>
          </w:tcPr>
          <w:p w:rsidR="00472289" w:rsidRPr="000B0F08" w:rsidRDefault="00472289" w:rsidP="00FA4918">
            <w:pPr>
              <w:pStyle w:val="Heading4"/>
              <w:rPr>
                <w:rFonts w:ascii="Times New Roman" w:eastAsia="Times New Roman" w:hAnsi="Times New Roman" w:cs="Times New Roman"/>
                <w:sz w:val="24"/>
                <w:szCs w:val="24"/>
              </w:rPr>
            </w:pPr>
            <w:r w:rsidRPr="000B0F08">
              <w:rPr>
                <w:rFonts w:ascii="Times New Roman" w:eastAsia="Times New Roman" w:hAnsi="Times New Roman" w:cs="Times New Roman"/>
                <w:sz w:val="24"/>
                <w:szCs w:val="24"/>
              </w:rPr>
              <w:t>Activity/Task</w:t>
            </w:r>
          </w:p>
        </w:tc>
        <w:tc>
          <w:tcPr>
            <w:tcW w:w="1955"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472289" w:rsidRPr="00F01188" w:rsidRDefault="00472289" w:rsidP="00FA4918">
            <w:pPr>
              <w:jc w:val="center"/>
              <w:rPr>
                <w:rFonts w:eastAsiaTheme="minorHAnsi"/>
                <w:b/>
                <w:bCs/>
                <w:sz w:val="22"/>
                <w:szCs w:val="22"/>
              </w:rPr>
            </w:pPr>
            <w:r>
              <w:rPr>
                <w:b/>
                <w:bCs/>
              </w:rPr>
              <w:t>Main Study</w:t>
            </w:r>
          </w:p>
        </w:tc>
        <w:tc>
          <w:tcPr>
            <w:tcW w:w="1697" w:type="dxa"/>
            <w:tcBorders>
              <w:top w:val="single" w:sz="8" w:space="0" w:color="auto"/>
              <w:left w:val="nil"/>
              <w:bottom w:val="single" w:sz="8" w:space="0" w:color="auto"/>
              <w:right w:val="single" w:sz="8" w:space="0" w:color="auto"/>
            </w:tcBorders>
          </w:tcPr>
          <w:p w:rsidR="00472289" w:rsidRDefault="0022790C" w:rsidP="00E7039F">
            <w:pPr>
              <w:jc w:val="center"/>
              <w:rPr>
                <w:b/>
                <w:bCs/>
              </w:rPr>
            </w:pPr>
            <w:r>
              <w:rPr>
                <w:b/>
                <w:bCs/>
              </w:rPr>
              <w:t>Pre-</w:t>
            </w:r>
            <w:r w:rsidR="00E7039F">
              <w:rPr>
                <w:b/>
                <w:bCs/>
              </w:rPr>
              <w:t xml:space="preserve"> and First </w:t>
            </w:r>
            <w:r>
              <w:rPr>
                <w:b/>
                <w:bCs/>
              </w:rPr>
              <w:t>Post Survey</w:t>
            </w:r>
          </w:p>
        </w:tc>
        <w:tc>
          <w:tcPr>
            <w:tcW w:w="1697" w:type="dxa"/>
            <w:tcBorders>
              <w:top w:val="single" w:sz="8" w:space="0" w:color="auto"/>
              <w:left w:val="nil"/>
              <w:bottom w:val="single" w:sz="8" w:space="0" w:color="auto"/>
              <w:right w:val="single" w:sz="8" w:space="0" w:color="auto"/>
            </w:tcBorders>
          </w:tcPr>
          <w:p w:rsidR="00472289" w:rsidRDefault="00472289" w:rsidP="00FA4918">
            <w:pPr>
              <w:jc w:val="center"/>
              <w:rPr>
                <w:b/>
                <w:bCs/>
              </w:rPr>
            </w:pPr>
            <w:r>
              <w:rPr>
                <w:b/>
                <w:bCs/>
              </w:rPr>
              <w:t>Second Post Survey</w:t>
            </w:r>
          </w:p>
        </w:tc>
      </w:tr>
      <w:tr w:rsidR="00472289"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72289" w:rsidRPr="00F01188" w:rsidRDefault="00472289" w:rsidP="005F4EC4">
            <w:pPr>
              <w:rPr>
                <w:rFonts w:eastAsiaTheme="minorHAnsi"/>
                <w:sz w:val="22"/>
                <w:szCs w:val="22"/>
              </w:rPr>
            </w:pPr>
            <w:r>
              <w:t>Sample selection</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472289" w:rsidRPr="00F01188" w:rsidRDefault="00472289" w:rsidP="00FA4918">
            <w:pPr>
              <w:jc w:val="center"/>
              <w:rPr>
                <w:rFonts w:eastAsiaTheme="minorHAnsi"/>
                <w:sz w:val="22"/>
                <w:szCs w:val="22"/>
              </w:rPr>
            </w:pPr>
            <w:r>
              <w:rPr>
                <w:rFonts w:eastAsiaTheme="minorHAnsi"/>
                <w:sz w:val="22"/>
                <w:szCs w:val="22"/>
              </w:rPr>
              <w:t>6/28/13</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rsidR="00472289" w:rsidRDefault="00472289" w:rsidP="00FA4918">
            <w:pPr>
              <w:jc w:val="center"/>
              <w:rPr>
                <w:rFonts w:eastAsiaTheme="minorHAnsi"/>
                <w:sz w:val="22"/>
                <w:szCs w:val="22"/>
              </w:rPr>
            </w:pPr>
            <w:r>
              <w:rPr>
                <w:rFonts w:eastAsiaTheme="minorHAnsi"/>
                <w:sz w:val="22"/>
                <w:szCs w:val="22"/>
              </w:rPr>
              <w:t>6/28/13</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rsidR="00472289" w:rsidRDefault="00472289" w:rsidP="00FA4918">
            <w:pPr>
              <w:jc w:val="center"/>
              <w:rPr>
                <w:rFonts w:eastAsiaTheme="minorHAnsi"/>
                <w:sz w:val="22"/>
                <w:szCs w:val="22"/>
              </w:rPr>
            </w:pPr>
            <w:r>
              <w:rPr>
                <w:rFonts w:eastAsiaTheme="minorHAnsi"/>
                <w:sz w:val="22"/>
                <w:szCs w:val="22"/>
              </w:rPr>
              <w:t>6/28/13</w:t>
            </w:r>
          </w:p>
        </w:tc>
      </w:tr>
      <w:tr w:rsidR="00472289"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72289" w:rsidRPr="00F01188" w:rsidRDefault="00472289" w:rsidP="00D8561B">
            <w:pPr>
              <w:rPr>
                <w:rFonts w:eastAsiaTheme="minorHAnsi"/>
                <w:sz w:val="22"/>
                <w:szCs w:val="22"/>
              </w:rPr>
            </w:pPr>
            <w:r w:rsidRPr="00F01188">
              <w:t>Data collec</w:t>
            </w:r>
            <w:r>
              <w:t>tion</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472289" w:rsidRPr="00F01188" w:rsidRDefault="00051936" w:rsidP="00FA4918">
            <w:pPr>
              <w:jc w:val="center"/>
              <w:rPr>
                <w:rFonts w:eastAsiaTheme="minorHAnsi"/>
                <w:sz w:val="22"/>
                <w:szCs w:val="22"/>
              </w:rPr>
            </w:pPr>
            <w:r>
              <w:rPr>
                <w:rFonts w:eastAsiaTheme="minorHAnsi"/>
                <w:sz w:val="22"/>
                <w:szCs w:val="22"/>
              </w:rPr>
              <w:t>10/31/13</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rsidR="00472289" w:rsidRDefault="00051936" w:rsidP="00FA4918">
            <w:pPr>
              <w:jc w:val="center"/>
              <w:rPr>
                <w:rFonts w:eastAsiaTheme="minorHAnsi"/>
                <w:sz w:val="22"/>
                <w:szCs w:val="22"/>
              </w:rPr>
            </w:pPr>
            <w:r>
              <w:rPr>
                <w:rFonts w:eastAsiaTheme="minorHAnsi"/>
                <w:sz w:val="22"/>
                <w:szCs w:val="22"/>
              </w:rPr>
              <w:t>10/31/14</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rsidR="00472289" w:rsidRDefault="00472289" w:rsidP="00FA4918">
            <w:pPr>
              <w:jc w:val="center"/>
              <w:rPr>
                <w:rFonts w:eastAsiaTheme="minorHAnsi"/>
                <w:sz w:val="22"/>
                <w:szCs w:val="22"/>
              </w:rPr>
            </w:pPr>
            <w:r>
              <w:rPr>
                <w:rFonts w:eastAsiaTheme="minorHAnsi"/>
                <w:sz w:val="22"/>
                <w:szCs w:val="22"/>
              </w:rPr>
              <w:t>9/1/201</w:t>
            </w:r>
            <w:r w:rsidR="00DA56EA">
              <w:rPr>
                <w:rFonts w:eastAsiaTheme="minorHAnsi"/>
                <w:sz w:val="22"/>
                <w:szCs w:val="22"/>
              </w:rPr>
              <w:t>7</w:t>
            </w:r>
          </w:p>
        </w:tc>
      </w:tr>
      <w:tr w:rsidR="00472289"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72289" w:rsidRPr="00F01188" w:rsidRDefault="00472289" w:rsidP="00D8561B">
            <w:pPr>
              <w:rPr>
                <w:rFonts w:eastAsiaTheme="minorHAnsi"/>
                <w:sz w:val="22"/>
                <w:szCs w:val="22"/>
              </w:rPr>
            </w:pPr>
            <w:r>
              <w:t>Conduct data analysis</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rsidR="00472289" w:rsidRPr="00F01188" w:rsidRDefault="00472289" w:rsidP="00FA4918">
            <w:pPr>
              <w:jc w:val="center"/>
              <w:rPr>
                <w:rFonts w:eastAsiaTheme="minorHAnsi"/>
                <w:sz w:val="22"/>
                <w:szCs w:val="22"/>
              </w:rPr>
            </w:pPr>
            <w:r>
              <w:rPr>
                <w:rFonts w:eastAsiaTheme="minorHAnsi"/>
                <w:sz w:val="22"/>
                <w:szCs w:val="22"/>
              </w:rPr>
              <w:t>2/10/14</w:t>
            </w:r>
          </w:p>
        </w:tc>
        <w:tc>
          <w:tcPr>
            <w:tcW w:w="1697" w:type="dxa"/>
            <w:tcBorders>
              <w:top w:val="single" w:sz="8" w:space="0" w:color="auto"/>
              <w:left w:val="nil"/>
              <w:bottom w:val="single" w:sz="8" w:space="0" w:color="auto"/>
              <w:right w:val="single" w:sz="8" w:space="0" w:color="auto"/>
            </w:tcBorders>
            <w:shd w:val="clear" w:color="auto" w:fill="FFFFFF" w:themeFill="background1"/>
            <w:vAlign w:val="center"/>
          </w:tcPr>
          <w:p w:rsidR="00472289" w:rsidRDefault="00472289" w:rsidP="00FA4918">
            <w:pPr>
              <w:jc w:val="center"/>
              <w:rPr>
                <w:rFonts w:eastAsiaTheme="minorHAnsi"/>
                <w:sz w:val="22"/>
                <w:szCs w:val="22"/>
              </w:rPr>
            </w:pPr>
            <w:r>
              <w:rPr>
                <w:rFonts w:eastAsiaTheme="minorHAnsi"/>
                <w:sz w:val="22"/>
                <w:szCs w:val="22"/>
              </w:rPr>
              <w:t>2/10/14</w:t>
            </w:r>
          </w:p>
        </w:tc>
        <w:tc>
          <w:tcPr>
            <w:tcW w:w="1697" w:type="dxa"/>
            <w:tcBorders>
              <w:top w:val="single" w:sz="8" w:space="0" w:color="auto"/>
              <w:left w:val="nil"/>
              <w:bottom w:val="single" w:sz="8" w:space="0" w:color="auto"/>
              <w:right w:val="single" w:sz="8" w:space="0" w:color="auto"/>
            </w:tcBorders>
            <w:shd w:val="clear" w:color="auto" w:fill="FFFFFF" w:themeFill="background1"/>
            <w:vAlign w:val="center"/>
          </w:tcPr>
          <w:p w:rsidR="00472289" w:rsidRDefault="00472289" w:rsidP="00FA4918">
            <w:pPr>
              <w:jc w:val="center"/>
              <w:rPr>
                <w:rFonts w:eastAsiaTheme="minorHAnsi"/>
                <w:sz w:val="22"/>
                <w:szCs w:val="22"/>
              </w:rPr>
            </w:pPr>
            <w:r>
              <w:rPr>
                <w:rFonts w:eastAsiaTheme="minorHAnsi"/>
                <w:sz w:val="22"/>
                <w:szCs w:val="22"/>
              </w:rPr>
              <w:t>2/10/1</w:t>
            </w:r>
            <w:r w:rsidR="00DA56EA">
              <w:rPr>
                <w:rFonts w:eastAsiaTheme="minorHAnsi"/>
                <w:sz w:val="22"/>
                <w:szCs w:val="22"/>
              </w:rPr>
              <w:t>8</w:t>
            </w:r>
          </w:p>
        </w:tc>
      </w:tr>
      <w:tr w:rsidR="00472289" w:rsidTr="00A65485">
        <w:tc>
          <w:tcPr>
            <w:tcW w:w="4136" w:type="dxa"/>
            <w:tcBorders>
              <w:top w:val="nil"/>
              <w:left w:val="single" w:sz="8" w:space="0" w:color="auto"/>
              <w:bottom w:val="single" w:sz="4" w:space="0" w:color="auto"/>
              <w:right w:val="single" w:sz="8" w:space="0" w:color="auto"/>
            </w:tcBorders>
            <w:tcMar>
              <w:top w:w="0" w:type="dxa"/>
              <w:left w:w="115" w:type="dxa"/>
              <w:bottom w:w="0" w:type="dxa"/>
              <w:right w:w="115" w:type="dxa"/>
            </w:tcMar>
            <w:hideMark/>
          </w:tcPr>
          <w:p w:rsidR="00472289" w:rsidRPr="00E31BC3" w:rsidRDefault="00472289" w:rsidP="005F4EC4">
            <w:r w:rsidRPr="00F01188">
              <w:t>Final Report</w:t>
            </w:r>
            <w:r>
              <w:t xml:space="preserve"> including feasibility of future studies</w:t>
            </w:r>
          </w:p>
        </w:tc>
        <w:tc>
          <w:tcPr>
            <w:tcW w:w="1955" w:type="dxa"/>
            <w:tcBorders>
              <w:top w:val="single" w:sz="8" w:space="0" w:color="auto"/>
              <w:left w:val="nil"/>
              <w:bottom w:val="single" w:sz="4" w:space="0" w:color="auto"/>
              <w:right w:val="single" w:sz="8" w:space="0" w:color="auto"/>
            </w:tcBorders>
            <w:shd w:val="clear" w:color="auto" w:fill="FFFFFF" w:themeFill="background1"/>
            <w:tcMar>
              <w:top w:w="0" w:type="dxa"/>
              <w:left w:w="115" w:type="dxa"/>
              <w:bottom w:w="0" w:type="dxa"/>
              <w:right w:w="115" w:type="dxa"/>
            </w:tcMar>
            <w:vAlign w:val="bottom"/>
            <w:hideMark/>
          </w:tcPr>
          <w:p w:rsidR="00472289" w:rsidRPr="00E31BC3" w:rsidRDefault="00472289" w:rsidP="000B0F08">
            <w:pPr>
              <w:jc w:val="center"/>
            </w:pPr>
            <w:r>
              <w:t>7/17/2014</w:t>
            </w:r>
          </w:p>
        </w:tc>
        <w:tc>
          <w:tcPr>
            <w:tcW w:w="1697" w:type="dxa"/>
            <w:tcBorders>
              <w:top w:val="single" w:sz="8" w:space="0" w:color="auto"/>
              <w:left w:val="nil"/>
              <w:bottom w:val="single" w:sz="4" w:space="0" w:color="auto"/>
              <w:right w:val="single" w:sz="8" w:space="0" w:color="auto"/>
            </w:tcBorders>
            <w:shd w:val="clear" w:color="auto" w:fill="FFFFFF" w:themeFill="background1"/>
            <w:vAlign w:val="bottom"/>
          </w:tcPr>
          <w:p w:rsidR="00472289" w:rsidRDefault="00472289" w:rsidP="000B0F08">
            <w:pPr>
              <w:jc w:val="center"/>
            </w:pPr>
            <w:r>
              <w:t>5/15/2014</w:t>
            </w:r>
          </w:p>
        </w:tc>
        <w:tc>
          <w:tcPr>
            <w:tcW w:w="1697" w:type="dxa"/>
            <w:tcBorders>
              <w:top w:val="single" w:sz="8" w:space="0" w:color="auto"/>
              <w:left w:val="nil"/>
              <w:bottom w:val="single" w:sz="4" w:space="0" w:color="auto"/>
              <w:right w:val="single" w:sz="8" w:space="0" w:color="auto"/>
            </w:tcBorders>
            <w:shd w:val="clear" w:color="auto" w:fill="FFFFFF" w:themeFill="background1"/>
            <w:vAlign w:val="bottom"/>
          </w:tcPr>
          <w:p w:rsidR="00472289" w:rsidRDefault="00692424" w:rsidP="000B0F08">
            <w:pPr>
              <w:jc w:val="center"/>
            </w:pPr>
            <w:r>
              <w:t>6/17/201</w:t>
            </w:r>
            <w:r w:rsidR="00DA56EA">
              <w:t>8</w:t>
            </w:r>
          </w:p>
        </w:tc>
      </w:tr>
      <w:tr w:rsidR="00472289" w:rsidTr="00A65485">
        <w:tc>
          <w:tcPr>
            <w:tcW w:w="4136" w:type="dxa"/>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tcPr>
          <w:p w:rsidR="00472289" w:rsidRPr="00F01188" w:rsidRDefault="00472289" w:rsidP="005F4EC4">
            <w:r>
              <w:t>Submit data files to CNCS for future research</w:t>
            </w:r>
          </w:p>
        </w:tc>
        <w:tc>
          <w:tcPr>
            <w:tcW w:w="1955" w:type="dxa"/>
            <w:tcBorders>
              <w:top w:val="single" w:sz="4"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tcPr>
          <w:p w:rsidR="00472289" w:rsidRDefault="00472289" w:rsidP="001E6A6E">
            <w:pPr>
              <w:jc w:val="center"/>
              <w:rPr>
                <w:rFonts w:eastAsiaTheme="minorHAnsi"/>
                <w:sz w:val="22"/>
                <w:szCs w:val="22"/>
              </w:rPr>
            </w:pPr>
            <w:r>
              <w:t>9/15/2014</w:t>
            </w:r>
          </w:p>
        </w:tc>
        <w:tc>
          <w:tcPr>
            <w:tcW w:w="1697" w:type="dxa"/>
            <w:tcBorders>
              <w:top w:val="single" w:sz="4" w:space="0" w:color="auto"/>
              <w:left w:val="nil"/>
              <w:bottom w:val="single" w:sz="8" w:space="0" w:color="auto"/>
              <w:right w:val="single" w:sz="8" w:space="0" w:color="auto"/>
            </w:tcBorders>
            <w:shd w:val="clear" w:color="auto" w:fill="FFFFFF" w:themeFill="background1"/>
            <w:vAlign w:val="bottom"/>
          </w:tcPr>
          <w:p w:rsidR="00472289" w:rsidDel="001E6A6E" w:rsidRDefault="00472289" w:rsidP="001E6A6E">
            <w:pPr>
              <w:jc w:val="center"/>
            </w:pPr>
            <w:r>
              <w:t>5/15/2014</w:t>
            </w:r>
          </w:p>
        </w:tc>
        <w:tc>
          <w:tcPr>
            <w:tcW w:w="1697" w:type="dxa"/>
            <w:tcBorders>
              <w:top w:val="single" w:sz="4" w:space="0" w:color="auto"/>
              <w:left w:val="nil"/>
              <w:bottom w:val="single" w:sz="8" w:space="0" w:color="auto"/>
              <w:right w:val="single" w:sz="8" w:space="0" w:color="auto"/>
            </w:tcBorders>
            <w:shd w:val="clear" w:color="auto" w:fill="FFFFFF" w:themeFill="background1"/>
            <w:vAlign w:val="bottom"/>
          </w:tcPr>
          <w:p w:rsidR="00472289" w:rsidDel="001E6A6E" w:rsidRDefault="00692424" w:rsidP="001E6A6E">
            <w:pPr>
              <w:jc w:val="center"/>
            </w:pPr>
            <w:r>
              <w:t>6</w:t>
            </w:r>
            <w:r w:rsidR="00472289">
              <w:t>/</w:t>
            </w:r>
            <w:r>
              <w:t>17</w:t>
            </w:r>
            <w:r w:rsidR="00472289">
              <w:t>/201</w:t>
            </w:r>
            <w:r w:rsidR="00DA56EA">
              <w:t>8</w:t>
            </w:r>
          </w:p>
        </w:tc>
      </w:tr>
    </w:tbl>
    <w:p w:rsidR="00E3637C" w:rsidRDefault="00E3637C" w:rsidP="00963AD6">
      <w:pPr>
        <w:rPr>
          <w:rFonts w:eastAsiaTheme="minorHAnsi"/>
        </w:rPr>
      </w:pPr>
    </w:p>
    <w:p w:rsidR="00FA4918" w:rsidRPr="00FA4918" w:rsidRDefault="00FA4918" w:rsidP="005232F8">
      <w:pPr>
        <w:pStyle w:val="ListParagraph"/>
        <w:numPr>
          <w:ilvl w:val="0"/>
          <w:numId w:val="1"/>
        </w:numPr>
        <w:autoSpaceDE w:val="0"/>
        <w:autoSpaceDN w:val="0"/>
        <w:adjustRightInd w:val="0"/>
        <w:rPr>
          <w:rFonts w:eastAsiaTheme="minorHAnsi"/>
        </w:rPr>
      </w:pPr>
      <w:r w:rsidRPr="00FA4918">
        <w:rPr>
          <w:rFonts w:eastAsiaTheme="minorHAnsi"/>
        </w:rPr>
        <w:t>Display of Expiration Date for OMB Approval</w:t>
      </w:r>
    </w:p>
    <w:p w:rsidR="00FA4918" w:rsidRDefault="00FA4918" w:rsidP="00FA4918">
      <w:pPr>
        <w:autoSpaceDE w:val="0"/>
        <w:autoSpaceDN w:val="0"/>
        <w:adjustRightInd w:val="0"/>
        <w:ind w:left="360"/>
        <w:rPr>
          <w:rFonts w:eastAsiaTheme="minorHAnsi"/>
        </w:rPr>
      </w:pPr>
    </w:p>
    <w:p w:rsidR="00FA4918" w:rsidRDefault="004C5A4F" w:rsidP="00412387">
      <w:pPr>
        <w:autoSpaceDE w:val="0"/>
        <w:autoSpaceDN w:val="0"/>
        <w:adjustRightInd w:val="0"/>
        <w:rPr>
          <w:rFonts w:eastAsiaTheme="minorHAnsi"/>
        </w:rPr>
      </w:pPr>
      <w:r>
        <w:rPr>
          <w:rFonts w:eastAsiaTheme="minorHAnsi"/>
        </w:rPr>
        <w:t>The expiration date</w:t>
      </w:r>
      <w:r w:rsidR="00FA4918" w:rsidRPr="00025AAD">
        <w:rPr>
          <w:rFonts w:eastAsiaTheme="minorHAnsi"/>
        </w:rPr>
        <w:t xml:space="preserve"> for OMB approval of the information collection will be displayed</w:t>
      </w:r>
      <w:r w:rsidR="00697D2A" w:rsidRPr="00025AAD">
        <w:rPr>
          <w:rFonts w:eastAsiaTheme="minorHAnsi"/>
        </w:rPr>
        <w:t xml:space="preserve"> on the first page of the </w:t>
      </w:r>
      <w:r w:rsidR="00ED6D08" w:rsidRPr="00025AAD">
        <w:rPr>
          <w:rFonts w:eastAsiaTheme="minorHAnsi"/>
        </w:rPr>
        <w:t>instruments</w:t>
      </w:r>
      <w:r w:rsidR="00FA4918" w:rsidRPr="00025AAD">
        <w:rPr>
          <w:rFonts w:eastAsiaTheme="minorHAnsi"/>
        </w:rPr>
        <w:t>.</w:t>
      </w:r>
    </w:p>
    <w:p w:rsidR="00FA4918" w:rsidRDefault="00FA4918" w:rsidP="00FA4918">
      <w:pPr>
        <w:autoSpaceDE w:val="0"/>
        <w:autoSpaceDN w:val="0"/>
        <w:adjustRightInd w:val="0"/>
        <w:ind w:left="360"/>
        <w:rPr>
          <w:rFonts w:eastAsiaTheme="minorHAnsi"/>
        </w:rPr>
      </w:pPr>
    </w:p>
    <w:p w:rsidR="005E2BDA" w:rsidRDefault="00FA4918" w:rsidP="005232F8">
      <w:pPr>
        <w:pStyle w:val="ListParagraph"/>
        <w:numPr>
          <w:ilvl w:val="0"/>
          <w:numId w:val="1"/>
        </w:numPr>
        <w:autoSpaceDE w:val="0"/>
        <w:autoSpaceDN w:val="0"/>
        <w:adjustRightInd w:val="0"/>
        <w:rPr>
          <w:rFonts w:eastAsiaTheme="minorHAnsi"/>
        </w:rPr>
      </w:pPr>
      <w:r w:rsidRPr="00FA4918">
        <w:rPr>
          <w:rFonts w:eastAsiaTheme="minorHAnsi"/>
        </w:rPr>
        <w:t xml:space="preserve"> Explanation of Exceptions in Item 19, "Certification for Pape</w:t>
      </w:r>
      <w:r>
        <w:rPr>
          <w:rFonts w:eastAsiaTheme="minorHAnsi"/>
        </w:rPr>
        <w:t>rwork Reduction Act Submissions</w:t>
      </w:r>
      <w:r w:rsidRPr="00FA4918">
        <w:rPr>
          <w:rFonts w:eastAsiaTheme="minorHAnsi"/>
        </w:rPr>
        <w:t>"</w:t>
      </w:r>
    </w:p>
    <w:p w:rsidR="00FA4918" w:rsidRDefault="00FA4918" w:rsidP="00FA4918">
      <w:pPr>
        <w:autoSpaceDE w:val="0"/>
        <w:autoSpaceDN w:val="0"/>
        <w:adjustRightInd w:val="0"/>
        <w:rPr>
          <w:rFonts w:eastAsiaTheme="minorHAnsi"/>
        </w:rPr>
      </w:pPr>
    </w:p>
    <w:p w:rsidR="00340FFD" w:rsidRDefault="00FA4918" w:rsidP="00B06F6E">
      <w:pPr>
        <w:autoSpaceDE w:val="0"/>
        <w:autoSpaceDN w:val="0"/>
        <w:adjustRightInd w:val="0"/>
        <w:rPr>
          <w:rFonts w:eastAsiaTheme="minorHAnsi"/>
        </w:rPr>
      </w:pPr>
      <w:r>
        <w:rPr>
          <w:rFonts w:eastAsiaTheme="minorHAnsi"/>
        </w:rPr>
        <w:t xml:space="preserve">There are no exceptions claimed in </w:t>
      </w:r>
      <w:r w:rsidRPr="00FA4918">
        <w:rPr>
          <w:rFonts w:eastAsiaTheme="minorHAnsi"/>
        </w:rPr>
        <w:t>Item 19, "Certification for Pape</w:t>
      </w:r>
      <w:r>
        <w:rPr>
          <w:rFonts w:eastAsiaTheme="minorHAnsi"/>
        </w:rPr>
        <w:t>rwork Reduction Act Submissions</w:t>
      </w:r>
      <w:r w:rsidRPr="00FA4918">
        <w:rPr>
          <w:rFonts w:eastAsiaTheme="minorHAnsi"/>
        </w:rPr>
        <w:t>"</w:t>
      </w:r>
      <w:r>
        <w:rPr>
          <w:rFonts w:eastAsiaTheme="minorHAnsi"/>
        </w:rPr>
        <w:t xml:space="preserve"> </w:t>
      </w:r>
      <w:r w:rsidRPr="00FA4918">
        <w:rPr>
          <w:rFonts w:eastAsiaTheme="minorHAnsi"/>
        </w:rPr>
        <w:t>of OMB Form</w:t>
      </w:r>
      <w:r>
        <w:rPr>
          <w:rFonts w:eastAsiaTheme="minorHAnsi"/>
        </w:rPr>
        <w:t xml:space="preserve"> </w:t>
      </w:r>
      <w:r w:rsidRPr="00FA4918">
        <w:rPr>
          <w:rFonts w:eastAsiaTheme="minorHAnsi"/>
        </w:rPr>
        <w:t>83-I.</w:t>
      </w:r>
    </w:p>
    <w:p w:rsidR="00F84F18" w:rsidRDefault="00F84F18" w:rsidP="00B06F6E">
      <w:pPr>
        <w:autoSpaceDE w:val="0"/>
        <w:autoSpaceDN w:val="0"/>
        <w:adjustRightInd w:val="0"/>
      </w:pPr>
      <w:r>
        <w:lastRenderedPageBreak/>
        <w:br w:type="page"/>
      </w:r>
    </w:p>
    <w:p w:rsidR="00F8474D" w:rsidRPr="009A172C" w:rsidRDefault="00F8474D" w:rsidP="009A172C">
      <w:pPr>
        <w:jc w:val="center"/>
        <w:rPr>
          <w:b/>
          <w:sz w:val="28"/>
          <w:szCs w:val="28"/>
        </w:rPr>
      </w:pPr>
      <w:bookmarkStart w:id="0" w:name="_GoBack"/>
      <w:bookmarkEnd w:id="0"/>
      <w:r w:rsidRPr="009A172C">
        <w:rPr>
          <w:b/>
          <w:sz w:val="28"/>
          <w:szCs w:val="28"/>
        </w:rPr>
        <w:lastRenderedPageBreak/>
        <w:t>Appendix A</w:t>
      </w:r>
    </w:p>
    <w:p w:rsidR="00F8474D" w:rsidRDefault="00F8474D" w:rsidP="004A7A20">
      <w:pPr>
        <w:ind w:left="2880"/>
        <w:rPr>
          <w:rFonts w:eastAsiaTheme="minorHAnsi"/>
        </w:rPr>
      </w:pPr>
    </w:p>
    <w:p w:rsidR="009A172C" w:rsidRPr="006850D3" w:rsidRDefault="009A172C" w:rsidP="009A172C">
      <w:pPr>
        <w:jc w:val="center"/>
        <w:rPr>
          <w:b/>
          <w:sz w:val="28"/>
          <w:szCs w:val="28"/>
        </w:rPr>
      </w:pPr>
      <w:r w:rsidRPr="006850D3">
        <w:rPr>
          <w:b/>
          <w:sz w:val="28"/>
          <w:szCs w:val="28"/>
        </w:rPr>
        <w:t>Draft - S</w:t>
      </w:r>
      <w:r>
        <w:rPr>
          <w:b/>
          <w:sz w:val="28"/>
          <w:szCs w:val="28"/>
        </w:rPr>
        <w:t>enior</w:t>
      </w:r>
      <w:r w:rsidRPr="006850D3">
        <w:rPr>
          <w:b/>
          <w:sz w:val="28"/>
          <w:szCs w:val="28"/>
        </w:rPr>
        <w:t xml:space="preserve"> Corps Pre-Test Memorandum</w:t>
      </w:r>
      <w:r>
        <w:rPr>
          <w:b/>
          <w:sz w:val="28"/>
          <w:szCs w:val="28"/>
        </w:rPr>
        <w:br/>
      </w:r>
      <w:r w:rsidRPr="006850D3">
        <w:rPr>
          <w:b/>
          <w:sz w:val="28"/>
          <w:szCs w:val="28"/>
        </w:rPr>
        <w:t>Independent Living Survey (Study 3)</w:t>
      </w:r>
    </w:p>
    <w:p w:rsidR="009A172C" w:rsidRPr="00260C14" w:rsidRDefault="009A172C" w:rsidP="009A172C">
      <w:pPr>
        <w:pStyle w:val="Heading1"/>
        <w:spacing w:before="360"/>
        <w:rPr>
          <w:color w:val="auto"/>
        </w:rPr>
      </w:pPr>
      <w:r w:rsidRPr="00260C14">
        <w:rPr>
          <w:color w:val="auto"/>
        </w:rPr>
        <w:t xml:space="preserve">Independent Living Pre-Test: Respondent Interviews </w:t>
      </w:r>
    </w:p>
    <w:p w:rsidR="009A172C" w:rsidRPr="006850D3" w:rsidRDefault="009A172C" w:rsidP="009A172C">
      <w:pPr>
        <w:pStyle w:val="ListParagraph"/>
        <w:spacing w:after="200" w:line="276" w:lineRule="auto"/>
        <w:ind w:left="0"/>
      </w:pPr>
      <w:r w:rsidRPr="006850D3">
        <w:t xml:space="preserve">The pre-test survey process with individuals was initiated once the draft of Study 3 Impact </w:t>
      </w:r>
      <w:r>
        <w:t>Computer Assisted Telephone Interview (</w:t>
      </w:r>
      <w:r w:rsidRPr="006850D3">
        <w:t>CATI</w:t>
      </w:r>
      <w:r>
        <w:t>)</w:t>
      </w:r>
      <w:r w:rsidRPr="006850D3">
        <w:t xml:space="preserve"> survey was completed in April. The pre-test consisted of six English language survey respondents</w:t>
      </w:r>
      <w:r>
        <w:t xml:space="preserve">, who </w:t>
      </w:r>
      <w:r w:rsidRPr="006850D3">
        <w:t>were recruited from Senior Corps programs that are working with JBS International as part of the Field Working Group. Two Spanish-speaking pre-testers took part in the pre-test. Spanish language pre-testers were JBS family</w:t>
      </w:r>
      <w:r>
        <w:t xml:space="preserve"> members,</w:t>
      </w:r>
      <w:r w:rsidRPr="006850D3">
        <w:t xml:space="preserve"> chosen because they are 55 and older. They were not or have ever been a Senior Corps volunteer. The Spanish language survey was administered to the respondents in Spanish. Seven of the eight respondents were women. They range</w:t>
      </w:r>
      <w:r>
        <w:t>d</w:t>
      </w:r>
      <w:r w:rsidRPr="006850D3">
        <w:t xml:space="preserve"> in age from 55 to 92 years old.</w:t>
      </w:r>
    </w:p>
    <w:p w:rsidR="009A172C" w:rsidRPr="00260C14" w:rsidRDefault="009A172C" w:rsidP="00260C14">
      <w:pPr>
        <w:pStyle w:val="Heading1"/>
        <w:spacing w:before="360"/>
        <w:rPr>
          <w:color w:val="auto"/>
        </w:rPr>
      </w:pPr>
      <w:r w:rsidRPr="00260C14">
        <w:rPr>
          <w:color w:val="auto"/>
        </w:rPr>
        <w:t>Summary of Pre-test Process</w:t>
      </w:r>
    </w:p>
    <w:p w:rsidR="009A172C" w:rsidRDefault="009A172C" w:rsidP="009A172C">
      <w:pPr>
        <w:pStyle w:val="ListParagraph"/>
        <w:spacing w:after="200" w:line="276" w:lineRule="auto"/>
        <w:ind w:left="0"/>
        <w:contextualSpacing w:val="0"/>
      </w:pPr>
      <w:r w:rsidRPr="006850D3">
        <w:t>The Study 3 English language survey had two pretesting phases. The first phase pre-tested the survey in the original form. Three individuals</w:t>
      </w:r>
      <w:r>
        <w:t>, including one individual who is hearing impaired,</w:t>
      </w:r>
      <w:r w:rsidRPr="006850D3">
        <w:t xml:space="preserve"> were administered the survey in English</w:t>
      </w:r>
      <w:r>
        <w:t xml:space="preserve"> at one point from April 17 through May 6, 2013</w:t>
      </w:r>
      <w:r w:rsidRPr="006850D3">
        <w:t xml:space="preserve">. The second phase of the Study 3 English language pre-testing process included three respondents that completed a variant of the survey between May 9 - May 14, 2013. There were </w:t>
      </w:r>
      <w:r>
        <w:t>the following</w:t>
      </w:r>
      <w:r w:rsidRPr="006850D3">
        <w:t xml:space="preserve"> differences between the original survey and </w:t>
      </w:r>
      <w:r>
        <w:t xml:space="preserve">the </w:t>
      </w:r>
      <w:r w:rsidRPr="006850D3">
        <w:t>variant survey</w:t>
      </w:r>
      <w:r>
        <w:t>:</w:t>
      </w:r>
    </w:p>
    <w:p w:rsidR="009A172C" w:rsidRDefault="009A172C" w:rsidP="009A172C">
      <w:pPr>
        <w:pStyle w:val="ListParagraph"/>
        <w:numPr>
          <w:ilvl w:val="0"/>
          <w:numId w:val="17"/>
        </w:numPr>
        <w:spacing w:after="200" w:line="276" w:lineRule="auto"/>
      </w:pPr>
      <w:r>
        <w:t>T</w:t>
      </w:r>
      <w:r w:rsidRPr="00702DCE">
        <w:t>he variant survey began with the demographic questions.</w:t>
      </w:r>
    </w:p>
    <w:p w:rsidR="009A172C" w:rsidRDefault="009A172C" w:rsidP="009A172C">
      <w:pPr>
        <w:pStyle w:val="ListParagraph"/>
        <w:numPr>
          <w:ilvl w:val="0"/>
          <w:numId w:val="17"/>
        </w:numPr>
        <w:spacing w:after="200" w:line="276" w:lineRule="auto"/>
      </w:pPr>
      <w:r w:rsidRPr="00702DCE">
        <w:t xml:space="preserve">The answer options </w:t>
      </w:r>
      <w:r>
        <w:t xml:space="preserve">differed </w:t>
      </w:r>
      <w:r w:rsidRPr="00702DCE">
        <w:t>for the question</w:t>
      </w:r>
      <w:r>
        <w:t>,</w:t>
      </w:r>
      <w:r w:rsidRPr="00702DCE">
        <w:t xml:space="preserve"> “Please think about your life-as-a-whole. How satisfied are you with it? Are you satisfied or not satisfied? [Check one box]”. </w:t>
      </w:r>
      <w:r>
        <w:t>T</w:t>
      </w:r>
      <w:r w:rsidRPr="00702DCE">
        <w:t>he variant survey asked the question in a yes or no format that</w:t>
      </w:r>
      <w:r>
        <w:t xml:space="preserve"> then</w:t>
      </w:r>
      <w:r w:rsidRPr="00702DCE">
        <w:t xml:space="preserve"> further broke down their yes or no response on </w:t>
      </w:r>
      <w:r>
        <w:t xml:space="preserve">an </w:t>
      </w:r>
      <w:r w:rsidRPr="00702DCE">
        <w:t>agree/disagree scale, where</w:t>
      </w:r>
      <w:r>
        <w:t>as</w:t>
      </w:r>
      <w:r w:rsidRPr="00702DCE">
        <w:t xml:space="preserve"> the original survey </w:t>
      </w:r>
      <w:r>
        <w:t>only had</w:t>
      </w:r>
      <w:r w:rsidRPr="00702DCE">
        <w:t xml:space="preserve"> a five point agree/disagree scale</w:t>
      </w:r>
      <w:r>
        <w:t>.</w:t>
      </w:r>
    </w:p>
    <w:p w:rsidR="009A172C" w:rsidRPr="00702DCE" w:rsidRDefault="009A172C" w:rsidP="009A172C">
      <w:pPr>
        <w:pStyle w:val="ListParagraph"/>
        <w:numPr>
          <w:ilvl w:val="0"/>
          <w:numId w:val="17"/>
        </w:numPr>
        <w:spacing w:after="200" w:line="276" w:lineRule="auto"/>
        <w:contextualSpacing w:val="0"/>
      </w:pPr>
      <w:r>
        <w:t>The last</w:t>
      </w:r>
      <w:r w:rsidRPr="00702DCE">
        <w:t xml:space="preserve"> question</w:t>
      </w:r>
      <w:r>
        <w:t>’s wording was,</w:t>
      </w:r>
      <w:r w:rsidRPr="00702DCE">
        <w:t xml:space="preserve"> “Have a memory-related disease, such as Alzheimer’s disease?” in the original survey</w:t>
      </w:r>
      <w:r>
        <w:t>, but</w:t>
      </w:r>
      <w:r w:rsidRPr="00702DCE">
        <w:t xml:space="preserve"> was substituted </w:t>
      </w:r>
      <w:r>
        <w:t>with</w:t>
      </w:r>
      <w:r w:rsidRPr="00702DCE">
        <w:t xml:space="preserve"> “Had any emotional, nervous, or psychiatric problems?</w:t>
      </w:r>
      <w:r>
        <w:t>”</w:t>
      </w:r>
      <w:r w:rsidRPr="00702DCE">
        <w:t xml:space="preserve"> in the variant survey.</w:t>
      </w:r>
    </w:p>
    <w:p w:rsidR="009A172C" w:rsidRPr="006850D3" w:rsidRDefault="009A172C" w:rsidP="009A172C">
      <w:pPr>
        <w:pStyle w:val="ListParagraph"/>
        <w:spacing w:after="200" w:line="276" w:lineRule="auto"/>
        <w:ind w:left="0"/>
        <w:contextualSpacing w:val="0"/>
      </w:pPr>
      <w:r w:rsidRPr="006850D3">
        <w:t>The Spanish language survey was pre-tested with two individuals during May 13-30, 2013. These respondents were selected from the networks of JBS’ Spanish speaking staff.</w:t>
      </w:r>
    </w:p>
    <w:p w:rsidR="009A172C" w:rsidRPr="006850D3" w:rsidRDefault="009A172C" w:rsidP="009A172C">
      <w:pPr>
        <w:pStyle w:val="ListParagraph"/>
        <w:spacing w:after="200" w:line="276" w:lineRule="auto"/>
        <w:ind w:left="0"/>
        <w:contextualSpacing w:val="0"/>
      </w:pPr>
      <w:r w:rsidRPr="006850D3">
        <w:t xml:space="preserve">The process of pre-testing the CATI survey and conducting the interviews began with the interviewer contacting the respondents to schedule a time to administer the CATI survey. The interview could be completed on the first contact call or scheduled at a later date. Respondents’ time to complete the survey varied in both languages administered, from 18 minutes to nearly </w:t>
      </w:r>
      <w:r w:rsidRPr="006850D3">
        <w:lastRenderedPageBreak/>
        <w:t>one hour</w:t>
      </w:r>
      <w:r>
        <w:t>.</w:t>
      </w:r>
      <w:r w:rsidRPr="006850D3">
        <w:t xml:space="preserve"> Most respondents took about 22 minutes to complete the survey, with only one respondent taking more than the average time to complete the survey. The </w:t>
      </w:r>
      <w:r>
        <w:t xml:space="preserve">feedback </w:t>
      </w:r>
      <w:r w:rsidRPr="006850D3">
        <w:t>interviews were conducted soon after the survey was completed with pre-test respondents</w:t>
      </w:r>
      <w:r>
        <w:t>,</w:t>
      </w:r>
      <w:r w:rsidRPr="006850D3">
        <w:t xml:space="preserve"> and </w:t>
      </w:r>
      <w:r>
        <w:t>they</w:t>
      </w:r>
      <w:r w:rsidRPr="006850D3">
        <w:t xml:space="preserve"> were administered in </w:t>
      </w:r>
      <w:r>
        <w:t>eight</w:t>
      </w:r>
      <w:r w:rsidRPr="006850D3">
        <w:t xml:space="preserve"> to 16 minutes.</w:t>
      </w:r>
    </w:p>
    <w:p w:rsidR="009A172C" w:rsidRPr="006850D3" w:rsidRDefault="009A172C" w:rsidP="009A172C">
      <w:pPr>
        <w:pStyle w:val="ListParagraph"/>
        <w:spacing w:after="200" w:line="276" w:lineRule="auto"/>
        <w:ind w:left="0"/>
        <w:contextualSpacing w:val="0"/>
      </w:pPr>
      <w:r w:rsidRPr="006850D3">
        <w:t>Below</w:t>
      </w:r>
      <w:r>
        <w:t>,</w:t>
      </w:r>
      <w:r w:rsidRPr="006850D3">
        <w:t xml:space="preserve"> a summary of the survey pre-test findings for both English and Spanish language respondents</w:t>
      </w:r>
      <w:r>
        <w:t xml:space="preserve"> is provided</w:t>
      </w:r>
      <w:r w:rsidRPr="006850D3">
        <w:t>.</w:t>
      </w:r>
    </w:p>
    <w:p w:rsidR="009A172C" w:rsidRPr="00260C14" w:rsidRDefault="009A172C" w:rsidP="00260C14">
      <w:pPr>
        <w:pStyle w:val="Heading1"/>
        <w:spacing w:before="360"/>
        <w:rPr>
          <w:color w:val="auto"/>
        </w:rPr>
      </w:pPr>
      <w:r w:rsidRPr="00260C14">
        <w:rPr>
          <w:color w:val="auto"/>
        </w:rPr>
        <w:t>Pre-tester Co</w:t>
      </w:r>
      <w:r w:rsidRPr="00260C14">
        <w:rPr>
          <w:b w:val="0"/>
          <w:bCs w:val="0"/>
          <w:color w:val="auto"/>
        </w:rPr>
        <w:t>m</w:t>
      </w:r>
      <w:r w:rsidRPr="00260C14">
        <w:rPr>
          <w:color w:val="auto"/>
        </w:rPr>
        <w:t>ments</w:t>
      </w:r>
    </w:p>
    <w:p w:rsidR="009A172C" w:rsidRPr="00260C14" w:rsidRDefault="009A172C" w:rsidP="009A172C">
      <w:pPr>
        <w:pStyle w:val="Heading3"/>
        <w:rPr>
          <w:b w:val="0"/>
          <w:color w:val="auto"/>
        </w:rPr>
      </w:pPr>
      <w:r w:rsidRPr="00260C14">
        <w:rPr>
          <w:color w:val="auto"/>
        </w:rPr>
        <w:t>Instructions</w:t>
      </w:r>
    </w:p>
    <w:p w:rsidR="009A172C" w:rsidRPr="006850D3" w:rsidRDefault="009A172C" w:rsidP="009A172C">
      <w:pPr>
        <w:pStyle w:val="ListParagraph"/>
        <w:spacing w:after="200" w:line="276" w:lineRule="auto"/>
        <w:ind w:left="0"/>
      </w:pPr>
      <w:r w:rsidRPr="006850D3">
        <w:t xml:space="preserve">English and Spanish language pre-test respondents stated that the instructions were clear and they had no problem with following </w:t>
      </w:r>
      <w:r>
        <w:t xml:space="preserve">the </w:t>
      </w:r>
      <w:r w:rsidRPr="006850D3">
        <w:t>instructions as read by the CATI interviewer. The exception was one Spanish language respondent who commented on the question “Because I have a Senior Companio</w:t>
      </w:r>
      <w:r>
        <w:t>n</w:t>
      </w:r>
      <w:r w:rsidRPr="006850D3">
        <w:t>”. Since this Spanish language pre-tester was not a Senior Corps client, it was understandable that it was a challenge to take on a Senior Corps Companion client perspective.</w:t>
      </w:r>
    </w:p>
    <w:p w:rsidR="009A172C" w:rsidRPr="00260C14" w:rsidRDefault="009A172C" w:rsidP="009A172C">
      <w:pPr>
        <w:pStyle w:val="Heading3"/>
        <w:rPr>
          <w:color w:val="auto"/>
        </w:rPr>
      </w:pPr>
      <w:r w:rsidRPr="00260C14">
        <w:rPr>
          <w:color w:val="auto"/>
        </w:rPr>
        <w:t>Questions</w:t>
      </w:r>
    </w:p>
    <w:p w:rsidR="009A172C" w:rsidRPr="006850D3" w:rsidRDefault="009A172C" w:rsidP="009A172C">
      <w:pPr>
        <w:pStyle w:val="ListParagraph"/>
        <w:spacing w:after="200" w:line="276" w:lineRule="auto"/>
        <w:ind w:left="0"/>
        <w:contextualSpacing w:val="0"/>
      </w:pPr>
      <w:r w:rsidRPr="006850D3">
        <w:t>The questions, for the most part, posed no problem</w:t>
      </w:r>
      <w:r>
        <w:t>s</w:t>
      </w:r>
      <w:r w:rsidRPr="006850D3">
        <w:t xml:space="preserve"> for respondents. There were several questions</w:t>
      </w:r>
      <w:r>
        <w:t xml:space="preserve"> in the </w:t>
      </w:r>
      <w:r w:rsidRPr="006850D3">
        <w:t>Social Loneliness and Emotional Loneliness</w:t>
      </w:r>
      <w:r>
        <w:t xml:space="preserve"> sections</w:t>
      </w:r>
      <w:r w:rsidRPr="006850D3">
        <w:t xml:space="preserve"> that the interviewer needed to repeat because respondents were not clear what was being asked on the first pass. The two questions most often repeated for both English and Spanish language respondents were, “How much of the time do you feel that you lack companionship? </w:t>
      </w:r>
      <w:r>
        <w:t>Would you say often, some of the time, or hardly ever or never?</w:t>
      </w:r>
      <w:r w:rsidRPr="006850D3">
        <w:t>” and “How much of the time do you feel that there are people you can turn to?</w:t>
      </w:r>
      <w:r>
        <w:t xml:space="preserve"> Would you say often, some of the time, or hardly ever or never?</w:t>
      </w:r>
      <w:r w:rsidRPr="006850D3">
        <w:t>” Respondents took time when answering this question</w:t>
      </w:r>
      <w:r>
        <w:t>,</w:t>
      </w:r>
      <w:r w:rsidRPr="006850D3">
        <w:t xml:space="preserve"> as they needed to reflect on what was being asked. The </w:t>
      </w:r>
      <w:r>
        <w:t>i</w:t>
      </w:r>
      <w:r w:rsidRPr="006850D3">
        <w:t xml:space="preserve">nterviewer noted that both questions </w:t>
      </w:r>
      <w:r>
        <w:t>had multiple</w:t>
      </w:r>
      <w:r w:rsidRPr="006850D3">
        <w:t xml:space="preserve"> sentences that must be read to the respondent. This might have accounted for the lag in response and question repetition. One of the English language respondents stated that she was hearing impaired and</w:t>
      </w:r>
      <w:r>
        <w:t>, at times,</w:t>
      </w:r>
      <w:r w:rsidRPr="006850D3">
        <w:t xml:space="preserve"> she needed several questions repeated more than twice.</w:t>
      </w:r>
    </w:p>
    <w:p w:rsidR="009A172C" w:rsidRPr="006850D3" w:rsidRDefault="009A172C" w:rsidP="009A172C">
      <w:pPr>
        <w:pStyle w:val="ListParagraph"/>
        <w:spacing w:after="200" w:line="276" w:lineRule="auto"/>
        <w:ind w:left="0"/>
        <w:contextualSpacing w:val="0"/>
      </w:pPr>
      <w:r w:rsidRPr="006850D3">
        <w:t xml:space="preserve">The interviewer noted that none of </w:t>
      </w:r>
      <w:r>
        <w:t xml:space="preserve">the </w:t>
      </w:r>
      <w:r w:rsidRPr="006850D3">
        <w:t xml:space="preserve">pre-testers had any difficulty with the length of the survey or with the different wordings in the questions that varied between </w:t>
      </w:r>
      <w:r>
        <w:t>survey</w:t>
      </w:r>
      <w:r w:rsidRPr="006850D3">
        <w:t xml:space="preserve"> versions. The interviewer felt that breaking the scale down for </w:t>
      </w:r>
      <w:r>
        <w:t xml:space="preserve">the </w:t>
      </w:r>
      <w:r w:rsidRPr="006850D3">
        <w:t>question, “Please think about your life-as-a-whole. How satisfied are you with it? Are you satisfied or not satisfied?” into multiple questions, made the item easier to administer</w:t>
      </w:r>
      <w:r>
        <w:t>,</w:t>
      </w:r>
      <w:r w:rsidRPr="006850D3">
        <w:t xml:space="preserve"> as respondents seemed to have less trouble understanding the scale, and the options flowed better.</w:t>
      </w:r>
    </w:p>
    <w:p w:rsidR="009A172C" w:rsidRPr="006850D3" w:rsidRDefault="009A172C" w:rsidP="009A172C">
      <w:pPr>
        <w:pStyle w:val="ListParagraph"/>
        <w:spacing w:after="200" w:line="276" w:lineRule="auto"/>
        <w:ind w:left="0"/>
        <w:contextualSpacing w:val="0"/>
      </w:pPr>
      <w:r w:rsidRPr="006850D3">
        <w:t>One Spanish language respondent suggested breaking the “Because I have a Sr. Companion Volunteer…” table into two tables, as he found the table too cumbersome and long to answer.</w:t>
      </w:r>
    </w:p>
    <w:p w:rsidR="009A172C" w:rsidRPr="006850D3" w:rsidRDefault="009A172C" w:rsidP="009A172C">
      <w:pPr>
        <w:pStyle w:val="ListParagraph"/>
        <w:spacing w:after="200" w:line="276" w:lineRule="auto"/>
        <w:ind w:left="0"/>
        <w:contextualSpacing w:val="0"/>
      </w:pPr>
      <w:r w:rsidRPr="006850D3">
        <w:t>Some of the respondents’ answers regarding the survey questions included</w:t>
      </w:r>
      <w:r>
        <w:t xml:space="preserve"> the following:</w:t>
      </w:r>
    </w:p>
    <w:p w:rsidR="009A172C" w:rsidRPr="006850D3" w:rsidRDefault="009A172C" w:rsidP="009A172C">
      <w:pPr>
        <w:pStyle w:val="ListParagraph"/>
        <w:numPr>
          <w:ilvl w:val="0"/>
          <w:numId w:val="16"/>
        </w:numPr>
        <w:spacing w:after="200" w:line="276" w:lineRule="auto"/>
      </w:pPr>
      <w:r w:rsidRPr="006850D3">
        <w:lastRenderedPageBreak/>
        <w:t>“The questions were understandable and clear, I understood everything.”</w:t>
      </w:r>
    </w:p>
    <w:p w:rsidR="009A172C" w:rsidRPr="006850D3" w:rsidRDefault="009A172C" w:rsidP="009A172C">
      <w:pPr>
        <w:pStyle w:val="ListParagraph"/>
        <w:numPr>
          <w:ilvl w:val="0"/>
          <w:numId w:val="16"/>
        </w:numPr>
        <w:spacing w:after="200" w:line="276" w:lineRule="auto"/>
        <w:contextualSpacing w:val="0"/>
      </w:pPr>
      <w:r w:rsidRPr="006850D3">
        <w:t>“There were no questions that were confusing, everything was pretty understandable.”</w:t>
      </w:r>
    </w:p>
    <w:p w:rsidR="009A172C" w:rsidRPr="006850D3" w:rsidRDefault="009A172C" w:rsidP="009A172C">
      <w:pPr>
        <w:pStyle w:val="ListParagraph"/>
        <w:spacing w:after="200" w:line="276" w:lineRule="auto"/>
        <w:ind w:left="0"/>
      </w:pPr>
      <w:r>
        <w:t>Respondents did not exhibit reluctance in answering any of the survey questions.</w:t>
      </w:r>
    </w:p>
    <w:p w:rsidR="009A172C" w:rsidRPr="00260C14" w:rsidRDefault="009A172C" w:rsidP="009A172C">
      <w:pPr>
        <w:pStyle w:val="Heading3"/>
        <w:rPr>
          <w:color w:val="auto"/>
        </w:rPr>
      </w:pPr>
      <w:r w:rsidRPr="00260C14">
        <w:rPr>
          <w:color w:val="auto"/>
        </w:rPr>
        <w:t>Survey Format</w:t>
      </w:r>
    </w:p>
    <w:p w:rsidR="009A172C" w:rsidRPr="006850D3" w:rsidRDefault="009A172C" w:rsidP="009A172C">
      <w:pPr>
        <w:pStyle w:val="ListParagraph"/>
        <w:spacing w:after="200" w:line="276" w:lineRule="auto"/>
        <w:ind w:left="0"/>
        <w:contextualSpacing w:val="0"/>
      </w:pPr>
      <w:r w:rsidRPr="006850D3">
        <w:t>Nearly all of the respondents felt that the length of the survey was appropriate. While the demographic questions may serve as a way to distinguish if a respondent is cognitively impaired, the interviewer noted that respondents were more engaged at the beginning and provided thoughtful answers to the scaled items. The interviewer also suggested that the demographic questions be kept at the end as it also provided some relief for both the interviewer and respondent. Additionally, the interviewer noted that when the scaled questions were at the front of the interview, the respondents spent more time discussing them and reflecting about their own lives and experiences, especially for questions about Social Loneliness and Emotional Loneliness. Furthermore, the interviewer observed that the survey response time was longer in some cases because some respondents had a tendency to diverge</w:t>
      </w:r>
      <w:r>
        <w:t xml:space="preserve"> </w:t>
      </w:r>
      <w:r w:rsidRPr="006850D3">
        <w:t>from the survey questions</w:t>
      </w:r>
      <w:r>
        <w:t xml:space="preserve"> and discuss concerns or issues that would be tangentially related to the question</w:t>
      </w:r>
      <w:r w:rsidRPr="006850D3">
        <w:t>.</w:t>
      </w:r>
      <w:r>
        <w:t xml:space="preserve"> Numerous respondents would take time to think out loud before providing a response.</w:t>
      </w:r>
    </w:p>
    <w:p w:rsidR="009A172C" w:rsidRPr="00260C14" w:rsidRDefault="009A172C" w:rsidP="009A172C">
      <w:pPr>
        <w:pStyle w:val="Heading3"/>
        <w:rPr>
          <w:color w:val="auto"/>
        </w:rPr>
      </w:pPr>
      <w:r w:rsidRPr="00260C14">
        <w:rPr>
          <w:color w:val="auto"/>
        </w:rPr>
        <w:t>Recommendations to address those respondent issues and future surveys</w:t>
      </w:r>
    </w:p>
    <w:p w:rsidR="009A172C" w:rsidRPr="006850D3" w:rsidRDefault="009A172C" w:rsidP="009A172C">
      <w:pPr>
        <w:pStyle w:val="ListParagraph"/>
        <w:spacing w:after="200" w:line="276" w:lineRule="auto"/>
        <w:ind w:left="0"/>
        <w:contextualSpacing w:val="0"/>
      </w:pPr>
      <w:r w:rsidRPr="006850D3">
        <w:t xml:space="preserve">Overall, the respondents for the variant survey and original survey did not appear </w:t>
      </w:r>
      <w:r>
        <w:t xml:space="preserve">to have any </w:t>
      </w:r>
      <w:r w:rsidRPr="006850D3">
        <w:t>problems understanding instructions, questions, or the survey format. Below are some recommendations that respondents and interviewers provided that would improve future surveys</w:t>
      </w:r>
      <w:r>
        <w:t>:</w:t>
      </w:r>
    </w:p>
    <w:p w:rsidR="009A172C" w:rsidRPr="006850D3" w:rsidRDefault="009A172C" w:rsidP="009A172C">
      <w:pPr>
        <w:pStyle w:val="ListParagraph"/>
        <w:numPr>
          <w:ilvl w:val="0"/>
          <w:numId w:val="14"/>
        </w:numPr>
        <w:spacing w:after="200" w:line="276" w:lineRule="auto"/>
      </w:pPr>
      <w:r w:rsidRPr="006850D3">
        <w:t xml:space="preserve">Include “none” as answer option for </w:t>
      </w:r>
      <w:r>
        <w:t xml:space="preserve">the </w:t>
      </w:r>
      <w:r w:rsidRPr="006850D3">
        <w:t>question “Veteran Status</w:t>
      </w:r>
      <w:r>
        <w:t>.</w:t>
      </w:r>
      <w:r w:rsidRPr="006850D3">
        <w:t>”</w:t>
      </w:r>
    </w:p>
    <w:p w:rsidR="009A172C" w:rsidRPr="006850D3" w:rsidRDefault="009A172C" w:rsidP="009A172C">
      <w:pPr>
        <w:pStyle w:val="ListParagraph"/>
        <w:numPr>
          <w:ilvl w:val="0"/>
          <w:numId w:val="14"/>
        </w:numPr>
        <w:spacing w:after="200" w:line="276" w:lineRule="auto"/>
      </w:pPr>
      <w:r w:rsidRPr="006850D3">
        <w:t xml:space="preserve">Provide </w:t>
      </w:r>
      <w:r>
        <w:t xml:space="preserve">a </w:t>
      </w:r>
      <w:r w:rsidRPr="006850D3">
        <w:t xml:space="preserve">write-in option for </w:t>
      </w:r>
      <w:r>
        <w:t xml:space="preserve">the </w:t>
      </w:r>
      <w:r w:rsidRPr="006850D3">
        <w:t>question</w:t>
      </w:r>
      <w:r>
        <w:t>,</w:t>
      </w:r>
      <w:r w:rsidRPr="006850D3">
        <w:t xml:space="preserve"> “Do you consider yourself primarily…”</w:t>
      </w:r>
    </w:p>
    <w:p w:rsidR="009A172C" w:rsidRPr="006850D3" w:rsidRDefault="009A172C" w:rsidP="009A172C">
      <w:pPr>
        <w:pStyle w:val="ListParagraph"/>
        <w:numPr>
          <w:ilvl w:val="0"/>
          <w:numId w:val="14"/>
        </w:numPr>
        <w:spacing w:after="200" w:line="276" w:lineRule="auto"/>
      </w:pPr>
      <w:r w:rsidRPr="006850D3">
        <w:t>Consider deleting the income question. Two respondents felt that future respondents may find this question too personal.</w:t>
      </w:r>
    </w:p>
    <w:p w:rsidR="009A172C" w:rsidRPr="006850D3" w:rsidRDefault="009A172C" w:rsidP="009A172C">
      <w:pPr>
        <w:pStyle w:val="ListParagraph"/>
        <w:numPr>
          <w:ilvl w:val="0"/>
          <w:numId w:val="14"/>
        </w:numPr>
        <w:spacing w:after="200" w:line="276" w:lineRule="auto"/>
      </w:pPr>
      <w:r w:rsidRPr="006850D3">
        <w:t xml:space="preserve">Ask how comfortable a </w:t>
      </w:r>
      <w:r>
        <w:t>S</w:t>
      </w:r>
      <w:r w:rsidRPr="006850D3">
        <w:t xml:space="preserve">enior </w:t>
      </w:r>
      <w:r>
        <w:t xml:space="preserve">Companion </w:t>
      </w:r>
      <w:r w:rsidRPr="006850D3">
        <w:t>client is communicating with their volunteer, and if the volunteer is able to clearly communicate with the client. Good language communication and same language spoken, can lead to better cooperation between client and volunteer.</w:t>
      </w:r>
    </w:p>
    <w:p w:rsidR="009A172C" w:rsidRPr="006850D3" w:rsidRDefault="009A172C" w:rsidP="009A172C">
      <w:pPr>
        <w:pStyle w:val="ListParagraph"/>
        <w:numPr>
          <w:ilvl w:val="0"/>
          <w:numId w:val="14"/>
        </w:numPr>
        <w:spacing w:after="200" w:line="276" w:lineRule="auto"/>
      </w:pPr>
      <w:r w:rsidRPr="006850D3">
        <w:t>Break the table with the question, “Because I have a Sr. Companion Volunteer…” into two tables, as the current table seemed too long to some respondents.</w:t>
      </w:r>
    </w:p>
    <w:p w:rsidR="009A172C" w:rsidRPr="006850D3" w:rsidRDefault="009A172C" w:rsidP="009A172C">
      <w:pPr>
        <w:pStyle w:val="ListParagraph"/>
        <w:numPr>
          <w:ilvl w:val="0"/>
          <w:numId w:val="14"/>
        </w:numPr>
        <w:spacing w:after="200" w:line="276" w:lineRule="auto"/>
        <w:contextualSpacing w:val="0"/>
      </w:pPr>
      <w:r w:rsidRPr="006850D3">
        <w:t>Retain the survey as a CATI format</w:t>
      </w:r>
      <w:r>
        <w:t>,</w:t>
      </w:r>
      <w:r w:rsidRPr="006850D3">
        <w:t xml:space="preserve"> as respondents preferred this format over a mail or self-completed survey.</w:t>
      </w:r>
    </w:p>
    <w:p w:rsidR="009A172C" w:rsidRDefault="009A172C" w:rsidP="009A172C">
      <w:pPr>
        <w:pStyle w:val="ListParagraph"/>
        <w:spacing w:after="200" w:line="276" w:lineRule="auto"/>
        <w:ind w:left="0"/>
        <w:contextualSpacing w:val="0"/>
      </w:pPr>
      <w:r>
        <w:t>The following</w:t>
      </w:r>
      <w:r w:rsidRPr="006850D3">
        <w:t xml:space="preserve"> are JBS’ t</w:t>
      </w:r>
      <w:r>
        <w:t>hree</w:t>
      </w:r>
      <w:r w:rsidRPr="006850D3">
        <w:t xml:space="preserve"> recommendations for Study 3 – Impact CATI Survey which take into consideration the pre-test respondents’ feedback</w:t>
      </w:r>
      <w:r>
        <w:t>:</w:t>
      </w:r>
    </w:p>
    <w:p w:rsidR="009A172C" w:rsidRPr="006850D3" w:rsidRDefault="009A172C" w:rsidP="009A172C">
      <w:pPr>
        <w:pStyle w:val="ListParagraph"/>
        <w:numPr>
          <w:ilvl w:val="0"/>
          <w:numId w:val="15"/>
        </w:numPr>
        <w:spacing w:after="200" w:line="276" w:lineRule="auto"/>
      </w:pPr>
      <w:r w:rsidRPr="006850D3">
        <w:t>Administer the original survey question sequence with the demographic questions at the end of the survey.</w:t>
      </w:r>
    </w:p>
    <w:p w:rsidR="009A172C" w:rsidRPr="006850D3" w:rsidRDefault="009A172C" w:rsidP="009A172C">
      <w:pPr>
        <w:pStyle w:val="ListParagraph"/>
        <w:numPr>
          <w:ilvl w:val="0"/>
          <w:numId w:val="15"/>
        </w:numPr>
        <w:spacing w:after="200" w:line="276" w:lineRule="auto"/>
      </w:pPr>
      <w:r w:rsidRPr="006850D3">
        <w:lastRenderedPageBreak/>
        <w:t>Retain original survey questions with the exception of the answer options for question “Please think about your life-as-a-whole. How satisfied are you with it? Are you satisfied or not satisfied? [Check one box]”. Use the answer options from the variant survey</w:t>
      </w:r>
      <w:r>
        <w:t>,</w:t>
      </w:r>
      <w:r w:rsidRPr="006850D3">
        <w:t xml:space="preserve"> which provided the answers in a in a yes or no format and broke down the agree/disagree scale.</w:t>
      </w:r>
    </w:p>
    <w:p w:rsidR="009A172C" w:rsidRPr="006850D3" w:rsidRDefault="009A172C" w:rsidP="009A172C">
      <w:pPr>
        <w:pStyle w:val="ListParagraph"/>
        <w:numPr>
          <w:ilvl w:val="0"/>
          <w:numId w:val="15"/>
        </w:numPr>
        <w:spacing w:after="200" w:line="276" w:lineRule="auto"/>
      </w:pPr>
      <w:r w:rsidRPr="006850D3">
        <w:t>Keep question “Had any emotional, nervous, or psychiatric problems?” used in the variant survey, as there were no problems with the question as observed by respondents.</w:t>
      </w:r>
    </w:p>
    <w:p w:rsidR="009A172C" w:rsidRPr="00334C63" w:rsidRDefault="009A172C" w:rsidP="004A7A20">
      <w:pPr>
        <w:ind w:left="2880"/>
        <w:rPr>
          <w:rFonts w:eastAsiaTheme="minorHAnsi"/>
        </w:rPr>
      </w:pPr>
    </w:p>
    <w:sectPr w:rsidR="009A172C" w:rsidRPr="00334C63" w:rsidSect="002E5E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A0" w:rsidRDefault="00C37EA0" w:rsidP="00F87B0A">
      <w:r>
        <w:separator/>
      </w:r>
    </w:p>
  </w:endnote>
  <w:endnote w:type="continuationSeparator" w:id="0">
    <w:p w:rsidR="00C37EA0" w:rsidRDefault="00C37EA0" w:rsidP="00F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rsidR="00644085" w:rsidRDefault="00644085">
            <w:pPr>
              <w:pStyle w:val="Footer"/>
              <w:jc w:val="center"/>
            </w:pPr>
            <w:r>
              <w:t xml:space="preserve">Page </w:t>
            </w:r>
            <w:r>
              <w:rPr>
                <w:b/>
              </w:rPr>
              <w:fldChar w:fldCharType="begin"/>
            </w:r>
            <w:r>
              <w:rPr>
                <w:b/>
              </w:rPr>
              <w:instrText xml:space="preserve"> PAGE </w:instrText>
            </w:r>
            <w:r>
              <w:rPr>
                <w:b/>
              </w:rPr>
              <w:fldChar w:fldCharType="separate"/>
            </w:r>
            <w:r w:rsidR="00986D4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86D49">
              <w:rPr>
                <w:b/>
                <w:noProof/>
              </w:rPr>
              <w:t>16</w:t>
            </w:r>
            <w:r>
              <w:rPr>
                <w:b/>
              </w:rPr>
              <w:fldChar w:fldCharType="end"/>
            </w:r>
          </w:p>
        </w:sdtContent>
      </w:sdt>
    </w:sdtContent>
  </w:sdt>
  <w:p w:rsidR="00644085" w:rsidRDefault="0064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A0" w:rsidRDefault="00C37EA0" w:rsidP="00F87B0A">
      <w:r>
        <w:separator/>
      </w:r>
    </w:p>
  </w:footnote>
  <w:footnote w:type="continuationSeparator" w:id="0">
    <w:p w:rsidR="00C37EA0" w:rsidRDefault="00C37EA0" w:rsidP="00F87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46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D0B01"/>
    <w:multiLevelType w:val="hybridMultilevel"/>
    <w:tmpl w:val="99E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358A1"/>
    <w:multiLevelType w:val="hybridMultilevel"/>
    <w:tmpl w:val="D3F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42E3"/>
    <w:multiLevelType w:val="hybridMultilevel"/>
    <w:tmpl w:val="93D2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B2EE5"/>
    <w:multiLevelType w:val="hybridMultilevel"/>
    <w:tmpl w:val="5B66BEAA"/>
    <w:lvl w:ilvl="0" w:tplc="DF1CDBC4">
      <w:start w:val="1"/>
      <w:numFmt w:val="decimal"/>
      <w:lvlText w:val="%1."/>
      <w:lvlJc w:val="left"/>
      <w:pPr>
        <w:ind w:left="1080" w:hanging="360"/>
      </w:pPr>
    </w:lvl>
    <w:lvl w:ilvl="1" w:tplc="04090003">
      <w:start w:val="1"/>
      <w:numFmt w:val="bullet"/>
      <w:lvlText w:val=""/>
      <w:lvlJc w:val="left"/>
      <w:pPr>
        <w:ind w:left="1800" w:hanging="360"/>
      </w:pPr>
      <w:rPr>
        <w:rFonts w:ascii="Symbol" w:hAnsi="Symbol"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nsid w:val="1E282EE1"/>
    <w:multiLevelType w:val="hybridMultilevel"/>
    <w:tmpl w:val="CFF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95C95"/>
    <w:multiLevelType w:val="hybridMultilevel"/>
    <w:tmpl w:val="4F56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C356B"/>
    <w:multiLevelType w:val="hybridMultilevel"/>
    <w:tmpl w:val="216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64DED"/>
    <w:multiLevelType w:val="hybridMultilevel"/>
    <w:tmpl w:val="6FB03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9B42CA"/>
    <w:multiLevelType w:val="hybridMultilevel"/>
    <w:tmpl w:val="5ADAE2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B7D37"/>
    <w:multiLevelType w:val="hybridMultilevel"/>
    <w:tmpl w:val="1A22E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9D5744"/>
    <w:multiLevelType w:val="hybridMultilevel"/>
    <w:tmpl w:val="1A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03690"/>
    <w:multiLevelType w:val="hybridMultilevel"/>
    <w:tmpl w:val="DC2C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C10061"/>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B43691"/>
    <w:multiLevelType w:val="hybridMultilevel"/>
    <w:tmpl w:val="3EB285A6"/>
    <w:lvl w:ilvl="0" w:tplc="04090017">
      <w:start w:val="1"/>
      <w:numFmt w:val="lowerLetter"/>
      <w:lvlText w:val="%1)"/>
      <w:lvlJc w:val="left"/>
      <w:pPr>
        <w:ind w:left="2164" w:hanging="360"/>
      </w:pPr>
    </w:lvl>
    <w:lvl w:ilvl="1" w:tplc="04090019">
      <w:start w:val="1"/>
      <w:numFmt w:val="lowerLetter"/>
      <w:lvlText w:val="%2."/>
      <w:lvlJc w:val="left"/>
      <w:pPr>
        <w:ind w:left="2884" w:hanging="360"/>
      </w:pPr>
    </w:lvl>
    <w:lvl w:ilvl="2" w:tplc="0409001B">
      <w:start w:val="1"/>
      <w:numFmt w:val="lowerRoman"/>
      <w:lvlText w:val="%3."/>
      <w:lvlJc w:val="right"/>
      <w:pPr>
        <w:ind w:left="3604" w:hanging="180"/>
      </w:pPr>
    </w:lvl>
    <w:lvl w:ilvl="3" w:tplc="0409000F">
      <w:start w:val="1"/>
      <w:numFmt w:val="decimal"/>
      <w:lvlText w:val="%4."/>
      <w:lvlJc w:val="left"/>
      <w:pPr>
        <w:ind w:left="4324" w:hanging="360"/>
      </w:pPr>
    </w:lvl>
    <w:lvl w:ilvl="4" w:tplc="04090019">
      <w:start w:val="1"/>
      <w:numFmt w:val="lowerLetter"/>
      <w:lvlText w:val="%5."/>
      <w:lvlJc w:val="left"/>
      <w:pPr>
        <w:ind w:left="5044" w:hanging="360"/>
      </w:pPr>
    </w:lvl>
    <w:lvl w:ilvl="5" w:tplc="0409001B">
      <w:start w:val="1"/>
      <w:numFmt w:val="lowerRoman"/>
      <w:lvlText w:val="%6."/>
      <w:lvlJc w:val="right"/>
      <w:pPr>
        <w:ind w:left="5764" w:hanging="180"/>
      </w:pPr>
    </w:lvl>
    <w:lvl w:ilvl="6" w:tplc="0409000F">
      <w:start w:val="1"/>
      <w:numFmt w:val="decimal"/>
      <w:lvlText w:val="%7."/>
      <w:lvlJc w:val="left"/>
      <w:pPr>
        <w:ind w:left="6484" w:hanging="360"/>
      </w:pPr>
    </w:lvl>
    <w:lvl w:ilvl="7" w:tplc="04090019">
      <w:start w:val="1"/>
      <w:numFmt w:val="lowerLetter"/>
      <w:lvlText w:val="%8."/>
      <w:lvlJc w:val="left"/>
      <w:pPr>
        <w:ind w:left="7204" w:hanging="360"/>
      </w:pPr>
    </w:lvl>
    <w:lvl w:ilvl="8" w:tplc="0409001B">
      <w:start w:val="1"/>
      <w:numFmt w:val="lowerRoman"/>
      <w:lvlText w:val="%9."/>
      <w:lvlJc w:val="right"/>
      <w:pPr>
        <w:ind w:left="7924" w:hanging="180"/>
      </w:pPr>
    </w:lvl>
  </w:abstractNum>
  <w:abstractNum w:abstractNumId="16">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C071FC2"/>
    <w:multiLevelType w:val="hybridMultilevel"/>
    <w:tmpl w:val="AA56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C60BE"/>
    <w:multiLevelType w:val="hybridMultilevel"/>
    <w:tmpl w:val="5B6A7B7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0">
    <w:nsid w:val="76683EDD"/>
    <w:multiLevelType w:val="hybridMultilevel"/>
    <w:tmpl w:val="CFD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2"/>
  </w:num>
  <w:num w:numId="4">
    <w:abstractNumId w:val="0"/>
  </w:num>
  <w:num w:numId="5">
    <w:abstractNumId w:val="14"/>
  </w:num>
  <w:num w:numId="6">
    <w:abstractNumId w:val="4"/>
  </w:num>
  <w:num w:numId="7">
    <w:abstractNumId w:val="16"/>
  </w:num>
  <w:num w:numId="8">
    <w:abstractNumId w:val="7"/>
  </w:num>
  <w:num w:numId="9">
    <w:abstractNumId w:val="6"/>
  </w:num>
  <w:num w:numId="10">
    <w:abstractNumId w:val="11"/>
  </w:num>
  <w:num w:numId="11">
    <w:abstractNumId w:val="9"/>
  </w:num>
  <w:num w:numId="12">
    <w:abstractNumId w:val="17"/>
  </w:num>
  <w:num w:numId="13">
    <w:abstractNumId w:val="10"/>
  </w:num>
  <w:num w:numId="14">
    <w:abstractNumId w:val="13"/>
  </w:num>
  <w:num w:numId="15">
    <w:abstractNumId w:val="8"/>
  </w:num>
  <w:num w:numId="16">
    <w:abstractNumId w:val="2"/>
  </w:num>
  <w:num w:numId="17">
    <w:abstractNumId w:val="20"/>
  </w:num>
  <w:num w:numId="18">
    <w:abstractNumId w:val="1"/>
  </w:num>
  <w:num w:numId="19">
    <w:abstractNumId w:val="3"/>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18"/>
    <w:rsid w:val="000033DB"/>
    <w:rsid w:val="000035F4"/>
    <w:rsid w:val="00022AE1"/>
    <w:rsid w:val="00024601"/>
    <w:rsid w:val="000247DA"/>
    <w:rsid w:val="00025AAD"/>
    <w:rsid w:val="0003201B"/>
    <w:rsid w:val="000434FA"/>
    <w:rsid w:val="000445F1"/>
    <w:rsid w:val="0004616A"/>
    <w:rsid w:val="00051936"/>
    <w:rsid w:val="000519C2"/>
    <w:rsid w:val="000520E0"/>
    <w:rsid w:val="00054F64"/>
    <w:rsid w:val="00056763"/>
    <w:rsid w:val="00057822"/>
    <w:rsid w:val="0006418B"/>
    <w:rsid w:val="00065491"/>
    <w:rsid w:val="00070933"/>
    <w:rsid w:val="00071294"/>
    <w:rsid w:val="00076E8B"/>
    <w:rsid w:val="00080042"/>
    <w:rsid w:val="000847F1"/>
    <w:rsid w:val="00084F9E"/>
    <w:rsid w:val="0008686E"/>
    <w:rsid w:val="000872A6"/>
    <w:rsid w:val="0009759A"/>
    <w:rsid w:val="000A3AA7"/>
    <w:rsid w:val="000B0F08"/>
    <w:rsid w:val="000C0502"/>
    <w:rsid w:val="000C24D9"/>
    <w:rsid w:val="000C6F9F"/>
    <w:rsid w:val="000D0642"/>
    <w:rsid w:val="000D100E"/>
    <w:rsid w:val="000D4F70"/>
    <w:rsid w:val="000E2019"/>
    <w:rsid w:val="000E3593"/>
    <w:rsid w:val="000E7054"/>
    <w:rsid w:val="000F19F2"/>
    <w:rsid w:val="000F1A28"/>
    <w:rsid w:val="000F23E2"/>
    <w:rsid w:val="001035D4"/>
    <w:rsid w:val="0011758A"/>
    <w:rsid w:val="00125ED9"/>
    <w:rsid w:val="00132300"/>
    <w:rsid w:val="00132C68"/>
    <w:rsid w:val="00133915"/>
    <w:rsid w:val="00144012"/>
    <w:rsid w:val="001455D2"/>
    <w:rsid w:val="001511D1"/>
    <w:rsid w:val="00160755"/>
    <w:rsid w:val="00160B12"/>
    <w:rsid w:val="00164D69"/>
    <w:rsid w:val="001755F1"/>
    <w:rsid w:val="00186275"/>
    <w:rsid w:val="001876D3"/>
    <w:rsid w:val="001876EB"/>
    <w:rsid w:val="00191D8F"/>
    <w:rsid w:val="001922C5"/>
    <w:rsid w:val="001A0D36"/>
    <w:rsid w:val="001A2C0D"/>
    <w:rsid w:val="001A4D62"/>
    <w:rsid w:val="001B1BC3"/>
    <w:rsid w:val="001B6C23"/>
    <w:rsid w:val="001C4186"/>
    <w:rsid w:val="001C4C46"/>
    <w:rsid w:val="001C5C48"/>
    <w:rsid w:val="001E080F"/>
    <w:rsid w:val="001E3688"/>
    <w:rsid w:val="001E5F3B"/>
    <w:rsid w:val="001E673F"/>
    <w:rsid w:val="001E6A6E"/>
    <w:rsid w:val="00200350"/>
    <w:rsid w:val="002076EA"/>
    <w:rsid w:val="002245DE"/>
    <w:rsid w:val="0022790C"/>
    <w:rsid w:val="0023516B"/>
    <w:rsid w:val="0024076C"/>
    <w:rsid w:val="00240D50"/>
    <w:rsid w:val="00245C6F"/>
    <w:rsid w:val="00246C98"/>
    <w:rsid w:val="00252E90"/>
    <w:rsid w:val="00260C14"/>
    <w:rsid w:val="00272B4A"/>
    <w:rsid w:val="00276E51"/>
    <w:rsid w:val="002834DB"/>
    <w:rsid w:val="00291636"/>
    <w:rsid w:val="00294F07"/>
    <w:rsid w:val="002A26B4"/>
    <w:rsid w:val="002B3C21"/>
    <w:rsid w:val="002B5A80"/>
    <w:rsid w:val="002C295B"/>
    <w:rsid w:val="002C3148"/>
    <w:rsid w:val="002C5E1B"/>
    <w:rsid w:val="002D1C33"/>
    <w:rsid w:val="002E2809"/>
    <w:rsid w:val="002E386D"/>
    <w:rsid w:val="002E5A3D"/>
    <w:rsid w:val="002E5EDB"/>
    <w:rsid w:val="002F36E3"/>
    <w:rsid w:val="0031582C"/>
    <w:rsid w:val="0032758E"/>
    <w:rsid w:val="00332A44"/>
    <w:rsid w:val="00334C63"/>
    <w:rsid w:val="00340FFD"/>
    <w:rsid w:val="00342107"/>
    <w:rsid w:val="003446D9"/>
    <w:rsid w:val="003474A2"/>
    <w:rsid w:val="003500AA"/>
    <w:rsid w:val="00353616"/>
    <w:rsid w:val="003567C3"/>
    <w:rsid w:val="003605AB"/>
    <w:rsid w:val="00362DEB"/>
    <w:rsid w:val="00363017"/>
    <w:rsid w:val="00363947"/>
    <w:rsid w:val="0036607B"/>
    <w:rsid w:val="00367948"/>
    <w:rsid w:val="00373758"/>
    <w:rsid w:val="003755CD"/>
    <w:rsid w:val="00393097"/>
    <w:rsid w:val="003A0567"/>
    <w:rsid w:val="003A6205"/>
    <w:rsid w:val="003B108C"/>
    <w:rsid w:val="003B3ECA"/>
    <w:rsid w:val="003C19F5"/>
    <w:rsid w:val="003E1BE8"/>
    <w:rsid w:val="003E5056"/>
    <w:rsid w:val="003E7E83"/>
    <w:rsid w:val="003F2ECB"/>
    <w:rsid w:val="003F3091"/>
    <w:rsid w:val="003F41AD"/>
    <w:rsid w:val="003F4BFA"/>
    <w:rsid w:val="003F6B70"/>
    <w:rsid w:val="00400231"/>
    <w:rsid w:val="0040730D"/>
    <w:rsid w:val="00412387"/>
    <w:rsid w:val="00413246"/>
    <w:rsid w:val="00420495"/>
    <w:rsid w:val="004255ED"/>
    <w:rsid w:val="00426CAE"/>
    <w:rsid w:val="00431684"/>
    <w:rsid w:val="00431C0E"/>
    <w:rsid w:val="00432475"/>
    <w:rsid w:val="004339CC"/>
    <w:rsid w:val="0043660A"/>
    <w:rsid w:val="00436F26"/>
    <w:rsid w:val="004408C0"/>
    <w:rsid w:val="004476CA"/>
    <w:rsid w:val="00454DC1"/>
    <w:rsid w:val="004655B2"/>
    <w:rsid w:val="00471FCA"/>
    <w:rsid w:val="00472289"/>
    <w:rsid w:val="00480175"/>
    <w:rsid w:val="00482052"/>
    <w:rsid w:val="004830F8"/>
    <w:rsid w:val="00485429"/>
    <w:rsid w:val="00485CAE"/>
    <w:rsid w:val="0048611E"/>
    <w:rsid w:val="00487582"/>
    <w:rsid w:val="00494D7A"/>
    <w:rsid w:val="00496236"/>
    <w:rsid w:val="004A3BBB"/>
    <w:rsid w:val="004A672A"/>
    <w:rsid w:val="004A7A20"/>
    <w:rsid w:val="004B20C9"/>
    <w:rsid w:val="004C281E"/>
    <w:rsid w:val="004C4184"/>
    <w:rsid w:val="004C5A4F"/>
    <w:rsid w:val="004D14C1"/>
    <w:rsid w:val="004E4269"/>
    <w:rsid w:val="004E6788"/>
    <w:rsid w:val="004F1508"/>
    <w:rsid w:val="0050108E"/>
    <w:rsid w:val="00503B53"/>
    <w:rsid w:val="00505B15"/>
    <w:rsid w:val="0051039D"/>
    <w:rsid w:val="005107B1"/>
    <w:rsid w:val="00522568"/>
    <w:rsid w:val="005232F8"/>
    <w:rsid w:val="00531A89"/>
    <w:rsid w:val="00531D65"/>
    <w:rsid w:val="00533B66"/>
    <w:rsid w:val="005403A6"/>
    <w:rsid w:val="00541016"/>
    <w:rsid w:val="00541B3B"/>
    <w:rsid w:val="00556935"/>
    <w:rsid w:val="00557A79"/>
    <w:rsid w:val="00557AA9"/>
    <w:rsid w:val="00557CED"/>
    <w:rsid w:val="005624B8"/>
    <w:rsid w:val="00575172"/>
    <w:rsid w:val="0057798B"/>
    <w:rsid w:val="00593949"/>
    <w:rsid w:val="00595146"/>
    <w:rsid w:val="005953B6"/>
    <w:rsid w:val="005B3FBE"/>
    <w:rsid w:val="005D14BA"/>
    <w:rsid w:val="005E20A7"/>
    <w:rsid w:val="005E2BDA"/>
    <w:rsid w:val="005E77C3"/>
    <w:rsid w:val="005F39D3"/>
    <w:rsid w:val="005F4EC4"/>
    <w:rsid w:val="00600003"/>
    <w:rsid w:val="006036AA"/>
    <w:rsid w:val="0060673D"/>
    <w:rsid w:val="00607849"/>
    <w:rsid w:val="006106CB"/>
    <w:rsid w:val="006204AC"/>
    <w:rsid w:val="00621457"/>
    <w:rsid w:val="00622061"/>
    <w:rsid w:val="0062345D"/>
    <w:rsid w:val="006248F4"/>
    <w:rsid w:val="00635CA3"/>
    <w:rsid w:val="00640C3C"/>
    <w:rsid w:val="00641D7F"/>
    <w:rsid w:val="00641EDD"/>
    <w:rsid w:val="00644085"/>
    <w:rsid w:val="0065359F"/>
    <w:rsid w:val="006638BD"/>
    <w:rsid w:val="00671A3B"/>
    <w:rsid w:val="006735D8"/>
    <w:rsid w:val="00687A6E"/>
    <w:rsid w:val="00692424"/>
    <w:rsid w:val="00693040"/>
    <w:rsid w:val="00697D2A"/>
    <w:rsid w:val="006A14D7"/>
    <w:rsid w:val="006B3C19"/>
    <w:rsid w:val="006B6DAF"/>
    <w:rsid w:val="006C7C6B"/>
    <w:rsid w:val="006D2F72"/>
    <w:rsid w:val="006E4115"/>
    <w:rsid w:val="006E4534"/>
    <w:rsid w:val="007107F2"/>
    <w:rsid w:val="007123F5"/>
    <w:rsid w:val="00724446"/>
    <w:rsid w:val="00724CAD"/>
    <w:rsid w:val="00725060"/>
    <w:rsid w:val="007262AA"/>
    <w:rsid w:val="00731FA4"/>
    <w:rsid w:val="0073527B"/>
    <w:rsid w:val="0074008E"/>
    <w:rsid w:val="00740F00"/>
    <w:rsid w:val="0076043C"/>
    <w:rsid w:val="00761F2A"/>
    <w:rsid w:val="00763B7A"/>
    <w:rsid w:val="00781ADF"/>
    <w:rsid w:val="00784109"/>
    <w:rsid w:val="00784ADB"/>
    <w:rsid w:val="00786CB0"/>
    <w:rsid w:val="00795A2D"/>
    <w:rsid w:val="00795CE0"/>
    <w:rsid w:val="007A6E88"/>
    <w:rsid w:val="007C1379"/>
    <w:rsid w:val="007C530F"/>
    <w:rsid w:val="007C5591"/>
    <w:rsid w:val="007D0DA7"/>
    <w:rsid w:val="007D1DE2"/>
    <w:rsid w:val="007D2A19"/>
    <w:rsid w:val="007D4FC8"/>
    <w:rsid w:val="007D59FA"/>
    <w:rsid w:val="007E4186"/>
    <w:rsid w:val="007E6166"/>
    <w:rsid w:val="007E68F7"/>
    <w:rsid w:val="007F008A"/>
    <w:rsid w:val="008007D0"/>
    <w:rsid w:val="00801296"/>
    <w:rsid w:val="008028AF"/>
    <w:rsid w:val="00805DD8"/>
    <w:rsid w:val="0080626A"/>
    <w:rsid w:val="008128B6"/>
    <w:rsid w:val="0081543E"/>
    <w:rsid w:val="00827B2E"/>
    <w:rsid w:val="00832700"/>
    <w:rsid w:val="008330A0"/>
    <w:rsid w:val="008342E2"/>
    <w:rsid w:val="008505D8"/>
    <w:rsid w:val="0086244D"/>
    <w:rsid w:val="00866688"/>
    <w:rsid w:val="00883256"/>
    <w:rsid w:val="008832BC"/>
    <w:rsid w:val="00893FFB"/>
    <w:rsid w:val="0089469C"/>
    <w:rsid w:val="008A3A00"/>
    <w:rsid w:val="008A5A17"/>
    <w:rsid w:val="008B0BFF"/>
    <w:rsid w:val="008B407E"/>
    <w:rsid w:val="008B4D94"/>
    <w:rsid w:val="008C45BC"/>
    <w:rsid w:val="008C5623"/>
    <w:rsid w:val="008C6C4D"/>
    <w:rsid w:val="008C6E66"/>
    <w:rsid w:val="008D66FE"/>
    <w:rsid w:val="008D74AD"/>
    <w:rsid w:val="008E39C5"/>
    <w:rsid w:val="008E54E3"/>
    <w:rsid w:val="008F24F5"/>
    <w:rsid w:val="008F6371"/>
    <w:rsid w:val="008F7391"/>
    <w:rsid w:val="00900293"/>
    <w:rsid w:val="00905231"/>
    <w:rsid w:val="00914B19"/>
    <w:rsid w:val="00914C0E"/>
    <w:rsid w:val="009240C3"/>
    <w:rsid w:val="009304CA"/>
    <w:rsid w:val="00932FFD"/>
    <w:rsid w:val="00935AEC"/>
    <w:rsid w:val="00937E05"/>
    <w:rsid w:val="0094442A"/>
    <w:rsid w:val="00961431"/>
    <w:rsid w:val="00961F1F"/>
    <w:rsid w:val="00963AD6"/>
    <w:rsid w:val="00964030"/>
    <w:rsid w:val="00973107"/>
    <w:rsid w:val="00984C4D"/>
    <w:rsid w:val="00986D49"/>
    <w:rsid w:val="00987733"/>
    <w:rsid w:val="00987C2E"/>
    <w:rsid w:val="00995C99"/>
    <w:rsid w:val="00995F6A"/>
    <w:rsid w:val="009A172C"/>
    <w:rsid w:val="009B36E1"/>
    <w:rsid w:val="009B52B9"/>
    <w:rsid w:val="009B55F8"/>
    <w:rsid w:val="009C50F1"/>
    <w:rsid w:val="009C74CF"/>
    <w:rsid w:val="009D5B37"/>
    <w:rsid w:val="009D6270"/>
    <w:rsid w:val="009E5E1D"/>
    <w:rsid w:val="009F51DD"/>
    <w:rsid w:val="009F7FF9"/>
    <w:rsid w:val="00A028B6"/>
    <w:rsid w:val="00A03D4D"/>
    <w:rsid w:val="00A10306"/>
    <w:rsid w:val="00A11235"/>
    <w:rsid w:val="00A13CDF"/>
    <w:rsid w:val="00A14D2F"/>
    <w:rsid w:val="00A150D8"/>
    <w:rsid w:val="00A1607B"/>
    <w:rsid w:val="00A216C7"/>
    <w:rsid w:val="00A22AC2"/>
    <w:rsid w:val="00A26F18"/>
    <w:rsid w:val="00A3225C"/>
    <w:rsid w:val="00A4109F"/>
    <w:rsid w:val="00A50AC0"/>
    <w:rsid w:val="00A56DDD"/>
    <w:rsid w:val="00A65485"/>
    <w:rsid w:val="00A65F92"/>
    <w:rsid w:val="00A72AE2"/>
    <w:rsid w:val="00A87214"/>
    <w:rsid w:val="00A914E1"/>
    <w:rsid w:val="00AA6EC7"/>
    <w:rsid w:val="00AB0BDD"/>
    <w:rsid w:val="00AB2166"/>
    <w:rsid w:val="00AB4C1C"/>
    <w:rsid w:val="00AB544F"/>
    <w:rsid w:val="00AC0814"/>
    <w:rsid w:val="00AC2C94"/>
    <w:rsid w:val="00AC2D55"/>
    <w:rsid w:val="00AC3567"/>
    <w:rsid w:val="00AD355E"/>
    <w:rsid w:val="00AE3523"/>
    <w:rsid w:val="00AF19CE"/>
    <w:rsid w:val="00AF1D19"/>
    <w:rsid w:val="00AF56CB"/>
    <w:rsid w:val="00AF7367"/>
    <w:rsid w:val="00B062B9"/>
    <w:rsid w:val="00B06F6E"/>
    <w:rsid w:val="00B1021F"/>
    <w:rsid w:val="00B14634"/>
    <w:rsid w:val="00B164DE"/>
    <w:rsid w:val="00B226A4"/>
    <w:rsid w:val="00B22D7C"/>
    <w:rsid w:val="00B267AF"/>
    <w:rsid w:val="00B27046"/>
    <w:rsid w:val="00B30602"/>
    <w:rsid w:val="00B3068D"/>
    <w:rsid w:val="00B30AF5"/>
    <w:rsid w:val="00B31132"/>
    <w:rsid w:val="00B4035E"/>
    <w:rsid w:val="00B42043"/>
    <w:rsid w:val="00B428E6"/>
    <w:rsid w:val="00B42C72"/>
    <w:rsid w:val="00B42EF2"/>
    <w:rsid w:val="00B43284"/>
    <w:rsid w:val="00B43683"/>
    <w:rsid w:val="00B45826"/>
    <w:rsid w:val="00B53CF6"/>
    <w:rsid w:val="00B54FF5"/>
    <w:rsid w:val="00B55E62"/>
    <w:rsid w:val="00B631D0"/>
    <w:rsid w:val="00B634D8"/>
    <w:rsid w:val="00B65AFA"/>
    <w:rsid w:val="00B6748A"/>
    <w:rsid w:val="00B67BA4"/>
    <w:rsid w:val="00B71DC7"/>
    <w:rsid w:val="00B728E9"/>
    <w:rsid w:val="00B73215"/>
    <w:rsid w:val="00B73597"/>
    <w:rsid w:val="00B73EF0"/>
    <w:rsid w:val="00B76EA3"/>
    <w:rsid w:val="00B845A7"/>
    <w:rsid w:val="00B8519D"/>
    <w:rsid w:val="00B869BC"/>
    <w:rsid w:val="00B90A9A"/>
    <w:rsid w:val="00B93AC8"/>
    <w:rsid w:val="00B94299"/>
    <w:rsid w:val="00BA2786"/>
    <w:rsid w:val="00BA3BBC"/>
    <w:rsid w:val="00BA54F9"/>
    <w:rsid w:val="00BB233A"/>
    <w:rsid w:val="00BB2389"/>
    <w:rsid w:val="00BB5B4D"/>
    <w:rsid w:val="00BB72FD"/>
    <w:rsid w:val="00BD04A2"/>
    <w:rsid w:val="00BD68D3"/>
    <w:rsid w:val="00BE385F"/>
    <w:rsid w:val="00BE3901"/>
    <w:rsid w:val="00BE6603"/>
    <w:rsid w:val="00BF1FFB"/>
    <w:rsid w:val="00C03298"/>
    <w:rsid w:val="00C2393A"/>
    <w:rsid w:val="00C2439A"/>
    <w:rsid w:val="00C26BE2"/>
    <w:rsid w:val="00C33608"/>
    <w:rsid w:val="00C34035"/>
    <w:rsid w:val="00C354B1"/>
    <w:rsid w:val="00C37EA0"/>
    <w:rsid w:val="00C427F5"/>
    <w:rsid w:val="00C453B1"/>
    <w:rsid w:val="00C4655F"/>
    <w:rsid w:val="00C473DE"/>
    <w:rsid w:val="00C60E56"/>
    <w:rsid w:val="00C67530"/>
    <w:rsid w:val="00C675F9"/>
    <w:rsid w:val="00C72DF6"/>
    <w:rsid w:val="00C72E01"/>
    <w:rsid w:val="00C80494"/>
    <w:rsid w:val="00C8447F"/>
    <w:rsid w:val="00C84827"/>
    <w:rsid w:val="00C918EB"/>
    <w:rsid w:val="00C9431B"/>
    <w:rsid w:val="00C95A5D"/>
    <w:rsid w:val="00C971C8"/>
    <w:rsid w:val="00CA0DDB"/>
    <w:rsid w:val="00CA3242"/>
    <w:rsid w:val="00CB38CE"/>
    <w:rsid w:val="00CB5733"/>
    <w:rsid w:val="00CC673D"/>
    <w:rsid w:val="00CE4B5B"/>
    <w:rsid w:val="00D042DD"/>
    <w:rsid w:val="00D14021"/>
    <w:rsid w:val="00D23353"/>
    <w:rsid w:val="00D41402"/>
    <w:rsid w:val="00D442EA"/>
    <w:rsid w:val="00D45A52"/>
    <w:rsid w:val="00D54535"/>
    <w:rsid w:val="00D56AD1"/>
    <w:rsid w:val="00D650A7"/>
    <w:rsid w:val="00D70A89"/>
    <w:rsid w:val="00D7463B"/>
    <w:rsid w:val="00D747CA"/>
    <w:rsid w:val="00D82B87"/>
    <w:rsid w:val="00D8561B"/>
    <w:rsid w:val="00D900D8"/>
    <w:rsid w:val="00D94D27"/>
    <w:rsid w:val="00DA56EA"/>
    <w:rsid w:val="00DB58DB"/>
    <w:rsid w:val="00DC65E6"/>
    <w:rsid w:val="00DC7F2F"/>
    <w:rsid w:val="00DE5A29"/>
    <w:rsid w:val="00DF199D"/>
    <w:rsid w:val="00DF29AB"/>
    <w:rsid w:val="00DF2A0C"/>
    <w:rsid w:val="00E141D7"/>
    <w:rsid w:val="00E14795"/>
    <w:rsid w:val="00E15394"/>
    <w:rsid w:val="00E23DCA"/>
    <w:rsid w:val="00E31BC3"/>
    <w:rsid w:val="00E3637C"/>
    <w:rsid w:val="00E365CB"/>
    <w:rsid w:val="00E43A42"/>
    <w:rsid w:val="00E45DB0"/>
    <w:rsid w:val="00E50ECD"/>
    <w:rsid w:val="00E65B3A"/>
    <w:rsid w:val="00E674D4"/>
    <w:rsid w:val="00E7039F"/>
    <w:rsid w:val="00E76046"/>
    <w:rsid w:val="00E83B76"/>
    <w:rsid w:val="00E86ECF"/>
    <w:rsid w:val="00E91521"/>
    <w:rsid w:val="00E95F1C"/>
    <w:rsid w:val="00EA0970"/>
    <w:rsid w:val="00EA0E9A"/>
    <w:rsid w:val="00EA286C"/>
    <w:rsid w:val="00EA3990"/>
    <w:rsid w:val="00EA477E"/>
    <w:rsid w:val="00EA525B"/>
    <w:rsid w:val="00EA76A9"/>
    <w:rsid w:val="00EB187A"/>
    <w:rsid w:val="00EB3B78"/>
    <w:rsid w:val="00EB42F5"/>
    <w:rsid w:val="00EB4882"/>
    <w:rsid w:val="00EC260A"/>
    <w:rsid w:val="00EC3733"/>
    <w:rsid w:val="00EC43BC"/>
    <w:rsid w:val="00EC4F97"/>
    <w:rsid w:val="00ED448B"/>
    <w:rsid w:val="00ED5933"/>
    <w:rsid w:val="00ED6D08"/>
    <w:rsid w:val="00EE1C7B"/>
    <w:rsid w:val="00EE3FB4"/>
    <w:rsid w:val="00EE48F6"/>
    <w:rsid w:val="00EE69EF"/>
    <w:rsid w:val="00EE70C3"/>
    <w:rsid w:val="00EF45A5"/>
    <w:rsid w:val="00F01188"/>
    <w:rsid w:val="00F016D2"/>
    <w:rsid w:val="00F0182F"/>
    <w:rsid w:val="00F12103"/>
    <w:rsid w:val="00F15456"/>
    <w:rsid w:val="00F200B5"/>
    <w:rsid w:val="00F24586"/>
    <w:rsid w:val="00F25B94"/>
    <w:rsid w:val="00F25C88"/>
    <w:rsid w:val="00F3266D"/>
    <w:rsid w:val="00F4126A"/>
    <w:rsid w:val="00F42337"/>
    <w:rsid w:val="00F50B6C"/>
    <w:rsid w:val="00F51B68"/>
    <w:rsid w:val="00F53935"/>
    <w:rsid w:val="00F564A6"/>
    <w:rsid w:val="00F635D6"/>
    <w:rsid w:val="00F72F9C"/>
    <w:rsid w:val="00F760DD"/>
    <w:rsid w:val="00F76837"/>
    <w:rsid w:val="00F80EB2"/>
    <w:rsid w:val="00F82FF4"/>
    <w:rsid w:val="00F8313D"/>
    <w:rsid w:val="00F8474D"/>
    <w:rsid w:val="00F84F18"/>
    <w:rsid w:val="00F86358"/>
    <w:rsid w:val="00F87B0A"/>
    <w:rsid w:val="00F91E52"/>
    <w:rsid w:val="00F9663D"/>
    <w:rsid w:val="00FA3AE1"/>
    <w:rsid w:val="00FA3E0B"/>
    <w:rsid w:val="00FA4918"/>
    <w:rsid w:val="00FA54D8"/>
    <w:rsid w:val="00FB04C3"/>
    <w:rsid w:val="00FB16E0"/>
    <w:rsid w:val="00FB6E4D"/>
    <w:rsid w:val="00FC29BC"/>
    <w:rsid w:val="00FC3100"/>
    <w:rsid w:val="00FD5AD6"/>
    <w:rsid w:val="00FD7C7B"/>
    <w:rsid w:val="00FE3B00"/>
    <w:rsid w:val="00FE6721"/>
    <w:rsid w:val="00FF26B3"/>
    <w:rsid w:val="00FF3993"/>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677">
      <w:bodyDiv w:val="1"/>
      <w:marLeft w:val="0"/>
      <w:marRight w:val="0"/>
      <w:marTop w:val="0"/>
      <w:marBottom w:val="0"/>
      <w:divBdr>
        <w:top w:val="none" w:sz="0" w:space="0" w:color="auto"/>
        <w:left w:val="none" w:sz="0" w:space="0" w:color="auto"/>
        <w:bottom w:val="none" w:sz="0" w:space="0" w:color="auto"/>
        <w:right w:val="none" w:sz="0" w:space="0" w:color="auto"/>
      </w:divBdr>
    </w:div>
    <w:div w:id="559753649">
      <w:bodyDiv w:val="1"/>
      <w:marLeft w:val="0"/>
      <w:marRight w:val="0"/>
      <w:marTop w:val="0"/>
      <w:marBottom w:val="0"/>
      <w:divBdr>
        <w:top w:val="none" w:sz="0" w:space="0" w:color="auto"/>
        <w:left w:val="none" w:sz="0" w:space="0" w:color="auto"/>
        <w:bottom w:val="none" w:sz="0" w:space="0" w:color="auto"/>
        <w:right w:val="none" w:sz="0" w:space="0" w:color="auto"/>
      </w:divBdr>
    </w:div>
    <w:div w:id="626005105">
      <w:bodyDiv w:val="1"/>
      <w:marLeft w:val="0"/>
      <w:marRight w:val="0"/>
      <w:marTop w:val="0"/>
      <w:marBottom w:val="0"/>
      <w:divBdr>
        <w:top w:val="none" w:sz="0" w:space="0" w:color="auto"/>
        <w:left w:val="none" w:sz="0" w:space="0" w:color="auto"/>
        <w:bottom w:val="none" w:sz="0" w:space="0" w:color="auto"/>
        <w:right w:val="none" w:sz="0" w:space="0" w:color="auto"/>
      </w:divBdr>
      <w:divsChild>
        <w:div w:id="356933303">
          <w:marLeft w:val="0"/>
          <w:marRight w:val="0"/>
          <w:marTop w:val="0"/>
          <w:marBottom w:val="0"/>
          <w:divBdr>
            <w:top w:val="none" w:sz="0" w:space="0" w:color="auto"/>
            <w:left w:val="none" w:sz="0" w:space="0" w:color="auto"/>
            <w:bottom w:val="none" w:sz="0" w:space="0" w:color="auto"/>
            <w:right w:val="none" w:sz="0" w:space="0" w:color="auto"/>
          </w:divBdr>
          <w:divsChild>
            <w:div w:id="901988897">
              <w:marLeft w:val="0"/>
              <w:marRight w:val="0"/>
              <w:marTop w:val="0"/>
              <w:marBottom w:val="0"/>
              <w:divBdr>
                <w:top w:val="none" w:sz="0" w:space="0" w:color="auto"/>
                <w:left w:val="none" w:sz="0" w:space="0" w:color="auto"/>
                <w:bottom w:val="none" w:sz="0" w:space="0" w:color="auto"/>
                <w:right w:val="none" w:sz="0" w:space="0" w:color="auto"/>
              </w:divBdr>
              <w:divsChild>
                <w:div w:id="845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5805">
      <w:bodyDiv w:val="1"/>
      <w:marLeft w:val="0"/>
      <w:marRight w:val="0"/>
      <w:marTop w:val="0"/>
      <w:marBottom w:val="0"/>
      <w:divBdr>
        <w:top w:val="none" w:sz="0" w:space="0" w:color="auto"/>
        <w:left w:val="none" w:sz="0" w:space="0" w:color="auto"/>
        <w:bottom w:val="none" w:sz="0" w:space="0" w:color="auto"/>
        <w:right w:val="none" w:sz="0" w:space="0" w:color="auto"/>
      </w:divBdr>
    </w:div>
    <w:div w:id="1397168827">
      <w:bodyDiv w:val="1"/>
      <w:marLeft w:val="0"/>
      <w:marRight w:val="0"/>
      <w:marTop w:val="0"/>
      <w:marBottom w:val="0"/>
      <w:divBdr>
        <w:top w:val="none" w:sz="0" w:space="0" w:color="auto"/>
        <w:left w:val="none" w:sz="0" w:space="0" w:color="auto"/>
        <w:bottom w:val="none" w:sz="0" w:space="0" w:color="auto"/>
        <w:right w:val="none" w:sz="0" w:space="0" w:color="auto"/>
      </w:divBdr>
    </w:div>
    <w:div w:id="1576937196">
      <w:bodyDiv w:val="1"/>
      <w:marLeft w:val="0"/>
      <w:marRight w:val="0"/>
      <w:marTop w:val="0"/>
      <w:marBottom w:val="0"/>
      <w:divBdr>
        <w:top w:val="none" w:sz="0" w:space="0" w:color="auto"/>
        <w:left w:val="none" w:sz="0" w:space="0" w:color="auto"/>
        <w:bottom w:val="none" w:sz="0" w:space="0" w:color="auto"/>
        <w:right w:val="none" w:sz="0" w:space="0" w:color="auto"/>
      </w:divBdr>
    </w:div>
    <w:div w:id="1845245086">
      <w:bodyDiv w:val="1"/>
      <w:marLeft w:val="0"/>
      <w:marRight w:val="0"/>
      <w:marTop w:val="0"/>
      <w:marBottom w:val="0"/>
      <w:divBdr>
        <w:top w:val="none" w:sz="0" w:space="0" w:color="auto"/>
        <w:left w:val="none" w:sz="0" w:space="0" w:color="auto"/>
        <w:bottom w:val="none" w:sz="0" w:space="0" w:color="auto"/>
        <w:right w:val="none" w:sz="0" w:space="0" w:color="auto"/>
      </w:divBdr>
    </w:div>
    <w:div w:id="1911499728">
      <w:bodyDiv w:val="1"/>
      <w:marLeft w:val="0"/>
      <w:marRight w:val="0"/>
      <w:marTop w:val="0"/>
      <w:marBottom w:val="0"/>
      <w:divBdr>
        <w:top w:val="none" w:sz="0" w:space="0" w:color="auto"/>
        <w:left w:val="none" w:sz="0" w:space="0" w:color="auto"/>
        <w:bottom w:val="none" w:sz="0" w:space="0" w:color="auto"/>
        <w:right w:val="none" w:sz="0" w:space="0" w:color="auto"/>
      </w:divBdr>
    </w:div>
    <w:div w:id="1938364694">
      <w:bodyDiv w:val="1"/>
      <w:marLeft w:val="0"/>
      <w:marRight w:val="0"/>
      <w:marTop w:val="0"/>
      <w:marBottom w:val="0"/>
      <w:divBdr>
        <w:top w:val="none" w:sz="0" w:space="0" w:color="auto"/>
        <w:left w:val="none" w:sz="0" w:space="0" w:color="auto"/>
        <w:bottom w:val="none" w:sz="0" w:space="0" w:color="auto"/>
        <w:right w:val="none" w:sz="0" w:space="0" w:color="auto"/>
      </w:divBdr>
    </w:div>
    <w:div w:id="2075468833">
      <w:bodyDiv w:val="1"/>
      <w:marLeft w:val="0"/>
      <w:marRight w:val="0"/>
      <w:marTop w:val="0"/>
      <w:marBottom w:val="0"/>
      <w:divBdr>
        <w:top w:val="none" w:sz="0" w:space="0" w:color="auto"/>
        <w:left w:val="none" w:sz="0" w:space="0" w:color="auto"/>
        <w:bottom w:val="none" w:sz="0" w:space="0" w:color="auto"/>
        <w:right w:val="none" w:sz="0" w:space="0" w:color="auto"/>
      </w:divBdr>
      <w:divsChild>
        <w:div w:id="438256651">
          <w:marLeft w:val="0"/>
          <w:marRight w:val="0"/>
          <w:marTop w:val="0"/>
          <w:marBottom w:val="0"/>
          <w:divBdr>
            <w:top w:val="none" w:sz="0" w:space="0" w:color="auto"/>
            <w:left w:val="none" w:sz="0" w:space="0" w:color="auto"/>
            <w:bottom w:val="none" w:sz="0" w:space="0" w:color="auto"/>
            <w:right w:val="none" w:sz="0" w:space="0" w:color="auto"/>
          </w:divBdr>
          <w:divsChild>
            <w:div w:id="1417903720">
              <w:marLeft w:val="0"/>
              <w:marRight w:val="0"/>
              <w:marTop w:val="0"/>
              <w:marBottom w:val="0"/>
              <w:divBdr>
                <w:top w:val="none" w:sz="0" w:space="0" w:color="auto"/>
                <w:left w:val="single" w:sz="4" w:space="0" w:color="E2E2E2"/>
                <w:bottom w:val="none" w:sz="0" w:space="0" w:color="auto"/>
                <w:right w:val="single" w:sz="4" w:space="0" w:color="E2E2E2"/>
              </w:divBdr>
              <w:divsChild>
                <w:div w:id="415712169">
                  <w:marLeft w:val="0"/>
                  <w:marRight w:val="0"/>
                  <w:marTop w:val="0"/>
                  <w:marBottom w:val="0"/>
                  <w:divBdr>
                    <w:top w:val="none" w:sz="0" w:space="0" w:color="auto"/>
                    <w:left w:val="none" w:sz="0" w:space="0" w:color="auto"/>
                    <w:bottom w:val="none" w:sz="0" w:space="0" w:color="auto"/>
                    <w:right w:val="none" w:sz="0" w:space="0" w:color="auto"/>
                  </w:divBdr>
                  <w:divsChild>
                    <w:div w:id="2113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pub/cwc/cm20081022ar01p1.htm" TargetMode="External"/><Relationship Id="rId4" Type="http://schemas.microsoft.com/office/2007/relationships/stylesWithEffects" Target="stylesWithEffects.xml"/><Relationship Id="rId9" Type="http://schemas.openxmlformats.org/officeDocument/2006/relationships/hyperlink" Target="http://ssa-custhelp.ssa.gov/app/answers/detail/a_id/13/~/average-monthly-social-security-benefit-for-a-retired-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F37E-229B-4139-853C-B0EED132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39287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ageorges</dc:creator>
  <cp:lastModifiedBy>Borgstrom, Amy</cp:lastModifiedBy>
  <cp:revision>2</cp:revision>
  <cp:lastPrinted>2013-05-22T14:05:00Z</cp:lastPrinted>
  <dcterms:created xsi:type="dcterms:W3CDTF">2013-09-24T18:00:00Z</dcterms:created>
  <dcterms:modified xsi:type="dcterms:W3CDTF">2013-09-24T18:00:00Z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