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8" w:type="dxa"/>
        <w:tblInd w:w="720" w:type="dxa"/>
        <w:tblCellMar>
          <w:left w:w="187" w:type="dxa"/>
          <w:right w:w="187" w:type="dxa"/>
        </w:tblCellMar>
        <w:tblLook w:val="0000" w:firstRow="0" w:lastRow="0" w:firstColumn="0" w:lastColumn="0" w:noHBand="0" w:noVBand="0"/>
      </w:tblPr>
      <w:tblGrid>
        <w:gridCol w:w="5040"/>
        <w:gridCol w:w="5268"/>
      </w:tblGrid>
      <w:tr w:rsidR="00E442BF" w:rsidTr="00822CA5">
        <w:trPr>
          <w:trHeight w:val="817"/>
        </w:trPr>
        <w:tc>
          <w:tcPr>
            <w:tcW w:w="5040" w:type="dxa"/>
            <w:tcMar>
              <w:left w:w="0" w:type="dxa"/>
              <w:right w:w="0" w:type="dxa"/>
            </w:tcMar>
          </w:tcPr>
          <w:p w:rsidR="00E442BF" w:rsidRDefault="00E442BF" w:rsidP="004A6DCE">
            <w:bookmarkStart w:id="0" w:name="_GoBack"/>
            <w:bookmarkEnd w:id="0"/>
          </w:p>
        </w:tc>
        <w:tc>
          <w:tcPr>
            <w:tcW w:w="5268" w:type="dxa"/>
            <w:shd w:val="clear" w:color="auto" w:fill="595959" w:themeFill="text1" w:themeFillTint="A6"/>
            <w:vAlign w:val="center"/>
          </w:tcPr>
          <w:p w:rsidR="00E442BF" w:rsidRDefault="007E6A33" w:rsidP="007E6A33">
            <w:pPr>
              <w:pStyle w:val="CompanyName"/>
            </w:pPr>
            <w:r>
              <w:t>National Center for Science and Engineering Statistics</w:t>
            </w:r>
          </w:p>
        </w:tc>
      </w:tr>
    </w:tbl>
    <w:p w:rsidR="00E442BF" w:rsidRDefault="004F2030" w:rsidP="004A6DCE">
      <w:pPr>
        <w:pStyle w:val="Title"/>
      </w:pPr>
      <w:r w:rsidRPr="004A6DCE">
        <w:t>Memo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4"/>
        <w:gridCol w:w="7601"/>
      </w:tblGrid>
      <w:tr w:rsidR="004A6DCE" w:rsidTr="00395810">
        <w:trPr>
          <w:cantSplit/>
          <w:trHeight w:val="432"/>
        </w:trPr>
        <w:tc>
          <w:tcPr>
            <w:tcW w:w="1154" w:type="dxa"/>
            <w:vAlign w:val="bottom"/>
          </w:tcPr>
          <w:p w:rsidR="00A3711A" w:rsidRDefault="00A3711A" w:rsidP="00E0003B">
            <w:pPr>
              <w:pStyle w:val="Heading1"/>
            </w:pPr>
          </w:p>
          <w:p w:rsidR="004A6DCE" w:rsidRPr="004A6DCE" w:rsidRDefault="004A6DCE" w:rsidP="00E0003B">
            <w:pPr>
              <w:pStyle w:val="Heading1"/>
            </w:pPr>
            <w:r w:rsidRPr="004A6DCE">
              <w:t>To:</w:t>
            </w:r>
          </w:p>
        </w:tc>
        <w:tc>
          <w:tcPr>
            <w:tcW w:w="7601" w:type="dxa"/>
            <w:vAlign w:val="bottom"/>
          </w:tcPr>
          <w:p w:rsidR="004A6DCE" w:rsidRPr="00E0003B" w:rsidRDefault="007E6A33" w:rsidP="007E6A33">
            <w:r>
              <w:t>John Jankowski</w:t>
            </w:r>
          </w:p>
        </w:tc>
      </w:tr>
      <w:tr w:rsidR="004A6DCE" w:rsidTr="00395810">
        <w:trPr>
          <w:cantSplit/>
          <w:trHeight w:val="432"/>
        </w:trPr>
        <w:tc>
          <w:tcPr>
            <w:tcW w:w="1154" w:type="dxa"/>
            <w:vAlign w:val="bottom"/>
          </w:tcPr>
          <w:p w:rsidR="004A6DCE" w:rsidRPr="004A6DCE" w:rsidRDefault="004A6DCE" w:rsidP="00E0003B">
            <w:pPr>
              <w:pStyle w:val="Heading1"/>
            </w:pPr>
            <w:r w:rsidRPr="004A6DCE">
              <w:t>From:</w:t>
            </w:r>
          </w:p>
        </w:tc>
        <w:tc>
          <w:tcPr>
            <w:tcW w:w="7601" w:type="dxa"/>
            <w:vAlign w:val="bottom"/>
          </w:tcPr>
          <w:p w:rsidR="004A6DCE" w:rsidRPr="00E0003B" w:rsidRDefault="007E6A33" w:rsidP="007E6A33">
            <w:r>
              <w:t>Ronda Britt</w:t>
            </w:r>
            <w:r w:rsidR="00761E68">
              <w:t xml:space="preserve"> and Mike Yamaner</w:t>
            </w:r>
          </w:p>
        </w:tc>
      </w:tr>
      <w:tr w:rsidR="004A6DCE" w:rsidTr="00395810">
        <w:trPr>
          <w:cantSplit/>
          <w:trHeight w:val="432"/>
        </w:trPr>
        <w:tc>
          <w:tcPr>
            <w:tcW w:w="1154" w:type="dxa"/>
            <w:vAlign w:val="bottom"/>
          </w:tcPr>
          <w:p w:rsidR="004A6DCE" w:rsidRPr="004A6DCE" w:rsidRDefault="004A6DCE" w:rsidP="00E0003B">
            <w:pPr>
              <w:pStyle w:val="Heading1"/>
            </w:pPr>
            <w:r w:rsidRPr="004A6DCE">
              <w:t>Date:</w:t>
            </w:r>
          </w:p>
        </w:tc>
        <w:sdt>
          <w:sdtPr>
            <w:alias w:val="Date"/>
            <w:tag w:val="Date"/>
            <w:id w:val="434908564"/>
            <w:placeholder>
              <w:docPart w:val="03FC4650F8FDE949BC727CEA447E9D49"/>
            </w:placeholder>
            <w:date w:fullDate="2013-06-06T00:00:00Z">
              <w:dateFormat w:val="MMMM d, yyyy"/>
              <w:lid w:val="en-US"/>
              <w:storeMappedDataAs w:val="dateTime"/>
              <w:calendar w:val="gregorian"/>
            </w:date>
          </w:sdtPr>
          <w:sdtEndPr/>
          <w:sdtContent>
            <w:tc>
              <w:tcPr>
                <w:tcW w:w="7601" w:type="dxa"/>
                <w:vAlign w:val="bottom"/>
              </w:tcPr>
              <w:p w:rsidR="004A6DCE" w:rsidRPr="00E0003B" w:rsidRDefault="00D202C8" w:rsidP="00D202C8">
                <w:r>
                  <w:t>June 6, 2013</w:t>
                </w:r>
              </w:p>
            </w:tc>
          </w:sdtContent>
        </w:sdt>
      </w:tr>
      <w:tr w:rsidR="004A6DCE" w:rsidTr="00395810">
        <w:trPr>
          <w:cantSplit/>
          <w:trHeight w:val="432"/>
        </w:trPr>
        <w:tc>
          <w:tcPr>
            <w:tcW w:w="1154" w:type="dxa"/>
            <w:vAlign w:val="bottom"/>
          </w:tcPr>
          <w:p w:rsidR="004A6DCE" w:rsidRPr="004A6DCE" w:rsidRDefault="004A6DCE" w:rsidP="00E0003B">
            <w:pPr>
              <w:pStyle w:val="Heading1"/>
            </w:pPr>
            <w:r w:rsidRPr="004A6DCE">
              <w:t>Re:</w:t>
            </w:r>
          </w:p>
        </w:tc>
        <w:tc>
          <w:tcPr>
            <w:tcW w:w="7601" w:type="dxa"/>
            <w:vAlign w:val="bottom"/>
          </w:tcPr>
          <w:p w:rsidR="007E6A33" w:rsidRDefault="007E6A33" w:rsidP="007E6A33">
            <w:pPr>
              <w:rPr>
                <w:b/>
              </w:rPr>
            </w:pPr>
          </w:p>
          <w:p w:rsidR="004A6DCE" w:rsidRPr="007E6A33" w:rsidRDefault="00582FB3" w:rsidP="007E6A33">
            <w:r>
              <w:t>An investigation of the differences between Federal agency-reported R&amp;D obligations and FFRDC-reported R&amp;D expenditures: FY 2011</w:t>
            </w:r>
          </w:p>
        </w:tc>
      </w:tr>
      <w:tr w:rsidR="00E0003B" w:rsidTr="00395810">
        <w:trPr>
          <w:cantSplit/>
          <w:trHeight w:val="73"/>
        </w:trPr>
        <w:tc>
          <w:tcPr>
            <w:tcW w:w="1154" w:type="dxa"/>
            <w:tcBorders>
              <w:bottom w:val="single" w:sz="4" w:space="0" w:color="auto"/>
            </w:tcBorders>
            <w:vAlign w:val="bottom"/>
          </w:tcPr>
          <w:p w:rsidR="00E0003B" w:rsidRPr="004A6DCE" w:rsidRDefault="00E0003B" w:rsidP="00E0003B"/>
        </w:tc>
        <w:tc>
          <w:tcPr>
            <w:tcW w:w="7601" w:type="dxa"/>
            <w:tcBorders>
              <w:bottom w:val="single" w:sz="4" w:space="0" w:color="auto"/>
            </w:tcBorders>
            <w:vAlign w:val="bottom"/>
          </w:tcPr>
          <w:p w:rsidR="00E0003B" w:rsidRDefault="00E0003B" w:rsidP="00E0003B"/>
        </w:tc>
      </w:tr>
    </w:tbl>
    <w:p w:rsidR="00EB110A" w:rsidRDefault="00582FB3" w:rsidP="00AD7693">
      <w:pPr>
        <w:pStyle w:val="NormalWeb"/>
        <w:rPr>
          <w:rFonts w:ascii="Arial" w:hAnsi="Arial" w:cs="Arial"/>
          <w:sz w:val="22"/>
          <w:szCs w:val="22"/>
        </w:rPr>
      </w:pPr>
      <w:r w:rsidRPr="00AD7693">
        <w:rPr>
          <w:rFonts w:ascii="Arial" w:hAnsi="Arial" w:cs="Arial"/>
          <w:sz w:val="22"/>
          <w:szCs w:val="22"/>
        </w:rPr>
        <w:t xml:space="preserve">NSF's Survey of Federal Funds for Research and Development collects data from </w:t>
      </w:r>
      <w:r w:rsidR="00A4080F">
        <w:rPr>
          <w:rFonts w:ascii="Arial" w:hAnsi="Arial" w:cs="Arial"/>
          <w:sz w:val="22"/>
          <w:szCs w:val="22"/>
        </w:rPr>
        <w:t>f</w:t>
      </w:r>
      <w:r w:rsidRPr="00AD7693">
        <w:rPr>
          <w:rFonts w:ascii="Arial" w:hAnsi="Arial" w:cs="Arial"/>
          <w:sz w:val="22"/>
          <w:szCs w:val="22"/>
        </w:rPr>
        <w:t xml:space="preserve">ederal agencies on </w:t>
      </w:r>
      <w:r w:rsidR="00B86E7D">
        <w:rPr>
          <w:rFonts w:ascii="Arial" w:hAnsi="Arial" w:cs="Arial"/>
          <w:sz w:val="22"/>
          <w:szCs w:val="22"/>
        </w:rPr>
        <w:t xml:space="preserve">obligations for </w:t>
      </w:r>
      <w:r w:rsidRPr="00AD7693">
        <w:rPr>
          <w:rFonts w:ascii="Arial" w:hAnsi="Arial" w:cs="Arial"/>
          <w:sz w:val="22"/>
          <w:szCs w:val="22"/>
        </w:rPr>
        <w:t xml:space="preserve">R&amp;D </w:t>
      </w:r>
      <w:r w:rsidR="00AD7693" w:rsidRPr="00AD7693">
        <w:rPr>
          <w:rFonts w:ascii="Arial" w:hAnsi="Arial" w:cs="Arial"/>
          <w:sz w:val="22"/>
          <w:szCs w:val="22"/>
        </w:rPr>
        <w:t xml:space="preserve">for </w:t>
      </w:r>
      <w:r w:rsidRPr="00AD7693">
        <w:rPr>
          <w:rFonts w:ascii="Arial" w:hAnsi="Arial" w:cs="Arial"/>
          <w:sz w:val="22"/>
          <w:szCs w:val="22"/>
        </w:rPr>
        <w:t xml:space="preserve">each fiscal year, including a breakout </w:t>
      </w:r>
      <w:r w:rsidR="00AD7693" w:rsidRPr="00AD7693">
        <w:rPr>
          <w:rFonts w:ascii="Arial" w:hAnsi="Arial" w:cs="Arial"/>
          <w:sz w:val="22"/>
          <w:szCs w:val="22"/>
        </w:rPr>
        <w:t>for obligations to f</w:t>
      </w:r>
      <w:r w:rsidRPr="00AD7693">
        <w:rPr>
          <w:rFonts w:ascii="Arial" w:hAnsi="Arial" w:cs="Arial"/>
          <w:sz w:val="22"/>
          <w:szCs w:val="22"/>
        </w:rPr>
        <w:t>ederally funded research and development center</w:t>
      </w:r>
      <w:r w:rsidR="00AD7693" w:rsidRPr="00AD7693">
        <w:rPr>
          <w:rFonts w:ascii="Arial" w:hAnsi="Arial" w:cs="Arial"/>
          <w:sz w:val="22"/>
          <w:szCs w:val="22"/>
        </w:rPr>
        <w:t>s</w:t>
      </w:r>
      <w:r w:rsidRPr="00AD7693">
        <w:rPr>
          <w:rFonts w:ascii="Arial" w:hAnsi="Arial" w:cs="Arial"/>
          <w:sz w:val="22"/>
          <w:szCs w:val="22"/>
        </w:rPr>
        <w:t xml:space="preserve"> (FFRDC</w:t>
      </w:r>
      <w:r w:rsidR="00AD7693" w:rsidRPr="00AD7693">
        <w:rPr>
          <w:rFonts w:ascii="Arial" w:hAnsi="Arial" w:cs="Arial"/>
          <w:sz w:val="22"/>
          <w:szCs w:val="22"/>
        </w:rPr>
        <w:t>s</w:t>
      </w:r>
      <w:r w:rsidRPr="00AD7693">
        <w:rPr>
          <w:rFonts w:ascii="Arial" w:hAnsi="Arial" w:cs="Arial"/>
          <w:sz w:val="22"/>
          <w:szCs w:val="22"/>
        </w:rPr>
        <w:t xml:space="preserve">). </w:t>
      </w:r>
      <w:r w:rsidR="00EB110A" w:rsidRPr="00EB110A">
        <w:rPr>
          <w:rFonts w:ascii="Arial" w:hAnsi="Arial" w:cs="Arial"/>
          <w:sz w:val="22"/>
          <w:szCs w:val="22"/>
        </w:rPr>
        <w:t>Respondents are budget and accounting staff at the various federal agencies conducting R&amp;D. Since the respondent</w:t>
      </w:r>
      <w:r w:rsidR="00EB110A">
        <w:rPr>
          <w:rFonts w:ascii="Arial" w:hAnsi="Arial" w:cs="Arial"/>
          <w:sz w:val="22"/>
          <w:szCs w:val="22"/>
        </w:rPr>
        <w:t>s</w:t>
      </w:r>
      <w:r w:rsidR="00EB110A" w:rsidRPr="00EB110A">
        <w:rPr>
          <w:rFonts w:ascii="Arial" w:hAnsi="Arial" w:cs="Arial"/>
          <w:sz w:val="22"/>
          <w:szCs w:val="22"/>
        </w:rPr>
        <w:t xml:space="preserve"> on the survey </w:t>
      </w:r>
      <w:r w:rsidR="007E7915">
        <w:rPr>
          <w:rFonts w:ascii="Arial" w:hAnsi="Arial" w:cs="Arial"/>
          <w:sz w:val="22"/>
          <w:szCs w:val="22"/>
        </w:rPr>
        <w:t>do not actual conduct</w:t>
      </w:r>
      <w:r w:rsidR="00EB110A" w:rsidRPr="00EB110A">
        <w:rPr>
          <w:rFonts w:ascii="Arial" w:hAnsi="Arial" w:cs="Arial"/>
          <w:sz w:val="22"/>
          <w:szCs w:val="22"/>
        </w:rPr>
        <w:t xml:space="preserve"> the R&amp;D</w:t>
      </w:r>
      <w:r w:rsidR="007E7915">
        <w:rPr>
          <w:rFonts w:ascii="Arial" w:hAnsi="Arial" w:cs="Arial"/>
          <w:sz w:val="22"/>
          <w:szCs w:val="22"/>
        </w:rPr>
        <w:t>,</w:t>
      </w:r>
      <w:r w:rsidR="00EB110A" w:rsidRPr="00EB110A">
        <w:rPr>
          <w:rFonts w:ascii="Arial" w:hAnsi="Arial" w:cs="Arial"/>
          <w:sz w:val="22"/>
          <w:szCs w:val="22"/>
        </w:rPr>
        <w:t xml:space="preserve"> they are limited to the</w:t>
      </w:r>
      <w:r w:rsidR="007E7915">
        <w:rPr>
          <w:rFonts w:ascii="Arial" w:hAnsi="Arial" w:cs="Arial"/>
          <w:sz w:val="22"/>
          <w:szCs w:val="22"/>
        </w:rPr>
        <w:t xml:space="preserve"> information contained in their</w:t>
      </w:r>
      <w:r w:rsidR="00EB110A" w:rsidRPr="00EB110A">
        <w:rPr>
          <w:rFonts w:ascii="Arial" w:hAnsi="Arial" w:cs="Arial"/>
          <w:sz w:val="22"/>
          <w:szCs w:val="22"/>
        </w:rPr>
        <w:t xml:space="preserve"> agency’s accounting system when they </w:t>
      </w:r>
      <w:r w:rsidR="007E7915">
        <w:rPr>
          <w:rFonts w:ascii="Arial" w:hAnsi="Arial" w:cs="Arial"/>
          <w:sz w:val="22"/>
          <w:szCs w:val="22"/>
        </w:rPr>
        <w:t>complete the survey</w:t>
      </w:r>
      <w:r w:rsidR="00EB110A" w:rsidRPr="00EB110A">
        <w:rPr>
          <w:rFonts w:ascii="Arial" w:hAnsi="Arial" w:cs="Arial"/>
          <w:sz w:val="22"/>
          <w:szCs w:val="22"/>
        </w:rPr>
        <w:t>.</w:t>
      </w:r>
      <w:r w:rsidR="00EB110A">
        <w:rPr>
          <w:rFonts w:ascii="Arial" w:hAnsi="Arial" w:cs="Arial"/>
          <w:sz w:val="22"/>
          <w:szCs w:val="22"/>
        </w:rPr>
        <w:t xml:space="preserve"> </w:t>
      </w:r>
    </w:p>
    <w:p w:rsidR="00EB110A" w:rsidRDefault="00582FB3" w:rsidP="00AD7693">
      <w:pPr>
        <w:pStyle w:val="NormalWeb"/>
        <w:rPr>
          <w:rFonts w:ascii="Arial" w:hAnsi="Arial" w:cs="Arial"/>
          <w:sz w:val="22"/>
          <w:szCs w:val="22"/>
        </w:rPr>
      </w:pPr>
      <w:r w:rsidRPr="00AD7693">
        <w:rPr>
          <w:rFonts w:ascii="Arial" w:hAnsi="Arial" w:cs="Arial"/>
          <w:sz w:val="22"/>
          <w:szCs w:val="22"/>
        </w:rPr>
        <w:t xml:space="preserve">NSF’s annual FFRDC R&amp;D Survey collects data from each FFRDC on their R&amp;D expenditures </w:t>
      </w:r>
      <w:r w:rsidR="004B66B7">
        <w:rPr>
          <w:rFonts w:ascii="Arial" w:hAnsi="Arial" w:cs="Arial"/>
          <w:sz w:val="22"/>
          <w:szCs w:val="22"/>
        </w:rPr>
        <w:t>for each</w:t>
      </w:r>
      <w:r w:rsidR="007E7915">
        <w:rPr>
          <w:rFonts w:ascii="Arial" w:hAnsi="Arial" w:cs="Arial"/>
          <w:sz w:val="22"/>
          <w:szCs w:val="22"/>
        </w:rPr>
        <w:t xml:space="preserve"> fiscal year. </w:t>
      </w:r>
      <w:r w:rsidR="00EB110A">
        <w:rPr>
          <w:rFonts w:ascii="Arial" w:hAnsi="Arial" w:cs="Arial"/>
          <w:sz w:val="22"/>
          <w:szCs w:val="22"/>
        </w:rPr>
        <w:t>The respondents for this survey are budget and accounting staff at the FFRDC itself</w:t>
      </w:r>
      <w:r w:rsidR="00FD2700">
        <w:rPr>
          <w:rFonts w:ascii="Arial" w:hAnsi="Arial" w:cs="Arial"/>
          <w:sz w:val="22"/>
          <w:szCs w:val="22"/>
        </w:rPr>
        <w:t>, or in some cases at the corporate administrative level (e.g. one individual at the MITRE Corporation reports for all five of their FFRDCs)</w:t>
      </w:r>
      <w:r w:rsidR="00EB110A">
        <w:rPr>
          <w:rFonts w:ascii="Arial" w:hAnsi="Arial" w:cs="Arial"/>
          <w:sz w:val="22"/>
          <w:szCs w:val="22"/>
        </w:rPr>
        <w:t>. T</w:t>
      </w:r>
      <w:r w:rsidR="007E7915">
        <w:rPr>
          <w:rFonts w:ascii="Arial" w:hAnsi="Arial" w:cs="Arial"/>
          <w:sz w:val="22"/>
          <w:szCs w:val="22"/>
        </w:rPr>
        <w:t>hese respondents also rely</w:t>
      </w:r>
      <w:r w:rsidR="00EB110A">
        <w:rPr>
          <w:rFonts w:ascii="Arial" w:hAnsi="Arial" w:cs="Arial"/>
          <w:sz w:val="22"/>
          <w:szCs w:val="22"/>
        </w:rPr>
        <w:t xml:space="preserve"> on the coding in the FFRDC’s accounting system and do not </w:t>
      </w:r>
      <w:r w:rsidR="007E7915">
        <w:rPr>
          <w:rFonts w:ascii="Arial" w:hAnsi="Arial" w:cs="Arial"/>
          <w:sz w:val="22"/>
          <w:szCs w:val="22"/>
        </w:rPr>
        <w:t>usually</w:t>
      </w:r>
      <w:r w:rsidR="00EB110A">
        <w:rPr>
          <w:rFonts w:ascii="Arial" w:hAnsi="Arial" w:cs="Arial"/>
          <w:sz w:val="22"/>
          <w:szCs w:val="22"/>
        </w:rPr>
        <w:t xml:space="preserve"> have firsthand experience with the R&amp;D projects being conducted.  </w:t>
      </w:r>
    </w:p>
    <w:p w:rsidR="002A3F14" w:rsidRPr="00EB110A" w:rsidRDefault="004E4E6A" w:rsidP="00EB110A">
      <w:pPr>
        <w:pStyle w:val="NormalWeb"/>
        <w:rPr>
          <w:rFonts w:asciiTheme="minorHAnsi" w:hAnsiTheme="minorHAnsi" w:cstheme="minorHAnsi"/>
          <w:sz w:val="22"/>
          <w:szCs w:val="22"/>
        </w:rPr>
      </w:pPr>
      <w:r w:rsidRPr="00EB110A">
        <w:rPr>
          <w:rFonts w:asciiTheme="minorHAnsi" w:hAnsiTheme="minorHAnsi" w:cstheme="minorHAnsi"/>
          <w:sz w:val="22"/>
          <w:szCs w:val="22"/>
        </w:rPr>
        <w:t>At issue is the fact that t</w:t>
      </w:r>
      <w:r w:rsidR="00582FB3" w:rsidRPr="00EB110A">
        <w:rPr>
          <w:rFonts w:asciiTheme="minorHAnsi" w:hAnsiTheme="minorHAnsi" w:cstheme="minorHAnsi"/>
          <w:sz w:val="22"/>
          <w:szCs w:val="22"/>
        </w:rPr>
        <w:t xml:space="preserve">he federal obligations data do not </w:t>
      </w:r>
      <w:r w:rsidR="00291811" w:rsidRPr="00EB110A">
        <w:rPr>
          <w:rFonts w:asciiTheme="minorHAnsi" w:hAnsiTheme="minorHAnsi" w:cstheme="minorHAnsi"/>
          <w:sz w:val="22"/>
          <w:szCs w:val="22"/>
        </w:rPr>
        <w:t>correlate well with</w:t>
      </w:r>
      <w:r w:rsidR="00582FB3" w:rsidRPr="00EB110A">
        <w:rPr>
          <w:rFonts w:asciiTheme="minorHAnsi" w:hAnsiTheme="minorHAnsi" w:cstheme="minorHAnsi"/>
          <w:sz w:val="22"/>
          <w:szCs w:val="22"/>
        </w:rPr>
        <w:t xml:space="preserve"> the </w:t>
      </w:r>
      <w:r w:rsidR="00055AB4" w:rsidRPr="00EB110A">
        <w:rPr>
          <w:rFonts w:asciiTheme="minorHAnsi" w:hAnsiTheme="minorHAnsi" w:cstheme="minorHAnsi"/>
          <w:sz w:val="22"/>
          <w:szCs w:val="22"/>
        </w:rPr>
        <w:t>FFRDC-</w:t>
      </w:r>
      <w:r w:rsidR="00AD7693" w:rsidRPr="00EB110A">
        <w:rPr>
          <w:rFonts w:asciiTheme="minorHAnsi" w:hAnsiTheme="minorHAnsi" w:cstheme="minorHAnsi"/>
          <w:sz w:val="22"/>
          <w:szCs w:val="22"/>
        </w:rPr>
        <w:t>reported expenditures data</w:t>
      </w:r>
      <w:r w:rsidR="00582FB3" w:rsidRPr="00EB110A">
        <w:rPr>
          <w:rFonts w:asciiTheme="minorHAnsi" w:hAnsiTheme="minorHAnsi" w:cstheme="minorHAnsi"/>
          <w:sz w:val="22"/>
          <w:szCs w:val="22"/>
        </w:rPr>
        <w:t xml:space="preserve"> in any given year</w:t>
      </w:r>
      <w:r w:rsidR="00A4080F" w:rsidRPr="00EB110A">
        <w:rPr>
          <w:rFonts w:asciiTheme="minorHAnsi" w:hAnsiTheme="minorHAnsi" w:cstheme="minorHAnsi"/>
          <w:sz w:val="22"/>
          <w:szCs w:val="22"/>
        </w:rPr>
        <w:t xml:space="preserve">, and the difference is much </w:t>
      </w:r>
      <w:r w:rsidR="004B66B7" w:rsidRPr="00EB110A">
        <w:rPr>
          <w:rFonts w:asciiTheme="minorHAnsi" w:hAnsiTheme="minorHAnsi" w:cstheme="minorHAnsi"/>
          <w:sz w:val="22"/>
          <w:szCs w:val="22"/>
        </w:rPr>
        <w:t>greater</w:t>
      </w:r>
      <w:r w:rsidR="00A4080F" w:rsidRPr="00EB110A">
        <w:rPr>
          <w:rFonts w:asciiTheme="minorHAnsi" w:hAnsiTheme="minorHAnsi" w:cstheme="minorHAnsi"/>
          <w:sz w:val="22"/>
          <w:szCs w:val="22"/>
        </w:rPr>
        <w:t xml:space="preserve"> than would be expected due to the inherent differences between obligations and expenditures</w:t>
      </w:r>
      <w:r w:rsidR="00055AB4" w:rsidRPr="00EB110A">
        <w:rPr>
          <w:rFonts w:asciiTheme="minorHAnsi" w:hAnsiTheme="minorHAnsi" w:cstheme="minorHAnsi"/>
          <w:sz w:val="22"/>
          <w:szCs w:val="22"/>
        </w:rPr>
        <w:t>.</w:t>
      </w:r>
      <w:r w:rsidR="00055AB4" w:rsidRPr="00EB110A">
        <w:rPr>
          <w:rStyle w:val="EndnoteReference"/>
          <w:rFonts w:asciiTheme="minorHAnsi" w:hAnsiTheme="minorHAnsi" w:cstheme="minorHAnsi"/>
          <w:sz w:val="22"/>
          <w:szCs w:val="22"/>
        </w:rPr>
        <w:endnoteReference w:id="1"/>
      </w:r>
      <w:r w:rsidR="002A3F14" w:rsidRPr="00EB110A">
        <w:rPr>
          <w:rFonts w:asciiTheme="minorHAnsi" w:hAnsiTheme="minorHAnsi" w:cstheme="minorHAnsi"/>
          <w:color w:val="262626"/>
          <w:sz w:val="22"/>
          <w:szCs w:val="22"/>
        </w:rPr>
        <w:t xml:space="preserve"> </w:t>
      </w:r>
      <w:r w:rsidR="004B66B7" w:rsidRPr="00EB110A">
        <w:rPr>
          <w:rFonts w:asciiTheme="minorHAnsi" w:hAnsiTheme="minorHAnsi" w:cstheme="minorHAnsi"/>
          <w:color w:val="262626"/>
          <w:sz w:val="22"/>
          <w:szCs w:val="22"/>
        </w:rPr>
        <w:t>Specifically, t</w:t>
      </w:r>
      <w:r w:rsidR="002A3F14" w:rsidRPr="00EB110A">
        <w:rPr>
          <w:rFonts w:asciiTheme="minorHAnsi" w:hAnsiTheme="minorHAnsi" w:cstheme="minorHAnsi"/>
          <w:color w:val="262626"/>
          <w:sz w:val="22"/>
          <w:szCs w:val="22"/>
        </w:rPr>
        <w:t>he total obligations for R&amp;D are significantly be</w:t>
      </w:r>
      <w:r w:rsidR="00291811" w:rsidRPr="00EB110A">
        <w:rPr>
          <w:rFonts w:asciiTheme="minorHAnsi" w:hAnsiTheme="minorHAnsi" w:cstheme="minorHAnsi"/>
          <w:color w:val="262626"/>
          <w:sz w:val="22"/>
          <w:szCs w:val="22"/>
        </w:rPr>
        <w:t xml:space="preserve">low the expenditures reported each year, and the difference is growing larger each year. In FY 2011 </w:t>
      </w:r>
      <w:r w:rsidR="002A3F14" w:rsidRPr="00EB110A">
        <w:rPr>
          <w:rFonts w:asciiTheme="minorHAnsi" w:hAnsiTheme="minorHAnsi" w:cstheme="minorHAnsi"/>
          <w:color w:val="262626"/>
          <w:sz w:val="22"/>
          <w:szCs w:val="22"/>
        </w:rPr>
        <w:t>$10.8 billion</w:t>
      </w:r>
      <w:r w:rsidR="00291811" w:rsidRPr="00EB110A">
        <w:rPr>
          <w:rFonts w:asciiTheme="minorHAnsi" w:hAnsiTheme="minorHAnsi" w:cstheme="minorHAnsi"/>
          <w:color w:val="262626"/>
          <w:sz w:val="22"/>
          <w:szCs w:val="22"/>
        </w:rPr>
        <w:t xml:space="preserve"> was reported by the federal agencies</w:t>
      </w:r>
      <w:r w:rsidR="002A3F14" w:rsidRPr="00EB110A">
        <w:rPr>
          <w:rFonts w:asciiTheme="minorHAnsi" w:hAnsiTheme="minorHAnsi" w:cstheme="minorHAnsi"/>
          <w:color w:val="262626"/>
          <w:sz w:val="22"/>
          <w:szCs w:val="22"/>
        </w:rPr>
        <w:t xml:space="preserve"> in </w:t>
      </w:r>
      <w:r w:rsidR="00291811" w:rsidRPr="00EB110A">
        <w:rPr>
          <w:rFonts w:asciiTheme="minorHAnsi" w:hAnsiTheme="minorHAnsi" w:cstheme="minorHAnsi"/>
          <w:color w:val="262626"/>
          <w:sz w:val="22"/>
          <w:szCs w:val="22"/>
        </w:rPr>
        <w:t xml:space="preserve">R&amp;D </w:t>
      </w:r>
      <w:r w:rsidR="002A3F14" w:rsidRPr="00EB110A">
        <w:rPr>
          <w:rFonts w:asciiTheme="minorHAnsi" w:hAnsiTheme="minorHAnsi" w:cstheme="minorHAnsi"/>
          <w:color w:val="262626"/>
          <w:sz w:val="22"/>
          <w:szCs w:val="22"/>
        </w:rPr>
        <w:t xml:space="preserve">obligations versus $17.4 billion in </w:t>
      </w:r>
      <w:r w:rsidR="00291811" w:rsidRPr="00EB110A">
        <w:rPr>
          <w:rFonts w:asciiTheme="minorHAnsi" w:hAnsiTheme="minorHAnsi" w:cstheme="minorHAnsi"/>
          <w:color w:val="262626"/>
          <w:sz w:val="22"/>
          <w:szCs w:val="22"/>
        </w:rPr>
        <w:t xml:space="preserve">R&amp;D </w:t>
      </w:r>
      <w:r w:rsidR="002A3F14" w:rsidRPr="00EB110A">
        <w:rPr>
          <w:rFonts w:asciiTheme="minorHAnsi" w:hAnsiTheme="minorHAnsi" w:cstheme="minorHAnsi"/>
          <w:color w:val="262626"/>
          <w:sz w:val="22"/>
          <w:szCs w:val="22"/>
        </w:rPr>
        <w:t>expenditures</w:t>
      </w:r>
      <w:r w:rsidR="00291811" w:rsidRPr="00EB110A">
        <w:rPr>
          <w:rFonts w:asciiTheme="minorHAnsi" w:hAnsiTheme="minorHAnsi" w:cstheme="minorHAnsi"/>
          <w:color w:val="262626"/>
          <w:sz w:val="22"/>
          <w:szCs w:val="22"/>
        </w:rPr>
        <w:t xml:space="preserve"> reported by the FFRDCs</w:t>
      </w:r>
      <w:r w:rsidR="00540624" w:rsidRPr="00EB110A">
        <w:rPr>
          <w:rFonts w:asciiTheme="minorHAnsi" w:hAnsiTheme="minorHAnsi" w:cstheme="minorHAnsi"/>
          <w:color w:val="262626"/>
          <w:sz w:val="22"/>
          <w:szCs w:val="22"/>
        </w:rPr>
        <w:t>, resulting in a difference of $6.6 billion</w:t>
      </w:r>
      <w:r w:rsidR="00291811" w:rsidRPr="00EB110A">
        <w:rPr>
          <w:rFonts w:asciiTheme="minorHAnsi" w:hAnsiTheme="minorHAnsi" w:cstheme="minorHAnsi"/>
          <w:color w:val="262626"/>
          <w:sz w:val="22"/>
          <w:szCs w:val="22"/>
        </w:rPr>
        <w:t>.</w:t>
      </w:r>
    </w:p>
    <w:p w:rsidR="00B86E7D" w:rsidRDefault="00055AB4" w:rsidP="002A3F14">
      <w:pPr>
        <w:keepLines/>
        <w:widowControl w:val="0"/>
        <w:autoSpaceDE w:val="0"/>
        <w:autoSpaceDN w:val="0"/>
        <w:adjustRightInd w:val="0"/>
        <w:rPr>
          <w:rFonts w:cstheme="minorHAnsi"/>
          <w:color w:val="262626"/>
          <w:spacing w:val="0"/>
          <w:szCs w:val="22"/>
        </w:rPr>
      </w:pPr>
      <w:r>
        <w:rPr>
          <w:rFonts w:cstheme="minorHAnsi"/>
          <w:color w:val="262626"/>
          <w:spacing w:val="0"/>
          <w:szCs w:val="22"/>
        </w:rPr>
        <w:t>In order to de</w:t>
      </w:r>
      <w:r w:rsidR="00540624">
        <w:rPr>
          <w:rFonts w:cstheme="minorHAnsi"/>
          <w:color w:val="262626"/>
          <w:spacing w:val="0"/>
          <w:szCs w:val="22"/>
        </w:rPr>
        <w:t>termine the root causes for this</w:t>
      </w:r>
      <w:r>
        <w:rPr>
          <w:rFonts w:cstheme="minorHAnsi"/>
          <w:color w:val="262626"/>
          <w:spacing w:val="0"/>
          <w:szCs w:val="22"/>
        </w:rPr>
        <w:t xml:space="preserve"> </w:t>
      </w:r>
      <w:r w:rsidR="00540624">
        <w:rPr>
          <w:rFonts w:cstheme="minorHAnsi"/>
          <w:color w:val="262626"/>
          <w:spacing w:val="0"/>
          <w:szCs w:val="22"/>
        </w:rPr>
        <w:t>difference</w:t>
      </w:r>
      <w:r>
        <w:rPr>
          <w:rFonts w:cstheme="minorHAnsi"/>
          <w:color w:val="262626"/>
          <w:spacing w:val="0"/>
          <w:szCs w:val="22"/>
        </w:rPr>
        <w:t>, w</w:t>
      </w:r>
      <w:r w:rsidR="00B9351C">
        <w:rPr>
          <w:rFonts w:cstheme="minorHAnsi"/>
          <w:color w:val="262626"/>
          <w:spacing w:val="0"/>
          <w:szCs w:val="22"/>
        </w:rPr>
        <w:t xml:space="preserve">e questioned the </w:t>
      </w:r>
      <w:r w:rsidR="002A3F14" w:rsidRPr="00AD7693">
        <w:rPr>
          <w:rFonts w:cstheme="minorHAnsi"/>
          <w:color w:val="262626"/>
          <w:spacing w:val="0"/>
          <w:szCs w:val="22"/>
        </w:rPr>
        <w:t>five FFRDCs that ha</w:t>
      </w:r>
      <w:r w:rsidR="004B66B7">
        <w:rPr>
          <w:rFonts w:cstheme="minorHAnsi"/>
          <w:color w:val="262626"/>
          <w:spacing w:val="0"/>
          <w:szCs w:val="22"/>
        </w:rPr>
        <w:t>d</w:t>
      </w:r>
      <w:r w:rsidR="002A3F14" w:rsidRPr="00AD7693">
        <w:rPr>
          <w:rFonts w:cstheme="minorHAnsi"/>
          <w:color w:val="262626"/>
          <w:spacing w:val="0"/>
          <w:szCs w:val="22"/>
        </w:rPr>
        <w:t xml:space="preserve"> the largest difference</w:t>
      </w:r>
      <w:r>
        <w:rPr>
          <w:rFonts w:cstheme="minorHAnsi"/>
          <w:color w:val="262626"/>
          <w:spacing w:val="0"/>
          <w:szCs w:val="22"/>
        </w:rPr>
        <w:t>s</w:t>
      </w:r>
      <w:r w:rsidR="002A3F14" w:rsidRPr="00AD7693">
        <w:rPr>
          <w:rFonts w:cstheme="minorHAnsi"/>
          <w:color w:val="262626"/>
          <w:spacing w:val="0"/>
          <w:szCs w:val="22"/>
        </w:rPr>
        <w:t xml:space="preserve"> in absolute dollars in FY 2011. </w:t>
      </w:r>
      <w:r w:rsidR="00B86E7D">
        <w:rPr>
          <w:rFonts w:cstheme="minorHAnsi"/>
          <w:color w:val="262626"/>
          <w:spacing w:val="0"/>
          <w:szCs w:val="22"/>
        </w:rPr>
        <w:t>These five FFRDCs reported a combined $8.6 billion in expenditures compared to only $4.3 billion in obligations reported by the federal agencies for FY 2011. This difference represents 66% of the total d</w:t>
      </w:r>
      <w:r w:rsidR="00540624">
        <w:rPr>
          <w:rFonts w:cstheme="minorHAnsi"/>
          <w:color w:val="262626"/>
          <w:spacing w:val="0"/>
          <w:szCs w:val="22"/>
        </w:rPr>
        <w:t xml:space="preserve">ifference between the surveys. </w:t>
      </w:r>
      <w:r w:rsidR="004B66B7">
        <w:rPr>
          <w:rFonts w:cstheme="minorHAnsi"/>
          <w:color w:val="262626"/>
          <w:spacing w:val="0"/>
          <w:szCs w:val="22"/>
        </w:rPr>
        <w:t xml:space="preserve">The table </w:t>
      </w:r>
      <w:r w:rsidR="00B86E7D">
        <w:rPr>
          <w:rFonts w:cstheme="minorHAnsi"/>
          <w:color w:val="262626"/>
          <w:spacing w:val="0"/>
          <w:szCs w:val="22"/>
        </w:rPr>
        <w:t>on the next page shows</w:t>
      </w:r>
      <w:r w:rsidR="004B66B7">
        <w:rPr>
          <w:rFonts w:cstheme="minorHAnsi"/>
          <w:color w:val="262626"/>
          <w:spacing w:val="0"/>
          <w:szCs w:val="22"/>
        </w:rPr>
        <w:t xml:space="preserve"> the</w:t>
      </w:r>
      <w:r w:rsidR="00B86E7D">
        <w:rPr>
          <w:rFonts w:cstheme="minorHAnsi"/>
          <w:color w:val="262626"/>
          <w:spacing w:val="0"/>
          <w:szCs w:val="22"/>
        </w:rPr>
        <w:t xml:space="preserve"> obligations, expenditures, and</w:t>
      </w:r>
      <w:r w:rsidR="004B66B7">
        <w:rPr>
          <w:rFonts w:cstheme="minorHAnsi"/>
          <w:color w:val="262626"/>
          <w:spacing w:val="0"/>
          <w:szCs w:val="22"/>
        </w:rPr>
        <w:t xml:space="preserve"> differences </w:t>
      </w:r>
      <w:r w:rsidR="00B86E7D">
        <w:rPr>
          <w:rFonts w:cstheme="minorHAnsi"/>
          <w:color w:val="262626"/>
          <w:spacing w:val="0"/>
          <w:szCs w:val="22"/>
        </w:rPr>
        <w:t xml:space="preserve">between the two </w:t>
      </w:r>
      <w:r w:rsidR="004B66B7">
        <w:rPr>
          <w:rFonts w:cstheme="minorHAnsi"/>
          <w:color w:val="262626"/>
          <w:spacing w:val="0"/>
          <w:szCs w:val="22"/>
        </w:rPr>
        <w:t>for each FFRDC</w:t>
      </w:r>
      <w:r w:rsidR="00B86E7D">
        <w:rPr>
          <w:rFonts w:cstheme="minorHAnsi"/>
          <w:color w:val="262626"/>
          <w:spacing w:val="0"/>
          <w:szCs w:val="22"/>
        </w:rPr>
        <w:t xml:space="preserve"> in FY 2011</w:t>
      </w:r>
      <w:r w:rsidR="004B66B7">
        <w:rPr>
          <w:rFonts w:cstheme="minorHAnsi"/>
          <w:color w:val="262626"/>
          <w:spacing w:val="0"/>
          <w:szCs w:val="22"/>
        </w:rPr>
        <w:t>.</w:t>
      </w:r>
      <w:r w:rsidR="00CB02F5">
        <w:rPr>
          <w:rFonts w:cstheme="minorHAnsi"/>
          <w:color w:val="262626"/>
          <w:spacing w:val="0"/>
          <w:szCs w:val="22"/>
        </w:rPr>
        <w:t xml:space="preserve"> </w:t>
      </w:r>
      <w:r w:rsidR="00567958">
        <w:rPr>
          <w:rFonts w:cstheme="minorHAnsi"/>
          <w:color w:val="262626"/>
          <w:spacing w:val="0"/>
          <w:szCs w:val="22"/>
        </w:rPr>
        <w:t>It also shows the FY 2011</w:t>
      </w:r>
      <w:r w:rsidR="00EB110A">
        <w:rPr>
          <w:rFonts w:cstheme="minorHAnsi"/>
          <w:color w:val="262626"/>
          <w:spacing w:val="0"/>
          <w:szCs w:val="22"/>
        </w:rPr>
        <w:t xml:space="preserve"> operating budget excluding capital construction costs as reported by the FFRDC.</w:t>
      </w:r>
      <w:r w:rsidR="007E7915">
        <w:rPr>
          <w:rFonts w:cstheme="minorHAnsi"/>
          <w:color w:val="262626"/>
          <w:spacing w:val="0"/>
          <w:szCs w:val="22"/>
        </w:rPr>
        <w:t xml:space="preserve"> This amount is the entire operating budget for the FFRDC regardless of funding purpose. </w:t>
      </w:r>
      <w:r w:rsidR="00F23040">
        <w:rPr>
          <w:rFonts w:cstheme="minorHAnsi"/>
          <w:color w:val="262626"/>
          <w:spacing w:val="0"/>
          <w:szCs w:val="22"/>
        </w:rPr>
        <w:t>Most FFRDCs report operating budgets that are only slightly more (or even equal to) reported R&amp;D expenditures.</w:t>
      </w:r>
    </w:p>
    <w:p w:rsidR="00B86E7D" w:rsidRDefault="00B86E7D" w:rsidP="002A3F14">
      <w:pPr>
        <w:keepLines/>
        <w:widowControl w:val="0"/>
        <w:autoSpaceDE w:val="0"/>
        <w:autoSpaceDN w:val="0"/>
        <w:adjustRightInd w:val="0"/>
        <w:rPr>
          <w:rFonts w:cstheme="minorHAnsi"/>
          <w:color w:val="262626"/>
          <w:spacing w:val="0"/>
          <w:szCs w:val="22"/>
        </w:rPr>
      </w:pPr>
    </w:p>
    <w:tbl>
      <w:tblPr>
        <w:tblW w:w="9540" w:type="dxa"/>
        <w:tblInd w:w="93" w:type="dxa"/>
        <w:tblLook w:val="04A0" w:firstRow="1" w:lastRow="0" w:firstColumn="1" w:lastColumn="0" w:noHBand="0" w:noVBand="1"/>
      </w:tblPr>
      <w:tblGrid>
        <w:gridCol w:w="4540"/>
        <w:gridCol w:w="1040"/>
        <w:gridCol w:w="900"/>
        <w:gridCol w:w="1060"/>
        <w:gridCol w:w="940"/>
        <w:gridCol w:w="85"/>
        <w:gridCol w:w="975"/>
      </w:tblGrid>
      <w:tr w:rsidR="00EB110A" w:rsidRPr="00EB110A" w:rsidTr="00EB110A">
        <w:trPr>
          <w:trHeight w:val="540"/>
        </w:trPr>
        <w:tc>
          <w:tcPr>
            <w:tcW w:w="9540" w:type="dxa"/>
            <w:gridSpan w:val="7"/>
            <w:tcBorders>
              <w:top w:val="nil"/>
              <w:left w:val="nil"/>
              <w:bottom w:val="nil"/>
              <w:right w:val="nil"/>
            </w:tcBorders>
            <w:shd w:val="clear" w:color="000000" w:fill="FFFFFF"/>
            <w:vAlign w:val="bottom"/>
            <w:hideMark/>
          </w:tcPr>
          <w:p w:rsidR="00EB110A" w:rsidRPr="00EB110A" w:rsidRDefault="00EB110A" w:rsidP="0026211B">
            <w:pPr>
              <w:rPr>
                <w:rFonts w:ascii="Arial Narrow" w:hAnsi="Arial Narrow" w:cs="Arial"/>
                <w:color w:val="000000"/>
                <w:spacing w:val="0"/>
                <w:sz w:val="18"/>
                <w:szCs w:val="18"/>
              </w:rPr>
            </w:pPr>
            <w:bookmarkStart w:id="1" w:name="RANGE!A1"/>
            <w:r w:rsidRPr="00EB110A">
              <w:rPr>
                <w:rFonts w:ascii="Arial Narrow" w:hAnsi="Arial Narrow" w:cs="Arial"/>
                <w:color w:val="000000"/>
                <w:spacing w:val="0"/>
                <w:sz w:val="18"/>
                <w:szCs w:val="18"/>
              </w:rPr>
              <w:t>Federal obligations/expenditures for research and development to federally funded research and development centers, by FFRDC for Federal Funds and FFRDC surveys</w:t>
            </w:r>
            <w:r w:rsidR="0026211B">
              <w:rPr>
                <w:rFonts w:ascii="Arial Narrow" w:hAnsi="Arial Narrow" w:cs="Arial"/>
                <w:color w:val="000000"/>
                <w:spacing w:val="0"/>
                <w:sz w:val="18"/>
                <w:szCs w:val="18"/>
              </w:rPr>
              <w:t xml:space="preserve"> and total FFRDC operating budgets</w:t>
            </w:r>
            <w:r w:rsidRPr="00EB110A">
              <w:rPr>
                <w:rFonts w:ascii="Arial Narrow" w:hAnsi="Arial Narrow" w:cs="Arial"/>
                <w:color w:val="000000"/>
                <w:spacing w:val="0"/>
                <w:sz w:val="18"/>
                <w:szCs w:val="18"/>
              </w:rPr>
              <w:t>: FY 2011</w:t>
            </w:r>
            <w:bookmarkEnd w:id="1"/>
          </w:p>
        </w:tc>
      </w:tr>
      <w:tr w:rsidR="00EB110A" w:rsidRPr="00EB110A" w:rsidTr="005E6F59">
        <w:trPr>
          <w:trHeight w:val="255"/>
        </w:trPr>
        <w:tc>
          <w:tcPr>
            <w:tcW w:w="4540"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(Dollars in thousands)</w:t>
            </w:r>
          </w:p>
        </w:tc>
        <w:tc>
          <w:tcPr>
            <w:tcW w:w="1040"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00"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60"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25" w:type="dxa"/>
            <w:gridSpan w:val="2"/>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75"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r>
      <w:tr w:rsidR="00EB110A" w:rsidRPr="00EB110A" w:rsidTr="005E6F59">
        <w:trPr>
          <w:trHeight w:val="620"/>
        </w:trPr>
        <w:tc>
          <w:tcPr>
            <w:tcW w:w="4540" w:type="dxa"/>
            <w:tcBorders>
              <w:top w:val="single" w:sz="4" w:space="0" w:color="auto"/>
              <w:left w:val="nil"/>
              <w:bottom w:val="single" w:sz="4" w:space="0" w:color="auto"/>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FFRDC</w:t>
            </w:r>
          </w:p>
        </w:tc>
        <w:tc>
          <w:tcPr>
            <w:tcW w:w="1040" w:type="dxa"/>
            <w:tcBorders>
              <w:top w:val="single" w:sz="4" w:space="0" w:color="auto"/>
              <w:left w:val="nil"/>
              <w:bottom w:val="single" w:sz="4" w:space="0" w:color="auto"/>
              <w:right w:val="nil"/>
            </w:tcBorders>
            <w:shd w:val="clear" w:color="000000" w:fill="FFFFFF"/>
            <w:vAlign w:val="bottom"/>
            <w:hideMark/>
          </w:tcPr>
          <w:p w:rsidR="0026211B" w:rsidRDefault="0026211B" w:rsidP="0026211B">
            <w:pPr>
              <w:jc w:val="center"/>
              <w:rPr>
                <w:rFonts w:ascii="Arial Narrow" w:hAnsi="Arial Narrow" w:cs="Arial"/>
                <w:color w:val="000000"/>
                <w:spacing w:val="0"/>
                <w:sz w:val="16"/>
                <w:szCs w:val="16"/>
              </w:rPr>
            </w:pPr>
            <w:r>
              <w:rPr>
                <w:rFonts w:ascii="Arial Narrow" w:hAnsi="Arial Narrow" w:cs="Arial"/>
                <w:color w:val="000000"/>
                <w:spacing w:val="0"/>
                <w:sz w:val="16"/>
                <w:szCs w:val="16"/>
              </w:rPr>
              <w:t xml:space="preserve">      (1)</w:t>
            </w:r>
          </w:p>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Fed Funds R&amp;D obligations</w:t>
            </w:r>
          </w:p>
        </w:tc>
        <w:tc>
          <w:tcPr>
            <w:tcW w:w="900" w:type="dxa"/>
            <w:tcBorders>
              <w:top w:val="single" w:sz="4" w:space="0" w:color="auto"/>
              <w:left w:val="nil"/>
              <w:bottom w:val="single" w:sz="4" w:space="0" w:color="auto"/>
              <w:right w:val="nil"/>
            </w:tcBorders>
            <w:shd w:val="clear" w:color="000000" w:fill="FFFFFF"/>
            <w:vAlign w:val="bottom"/>
            <w:hideMark/>
          </w:tcPr>
          <w:p w:rsidR="0026211B" w:rsidRDefault="0026211B" w:rsidP="0026211B">
            <w:pPr>
              <w:jc w:val="center"/>
              <w:rPr>
                <w:rFonts w:ascii="Arial Narrow" w:hAnsi="Arial Narrow" w:cs="Arial"/>
                <w:color w:val="000000"/>
                <w:spacing w:val="0"/>
                <w:sz w:val="16"/>
                <w:szCs w:val="16"/>
              </w:rPr>
            </w:pPr>
            <w:r>
              <w:rPr>
                <w:rFonts w:ascii="Arial Narrow" w:hAnsi="Arial Narrow" w:cs="Arial"/>
                <w:color w:val="000000"/>
                <w:spacing w:val="0"/>
                <w:sz w:val="16"/>
                <w:szCs w:val="16"/>
              </w:rPr>
              <w:t xml:space="preserve">    (2)</w:t>
            </w:r>
          </w:p>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FFRDC operating budget</w:t>
            </w:r>
          </w:p>
        </w:tc>
        <w:tc>
          <w:tcPr>
            <w:tcW w:w="1060" w:type="dxa"/>
            <w:tcBorders>
              <w:top w:val="single" w:sz="4" w:space="0" w:color="auto"/>
              <w:left w:val="nil"/>
              <w:bottom w:val="single" w:sz="4" w:space="0" w:color="auto"/>
              <w:right w:val="nil"/>
            </w:tcBorders>
            <w:shd w:val="clear" w:color="000000" w:fill="FFFFFF"/>
            <w:vAlign w:val="bottom"/>
            <w:hideMark/>
          </w:tcPr>
          <w:p w:rsidR="0026211B" w:rsidRDefault="0026211B" w:rsidP="0026211B">
            <w:pPr>
              <w:jc w:val="center"/>
              <w:rPr>
                <w:rFonts w:ascii="Arial Narrow" w:hAnsi="Arial Narrow" w:cs="Arial"/>
                <w:color w:val="000000"/>
                <w:spacing w:val="0"/>
                <w:sz w:val="16"/>
                <w:szCs w:val="16"/>
              </w:rPr>
            </w:pPr>
            <w:r>
              <w:rPr>
                <w:rFonts w:ascii="Arial Narrow" w:hAnsi="Arial Narrow" w:cs="Arial"/>
                <w:color w:val="000000"/>
                <w:spacing w:val="0"/>
                <w:sz w:val="16"/>
                <w:szCs w:val="16"/>
              </w:rPr>
              <w:t>(3)</w:t>
            </w:r>
          </w:p>
          <w:p w:rsidR="0026211B" w:rsidRDefault="0026211B" w:rsidP="00EB110A">
            <w:pPr>
              <w:jc w:val="right"/>
              <w:rPr>
                <w:rFonts w:ascii="Arial Narrow" w:hAnsi="Arial Narrow" w:cs="Arial"/>
                <w:color w:val="000000"/>
                <w:spacing w:val="0"/>
                <w:sz w:val="16"/>
                <w:szCs w:val="16"/>
              </w:rPr>
            </w:pPr>
          </w:p>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FFRDC R&amp;D expenditures</w:t>
            </w:r>
          </w:p>
        </w:tc>
        <w:tc>
          <w:tcPr>
            <w:tcW w:w="1025" w:type="dxa"/>
            <w:gridSpan w:val="2"/>
            <w:tcBorders>
              <w:top w:val="single" w:sz="4" w:space="0" w:color="auto"/>
              <w:left w:val="nil"/>
              <w:bottom w:val="single" w:sz="4" w:space="0" w:color="auto"/>
              <w:right w:val="nil"/>
            </w:tcBorders>
            <w:shd w:val="clear" w:color="000000" w:fill="FFFFFF"/>
            <w:vAlign w:val="bottom"/>
            <w:hideMark/>
          </w:tcPr>
          <w:p w:rsidR="0026211B" w:rsidRPr="005E6F59" w:rsidRDefault="005E6F59" w:rsidP="005E6F59">
            <w:pPr>
              <w:jc w:val="center"/>
              <w:rPr>
                <w:rFonts w:ascii="Arial Narrow" w:hAnsi="Arial Narrow" w:cs="Arial"/>
                <w:color w:val="000000"/>
                <w:spacing w:val="0"/>
                <w:sz w:val="16"/>
                <w:szCs w:val="16"/>
              </w:rPr>
            </w:pPr>
            <w:r>
              <w:rPr>
                <w:rFonts w:ascii="Arial Narrow" w:hAnsi="Arial Narrow" w:cs="Arial"/>
                <w:color w:val="000000"/>
                <w:spacing w:val="0"/>
                <w:sz w:val="16"/>
                <w:szCs w:val="16"/>
              </w:rPr>
              <w:t xml:space="preserve">(1) </w:t>
            </w:r>
            <w:r w:rsidR="0026211B" w:rsidRPr="005E6F59">
              <w:rPr>
                <w:rFonts w:ascii="Arial Narrow" w:hAnsi="Arial Narrow" w:cs="Arial"/>
                <w:color w:val="000000"/>
                <w:spacing w:val="0"/>
                <w:sz w:val="16"/>
                <w:szCs w:val="16"/>
              </w:rPr>
              <w:t>-</w:t>
            </w:r>
            <w:r w:rsidRPr="005E6F59">
              <w:rPr>
                <w:rFonts w:ascii="Arial Narrow" w:hAnsi="Arial Narrow" w:cs="Arial"/>
                <w:color w:val="000000"/>
                <w:spacing w:val="0"/>
                <w:sz w:val="16"/>
                <w:szCs w:val="16"/>
              </w:rPr>
              <w:t xml:space="preserve"> </w:t>
            </w:r>
            <w:r w:rsidR="0026211B" w:rsidRPr="005E6F59">
              <w:rPr>
                <w:rFonts w:ascii="Arial Narrow" w:hAnsi="Arial Narrow" w:cs="Arial"/>
                <w:color w:val="000000"/>
                <w:spacing w:val="0"/>
                <w:sz w:val="16"/>
                <w:szCs w:val="16"/>
              </w:rPr>
              <w:t>(3)</w:t>
            </w:r>
          </w:p>
          <w:p w:rsidR="005E6F59"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xml:space="preserve">FFS-FFRDC </w:t>
            </w:r>
            <w:r w:rsidR="005E6F59">
              <w:rPr>
                <w:rFonts w:ascii="Arial Narrow" w:hAnsi="Arial Narrow" w:cs="Arial"/>
                <w:color w:val="000000"/>
                <w:spacing w:val="0"/>
                <w:sz w:val="16"/>
                <w:szCs w:val="16"/>
              </w:rPr>
              <w:t>R&amp;D</w:t>
            </w:r>
          </w:p>
          <w:p w:rsidR="00EB110A" w:rsidRPr="00EB110A" w:rsidRDefault="005E6F59" w:rsidP="00EB110A">
            <w:pPr>
              <w:jc w:val="right"/>
              <w:rPr>
                <w:rFonts w:ascii="Arial Narrow" w:hAnsi="Arial Narrow" w:cs="Arial"/>
                <w:color w:val="000000"/>
                <w:spacing w:val="0"/>
                <w:sz w:val="16"/>
                <w:szCs w:val="16"/>
              </w:rPr>
            </w:pPr>
            <w:r>
              <w:rPr>
                <w:rFonts w:ascii="Arial Narrow" w:hAnsi="Arial Narrow" w:cs="Arial"/>
                <w:color w:val="000000"/>
                <w:spacing w:val="0"/>
                <w:sz w:val="16"/>
                <w:szCs w:val="16"/>
              </w:rPr>
              <w:t>$ d</w:t>
            </w:r>
            <w:r w:rsidR="00EB110A" w:rsidRPr="00EB110A">
              <w:rPr>
                <w:rFonts w:ascii="Arial Narrow" w:hAnsi="Arial Narrow" w:cs="Arial"/>
                <w:color w:val="000000"/>
                <w:spacing w:val="0"/>
                <w:sz w:val="16"/>
                <w:szCs w:val="16"/>
              </w:rPr>
              <w:t>ifference</w:t>
            </w:r>
          </w:p>
        </w:tc>
        <w:tc>
          <w:tcPr>
            <w:tcW w:w="975" w:type="dxa"/>
            <w:tcBorders>
              <w:top w:val="single" w:sz="4" w:space="0" w:color="auto"/>
              <w:left w:val="nil"/>
              <w:bottom w:val="single" w:sz="4" w:space="0" w:color="auto"/>
              <w:right w:val="nil"/>
            </w:tcBorders>
            <w:shd w:val="clear" w:color="000000" w:fill="FFFFFF"/>
            <w:vAlign w:val="bottom"/>
            <w:hideMark/>
          </w:tcPr>
          <w:p w:rsidR="0026211B" w:rsidRDefault="0026211B" w:rsidP="0026211B">
            <w:pPr>
              <w:jc w:val="center"/>
              <w:rPr>
                <w:rFonts w:ascii="Arial Narrow" w:hAnsi="Arial Narrow" w:cs="Arial"/>
                <w:color w:val="000000"/>
                <w:spacing w:val="0"/>
                <w:sz w:val="16"/>
                <w:szCs w:val="16"/>
              </w:rPr>
            </w:pPr>
            <w:r>
              <w:rPr>
                <w:rFonts w:ascii="Arial Narrow" w:hAnsi="Arial Narrow" w:cs="Arial"/>
                <w:color w:val="000000"/>
                <w:spacing w:val="0"/>
                <w:sz w:val="16"/>
                <w:szCs w:val="16"/>
              </w:rPr>
              <w:t xml:space="preserve">   (3) / (1)</w:t>
            </w:r>
          </w:p>
          <w:p w:rsidR="005E6F59"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FFRDC</w:t>
            </w:r>
            <w:r w:rsidR="0026211B">
              <w:rPr>
                <w:rFonts w:ascii="Arial Narrow" w:hAnsi="Arial Narrow" w:cs="Arial"/>
                <w:color w:val="000000"/>
                <w:spacing w:val="0"/>
                <w:sz w:val="16"/>
                <w:szCs w:val="16"/>
              </w:rPr>
              <w:t>/FFS</w:t>
            </w:r>
            <w:r w:rsidRPr="00EB110A">
              <w:rPr>
                <w:rFonts w:ascii="Arial Narrow" w:hAnsi="Arial Narrow" w:cs="Arial"/>
                <w:color w:val="000000"/>
                <w:spacing w:val="0"/>
                <w:sz w:val="16"/>
                <w:szCs w:val="16"/>
              </w:rPr>
              <w:t xml:space="preserve"> </w:t>
            </w:r>
          </w:p>
          <w:p w:rsidR="005E6F59" w:rsidRDefault="005E6F59" w:rsidP="00EB110A">
            <w:pPr>
              <w:jc w:val="right"/>
              <w:rPr>
                <w:rFonts w:ascii="Arial Narrow" w:hAnsi="Arial Narrow" w:cs="Arial"/>
                <w:color w:val="000000"/>
                <w:spacing w:val="0"/>
                <w:sz w:val="16"/>
                <w:szCs w:val="16"/>
              </w:rPr>
            </w:pPr>
            <w:r>
              <w:rPr>
                <w:rFonts w:ascii="Arial Narrow" w:hAnsi="Arial Narrow" w:cs="Arial"/>
                <w:color w:val="000000"/>
                <w:spacing w:val="0"/>
                <w:sz w:val="16"/>
                <w:szCs w:val="16"/>
              </w:rPr>
              <w:t>R&amp;D</w:t>
            </w:r>
          </w:p>
          <w:p w:rsidR="00EB110A" w:rsidRPr="00EB110A" w:rsidRDefault="005E6F59" w:rsidP="00EB110A">
            <w:pPr>
              <w:jc w:val="right"/>
              <w:rPr>
                <w:rFonts w:ascii="Arial Narrow" w:hAnsi="Arial Narrow" w:cs="Arial"/>
                <w:color w:val="000000"/>
                <w:spacing w:val="0"/>
                <w:sz w:val="16"/>
                <w:szCs w:val="16"/>
              </w:rPr>
            </w:pPr>
            <w:r>
              <w:rPr>
                <w:rFonts w:ascii="Arial Narrow" w:hAnsi="Arial Narrow" w:cs="Arial"/>
                <w:color w:val="000000"/>
                <w:spacing w:val="0"/>
                <w:sz w:val="16"/>
                <w:szCs w:val="16"/>
              </w:rPr>
              <w:t>% d</w:t>
            </w:r>
            <w:r w:rsidR="00EB110A" w:rsidRPr="00EB110A">
              <w:rPr>
                <w:rFonts w:ascii="Arial Narrow" w:hAnsi="Arial Narrow" w:cs="Arial"/>
                <w:color w:val="000000"/>
                <w:spacing w:val="0"/>
                <w:sz w:val="16"/>
                <w:szCs w:val="16"/>
              </w:rPr>
              <w:t>ifference</w:t>
            </w:r>
          </w:p>
        </w:tc>
      </w:tr>
      <w:tr w:rsidR="00EB110A" w:rsidRPr="00EB110A" w:rsidTr="005E6F59">
        <w:trPr>
          <w:trHeight w:val="60"/>
        </w:trPr>
        <w:tc>
          <w:tcPr>
            <w:tcW w:w="4540" w:type="dxa"/>
            <w:tcBorders>
              <w:top w:val="nil"/>
              <w:left w:val="nil"/>
              <w:bottom w:val="nil"/>
              <w:right w:val="nil"/>
            </w:tcBorders>
            <w:shd w:val="clear" w:color="000000" w:fill="FFFFFF"/>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6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25" w:type="dxa"/>
            <w:gridSpan w:val="2"/>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75"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r>
      <w:tr w:rsidR="00EB110A" w:rsidRPr="00EB110A" w:rsidTr="005E6F59">
        <w:trPr>
          <w:trHeight w:val="280"/>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All FFRDCs</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10,785,947</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19,427,939</w:t>
            </w:r>
          </w:p>
        </w:tc>
        <w:tc>
          <w:tcPr>
            <w:tcW w:w="1060" w:type="dxa"/>
            <w:tcBorders>
              <w:top w:val="nil"/>
              <w:left w:val="nil"/>
              <w:bottom w:val="nil"/>
              <w:right w:val="nil"/>
            </w:tcBorders>
            <w:shd w:val="clear" w:color="000000" w:fill="FFFFFF"/>
            <w:noWrap/>
            <w:vAlign w:val="center"/>
            <w:hideMark/>
          </w:tcPr>
          <w:p w:rsidR="00EB110A" w:rsidRPr="00EB110A" w:rsidRDefault="005E6F59" w:rsidP="00EB110A">
            <w:pPr>
              <w:jc w:val="right"/>
              <w:rPr>
                <w:rFonts w:ascii="Arial Narrow" w:hAnsi="Arial Narrow" w:cs="Arial"/>
                <w:color w:val="000000"/>
                <w:spacing w:val="0"/>
                <w:sz w:val="16"/>
                <w:szCs w:val="16"/>
              </w:rPr>
            </w:pPr>
            <w:r>
              <w:rPr>
                <w:rFonts w:ascii="Arial Narrow" w:hAnsi="Arial Narrow" w:cs="Arial"/>
                <w:color w:val="000000"/>
                <w:spacing w:val="0"/>
                <w:sz w:val="16"/>
                <w:szCs w:val="16"/>
              </w:rPr>
              <w:t>17,385,29</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-6,599,348</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61.2%</w:t>
            </w:r>
          </w:p>
        </w:tc>
      </w:tr>
      <w:tr w:rsidR="005E6F59" w:rsidRPr="00EB110A" w:rsidTr="005E6F59">
        <w:trPr>
          <w:trHeight w:val="280"/>
        </w:trPr>
        <w:tc>
          <w:tcPr>
            <w:tcW w:w="4540" w:type="dxa"/>
            <w:tcBorders>
              <w:top w:val="nil"/>
              <w:left w:val="nil"/>
              <w:bottom w:val="nil"/>
              <w:right w:val="nil"/>
            </w:tcBorders>
            <w:shd w:val="clear" w:color="000000" w:fill="FFFFFF"/>
            <w:noWrap/>
            <w:vAlign w:val="center"/>
          </w:tcPr>
          <w:p w:rsidR="005E6F59" w:rsidRPr="00EB110A" w:rsidRDefault="005E6F59" w:rsidP="00EB110A">
            <w:pPr>
              <w:rPr>
                <w:rFonts w:ascii="Arial Narrow" w:hAnsi="Arial Narrow" w:cs="Arial"/>
                <w:color w:val="000000"/>
                <w:spacing w:val="0"/>
                <w:sz w:val="16"/>
                <w:szCs w:val="16"/>
              </w:rPr>
            </w:pPr>
          </w:p>
        </w:tc>
        <w:tc>
          <w:tcPr>
            <w:tcW w:w="1040" w:type="dxa"/>
            <w:tcBorders>
              <w:top w:val="nil"/>
              <w:left w:val="nil"/>
              <w:bottom w:val="nil"/>
              <w:right w:val="nil"/>
            </w:tcBorders>
            <w:shd w:val="clear" w:color="000000" w:fill="FFFFFF"/>
            <w:vAlign w:val="center"/>
          </w:tcPr>
          <w:p w:rsidR="005E6F59" w:rsidRPr="00EB110A" w:rsidRDefault="005E6F59" w:rsidP="00EB110A">
            <w:pPr>
              <w:jc w:val="right"/>
              <w:rPr>
                <w:rFonts w:ascii="Arial Narrow" w:hAnsi="Arial Narrow" w:cs="Arial"/>
                <w:color w:val="000000"/>
                <w:spacing w:val="0"/>
                <w:sz w:val="16"/>
                <w:szCs w:val="16"/>
              </w:rPr>
            </w:pPr>
          </w:p>
        </w:tc>
        <w:tc>
          <w:tcPr>
            <w:tcW w:w="900" w:type="dxa"/>
            <w:tcBorders>
              <w:top w:val="nil"/>
              <w:left w:val="nil"/>
              <w:bottom w:val="nil"/>
              <w:right w:val="nil"/>
            </w:tcBorders>
            <w:shd w:val="clear" w:color="000000" w:fill="FFFFFF"/>
            <w:vAlign w:val="center"/>
          </w:tcPr>
          <w:p w:rsidR="005E6F59" w:rsidRPr="00EB110A" w:rsidRDefault="005E6F59" w:rsidP="00EB110A">
            <w:pPr>
              <w:jc w:val="right"/>
              <w:rPr>
                <w:rFonts w:ascii="Arial Narrow" w:hAnsi="Arial Narrow" w:cs="Arial"/>
                <w:color w:val="000000"/>
                <w:spacing w:val="0"/>
                <w:sz w:val="16"/>
                <w:szCs w:val="16"/>
              </w:rPr>
            </w:pPr>
          </w:p>
        </w:tc>
        <w:tc>
          <w:tcPr>
            <w:tcW w:w="1060" w:type="dxa"/>
            <w:tcBorders>
              <w:top w:val="nil"/>
              <w:left w:val="nil"/>
              <w:bottom w:val="nil"/>
              <w:right w:val="nil"/>
            </w:tcBorders>
            <w:shd w:val="clear" w:color="000000" w:fill="FFFFFF"/>
            <w:noWrap/>
            <w:vAlign w:val="center"/>
          </w:tcPr>
          <w:p w:rsidR="005E6F59" w:rsidRDefault="005E6F59" w:rsidP="00EB110A">
            <w:pPr>
              <w:jc w:val="right"/>
              <w:rPr>
                <w:rFonts w:ascii="Arial Narrow" w:hAnsi="Arial Narrow" w:cs="Arial"/>
                <w:color w:val="000000"/>
                <w:spacing w:val="0"/>
                <w:sz w:val="16"/>
                <w:szCs w:val="16"/>
              </w:rPr>
            </w:pPr>
          </w:p>
        </w:tc>
        <w:tc>
          <w:tcPr>
            <w:tcW w:w="1025" w:type="dxa"/>
            <w:gridSpan w:val="2"/>
            <w:tcBorders>
              <w:top w:val="nil"/>
              <w:left w:val="nil"/>
              <w:bottom w:val="nil"/>
              <w:right w:val="nil"/>
            </w:tcBorders>
            <w:shd w:val="clear" w:color="000000" w:fill="FFFFFF"/>
            <w:noWrap/>
            <w:vAlign w:val="center"/>
          </w:tcPr>
          <w:p w:rsidR="005E6F59" w:rsidRPr="00EB110A" w:rsidRDefault="005E6F59" w:rsidP="00EB110A">
            <w:pPr>
              <w:jc w:val="right"/>
              <w:rPr>
                <w:rFonts w:ascii="Arial Narrow" w:hAnsi="Arial Narrow" w:cs="Arial"/>
                <w:color w:val="000000"/>
                <w:spacing w:val="0"/>
                <w:sz w:val="16"/>
                <w:szCs w:val="16"/>
              </w:rPr>
            </w:pPr>
          </w:p>
        </w:tc>
        <w:tc>
          <w:tcPr>
            <w:tcW w:w="975" w:type="dxa"/>
            <w:tcBorders>
              <w:top w:val="nil"/>
              <w:left w:val="nil"/>
              <w:bottom w:val="nil"/>
              <w:right w:val="nil"/>
            </w:tcBorders>
            <w:shd w:val="clear" w:color="000000" w:fill="FFFFFF"/>
            <w:noWrap/>
            <w:vAlign w:val="center"/>
          </w:tcPr>
          <w:p w:rsidR="005E6F59" w:rsidRPr="00EB110A" w:rsidRDefault="005E6F59" w:rsidP="00EB110A">
            <w:pPr>
              <w:jc w:val="right"/>
              <w:rPr>
                <w:rFonts w:ascii="Arial Narrow" w:hAnsi="Arial Narrow" w:cs="Arial"/>
                <w:color w:val="000000"/>
                <w:spacing w:val="0"/>
                <w:sz w:val="16"/>
                <w:szCs w:val="16"/>
              </w:rPr>
            </w:pP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Los Alamos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1,100,282</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2,772,000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2,266,539</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-1,166,257</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106.0%</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Sandia National Labs.</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1,230,766</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2,410,171</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2,237,036</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-1,006,270</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81.8%</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Pacific Northwest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278,221</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1,095,922</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1,072,377</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-794,156</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285.4%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Oak Ridge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786,731</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1,558,073</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1,513,958</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-727,227</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92.4%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Jet Propulsion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863,282</w:t>
            </w:r>
          </w:p>
        </w:tc>
        <w:tc>
          <w:tcPr>
            <w:tcW w:w="900" w:type="dxa"/>
            <w:tcBorders>
              <w:top w:val="nil"/>
              <w:left w:val="nil"/>
              <w:bottom w:val="nil"/>
              <w:right w:val="nil"/>
            </w:tcBorders>
            <w:shd w:val="clear" w:color="auto" w:fill="auto"/>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1,600,000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1,543,969</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-680,687</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78.8%</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xml:space="preserve">      National Security Engineering Ctr.</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511,296</w:t>
            </w:r>
          </w:p>
        </w:tc>
        <w:tc>
          <w:tcPr>
            <w:tcW w:w="900" w:type="dxa"/>
            <w:tcBorders>
              <w:top w:val="nil"/>
              <w:left w:val="nil"/>
              <w:bottom w:val="nil"/>
              <w:right w:val="nil"/>
            </w:tcBorders>
            <w:shd w:val="clear" w:color="000000" w:fill="FFFFFF"/>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941,187</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941,187</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-429,891</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84.1%</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Lincoln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421,563</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NA</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819,664</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-398,101</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94.4%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Argonne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460,230</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721,600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663,194</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-202,964</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44.1%</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National Renewable Energy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173,137</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387,127</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370,538</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-197,401</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114.0%</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Ctr. for Enterprise Modernization</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3,985</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187,785</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187,785</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-183,800</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4612.3%</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Lawrence Berkeley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579,253</w:t>
            </w:r>
          </w:p>
        </w:tc>
        <w:tc>
          <w:tcPr>
            <w:tcW w:w="900" w:type="dxa"/>
            <w:tcBorders>
              <w:top w:val="nil"/>
              <w:left w:val="nil"/>
              <w:bottom w:val="nil"/>
              <w:right w:val="nil"/>
            </w:tcBorders>
            <w:shd w:val="clear" w:color="auto" w:fill="auto"/>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836,095</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732,920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-153,667</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26.5%</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Brookhaven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374,787</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526,571</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504,491</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-129,704</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34.6%</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Idaho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287,928</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875,119</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415,020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-127,092</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44.1%</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Savannah River Technology Ctr.</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36,441</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192,716</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134,530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-98,089</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269.2%</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Ctr. for Advanced Aviation System Development</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59,868</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165,645</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155,254</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-95,386</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159.3%</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Homeland Security Systems Engineering and Development Institute</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5,304</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85,154</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85,154</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-79,850</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1505.4%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Fermi National Accelerator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341,236</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409,828</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419,583</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-78,347</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23.0%</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Ctr. for Communications and Computing</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745</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72,600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72,600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-71,855</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9642.4%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Software Engineering Institute</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36,155</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107,837</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107,348</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-71,193</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196.9%</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Studies and Analyses Ctr.</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85,795</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156,200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156,200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-70,406</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82.1%</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Lawrence Livermore National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1,317,439</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1,614,203</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1,380,177</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-62,738</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4.8%</w:t>
            </w:r>
          </w:p>
        </w:tc>
      </w:tr>
      <w:tr w:rsidR="00EB110A" w:rsidRPr="00EB110A" w:rsidTr="005E6F59">
        <w:trPr>
          <w:trHeight w:val="270"/>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SLAC National Accelerator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264,192</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366,427</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320,941</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-56,749</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21.5%</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National Ctr. for Atmospheric Research</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131,832</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198,231</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182,310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-50,479</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38.3%</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Project Air Force</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2,261</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44,171</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44,171</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-41,910</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1853.5%</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National Biodefense Analysis and Countermeasures Ctr.</w:t>
            </w:r>
          </w:p>
        </w:tc>
        <w:tc>
          <w:tcPr>
            <w:tcW w:w="104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0</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58,500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41,786</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-41,786</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xml:space="preserve">      Homeland Security Studies and Analysis Institute</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5,264</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37,000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36,699</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-31,435</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597.1%</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Ctr. for Naval Analyses</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54,230</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87,000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84,562</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-30,332</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55.9%</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Princeton Plasma Physics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60,700</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94,903</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84,352</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-23,652</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39.0%</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National Defense Research Institute</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26,993</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46,330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46,330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-19,337</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71.6%</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Ctr. for Nuclear Waste Regulatory Analyses</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1,986</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16,377</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15,871</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-13,886</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699.3%</w:t>
            </w:r>
          </w:p>
        </w:tc>
      </w:tr>
      <w:tr w:rsidR="00EB110A" w:rsidRPr="00EB110A" w:rsidTr="005E6F59">
        <w:trPr>
          <w:trHeight w:val="22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National Radio Astronomy Observatory</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67,646</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78,982</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80,401</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-12,755</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18.9%</w:t>
            </w:r>
          </w:p>
        </w:tc>
      </w:tr>
      <w:tr w:rsidR="00EB110A" w:rsidRPr="00EB110A" w:rsidTr="005E6F59">
        <w:trPr>
          <w:trHeight w:val="200"/>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Arroyo Ctr.</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20,062</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32,180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32,180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-12,118</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60.4%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Science and Technology Policy Institute</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2,106</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8,700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8,700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-6,594</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313.1%</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National Astronomy &amp; Ionosphere Ctr.</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8,967</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14,317</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13,635</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-4,668</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52.1%</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Judiciary Engineering and Modernization Ctr.</w:t>
            </w:r>
          </w:p>
        </w:tc>
        <w:tc>
          <w:tcPr>
            <w:tcW w:w="104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0</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4,650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4,650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-4,650</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Ames Lab.</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28,782</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34,710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31,471</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-2,690</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9.3%</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Thomas Jefferson National Accelerator Facility</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95,988</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104,380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89,871</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6,117</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-6.4%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Frederick National Laboratory for Cancer Research</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451,668</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500,000</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431,600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20,068</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-4.4%</w:t>
            </w:r>
          </w:p>
        </w:tc>
      </w:tr>
      <w:tr w:rsidR="00EB110A" w:rsidRPr="00EB110A" w:rsidTr="005E6F59">
        <w:trPr>
          <w:trHeight w:val="235"/>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National Optical Astronomy Observatories</w:t>
            </w:r>
          </w:p>
        </w:tc>
        <w:tc>
          <w:tcPr>
            <w:tcW w:w="104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77,938</w:t>
            </w:r>
          </w:p>
        </w:tc>
        <w:tc>
          <w:tcPr>
            <w:tcW w:w="900" w:type="dxa"/>
            <w:tcBorders>
              <w:top w:val="nil"/>
              <w:left w:val="nil"/>
              <w:bottom w:val="nil"/>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46,048</w:t>
            </w:r>
          </w:p>
        </w:tc>
        <w:tc>
          <w:tcPr>
            <w:tcW w:w="1060"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42,730</w:t>
            </w:r>
          </w:p>
        </w:tc>
        <w:tc>
          <w:tcPr>
            <w:tcW w:w="1025" w:type="dxa"/>
            <w:gridSpan w:val="2"/>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35,208</w:t>
            </w:r>
          </w:p>
        </w:tc>
        <w:tc>
          <w:tcPr>
            <w:tcW w:w="975" w:type="dxa"/>
            <w:tcBorders>
              <w:top w:val="nil"/>
              <w:left w:val="nil"/>
              <w:bottom w:val="nil"/>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-45.2%</w:t>
            </w:r>
          </w:p>
        </w:tc>
      </w:tr>
      <w:tr w:rsidR="00EB110A" w:rsidRPr="00EB110A" w:rsidTr="005E6F59">
        <w:trPr>
          <w:trHeight w:val="235"/>
        </w:trPr>
        <w:tc>
          <w:tcPr>
            <w:tcW w:w="4540" w:type="dxa"/>
            <w:tcBorders>
              <w:top w:val="nil"/>
              <w:left w:val="nil"/>
              <w:bottom w:val="single" w:sz="4" w:space="0" w:color="auto"/>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Aerospace FFRDC</w:t>
            </w:r>
          </w:p>
        </w:tc>
        <w:tc>
          <w:tcPr>
            <w:tcW w:w="1040" w:type="dxa"/>
            <w:tcBorders>
              <w:top w:val="nil"/>
              <w:left w:val="nil"/>
              <w:bottom w:val="single" w:sz="4" w:space="0" w:color="auto"/>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530,892</w:t>
            </w:r>
          </w:p>
        </w:tc>
        <w:tc>
          <w:tcPr>
            <w:tcW w:w="900" w:type="dxa"/>
            <w:tcBorders>
              <w:top w:val="nil"/>
              <w:left w:val="nil"/>
              <w:bottom w:val="single" w:sz="4" w:space="0" w:color="auto"/>
              <w:right w:val="nil"/>
            </w:tcBorders>
            <w:shd w:val="clear" w:color="000000" w:fill="FFFFFF"/>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939,200</w:t>
            </w:r>
          </w:p>
        </w:tc>
        <w:tc>
          <w:tcPr>
            <w:tcW w:w="1060" w:type="dxa"/>
            <w:tcBorders>
              <w:top w:val="nil"/>
              <w:left w:val="nil"/>
              <w:bottom w:val="single" w:sz="4" w:space="0" w:color="auto"/>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13,511</w:t>
            </w:r>
          </w:p>
        </w:tc>
        <w:tc>
          <w:tcPr>
            <w:tcW w:w="1025" w:type="dxa"/>
            <w:gridSpan w:val="2"/>
            <w:tcBorders>
              <w:top w:val="nil"/>
              <w:left w:val="nil"/>
              <w:bottom w:val="single" w:sz="4" w:space="0" w:color="auto"/>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517,381</w:t>
            </w:r>
          </w:p>
        </w:tc>
        <w:tc>
          <w:tcPr>
            <w:tcW w:w="975" w:type="dxa"/>
            <w:tcBorders>
              <w:top w:val="nil"/>
              <w:left w:val="nil"/>
              <w:bottom w:val="single" w:sz="4" w:space="0" w:color="auto"/>
              <w:right w:val="nil"/>
            </w:tcBorders>
            <w:shd w:val="clear" w:color="000000" w:fill="FFFFFF"/>
            <w:noWrap/>
            <w:vAlign w:val="center"/>
            <w:hideMark/>
          </w:tcPr>
          <w:p w:rsidR="00EB110A" w:rsidRPr="00EB110A" w:rsidRDefault="00EB110A" w:rsidP="00EB110A">
            <w:pPr>
              <w:jc w:val="right"/>
              <w:rPr>
                <w:rFonts w:ascii="Arial Narrow" w:hAnsi="Arial Narrow" w:cs="Arial"/>
                <w:color w:val="000000"/>
                <w:spacing w:val="0"/>
                <w:sz w:val="16"/>
                <w:szCs w:val="16"/>
              </w:rPr>
            </w:pPr>
            <w:r w:rsidRPr="00EB110A">
              <w:rPr>
                <w:rFonts w:ascii="Arial Narrow" w:hAnsi="Arial Narrow" w:cs="Arial"/>
                <w:color w:val="000000"/>
                <w:spacing w:val="0"/>
                <w:sz w:val="16"/>
                <w:szCs w:val="16"/>
              </w:rPr>
              <w:t>-97.5%</w:t>
            </w:r>
          </w:p>
        </w:tc>
      </w:tr>
      <w:tr w:rsidR="00EB110A" w:rsidRPr="00EB110A" w:rsidTr="005E6F59">
        <w:trPr>
          <w:trHeight w:val="120"/>
        </w:trPr>
        <w:tc>
          <w:tcPr>
            <w:tcW w:w="4540" w:type="dxa"/>
            <w:tcBorders>
              <w:top w:val="nil"/>
              <w:left w:val="nil"/>
              <w:bottom w:val="nil"/>
              <w:right w:val="nil"/>
            </w:tcBorders>
            <w:shd w:val="clear" w:color="000000" w:fill="FFFFFF"/>
            <w:noWrap/>
            <w:vAlign w:val="center"/>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40"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00"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60"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25" w:type="dxa"/>
            <w:gridSpan w:val="2"/>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75" w:type="dxa"/>
            <w:tcBorders>
              <w:top w:val="nil"/>
              <w:left w:val="nil"/>
              <w:bottom w:val="nil"/>
              <w:right w:val="nil"/>
            </w:tcBorders>
            <w:shd w:val="clear" w:color="000000" w:fill="FFFFFF"/>
            <w:noWrap/>
            <w:vAlign w:val="bottom"/>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r>
      <w:tr w:rsidR="00EB110A" w:rsidRPr="00EB110A" w:rsidTr="00EB110A">
        <w:trPr>
          <w:trHeight w:val="280"/>
        </w:trPr>
        <w:tc>
          <w:tcPr>
            <w:tcW w:w="9540" w:type="dxa"/>
            <w:gridSpan w:val="7"/>
            <w:tcBorders>
              <w:top w:val="nil"/>
              <w:left w:val="nil"/>
              <w:bottom w:val="nil"/>
              <w:right w:val="nil"/>
            </w:tcBorders>
            <w:shd w:val="clear" w:color="000000" w:fill="FFFFFF"/>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xml:space="preserve">NOTE:  Because of rounding, detail may not add to total. </w:t>
            </w:r>
          </w:p>
        </w:tc>
      </w:tr>
      <w:tr w:rsidR="00EB110A" w:rsidRPr="00EB110A" w:rsidTr="00EB110A">
        <w:trPr>
          <w:trHeight w:val="120"/>
        </w:trPr>
        <w:tc>
          <w:tcPr>
            <w:tcW w:w="4540" w:type="dxa"/>
            <w:tcBorders>
              <w:top w:val="nil"/>
              <w:left w:val="nil"/>
              <w:bottom w:val="nil"/>
              <w:right w:val="nil"/>
            </w:tcBorders>
            <w:shd w:val="clear" w:color="000000" w:fill="FFFFFF"/>
            <w:noWrap/>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40" w:type="dxa"/>
            <w:tcBorders>
              <w:top w:val="nil"/>
              <w:left w:val="nil"/>
              <w:bottom w:val="nil"/>
              <w:right w:val="nil"/>
            </w:tcBorders>
            <w:shd w:val="clear" w:color="000000" w:fill="FFFFFF"/>
            <w:noWrap/>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00" w:type="dxa"/>
            <w:tcBorders>
              <w:top w:val="nil"/>
              <w:left w:val="nil"/>
              <w:bottom w:val="nil"/>
              <w:right w:val="nil"/>
            </w:tcBorders>
            <w:shd w:val="clear" w:color="000000" w:fill="FFFFFF"/>
            <w:noWrap/>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60" w:type="dxa"/>
            <w:tcBorders>
              <w:top w:val="nil"/>
              <w:left w:val="nil"/>
              <w:bottom w:val="nil"/>
              <w:right w:val="nil"/>
            </w:tcBorders>
            <w:shd w:val="clear" w:color="000000" w:fill="FFFFFF"/>
            <w:noWrap/>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940" w:type="dxa"/>
            <w:tcBorders>
              <w:top w:val="nil"/>
              <w:left w:val="nil"/>
              <w:bottom w:val="nil"/>
              <w:right w:val="nil"/>
            </w:tcBorders>
            <w:shd w:val="clear" w:color="000000" w:fill="FFFFFF"/>
            <w:noWrap/>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c>
          <w:tcPr>
            <w:tcW w:w="1060" w:type="dxa"/>
            <w:gridSpan w:val="2"/>
            <w:tcBorders>
              <w:top w:val="nil"/>
              <w:left w:val="nil"/>
              <w:bottom w:val="nil"/>
              <w:right w:val="nil"/>
            </w:tcBorders>
            <w:shd w:val="clear" w:color="000000" w:fill="FFFFFF"/>
            <w:noWrap/>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 </w:t>
            </w:r>
          </w:p>
        </w:tc>
      </w:tr>
      <w:tr w:rsidR="00EB110A" w:rsidRPr="00EB110A" w:rsidTr="00EB110A">
        <w:trPr>
          <w:trHeight w:val="560"/>
        </w:trPr>
        <w:tc>
          <w:tcPr>
            <w:tcW w:w="9540" w:type="dxa"/>
            <w:gridSpan w:val="7"/>
            <w:tcBorders>
              <w:top w:val="nil"/>
              <w:left w:val="nil"/>
              <w:bottom w:val="nil"/>
              <w:right w:val="nil"/>
            </w:tcBorders>
            <w:shd w:val="clear" w:color="000000" w:fill="FFFFFF"/>
            <w:hideMark/>
          </w:tcPr>
          <w:p w:rsidR="00EB110A" w:rsidRPr="00EB110A" w:rsidRDefault="00EB110A" w:rsidP="00EB110A">
            <w:pPr>
              <w:rPr>
                <w:rFonts w:ascii="Arial Narrow" w:hAnsi="Arial Narrow" w:cs="Arial"/>
                <w:color w:val="000000"/>
                <w:spacing w:val="0"/>
                <w:sz w:val="16"/>
                <w:szCs w:val="16"/>
              </w:rPr>
            </w:pPr>
            <w:r w:rsidRPr="00EB110A">
              <w:rPr>
                <w:rFonts w:ascii="Arial Narrow" w:hAnsi="Arial Narrow" w:cs="Arial"/>
                <w:color w:val="000000"/>
                <w:spacing w:val="0"/>
                <w:sz w:val="16"/>
                <w:szCs w:val="16"/>
              </w:rPr>
              <w:t>SOURCE:  National Science Foundation/National Center for Science and Engineering Statistics, Survey of Federal Funds for Research and Development: FY 2010-12.  National Science Foundation/National Center for Science and Engineering Statistics, FFRDC Research and Development Survey: FY 2011.</w:t>
            </w:r>
          </w:p>
        </w:tc>
      </w:tr>
    </w:tbl>
    <w:p w:rsidR="009E28B6" w:rsidRPr="00AD7693" w:rsidRDefault="009E28B6" w:rsidP="00FC047B">
      <w:pPr>
        <w:keepLines/>
        <w:widowControl w:val="0"/>
        <w:autoSpaceDE w:val="0"/>
        <w:autoSpaceDN w:val="0"/>
        <w:adjustRightInd w:val="0"/>
        <w:rPr>
          <w:rFonts w:cstheme="minorHAnsi"/>
          <w:color w:val="262626"/>
          <w:spacing w:val="0"/>
          <w:szCs w:val="22"/>
        </w:rPr>
      </w:pPr>
    </w:p>
    <w:p w:rsidR="00CB02F5" w:rsidRDefault="00CB02F5" w:rsidP="00CB02F5">
      <w:pPr>
        <w:keepLines/>
        <w:widowControl w:val="0"/>
        <w:autoSpaceDE w:val="0"/>
        <w:autoSpaceDN w:val="0"/>
        <w:adjustRightInd w:val="0"/>
        <w:rPr>
          <w:rFonts w:cstheme="minorHAnsi"/>
          <w:color w:val="262626"/>
          <w:spacing w:val="0"/>
          <w:szCs w:val="22"/>
        </w:rPr>
      </w:pPr>
      <w:r>
        <w:rPr>
          <w:rFonts w:cstheme="minorHAnsi"/>
          <w:color w:val="262626"/>
          <w:spacing w:val="0"/>
          <w:szCs w:val="22"/>
        </w:rPr>
        <w:lastRenderedPageBreak/>
        <w:t>Four of the five FFRDCs with the largest differences in absolute dollars are sponsored by the Department of Energy:</w:t>
      </w:r>
      <w:r w:rsidRPr="00AD7693">
        <w:rPr>
          <w:rFonts w:cstheme="minorHAnsi"/>
          <w:color w:val="262626"/>
          <w:spacing w:val="0"/>
          <w:szCs w:val="22"/>
        </w:rPr>
        <w:t xml:space="preserve"> Los Alamos National Labora</w:t>
      </w:r>
      <w:r>
        <w:rPr>
          <w:rFonts w:cstheme="minorHAnsi"/>
          <w:color w:val="262626"/>
          <w:spacing w:val="0"/>
          <w:szCs w:val="22"/>
        </w:rPr>
        <w:t>tory, Sandia National Laboratories</w:t>
      </w:r>
      <w:r w:rsidRPr="00AD7693">
        <w:rPr>
          <w:rFonts w:cstheme="minorHAnsi"/>
          <w:color w:val="262626"/>
          <w:spacing w:val="0"/>
          <w:szCs w:val="22"/>
        </w:rPr>
        <w:t xml:space="preserve">, Oak Ridge National Laboratory, and the Pacific Northwest National Laboratory.  </w:t>
      </w:r>
    </w:p>
    <w:p w:rsidR="00CB02F5" w:rsidRDefault="00CB02F5" w:rsidP="00CB02F5">
      <w:pPr>
        <w:keepLines/>
        <w:widowControl w:val="0"/>
        <w:autoSpaceDE w:val="0"/>
        <w:autoSpaceDN w:val="0"/>
        <w:adjustRightInd w:val="0"/>
        <w:rPr>
          <w:rFonts w:cstheme="minorHAnsi"/>
          <w:color w:val="262626"/>
          <w:spacing w:val="0"/>
          <w:szCs w:val="22"/>
        </w:rPr>
      </w:pPr>
    </w:p>
    <w:p w:rsidR="00CB02F5" w:rsidRPr="00AD7693" w:rsidRDefault="00CB02F5" w:rsidP="00CB02F5">
      <w:pPr>
        <w:keepLines/>
        <w:widowControl w:val="0"/>
        <w:autoSpaceDE w:val="0"/>
        <w:autoSpaceDN w:val="0"/>
        <w:adjustRightInd w:val="0"/>
        <w:rPr>
          <w:rFonts w:cstheme="minorHAnsi"/>
          <w:color w:val="262626"/>
          <w:spacing w:val="0"/>
          <w:szCs w:val="22"/>
        </w:rPr>
      </w:pPr>
      <w:r>
        <w:rPr>
          <w:rFonts w:cstheme="minorHAnsi"/>
          <w:color w:val="262626"/>
          <w:spacing w:val="0"/>
          <w:szCs w:val="22"/>
        </w:rPr>
        <w:t>For these four FFRDCs, t</w:t>
      </w:r>
      <w:r w:rsidRPr="00AD7693">
        <w:rPr>
          <w:rFonts w:cstheme="minorHAnsi"/>
          <w:color w:val="262626"/>
          <w:spacing w:val="0"/>
          <w:szCs w:val="22"/>
        </w:rPr>
        <w:t xml:space="preserve">he </w:t>
      </w:r>
      <w:r>
        <w:rPr>
          <w:rFonts w:cstheme="minorHAnsi"/>
          <w:color w:val="262626"/>
          <w:spacing w:val="0"/>
          <w:szCs w:val="22"/>
        </w:rPr>
        <w:t>primary factor</w:t>
      </w:r>
      <w:r w:rsidRPr="00AD7693">
        <w:rPr>
          <w:rFonts w:cstheme="minorHAnsi"/>
          <w:color w:val="262626"/>
          <w:spacing w:val="0"/>
          <w:szCs w:val="22"/>
        </w:rPr>
        <w:t xml:space="preserve"> causing the large data differences between the Federal Funds </w:t>
      </w:r>
      <w:r>
        <w:rPr>
          <w:rFonts w:cstheme="minorHAnsi"/>
          <w:color w:val="262626"/>
          <w:spacing w:val="0"/>
          <w:szCs w:val="22"/>
        </w:rPr>
        <w:t xml:space="preserve">survey </w:t>
      </w:r>
      <w:r w:rsidRPr="00AD7693">
        <w:rPr>
          <w:rFonts w:cstheme="minorHAnsi"/>
          <w:color w:val="262626"/>
          <w:spacing w:val="0"/>
          <w:szCs w:val="22"/>
        </w:rPr>
        <w:t xml:space="preserve">and the FFRDC </w:t>
      </w:r>
      <w:r>
        <w:rPr>
          <w:rFonts w:cstheme="minorHAnsi"/>
          <w:color w:val="262626"/>
          <w:spacing w:val="0"/>
          <w:szCs w:val="22"/>
        </w:rPr>
        <w:t>survey</w:t>
      </w:r>
      <w:r w:rsidRPr="00AD7693">
        <w:rPr>
          <w:rFonts w:cstheme="minorHAnsi"/>
          <w:color w:val="262626"/>
          <w:spacing w:val="0"/>
          <w:szCs w:val="22"/>
        </w:rPr>
        <w:t xml:space="preserve"> </w:t>
      </w:r>
      <w:r>
        <w:rPr>
          <w:rFonts w:cstheme="minorHAnsi"/>
          <w:color w:val="262626"/>
          <w:spacing w:val="0"/>
          <w:szCs w:val="22"/>
        </w:rPr>
        <w:t>is</w:t>
      </w:r>
      <w:r w:rsidRPr="00AD7693">
        <w:rPr>
          <w:rFonts w:cstheme="minorHAnsi"/>
          <w:color w:val="262626"/>
          <w:spacing w:val="0"/>
          <w:szCs w:val="22"/>
        </w:rPr>
        <w:t xml:space="preserve"> how the respondents interpret </w:t>
      </w:r>
      <w:r w:rsidR="00291811">
        <w:rPr>
          <w:rFonts w:cstheme="minorHAnsi"/>
          <w:color w:val="262626"/>
          <w:spacing w:val="0"/>
          <w:szCs w:val="22"/>
        </w:rPr>
        <w:t>what to include as</w:t>
      </w:r>
      <w:r w:rsidRPr="00AD7693">
        <w:rPr>
          <w:rFonts w:cstheme="minorHAnsi"/>
          <w:color w:val="262626"/>
          <w:spacing w:val="0"/>
          <w:szCs w:val="22"/>
        </w:rPr>
        <w:t xml:space="preserve"> </w:t>
      </w:r>
      <w:r w:rsidR="00291811">
        <w:rPr>
          <w:rFonts w:cstheme="minorHAnsi"/>
          <w:color w:val="262626"/>
          <w:spacing w:val="0"/>
          <w:szCs w:val="22"/>
        </w:rPr>
        <w:t>R&amp;D funding</w:t>
      </w:r>
      <w:r w:rsidRPr="00AD7693">
        <w:rPr>
          <w:rFonts w:cstheme="minorHAnsi"/>
          <w:color w:val="262626"/>
          <w:spacing w:val="0"/>
          <w:szCs w:val="22"/>
        </w:rPr>
        <w:t xml:space="preserve">. </w:t>
      </w:r>
      <w:r w:rsidR="007E7915">
        <w:rPr>
          <w:rFonts w:cstheme="minorHAnsi"/>
          <w:color w:val="262626"/>
          <w:spacing w:val="0"/>
          <w:szCs w:val="22"/>
        </w:rPr>
        <w:t>As can be seen by comparing their total operating budget with their reported R&amp;D expenditures, e</w:t>
      </w:r>
      <w:r w:rsidR="00E11AB7">
        <w:rPr>
          <w:rFonts w:cstheme="minorHAnsi"/>
          <w:color w:val="262626"/>
          <w:spacing w:val="0"/>
          <w:szCs w:val="22"/>
        </w:rPr>
        <w:t>ach of th</w:t>
      </w:r>
      <w:r>
        <w:rPr>
          <w:rFonts w:cstheme="minorHAnsi"/>
          <w:color w:val="262626"/>
          <w:spacing w:val="0"/>
          <w:szCs w:val="22"/>
        </w:rPr>
        <w:t>e FFRDCs</w:t>
      </w:r>
      <w:r w:rsidRPr="00AD7693">
        <w:rPr>
          <w:rFonts w:cstheme="minorHAnsi"/>
          <w:color w:val="262626"/>
          <w:spacing w:val="0"/>
          <w:szCs w:val="22"/>
        </w:rPr>
        <w:t xml:space="preserve"> </w:t>
      </w:r>
      <w:r>
        <w:rPr>
          <w:rFonts w:cstheme="minorHAnsi"/>
          <w:color w:val="262626"/>
          <w:spacing w:val="0"/>
          <w:szCs w:val="22"/>
        </w:rPr>
        <w:t xml:space="preserve">classify </w:t>
      </w:r>
      <w:r w:rsidR="007E7915">
        <w:rPr>
          <w:rFonts w:cstheme="minorHAnsi"/>
          <w:color w:val="262626"/>
          <w:spacing w:val="0"/>
          <w:szCs w:val="22"/>
        </w:rPr>
        <w:t>most of their expenditures</w:t>
      </w:r>
      <w:r>
        <w:rPr>
          <w:rFonts w:cstheme="minorHAnsi"/>
          <w:color w:val="262626"/>
          <w:spacing w:val="0"/>
          <w:szCs w:val="22"/>
        </w:rPr>
        <w:t xml:space="preserve"> as R&amp;D, including all funding to support the operation of the FFRDC as part </w:t>
      </w:r>
      <w:r w:rsidR="00291811">
        <w:rPr>
          <w:rFonts w:cstheme="minorHAnsi"/>
          <w:color w:val="262626"/>
          <w:spacing w:val="0"/>
          <w:szCs w:val="22"/>
        </w:rPr>
        <w:t xml:space="preserve">of the cost of conducting R&amp;D. </w:t>
      </w:r>
      <w:r w:rsidRPr="00AD7693">
        <w:rPr>
          <w:rFonts w:cstheme="minorHAnsi"/>
          <w:color w:val="262626"/>
          <w:spacing w:val="0"/>
          <w:szCs w:val="22"/>
        </w:rPr>
        <w:t xml:space="preserve">The federal agencies </w:t>
      </w:r>
      <w:r>
        <w:rPr>
          <w:rFonts w:cstheme="minorHAnsi"/>
          <w:color w:val="262626"/>
          <w:spacing w:val="0"/>
          <w:szCs w:val="22"/>
        </w:rPr>
        <w:t>responding</w:t>
      </w:r>
      <w:r w:rsidRPr="00AD7693">
        <w:rPr>
          <w:rFonts w:cstheme="minorHAnsi"/>
          <w:color w:val="262626"/>
          <w:spacing w:val="0"/>
          <w:szCs w:val="22"/>
        </w:rPr>
        <w:t xml:space="preserve"> to the Fed</w:t>
      </w:r>
      <w:r>
        <w:rPr>
          <w:rFonts w:cstheme="minorHAnsi"/>
          <w:color w:val="262626"/>
          <w:spacing w:val="0"/>
          <w:szCs w:val="22"/>
        </w:rPr>
        <w:t>eral</w:t>
      </w:r>
      <w:r w:rsidRPr="00AD7693">
        <w:rPr>
          <w:rFonts w:cstheme="minorHAnsi"/>
          <w:color w:val="262626"/>
          <w:spacing w:val="0"/>
          <w:szCs w:val="22"/>
        </w:rPr>
        <w:t xml:space="preserve"> Funds survey interpret R&amp;D more narrowly and do not </w:t>
      </w:r>
      <w:r>
        <w:rPr>
          <w:rFonts w:cstheme="minorHAnsi"/>
          <w:color w:val="262626"/>
          <w:spacing w:val="0"/>
          <w:szCs w:val="22"/>
        </w:rPr>
        <w:t>classify</w:t>
      </w:r>
      <w:r w:rsidRPr="00AD7693">
        <w:rPr>
          <w:rFonts w:cstheme="minorHAnsi"/>
          <w:color w:val="262626"/>
          <w:spacing w:val="0"/>
          <w:szCs w:val="22"/>
        </w:rPr>
        <w:t xml:space="preserve"> all of the funds </w:t>
      </w:r>
      <w:r>
        <w:rPr>
          <w:rFonts w:cstheme="minorHAnsi"/>
          <w:color w:val="262626"/>
          <w:spacing w:val="0"/>
          <w:szCs w:val="22"/>
        </w:rPr>
        <w:t>obligated to FFRDCs as R&amp;D, instead using other classifications to delineate direct funding for R&amp;D projects from other types of funding for the FFRDC</w:t>
      </w:r>
      <w:r w:rsidRPr="00AD7693">
        <w:rPr>
          <w:rFonts w:cstheme="minorHAnsi"/>
          <w:color w:val="262626"/>
          <w:spacing w:val="0"/>
          <w:szCs w:val="22"/>
        </w:rPr>
        <w:t xml:space="preserve">. </w:t>
      </w:r>
    </w:p>
    <w:p w:rsidR="00CB02F5" w:rsidRDefault="00CB02F5" w:rsidP="00CB02F5">
      <w:pPr>
        <w:keepLines/>
        <w:widowControl w:val="0"/>
        <w:autoSpaceDE w:val="0"/>
        <w:autoSpaceDN w:val="0"/>
        <w:adjustRightInd w:val="0"/>
        <w:rPr>
          <w:rFonts w:cstheme="minorHAnsi"/>
          <w:color w:val="262626"/>
          <w:spacing w:val="0"/>
          <w:szCs w:val="22"/>
        </w:rPr>
      </w:pPr>
    </w:p>
    <w:p w:rsidR="00CB02F5" w:rsidRPr="00AD7693" w:rsidRDefault="00CB02F5" w:rsidP="00CB02F5">
      <w:pPr>
        <w:keepLines/>
        <w:widowControl w:val="0"/>
        <w:autoSpaceDE w:val="0"/>
        <w:autoSpaceDN w:val="0"/>
        <w:adjustRightInd w:val="0"/>
        <w:rPr>
          <w:rFonts w:cstheme="minorHAnsi"/>
          <w:color w:val="262626"/>
          <w:spacing w:val="0"/>
          <w:szCs w:val="22"/>
        </w:rPr>
      </w:pPr>
      <w:r w:rsidRPr="00AD7693">
        <w:rPr>
          <w:rFonts w:cstheme="minorHAnsi"/>
          <w:color w:val="262626"/>
          <w:spacing w:val="0"/>
          <w:szCs w:val="22"/>
        </w:rPr>
        <w:t xml:space="preserve">Some examples of the work that FFRDCs </w:t>
      </w:r>
      <w:r>
        <w:rPr>
          <w:rFonts w:cstheme="minorHAnsi"/>
          <w:color w:val="262626"/>
          <w:spacing w:val="0"/>
          <w:szCs w:val="22"/>
        </w:rPr>
        <w:t xml:space="preserve">perform </w:t>
      </w:r>
      <w:r w:rsidRPr="00AD7693">
        <w:rPr>
          <w:rFonts w:cstheme="minorHAnsi"/>
          <w:color w:val="262626"/>
          <w:spacing w:val="0"/>
          <w:szCs w:val="22"/>
        </w:rPr>
        <w:t xml:space="preserve">that the Department of Energy does not </w:t>
      </w:r>
      <w:r>
        <w:rPr>
          <w:rFonts w:cstheme="minorHAnsi"/>
          <w:color w:val="262626"/>
          <w:spacing w:val="0"/>
          <w:szCs w:val="22"/>
        </w:rPr>
        <w:t xml:space="preserve">classify </w:t>
      </w:r>
      <w:r w:rsidRPr="00AD7693">
        <w:rPr>
          <w:rFonts w:cstheme="minorHAnsi"/>
          <w:color w:val="262626"/>
          <w:spacing w:val="0"/>
          <w:szCs w:val="22"/>
        </w:rPr>
        <w:t>as R&amp;D on the Fed</w:t>
      </w:r>
      <w:r>
        <w:rPr>
          <w:rFonts w:cstheme="minorHAnsi"/>
          <w:color w:val="262626"/>
          <w:spacing w:val="0"/>
          <w:szCs w:val="22"/>
        </w:rPr>
        <w:t xml:space="preserve">eral </w:t>
      </w:r>
      <w:r w:rsidRPr="00AD7693">
        <w:rPr>
          <w:rFonts w:cstheme="minorHAnsi"/>
          <w:color w:val="262626"/>
          <w:spacing w:val="0"/>
          <w:szCs w:val="22"/>
        </w:rPr>
        <w:t xml:space="preserve">Funds </w:t>
      </w:r>
      <w:r>
        <w:rPr>
          <w:rFonts w:cstheme="minorHAnsi"/>
          <w:color w:val="262626"/>
          <w:spacing w:val="0"/>
          <w:szCs w:val="22"/>
        </w:rPr>
        <w:t xml:space="preserve">survey </w:t>
      </w:r>
      <w:r w:rsidRPr="00AD7693">
        <w:rPr>
          <w:rFonts w:cstheme="minorHAnsi"/>
          <w:color w:val="262626"/>
          <w:spacing w:val="0"/>
          <w:szCs w:val="22"/>
        </w:rPr>
        <w:t>include environmental cleanup work done for the Department of Defense, nuclear nonproliferation, readiness in technical base</w:t>
      </w:r>
      <w:r>
        <w:rPr>
          <w:rFonts w:cstheme="minorHAnsi"/>
          <w:color w:val="262626"/>
          <w:spacing w:val="0"/>
          <w:szCs w:val="22"/>
        </w:rPr>
        <w:t>s</w:t>
      </w:r>
      <w:r w:rsidRPr="00AD7693">
        <w:rPr>
          <w:rFonts w:cstheme="minorHAnsi"/>
          <w:color w:val="262626"/>
          <w:spacing w:val="0"/>
          <w:szCs w:val="22"/>
        </w:rPr>
        <w:t xml:space="preserve"> and facilities, international nuclear energy cooperation, and </w:t>
      </w:r>
      <w:r>
        <w:rPr>
          <w:rFonts w:cstheme="minorHAnsi"/>
          <w:color w:val="262626"/>
          <w:spacing w:val="0"/>
          <w:szCs w:val="22"/>
        </w:rPr>
        <w:t>FFRDC</w:t>
      </w:r>
      <w:r w:rsidRPr="00AD7693">
        <w:rPr>
          <w:rFonts w:cstheme="minorHAnsi"/>
          <w:color w:val="262626"/>
          <w:spacing w:val="0"/>
          <w:szCs w:val="22"/>
        </w:rPr>
        <w:t xml:space="preserve"> management and security.  These programs have large appropriations in each of the FFRDC’s budgets. Other programs such as Electricity Delivery and Energy Reliability, Energy Efficiency and Renewable Energy, and Nuclear Energy have parts that the Department of Energy interprets as R&amp;D and others that it does not.</w:t>
      </w:r>
    </w:p>
    <w:p w:rsidR="00CB02F5" w:rsidRPr="00AD7693" w:rsidRDefault="00CB02F5" w:rsidP="00CB02F5">
      <w:pPr>
        <w:keepLines/>
        <w:widowControl w:val="0"/>
        <w:autoSpaceDE w:val="0"/>
        <w:autoSpaceDN w:val="0"/>
        <w:adjustRightInd w:val="0"/>
        <w:rPr>
          <w:rFonts w:cstheme="minorHAnsi"/>
          <w:color w:val="262626"/>
          <w:spacing w:val="0"/>
          <w:szCs w:val="22"/>
        </w:rPr>
      </w:pPr>
    </w:p>
    <w:p w:rsidR="00CB02F5" w:rsidRDefault="00CB02F5" w:rsidP="00CB02F5">
      <w:pPr>
        <w:keepLines/>
        <w:widowControl w:val="0"/>
        <w:autoSpaceDE w:val="0"/>
        <w:autoSpaceDN w:val="0"/>
        <w:adjustRightInd w:val="0"/>
        <w:rPr>
          <w:rFonts w:cstheme="minorHAnsi"/>
          <w:color w:val="262626"/>
          <w:spacing w:val="0"/>
          <w:szCs w:val="22"/>
        </w:rPr>
      </w:pPr>
      <w:r>
        <w:rPr>
          <w:rFonts w:cstheme="minorHAnsi"/>
          <w:color w:val="262626"/>
          <w:spacing w:val="0"/>
          <w:szCs w:val="22"/>
        </w:rPr>
        <w:t xml:space="preserve">The remaining FFRDC of the top five is the Jet Propulsion Laboratory (JPL) sponsored by NASA. Their respondent also confirmed they </w:t>
      </w:r>
      <w:r w:rsidR="00D03099">
        <w:rPr>
          <w:rFonts w:cstheme="minorHAnsi"/>
          <w:color w:val="262626"/>
          <w:spacing w:val="0"/>
          <w:szCs w:val="22"/>
        </w:rPr>
        <w:t xml:space="preserve">consider most of </w:t>
      </w:r>
      <w:r>
        <w:rPr>
          <w:rFonts w:cstheme="minorHAnsi"/>
          <w:color w:val="262626"/>
          <w:spacing w:val="0"/>
          <w:szCs w:val="22"/>
        </w:rPr>
        <w:t xml:space="preserve">their entire operating budget as R&amp;D. This includes what is known as Center Management and Operation (CMO) funding at NASA and covers a </w:t>
      </w:r>
      <w:r w:rsidRPr="00E945F6">
        <w:rPr>
          <w:rFonts w:cstheme="minorHAnsi"/>
          <w:color w:val="262626"/>
          <w:spacing w:val="0"/>
          <w:szCs w:val="22"/>
        </w:rPr>
        <w:t>variety of essential operations, including security, environmental management and safety services, facili</w:t>
      </w:r>
      <w:r>
        <w:rPr>
          <w:rFonts w:cstheme="minorHAnsi"/>
          <w:color w:val="262626"/>
          <w:spacing w:val="0"/>
          <w:szCs w:val="22"/>
        </w:rPr>
        <w:t xml:space="preserve">ty maintenance, and operations. They also include expenditures for their </w:t>
      </w:r>
      <w:r w:rsidRPr="00E945F6">
        <w:rPr>
          <w:rFonts w:cstheme="minorHAnsi"/>
          <w:color w:val="262626"/>
          <w:spacing w:val="0"/>
          <w:szCs w:val="22"/>
        </w:rPr>
        <w:t xml:space="preserve">scientific and technical support provided to </w:t>
      </w:r>
      <w:r>
        <w:rPr>
          <w:rFonts w:cstheme="minorHAnsi"/>
          <w:color w:val="262626"/>
          <w:spacing w:val="0"/>
          <w:szCs w:val="22"/>
        </w:rPr>
        <w:t>other</w:t>
      </w:r>
      <w:r w:rsidRPr="00E945F6">
        <w:rPr>
          <w:rFonts w:cstheme="minorHAnsi"/>
          <w:color w:val="262626"/>
          <w:spacing w:val="0"/>
          <w:szCs w:val="22"/>
        </w:rPr>
        <w:t xml:space="preserve"> federal agencies. </w:t>
      </w:r>
      <w:r>
        <w:rPr>
          <w:rFonts w:cstheme="minorHAnsi"/>
          <w:color w:val="262626"/>
          <w:spacing w:val="0"/>
          <w:szCs w:val="22"/>
        </w:rPr>
        <w:t>S</w:t>
      </w:r>
      <w:r w:rsidRPr="00E945F6">
        <w:rPr>
          <w:rFonts w:cstheme="minorHAnsi"/>
          <w:color w:val="262626"/>
          <w:spacing w:val="0"/>
          <w:szCs w:val="22"/>
        </w:rPr>
        <w:t xml:space="preserve">uch support is authorized via a contractual mechanism that operates under the prime contract with NASA. Given this contractual arrangement, other agencies </w:t>
      </w:r>
      <w:r>
        <w:rPr>
          <w:rFonts w:cstheme="minorHAnsi"/>
          <w:color w:val="262626"/>
          <w:spacing w:val="0"/>
          <w:szCs w:val="22"/>
        </w:rPr>
        <w:t>may be reporting</w:t>
      </w:r>
      <w:r w:rsidRPr="00E945F6">
        <w:rPr>
          <w:rFonts w:cstheme="minorHAnsi"/>
          <w:color w:val="262626"/>
          <w:spacing w:val="0"/>
          <w:szCs w:val="22"/>
        </w:rPr>
        <w:t xml:space="preserve"> it as R&amp;D funding </w:t>
      </w:r>
      <w:r>
        <w:rPr>
          <w:rFonts w:cstheme="minorHAnsi"/>
          <w:color w:val="262626"/>
          <w:spacing w:val="0"/>
          <w:szCs w:val="22"/>
        </w:rPr>
        <w:t>to NASA on the Federal Funds survey rather than funding to JPL, which</w:t>
      </w:r>
      <w:r w:rsidRPr="00E945F6">
        <w:rPr>
          <w:rFonts w:cstheme="minorHAnsi"/>
          <w:color w:val="262626"/>
          <w:spacing w:val="0"/>
          <w:szCs w:val="22"/>
        </w:rPr>
        <w:t xml:space="preserve"> might explain part of the difference.  </w:t>
      </w:r>
    </w:p>
    <w:p w:rsidR="00291811" w:rsidRDefault="00291811" w:rsidP="00CB02F5">
      <w:pPr>
        <w:keepLines/>
        <w:widowControl w:val="0"/>
        <w:autoSpaceDE w:val="0"/>
        <w:autoSpaceDN w:val="0"/>
        <w:adjustRightInd w:val="0"/>
        <w:rPr>
          <w:rFonts w:cstheme="minorHAnsi"/>
          <w:color w:val="262626"/>
          <w:spacing w:val="0"/>
          <w:szCs w:val="22"/>
        </w:rPr>
      </w:pPr>
    </w:p>
    <w:p w:rsidR="00A3711A" w:rsidRDefault="00291811" w:rsidP="00CB02F5">
      <w:pPr>
        <w:keepLines/>
        <w:widowControl w:val="0"/>
        <w:autoSpaceDE w:val="0"/>
        <w:autoSpaceDN w:val="0"/>
        <w:adjustRightInd w:val="0"/>
        <w:rPr>
          <w:rFonts w:cstheme="minorHAnsi"/>
          <w:color w:val="262626"/>
          <w:spacing w:val="0"/>
          <w:szCs w:val="22"/>
        </w:rPr>
      </w:pPr>
      <w:r>
        <w:rPr>
          <w:rFonts w:cstheme="minorHAnsi"/>
          <w:color w:val="262626"/>
          <w:spacing w:val="0"/>
          <w:szCs w:val="22"/>
        </w:rPr>
        <w:t>Therefore</w:t>
      </w:r>
      <w:r w:rsidR="00A3711A">
        <w:rPr>
          <w:rFonts w:cstheme="minorHAnsi"/>
          <w:color w:val="262626"/>
          <w:spacing w:val="0"/>
          <w:szCs w:val="22"/>
        </w:rPr>
        <w:t>,</w:t>
      </w:r>
      <w:r>
        <w:rPr>
          <w:rFonts w:cstheme="minorHAnsi"/>
          <w:color w:val="262626"/>
          <w:spacing w:val="0"/>
          <w:szCs w:val="22"/>
        </w:rPr>
        <w:t xml:space="preserve"> the differences for each of these FFRDCs </w:t>
      </w:r>
      <w:r w:rsidR="00A3711A">
        <w:rPr>
          <w:rFonts w:cstheme="minorHAnsi"/>
          <w:color w:val="262626"/>
          <w:spacing w:val="0"/>
          <w:szCs w:val="22"/>
        </w:rPr>
        <w:t>do not seem to be</w:t>
      </w:r>
      <w:r>
        <w:rPr>
          <w:rFonts w:cstheme="minorHAnsi"/>
          <w:color w:val="262626"/>
          <w:spacing w:val="0"/>
          <w:szCs w:val="22"/>
        </w:rPr>
        <w:t xml:space="preserve"> </w:t>
      </w:r>
      <w:r w:rsidR="00A3711A">
        <w:rPr>
          <w:rFonts w:cstheme="minorHAnsi"/>
          <w:color w:val="262626"/>
          <w:spacing w:val="0"/>
          <w:szCs w:val="22"/>
        </w:rPr>
        <w:t>caused by</w:t>
      </w:r>
      <w:r>
        <w:rPr>
          <w:rFonts w:cstheme="minorHAnsi"/>
          <w:color w:val="262626"/>
          <w:spacing w:val="0"/>
          <w:szCs w:val="22"/>
        </w:rPr>
        <w:t xml:space="preserve"> any error in coding but instead </w:t>
      </w:r>
      <w:r w:rsidR="00A3711A">
        <w:rPr>
          <w:rFonts w:cstheme="minorHAnsi"/>
          <w:color w:val="262626"/>
          <w:spacing w:val="0"/>
          <w:szCs w:val="22"/>
        </w:rPr>
        <w:t>are the result of</w:t>
      </w:r>
      <w:r>
        <w:rPr>
          <w:rFonts w:cstheme="minorHAnsi"/>
          <w:color w:val="262626"/>
          <w:spacing w:val="0"/>
          <w:szCs w:val="22"/>
        </w:rPr>
        <w:t xml:space="preserve"> a difference in interpretation. From the FFRDC’s perspective, it could be argued that </w:t>
      </w:r>
      <w:r w:rsidR="00A3711A">
        <w:rPr>
          <w:rFonts w:cstheme="minorHAnsi"/>
          <w:color w:val="262626"/>
          <w:spacing w:val="0"/>
          <w:szCs w:val="22"/>
        </w:rPr>
        <w:t>as</w:t>
      </w:r>
      <w:r>
        <w:rPr>
          <w:rFonts w:cstheme="minorHAnsi"/>
          <w:color w:val="262626"/>
          <w:spacing w:val="0"/>
          <w:szCs w:val="22"/>
        </w:rPr>
        <w:t xml:space="preserve"> their primary mission is to conduct R&amp;D for the government, </w:t>
      </w:r>
      <w:r w:rsidR="00D03099">
        <w:rPr>
          <w:rFonts w:cstheme="minorHAnsi"/>
          <w:color w:val="262626"/>
          <w:spacing w:val="0"/>
          <w:szCs w:val="22"/>
        </w:rPr>
        <w:t xml:space="preserve">much of </w:t>
      </w:r>
      <w:r w:rsidR="00A3711A">
        <w:rPr>
          <w:rFonts w:cstheme="minorHAnsi"/>
          <w:color w:val="262626"/>
          <w:spacing w:val="0"/>
          <w:szCs w:val="22"/>
        </w:rPr>
        <w:t>their entire</w:t>
      </w:r>
      <w:r>
        <w:rPr>
          <w:rFonts w:cstheme="minorHAnsi"/>
          <w:color w:val="262626"/>
          <w:spacing w:val="0"/>
          <w:szCs w:val="22"/>
        </w:rPr>
        <w:t xml:space="preserve"> operating budget is devoted to “activities specifically organized to produce R&amp;D outcomes.” </w:t>
      </w:r>
      <w:r w:rsidR="00A3711A">
        <w:rPr>
          <w:rFonts w:cstheme="minorHAnsi"/>
          <w:color w:val="262626"/>
          <w:spacing w:val="0"/>
          <w:szCs w:val="22"/>
        </w:rPr>
        <w:t xml:space="preserve"> The FFRDC survey also allows indirect costs associated with R&amp;D projects to be reported, which could reasonably include funding for facilities management and operations. </w:t>
      </w:r>
      <w:r>
        <w:rPr>
          <w:rFonts w:cstheme="minorHAnsi"/>
          <w:color w:val="262626"/>
          <w:spacing w:val="0"/>
          <w:szCs w:val="22"/>
        </w:rPr>
        <w:t xml:space="preserve"> </w:t>
      </w:r>
      <w:r w:rsidR="00A3711A">
        <w:rPr>
          <w:rFonts w:cstheme="minorHAnsi"/>
          <w:color w:val="262626"/>
          <w:spacing w:val="0"/>
          <w:szCs w:val="22"/>
        </w:rPr>
        <w:t xml:space="preserve">For the federal agencies, it seems that a much narrower definition of R&amp;D funding is used to classify obligations. </w:t>
      </w:r>
    </w:p>
    <w:p w:rsidR="00A3711A" w:rsidRDefault="00A3711A" w:rsidP="00CB02F5">
      <w:pPr>
        <w:keepLines/>
        <w:widowControl w:val="0"/>
        <w:autoSpaceDE w:val="0"/>
        <w:autoSpaceDN w:val="0"/>
        <w:adjustRightInd w:val="0"/>
        <w:rPr>
          <w:rFonts w:cstheme="minorHAnsi"/>
          <w:color w:val="262626"/>
          <w:spacing w:val="0"/>
          <w:szCs w:val="22"/>
        </w:rPr>
      </w:pPr>
    </w:p>
    <w:p w:rsidR="00291811" w:rsidRPr="00AD7693" w:rsidRDefault="00A3711A" w:rsidP="00CB02F5">
      <w:pPr>
        <w:keepLines/>
        <w:widowControl w:val="0"/>
        <w:autoSpaceDE w:val="0"/>
        <w:autoSpaceDN w:val="0"/>
        <w:adjustRightInd w:val="0"/>
        <w:rPr>
          <w:rFonts w:cstheme="minorHAnsi"/>
          <w:color w:val="262626"/>
          <w:spacing w:val="0"/>
          <w:szCs w:val="22"/>
        </w:rPr>
      </w:pPr>
      <w:r>
        <w:rPr>
          <w:rFonts w:cstheme="minorHAnsi"/>
          <w:color w:val="262626"/>
          <w:spacing w:val="0"/>
          <w:szCs w:val="22"/>
        </w:rPr>
        <w:t>In order to resolve these differences we will need to decide which interpretation is more reasonable and provide clearer guidance to either the FFRDCs or the federal agencies in order to achieve more consistent results across the two surveys.</w:t>
      </w:r>
    </w:p>
    <w:p w:rsidR="00CB02F5" w:rsidRPr="00AD7693" w:rsidRDefault="00CB02F5" w:rsidP="00CB02F5">
      <w:pPr>
        <w:keepLines/>
        <w:widowControl w:val="0"/>
        <w:autoSpaceDE w:val="0"/>
        <w:autoSpaceDN w:val="0"/>
        <w:adjustRightInd w:val="0"/>
        <w:rPr>
          <w:rFonts w:cstheme="minorHAnsi"/>
          <w:color w:val="262626"/>
          <w:spacing w:val="0"/>
          <w:szCs w:val="22"/>
        </w:rPr>
      </w:pPr>
    </w:p>
    <w:p w:rsidR="009E28B6" w:rsidRDefault="009E28B6" w:rsidP="00FC047B">
      <w:pPr>
        <w:keepLines/>
        <w:widowControl w:val="0"/>
        <w:autoSpaceDE w:val="0"/>
        <w:autoSpaceDN w:val="0"/>
        <w:adjustRightInd w:val="0"/>
        <w:rPr>
          <w:rFonts w:cstheme="minorHAnsi"/>
          <w:color w:val="262626"/>
          <w:spacing w:val="0"/>
          <w:szCs w:val="22"/>
        </w:rPr>
      </w:pPr>
    </w:p>
    <w:sectPr w:rsidR="009E28B6" w:rsidSect="00F23040">
      <w:footerReference w:type="even" r:id="rId9"/>
      <w:footerReference w:type="default" r:id="rId10"/>
      <w:pgSz w:w="12240" w:h="15840" w:code="1"/>
      <w:pgMar w:top="965" w:right="1800" w:bottom="1152" w:left="965" w:header="720"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C4" w:rsidRDefault="00AF2DC4">
      <w:r>
        <w:separator/>
      </w:r>
    </w:p>
  </w:endnote>
  <w:endnote w:type="continuationSeparator" w:id="0">
    <w:p w:rsidR="00AF2DC4" w:rsidRDefault="00AF2DC4">
      <w:r>
        <w:continuationSeparator/>
      </w:r>
    </w:p>
  </w:endnote>
  <w:endnote w:id="1">
    <w:p w:rsidR="00E11AB7" w:rsidRDefault="00E11AB7" w:rsidP="00055AB4">
      <w:pPr>
        <w:pStyle w:val="NormalWeb"/>
        <w:ind w:left="720"/>
        <w:rPr>
          <w:rFonts w:ascii="Arial" w:hAnsi="Arial" w:cs="Arial"/>
          <w:sz w:val="20"/>
          <w:szCs w:val="20"/>
        </w:rPr>
      </w:pPr>
      <w:r>
        <w:rPr>
          <w:rStyle w:val="EndnoteReference"/>
        </w:rPr>
        <w:endnoteRef/>
      </w:r>
      <w:r>
        <w:t xml:space="preserve"> </w:t>
      </w:r>
      <w:r>
        <w:rPr>
          <w:rFonts w:ascii="Arial" w:hAnsi="Arial" w:cs="Arial"/>
          <w:sz w:val="20"/>
          <w:szCs w:val="20"/>
        </w:rPr>
        <w:t>There is a time lag between when funds are obligated by federal agencies and when research funds are actually spent (and reported) by the FFRDCs.  Many federal awards are drawn down in increments over the length of the project and span multiple years.</w:t>
      </w:r>
    </w:p>
    <w:p w:rsidR="00E11AB7" w:rsidRDefault="00E11AB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B7" w:rsidRDefault="00E11A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1AB7" w:rsidRDefault="00E11AB7">
    <w:pPr>
      <w:pStyle w:val="Footer"/>
    </w:pPr>
  </w:p>
  <w:p w:rsidR="00E11AB7" w:rsidRDefault="00E11A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B7" w:rsidRPr="0088185F" w:rsidRDefault="00E11AB7" w:rsidP="0088185F">
    <w:pPr>
      <w:pStyle w:val="Footer"/>
    </w:pPr>
    <w:r w:rsidRPr="0088185F">
      <w:rPr>
        <w:rStyle w:val="PageNumber"/>
      </w:rPr>
      <w:fldChar w:fldCharType="begin"/>
    </w:r>
    <w:r w:rsidRPr="0088185F">
      <w:rPr>
        <w:rStyle w:val="PageNumber"/>
      </w:rPr>
      <w:instrText xml:space="preserve"> PAGE </w:instrText>
    </w:r>
    <w:r w:rsidRPr="0088185F">
      <w:rPr>
        <w:rStyle w:val="PageNumber"/>
      </w:rPr>
      <w:fldChar w:fldCharType="separate"/>
    </w:r>
    <w:r w:rsidR="001867C8">
      <w:rPr>
        <w:rStyle w:val="PageNumber"/>
        <w:noProof/>
      </w:rPr>
      <w:t>3</w:t>
    </w:r>
    <w:r w:rsidRPr="0088185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C4" w:rsidRDefault="00AF2DC4">
      <w:r>
        <w:separator/>
      </w:r>
    </w:p>
  </w:footnote>
  <w:footnote w:type="continuationSeparator" w:id="0">
    <w:p w:rsidR="00AF2DC4" w:rsidRDefault="00AF2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F31670"/>
    <w:multiLevelType w:val="hybridMultilevel"/>
    <w:tmpl w:val="0C1E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9260D"/>
    <w:multiLevelType w:val="hybridMultilevel"/>
    <w:tmpl w:val="7C8EBDB2"/>
    <w:lvl w:ilvl="0" w:tplc="962A3F5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33"/>
    <w:rsid w:val="00055AB4"/>
    <w:rsid w:val="001867C8"/>
    <w:rsid w:val="00190D8C"/>
    <w:rsid w:val="00253724"/>
    <w:rsid w:val="0026211B"/>
    <w:rsid w:val="00291811"/>
    <w:rsid w:val="002A3F14"/>
    <w:rsid w:val="00395810"/>
    <w:rsid w:val="00407009"/>
    <w:rsid w:val="004325A6"/>
    <w:rsid w:val="00440104"/>
    <w:rsid w:val="004801D2"/>
    <w:rsid w:val="004A6DCE"/>
    <w:rsid w:val="004B66B7"/>
    <w:rsid w:val="004D5E10"/>
    <w:rsid w:val="004E4E6A"/>
    <w:rsid w:val="004F2030"/>
    <w:rsid w:val="00535458"/>
    <w:rsid w:val="00540624"/>
    <w:rsid w:val="00567958"/>
    <w:rsid w:val="00582FB3"/>
    <w:rsid w:val="005E6F59"/>
    <w:rsid w:val="006460D4"/>
    <w:rsid w:val="00646236"/>
    <w:rsid w:val="006917B6"/>
    <w:rsid w:val="006A047A"/>
    <w:rsid w:val="006D2806"/>
    <w:rsid w:val="007017DC"/>
    <w:rsid w:val="00761E68"/>
    <w:rsid w:val="007E2592"/>
    <w:rsid w:val="007E6A33"/>
    <w:rsid w:val="007E7915"/>
    <w:rsid w:val="00822CA5"/>
    <w:rsid w:val="0083186C"/>
    <w:rsid w:val="00862A50"/>
    <w:rsid w:val="00864820"/>
    <w:rsid w:val="0088185F"/>
    <w:rsid w:val="008C5ED7"/>
    <w:rsid w:val="0093603E"/>
    <w:rsid w:val="00965314"/>
    <w:rsid w:val="0098278F"/>
    <w:rsid w:val="009966A8"/>
    <w:rsid w:val="009975B5"/>
    <w:rsid w:val="009E28B6"/>
    <w:rsid w:val="00A055EA"/>
    <w:rsid w:val="00A14F37"/>
    <w:rsid w:val="00A3711A"/>
    <w:rsid w:val="00A37B17"/>
    <w:rsid w:val="00A4080F"/>
    <w:rsid w:val="00A87FEF"/>
    <w:rsid w:val="00AC264F"/>
    <w:rsid w:val="00AD7693"/>
    <w:rsid w:val="00AF2DC4"/>
    <w:rsid w:val="00B86E7D"/>
    <w:rsid w:val="00B9351C"/>
    <w:rsid w:val="00C110E6"/>
    <w:rsid w:val="00C92A1E"/>
    <w:rsid w:val="00C93695"/>
    <w:rsid w:val="00CB02F5"/>
    <w:rsid w:val="00D03099"/>
    <w:rsid w:val="00D202C8"/>
    <w:rsid w:val="00D27FA9"/>
    <w:rsid w:val="00D80AF0"/>
    <w:rsid w:val="00D81E9E"/>
    <w:rsid w:val="00DA42EB"/>
    <w:rsid w:val="00E0003B"/>
    <w:rsid w:val="00E11AB7"/>
    <w:rsid w:val="00E442BF"/>
    <w:rsid w:val="00E90925"/>
    <w:rsid w:val="00E945F6"/>
    <w:rsid w:val="00EA2037"/>
    <w:rsid w:val="00EA7D3C"/>
    <w:rsid w:val="00EB110A"/>
    <w:rsid w:val="00F0114C"/>
    <w:rsid w:val="00F23040"/>
    <w:rsid w:val="00F9107A"/>
    <w:rsid w:val="00FC047B"/>
    <w:rsid w:val="00FD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185F"/>
    <w:rPr>
      <w:rFonts w:asciiTheme="minorHAnsi" w:hAnsiTheme="minorHAnsi"/>
      <w:spacing w:val="-5"/>
      <w:sz w:val="22"/>
    </w:rPr>
  </w:style>
  <w:style w:type="paragraph" w:styleId="Heading1">
    <w:name w:val="heading 1"/>
    <w:basedOn w:val="Normal"/>
    <w:next w:val="Normal"/>
    <w:qFormat/>
    <w:rsid w:val="004A6DCE"/>
    <w:pPr>
      <w:keepNext/>
      <w:keepLines/>
      <w:outlineLvl w:val="0"/>
    </w:pPr>
    <w:rPr>
      <w:rFonts w:asciiTheme="majorHAnsi" w:hAnsiTheme="majorHAnsi"/>
      <w:b/>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185F"/>
    <w:pPr>
      <w:spacing w:before="220" w:line="180" w:lineRule="atLeast"/>
      <w:ind w:left="720"/>
      <w:jc w:val="both"/>
    </w:p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E0003B"/>
    <w:pPr>
      <w:keepLines/>
      <w:spacing w:line="320" w:lineRule="exact"/>
      <w:jc w:val="center"/>
    </w:pPr>
    <w:rPr>
      <w:rFonts w:asciiTheme="majorHAnsi" w:hAnsiTheme="majorHAnsi"/>
      <w:color w:val="FFFFFF" w:themeColor="background1"/>
      <w:spacing w:val="-15"/>
      <w:sz w:val="32"/>
    </w:rPr>
  </w:style>
  <w:style w:type="table" w:styleId="TableGrid">
    <w:name w:val="Table Grid"/>
    <w:basedOn w:val="TableNormal"/>
    <w:uiPriority w:val="59"/>
    <w:rsid w:val="004A6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semiHidden/>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4A6DCE"/>
    <w:pPr>
      <w:keepNext/>
      <w:keepLines/>
      <w:spacing w:before="400" w:after="120" w:line="240" w:lineRule="atLeast"/>
    </w:pPr>
    <w:rPr>
      <w:rFonts w:asciiTheme="majorHAnsi" w:hAnsiTheme="majorHAnsi"/>
      <w:b/>
      <w:kern w:val="28"/>
      <w:sz w:val="108"/>
    </w:rPr>
  </w:style>
  <w:style w:type="character" w:customStyle="1" w:styleId="TitleChar">
    <w:name w:val="Title Char"/>
    <w:basedOn w:val="DefaultParagraphFont"/>
    <w:link w:val="Title"/>
    <w:uiPriority w:val="10"/>
    <w:rsid w:val="004A6DCE"/>
    <w:rPr>
      <w:rFonts w:asciiTheme="majorHAnsi" w:hAnsiTheme="majorHAnsi"/>
      <w:b/>
      <w:spacing w:val="-5"/>
      <w:kern w:val="28"/>
      <w:sz w:val="10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88185F"/>
    <w:rPr>
      <w:rFonts w:asciiTheme="minorHAnsi" w:hAnsiTheme="minorHAnsi"/>
      <w:spacing w:val="-5"/>
      <w:sz w:val="22"/>
    </w:rPr>
  </w:style>
  <w:style w:type="paragraph" w:styleId="EndnoteText">
    <w:name w:val="endnote text"/>
    <w:basedOn w:val="Normal"/>
    <w:link w:val="EndnoteTextChar"/>
    <w:uiPriority w:val="99"/>
    <w:unhideWhenUsed/>
    <w:rsid w:val="009975B5"/>
    <w:rPr>
      <w:sz w:val="24"/>
      <w:szCs w:val="24"/>
    </w:rPr>
  </w:style>
  <w:style w:type="character" w:customStyle="1" w:styleId="EndnoteTextChar">
    <w:name w:val="Endnote Text Char"/>
    <w:basedOn w:val="DefaultParagraphFont"/>
    <w:link w:val="EndnoteText"/>
    <w:uiPriority w:val="99"/>
    <w:rsid w:val="009975B5"/>
    <w:rPr>
      <w:rFonts w:asciiTheme="minorHAnsi" w:hAnsiTheme="minorHAnsi"/>
      <w:spacing w:val="-5"/>
      <w:sz w:val="24"/>
      <w:szCs w:val="24"/>
    </w:rPr>
  </w:style>
  <w:style w:type="character" w:styleId="EndnoteReference">
    <w:name w:val="endnote reference"/>
    <w:basedOn w:val="DefaultParagraphFont"/>
    <w:uiPriority w:val="99"/>
    <w:unhideWhenUsed/>
    <w:rsid w:val="009975B5"/>
    <w:rPr>
      <w:vertAlign w:val="superscript"/>
    </w:rPr>
  </w:style>
  <w:style w:type="paragraph" w:styleId="NormalWeb">
    <w:name w:val="Normal (Web)"/>
    <w:basedOn w:val="Normal"/>
    <w:uiPriority w:val="99"/>
    <w:unhideWhenUsed/>
    <w:rsid w:val="00582FB3"/>
    <w:pPr>
      <w:spacing w:before="100" w:beforeAutospacing="1" w:after="100" w:afterAutospacing="1"/>
    </w:pPr>
    <w:rPr>
      <w:rFonts w:ascii="Times New Roman" w:eastAsiaTheme="minorHAnsi" w:hAnsi="Times New Roman"/>
      <w:spacing w:val="0"/>
      <w:sz w:val="24"/>
      <w:szCs w:val="24"/>
    </w:rPr>
  </w:style>
  <w:style w:type="paragraph" w:styleId="ListParagraph">
    <w:name w:val="List Paragraph"/>
    <w:basedOn w:val="Normal"/>
    <w:uiPriority w:val="34"/>
    <w:unhideWhenUsed/>
    <w:qFormat/>
    <w:rsid w:val="005E6F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185F"/>
    <w:rPr>
      <w:rFonts w:asciiTheme="minorHAnsi" w:hAnsiTheme="minorHAnsi"/>
      <w:spacing w:val="-5"/>
      <w:sz w:val="22"/>
    </w:rPr>
  </w:style>
  <w:style w:type="paragraph" w:styleId="Heading1">
    <w:name w:val="heading 1"/>
    <w:basedOn w:val="Normal"/>
    <w:next w:val="Normal"/>
    <w:qFormat/>
    <w:rsid w:val="004A6DCE"/>
    <w:pPr>
      <w:keepNext/>
      <w:keepLines/>
      <w:outlineLvl w:val="0"/>
    </w:pPr>
    <w:rPr>
      <w:rFonts w:asciiTheme="majorHAnsi" w:hAnsiTheme="majorHAnsi"/>
      <w:b/>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185F"/>
    <w:pPr>
      <w:spacing w:before="220" w:line="180" w:lineRule="atLeast"/>
      <w:ind w:left="720"/>
      <w:jc w:val="both"/>
    </w:p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E0003B"/>
    <w:pPr>
      <w:keepLines/>
      <w:spacing w:line="320" w:lineRule="exact"/>
      <w:jc w:val="center"/>
    </w:pPr>
    <w:rPr>
      <w:rFonts w:asciiTheme="majorHAnsi" w:hAnsiTheme="majorHAnsi"/>
      <w:color w:val="FFFFFF" w:themeColor="background1"/>
      <w:spacing w:val="-15"/>
      <w:sz w:val="32"/>
    </w:rPr>
  </w:style>
  <w:style w:type="table" w:styleId="TableGrid">
    <w:name w:val="Table Grid"/>
    <w:basedOn w:val="TableNormal"/>
    <w:uiPriority w:val="59"/>
    <w:rsid w:val="004A6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semiHidden/>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4A6DCE"/>
    <w:pPr>
      <w:keepNext/>
      <w:keepLines/>
      <w:spacing w:before="400" w:after="120" w:line="240" w:lineRule="atLeast"/>
    </w:pPr>
    <w:rPr>
      <w:rFonts w:asciiTheme="majorHAnsi" w:hAnsiTheme="majorHAnsi"/>
      <w:b/>
      <w:kern w:val="28"/>
      <w:sz w:val="108"/>
    </w:rPr>
  </w:style>
  <w:style w:type="character" w:customStyle="1" w:styleId="TitleChar">
    <w:name w:val="Title Char"/>
    <w:basedOn w:val="DefaultParagraphFont"/>
    <w:link w:val="Title"/>
    <w:uiPriority w:val="10"/>
    <w:rsid w:val="004A6DCE"/>
    <w:rPr>
      <w:rFonts w:asciiTheme="majorHAnsi" w:hAnsiTheme="majorHAnsi"/>
      <w:b/>
      <w:spacing w:val="-5"/>
      <w:kern w:val="28"/>
      <w:sz w:val="10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88185F"/>
    <w:rPr>
      <w:rFonts w:asciiTheme="minorHAnsi" w:hAnsiTheme="minorHAnsi"/>
      <w:spacing w:val="-5"/>
      <w:sz w:val="22"/>
    </w:rPr>
  </w:style>
  <w:style w:type="paragraph" w:styleId="EndnoteText">
    <w:name w:val="endnote text"/>
    <w:basedOn w:val="Normal"/>
    <w:link w:val="EndnoteTextChar"/>
    <w:uiPriority w:val="99"/>
    <w:unhideWhenUsed/>
    <w:rsid w:val="009975B5"/>
    <w:rPr>
      <w:sz w:val="24"/>
      <w:szCs w:val="24"/>
    </w:rPr>
  </w:style>
  <w:style w:type="character" w:customStyle="1" w:styleId="EndnoteTextChar">
    <w:name w:val="Endnote Text Char"/>
    <w:basedOn w:val="DefaultParagraphFont"/>
    <w:link w:val="EndnoteText"/>
    <w:uiPriority w:val="99"/>
    <w:rsid w:val="009975B5"/>
    <w:rPr>
      <w:rFonts w:asciiTheme="minorHAnsi" w:hAnsiTheme="minorHAnsi"/>
      <w:spacing w:val="-5"/>
      <w:sz w:val="24"/>
      <w:szCs w:val="24"/>
    </w:rPr>
  </w:style>
  <w:style w:type="character" w:styleId="EndnoteReference">
    <w:name w:val="endnote reference"/>
    <w:basedOn w:val="DefaultParagraphFont"/>
    <w:uiPriority w:val="99"/>
    <w:unhideWhenUsed/>
    <w:rsid w:val="009975B5"/>
    <w:rPr>
      <w:vertAlign w:val="superscript"/>
    </w:rPr>
  </w:style>
  <w:style w:type="paragraph" w:styleId="NormalWeb">
    <w:name w:val="Normal (Web)"/>
    <w:basedOn w:val="Normal"/>
    <w:uiPriority w:val="99"/>
    <w:unhideWhenUsed/>
    <w:rsid w:val="00582FB3"/>
    <w:pPr>
      <w:spacing w:before="100" w:beforeAutospacing="1" w:after="100" w:afterAutospacing="1"/>
    </w:pPr>
    <w:rPr>
      <w:rFonts w:ascii="Times New Roman" w:eastAsiaTheme="minorHAnsi" w:hAnsi="Times New Roman"/>
      <w:spacing w:val="0"/>
      <w:sz w:val="24"/>
      <w:szCs w:val="24"/>
    </w:rPr>
  </w:style>
  <w:style w:type="paragraph" w:styleId="ListParagraph">
    <w:name w:val="List Paragraph"/>
    <w:basedOn w:val="Normal"/>
    <w:uiPriority w:val="34"/>
    <w:unhideWhenUsed/>
    <w:qFormat/>
    <w:rsid w:val="005E6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415">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723916136">
      <w:bodyDiv w:val="1"/>
      <w:marLeft w:val="0"/>
      <w:marRight w:val="0"/>
      <w:marTop w:val="0"/>
      <w:marBottom w:val="0"/>
      <w:divBdr>
        <w:top w:val="none" w:sz="0" w:space="0" w:color="auto"/>
        <w:left w:val="none" w:sz="0" w:space="0" w:color="auto"/>
        <w:bottom w:val="none" w:sz="0" w:space="0" w:color="auto"/>
        <w:right w:val="none" w:sz="0" w:space="0" w:color="auto"/>
      </w:divBdr>
    </w:div>
    <w:div w:id="1021276123">
      <w:bodyDiv w:val="1"/>
      <w:marLeft w:val="0"/>
      <w:marRight w:val="0"/>
      <w:marTop w:val="0"/>
      <w:marBottom w:val="0"/>
      <w:divBdr>
        <w:top w:val="none" w:sz="0" w:space="0" w:color="auto"/>
        <w:left w:val="none" w:sz="0" w:space="0" w:color="auto"/>
        <w:bottom w:val="none" w:sz="0" w:space="0" w:color="auto"/>
        <w:right w:val="none" w:sz="0" w:space="0" w:color="auto"/>
      </w:divBdr>
    </w:div>
    <w:div w:id="1265068448">
      <w:bodyDiv w:val="1"/>
      <w:marLeft w:val="0"/>
      <w:marRight w:val="0"/>
      <w:marTop w:val="0"/>
      <w:marBottom w:val="0"/>
      <w:divBdr>
        <w:top w:val="none" w:sz="0" w:space="0" w:color="auto"/>
        <w:left w:val="none" w:sz="0" w:space="0" w:color="auto"/>
        <w:bottom w:val="none" w:sz="0" w:space="0" w:color="auto"/>
        <w:right w:val="none" w:sz="0" w:space="0" w:color="auto"/>
      </w:divBdr>
    </w:div>
    <w:div w:id="1339309384">
      <w:bodyDiv w:val="1"/>
      <w:marLeft w:val="0"/>
      <w:marRight w:val="0"/>
      <w:marTop w:val="0"/>
      <w:marBottom w:val="0"/>
      <w:divBdr>
        <w:top w:val="none" w:sz="0" w:space="0" w:color="auto"/>
        <w:left w:val="none" w:sz="0" w:space="0" w:color="auto"/>
        <w:bottom w:val="none" w:sz="0" w:space="0" w:color="auto"/>
        <w:right w:val="none" w:sz="0" w:space="0" w:color="auto"/>
      </w:divBdr>
    </w:div>
    <w:div w:id="1918204169">
      <w:bodyDiv w:val="1"/>
      <w:marLeft w:val="0"/>
      <w:marRight w:val="0"/>
      <w:marTop w:val="0"/>
      <w:marBottom w:val="0"/>
      <w:divBdr>
        <w:top w:val="none" w:sz="0" w:space="0" w:color="auto"/>
        <w:left w:val="none" w:sz="0" w:space="0" w:color="auto"/>
        <w:bottom w:val="none" w:sz="0" w:space="0" w:color="auto"/>
        <w:right w:val="none" w:sz="0" w:space="0" w:color="auto"/>
      </w:divBdr>
    </w:div>
    <w:div w:id="19309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FC4650F8FDE949BC727CEA447E9D49"/>
        <w:category>
          <w:name w:val="General"/>
          <w:gallery w:val="placeholder"/>
        </w:category>
        <w:types>
          <w:type w:val="bbPlcHdr"/>
        </w:types>
        <w:behaviors>
          <w:behavior w:val="content"/>
        </w:behaviors>
        <w:guid w:val="{FB7CE709-21B3-B546-87C3-CD78AE99D1DE}"/>
      </w:docPartPr>
      <w:docPartBody>
        <w:p w:rsidR="0062796B" w:rsidRDefault="0062796B">
          <w:pPr>
            <w:pStyle w:val="03FC4650F8FDE949BC727CEA447E9D4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6B"/>
    <w:rsid w:val="000F225E"/>
    <w:rsid w:val="00215EA6"/>
    <w:rsid w:val="005116DD"/>
    <w:rsid w:val="0062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DC5643B61204187938286029585B6">
    <w:name w:val="370DC5643B61204187938286029585B6"/>
  </w:style>
  <w:style w:type="paragraph" w:customStyle="1" w:styleId="22C9CDC49571C1429D3C447F81ED7A57">
    <w:name w:val="22C9CDC49571C1429D3C447F81ED7A57"/>
  </w:style>
  <w:style w:type="paragraph" w:customStyle="1" w:styleId="32F6C14EFB57844EA69BE2B090FB9C10">
    <w:name w:val="32F6C14EFB57844EA69BE2B090FB9C10"/>
  </w:style>
  <w:style w:type="paragraph" w:customStyle="1" w:styleId="173FFD14C168FE4688B0EBB369C7FD53">
    <w:name w:val="173FFD14C168FE4688B0EBB369C7FD53"/>
  </w:style>
  <w:style w:type="paragraph" w:customStyle="1" w:styleId="03FC4650F8FDE949BC727CEA447E9D49">
    <w:name w:val="03FC4650F8FDE949BC727CEA447E9D49"/>
  </w:style>
  <w:style w:type="paragraph" w:customStyle="1" w:styleId="EAE10F2160D6B24390612F5455BF3A04">
    <w:name w:val="EAE10F2160D6B24390612F5455BF3A04"/>
  </w:style>
  <w:style w:type="paragraph" w:customStyle="1" w:styleId="75DF683FC5B11A4D8B03EB81E72CA8E7">
    <w:name w:val="75DF683FC5B11A4D8B03EB81E72CA8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DC5643B61204187938286029585B6">
    <w:name w:val="370DC5643B61204187938286029585B6"/>
  </w:style>
  <w:style w:type="paragraph" w:customStyle="1" w:styleId="22C9CDC49571C1429D3C447F81ED7A57">
    <w:name w:val="22C9CDC49571C1429D3C447F81ED7A57"/>
  </w:style>
  <w:style w:type="paragraph" w:customStyle="1" w:styleId="32F6C14EFB57844EA69BE2B090FB9C10">
    <w:name w:val="32F6C14EFB57844EA69BE2B090FB9C10"/>
  </w:style>
  <w:style w:type="paragraph" w:customStyle="1" w:styleId="173FFD14C168FE4688B0EBB369C7FD53">
    <w:name w:val="173FFD14C168FE4688B0EBB369C7FD53"/>
  </w:style>
  <w:style w:type="paragraph" w:customStyle="1" w:styleId="03FC4650F8FDE949BC727CEA447E9D49">
    <w:name w:val="03FC4650F8FDE949BC727CEA447E9D49"/>
  </w:style>
  <w:style w:type="paragraph" w:customStyle="1" w:styleId="EAE10F2160D6B24390612F5455BF3A04">
    <w:name w:val="EAE10F2160D6B24390612F5455BF3A04"/>
  </w:style>
  <w:style w:type="paragraph" w:customStyle="1" w:styleId="75DF683FC5B11A4D8B03EB81E72CA8E7">
    <w:name w:val="75DF683FC5B11A4D8B03EB81E72CA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F78E39-EDF4-4463-886C-A227B1A9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8619</Characters>
  <Application>Microsoft Office Word</Application>
  <DocSecurity>4</DocSecurity>
  <Lines>143</Lines>
  <Paragraphs>114</Paragraphs>
  <ScaleCrop>false</ScaleCrop>
  <HeadingPairs>
    <vt:vector size="2" baseType="variant">
      <vt:variant>
        <vt:lpstr>Title</vt:lpstr>
      </vt:variant>
      <vt:variant>
        <vt:i4>1</vt:i4>
      </vt:variant>
    </vt:vector>
  </HeadingPairs>
  <TitlesOfParts>
    <vt:vector size="1" baseType="lpstr">
      <vt:lpstr>Memo (Professional design)</vt:lpstr>
    </vt:vector>
  </TitlesOfParts>
  <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(Professional design)</dc:title>
  <dc:creator>Ronda Britt</dc:creator>
  <cp:lastModifiedBy>Plimpton, Suzanne H.</cp:lastModifiedBy>
  <cp:revision>2</cp:revision>
  <dcterms:created xsi:type="dcterms:W3CDTF">2013-09-13T20:14:00Z</dcterms:created>
  <dcterms:modified xsi:type="dcterms:W3CDTF">2013-09-13T20:14:00Z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