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6C" w:rsidRPr="00D07FFE" w:rsidRDefault="00A24E6C" w:rsidP="00A24E6C">
      <w:pPr>
        <w:pStyle w:val="Default"/>
        <w:jc w:val="center"/>
        <w:rPr>
          <w:sz w:val="22"/>
          <w:szCs w:val="22"/>
        </w:rPr>
      </w:pPr>
      <w:r w:rsidRPr="00D07FFE">
        <w:rPr>
          <w:sz w:val="22"/>
          <w:szCs w:val="22"/>
        </w:rPr>
        <w:t>OMB SUPPORTING STATEMENT FOR</w:t>
      </w:r>
    </w:p>
    <w:p w:rsidR="00A24E6C" w:rsidRPr="00D07FFE" w:rsidRDefault="00A24E6C" w:rsidP="00A24E6C">
      <w:pPr>
        <w:pStyle w:val="Default"/>
        <w:jc w:val="center"/>
        <w:rPr>
          <w:sz w:val="22"/>
          <w:szCs w:val="22"/>
        </w:rPr>
      </w:pPr>
      <w:r w:rsidRPr="00D07FFE">
        <w:rPr>
          <w:sz w:val="22"/>
          <w:szCs w:val="22"/>
        </w:rPr>
        <w:t xml:space="preserve">FINAL RULE REVISIONS TO 10 CFR </w:t>
      </w:r>
      <w:proofErr w:type="gramStart"/>
      <w:r w:rsidRPr="00D07FFE">
        <w:rPr>
          <w:sz w:val="22"/>
          <w:szCs w:val="22"/>
        </w:rPr>
        <w:t>PART</w:t>
      </w:r>
      <w:proofErr w:type="gramEnd"/>
      <w:r w:rsidRPr="00D07FFE">
        <w:rPr>
          <w:sz w:val="22"/>
          <w:szCs w:val="22"/>
        </w:rPr>
        <w:t> 51</w:t>
      </w:r>
      <w:r w:rsidR="00AE47E2">
        <w:rPr>
          <w:sz w:val="22"/>
          <w:szCs w:val="22"/>
        </w:rPr>
        <w:t>,</w:t>
      </w:r>
    </w:p>
    <w:p w:rsidR="00A24E6C" w:rsidRPr="00D07FFE" w:rsidRDefault="00AE47E2" w:rsidP="00A24E6C">
      <w:pPr>
        <w:pStyle w:val="Default"/>
        <w:jc w:val="center"/>
        <w:rPr>
          <w:sz w:val="22"/>
          <w:szCs w:val="22"/>
        </w:rPr>
      </w:pPr>
      <w:r>
        <w:rPr>
          <w:sz w:val="22"/>
          <w:szCs w:val="22"/>
        </w:rPr>
        <w:t xml:space="preserve">REVISIONS TO </w:t>
      </w:r>
      <w:r w:rsidR="00A24E6C" w:rsidRPr="00D07FFE">
        <w:rPr>
          <w:sz w:val="22"/>
          <w:szCs w:val="22"/>
        </w:rPr>
        <w:t>ENVIRONMENTAL REVIEW FOR RENEWAL OF</w:t>
      </w:r>
    </w:p>
    <w:p w:rsidR="00A24E6C" w:rsidRPr="00D07FFE" w:rsidRDefault="00A24E6C" w:rsidP="00A24E6C">
      <w:pPr>
        <w:pStyle w:val="Default"/>
        <w:jc w:val="center"/>
        <w:rPr>
          <w:sz w:val="22"/>
          <w:szCs w:val="22"/>
        </w:rPr>
      </w:pPr>
      <w:r w:rsidRPr="00D07FFE">
        <w:rPr>
          <w:sz w:val="22"/>
          <w:szCs w:val="22"/>
        </w:rPr>
        <w:t xml:space="preserve">NUCLEAR POWER PLANT OPERATING LICENSES </w:t>
      </w:r>
    </w:p>
    <w:p w:rsidR="00A24E6C" w:rsidRDefault="00A24E6C" w:rsidP="00A24E6C">
      <w:pPr>
        <w:pStyle w:val="Default"/>
        <w:jc w:val="center"/>
        <w:rPr>
          <w:sz w:val="22"/>
          <w:szCs w:val="22"/>
        </w:rPr>
      </w:pPr>
      <w:r w:rsidRPr="00D07FFE">
        <w:rPr>
          <w:sz w:val="22"/>
          <w:szCs w:val="22"/>
        </w:rPr>
        <w:t>(OMB Clearance No</w:t>
      </w:r>
      <w:r w:rsidRPr="00AE1EDD">
        <w:rPr>
          <w:sz w:val="22"/>
          <w:szCs w:val="22"/>
        </w:rPr>
        <w:t>. 3150-</w:t>
      </w:r>
      <w:r w:rsidR="006679BD">
        <w:rPr>
          <w:sz w:val="22"/>
          <w:szCs w:val="22"/>
        </w:rPr>
        <w:t>0021</w:t>
      </w:r>
      <w:r w:rsidRPr="00D07FFE">
        <w:rPr>
          <w:sz w:val="22"/>
          <w:szCs w:val="22"/>
        </w:rPr>
        <w:t>)</w:t>
      </w:r>
    </w:p>
    <w:p w:rsidR="006679BD" w:rsidRPr="00D07FFE" w:rsidRDefault="006679BD" w:rsidP="00A24E6C">
      <w:pPr>
        <w:pStyle w:val="Default"/>
        <w:jc w:val="center"/>
        <w:rPr>
          <w:sz w:val="22"/>
          <w:szCs w:val="22"/>
        </w:rPr>
      </w:pPr>
      <w:r>
        <w:rPr>
          <w:sz w:val="22"/>
          <w:szCs w:val="22"/>
        </w:rPr>
        <w:t>REVISION</w:t>
      </w:r>
    </w:p>
    <w:p w:rsidR="00A24E6C" w:rsidRPr="00D07FFE" w:rsidRDefault="00A24E6C" w:rsidP="00A24E6C">
      <w:pPr>
        <w:pStyle w:val="Default"/>
        <w:rPr>
          <w:sz w:val="22"/>
          <w:szCs w:val="22"/>
        </w:rPr>
      </w:pPr>
    </w:p>
    <w:p w:rsidR="00A24E6C" w:rsidRDefault="00A24E6C" w:rsidP="00A24E6C">
      <w:pPr>
        <w:pStyle w:val="Default"/>
        <w:rPr>
          <w:sz w:val="22"/>
          <w:szCs w:val="22"/>
          <w:u w:val="single"/>
        </w:rPr>
      </w:pPr>
    </w:p>
    <w:p w:rsidR="00A24E6C" w:rsidRPr="00D07FFE" w:rsidRDefault="00A24E6C" w:rsidP="00A24E6C">
      <w:pPr>
        <w:pStyle w:val="Default"/>
        <w:rPr>
          <w:sz w:val="22"/>
          <w:szCs w:val="22"/>
          <w:u w:val="single"/>
        </w:rPr>
      </w:pPr>
      <w:r w:rsidRPr="00D07FFE">
        <w:rPr>
          <w:sz w:val="22"/>
          <w:szCs w:val="22"/>
          <w:u w:val="single"/>
        </w:rPr>
        <w:t>DESCRIPTION OF THE INFORMATION COLLECTION</w:t>
      </w:r>
    </w:p>
    <w:p w:rsidR="00A24E6C" w:rsidRPr="00D07FFE" w:rsidRDefault="00A24E6C" w:rsidP="00A24E6C">
      <w:pPr>
        <w:pStyle w:val="Default"/>
        <w:rPr>
          <w:sz w:val="22"/>
          <w:szCs w:val="22"/>
        </w:rPr>
      </w:pPr>
    </w:p>
    <w:p w:rsidR="00A24E6C" w:rsidRPr="00D07FFE" w:rsidRDefault="00A24E6C" w:rsidP="00A24E6C">
      <w:pPr>
        <w:pStyle w:val="Default"/>
        <w:rPr>
          <w:sz w:val="22"/>
          <w:szCs w:val="22"/>
        </w:rPr>
      </w:pPr>
      <w:r w:rsidRPr="00D07FFE">
        <w:rPr>
          <w:sz w:val="22"/>
          <w:szCs w:val="22"/>
        </w:rPr>
        <w:t>As mandated by the Atomic Energy Act (AEA) of 1954, as amended, the Nuclear Regulatory Commission (NRC) is responsible for protecting public health and safety in the civilian use of nuclear power.  The NRC Office of Nuclear Reactor Regulation (NRR) is responsible for ensuring the public health and safety through the licensing and inspection of activities at all commercial nuclear power reactor facilities in the U.S.  The AEA allows the NRC to issue licenses for commercial power reactors to operate for up to 40 years.  NRC regulations allow for the renewal of these licenses, the renewal term to include any remaining number of years on the operating license or combined license currently in effect plus an additional 20 years.  The approval or disapproval of the license renewal application depends upon an NRC determination as to whether the nuclear facility can continue to operate safely during the 20</w:t>
      </w:r>
      <w:r w:rsidRPr="00D07FFE">
        <w:rPr>
          <w:sz w:val="22"/>
          <w:szCs w:val="22"/>
        </w:rPr>
        <w:noBreakHyphen/>
        <w:t xml:space="preserve">year period of extended operation.  The term of any renewed license may not exceed 40 years.  No specific limitations exist in the Atomic Energy Act or in NRC’s regulations </w:t>
      </w:r>
      <w:r>
        <w:rPr>
          <w:sz w:val="22"/>
          <w:szCs w:val="22"/>
        </w:rPr>
        <w:t>as to the</w:t>
      </w:r>
      <w:r w:rsidRPr="00D07FFE">
        <w:rPr>
          <w:sz w:val="22"/>
          <w:szCs w:val="22"/>
        </w:rPr>
        <w:t xml:space="preserve"> number of times a power reactor operating license may be renewed.</w:t>
      </w:r>
    </w:p>
    <w:p w:rsidR="00A24E6C" w:rsidRPr="00D07FFE" w:rsidRDefault="00A24E6C" w:rsidP="00A24E6C">
      <w:pPr>
        <w:pStyle w:val="Default"/>
        <w:rPr>
          <w:sz w:val="22"/>
          <w:szCs w:val="22"/>
        </w:rPr>
      </w:pPr>
    </w:p>
    <w:p w:rsidR="00A24E6C" w:rsidRPr="00D07FFE" w:rsidRDefault="00A24E6C" w:rsidP="00A24E6C">
      <w:pPr>
        <w:pStyle w:val="Default"/>
        <w:rPr>
          <w:sz w:val="22"/>
          <w:szCs w:val="22"/>
        </w:rPr>
      </w:pPr>
      <w:r w:rsidRPr="00D07FFE">
        <w:rPr>
          <w:sz w:val="22"/>
          <w:szCs w:val="22"/>
        </w:rPr>
        <w:t>As a federal agency, the NRC is subject to the National Environmental Policy Act (NEPA)</w:t>
      </w:r>
      <w:r>
        <w:rPr>
          <w:sz w:val="22"/>
          <w:szCs w:val="22"/>
        </w:rPr>
        <w:t xml:space="preserve"> of 1969, as amended</w:t>
      </w:r>
      <w:r w:rsidRPr="00D07FFE">
        <w:rPr>
          <w:sz w:val="22"/>
          <w:szCs w:val="22"/>
        </w:rPr>
        <w:t xml:space="preserve">.  The NRC’s environmental protection regulations in Title 10 of the </w:t>
      </w:r>
      <w:r w:rsidRPr="00D07FFE">
        <w:rPr>
          <w:i/>
          <w:sz w:val="22"/>
          <w:szCs w:val="22"/>
        </w:rPr>
        <w:t>Code of Federal Regulations</w:t>
      </w:r>
      <w:r w:rsidRPr="00D07FFE">
        <w:rPr>
          <w:sz w:val="22"/>
          <w:szCs w:val="22"/>
        </w:rPr>
        <w:t xml:space="preserve"> (10 CFR) Part 51, “Environmental Protection Regulations for Domestic Licensing and Related Regulatory Functions,” identify the renewal of a nuclear power plant operating license as a major federal action significantly affecting the quality of the human environment.  As such, a</w:t>
      </w:r>
      <w:r>
        <w:rPr>
          <w:sz w:val="22"/>
          <w:szCs w:val="22"/>
        </w:rPr>
        <w:t>n</w:t>
      </w:r>
      <w:r w:rsidRPr="00D07FFE">
        <w:rPr>
          <w:sz w:val="22"/>
          <w:szCs w:val="22"/>
        </w:rPr>
        <w:t xml:space="preserve"> environmental impact statement (EIS) is required for a plant license renewal review in accordance with NEPA.  As part of the license renewal process, the NRC prepared in 1996 the </w:t>
      </w:r>
      <w:r w:rsidRPr="00D07FFE">
        <w:rPr>
          <w:i/>
          <w:iCs/>
          <w:sz w:val="22"/>
          <w:szCs w:val="22"/>
        </w:rPr>
        <w:t xml:space="preserve">Generic Environmental Impact Statement for License Renewal of Nuclear Plants </w:t>
      </w:r>
      <w:r w:rsidRPr="00D07FFE">
        <w:rPr>
          <w:sz w:val="22"/>
          <w:szCs w:val="22"/>
        </w:rPr>
        <w:t>(GEIS), NUREG–1437, to assist the NRC staff in pr</w:t>
      </w:r>
      <w:r w:rsidR="009A2229">
        <w:rPr>
          <w:sz w:val="22"/>
          <w:szCs w:val="22"/>
        </w:rPr>
        <w:t xml:space="preserve">eparing </w:t>
      </w:r>
      <w:r>
        <w:rPr>
          <w:sz w:val="22"/>
          <w:szCs w:val="22"/>
        </w:rPr>
        <w:t xml:space="preserve">license renewal </w:t>
      </w:r>
      <w:r w:rsidRPr="00D07FFE">
        <w:rPr>
          <w:sz w:val="22"/>
          <w:szCs w:val="22"/>
        </w:rPr>
        <w:t>EISs.</w:t>
      </w:r>
    </w:p>
    <w:p w:rsidR="00A24E6C" w:rsidRPr="00D07FFE" w:rsidRDefault="00A24E6C" w:rsidP="00A24E6C">
      <w:pPr>
        <w:pStyle w:val="Default"/>
        <w:rPr>
          <w:sz w:val="22"/>
          <w:szCs w:val="22"/>
        </w:rPr>
      </w:pPr>
    </w:p>
    <w:p w:rsidR="00A24E6C" w:rsidRPr="00D07FFE" w:rsidRDefault="00A24E6C" w:rsidP="00A24E6C">
      <w:pPr>
        <w:pStyle w:val="text"/>
        <w:spacing w:after="0"/>
        <w:rPr>
          <w:szCs w:val="22"/>
        </w:rPr>
      </w:pPr>
      <w:r w:rsidRPr="00D07FFE">
        <w:rPr>
          <w:szCs w:val="22"/>
        </w:rPr>
        <w:t>The purpose of the GEIS is to identify and generically address issues and processes that are common to all nuclear power plants and have the same or similar environmental impacts</w:t>
      </w:r>
      <w:r>
        <w:rPr>
          <w:szCs w:val="22"/>
        </w:rPr>
        <w:t xml:space="preserve">.  These issues are called </w:t>
      </w:r>
      <w:r w:rsidRPr="00D07FFE">
        <w:rPr>
          <w:szCs w:val="22"/>
        </w:rPr>
        <w:t xml:space="preserve">Category 1 issues.  The GEIS also identifies issues and processes that are unique to each nuclear power plant, require site-specific information, </w:t>
      </w:r>
      <w:r>
        <w:rPr>
          <w:szCs w:val="22"/>
        </w:rPr>
        <w:t xml:space="preserve">or </w:t>
      </w:r>
      <w:r w:rsidRPr="00D07FFE">
        <w:rPr>
          <w:szCs w:val="22"/>
        </w:rPr>
        <w:t>have different impacts</w:t>
      </w:r>
      <w:r>
        <w:rPr>
          <w:szCs w:val="22"/>
        </w:rPr>
        <w:t>, as compared to other sites</w:t>
      </w:r>
      <w:r w:rsidRPr="00D07FFE">
        <w:rPr>
          <w:szCs w:val="22"/>
        </w:rPr>
        <w:t xml:space="preserve">, </w:t>
      </w:r>
      <w:r>
        <w:rPr>
          <w:szCs w:val="22"/>
        </w:rPr>
        <w:t>that</w:t>
      </w:r>
      <w:r w:rsidRPr="00D07FFE">
        <w:rPr>
          <w:szCs w:val="22"/>
        </w:rPr>
        <w:t xml:space="preserve"> </w:t>
      </w:r>
      <w:r>
        <w:rPr>
          <w:szCs w:val="22"/>
        </w:rPr>
        <w:t>need</w:t>
      </w:r>
      <w:r w:rsidRPr="00D07FFE">
        <w:rPr>
          <w:szCs w:val="22"/>
        </w:rPr>
        <w:t xml:space="preserve"> </w:t>
      </w:r>
      <w:r>
        <w:rPr>
          <w:szCs w:val="22"/>
        </w:rPr>
        <w:t xml:space="preserve">to be </w:t>
      </w:r>
      <w:r w:rsidRPr="00D07FFE">
        <w:rPr>
          <w:szCs w:val="22"/>
        </w:rPr>
        <w:t>addressed separat</w:t>
      </w:r>
      <w:r>
        <w:rPr>
          <w:szCs w:val="22"/>
        </w:rPr>
        <w:t>ely in a site-specific supplement to the G</w:t>
      </w:r>
      <w:r w:rsidRPr="00D07FFE">
        <w:rPr>
          <w:szCs w:val="22"/>
        </w:rPr>
        <w:t>EIS</w:t>
      </w:r>
      <w:r>
        <w:rPr>
          <w:szCs w:val="22"/>
        </w:rPr>
        <w:t>.  These are called</w:t>
      </w:r>
      <w:r w:rsidRPr="00D07FFE">
        <w:rPr>
          <w:szCs w:val="22"/>
        </w:rPr>
        <w:t xml:space="preserve"> Category 2 issues.  The findings of the GEIS are codified in Table </w:t>
      </w:r>
      <w:r>
        <w:rPr>
          <w:szCs w:val="22"/>
        </w:rPr>
        <w:t>B-1</w:t>
      </w:r>
      <w:r w:rsidRPr="00D07FFE">
        <w:rPr>
          <w:szCs w:val="22"/>
        </w:rPr>
        <w:t>, “Summary of Findings on NEPA Issues for License Renewal of Nuclear Power Plants,” of Appendix B to Subpart A, “Environmental Effect of Renewing the Operating License of a Nuclear Power Plant,” of 10 CFR Part 51.  (Hereafter, this table</w:t>
      </w:r>
      <w:r w:rsidR="005C5C5C">
        <w:rPr>
          <w:szCs w:val="22"/>
        </w:rPr>
        <w:t xml:space="preserve"> in 10 CFR Part 51</w:t>
      </w:r>
      <w:r w:rsidRPr="00D07FFE">
        <w:rPr>
          <w:szCs w:val="22"/>
        </w:rPr>
        <w:t xml:space="preserve"> will only be referred to as “Table </w:t>
      </w:r>
      <w:r>
        <w:rPr>
          <w:szCs w:val="22"/>
        </w:rPr>
        <w:t>B-1</w:t>
      </w:r>
      <w:r w:rsidR="00C0360E">
        <w:rPr>
          <w:szCs w:val="22"/>
        </w:rPr>
        <w:t>” in this OMB Supporting Statement</w:t>
      </w:r>
      <w:r w:rsidRPr="00D07FFE">
        <w:rPr>
          <w:szCs w:val="22"/>
        </w:rPr>
        <w:t>.)</w:t>
      </w:r>
    </w:p>
    <w:p w:rsidR="00A24E6C" w:rsidRPr="00D07FFE" w:rsidRDefault="00A24E6C" w:rsidP="00A24E6C">
      <w:pPr>
        <w:pStyle w:val="Default"/>
        <w:rPr>
          <w:sz w:val="22"/>
          <w:szCs w:val="22"/>
        </w:rPr>
      </w:pPr>
    </w:p>
    <w:p w:rsidR="00A24E6C" w:rsidRPr="00D07FFE" w:rsidRDefault="00A24E6C" w:rsidP="00A24E6C">
      <w:pPr>
        <w:pStyle w:val="Default"/>
        <w:rPr>
          <w:sz w:val="22"/>
          <w:szCs w:val="22"/>
        </w:rPr>
      </w:pPr>
      <w:r w:rsidRPr="00D07FFE">
        <w:rPr>
          <w:sz w:val="22"/>
          <w:szCs w:val="22"/>
        </w:rPr>
        <w:t xml:space="preserve">The NRC’s regulations in 10 CFR Part 51.53(c) require each applicant to prepare and submit a report entitled “Applicant’s Environmental Report—Operating License Renewal Stage,” </w:t>
      </w:r>
      <w:r>
        <w:rPr>
          <w:sz w:val="22"/>
          <w:szCs w:val="22"/>
        </w:rPr>
        <w:t>as part of</w:t>
      </w:r>
      <w:r w:rsidRPr="00D07FFE">
        <w:rPr>
          <w:sz w:val="22"/>
          <w:szCs w:val="22"/>
        </w:rPr>
        <w:t xml:space="preserve"> the applicant’s license renewal application.  The information provided by an applicant in the environmental report (ER) helps the NRC meet its regulatory obligations under NEPA.  In the ER, the applicant provides information about the plant, the environment that could be affected by license renewal, and an assessment of the environmental impacts </w:t>
      </w:r>
      <w:r>
        <w:rPr>
          <w:sz w:val="22"/>
          <w:szCs w:val="22"/>
        </w:rPr>
        <w:t xml:space="preserve">from issues </w:t>
      </w:r>
      <w:r w:rsidRPr="00D07FFE">
        <w:rPr>
          <w:sz w:val="22"/>
          <w:szCs w:val="22"/>
        </w:rPr>
        <w:t xml:space="preserve">identified as </w:t>
      </w:r>
      <w:r w:rsidRPr="00D07FFE">
        <w:rPr>
          <w:sz w:val="22"/>
          <w:szCs w:val="22"/>
        </w:rPr>
        <w:lastRenderedPageBreak/>
        <w:t xml:space="preserve">Category 2 issues in Table </w:t>
      </w:r>
      <w:r>
        <w:rPr>
          <w:sz w:val="22"/>
          <w:szCs w:val="22"/>
        </w:rPr>
        <w:t>B-1</w:t>
      </w:r>
      <w:r w:rsidRPr="00D07FFE">
        <w:rPr>
          <w:sz w:val="22"/>
          <w:szCs w:val="22"/>
        </w:rPr>
        <w:t xml:space="preserve">.  The applicant also is required to include descriptive information and any new and significant impact information for Category 1 issues in Table </w:t>
      </w:r>
      <w:r>
        <w:rPr>
          <w:sz w:val="22"/>
          <w:szCs w:val="22"/>
        </w:rPr>
        <w:t>B-1</w:t>
      </w:r>
      <w:r w:rsidRPr="00D07FFE">
        <w:rPr>
          <w:sz w:val="22"/>
          <w:szCs w:val="22"/>
        </w:rPr>
        <w:t>.</w:t>
      </w:r>
    </w:p>
    <w:p w:rsidR="00A24E6C" w:rsidRPr="00D07FFE" w:rsidRDefault="00A24E6C" w:rsidP="00A24E6C">
      <w:pPr>
        <w:pStyle w:val="Default"/>
        <w:rPr>
          <w:sz w:val="22"/>
          <w:szCs w:val="22"/>
        </w:rPr>
      </w:pPr>
    </w:p>
    <w:p w:rsidR="00A24E6C" w:rsidRDefault="00A24E6C" w:rsidP="00A24E6C">
      <w:pPr>
        <w:spacing w:line="240" w:lineRule="auto"/>
        <w:rPr>
          <w:color w:val="000000"/>
        </w:rPr>
      </w:pPr>
      <w:r w:rsidRPr="008F7DDC">
        <w:rPr>
          <w:color w:val="000000"/>
        </w:rPr>
        <w:t xml:space="preserve">The findings of the GEIS were published as a final rule on June 5, 1996 (61 FR 28467).  In Appendix B to Subpart A of 10 CFR Part 51, the Commission </w:t>
      </w:r>
      <w:r w:rsidR="008A1104" w:rsidRPr="00254411">
        <w:t xml:space="preserve">indicated that it intended to review the material in Table </w:t>
      </w:r>
      <w:r w:rsidR="008A1104">
        <w:t>B-1 on a 10</w:t>
      </w:r>
      <w:r w:rsidR="008A1104">
        <w:noBreakHyphen/>
      </w:r>
      <w:r w:rsidR="008A1104" w:rsidRPr="00254411">
        <w:t>year basis.</w:t>
      </w:r>
      <w:r w:rsidR="008A1104">
        <w:t xml:space="preserve">  </w:t>
      </w:r>
      <w:r w:rsidRPr="008F7DDC">
        <w:rPr>
          <w:color w:val="000000"/>
        </w:rPr>
        <w:t>The final rule revisions are the result of the</w:t>
      </w:r>
      <w:r w:rsidR="004455EE">
        <w:rPr>
          <w:color w:val="000000"/>
        </w:rPr>
        <w:t xml:space="preserve"> 10</w:t>
      </w:r>
      <w:r w:rsidR="004455EE">
        <w:rPr>
          <w:color w:val="000000"/>
        </w:rPr>
        <w:noBreakHyphen/>
      </w:r>
      <w:r w:rsidRPr="008F7DDC">
        <w:rPr>
          <w:color w:val="000000"/>
        </w:rPr>
        <w:t xml:space="preserve">year review conducted by the NRC on the information and findings currently presented in Table </w:t>
      </w:r>
      <w:r>
        <w:rPr>
          <w:color w:val="000000"/>
        </w:rPr>
        <w:t>B-1</w:t>
      </w:r>
      <w:r w:rsidRPr="008F7DDC">
        <w:rPr>
          <w:color w:val="000000"/>
        </w:rPr>
        <w:t xml:space="preserve"> and are based on:  (1) consideration of public com</w:t>
      </w:r>
      <w:r w:rsidR="004455EE">
        <w:rPr>
          <w:color w:val="000000"/>
        </w:rPr>
        <w:t>ments on the proposed rule, (2) </w:t>
      </w:r>
      <w:r w:rsidRPr="008F7DDC">
        <w:rPr>
          <w:color w:val="000000"/>
        </w:rPr>
        <w:t>current environmental laws and regulations, and (3) lessons learned and knowledge gained from license renewal environmental reviews conducted by the NRC since 1996.</w:t>
      </w:r>
    </w:p>
    <w:p w:rsidR="00A24E6C" w:rsidRPr="00D07FFE" w:rsidRDefault="00A24E6C" w:rsidP="00A24E6C"/>
    <w:p w:rsidR="00A24E6C" w:rsidRPr="00D07FFE" w:rsidRDefault="00A24E6C" w:rsidP="00A24E6C">
      <w:pPr>
        <w:rPr>
          <w:highlight w:val="cyan"/>
        </w:rPr>
      </w:pPr>
      <w:r w:rsidRPr="00D07FFE">
        <w:t>The NRC also has prepared a revision to the GEIS which will be published with the final rule.</w:t>
      </w:r>
    </w:p>
    <w:p w:rsidR="00A24E6C" w:rsidRPr="00D07FFE" w:rsidRDefault="00A24E6C" w:rsidP="00A24E6C">
      <w:pPr>
        <w:pStyle w:val="Default"/>
        <w:rPr>
          <w:sz w:val="22"/>
          <w:szCs w:val="22"/>
        </w:rPr>
      </w:pPr>
    </w:p>
    <w:p w:rsidR="00A24E6C" w:rsidRPr="00D07FFE" w:rsidRDefault="00A24E6C" w:rsidP="00A24E6C">
      <w:pPr>
        <w:pStyle w:val="Default"/>
        <w:widowControl w:val="0"/>
        <w:rPr>
          <w:sz w:val="22"/>
          <w:szCs w:val="22"/>
        </w:rPr>
      </w:pPr>
      <w:r w:rsidRPr="00D07FFE">
        <w:rPr>
          <w:sz w:val="22"/>
          <w:szCs w:val="22"/>
        </w:rPr>
        <w:t>A. JUSTIFICATION</w:t>
      </w:r>
    </w:p>
    <w:p w:rsidR="00A24E6C" w:rsidRPr="00D07FFE" w:rsidRDefault="00A24E6C" w:rsidP="00A24E6C">
      <w:pPr>
        <w:pStyle w:val="Default"/>
        <w:widowControl w:val="0"/>
        <w:rPr>
          <w:sz w:val="22"/>
          <w:szCs w:val="22"/>
        </w:rPr>
      </w:pPr>
    </w:p>
    <w:p w:rsidR="00A24E6C" w:rsidRPr="00D07FFE" w:rsidRDefault="00A24E6C" w:rsidP="00A24E6C">
      <w:pPr>
        <w:pStyle w:val="Default"/>
        <w:ind w:left="360" w:hanging="360"/>
        <w:rPr>
          <w:sz w:val="22"/>
          <w:szCs w:val="22"/>
          <w:u w:val="single"/>
        </w:rPr>
      </w:pPr>
      <w:r w:rsidRPr="00D07FFE">
        <w:rPr>
          <w:sz w:val="22"/>
          <w:szCs w:val="22"/>
        </w:rPr>
        <w:t xml:space="preserve">1.  </w:t>
      </w:r>
      <w:r w:rsidRPr="00D07FFE">
        <w:rPr>
          <w:sz w:val="22"/>
          <w:szCs w:val="22"/>
          <w:u w:val="single"/>
        </w:rPr>
        <w:t>Need for and Practical Utility of the Collection of Information</w:t>
      </w:r>
    </w:p>
    <w:p w:rsidR="00A24E6C" w:rsidRPr="00D07FFE" w:rsidRDefault="00A24E6C" w:rsidP="00A24E6C">
      <w:pPr>
        <w:pStyle w:val="Default"/>
        <w:rPr>
          <w:sz w:val="22"/>
          <w:szCs w:val="22"/>
        </w:rPr>
      </w:pPr>
    </w:p>
    <w:p w:rsidR="00A24E6C" w:rsidRPr="00DE4FB5" w:rsidRDefault="00A24E6C" w:rsidP="00A24E6C">
      <w:pPr>
        <w:pStyle w:val="Default"/>
        <w:ind w:left="360"/>
        <w:rPr>
          <w:sz w:val="22"/>
          <w:szCs w:val="22"/>
        </w:rPr>
      </w:pPr>
      <w:r w:rsidRPr="00D07FFE">
        <w:rPr>
          <w:sz w:val="22"/>
          <w:szCs w:val="22"/>
        </w:rPr>
        <w:t xml:space="preserve">NEPA directs that, to the fullest extent possible:  (1) the policies, regulations, and public laws of the United States shall be interpreted and administered in accordance with the policies set forth in NEPA, and (2) all agencies of the Federal Government shall comply with the procedures in Section 102(2) of NEPA except where compliance would be inconsistent with other statutory requirements.  The regulations in Subpart A of 10 CFR Part 51 implement Section 102(2) of NEPA in a manner that is consistent with the NRC's domestic licensing and related regulatory authority under the AEA, the Energy Reorganization Act of 1974, as amended, the Uranium Mill Tailings Radiation Control Act of 1978, and the Commission's announced policy to take account of the regulations of the Council of Environmental Quality published November 29, 1978 (43 FR 55978-56007).  In order to conduct the environmental (NEPA) review of licensing actions, </w:t>
      </w:r>
      <w:r w:rsidR="008A1104">
        <w:rPr>
          <w:sz w:val="22"/>
          <w:szCs w:val="22"/>
        </w:rPr>
        <w:t xml:space="preserve">the </w:t>
      </w:r>
      <w:r w:rsidRPr="00D07FFE">
        <w:rPr>
          <w:sz w:val="22"/>
          <w:szCs w:val="22"/>
        </w:rPr>
        <w:t xml:space="preserve">NRC requires applicants to </w:t>
      </w:r>
      <w:r w:rsidRPr="00DE4FB5">
        <w:rPr>
          <w:sz w:val="22"/>
          <w:szCs w:val="22"/>
        </w:rPr>
        <w:t>collect recent environmental information about their nuclear power plants.</w:t>
      </w:r>
    </w:p>
    <w:p w:rsidR="00A24E6C" w:rsidRPr="00DE4FB5" w:rsidRDefault="00A24E6C" w:rsidP="00A24E6C">
      <w:pPr>
        <w:pStyle w:val="Default"/>
        <w:rPr>
          <w:sz w:val="22"/>
          <w:szCs w:val="22"/>
        </w:rPr>
      </w:pPr>
    </w:p>
    <w:p w:rsidR="00A24E6C" w:rsidRPr="00D07FFE" w:rsidRDefault="00A24E6C" w:rsidP="00A24E6C">
      <w:pPr>
        <w:pStyle w:val="Default"/>
        <w:ind w:left="360"/>
        <w:rPr>
          <w:sz w:val="22"/>
          <w:szCs w:val="22"/>
        </w:rPr>
      </w:pPr>
      <w:r w:rsidRPr="008F7DDC">
        <w:rPr>
          <w:sz w:val="22"/>
          <w:szCs w:val="22"/>
        </w:rPr>
        <w:t>NRC’s regulations in 10 CFR 51.53(c) require each applicant to prepare and submit a report entitled “Applicant’s Environmental Report – Operating License Renewal Stage,” with the applicant’s license renewal application.  The information provided by an applica</w:t>
      </w:r>
      <w:r w:rsidR="0071548E">
        <w:rPr>
          <w:sz w:val="22"/>
          <w:szCs w:val="22"/>
        </w:rPr>
        <w:t xml:space="preserve">nt in the ER </w:t>
      </w:r>
      <w:r w:rsidRPr="008F7DDC">
        <w:rPr>
          <w:sz w:val="22"/>
          <w:szCs w:val="22"/>
        </w:rPr>
        <w:t>helps the NRC meet its regulatory obligations consistent with Section 102(2) of NEPA.  In the ER, the applicant provides information about the plant, the environment that could be affected by license renewal, and an assessment of the environmental impacts</w:t>
      </w:r>
      <w:r>
        <w:rPr>
          <w:sz w:val="22"/>
          <w:szCs w:val="22"/>
        </w:rPr>
        <w:t xml:space="preserve"> from issues</w:t>
      </w:r>
      <w:r w:rsidRPr="008F7DDC">
        <w:rPr>
          <w:sz w:val="22"/>
          <w:szCs w:val="22"/>
        </w:rPr>
        <w:t xml:space="preserve"> identified as Category 2 issues in Table B-1.  The applicant also is required to include descriptive information and any new and significant impact information for </w:t>
      </w:r>
      <w:r w:rsidR="00453607">
        <w:rPr>
          <w:sz w:val="22"/>
          <w:szCs w:val="22"/>
        </w:rPr>
        <w:t>Category 1 issues in Table B-</w:t>
      </w:r>
      <w:r w:rsidRPr="008F7DDC">
        <w:rPr>
          <w:sz w:val="22"/>
          <w:szCs w:val="22"/>
        </w:rPr>
        <w:t>1.</w:t>
      </w:r>
    </w:p>
    <w:p w:rsidR="00A24E6C" w:rsidRPr="00D07FFE" w:rsidRDefault="00A24E6C" w:rsidP="00A24E6C">
      <w:pPr>
        <w:pStyle w:val="Default"/>
        <w:rPr>
          <w:sz w:val="22"/>
          <w:szCs w:val="22"/>
        </w:rPr>
      </w:pPr>
    </w:p>
    <w:p w:rsidR="00A24E6C" w:rsidRDefault="00A24E6C" w:rsidP="00A24E6C">
      <w:pPr>
        <w:pStyle w:val="text"/>
        <w:spacing w:after="0"/>
        <w:ind w:left="360"/>
        <w:rPr>
          <w:szCs w:val="22"/>
        </w:rPr>
      </w:pPr>
      <w:r w:rsidRPr="000C4EF4">
        <w:rPr>
          <w:szCs w:val="22"/>
        </w:rPr>
        <w:t>After accepting the license renewal application and ER, the NRC prepares a draft supplemental EIS (SEIS) to the 1996 GEIS that evaluates the environmental impact of plant</w:t>
      </w:r>
      <w:r w:rsidRPr="000C4EF4">
        <w:rPr>
          <w:szCs w:val="22"/>
        </w:rPr>
        <w:noBreakHyphen/>
        <w:t>specific (Category 2) issues along with the consideration of any new and significant information for Category 1 and/or for any newly identified issues.  The draft SEISs are made available for public comment.  After considering public comments, the NRC prepares and issues a final SEIS.  The final SEIS and the GEIS (NUREG</w:t>
      </w:r>
      <w:r w:rsidRPr="000C4EF4">
        <w:rPr>
          <w:szCs w:val="22"/>
        </w:rPr>
        <w:noBreakHyphen/>
        <w:t>1437), together, serve as the requisite NEPA analysis for license renewal environmental reviews.</w:t>
      </w:r>
    </w:p>
    <w:p w:rsidR="00C0360E" w:rsidRPr="00D07FFE" w:rsidRDefault="00C0360E" w:rsidP="00A24E6C">
      <w:pPr>
        <w:pStyle w:val="text"/>
        <w:spacing w:after="0"/>
        <w:ind w:left="360"/>
        <w:rPr>
          <w:szCs w:val="22"/>
        </w:rPr>
      </w:pPr>
    </w:p>
    <w:p w:rsidR="00A24E6C" w:rsidRPr="00D07FFE" w:rsidRDefault="00487C69" w:rsidP="00487C69">
      <w:pPr>
        <w:pStyle w:val="Default"/>
        <w:keepLines/>
        <w:ind w:left="360"/>
        <w:rPr>
          <w:sz w:val="22"/>
          <w:szCs w:val="22"/>
        </w:rPr>
      </w:pPr>
      <w:r>
        <w:rPr>
          <w:sz w:val="22"/>
          <w:szCs w:val="22"/>
        </w:rPr>
        <w:lastRenderedPageBreak/>
        <w:t xml:space="preserve">The appendix to this OMB Supporting Statement </w:t>
      </w:r>
      <w:r w:rsidR="00A24E6C" w:rsidRPr="00D07FFE">
        <w:rPr>
          <w:sz w:val="22"/>
          <w:szCs w:val="22"/>
        </w:rPr>
        <w:t xml:space="preserve">presents the </w:t>
      </w:r>
      <w:r w:rsidR="00A24E6C">
        <w:rPr>
          <w:sz w:val="22"/>
          <w:szCs w:val="22"/>
        </w:rPr>
        <w:t xml:space="preserve">four types of </w:t>
      </w:r>
      <w:r w:rsidR="00A24E6C" w:rsidRPr="00D07FFE">
        <w:rPr>
          <w:sz w:val="22"/>
          <w:szCs w:val="22"/>
        </w:rPr>
        <w:t xml:space="preserve">changes </w:t>
      </w:r>
      <w:r w:rsidR="00A24E6C">
        <w:rPr>
          <w:sz w:val="22"/>
          <w:szCs w:val="22"/>
        </w:rPr>
        <w:t xml:space="preserve">that appear in </w:t>
      </w:r>
      <w:r w:rsidR="00A24E6C" w:rsidRPr="00D07FFE">
        <w:rPr>
          <w:sz w:val="22"/>
          <w:szCs w:val="22"/>
        </w:rPr>
        <w:t>Table B-1:</w:t>
      </w:r>
    </w:p>
    <w:p w:rsidR="00A24E6C" w:rsidRPr="00D07FFE" w:rsidRDefault="00A24E6C" w:rsidP="00487C69">
      <w:pPr>
        <w:pStyle w:val="Default"/>
        <w:keepLines/>
        <w:rPr>
          <w:sz w:val="22"/>
          <w:szCs w:val="22"/>
        </w:rPr>
      </w:pPr>
    </w:p>
    <w:p w:rsidR="00A24E6C" w:rsidRDefault="00A24E6C" w:rsidP="00B54368">
      <w:pPr>
        <w:keepLines/>
        <w:widowControl w:val="0"/>
        <w:numPr>
          <w:ilvl w:val="0"/>
          <w:numId w:val="1"/>
        </w:numPr>
        <w:spacing w:line="240" w:lineRule="auto"/>
        <w:ind w:left="720"/>
      </w:pPr>
      <w:r w:rsidRPr="00920648">
        <w:rPr>
          <w:b/>
        </w:rPr>
        <w:t>Consolidated Issues.</w:t>
      </w:r>
      <w:r w:rsidRPr="00920648">
        <w:t xml:space="preserve"> A number of changes include consolidating certain issues in the current Table B-1 to improve the organization and clarity of Table </w:t>
      </w:r>
      <w:r>
        <w:t>B-1</w:t>
      </w:r>
      <w:r w:rsidRPr="00920648">
        <w:t>, which on net reduces the overall number of environmental issues.  For example, one change would consolidate three Category 1 issues, “Aesthetic impacts (refurbishment),” “Aesthetic impacts (license renewal term),”</w:t>
      </w:r>
      <w:r w:rsidR="0071548E">
        <w:t xml:space="preserve"> and</w:t>
      </w:r>
      <w:r w:rsidRPr="00920648">
        <w:t xml:space="preserve"> “Aesthetic impacts of transmission lines (license renewal term),” each with an impact level of small, into one new Category 1 issue, “Aesthetic impacts.”  </w:t>
      </w:r>
      <w:r w:rsidRPr="00D07FFE">
        <w:t>Issue c</w:t>
      </w:r>
      <w:r>
        <w:t>onsolidation will result in a reduction in burden to each license renewal applicant and NRC insofar as the o</w:t>
      </w:r>
      <w:r w:rsidR="00B54368">
        <w:t>verall number of Category 1 and </w:t>
      </w:r>
      <w:r>
        <w:t>2 issues are reduced</w:t>
      </w:r>
      <w:r w:rsidRPr="00920648">
        <w:t>.</w:t>
      </w:r>
    </w:p>
    <w:p w:rsidR="00B54368" w:rsidRDefault="00B54368" w:rsidP="00B54368">
      <w:pPr>
        <w:keepLines/>
        <w:widowControl w:val="0"/>
        <w:spacing w:line="240" w:lineRule="auto"/>
        <w:ind w:left="360"/>
      </w:pPr>
    </w:p>
    <w:p w:rsidR="00A24E6C" w:rsidRPr="00067A55" w:rsidRDefault="00A24E6C" w:rsidP="00A24E6C">
      <w:pPr>
        <w:keepNext/>
        <w:keepLines/>
        <w:numPr>
          <w:ilvl w:val="0"/>
          <w:numId w:val="1"/>
        </w:numPr>
        <w:spacing w:line="240" w:lineRule="auto"/>
        <w:ind w:left="720"/>
      </w:pPr>
      <w:r w:rsidRPr="00013E56">
        <w:rPr>
          <w:b/>
        </w:rPr>
        <w:t>New Category 1 Issues.</w:t>
      </w:r>
      <w:r w:rsidRPr="00022B0C">
        <w:t xml:space="preserve">  </w:t>
      </w:r>
      <w:r w:rsidRPr="00022B0C">
        <w:rPr>
          <w:iCs/>
        </w:rPr>
        <w:t xml:space="preserve">New Category 1 </w:t>
      </w:r>
      <w:r w:rsidRPr="00022B0C">
        <w:t xml:space="preserve">issues are issues not previously evaluated in the 1996 GEIS and </w:t>
      </w:r>
      <w:r>
        <w:t xml:space="preserve">not </w:t>
      </w:r>
      <w:r w:rsidRPr="00022B0C">
        <w:t>listed in Table </w:t>
      </w:r>
      <w:r>
        <w:t>B-1 of the current rule.</w:t>
      </w:r>
      <w:r>
        <w:rPr>
          <w:rStyle w:val="FootnoteReference"/>
        </w:rPr>
        <w:footnoteReference w:id="1"/>
      </w:r>
      <w:r w:rsidR="00B54368">
        <w:t xml:space="preserve">  For each new Category </w:t>
      </w:r>
      <w:r>
        <w:t>1 issue, the license renewal applicant will incur an increase in burden because it must include within its ER an assessment of any new and significant information regarding the environmental impacts of license renewal of which the applicant is aware (see 10 CFR 51.53(c)(3)(iv)).  The NRC will incur an increase in burden to consider and evaluate this information during its plant-specific environmental review. The NRC has addressed the environmental impacts of these new Category 1 issues generically for all plants in the revised GEIS</w:t>
      </w:r>
      <w:r w:rsidRPr="00067A55">
        <w:t>.</w:t>
      </w:r>
    </w:p>
    <w:p w:rsidR="00A24E6C" w:rsidRPr="00022B0C" w:rsidRDefault="00A24E6C" w:rsidP="00A24E6C"/>
    <w:p w:rsidR="00A24E6C" w:rsidRPr="006C6CCC" w:rsidRDefault="00A24E6C" w:rsidP="00A24E6C">
      <w:pPr>
        <w:keepNext/>
        <w:keepLines/>
        <w:numPr>
          <w:ilvl w:val="0"/>
          <w:numId w:val="1"/>
        </w:numPr>
        <w:tabs>
          <w:tab w:val="num" w:pos="720"/>
        </w:tabs>
        <w:spacing w:line="240" w:lineRule="auto"/>
        <w:ind w:left="720"/>
      </w:pPr>
      <w:r w:rsidRPr="0080054D">
        <w:rPr>
          <w:b/>
        </w:rPr>
        <w:t>New Category 2 Issues.</w:t>
      </w:r>
      <w:r w:rsidRPr="0080054D">
        <w:t xml:space="preserve">  New Category 2 issues are issues not previously evaluated in the 1996 GEIS and not listed in Table </w:t>
      </w:r>
      <w:r>
        <w:t>B-1</w:t>
      </w:r>
      <w:r w:rsidRPr="0080054D">
        <w:t xml:space="preserve"> of the current rule.</w:t>
      </w:r>
      <w:r>
        <w:rPr>
          <w:rStyle w:val="FootnoteReference"/>
        </w:rPr>
        <w:footnoteReference w:id="2"/>
      </w:r>
      <w:r w:rsidRPr="0080054D">
        <w:t xml:space="preserve">  For each new Category 2 issue, the applicant </w:t>
      </w:r>
      <w:r>
        <w:t xml:space="preserve">will </w:t>
      </w:r>
      <w:r w:rsidRPr="0080054D">
        <w:t xml:space="preserve">incur an increase in </w:t>
      </w:r>
      <w:r>
        <w:t>burden</w:t>
      </w:r>
      <w:r w:rsidRPr="0080054D">
        <w:t xml:space="preserve"> because the applicant must conduct a plant-specific assessment of the potential environmental impacts related to that issue and include it in its ER.  In addition, for each new Category 2 issue, the applicant must include in its ER a discussion of possible actions to mitigate any adverse impacts associated with license renewal and environmental impacts of alternatives to license renewal.  Similarly, the NRC </w:t>
      </w:r>
      <w:r>
        <w:t xml:space="preserve">will incur an increase in burden to </w:t>
      </w:r>
      <w:r w:rsidRPr="0080054D">
        <w:t>evaluate and assess the environmental impacts of each new Category 2 issue during its plant-specific environmental review.</w:t>
      </w:r>
      <w:r>
        <w:t xml:space="preserve">  </w:t>
      </w:r>
      <w:r w:rsidRPr="0080054D">
        <w:t>Some of the chan</w:t>
      </w:r>
      <w:r w:rsidRPr="006C6CCC">
        <w:t>ges to Table </w:t>
      </w:r>
      <w:r>
        <w:t>B-1</w:t>
      </w:r>
      <w:r w:rsidRPr="006C6CCC">
        <w:t xml:space="preserve"> codify information and assessments currently requested of applicants.  This generally results in no additional </w:t>
      </w:r>
      <w:r>
        <w:t>burden</w:t>
      </w:r>
      <w:r w:rsidRPr="006C6CCC">
        <w:t xml:space="preserve"> beyond what is currently being incurred by each applicant and the NRC.</w:t>
      </w:r>
    </w:p>
    <w:p w:rsidR="00A24E6C" w:rsidRPr="0080054D" w:rsidRDefault="00A24E6C" w:rsidP="00A24E6C">
      <w:pPr>
        <w:keepNext/>
        <w:keepLines/>
        <w:ind w:left="720"/>
      </w:pPr>
      <w:r w:rsidRPr="006C6CCC">
        <w:t xml:space="preserve">However, as it was not previously required by the regulation, </w:t>
      </w:r>
      <w:r>
        <w:t>the burden for these activities is included in this analysis</w:t>
      </w:r>
      <w:r w:rsidRPr="006C6CCC">
        <w:t>.</w:t>
      </w:r>
    </w:p>
    <w:p w:rsidR="00A24E6C" w:rsidRPr="00F167AB" w:rsidRDefault="00A24E6C" w:rsidP="00A24E6C"/>
    <w:p w:rsidR="00A24E6C" w:rsidRDefault="00A24E6C" w:rsidP="00A24E6C">
      <w:pPr>
        <w:numPr>
          <w:ilvl w:val="0"/>
          <w:numId w:val="1"/>
        </w:numPr>
        <w:tabs>
          <w:tab w:val="num" w:pos="720"/>
        </w:tabs>
        <w:spacing w:line="240" w:lineRule="auto"/>
        <w:ind w:left="720"/>
      </w:pPr>
      <w:r w:rsidRPr="000C584D">
        <w:rPr>
          <w:b/>
        </w:rPr>
        <w:t>Existing Issue Category Changes from Category 2 to Category 1.</w:t>
      </w:r>
      <w:r w:rsidRPr="00F167AB">
        <w:t xml:space="preserve">  </w:t>
      </w:r>
      <w:r>
        <w:t xml:space="preserve">These are issues that were determined to be Category 2 in the 1996 GEIS and have been re-evaluated and determined to be Category 1 in the revised GEIS.  This type of change results in a </w:t>
      </w:r>
      <w:r>
        <w:lastRenderedPageBreak/>
        <w:t>reduction in burden because: 1) each applicant will no longer be required to conduct a plant-specific assessment of the potential environmental impacts related to that issue and 2) the NRC is no longer required to analyze the potential environmental impacts related to that issue in the SEIS.  However, consistent with the requirements of 10 CFR 51.53(c</w:t>
      </w:r>
      <w:proofErr w:type="gramStart"/>
      <w:r>
        <w:t>)(</w:t>
      </w:r>
      <w:proofErr w:type="gramEnd"/>
      <w:r>
        <w:t>3)(iv), an applicant is still required to describe in its ER any “new and significant information” of which it is aware.  The NRC would then consider and evaluate this information during its plant-specific environmental review.</w:t>
      </w:r>
    </w:p>
    <w:p w:rsidR="00A24E6C" w:rsidRDefault="00A24E6C" w:rsidP="00371BBD">
      <w:pPr>
        <w:widowControl w:val="0"/>
        <w:spacing w:line="240" w:lineRule="auto"/>
      </w:pPr>
    </w:p>
    <w:p w:rsidR="00A24E6C" w:rsidRPr="00D07FFE" w:rsidRDefault="00A24E6C" w:rsidP="00A24E6C">
      <w:pPr>
        <w:pStyle w:val="Default"/>
        <w:rPr>
          <w:sz w:val="22"/>
          <w:szCs w:val="22"/>
          <w:u w:val="single"/>
        </w:rPr>
      </w:pPr>
      <w:r w:rsidRPr="00D07FFE">
        <w:rPr>
          <w:sz w:val="22"/>
          <w:szCs w:val="22"/>
        </w:rPr>
        <w:t xml:space="preserve">2.  </w:t>
      </w:r>
      <w:r w:rsidRPr="00D07FFE">
        <w:rPr>
          <w:sz w:val="22"/>
          <w:szCs w:val="22"/>
          <w:u w:val="single"/>
        </w:rPr>
        <w:t>Agency Use of the Information</w:t>
      </w:r>
    </w:p>
    <w:p w:rsidR="00A24E6C" w:rsidRPr="00D07FFE" w:rsidRDefault="00A24E6C" w:rsidP="00A24E6C">
      <w:pPr>
        <w:pStyle w:val="Default"/>
        <w:rPr>
          <w:sz w:val="22"/>
          <w:szCs w:val="22"/>
        </w:rPr>
      </w:pPr>
    </w:p>
    <w:p w:rsidR="00A24E6C" w:rsidRPr="00D07FFE" w:rsidRDefault="00A24E6C" w:rsidP="00A24E6C">
      <w:pPr>
        <w:pStyle w:val="Default"/>
        <w:spacing w:after="240"/>
        <w:ind w:left="360"/>
        <w:rPr>
          <w:sz w:val="22"/>
          <w:szCs w:val="22"/>
        </w:rPr>
      </w:pPr>
      <w:r w:rsidRPr="00D07FFE">
        <w:rPr>
          <w:sz w:val="22"/>
          <w:szCs w:val="22"/>
        </w:rPr>
        <w:t>The NRC evaluates the information provided in the license renewal application and ER and prepares a draft SEIS to analyze plant-specific issues (Category 2)</w:t>
      </w:r>
      <w:r>
        <w:rPr>
          <w:sz w:val="22"/>
          <w:szCs w:val="22"/>
        </w:rPr>
        <w:t>,</w:t>
      </w:r>
      <w:r w:rsidRPr="00D07FFE">
        <w:rPr>
          <w:sz w:val="22"/>
          <w:szCs w:val="22"/>
        </w:rPr>
        <w:t xml:space="preserve"> any new and significant information for </w:t>
      </w:r>
      <w:r>
        <w:rPr>
          <w:sz w:val="22"/>
          <w:szCs w:val="22"/>
        </w:rPr>
        <w:t>generic issues (</w:t>
      </w:r>
      <w:r w:rsidRPr="00D07FFE">
        <w:rPr>
          <w:sz w:val="22"/>
          <w:szCs w:val="22"/>
        </w:rPr>
        <w:t>Category 1</w:t>
      </w:r>
      <w:r>
        <w:rPr>
          <w:sz w:val="22"/>
          <w:szCs w:val="22"/>
        </w:rPr>
        <w:t xml:space="preserve">), and possibly, any previously </w:t>
      </w:r>
      <w:r w:rsidRPr="00D07FFE">
        <w:rPr>
          <w:sz w:val="22"/>
          <w:szCs w:val="22"/>
        </w:rPr>
        <w:t xml:space="preserve">unidentified issues.  After considering public comments, the NRC prepares and issues </w:t>
      </w:r>
      <w:r>
        <w:rPr>
          <w:sz w:val="22"/>
          <w:szCs w:val="22"/>
        </w:rPr>
        <w:t>a</w:t>
      </w:r>
      <w:r w:rsidRPr="00D07FFE">
        <w:rPr>
          <w:sz w:val="22"/>
          <w:szCs w:val="22"/>
        </w:rPr>
        <w:t xml:space="preserve"> final</w:t>
      </w:r>
      <w:r>
        <w:rPr>
          <w:sz w:val="22"/>
          <w:szCs w:val="22"/>
        </w:rPr>
        <w:t xml:space="preserve"> SEIS</w:t>
      </w:r>
      <w:r w:rsidRPr="00D07FFE">
        <w:rPr>
          <w:sz w:val="22"/>
          <w:szCs w:val="22"/>
        </w:rPr>
        <w:t>.  The final SEIS and NUREG-1437, together, serve as the requisite NEPA analysis for any given license renewal application.</w:t>
      </w:r>
    </w:p>
    <w:p w:rsidR="00A24E6C" w:rsidRPr="00D07FFE" w:rsidRDefault="00A24E6C" w:rsidP="00A24E6C">
      <w:pPr>
        <w:pStyle w:val="Default"/>
        <w:rPr>
          <w:sz w:val="22"/>
          <w:szCs w:val="22"/>
          <w:u w:val="single"/>
        </w:rPr>
      </w:pPr>
      <w:r w:rsidRPr="00D07FFE">
        <w:rPr>
          <w:sz w:val="22"/>
          <w:szCs w:val="22"/>
        </w:rPr>
        <w:t xml:space="preserve">3.  </w:t>
      </w:r>
      <w:r w:rsidRPr="00D07FFE">
        <w:rPr>
          <w:sz w:val="22"/>
          <w:szCs w:val="22"/>
          <w:u w:val="single"/>
        </w:rPr>
        <w:t>Reduction of Burden Through Information Technology</w:t>
      </w:r>
    </w:p>
    <w:p w:rsidR="00A24E6C" w:rsidRPr="00D07FFE" w:rsidRDefault="00A24E6C" w:rsidP="00A24E6C">
      <w:pPr>
        <w:pStyle w:val="Default"/>
        <w:rPr>
          <w:sz w:val="22"/>
          <w:szCs w:val="22"/>
        </w:rPr>
      </w:pPr>
    </w:p>
    <w:p w:rsidR="00A24E6C" w:rsidRPr="00D07FFE" w:rsidRDefault="00A24E6C" w:rsidP="00A24E6C">
      <w:pPr>
        <w:pStyle w:val="Default"/>
        <w:widowControl w:val="0"/>
        <w:tabs>
          <w:tab w:val="left" w:pos="360"/>
        </w:tabs>
        <w:ind w:left="360"/>
        <w:rPr>
          <w:sz w:val="22"/>
          <w:szCs w:val="22"/>
        </w:rPr>
      </w:pPr>
      <w:r w:rsidRPr="00D07FFE">
        <w:rPr>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58792), consistent with the Government Paperwork Elimination Act, which allows its licensees, vendors, applicants, and members of the public the option to make submissions electronically via CD-ROM, e-mail, special Web-based interface, or other means.  It is estimated that </w:t>
      </w:r>
      <w:r w:rsidR="000B2683">
        <w:rPr>
          <w:sz w:val="22"/>
          <w:szCs w:val="22"/>
        </w:rPr>
        <w:t xml:space="preserve">100 percent of the </w:t>
      </w:r>
      <w:r w:rsidRPr="00D07FFE">
        <w:rPr>
          <w:sz w:val="22"/>
          <w:szCs w:val="22"/>
        </w:rPr>
        <w:t>license renewal applications will be submitted to the NRC electronically.</w:t>
      </w:r>
    </w:p>
    <w:p w:rsidR="00A24E6C" w:rsidRPr="00D07FFE" w:rsidRDefault="00A24E6C" w:rsidP="00A24E6C">
      <w:pPr>
        <w:pStyle w:val="Default"/>
        <w:widowControl w:val="0"/>
        <w:rPr>
          <w:sz w:val="22"/>
          <w:szCs w:val="22"/>
        </w:rPr>
      </w:pPr>
    </w:p>
    <w:p w:rsidR="00A24E6C" w:rsidRPr="00D07FFE" w:rsidRDefault="00A24E6C" w:rsidP="00A24E6C">
      <w:pPr>
        <w:pStyle w:val="Default"/>
        <w:rPr>
          <w:sz w:val="22"/>
          <w:szCs w:val="22"/>
          <w:u w:val="single"/>
        </w:rPr>
      </w:pPr>
      <w:r w:rsidRPr="00D07FFE">
        <w:rPr>
          <w:sz w:val="22"/>
          <w:szCs w:val="22"/>
        </w:rPr>
        <w:t xml:space="preserve">4.  </w:t>
      </w:r>
      <w:r w:rsidRPr="00D07FFE">
        <w:rPr>
          <w:sz w:val="22"/>
          <w:szCs w:val="22"/>
          <w:u w:val="single"/>
        </w:rPr>
        <w:t>Effort to Identify Duplication and Use Similar Information</w:t>
      </w:r>
    </w:p>
    <w:p w:rsidR="00A24E6C" w:rsidRPr="00D07FFE" w:rsidRDefault="00A24E6C" w:rsidP="00A24E6C">
      <w:pPr>
        <w:pStyle w:val="Default"/>
        <w:rPr>
          <w:sz w:val="22"/>
          <w:szCs w:val="22"/>
        </w:rPr>
      </w:pPr>
    </w:p>
    <w:p w:rsidR="00A24E6C" w:rsidRPr="00D07FFE" w:rsidRDefault="00A24E6C" w:rsidP="00A24E6C">
      <w:pPr>
        <w:pStyle w:val="Default"/>
        <w:ind w:left="360"/>
        <w:rPr>
          <w:sz w:val="22"/>
          <w:szCs w:val="22"/>
        </w:rPr>
      </w:pPr>
      <w:r w:rsidRPr="00D07FFE">
        <w:rPr>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A24E6C" w:rsidRPr="00D07FFE" w:rsidRDefault="00A24E6C" w:rsidP="00A24E6C">
      <w:pPr>
        <w:pStyle w:val="Default"/>
        <w:rPr>
          <w:sz w:val="22"/>
          <w:szCs w:val="22"/>
        </w:rPr>
      </w:pPr>
    </w:p>
    <w:p w:rsidR="00A24E6C" w:rsidRPr="00D07FFE" w:rsidRDefault="00A24E6C" w:rsidP="00A24E6C">
      <w:pPr>
        <w:pStyle w:val="Default"/>
        <w:rPr>
          <w:sz w:val="22"/>
          <w:szCs w:val="22"/>
        </w:rPr>
      </w:pPr>
      <w:r w:rsidRPr="00D07FFE">
        <w:rPr>
          <w:sz w:val="22"/>
          <w:szCs w:val="22"/>
        </w:rPr>
        <w:t xml:space="preserve">5.  </w:t>
      </w:r>
      <w:r w:rsidRPr="00D07FFE">
        <w:rPr>
          <w:sz w:val="22"/>
          <w:szCs w:val="22"/>
          <w:u w:val="single"/>
        </w:rPr>
        <w:t>Effort to Reduce Small Business Burden</w:t>
      </w:r>
    </w:p>
    <w:p w:rsidR="00A24E6C" w:rsidRPr="00D07FFE" w:rsidRDefault="00A24E6C" w:rsidP="00A24E6C">
      <w:pPr>
        <w:pStyle w:val="Default"/>
        <w:rPr>
          <w:sz w:val="22"/>
          <w:szCs w:val="22"/>
        </w:rPr>
      </w:pPr>
    </w:p>
    <w:p w:rsidR="00A24E6C" w:rsidRPr="00D07FFE" w:rsidRDefault="00A24E6C" w:rsidP="00A24E6C">
      <w:pPr>
        <w:pStyle w:val="Default"/>
        <w:ind w:firstLine="360"/>
        <w:rPr>
          <w:sz w:val="22"/>
          <w:szCs w:val="22"/>
        </w:rPr>
      </w:pPr>
      <w:r w:rsidRPr="00D07FFE">
        <w:rPr>
          <w:sz w:val="22"/>
          <w:szCs w:val="22"/>
        </w:rPr>
        <w:t>This information collection does not affect small businesses.</w:t>
      </w:r>
    </w:p>
    <w:p w:rsidR="00A24E6C" w:rsidRPr="00D07FFE" w:rsidRDefault="00A24E6C" w:rsidP="00A24E6C">
      <w:pPr>
        <w:pStyle w:val="Default"/>
        <w:ind w:left="360" w:hanging="360"/>
        <w:rPr>
          <w:sz w:val="22"/>
          <w:szCs w:val="22"/>
        </w:rPr>
      </w:pPr>
    </w:p>
    <w:p w:rsidR="00A24E6C" w:rsidRPr="00D07FFE" w:rsidRDefault="00A24E6C" w:rsidP="00A24E6C">
      <w:pPr>
        <w:pStyle w:val="Default"/>
        <w:ind w:left="270" w:hanging="270"/>
        <w:rPr>
          <w:sz w:val="22"/>
          <w:szCs w:val="22"/>
          <w:u w:val="single"/>
        </w:rPr>
      </w:pPr>
      <w:r w:rsidRPr="00D07FFE">
        <w:rPr>
          <w:sz w:val="22"/>
          <w:szCs w:val="22"/>
        </w:rPr>
        <w:t xml:space="preserve">6.  </w:t>
      </w:r>
      <w:r w:rsidRPr="00D07FFE">
        <w:rPr>
          <w:sz w:val="22"/>
          <w:szCs w:val="22"/>
          <w:u w:val="single"/>
        </w:rPr>
        <w:t>Consequences to Federal Program or Policy Activities if the Collection is Not Conducted or is</w:t>
      </w:r>
    </w:p>
    <w:p w:rsidR="00A24E6C" w:rsidRPr="00D07FFE" w:rsidRDefault="00A24E6C" w:rsidP="00A24E6C">
      <w:pPr>
        <w:pStyle w:val="Default"/>
        <w:tabs>
          <w:tab w:val="left" w:pos="630"/>
        </w:tabs>
        <w:ind w:left="270"/>
        <w:rPr>
          <w:sz w:val="22"/>
          <w:szCs w:val="22"/>
          <w:u w:val="single"/>
        </w:rPr>
      </w:pPr>
      <w:r w:rsidRPr="00D07FFE">
        <w:rPr>
          <w:sz w:val="22"/>
          <w:szCs w:val="22"/>
        </w:rPr>
        <w:t xml:space="preserve"> </w:t>
      </w:r>
      <w:r w:rsidRPr="00D07FFE">
        <w:rPr>
          <w:sz w:val="22"/>
          <w:szCs w:val="22"/>
          <w:u w:val="single"/>
        </w:rPr>
        <w:t>Conducted Less Frequently</w:t>
      </w:r>
    </w:p>
    <w:p w:rsidR="00A24E6C" w:rsidRPr="00D07FFE" w:rsidRDefault="00A24E6C" w:rsidP="00A24E6C">
      <w:pPr>
        <w:pStyle w:val="Default"/>
        <w:ind w:left="360" w:hanging="360"/>
        <w:rPr>
          <w:sz w:val="22"/>
          <w:szCs w:val="22"/>
        </w:rPr>
      </w:pPr>
    </w:p>
    <w:p w:rsidR="00A24E6C" w:rsidRPr="00D07FFE" w:rsidRDefault="00A24E6C" w:rsidP="00A24E6C">
      <w:pPr>
        <w:pStyle w:val="Default"/>
        <w:ind w:left="360"/>
        <w:rPr>
          <w:sz w:val="22"/>
          <w:szCs w:val="22"/>
        </w:rPr>
      </w:pPr>
      <w:r w:rsidRPr="00D07FFE">
        <w:rPr>
          <w:sz w:val="22"/>
          <w:szCs w:val="22"/>
        </w:rPr>
        <w:t>The environmental information collected by the applicant and included in the ER is affected by the final rule changes to Table B-</w:t>
      </w:r>
      <w:r>
        <w:rPr>
          <w:sz w:val="22"/>
          <w:szCs w:val="22"/>
        </w:rPr>
        <w:t>1</w:t>
      </w:r>
      <w:r w:rsidRPr="00D07FFE">
        <w:rPr>
          <w:sz w:val="22"/>
          <w:szCs w:val="22"/>
        </w:rPr>
        <w:t>.  The information provided in the ER is used by the NRC to conduct an assessment of the environmental impacts that could result from the renewal of the operating license and the continued operation of the nuclear power plant.  The NRC then completes the environmental review and documents the results in a site-specific SEIS in compliance with NEPA.</w:t>
      </w:r>
    </w:p>
    <w:p w:rsidR="00A24E6C" w:rsidRPr="00D07FFE" w:rsidRDefault="00A24E6C" w:rsidP="00A24E6C">
      <w:pPr>
        <w:pStyle w:val="Default"/>
        <w:rPr>
          <w:sz w:val="22"/>
          <w:szCs w:val="22"/>
        </w:rPr>
      </w:pPr>
    </w:p>
    <w:p w:rsidR="00A24E6C" w:rsidRPr="00D07FFE" w:rsidRDefault="00A24E6C" w:rsidP="00A24E6C">
      <w:pPr>
        <w:pStyle w:val="Default"/>
        <w:ind w:left="360"/>
        <w:rPr>
          <w:sz w:val="22"/>
          <w:szCs w:val="22"/>
        </w:rPr>
      </w:pPr>
      <w:r w:rsidRPr="00D07FFE">
        <w:rPr>
          <w:sz w:val="22"/>
          <w:szCs w:val="22"/>
        </w:rPr>
        <w:lastRenderedPageBreak/>
        <w:t xml:space="preserve">Without the information collected as a result of the final changes to Table B-1, the NRC could not complete the environmental review in a timely manner which could delay the overall completion of a license </w:t>
      </w:r>
      <w:r>
        <w:rPr>
          <w:sz w:val="22"/>
          <w:szCs w:val="22"/>
        </w:rPr>
        <w:t xml:space="preserve">renewal </w:t>
      </w:r>
      <w:r w:rsidRPr="00D07FFE">
        <w:rPr>
          <w:sz w:val="22"/>
          <w:szCs w:val="22"/>
        </w:rPr>
        <w:t xml:space="preserve">review.  Delays in the environmental review process likely would increase the </w:t>
      </w:r>
      <w:r>
        <w:rPr>
          <w:sz w:val="22"/>
          <w:szCs w:val="22"/>
        </w:rPr>
        <w:t xml:space="preserve">information collection and reporting </w:t>
      </w:r>
      <w:r w:rsidRPr="00D07FFE">
        <w:rPr>
          <w:sz w:val="22"/>
          <w:szCs w:val="22"/>
        </w:rPr>
        <w:t>burden because additional time would be required for the licensee to collect and provide missing information to the NRC and for the NRC to conduct supplemental analyses on the additional information provided.</w:t>
      </w:r>
    </w:p>
    <w:p w:rsidR="00A24E6C" w:rsidRPr="00D07FFE" w:rsidRDefault="00A24E6C" w:rsidP="00A24E6C">
      <w:pPr>
        <w:pStyle w:val="Default"/>
        <w:rPr>
          <w:sz w:val="22"/>
          <w:szCs w:val="22"/>
        </w:rPr>
      </w:pPr>
    </w:p>
    <w:p w:rsidR="00A24E6C" w:rsidRPr="00D07FFE" w:rsidRDefault="00A24E6C" w:rsidP="00A24E6C">
      <w:pPr>
        <w:pStyle w:val="Default"/>
        <w:rPr>
          <w:sz w:val="22"/>
          <w:szCs w:val="22"/>
          <w:u w:val="single"/>
        </w:rPr>
      </w:pPr>
      <w:r w:rsidRPr="00D07FFE">
        <w:rPr>
          <w:sz w:val="22"/>
          <w:szCs w:val="22"/>
        </w:rPr>
        <w:t xml:space="preserve">7.  </w:t>
      </w:r>
      <w:r w:rsidRPr="00D07FFE">
        <w:rPr>
          <w:sz w:val="22"/>
          <w:szCs w:val="22"/>
          <w:u w:val="single"/>
        </w:rPr>
        <w:t>Circumstances Which Justify Variation from OMB Guidelines</w:t>
      </w:r>
    </w:p>
    <w:p w:rsidR="00A24E6C" w:rsidRPr="00D07FFE" w:rsidRDefault="00A24E6C" w:rsidP="00A24E6C">
      <w:pPr>
        <w:pStyle w:val="Default"/>
        <w:rPr>
          <w:sz w:val="22"/>
          <w:szCs w:val="22"/>
        </w:rPr>
      </w:pPr>
    </w:p>
    <w:p w:rsidR="00A24E6C" w:rsidRDefault="00A24E6C" w:rsidP="00A24E6C">
      <w:pPr>
        <w:pStyle w:val="Default"/>
        <w:ind w:firstLine="360"/>
        <w:rPr>
          <w:sz w:val="22"/>
          <w:szCs w:val="22"/>
        </w:rPr>
      </w:pPr>
      <w:r w:rsidRPr="00D07FFE">
        <w:rPr>
          <w:sz w:val="22"/>
          <w:szCs w:val="22"/>
        </w:rPr>
        <w:t>There is no variation from OMB guidelines.</w:t>
      </w:r>
    </w:p>
    <w:p w:rsidR="00A24E6C" w:rsidRDefault="00A24E6C" w:rsidP="00A24E6C">
      <w:pPr>
        <w:pStyle w:val="Default"/>
        <w:ind w:firstLine="360"/>
        <w:rPr>
          <w:sz w:val="22"/>
          <w:szCs w:val="22"/>
        </w:rPr>
      </w:pPr>
    </w:p>
    <w:p w:rsidR="00A24E6C" w:rsidRPr="00D07FFE" w:rsidRDefault="00A24E6C" w:rsidP="00A24E6C">
      <w:pPr>
        <w:pStyle w:val="Default"/>
        <w:keepNext/>
        <w:keepLines/>
        <w:rPr>
          <w:sz w:val="22"/>
          <w:szCs w:val="22"/>
        </w:rPr>
      </w:pPr>
      <w:r w:rsidRPr="00D07FFE">
        <w:rPr>
          <w:sz w:val="22"/>
          <w:szCs w:val="22"/>
        </w:rPr>
        <w:t xml:space="preserve">8.  </w:t>
      </w:r>
      <w:r w:rsidRPr="00D07FFE">
        <w:rPr>
          <w:sz w:val="22"/>
          <w:szCs w:val="22"/>
          <w:u w:val="single"/>
        </w:rPr>
        <w:t>Consultations Outside the NRC</w:t>
      </w:r>
    </w:p>
    <w:p w:rsidR="00A24E6C" w:rsidRPr="00D07FFE" w:rsidRDefault="00A24E6C" w:rsidP="00A24E6C">
      <w:pPr>
        <w:pStyle w:val="Default"/>
        <w:keepNext/>
        <w:keepLines/>
        <w:rPr>
          <w:sz w:val="22"/>
          <w:szCs w:val="22"/>
        </w:rPr>
      </w:pPr>
    </w:p>
    <w:p w:rsidR="00C93AF1" w:rsidRDefault="00A24E6C" w:rsidP="00A24E6C">
      <w:pPr>
        <w:pStyle w:val="Default"/>
        <w:keepNext/>
        <w:keepLines/>
        <w:ind w:left="360"/>
        <w:rPr>
          <w:sz w:val="22"/>
          <w:szCs w:val="22"/>
        </w:rPr>
      </w:pPr>
      <w:r w:rsidRPr="00D07FFE">
        <w:rPr>
          <w:sz w:val="22"/>
          <w:szCs w:val="22"/>
        </w:rPr>
        <w:t xml:space="preserve">The opportunity for public comment on the information collection requirements for this rulemaking package was published in the </w:t>
      </w:r>
      <w:r w:rsidRPr="000E1015">
        <w:rPr>
          <w:i/>
          <w:sz w:val="22"/>
          <w:szCs w:val="22"/>
        </w:rPr>
        <w:t>Federal Register</w:t>
      </w:r>
      <w:r w:rsidR="007367A9">
        <w:rPr>
          <w:sz w:val="22"/>
          <w:szCs w:val="22"/>
        </w:rPr>
        <w:t xml:space="preserve"> on July 31, 2009 (74 FR 38117)</w:t>
      </w:r>
      <w:r w:rsidRPr="00D07FFE">
        <w:rPr>
          <w:sz w:val="22"/>
          <w:szCs w:val="22"/>
        </w:rPr>
        <w:t>.</w:t>
      </w:r>
      <w:r w:rsidR="00C93AF1">
        <w:rPr>
          <w:sz w:val="22"/>
          <w:szCs w:val="22"/>
        </w:rPr>
        <w:t xml:space="preserve"> </w:t>
      </w:r>
      <w:r w:rsidRPr="00D07FFE">
        <w:rPr>
          <w:sz w:val="22"/>
          <w:szCs w:val="22"/>
        </w:rPr>
        <w:t xml:space="preserve"> </w:t>
      </w:r>
      <w:r w:rsidR="00F82BEA">
        <w:rPr>
          <w:sz w:val="22"/>
          <w:szCs w:val="22"/>
        </w:rPr>
        <w:t xml:space="preserve">In addition, rulemaking related documents were made available for public review on </w:t>
      </w:r>
      <w:r w:rsidR="00F82BEA" w:rsidRPr="00D60BF7">
        <w:rPr>
          <w:sz w:val="22"/>
          <w:szCs w:val="22"/>
          <w:u w:val="single"/>
        </w:rPr>
        <w:t>www.regulations.gov</w:t>
      </w:r>
      <w:r w:rsidR="00F82BEA">
        <w:rPr>
          <w:sz w:val="22"/>
          <w:szCs w:val="22"/>
        </w:rPr>
        <w:t xml:space="preserve"> (Docket ID NRC-2008-0608).  </w:t>
      </w:r>
      <w:r w:rsidR="00C93AF1">
        <w:rPr>
          <w:sz w:val="22"/>
          <w:szCs w:val="22"/>
        </w:rPr>
        <w:t xml:space="preserve">The NRC received 32 document submissions containing comments </w:t>
      </w:r>
      <w:r w:rsidR="00C93AF1" w:rsidRPr="00D07FFE">
        <w:rPr>
          <w:sz w:val="22"/>
          <w:szCs w:val="22"/>
        </w:rPr>
        <w:t>from industry stakeholders, representatives of Federal and State agencies</w:t>
      </w:r>
      <w:r w:rsidR="00C93AF1">
        <w:rPr>
          <w:sz w:val="22"/>
          <w:szCs w:val="22"/>
        </w:rPr>
        <w:t>, and other interested parties.</w:t>
      </w:r>
    </w:p>
    <w:p w:rsidR="00C93AF1" w:rsidRDefault="00C93AF1" w:rsidP="00C93AF1">
      <w:pPr>
        <w:pStyle w:val="Default"/>
        <w:keepNext/>
        <w:keepLines/>
        <w:rPr>
          <w:sz w:val="22"/>
          <w:szCs w:val="22"/>
        </w:rPr>
      </w:pPr>
    </w:p>
    <w:p w:rsidR="00F82BEA" w:rsidRDefault="00A24E6C" w:rsidP="00A24E6C">
      <w:pPr>
        <w:pStyle w:val="Default"/>
        <w:keepNext/>
        <w:keepLines/>
        <w:ind w:left="360"/>
        <w:rPr>
          <w:sz w:val="22"/>
          <w:szCs w:val="22"/>
        </w:rPr>
      </w:pPr>
      <w:r w:rsidRPr="00D07FFE">
        <w:rPr>
          <w:sz w:val="22"/>
          <w:szCs w:val="22"/>
        </w:rPr>
        <w:t xml:space="preserve">During the public comment period, the NRC conducted six public meetings to solicit comments on the proposed rule, revised GEIS, </w:t>
      </w:r>
      <w:r w:rsidR="003946F8">
        <w:rPr>
          <w:sz w:val="22"/>
          <w:szCs w:val="22"/>
        </w:rPr>
        <w:t xml:space="preserve">and related guidance documents.  </w:t>
      </w:r>
      <w:r w:rsidRPr="00D07FFE">
        <w:rPr>
          <w:sz w:val="22"/>
          <w:szCs w:val="22"/>
        </w:rPr>
        <w:t>Public meetings were held in Atlanta, Georgia (September 15, 2009); Newton</w:t>
      </w:r>
      <w:r>
        <w:rPr>
          <w:sz w:val="22"/>
          <w:szCs w:val="22"/>
        </w:rPr>
        <w:t>,</w:t>
      </w:r>
      <w:r w:rsidRPr="00D07FFE">
        <w:rPr>
          <w:sz w:val="22"/>
          <w:szCs w:val="22"/>
        </w:rPr>
        <w:t xml:space="preserve"> Massachusetts (September 17, 2009); Oak Brook, Illinois (September 24, 2009); Rockville, Maryland (October 1, 2009); Pismo Beach, California (October 20, 2009); and Dana Point, California (October 22, 2009).  The NRC received verbal comments at these meetings</w:t>
      </w:r>
      <w:r w:rsidR="00F82BEA">
        <w:rPr>
          <w:sz w:val="22"/>
          <w:szCs w:val="22"/>
        </w:rPr>
        <w:t>.</w:t>
      </w:r>
    </w:p>
    <w:p w:rsidR="00F82BEA" w:rsidRDefault="00F82BEA" w:rsidP="00A24E6C">
      <w:pPr>
        <w:pStyle w:val="Default"/>
        <w:keepNext/>
        <w:keepLines/>
        <w:ind w:left="360"/>
        <w:rPr>
          <w:sz w:val="22"/>
          <w:szCs w:val="22"/>
        </w:rPr>
      </w:pPr>
    </w:p>
    <w:p w:rsidR="00A24E6C" w:rsidRPr="00401F69" w:rsidRDefault="00401F69" w:rsidP="00A24E6C">
      <w:pPr>
        <w:pStyle w:val="Default"/>
        <w:keepNext/>
        <w:keepLines/>
        <w:ind w:left="360"/>
        <w:rPr>
          <w:sz w:val="22"/>
          <w:szCs w:val="22"/>
        </w:rPr>
      </w:pPr>
      <w:r w:rsidRPr="00401F69">
        <w:rPr>
          <w:sz w:val="22"/>
          <w:szCs w:val="22"/>
        </w:rPr>
        <w:t xml:space="preserve">In total, the NRC received </w:t>
      </w:r>
      <w:r w:rsidR="00F82BEA">
        <w:rPr>
          <w:sz w:val="22"/>
          <w:szCs w:val="22"/>
        </w:rPr>
        <w:t xml:space="preserve">about </w:t>
      </w:r>
      <w:r w:rsidRPr="00401F69">
        <w:rPr>
          <w:sz w:val="22"/>
          <w:szCs w:val="22"/>
        </w:rPr>
        <w:t>1000 comments</w:t>
      </w:r>
      <w:r>
        <w:rPr>
          <w:sz w:val="22"/>
          <w:szCs w:val="22"/>
        </w:rPr>
        <w:t>.</w:t>
      </w:r>
      <w:r w:rsidR="002F4C6F">
        <w:rPr>
          <w:sz w:val="22"/>
          <w:szCs w:val="22"/>
        </w:rPr>
        <w:t xml:space="preserve">  No comments addressed the information collection requirements</w:t>
      </w:r>
      <w:r w:rsidR="003946F8">
        <w:rPr>
          <w:sz w:val="22"/>
          <w:szCs w:val="22"/>
        </w:rPr>
        <w:t xml:space="preserve"> (i.e., reporting burden)</w:t>
      </w:r>
      <w:r w:rsidR="006E78D2">
        <w:rPr>
          <w:sz w:val="22"/>
          <w:szCs w:val="22"/>
        </w:rPr>
        <w:t>.</w:t>
      </w:r>
    </w:p>
    <w:p w:rsidR="00A24E6C" w:rsidRPr="00D07FFE" w:rsidRDefault="00A24E6C" w:rsidP="00A24E6C">
      <w:pPr>
        <w:pStyle w:val="Default"/>
        <w:rPr>
          <w:sz w:val="22"/>
          <w:szCs w:val="22"/>
        </w:rPr>
      </w:pPr>
    </w:p>
    <w:p w:rsidR="00A24E6C" w:rsidRPr="00D07FFE" w:rsidRDefault="00A24E6C" w:rsidP="00A24E6C">
      <w:pPr>
        <w:pStyle w:val="Default"/>
        <w:rPr>
          <w:sz w:val="22"/>
          <w:szCs w:val="22"/>
          <w:u w:val="single"/>
        </w:rPr>
      </w:pPr>
      <w:r w:rsidRPr="00D07FFE">
        <w:rPr>
          <w:sz w:val="22"/>
          <w:szCs w:val="22"/>
        </w:rPr>
        <w:t xml:space="preserve">9.  </w:t>
      </w:r>
      <w:r w:rsidRPr="00D07FFE">
        <w:rPr>
          <w:sz w:val="22"/>
          <w:szCs w:val="22"/>
          <w:u w:val="single"/>
        </w:rPr>
        <w:t>Payment or Gifts to Respondents</w:t>
      </w:r>
    </w:p>
    <w:p w:rsidR="00A24E6C" w:rsidRPr="00D07FFE" w:rsidRDefault="00A24E6C" w:rsidP="00A24E6C">
      <w:pPr>
        <w:pStyle w:val="Default"/>
        <w:rPr>
          <w:sz w:val="22"/>
          <w:szCs w:val="22"/>
        </w:rPr>
      </w:pPr>
    </w:p>
    <w:p w:rsidR="00A24E6C" w:rsidRPr="00D07FFE" w:rsidRDefault="00A24E6C" w:rsidP="00A24E6C">
      <w:pPr>
        <w:pStyle w:val="Default"/>
        <w:ind w:firstLine="360"/>
        <w:rPr>
          <w:sz w:val="22"/>
          <w:szCs w:val="22"/>
        </w:rPr>
      </w:pPr>
      <w:r w:rsidRPr="00D07FFE">
        <w:rPr>
          <w:sz w:val="22"/>
          <w:szCs w:val="22"/>
        </w:rPr>
        <w:t>Not applicable.</w:t>
      </w:r>
    </w:p>
    <w:p w:rsidR="00A24E6C" w:rsidRPr="00D07FFE" w:rsidRDefault="00A24E6C" w:rsidP="00A24E6C">
      <w:pPr>
        <w:pStyle w:val="Default"/>
        <w:rPr>
          <w:sz w:val="22"/>
          <w:szCs w:val="22"/>
        </w:rPr>
      </w:pPr>
    </w:p>
    <w:p w:rsidR="00A24E6C" w:rsidRPr="00D07FFE" w:rsidRDefault="00A24E6C" w:rsidP="00A24E6C">
      <w:pPr>
        <w:pStyle w:val="Default"/>
        <w:rPr>
          <w:sz w:val="22"/>
          <w:szCs w:val="22"/>
          <w:u w:val="single"/>
        </w:rPr>
      </w:pPr>
      <w:r w:rsidRPr="00D07FFE">
        <w:rPr>
          <w:sz w:val="22"/>
          <w:szCs w:val="22"/>
        </w:rPr>
        <w:t xml:space="preserve">10. </w:t>
      </w:r>
      <w:r w:rsidRPr="00D07FFE">
        <w:rPr>
          <w:sz w:val="22"/>
          <w:szCs w:val="22"/>
          <w:u w:val="single"/>
        </w:rPr>
        <w:t>Confidentiality of Information</w:t>
      </w:r>
    </w:p>
    <w:p w:rsidR="00A24E6C" w:rsidRPr="00D07FFE" w:rsidRDefault="00A24E6C" w:rsidP="00A24E6C">
      <w:pPr>
        <w:pStyle w:val="Default"/>
        <w:rPr>
          <w:sz w:val="22"/>
          <w:szCs w:val="22"/>
        </w:rPr>
      </w:pPr>
    </w:p>
    <w:p w:rsidR="00A24E6C" w:rsidRPr="00D07FFE" w:rsidRDefault="00A24E6C" w:rsidP="00A24E6C">
      <w:pPr>
        <w:pStyle w:val="Default"/>
        <w:ind w:left="360"/>
        <w:rPr>
          <w:sz w:val="22"/>
          <w:szCs w:val="22"/>
        </w:rPr>
      </w:pPr>
      <w:r w:rsidRPr="00D07FFE">
        <w:rPr>
          <w:sz w:val="22"/>
          <w:szCs w:val="22"/>
        </w:rPr>
        <w:t>Confidential and proprietary information is protected in accordance with NRC regulations at 10 CFR 9.17(a) and 10 CFR 2.390(b).  However, no information normally considered confidential or proprietary is requested.</w:t>
      </w:r>
    </w:p>
    <w:p w:rsidR="00A24E6C" w:rsidRPr="00D07FFE" w:rsidRDefault="00A24E6C" w:rsidP="00A24E6C">
      <w:pPr>
        <w:pStyle w:val="Default"/>
        <w:ind w:left="360"/>
        <w:rPr>
          <w:sz w:val="22"/>
          <w:szCs w:val="22"/>
        </w:rPr>
      </w:pPr>
    </w:p>
    <w:p w:rsidR="00A24E6C" w:rsidRPr="00D07FFE" w:rsidRDefault="00A24E6C" w:rsidP="00A24E6C">
      <w:pPr>
        <w:pStyle w:val="Default"/>
        <w:widowControl w:val="0"/>
        <w:rPr>
          <w:sz w:val="22"/>
          <w:szCs w:val="22"/>
          <w:u w:val="single"/>
        </w:rPr>
      </w:pPr>
      <w:r w:rsidRPr="00D07FFE">
        <w:rPr>
          <w:sz w:val="22"/>
          <w:szCs w:val="22"/>
        </w:rPr>
        <w:t xml:space="preserve">11. </w:t>
      </w:r>
      <w:r w:rsidRPr="00D07FFE">
        <w:rPr>
          <w:sz w:val="22"/>
          <w:szCs w:val="22"/>
          <w:u w:val="single"/>
        </w:rPr>
        <w:t>Justification for Sensitive Questions</w:t>
      </w:r>
    </w:p>
    <w:p w:rsidR="00A24E6C" w:rsidRPr="00D07FFE" w:rsidRDefault="00A24E6C" w:rsidP="00A24E6C">
      <w:pPr>
        <w:pStyle w:val="Default"/>
        <w:rPr>
          <w:sz w:val="22"/>
          <w:szCs w:val="22"/>
        </w:rPr>
      </w:pPr>
    </w:p>
    <w:p w:rsidR="00A24E6C" w:rsidRDefault="00A24E6C" w:rsidP="00A24E6C">
      <w:pPr>
        <w:pStyle w:val="Default"/>
        <w:ind w:left="360"/>
        <w:rPr>
          <w:sz w:val="22"/>
          <w:szCs w:val="22"/>
        </w:rPr>
      </w:pPr>
      <w:r w:rsidRPr="00D07FFE">
        <w:rPr>
          <w:sz w:val="22"/>
          <w:szCs w:val="22"/>
        </w:rPr>
        <w:t>Not applicable.</w:t>
      </w:r>
    </w:p>
    <w:p w:rsidR="00A24E6C" w:rsidRPr="00D07FFE" w:rsidRDefault="00A24E6C" w:rsidP="00A24E6C">
      <w:pPr>
        <w:pStyle w:val="Default"/>
        <w:rPr>
          <w:sz w:val="22"/>
          <w:szCs w:val="22"/>
        </w:rPr>
      </w:pPr>
    </w:p>
    <w:p w:rsidR="00A24E6C" w:rsidRPr="00D07FFE" w:rsidRDefault="00A24E6C" w:rsidP="00C42EBD">
      <w:pPr>
        <w:pStyle w:val="Default"/>
        <w:keepNext/>
        <w:keepLines/>
        <w:rPr>
          <w:sz w:val="22"/>
          <w:szCs w:val="22"/>
        </w:rPr>
      </w:pPr>
      <w:r w:rsidRPr="00D07FFE">
        <w:rPr>
          <w:sz w:val="22"/>
          <w:szCs w:val="22"/>
        </w:rPr>
        <w:lastRenderedPageBreak/>
        <w:t xml:space="preserve">12. </w:t>
      </w:r>
      <w:r w:rsidR="00467041">
        <w:rPr>
          <w:sz w:val="22"/>
          <w:szCs w:val="22"/>
          <w:u w:val="single"/>
        </w:rPr>
        <w:t>Estimate</w:t>
      </w:r>
      <w:r w:rsidR="00C80F19">
        <w:rPr>
          <w:sz w:val="22"/>
          <w:szCs w:val="22"/>
          <w:u w:val="single"/>
        </w:rPr>
        <w:t>d</w:t>
      </w:r>
      <w:r w:rsidR="00467041">
        <w:rPr>
          <w:sz w:val="22"/>
          <w:szCs w:val="22"/>
          <w:u w:val="single"/>
        </w:rPr>
        <w:t xml:space="preserve"> </w:t>
      </w:r>
      <w:r w:rsidR="00C80F19">
        <w:rPr>
          <w:sz w:val="22"/>
          <w:szCs w:val="22"/>
          <w:u w:val="single"/>
        </w:rPr>
        <w:t xml:space="preserve">Industry </w:t>
      </w:r>
      <w:r w:rsidRPr="00D07FFE">
        <w:rPr>
          <w:sz w:val="22"/>
          <w:szCs w:val="22"/>
          <w:u w:val="single"/>
        </w:rPr>
        <w:t>Burden and Burden Hour Cost</w:t>
      </w:r>
    </w:p>
    <w:p w:rsidR="00A24E6C" w:rsidRPr="00D07FFE" w:rsidRDefault="00A24E6C" w:rsidP="00C42EBD">
      <w:pPr>
        <w:pStyle w:val="Default"/>
        <w:keepNext/>
        <w:keepLines/>
        <w:rPr>
          <w:sz w:val="22"/>
          <w:szCs w:val="22"/>
        </w:rPr>
      </w:pPr>
    </w:p>
    <w:p w:rsidR="00A24E6C" w:rsidRPr="00D07FFE" w:rsidRDefault="00A24E6C" w:rsidP="00C42EBD">
      <w:pPr>
        <w:pStyle w:val="Default"/>
        <w:keepNext/>
        <w:keepLines/>
        <w:ind w:firstLine="360"/>
        <w:rPr>
          <w:sz w:val="22"/>
          <w:szCs w:val="22"/>
          <w:u w:val="single"/>
        </w:rPr>
      </w:pPr>
      <w:r w:rsidRPr="00D07FFE">
        <w:rPr>
          <w:sz w:val="22"/>
          <w:szCs w:val="22"/>
        </w:rPr>
        <w:t xml:space="preserve">a.  </w:t>
      </w:r>
      <w:r w:rsidRPr="00D07FFE">
        <w:rPr>
          <w:sz w:val="22"/>
          <w:szCs w:val="22"/>
          <w:u w:val="single"/>
        </w:rPr>
        <w:t>Reporting Burden and Cost</w:t>
      </w:r>
    </w:p>
    <w:p w:rsidR="00A24E6C" w:rsidRPr="00D07FFE" w:rsidRDefault="00A24E6C" w:rsidP="00C42EBD">
      <w:pPr>
        <w:pStyle w:val="Default"/>
        <w:keepNext/>
        <w:keepLines/>
        <w:rPr>
          <w:sz w:val="22"/>
          <w:szCs w:val="22"/>
        </w:rPr>
      </w:pPr>
    </w:p>
    <w:p w:rsidR="00A24E6C" w:rsidRPr="003E288F" w:rsidRDefault="005C0DC2" w:rsidP="00C42EBD">
      <w:pPr>
        <w:pStyle w:val="Default"/>
        <w:keepNext/>
        <w:keepLines/>
        <w:ind w:left="720"/>
        <w:rPr>
          <w:color w:val="auto"/>
          <w:sz w:val="22"/>
          <w:szCs w:val="22"/>
        </w:rPr>
      </w:pPr>
      <w:r>
        <w:rPr>
          <w:sz w:val="22"/>
          <w:szCs w:val="22"/>
        </w:rPr>
        <w:t xml:space="preserve">The information required by the environmental assessment for renewal of nuclear plant operating licenses will be collected once from each applicant required to perform the assessment under 10 CFR Part 51.  </w:t>
      </w:r>
      <w:r w:rsidR="00A24E6C" w:rsidRPr="00D07FFE">
        <w:rPr>
          <w:sz w:val="22"/>
          <w:szCs w:val="22"/>
        </w:rPr>
        <w:t xml:space="preserve">The </w:t>
      </w:r>
      <w:r w:rsidR="00CD2C8D">
        <w:rPr>
          <w:sz w:val="22"/>
          <w:szCs w:val="22"/>
        </w:rPr>
        <w:t xml:space="preserve">estimated annualized one-time reporting </w:t>
      </w:r>
      <w:r w:rsidR="00A24E6C" w:rsidRPr="00D07FFE">
        <w:rPr>
          <w:sz w:val="22"/>
          <w:szCs w:val="22"/>
        </w:rPr>
        <w:t>burden</w:t>
      </w:r>
      <w:r w:rsidR="00CD2C8D">
        <w:rPr>
          <w:sz w:val="22"/>
          <w:szCs w:val="22"/>
        </w:rPr>
        <w:t xml:space="preserve"> to industry for </w:t>
      </w:r>
      <w:r w:rsidR="00A24E6C" w:rsidRPr="00D07FFE">
        <w:rPr>
          <w:sz w:val="22"/>
          <w:szCs w:val="22"/>
        </w:rPr>
        <w:t xml:space="preserve">this information </w:t>
      </w:r>
      <w:r w:rsidR="00162880">
        <w:rPr>
          <w:sz w:val="22"/>
          <w:szCs w:val="22"/>
        </w:rPr>
        <w:t xml:space="preserve">collection is presented in </w:t>
      </w:r>
      <w:r w:rsidR="00861573">
        <w:rPr>
          <w:sz w:val="22"/>
          <w:szCs w:val="22"/>
        </w:rPr>
        <w:t>Exhibit 1</w:t>
      </w:r>
      <w:r w:rsidR="00CD2C8D">
        <w:rPr>
          <w:sz w:val="22"/>
          <w:szCs w:val="22"/>
        </w:rPr>
        <w:t xml:space="preserve"> for </w:t>
      </w:r>
      <w:r w:rsidR="005D739D">
        <w:rPr>
          <w:sz w:val="22"/>
          <w:szCs w:val="22"/>
        </w:rPr>
        <w:t>th</w:t>
      </w:r>
      <w:r w:rsidR="00A920A0">
        <w:rPr>
          <w:sz w:val="22"/>
          <w:szCs w:val="22"/>
        </w:rPr>
        <w:t>e</w:t>
      </w:r>
      <w:r w:rsidR="005D739D">
        <w:rPr>
          <w:sz w:val="22"/>
          <w:szCs w:val="22"/>
        </w:rPr>
        <w:t xml:space="preserve"> 3-year OMB clearance period (i.e., 2013–2015)</w:t>
      </w:r>
      <w:r w:rsidR="00A24E6C" w:rsidRPr="00D07FFE">
        <w:rPr>
          <w:sz w:val="22"/>
          <w:szCs w:val="22"/>
        </w:rPr>
        <w:t>.</w:t>
      </w:r>
      <w:r w:rsidR="00162880">
        <w:rPr>
          <w:sz w:val="22"/>
          <w:szCs w:val="22"/>
        </w:rPr>
        <w:t xml:space="preserve">  </w:t>
      </w:r>
      <w:r w:rsidR="00A24E6C" w:rsidRPr="008F7DDC">
        <w:rPr>
          <w:color w:val="auto"/>
          <w:sz w:val="22"/>
          <w:szCs w:val="22"/>
        </w:rPr>
        <w:t>Th</w:t>
      </w:r>
      <w:r w:rsidR="00162880">
        <w:rPr>
          <w:color w:val="auto"/>
          <w:sz w:val="22"/>
          <w:szCs w:val="22"/>
        </w:rPr>
        <w:t>e</w:t>
      </w:r>
      <w:r w:rsidR="00A24E6C" w:rsidRPr="008F7DDC">
        <w:rPr>
          <w:color w:val="auto"/>
          <w:sz w:val="22"/>
          <w:szCs w:val="22"/>
        </w:rPr>
        <w:t xml:space="preserve"> estimate of burden addresses only the burden of the revision and amendments to the existing rule that affect the information collection requirements. These estimates are based on estimates made by NRC personnel who are familiar with the </w:t>
      </w:r>
      <w:r w:rsidR="00A24E6C" w:rsidRPr="003E288F">
        <w:rPr>
          <w:color w:val="auto"/>
          <w:sz w:val="22"/>
          <w:szCs w:val="22"/>
        </w:rPr>
        <w:t>required information.</w:t>
      </w:r>
    </w:p>
    <w:p w:rsidR="00A24E6C" w:rsidRDefault="00A24E6C" w:rsidP="00A24E6C">
      <w:pPr>
        <w:pStyle w:val="Default"/>
        <w:rPr>
          <w:sz w:val="22"/>
          <w:szCs w:val="22"/>
        </w:rPr>
      </w:pPr>
    </w:p>
    <w:p w:rsidR="00A24E6C" w:rsidRDefault="005C0DC2" w:rsidP="00A24E6C">
      <w:pPr>
        <w:pStyle w:val="Default"/>
        <w:ind w:left="720"/>
        <w:rPr>
          <w:sz w:val="22"/>
          <w:szCs w:val="22"/>
        </w:rPr>
      </w:pPr>
      <w:r>
        <w:rPr>
          <w:sz w:val="22"/>
          <w:szCs w:val="22"/>
        </w:rPr>
        <w:t xml:space="preserve">The final rule </w:t>
      </w:r>
      <w:r w:rsidR="007D23D8">
        <w:rPr>
          <w:sz w:val="22"/>
          <w:szCs w:val="22"/>
        </w:rPr>
        <w:t xml:space="preserve">will </w:t>
      </w:r>
      <w:r>
        <w:rPr>
          <w:sz w:val="22"/>
          <w:szCs w:val="22"/>
        </w:rPr>
        <w:t xml:space="preserve">decrease the annual reporting burden by </w:t>
      </w:r>
      <w:r w:rsidR="00767457">
        <w:rPr>
          <w:sz w:val="22"/>
          <w:szCs w:val="22"/>
        </w:rPr>
        <w:t>1</w:t>
      </w:r>
      <w:r>
        <w:rPr>
          <w:sz w:val="22"/>
          <w:szCs w:val="22"/>
        </w:rPr>
        <w:t>,</w:t>
      </w:r>
      <w:r w:rsidR="00767457">
        <w:rPr>
          <w:sz w:val="22"/>
          <w:szCs w:val="22"/>
        </w:rPr>
        <w:t>969</w:t>
      </w:r>
      <w:r w:rsidR="00A24E6C" w:rsidRPr="003E288F">
        <w:rPr>
          <w:sz w:val="22"/>
          <w:szCs w:val="22"/>
        </w:rPr>
        <w:t>.</w:t>
      </w:r>
      <w:r w:rsidR="00767457">
        <w:rPr>
          <w:sz w:val="22"/>
          <w:szCs w:val="22"/>
        </w:rPr>
        <w:t>6</w:t>
      </w:r>
      <w:r w:rsidR="00A24E6C" w:rsidRPr="003E288F">
        <w:rPr>
          <w:sz w:val="22"/>
          <w:szCs w:val="22"/>
        </w:rPr>
        <w:t> hours for a</w:t>
      </w:r>
      <w:r w:rsidR="00355F8C">
        <w:rPr>
          <w:sz w:val="22"/>
          <w:szCs w:val="22"/>
        </w:rPr>
        <w:t>n annual</w:t>
      </w:r>
      <w:r w:rsidR="00A24E6C" w:rsidRPr="003E288F">
        <w:rPr>
          <w:sz w:val="22"/>
          <w:szCs w:val="22"/>
        </w:rPr>
        <w:t xml:space="preserve"> savings of $</w:t>
      </w:r>
      <w:r w:rsidR="00767457">
        <w:rPr>
          <w:sz w:val="22"/>
          <w:szCs w:val="22"/>
        </w:rPr>
        <w:t>539</w:t>
      </w:r>
      <w:r w:rsidR="00A24E6C" w:rsidRPr="003E288F">
        <w:rPr>
          <w:sz w:val="22"/>
          <w:szCs w:val="22"/>
        </w:rPr>
        <w:t>,</w:t>
      </w:r>
      <w:r w:rsidR="00767457">
        <w:rPr>
          <w:sz w:val="22"/>
          <w:szCs w:val="22"/>
        </w:rPr>
        <w:t>670</w:t>
      </w:r>
      <w:r w:rsidR="00355F8C">
        <w:rPr>
          <w:sz w:val="22"/>
          <w:szCs w:val="22"/>
        </w:rPr>
        <w:t xml:space="preserve"> (</w:t>
      </w:r>
      <w:r w:rsidR="00767457">
        <w:rPr>
          <w:sz w:val="22"/>
          <w:szCs w:val="22"/>
        </w:rPr>
        <w:t>1</w:t>
      </w:r>
      <w:r w:rsidR="00355F8C">
        <w:rPr>
          <w:sz w:val="22"/>
          <w:szCs w:val="22"/>
        </w:rPr>
        <w:t>,</w:t>
      </w:r>
      <w:r w:rsidR="00767457">
        <w:rPr>
          <w:sz w:val="22"/>
          <w:szCs w:val="22"/>
        </w:rPr>
        <w:t>969</w:t>
      </w:r>
      <w:r w:rsidR="00355F8C">
        <w:rPr>
          <w:sz w:val="22"/>
          <w:szCs w:val="22"/>
        </w:rPr>
        <w:t>.</w:t>
      </w:r>
      <w:r w:rsidR="00767457">
        <w:rPr>
          <w:sz w:val="22"/>
          <w:szCs w:val="22"/>
        </w:rPr>
        <w:t>6</w:t>
      </w:r>
      <w:r w:rsidR="00355F8C">
        <w:rPr>
          <w:sz w:val="22"/>
          <w:szCs w:val="22"/>
        </w:rPr>
        <w:t xml:space="preserve"> hours x $27</w:t>
      </w:r>
      <w:r w:rsidR="006E78D2">
        <w:rPr>
          <w:sz w:val="22"/>
          <w:szCs w:val="22"/>
        </w:rPr>
        <w:t>4</w:t>
      </w:r>
      <w:r w:rsidR="00355F8C">
        <w:rPr>
          <w:sz w:val="22"/>
          <w:szCs w:val="22"/>
        </w:rPr>
        <w:t>/hour) during th</w:t>
      </w:r>
      <w:r w:rsidR="002C2110">
        <w:rPr>
          <w:sz w:val="22"/>
          <w:szCs w:val="22"/>
        </w:rPr>
        <w:t>e</w:t>
      </w:r>
      <w:r w:rsidR="00355F8C">
        <w:rPr>
          <w:sz w:val="22"/>
          <w:szCs w:val="22"/>
        </w:rPr>
        <w:t xml:space="preserve"> 3-year OMB clearance period.</w:t>
      </w:r>
    </w:p>
    <w:p w:rsidR="00A24E6C" w:rsidRDefault="00A24E6C" w:rsidP="00F64E03">
      <w:pPr>
        <w:pStyle w:val="Default"/>
        <w:rPr>
          <w:sz w:val="22"/>
          <w:szCs w:val="22"/>
        </w:rPr>
      </w:pPr>
    </w:p>
    <w:p w:rsidR="00A24E6C" w:rsidRDefault="00A24E6C" w:rsidP="00A24E6C">
      <w:pPr>
        <w:pStyle w:val="Default"/>
        <w:keepNext/>
        <w:keepLines/>
        <w:ind w:left="360"/>
        <w:rPr>
          <w:sz w:val="22"/>
          <w:szCs w:val="22"/>
          <w:u w:val="single"/>
        </w:rPr>
      </w:pPr>
      <w:r w:rsidRPr="00D07FFE">
        <w:rPr>
          <w:sz w:val="22"/>
          <w:szCs w:val="22"/>
        </w:rPr>
        <w:t xml:space="preserve">b.  </w:t>
      </w:r>
      <w:r w:rsidRPr="00D07FFE">
        <w:rPr>
          <w:sz w:val="22"/>
          <w:szCs w:val="22"/>
          <w:u w:val="single"/>
        </w:rPr>
        <w:t>Recordkeeping Burden and Cost</w:t>
      </w:r>
    </w:p>
    <w:p w:rsidR="00A24E6C" w:rsidRDefault="00A24E6C" w:rsidP="00A24E6C">
      <w:pPr>
        <w:pStyle w:val="Default"/>
        <w:keepNext/>
        <w:keepLines/>
        <w:rPr>
          <w:sz w:val="22"/>
          <w:szCs w:val="22"/>
        </w:rPr>
      </w:pPr>
    </w:p>
    <w:p w:rsidR="00A24E6C" w:rsidRDefault="00A24E6C" w:rsidP="00A24E6C">
      <w:pPr>
        <w:pStyle w:val="Default"/>
        <w:keepNext/>
        <w:keepLines/>
        <w:ind w:left="720"/>
        <w:rPr>
          <w:sz w:val="22"/>
          <w:szCs w:val="22"/>
        </w:rPr>
      </w:pPr>
      <w:r w:rsidRPr="00D07FFE">
        <w:rPr>
          <w:sz w:val="22"/>
          <w:szCs w:val="22"/>
        </w:rPr>
        <w:t>Recordkeeping requirements are not specified in 10 CFR Part 51.</w:t>
      </w:r>
    </w:p>
    <w:p w:rsidR="00A24E6C" w:rsidRDefault="00A24E6C" w:rsidP="00A24E6C">
      <w:pPr>
        <w:pStyle w:val="Default"/>
        <w:keepNext/>
        <w:keepLines/>
        <w:rPr>
          <w:sz w:val="22"/>
          <w:szCs w:val="22"/>
        </w:rPr>
      </w:pPr>
    </w:p>
    <w:p w:rsidR="00A24E6C" w:rsidRPr="00D07FFE" w:rsidRDefault="00A24E6C" w:rsidP="00A24E6C">
      <w:pPr>
        <w:pStyle w:val="Default"/>
        <w:rPr>
          <w:sz w:val="22"/>
          <w:szCs w:val="22"/>
          <w:u w:val="single"/>
        </w:rPr>
      </w:pPr>
      <w:r w:rsidRPr="00D07FFE">
        <w:rPr>
          <w:sz w:val="22"/>
          <w:szCs w:val="22"/>
        </w:rPr>
        <w:t xml:space="preserve">13. </w:t>
      </w:r>
      <w:r w:rsidRPr="00D07FFE">
        <w:rPr>
          <w:sz w:val="22"/>
          <w:szCs w:val="22"/>
          <w:u w:val="single"/>
        </w:rPr>
        <w:t>Estimate of Other Additional Cost</w:t>
      </w:r>
    </w:p>
    <w:p w:rsidR="00A24E6C" w:rsidRPr="00D07FFE" w:rsidRDefault="00A24E6C" w:rsidP="00A24E6C">
      <w:pPr>
        <w:pStyle w:val="Default"/>
        <w:rPr>
          <w:sz w:val="22"/>
          <w:szCs w:val="22"/>
        </w:rPr>
      </w:pPr>
    </w:p>
    <w:p w:rsidR="00A24E6C" w:rsidRPr="00D07FFE" w:rsidRDefault="002C6997" w:rsidP="00A24E6C">
      <w:pPr>
        <w:pStyle w:val="Default"/>
        <w:ind w:left="360"/>
        <w:rPr>
          <w:sz w:val="22"/>
          <w:szCs w:val="22"/>
        </w:rPr>
      </w:pPr>
      <w:r>
        <w:rPr>
          <w:sz w:val="22"/>
          <w:szCs w:val="22"/>
        </w:rPr>
        <w:t>The NRC has determined that the records storage cost is roughly proportional to the recordkeeping burden cost.  Based on a typical clearance, the records storage cost has been determined to be equal to 0.0004 percent of the recordkeeping burden cost.  Therefore, the records storage cost is estimated to be $0.00 (0 recordkeeping hours x 0.0004 x 274/hr = $0.00).</w:t>
      </w:r>
    </w:p>
    <w:p w:rsidR="00A24E6C" w:rsidRPr="00D07FFE" w:rsidRDefault="00A24E6C" w:rsidP="00A24E6C">
      <w:pPr>
        <w:pStyle w:val="Default"/>
        <w:rPr>
          <w:sz w:val="22"/>
          <w:szCs w:val="22"/>
        </w:rPr>
      </w:pPr>
    </w:p>
    <w:p w:rsidR="00A24E6C" w:rsidRPr="00D07FFE" w:rsidRDefault="00A24E6C" w:rsidP="00A24E6C">
      <w:pPr>
        <w:pStyle w:val="Default"/>
        <w:rPr>
          <w:sz w:val="22"/>
          <w:szCs w:val="22"/>
          <w:u w:val="single"/>
        </w:rPr>
      </w:pPr>
      <w:r w:rsidRPr="00D07FFE">
        <w:rPr>
          <w:sz w:val="22"/>
          <w:szCs w:val="22"/>
        </w:rPr>
        <w:t xml:space="preserve">14. </w:t>
      </w:r>
      <w:r w:rsidRPr="00D07FFE">
        <w:rPr>
          <w:sz w:val="22"/>
          <w:szCs w:val="22"/>
          <w:u w:val="single"/>
        </w:rPr>
        <w:t>Estimated Annualized Cost to the Federal Government</w:t>
      </w:r>
    </w:p>
    <w:p w:rsidR="00A24E6C" w:rsidRPr="00D07FFE" w:rsidRDefault="00A24E6C" w:rsidP="00A24E6C">
      <w:pPr>
        <w:pStyle w:val="Default"/>
        <w:rPr>
          <w:sz w:val="22"/>
          <w:szCs w:val="22"/>
        </w:rPr>
      </w:pPr>
    </w:p>
    <w:p w:rsidR="004B038E" w:rsidRDefault="003B0EC7" w:rsidP="00A24E6C">
      <w:pPr>
        <w:pStyle w:val="Default"/>
        <w:ind w:left="360"/>
        <w:rPr>
          <w:sz w:val="22"/>
          <w:szCs w:val="22"/>
        </w:rPr>
      </w:pPr>
      <w:r w:rsidRPr="003E288F">
        <w:rPr>
          <w:sz w:val="22"/>
          <w:szCs w:val="22"/>
        </w:rPr>
        <w:t xml:space="preserve">The </w:t>
      </w:r>
      <w:r>
        <w:rPr>
          <w:sz w:val="22"/>
          <w:szCs w:val="22"/>
        </w:rPr>
        <w:t xml:space="preserve">final amendments and revisions to Table B-1 will decrease the </w:t>
      </w:r>
      <w:r w:rsidR="00CD2C8D">
        <w:rPr>
          <w:sz w:val="22"/>
          <w:szCs w:val="22"/>
        </w:rPr>
        <w:t>estimated annualized one-time c</w:t>
      </w:r>
      <w:r w:rsidR="007F6018">
        <w:rPr>
          <w:sz w:val="22"/>
          <w:szCs w:val="22"/>
        </w:rPr>
        <w:t>ost</w:t>
      </w:r>
      <w:r w:rsidR="00CD2C8D">
        <w:rPr>
          <w:sz w:val="22"/>
          <w:szCs w:val="22"/>
        </w:rPr>
        <w:t xml:space="preserve"> to </w:t>
      </w:r>
      <w:r>
        <w:rPr>
          <w:sz w:val="22"/>
          <w:szCs w:val="22"/>
        </w:rPr>
        <w:t xml:space="preserve">the NRC to review the environmental assessment </w:t>
      </w:r>
      <w:r w:rsidR="004B038E">
        <w:rPr>
          <w:sz w:val="22"/>
          <w:szCs w:val="22"/>
        </w:rPr>
        <w:t>for a license renewal application</w:t>
      </w:r>
      <w:r>
        <w:rPr>
          <w:sz w:val="22"/>
          <w:szCs w:val="22"/>
        </w:rPr>
        <w:t xml:space="preserve">.  </w:t>
      </w:r>
      <w:r w:rsidR="007F6018">
        <w:rPr>
          <w:sz w:val="22"/>
          <w:szCs w:val="22"/>
        </w:rPr>
        <w:t xml:space="preserve">Exhibit 2 presents the estimated annualized </w:t>
      </w:r>
      <w:r w:rsidR="007361DE">
        <w:rPr>
          <w:sz w:val="22"/>
          <w:szCs w:val="22"/>
        </w:rPr>
        <w:t xml:space="preserve">one-time cost </w:t>
      </w:r>
      <w:r w:rsidR="007F6018">
        <w:rPr>
          <w:sz w:val="22"/>
          <w:szCs w:val="22"/>
        </w:rPr>
        <w:t>to the NRC during the 3</w:t>
      </w:r>
      <w:r w:rsidR="007F6018">
        <w:rPr>
          <w:sz w:val="22"/>
          <w:szCs w:val="22"/>
        </w:rPr>
        <w:noBreakHyphen/>
        <w:t>year OMB clearance period (</w:t>
      </w:r>
      <w:r w:rsidR="004B038E">
        <w:rPr>
          <w:sz w:val="22"/>
          <w:szCs w:val="22"/>
        </w:rPr>
        <w:t>2013–2015)</w:t>
      </w:r>
      <w:r w:rsidR="007F6018">
        <w:rPr>
          <w:sz w:val="22"/>
          <w:szCs w:val="22"/>
        </w:rPr>
        <w:t>.</w:t>
      </w:r>
    </w:p>
    <w:p w:rsidR="004B038E" w:rsidRDefault="004B038E" w:rsidP="00F64E03">
      <w:pPr>
        <w:pStyle w:val="Default"/>
        <w:rPr>
          <w:sz w:val="22"/>
          <w:szCs w:val="22"/>
        </w:rPr>
      </w:pPr>
    </w:p>
    <w:p w:rsidR="0048097E" w:rsidRDefault="0048097E" w:rsidP="007874AD">
      <w:pPr>
        <w:pStyle w:val="Default"/>
        <w:ind w:left="360"/>
        <w:rPr>
          <w:sz w:val="22"/>
          <w:szCs w:val="22"/>
        </w:rPr>
      </w:pPr>
      <w:r>
        <w:rPr>
          <w:sz w:val="22"/>
          <w:szCs w:val="22"/>
        </w:rPr>
        <w:t>The final rule will decrease the annual</w:t>
      </w:r>
      <w:r w:rsidR="003F5EA0">
        <w:rPr>
          <w:sz w:val="22"/>
          <w:szCs w:val="22"/>
        </w:rPr>
        <w:t>ized</w:t>
      </w:r>
      <w:r>
        <w:rPr>
          <w:sz w:val="22"/>
          <w:szCs w:val="22"/>
        </w:rPr>
        <w:t xml:space="preserve"> burden </w:t>
      </w:r>
      <w:r w:rsidR="003F5EA0">
        <w:rPr>
          <w:sz w:val="22"/>
          <w:szCs w:val="22"/>
        </w:rPr>
        <w:t xml:space="preserve">to the NRC </w:t>
      </w:r>
      <w:r>
        <w:rPr>
          <w:sz w:val="22"/>
          <w:szCs w:val="22"/>
        </w:rPr>
        <w:t xml:space="preserve">by </w:t>
      </w:r>
      <w:r w:rsidR="00767457">
        <w:rPr>
          <w:sz w:val="22"/>
          <w:szCs w:val="22"/>
        </w:rPr>
        <w:t>2</w:t>
      </w:r>
      <w:r>
        <w:rPr>
          <w:sz w:val="22"/>
          <w:szCs w:val="22"/>
        </w:rPr>
        <w:t>,</w:t>
      </w:r>
      <w:r w:rsidR="00767457">
        <w:rPr>
          <w:sz w:val="22"/>
          <w:szCs w:val="22"/>
        </w:rPr>
        <w:t>0</w:t>
      </w:r>
      <w:r w:rsidR="00D1515D">
        <w:rPr>
          <w:sz w:val="22"/>
          <w:szCs w:val="22"/>
        </w:rPr>
        <w:t>2</w:t>
      </w:r>
      <w:r w:rsidR="00A9001B">
        <w:rPr>
          <w:sz w:val="22"/>
          <w:szCs w:val="22"/>
        </w:rPr>
        <w:t>6</w:t>
      </w:r>
      <w:r w:rsidRPr="003E288F">
        <w:rPr>
          <w:sz w:val="22"/>
          <w:szCs w:val="22"/>
        </w:rPr>
        <w:t>.</w:t>
      </w:r>
      <w:r w:rsidR="00A9001B">
        <w:rPr>
          <w:sz w:val="22"/>
          <w:szCs w:val="22"/>
        </w:rPr>
        <w:t>6</w:t>
      </w:r>
      <w:r w:rsidRPr="003E288F">
        <w:rPr>
          <w:sz w:val="22"/>
          <w:szCs w:val="22"/>
        </w:rPr>
        <w:t> hours for a</w:t>
      </w:r>
      <w:r w:rsidR="00417DB1">
        <w:rPr>
          <w:sz w:val="22"/>
          <w:szCs w:val="22"/>
        </w:rPr>
        <w:t>n</w:t>
      </w:r>
      <w:r>
        <w:rPr>
          <w:sz w:val="22"/>
          <w:szCs w:val="22"/>
        </w:rPr>
        <w:t xml:space="preserve"> annual</w:t>
      </w:r>
      <w:r w:rsidR="003F5EA0">
        <w:rPr>
          <w:sz w:val="22"/>
          <w:szCs w:val="22"/>
        </w:rPr>
        <w:t>ized savings of $</w:t>
      </w:r>
      <w:r w:rsidR="00767457">
        <w:rPr>
          <w:sz w:val="22"/>
          <w:szCs w:val="22"/>
        </w:rPr>
        <w:t>555</w:t>
      </w:r>
      <w:r w:rsidRPr="003E288F">
        <w:rPr>
          <w:sz w:val="22"/>
          <w:szCs w:val="22"/>
        </w:rPr>
        <w:t>,</w:t>
      </w:r>
      <w:r w:rsidR="00A9001B">
        <w:rPr>
          <w:sz w:val="22"/>
          <w:szCs w:val="22"/>
        </w:rPr>
        <w:t>288</w:t>
      </w:r>
      <w:r>
        <w:rPr>
          <w:sz w:val="22"/>
          <w:szCs w:val="22"/>
        </w:rPr>
        <w:t xml:space="preserve"> (</w:t>
      </w:r>
      <w:r w:rsidR="00767457">
        <w:rPr>
          <w:sz w:val="22"/>
          <w:szCs w:val="22"/>
        </w:rPr>
        <w:t>2</w:t>
      </w:r>
      <w:r>
        <w:rPr>
          <w:sz w:val="22"/>
          <w:szCs w:val="22"/>
        </w:rPr>
        <w:t>,</w:t>
      </w:r>
      <w:r w:rsidR="00767457">
        <w:rPr>
          <w:sz w:val="22"/>
          <w:szCs w:val="22"/>
        </w:rPr>
        <w:t>0</w:t>
      </w:r>
      <w:r w:rsidR="00D1515D">
        <w:rPr>
          <w:sz w:val="22"/>
          <w:szCs w:val="22"/>
        </w:rPr>
        <w:t>2</w:t>
      </w:r>
      <w:r w:rsidR="00A9001B">
        <w:rPr>
          <w:sz w:val="22"/>
          <w:szCs w:val="22"/>
        </w:rPr>
        <w:t>6</w:t>
      </w:r>
      <w:r w:rsidR="003F5EA0">
        <w:rPr>
          <w:sz w:val="22"/>
          <w:szCs w:val="22"/>
        </w:rPr>
        <w:t>.</w:t>
      </w:r>
      <w:r w:rsidR="00A9001B">
        <w:rPr>
          <w:sz w:val="22"/>
          <w:szCs w:val="22"/>
        </w:rPr>
        <w:t>6</w:t>
      </w:r>
      <w:r w:rsidR="003F5EA0">
        <w:rPr>
          <w:sz w:val="22"/>
          <w:szCs w:val="22"/>
        </w:rPr>
        <w:t xml:space="preserve"> </w:t>
      </w:r>
      <w:r>
        <w:rPr>
          <w:sz w:val="22"/>
          <w:szCs w:val="22"/>
        </w:rPr>
        <w:t>hours x $27</w:t>
      </w:r>
      <w:r w:rsidR="00F64E03">
        <w:rPr>
          <w:sz w:val="22"/>
          <w:szCs w:val="22"/>
        </w:rPr>
        <w:t>4</w:t>
      </w:r>
      <w:r>
        <w:rPr>
          <w:sz w:val="22"/>
          <w:szCs w:val="22"/>
        </w:rPr>
        <w:t>/hour) during the 3-year OMB clearance period.</w:t>
      </w:r>
    </w:p>
    <w:p w:rsidR="00A24E6C" w:rsidRPr="00D07FFE" w:rsidRDefault="00A24E6C" w:rsidP="00A24E6C">
      <w:pPr>
        <w:pStyle w:val="Default"/>
        <w:rPr>
          <w:sz w:val="22"/>
          <w:szCs w:val="22"/>
        </w:rPr>
      </w:pPr>
    </w:p>
    <w:p w:rsidR="00A24E6C" w:rsidRPr="00D07FFE" w:rsidRDefault="00A24E6C" w:rsidP="00A24E6C">
      <w:pPr>
        <w:pStyle w:val="Default"/>
        <w:ind w:left="360"/>
        <w:rPr>
          <w:sz w:val="22"/>
          <w:szCs w:val="22"/>
        </w:rPr>
      </w:pPr>
      <w:r w:rsidRPr="00D07FFE">
        <w:rPr>
          <w:sz w:val="22"/>
          <w:szCs w:val="22"/>
        </w:rPr>
        <w:t>This cost is fully recovered through fee assessments to NRC licensees pursuant 10 CFR 170 or 171.</w:t>
      </w:r>
    </w:p>
    <w:p w:rsidR="00A24E6C" w:rsidRPr="00D07FFE" w:rsidRDefault="00A24E6C" w:rsidP="00A24E6C">
      <w:pPr>
        <w:pStyle w:val="Default"/>
        <w:rPr>
          <w:sz w:val="22"/>
          <w:szCs w:val="22"/>
        </w:rPr>
      </w:pPr>
    </w:p>
    <w:p w:rsidR="00A24E6C" w:rsidRPr="00D07FFE" w:rsidRDefault="00A24E6C" w:rsidP="00A24E6C">
      <w:pPr>
        <w:pStyle w:val="Default"/>
        <w:rPr>
          <w:sz w:val="22"/>
          <w:szCs w:val="22"/>
          <w:u w:val="single"/>
        </w:rPr>
      </w:pPr>
      <w:r w:rsidRPr="00D07FFE">
        <w:rPr>
          <w:sz w:val="22"/>
          <w:szCs w:val="22"/>
        </w:rPr>
        <w:t xml:space="preserve">15. </w:t>
      </w:r>
      <w:r w:rsidRPr="00D07FFE">
        <w:rPr>
          <w:sz w:val="22"/>
          <w:szCs w:val="22"/>
          <w:u w:val="single"/>
        </w:rPr>
        <w:t>Reasons for Change in Burden</w:t>
      </w:r>
    </w:p>
    <w:p w:rsidR="00A24E6C" w:rsidRDefault="00A24E6C" w:rsidP="00A24E6C">
      <w:pPr>
        <w:pStyle w:val="Default"/>
        <w:rPr>
          <w:sz w:val="22"/>
          <w:szCs w:val="22"/>
        </w:rPr>
      </w:pPr>
    </w:p>
    <w:p w:rsidR="00417DB1" w:rsidRDefault="00E64965" w:rsidP="00417DB1">
      <w:pPr>
        <w:pStyle w:val="Default"/>
        <w:ind w:left="360"/>
        <w:rPr>
          <w:sz w:val="22"/>
          <w:szCs w:val="22"/>
        </w:rPr>
      </w:pPr>
      <w:r>
        <w:rPr>
          <w:sz w:val="22"/>
          <w:szCs w:val="22"/>
        </w:rPr>
        <w:t xml:space="preserve">The final rule will </w:t>
      </w:r>
      <w:r w:rsidR="002923C5">
        <w:rPr>
          <w:sz w:val="22"/>
          <w:szCs w:val="22"/>
        </w:rPr>
        <w:t xml:space="preserve">decrease </w:t>
      </w:r>
      <w:r>
        <w:rPr>
          <w:sz w:val="22"/>
          <w:szCs w:val="22"/>
        </w:rPr>
        <w:t xml:space="preserve">the information collection burden </w:t>
      </w:r>
      <w:r w:rsidR="002923C5">
        <w:rPr>
          <w:sz w:val="22"/>
          <w:szCs w:val="22"/>
        </w:rPr>
        <w:t>for applicants for renewal of nuclear power plant opera</w:t>
      </w:r>
      <w:r w:rsidR="00D237C9">
        <w:rPr>
          <w:sz w:val="22"/>
          <w:szCs w:val="22"/>
        </w:rPr>
        <w:t>ting licenses and the total is 5</w:t>
      </w:r>
      <w:r w:rsidR="002923C5">
        <w:rPr>
          <w:sz w:val="22"/>
          <w:szCs w:val="22"/>
        </w:rPr>
        <w:t>,</w:t>
      </w:r>
      <w:r w:rsidR="00D237C9">
        <w:rPr>
          <w:sz w:val="22"/>
          <w:szCs w:val="22"/>
        </w:rPr>
        <w:t>908</w:t>
      </w:r>
      <w:r w:rsidR="002923C5">
        <w:rPr>
          <w:sz w:val="22"/>
          <w:szCs w:val="22"/>
        </w:rPr>
        <w:t>.</w:t>
      </w:r>
      <w:r w:rsidR="00D237C9">
        <w:rPr>
          <w:sz w:val="22"/>
          <w:szCs w:val="22"/>
        </w:rPr>
        <w:t>8</w:t>
      </w:r>
      <w:r w:rsidR="002923C5">
        <w:rPr>
          <w:sz w:val="22"/>
          <w:szCs w:val="22"/>
        </w:rPr>
        <w:t xml:space="preserve"> hours during a 3-year period (</w:t>
      </w:r>
      <w:r w:rsidR="00D237C9">
        <w:rPr>
          <w:sz w:val="22"/>
          <w:szCs w:val="22"/>
        </w:rPr>
        <w:t>1</w:t>
      </w:r>
      <w:r w:rsidR="002923C5">
        <w:rPr>
          <w:sz w:val="22"/>
          <w:szCs w:val="22"/>
        </w:rPr>
        <w:t>,</w:t>
      </w:r>
      <w:r w:rsidR="00D237C9">
        <w:rPr>
          <w:sz w:val="22"/>
          <w:szCs w:val="22"/>
        </w:rPr>
        <w:t>969</w:t>
      </w:r>
      <w:r w:rsidR="002923C5">
        <w:rPr>
          <w:sz w:val="22"/>
          <w:szCs w:val="22"/>
        </w:rPr>
        <w:t>.</w:t>
      </w:r>
      <w:r w:rsidR="00D237C9">
        <w:rPr>
          <w:sz w:val="22"/>
          <w:szCs w:val="22"/>
        </w:rPr>
        <w:t>6</w:t>
      </w:r>
      <w:r w:rsidR="002923C5">
        <w:rPr>
          <w:sz w:val="22"/>
          <w:szCs w:val="22"/>
        </w:rPr>
        <w:t xml:space="preserve"> hours annually).  The final rule will decrease the annual burden for 10 CFR 51 </w:t>
      </w:r>
      <w:r w:rsidR="00417DB1">
        <w:rPr>
          <w:sz w:val="22"/>
          <w:szCs w:val="22"/>
        </w:rPr>
        <w:t xml:space="preserve">from </w:t>
      </w:r>
      <w:r w:rsidR="00D237C9">
        <w:rPr>
          <w:sz w:val="22"/>
          <w:szCs w:val="22"/>
        </w:rPr>
        <w:t>100</w:t>
      </w:r>
      <w:r w:rsidR="00F64E03">
        <w:rPr>
          <w:sz w:val="22"/>
          <w:szCs w:val="22"/>
        </w:rPr>
        <w:t>,</w:t>
      </w:r>
      <w:r w:rsidR="00D237C9">
        <w:rPr>
          <w:sz w:val="22"/>
          <w:szCs w:val="22"/>
        </w:rPr>
        <w:t>783</w:t>
      </w:r>
      <w:r w:rsidR="00417DB1">
        <w:rPr>
          <w:sz w:val="22"/>
          <w:szCs w:val="22"/>
        </w:rPr>
        <w:t xml:space="preserve"> hours to </w:t>
      </w:r>
      <w:r w:rsidR="00D237C9">
        <w:rPr>
          <w:sz w:val="22"/>
          <w:szCs w:val="22"/>
        </w:rPr>
        <w:t>94</w:t>
      </w:r>
      <w:r w:rsidR="00F64E03">
        <w:rPr>
          <w:sz w:val="22"/>
          <w:szCs w:val="22"/>
        </w:rPr>
        <w:t>,</w:t>
      </w:r>
      <w:r w:rsidR="00D237C9">
        <w:rPr>
          <w:sz w:val="22"/>
          <w:szCs w:val="22"/>
        </w:rPr>
        <w:t>874</w:t>
      </w:r>
      <w:r w:rsidR="00417DB1">
        <w:rPr>
          <w:sz w:val="22"/>
          <w:szCs w:val="22"/>
        </w:rPr>
        <w:t xml:space="preserve"> hours by redefining the number and scope of the environmental </w:t>
      </w:r>
      <w:r w:rsidR="00417DB1">
        <w:rPr>
          <w:sz w:val="22"/>
          <w:szCs w:val="22"/>
        </w:rPr>
        <w:lastRenderedPageBreak/>
        <w:t xml:space="preserve">impact issues that </w:t>
      </w:r>
      <w:r w:rsidR="00036AD3">
        <w:rPr>
          <w:sz w:val="22"/>
          <w:szCs w:val="22"/>
        </w:rPr>
        <w:t>applicants must address in their environmental reports for renewal of nuclear power plant operating licenses</w:t>
      </w:r>
      <w:r w:rsidR="00752DC8">
        <w:rPr>
          <w:sz w:val="22"/>
          <w:szCs w:val="22"/>
        </w:rPr>
        <w:t>.</w:t>
      </w:r>
      <w:r w:rsidR="001600D3">
        <w:rPr>
          <w:sz w:val="22"/>
          <w:szCs w:val="22"/>
        </w:rPr>
        <w:t xml:space="preserve">  Exhibit 3 presents the total information collection burden reduction from 2013 thr</w:t>
      </w:r>
      <w:r w:rsidR="002904F6">
        <w:rPr>
          <w:sz w:val="22"/>
          <w:szCs w:val="22"/>
        </w:rPr>
        <w:t>ough</w:t>
      </w:r>
      <w:r w:rsidR="001600D3">
        <w:rPr>
          <w:sz w:val="22"/>
          <w:szCs w:val="22"/>
        </w:rPr>
        <w:t xml:space="preserve"> 2015 for industry and </w:t>
      </w:r>
      <w:r w:rsidR="002904F6">
        <w:rPr>
          <w:sz w:val="22"/>
          <w:szCs w:val="22"/>
        </w:rPr>
        <w:t xml:space="preserve">the </w:t>
      </w:r>
      <w:r w:rsidR="001600D3">
        <w:rPr>
          <w:sz w:val="22"/>
          <w:szCs w:val="22"/>
        </w:rPr>
        <w:t>NRC.</w:t>
      </w:r>
    </w:p>
    <w:p w:rsidR="00417DB1" w:rsidRDefault="00417DB1" w:rsidP="00162880">
      <w:pPr>
        <w:pStyle w:val="Default"/>
        <w:ind w:left="360"/>
        <w:rPr>
          <w:sz w:val="22"/>
          <w:szCs w:val="22"/>
        </w:rPr>
      </w:pPr>
    </w:p>
    <w:p w:rsidR="00C279F9" w:rsidRDefault="00E74F10" w:rsidP="00162880">
      <w:pPr>
        <w:pStyle w:val="Default"/>
        <w:ind w:left="360"/>
        <w:rPr>
          <w:sz w:val="22"/>
          <w:szCs w:val="22"/>
        </w:rPr>
      </w:pPr>
      <w:r>
        <w:rPr>
          <w:sz w:val="22"/>
          <w:szCs w:val="22"/>
        </w:rPr>
        <w:t xml:space="preserve">In the </w:t>
      </w:r>
      <w:r w:rsidR="003A1591">
        <w:rPr>
          <w:sz w:val="22"/>
          <w:szCs w:val="22"/>
        </w:rPr>
        <w:t>analysis done for the proposed rule</w:t>
      </w:r>
      <w:r w:rsidR="00792B70">
        <w:rPr>
          <w:sz w:val="22"/>
          <w:szCs w:val="22"/>
        </w:rPr>
        <w:t>,</w:t>
      </w:r>
      <w:r w:rsidR="003A1591">
        <w:rPr>
          <w:sz w:val="22"/>
          <w:szCs w:val="22"/>
        </w:rPr>
        <w:t xml:space="preserve"> </w:t>
      </w:r>
      <w:r>
        <w:rPr>
          <w:sz w:val="22"/>
          <w:szCs w:val="22"/>
        </w:rPr>
        <w:t xml:space="preserve">the </w:t>
      </w:r>
      <w:r w:rsidR="003E50D4">
        <w:rPr>
          <w:sz w:val="22"/>
          <w:szCs w:val="22"/>
        </w:rPr>
        <w:t>estimated a</w:t>
      </w:r>
      <w:r w:rsidR="003A1591">
        <w:rPr>
          <w:sz w:val="22"/>
          <w:szCs w:val="22"/>
        </w:rPr>
        <w:t xml:space="preserve">nnualized </w:t>
      </w:r>
      <w:r w:rsidR="003E50D4">
        <w:rPr>
          <w:sz w:val="22"/>
          <w:szCs w:val="22"/>
        </w:rPr>
        <w:t xml:space="preserve">one-time reporting </w:t>
      </w:r>
      <w:r>
        <w:rPr>
          <w:sz w:val="22"/>
          <w:szCs w:val="22"/>
        </w:rPr>
        <w:t xml:space="preserve">burden to industry </w:t>
      </w:r>
      <w:r w:rsidR="003E50D4">
        <w:rPr>
          <w:sz w:val="22"/>
          <w:szCs w:val="22"/>
        </w:rPr>
        <w:t xml:space="preserve">for this information collection </w:t>
      </w:r>
      <w:r w:rsidR="00792B70">
        <w:rPr>
          <w:sz w:val="22"/>
          <w:szCs w:val="22"/>
        </w:rPr>
        <w:t xml:space="preserve">was shown to </w:t>
      </w:r>
      <w:r>
        <w:rPr>
          <w:sz w:val="22"/>
          <w:szCs w:val="22"/>
        </w:rPr>
        <w:t>increase</w:t>
      </w:r>
      <w:r w:rsidR="003E50D4">
        <w:rPr>
          <w:sz w:val="22"/>
          <w:szCs w:val="22"/>
        </w:rPr>
        <w:t xml:space="preserve"> </w:t>
      </w:r>
      <w:r w:rsidR="00792B70">
        <w:rPr>
          <w:sz w:val="22"/>
          <w:szCs w:val="22"/>
        </w:rPr>
        <w:t>by</w:t>
      </w:r>
      <w:r w:rsidR="003E50D4">
        <w:rPr>
          <w:sz w:val="22"/>
          <w:szCs w:val="22"/>
        </w:rPr>
        <w:t xml:space="preserve"> </w:t>
      </w:r>
      <w:r w:rsidR="003A1591">
        <w:rPr>
          <w:sz w:val="22"/>
          <w:szCs w:val="22"/>
        </w:rPr>
        <w:t>1,800.0 hours</w:t>
      </w:r>
      <w:r w:rsidR="00C279F9">
        <w:rPr>
          <w:sz w:val="22"/>
          <w:szCs w:val="22"/>
        </w:rPr>
        <w:t xml:space="preserve"> during the 3-year OMB clearance period</w:t>
      </w:r>
      <w:r w:rsidR="00792B70">
        <w:rPr>
          <w:sz w:val="22"/>
          <w:szCs w:val="22"/>
        </w:rPr>
        <w:t xml:space="preserve">.  The change from a burden </w:t>
      </w:r>
      <w:r w:rsidR="00C91E6E">
        <w:rPr>
          <w:sz w:val="22"/>
          <w:szCs w:val="22"/>
        </w:rPr>
        <w:t>in</w:t>
      </w:r>
      <w:r w:rsidR="00792B70">
        <w:rPr>
          <w:sz w:val="22"/>
          <w:szCs w:val="22"/>
        </w:rPr>
        <w:t xml:space="preserve">crease </w:t>
      </w:r>
      <w:r w:rsidR="00C91E6E">
        <w:rPr>
          <w:sz w:val="22"/>
          <w:szCs w:val="22"/>
        </w:rPr>
        <w:t xml:space="preserve">(proposed rule) to a burden decrease </w:t>
      </w:r>
      <w:r w:rsidR="00C279F9">
        <w:rPr>
          <w:sz w:val="22"/>
          <w:szCs w:val="22"/>
        </w:rPr>
        <w:t>(final rule) is largely due to the following:</w:t>
      </w:r>
    </w:p>
    <w:p w:rsidR="00C279F9" w:rsidRDefault="00C279F9" w:rsidP="00162880">
      <w:pPr>
        <w:pStyle w:val="Default"/>
        <w:ind w:left="360"/>
        <w:rPr>
          <w:sz w:val="22"/>
          <w:szCs w:val="22"/>
        </w:rPr>
      </w:pPr>
    </w:p>
    <w:p w:rsidR="006A620C" w:rsidRDefault="00C279F9" w:rsidP="006A620C">
      <w:pPr>
        <w:pStyle w:val="Default"/>
        <w:numPr>
          <w:ilvl w:val="0"/>
          <w:numId w:val="4"/>
        </w:numPr>
        <w:ind w:left="360" w:firstLine="0"/>
        <w:rPr>
          <w:sz w:val="22"/>
          <w:szCs w:val="22"/>
        </w:rPr>
      </w:pPr>
      <w:r w:rsidRPr="00532BC6">
        <w:rPr>
          <w:sz w:val="22"/>
          <w:szCs w:val="22"/>
        </w:rPr>
        <w:t xml:space="preserve">The proposed rule </w:t>
      </w:r>
      <w:r w:rsidR="002D0C3F">
        <w:rPr>
          <w:sz w:val="22"/>
          <w:szCs w:val="22"/>
        </w:rPr>
        <w:t xml:space="preserve">analysis </w:t>
      </w:r>
      <w:r w:rsidRPr="00532BC6">
        <w:rPr>
          <w:sz w:val="22"/>
          <w:szCs w:val="22"/>
        </w:rPr>
        <w:t xml:space="preserve">assumed that a total of 18 applications were submitted </w:t>
      </w:r>
      <w:r w:rsidR="00964BE7">
        <w:rPr>
          <w:sz w:val="22"/>
          <w:szCs w:val="22"/>
        </w:rPr>
        <w:t>to the</w:t>
      </w:r>
    </w:p>
    <w:p w:rsidR="00532BC6" w:rsidRPr="00EB63FA" w:rsidRDefault="00964BE7" w:rsidP="004021FA">
      <w:pPr>
        <w:pStyle w:val="Default"/>
        <w:ind w:left="720"/>
        <w:rPr>
          <w:sz w:val="22"/>
          <w:szCs w:val="22"/>
        </w:rPr>
      </w:pPr>
      <w:r>
        <w:rPr>
          <w:sz w:val="22"/>
          <w:szCs w:val="22"/>
        </w:rPr>
        <w:t xml:space="preserve">NRC </w:t>
      </w:r>
      <w:r w:rsidR="00C279F9" w:rsidRPr="00532BC6">
        <w:rPr>
          <w:sz w:val="22"/>
          <w:szCs w:val="22"/>
        </w:rPr>
        <w:t>during the 3-year OMB clearance</w:t>
      </w:r>
      <w:r w:rsidR="00BE0080" w:rsidRPr="00532BC6">
        <w:rPr>
          <w:sz w:val="22"/>
          <w:szCs w:val="22"/>
        </w:rPr>
        <w:t xml:space="preserve"> period</w:t>
      </w:r>
      <w:r w:rsidR="00CF41BD" w:rsidRPr="00532BC6">
        <w:rPr>
          <w:sz w:val="22"/>
          <w:szCs w:val="22"/>
        </w:rPr>
        <w:t xml:space="preserve">.  </w:t>
      </w:r>
      <w:r w:rsidR="00EB63FA">
        <w:rPr>
          <w:sz w:val="22"/>
          <w:szCs w:val="22"/>
        </w:rPr>
        <w:t>T</w:t>
      </w:r>
      <w:r w:rsidR="00C279F9" w:rsidRPr="00EB63FA">
        <w:rPr>
          <w:sz w:val="22"/>
          <w:szCs w:val="22"/>
        </w:rPr>
        <w:t xml:space="preserve">he </w:t>
      </w:r>
      <w:r w:rsidR="008B02C4" w:rsidRPr="00EB63FA">
        <w:rPr>
          <w:sz w:val="22"/>
          <w:szCs w:val="22"/>
        </w:rPr>
        <w:t xml:space="preserve">final </w:t>
      </w:r>
      <w:r w:rsidR="00C279F9" w:rsidRPr="00EB63FA">
        <w:rPr>
          <w:sz w:val="22"/>
          <w:szCs w:val="22"/>
        </w:rPr>
        <w:t xml:space="preserve">rule </w:t>
      </w:r>
      <w:r w:rsidR="008B02C4" w:rsidRPr="00EB63FA">
        <w:rPr>
          <w:sz w:val="22"/>
          <w:szCs w:val="22"/>
        </w:rPr>
        <w:t>analysis</w:t>
      </w:r>
      <w:r w:rsidR="00EB63FA">
        <w:rPr>
          <w:sz w:val="22"/>
          <w:szCs w:val="22"/>
        </w:rPr>
        <w:t xml:space="preserve"> us</w:t>
      </w:r>
      <w:r>
        <w:rPr>
          <w:sz w:val="22"/>
          <w:szCs w:val="22"/>
        </w:rPr>
        <w:t>es</w:t>
      </w:r>
      <w:r w:rsidR="00EB63FA">
        <w:rPr>
          <w:sz w:val="22"/>
          <w:szCs w:val="22"/>
        </w:rPr>
        <w:t xml:space="preserve"> updated</w:t>
      </w:r>
      <w:r w:rsidR="004021FA">
        <w:rPr>
          <w:sz w:val="22"/>
          <w:szCs w:val="22"/>
        </w:rPr>
        <w:t xml:space="preserve"> </w:t>
      </w:r>
      <w:r w:rsidR="00EB63FA">
        <w:rPr>
          <w:sz w:val="22"/>
          <w:szCs w:val="22"/>
        </w:rPr>
        <w:t>information</w:t>
      </w:r>
      <w:r w:rsidR="000D248E">
        <w:rPr>
          <w:sz w:val="22"/>
          <w:szCs w:val="22"/>
        </w:rPr>
        <w:t xml:space="preserve"> during the 3-year OMB clearance period that </w:t>
      </w:r>
      <w:r w:rsidR="00C279F9" w:rsidRPr="00EB63FA">
        <w:rPr>
          <w:sz w:val="22"/>
          <w:szCs w:val="22"/>
        </w:rPr>
        <w:t>assume</w:t>
      </w:r>
      <w:r w:rsidR="00CF41BD" w:rsidRPr="00EB63FA">
        <w:rPr>
          <w:sz w:val="22"/>
          <w:szCs w:val="22"/>
        </w:rPr>
        <w:t>s</w:t>
      </w:r>
      <w:r w:rsidR="000D248E">
        <w:rPr>
          <w:sz w:val="22"/>
          <w:szCs w:val="22"/>
        </w:rPr>
        <w:t xml:space="preserve">:  </w:t>
      </w:r>
      <w:r w:rsidR="00090AEC">
        <w:rPr>
          <w:sz w:val="22"/>
          <w:szCs w:val="22"/>
        </w:rPr>
        <w:t>1</w:t>
      </w:r>
      <w:r w:rsidR="00090AEC" w:rsidRPr="00622067">
        <w:rPr>
          <w:sz w:val="22"/>
          <w:szCs w:val="22"/>
        </w:rPr>
        <w:t xml:space="preserve">) </w:t>
      </w:r>
      <w:r w:rsidR="00090AEC">
        <w:rPr>
          <w:sz w:val="22"/>
          <w:szCs w:val="22"/>
        </w:rPr>
        <w:t xml:space="preserve">the </w:t>
      </w:r>
      <w:r w:rsidR="00090AEC" w:rsidRPr="00622067">
        <w:rPr>
          <w:sz w:val="22"/>
          <w:szCs w:val="22"/>
        </w:rPr>
        <w:t>NRC being bound by NEPA must use the revised requirements</w:t>
      </w:r>
      <w:r w:rsidR="00090AEC">
        <w:rPr>
          <w:sz w:val="22"/>
          <w:szCs w:val="22"/>
        </w:rPr>
        <w:t xml:space="preserve"> to evaluate applications as of the Commission affirmation date of the final rule (December 6, 2012), and 2</w:t>
      </w:r>
      <w:r w:rsidR="00622067">
        <w:rPr>
          <w:sz w:val="22"/>
          <w:szCs w:val="22"/>
        </w:rPr>
        <w:t xml:space="preserve">) licensee compliance with the revised requirements will not be required until 2014 (i.e., one year from publication of the final rule in the </w:t>
      </w:r>
      <w:r w:rsidR="00622067">
        <w:rPr>
          <w:i/>
          <w:sz w:val="22"/>
          <w:szCs w:val="22"/>
        </w:rPr>
        <w:t>Federal Register</w:t>
      </w:r>
      <w:r w:rsidR="00090AEC">
        <w:rPr>
          <w:sz w:val="22"/>
          <w:szCs w:val="22"/>
        </w:rPr>
        <w:t xml:space="preserve">).  </w:t>
      </w:r>
      <w:r w:rsidR="007E45B3">
        <w:rPr>
          <w:sz w:val="22"/>
          <w:szCs w:val="22"/>
        </w:rPr>
        <w:t>Consequently, the NRC will evaluate 13 applications during 2013, 3 in 2014 and 3 more in 2015.  On the other hand, licensees will submit 3 renewal applic</w:t>
      </w:r>
      <w:r w:rsidR="003D0FAA">
        <w:rPr>
          <w:sz w:val="22"/>
          <w:szCs w:val="22"/>
        </w:rPr>
        <w:t xml:space="preserve">ations to the NRC during 2014 </w:t>
      </w:r>
      <w:r w:rsidR="007E45B3">
        <w:rPr>
          <w:sz w:val="22"/>
          <w:szCs w:val="22"/>
        </w:rPr>
        <w:t>and 3 more in 2015.</w:t>
      </w:r>
      <w:r w:rsidR="000D248E">
        <w:rPr>
          <w:sz w:val="22"/>
          <w:szCs w:val="22"/>
        </w:rPr>
        <w:t xml:space="preserve">  </w:t>
      </w:r>
      <w:r w:rsidR="003D0FAA">
        <w:rPr>
          <w:sz w:val="22"/>
          <w:szCs w:val="22"/>
        </w:rPr>
        <w:t xml:space="preserve">As a result of </w:t>
      </w:r>
      <w:r w:rsidR="000D248E">
        <w:rPr>
          <w:sz w:val="22"/>
          <w:szCs w:val="22"/>
        </w:rPr>
        <w:t xml:space="preserve">revising the number of applications </w:t>
      </w:r>
      <w:r w:rsidR="000F77AF">
        <w:rPr>
          <w:sz w:val="22"/>
          <w:szCs w:val="22"/>
        </w:rPr>
        <w:t xml:space="preserve">evaluated </w:t>
      </w:r>
      <w:r w:rsidR="000D248E">
        <w:rPr>
          <w:sz w:val="22"/>
          <w:szCs w:val="22"/>
        </w:rPr>
        <w:t>by the NRC and the number submitted by licensees</w:t>
      </w:r>
      <w:r w:rsidR="00DF7B05">
        <w:rPr>
          <w:sz w:val="22"/>
          <w:szCs w:val="22"/>
        </w:rPr>
        <w:t xml:space="preserve">, there </w:t>
      </w:r>
      <w:r w:rsidR="008C58FD">
        <w:rPr>
          <w:sz w:val="22"/>
          <w:szCs w:val="22"/>
        </w:rPr>
        <w:t xml:space="preserve">will be a decrease in the estimated </w:t>
      </w:r>
      <w:r w:rsidR="00532BC6" w:rsidRPr="00EB63FA">
        <w:rPr>
          <w:sz w:val="22"/>
          <w:szCs w:val="22"/>
        </w:rPr>
        <w:t xml:space="preserve">annualized one-time reporting burden to </w:t>
      </w:r>
      <w:r w:rsidR="003D0FAA">
        <w:rPr>
          <w:sz w:val="22"/>
          <w:szCs w:val="22"/>
        </w:rPr>
        <w:t xml:space="preserve">the NRC and </w:t>
      </w:r>
      <w:r w:rsidR="00532BC6" w:rsidRPr="00EB63FA">
        <w:rPr>
          <w:sz w:val="22"/>
          <w:szCs w:val="22"/>
        </w:rPr>
        <w:t>industry for this information collection.</w:t>
      </w:r>
    </w:p>
    <w:p w:rsidR="00BE0080" w:rsidRDefault="00BE0080" w:rsidP="00BE0080">
      <w:pPr>
        <w:pStyle w:val="Default"/>
        <w:ind w:left="360"/>
        <w:rPr>
          <w:sz w:val="22"/>
          <w:szCs w:val="22"/>
        </w:rPr>
      </w:pPr>
    </w:p>
    <w:p w:rsidR="006A620C" w:rsidRDefault="002D0C3F" w:rsidP="006A620C">
      <w:pPr>
        <w:pStyle w:val="Default"/>
        <w:numPr>
          <w:ilvl w:val="0"/>
          <w:numId w:val="4"/>
        </w:numPr>
        <w:ind w:left="360" w:firstLine="0"/>
        <w:rPr>
          <w:sz w:val="22"/>
          <w:szCs w:val="22"/>
        </w:rPr>
      </w:pPr>
      <w:r>
        <w:rPr>
          <w:sz w:val="22"/>
          <w:szCs w:val="22"/>
        </w:rPr>
        <w:t>The p</w:t>
      </w:r>
      <w:r w:rsidR="00CF41BD">
        <w:rPr>
          <w:sz w:val="22"/>
          <w:szCs w:val="22"/>
        </w:rPr>
        <w:t xml:space="preserve">roposed rule </w:t>
      </w:r>
      <w:r>
        <w:rPr>
          <w:sz w:val="22"/>
          <w:szCs w:val="22"/>
        </w:rPr>
        <w:t xml:space="preserve">analysis </w:t>
      </w:r>
      <w:r w:rsidR="00CF41BD">
        <w:rPr>
          <w:sz w:val="22"/>
          <w:szCs w:val="22"/>
        </w:rPr>
        <w:t>assumed that</w:t>
      </w:r>
      <w:r w:rsidR="00834B35">
        <w:rPr>
          <w:sz w:val="22"/>
          <w:szCs w:val="22"/>
        </w:rPr>
        <w:t xml:space="preserve"> </w:t>
      </w:r>
      <w:r w:rsidR="00AE0B70">
        <w:rPr>
          <w:sz w:val="22"/>
          <w:szCs w:val="22"/>
        </w:rPr>
        <w:t xml:space="preserve">each applicant had to address </w:t>
      </w:r>
      <w:r w:rsidR="00834B35">
        <w:rPr>
          <w:sz w:val="22"/>
          <w:szCs w:val="22"/>
        </w:rPr>
        <w:t>all of the</w:t>
      </w:r>
    </w:p>
    <w:p w:rsidR="007A188A" w:rsidRDefault="00834B35" w:rsidP="004021FA">
      <w:pPr>
        <w:pStyle w:val="Default"/>
        <w:ind w:left="720"/>
        <w:rPr>
          <w:sz w:val="22"/>
          <w:szCs w:val="22"/>
        </w:rPr>
      </w:pPr>
      <w:r>
        <w:rPr>
          <w:sz w:val="22"/>
          <w:szCs w:val="22"/>
        </w:rPr>
        <w:t xml:space="preserve">changes made to Table B-1.  The final rule </w:t>
      </w:r>
      <w:r w:rsidR="0077431B">
        <w:rPr>
          <w:sz w:val="22"/>
          <w:szCs w:val="22"/>
        </w:rPr>
        <w:t xml:space="preserve">analysis </w:t>
      </w:r>
      <w:r w:rsidR="005921A9">
        <w:rPr>
          <w:sz w:val="22"/>
          <w:szCs w:val="22"/>
        </w:rPr>
        <w:t xml:space="preserve">now </w:t>
      </w:r>
      <w:r w:rsidR="00192FFB">
        <w:rPr>
          <w:sz w:val="22"/>
          <w:szCs w:val="22"/>
        </w:rPr>
        <w:t xml:space="preserve">assumes that </w:t>
      </w:r>
      <w:r w:rsidR="005921A9">
        <w:rPr>
          <w:sz w:val="22"/>
          <w:szCs w:val="22"/>
        </w:rPr>
        <w:t>each applicant</w:t>
      </w:r>
      <w:r w:rsidR="004021FA">
        <w:rPr>
          <w:sz w:val="22"/>
          <w:szCs w:val="22"/>
        </w:rPr>
        <w:t xml:space="preserve"> </w:t>
      </w:r>
      <w:r w:rsidR="005921A9">
        <w:rPr>
          <w:sz w:val="22"/>
          <w:szCs w:val="22"/>
        </w:rPr>
        <w:t xml:space="preserve">addresses only those </w:t>
      </w:r>
      <w:r w:rsidR="00192FFB">
        <w:rPr>
          <w:sz w:val="22"/>
          <w:szCs w:val="22"/>
        </w:rPr>
        <w:t xml:space="preserve">Table B-1 </w:t>
      </w:r>
      <w:r w:rsidR="005921A9">
        <w:rPr>
          <w:sz w:val="22"/>
          <w:szCs w:val="22"/>
        </w:rPr>
        <w:t xml:space="preserve">changes applicable to the </w:t>
      </w:r>
      <w:r w:rsidR="007E3D20">
        <w:rPr>
          <w:sz w:val="22"/>
          <w:szCs w:val="22"/>
        </w:rPr>
        <w:t>environmental impact issues</w:t>
      </w:r>
      <w:r w:rsidR="004021FA">
        <w:rPr>
          <w:sz w:val="22"/>
          <w:szCs w:val="22"/>
        </w:rPr>
        <w:t xml:space="preserve"> </w:t>
      </w:r>
      <w:r w:rsidR="007E3D20">
        <w:rPr>
          <w:sz w:val="22"/>
          <w:szCs w:val="22"/>
        </w:rPr>
        <w:t>at the applicant’s facility.</w:t>
      </w:r>
      <w:r w:rsidR="00631FF3">
        <w:rPr>
          <w:sz w:val="22"/>
          <w:szCs w:val="22"/>
        </w:rPr>
        <w:t xml:space="preserve">  </w:t>
      </w:r>
      <w:r w:rsidR="007A188A">
        <w:rPr>
          <w:sz w:val="22"/>
          <w:szCs w:val="22"/>
        </w:rPr>
        <w:t xml:space="preserve">Reducing the number of Table B-1 changes </w:t>
      </w:r>
      <w:r w:rsidR="0085749E">
        <w:rPr>
          <w:sz w:val="22"/>
          <w:szCs w:val="22"/>
        </w:rPr>
        <w:t xml:space="preserve">addressed </w:t>
      </w:r>
      <w:r w:rsidR="001958D2">
        <w:rPr>
          <w:sz w:val="22"/>
          <w:szCs w:val="22"/>
        </w:rPr>
        <w:t>for</w:t>
      </w:r>
      <w:r w:rsidR="004021FA">
        <w:rPr>
          <w:sz w:val="22"/>
          <w:szCs w:val="22"/>
        </w:rPr>
        <w:t xml:space="preserve"> </w:t>
      </w:r>
      <w:r w:rsidR="0085749E">
        <w:rPr>
          <w:sz w:val="22"/>
          <w:szCs w:val="22"/>
        </w:rPr>
        <w:t xml:space="preserve">some </w:t>
      </w:r>
      <w:r w:rsidR="007A188A">
        <w:rPr>
          <w:sz w:val="22"/>
          <w:szCs w:val="22"/>
        </w:rPr>
        <w:t>a</w:t>
      </w:r>
      <w:r w:rsidR="007E3D20">
        <w:rPr>
          <w:sz w:val="22"/>
          <w:szCs w:val="22"/>
        </w:rPr>
        <w:t xml:space="preserve">pplicants </w:t>
      </w:r>
      <w:r w:rsidR="007A188A">
        <w:rPr>
          <w:sz w:val="22"/>
          <w:szCs w:val="22"/>
        </w:rPr>
        <w:t>will decrease the estimated annualized one-time reporting burden to</w:t>
      </w:r>
      <w:r w:rsidR="004021FA">
        <w:rPr>
          <w:sz w:val="22"/>
          <w:szCs w:val="22"/>
        </w:rPr>
        <w:t xml:space="preserve"> </w:t>
      </w:r>
      <w:r w:rsidR="007A188A">
        <w:rPr>
          <w:sz w:val="22"/>
          <w:szCs w:val="22"/>
        </w:rPr>
        <w:t>industry f</w:t>
      </w:r>
      <w:r w:rsidR="00026546">
        <w:rPr>
          <w:sz w:val="22"/>
          <w:szCs w:val="22"/>
        </w:rPr>
        <w:t>or this information collection.</w:t>
      </w:r>
    </w:p>
    <w:p w:rsidR="00026546" w:rsidRDefault="00026546" w:rsidP="00026546">
      <w:pPr>
        <w:pStyle w:val="Default"/>
        <w:ind w:left="360"/>
        <w:rPr>
          <w:sz w:val="22"/>
          <w:szCs w:val="22"/>
        </w:rPr>
      </w:pPr>
    </w:p>
    <w:p w:rsidR="00F15B53" w:rsidRDefault="00317C79" w:rsidP="00F15B53">
      <w:pPr>
        <w:pStyle w:val="Default"/>
        <w:numPr>
          <w:ilvl w:val="0"/>
          <w:numId w:val="4"/>
        </w:numPr>
        <w:ind w:left="360" w:firstLine="0"/>
        <w:rPr>
          <w:sz w:val="22"/>
          <w:szCs w:val="22"/>
        </w:rPr>
      </w:pPr>
      <w:r>
        <w:rPr>
          <w:sz w:val="22"/>
          <w:szCs w:val="22"/>
        </w:rPr>
        <w:t xml:space="preserve">The </w:t>
      </w:r>
      <w:r w:rsidR="00026546">
        <w:rPr>
          <w:sz w:val="22"/>
          <w:szCs w:val="22"/>
        </w:rPr>
        <w:t>proposed rule</w:t>
      </w:r>
      <w:r>
        <w:rPr>
          <w:sz w:val="22"/>
          <w:szCs w:val="22"/>
        </w:rPr>
        <w:t xml:space="preserve"> analysis </w:t>
      </w:r>
      <w:r w:rsidR="0008487D">
        <w:rPr>
          <w:sz w:val="22"/>
          <w:szCs w:val="22"/>
        </w:rPr>
        <w:t>identified</w:t>
      </w:r>
      <w:r>
        <w:rPr>
          <w:sz w:val="22"/>
          <w:szCs w:val="22"/>
        </w:rPr>
        <w:t xml:space="preserve"> </w:t>
      </w:r>
      <w:r w:rsidR="00026546">
        <w:rPr>
          <w:sz w:val="22"/>
          <w:szCs w:val="22"/>
        </w:rPr>
        <w:t xml:space="preserve">15 issues </w:t>
      </w:r>
      <w:r>
        <w:rPr>
          <w:sz w:val="22"/>
          <w:szCs w:val="22"/>
        </w:rPr>
        <w:t xml:space="preserve">that </w:t>
      </w:r>
      <w:r w:rsidR="00026546">
        <w:rPr>
          <w:sz w:val="22"/>
          <w:szCs w:val="22"/>
        </w:rPr>
        <w:t>increas</w:t>
      </w:r>
      <w:r>
        <w:rPr>
          <w:sz w:val="22"/>
          <w:szCs w:val="22"/>
        </w:rPr>
        <w:t>e</w:t>
      </w:r>
      <w:r w:rsidR="0008487D">
        <w:rPr>
          <w:sz w:val="22"/>
          <w:szCs w:val="22"/>
        </w:rPr>
        <w:t>d</w:t>
      </w:r>
      <w:r w:rsidR="00DA6D31">
        <w:rPr>
          <w:sz w:val="22"/>
          <w:szCs w:val="22"/>
        </w:rPr>
        <w:t xml:space="preserve"> the reporting burden and</w:t>
      </w:r>
    </w:p>
    <w:p w:rsidR="00026546" w:rsidRDefault="00DA6D31" w:rsidP="004021FA">
      <w:pPr>
        <w:pStyle w:val="Default"/>
        <w:ind w:left="720"/>
        <w:rPr>
          <w:sz w:val="22"/>
          <w:szCs w:val="22"/>
        </w:rPr>
      </w:pPr>
      <w:r>
        <w:rPr>
          <w:sz w:val="22"/>
          <w:szCs w:val="22"/>
        </w:rPr>
        <w:t>4 </w:t>
      </w:r>
      <w:r w:rsidR="00026546">
        <w:rPr>
          <w:sz w:val="22"/>
          <w:szCs w:val="22"/>
        </w:rPr>
        <w:t xml:space="preserve">issues </w:t>
      </w:r>
      <w:r w:rsidR="00317C79">
        <w:rPr>
          <w:sz w:val="22"/>
          <w:szCs w:val="22"/>
        </w:rPr>
        <w:t xml:space="preserve">that </w:t>
      </w:r>
      <w:r w:rsidR="00026546">
        <w:rPr>
          <w:sz w:val="22"/>
          <w:szCs w:val="22"/>
        </w:rPr>
        <w:t>reduc</w:t>
      </w:r>
      <w:r w:rsidR="00317C79">
        <w:rPr>
          <w:sz w:val="22"/>
          <w:szCs w:val="22"/>
        </w:rPr>
        <w:t>e</w:t>
      </w:r>
      <w:r w:rsidR="0008487D">
        <w:rPr>
          <w:sz w:val="22"/>
          <w:szCs w:val="22"/>
        </w:rPr>
        <w:t>d</w:t>
      </w:r>
      <w:r w:rsidR="00026546">
        <w:rPr>
          <w:sz w:val="22"/>
          <w:szCs w:val="22"/>
        </w:rPr>
        <w:t xml:space="preserve"> th</w:t>
      </w:r>
      <w:r w:rsidR="00B2031A">
        <w:rPr>
          <w:sz w:val="22"/>
          <w:szCs w:val="22"/>
        </w:rPr>
        <w:t>is</w:t>
      </w:r>
      <w:r w:rsidR="00026546">
        <w:rPr>
          <w:sz w:val="22"/>
          <w:szCs w:val="22"/>
        </w:rPr>
        <w:t xml:space="preserve"> burden.  Based on public comments received on the proposed</w:t>
      </w:r>
      <w:r w:rsidR="004021FA">
        <w:rPr>
          <w:sz w:val="22"/>
          <w:szCs w:val="22"/>
        </w:rPr>
        <w:t xml:space="preserve"> </w:t>
      </w:r>
      <w:r w:rsidR="00026546">
        <w:rPr>
          <w:sz w:val="22"/>
          <w:szCs w:val="22"/>
        </w:rPr>
        <w:t xml:space="preserve">rule and the draft revised GEIS, a number of the environmental </w:t>
      </w:r>
      <w:r w:rsidR="00317C79">
        <w:rPr>
          <w:sz w:val="22"/>
          <w:szCs w:val="22"/>
        </w:rPr>
        <w:t>impact issues identified</w:t>
      </w:r>
      <w:r w:rsidR="004021FA">
        <w:rPr>
          <w:sz w:val="22"/>
          <w:szCs w:val="22"/>
        </w:rPr>
        <w:t xml:space="preserve"> </w:t>
      </w:r>
      <w:r w:rsidR="00317C79">
        <w:rPr>
          <w:sz w:val="22"/>
          <w:szCs w:val="22"/>
        </w:rPr>
        <w:t>in the proposed rule were re-evaluated for detailed consideration in the final revised</w:t>
      </w:r>
      <w:r w:rsidR="004021FA">
        <w:rPr>
          <w:sz w:val="22"/>
          <w:szCs w:val="22"/>
        </w:rPr>
        <w:t xml:space="preserve"> </w:t>
      </w:r>
      <w:r w:rsidR="00317C79">
        <w:rPr>
          <w:sz w:val="22"/>
          <w:szCs w:val="22"/>
        </w:rPr>
        <w:t xml:space="preserve">GEIS and are reflected in changes made by the final rule.  Consequently, the </w:t>
      </w:r>
      <w:r w:rsidR="000F2400">
        <w:rPr>
          <w:sz w:val="22"/>
          <w:szCs w:val="22"/>
        </w:rPr>
        <w:t>final</w:t>
      </w:r>
      <w:r w:rsidR="00317C79">
        <w:rPr>
          <w:sz w:val="22"/>
          <w:szCs w:val="22"/>
        </w:rPr>
        <w:t xml:space="preserve"> rule</w:t>
      </w:r>
      <w:r w:rsidR="004021FA">
        <w:rPr>
          <w:sz w:val="22"/>
          <w:szCs w:val="22"/>
        </w:rPr>
        <w:t xml:space="preserve"> </w:t>
      </w:r>
      <w:r w:rsidR="00317C79">
        <w:rPr>
          <w:sz w:val="22"/>
          <w:szCs w:val="22"/>
        </w:rPr>
        <w:t>analysis identifies 17 issues that increase the reporting burden and 18 issues that</w:t>
      </w:r>
      <w:r w:rsidR="004021FA">
        <w:rPr>
          <w:sz w:val="22"/>
          <w:szCs w:val="22"/>
        </w:rPr>
        <w:t xml:space="preserve"> </w:t>
      </w:r>
      <w:r w:rsidR="0008487D">
        <w:rPr>
          <w:sz w:val="22"/>
          <w:szCs w:val="22"/>
        </w:rPr>
        <w:t>decrease this burden.</w:t>
      </w:r>
      <w:r w:rsidR="007616F6">
        <w:rPr>
          <w:sz w:val="22"/>
          <w:szCs w:val="22"/>
        </w:rPr>
        <w:t xml:space="preserve">  The </w:t>
      </w:r>
      <w:r w:rsidR="00665A40">
        <w:rPr>
          <w:sz w:val="22"/>
          <w:szCs w:val="22"/>
        </w:rPr>
        <w:t xml:space="preserve">change in the </w:t>
      </w:r>
      <w:r w:rsidR="006550E8">
        <w:rPr>
          <w:sz w:val="22"/>
          <w:szCs w:val="22"/>
        </w:rPr>
        <w:t xml:space="preserve">latter </w:t>
      </w:r>
      <w:r w:rsidR="00665A40">
        <w:rPr>
          <w:sz w:val="22"/>
          <w:szCs w:val="22"/>
        </w:rPr>
        <w:t xml:space="preserve">number </w:t>
      </w:r>
      <w:r w:rsidR="006550E8">
        <w:rPr>
          <w:sz w:val="22"/>
          <w:szCs w:val="22"/>
        </w:rPr>
        <w:t>from the proposed to final rule</w:t>
      </w:r>
      <w:r w:rsidR="004021FA">
        <w:rPr>
          <w:sz w:val="22"/>
          <w:szCs w:val="22"/>
        </w:rPr>
        <w:t xml:space="preserve"> </w:t>
      </w:r>
      <w:r w:rsidR="006550E8">
        <w:rPr>
          <w:sz w:val="22"/>
          <w:szCs w:val="22"/>
        </w:rPr>
        <w:t xml:space="preserve">results in a </w:t>
      </w:r>
      <w:r w:rsidR="007616F6">
        <w:rPr>
          <w:sz w:val="22"/>
          <w:szCs w:val="22"/>
        </w:rPr>
        <w:t xml:space="preserve">substantial </w:t>
      </w:r>
      <w:r w:rsidR="006550E8">
        <w:rPr>
          <w:sz w:val="22"/>
          <w:szCs w:val="22"/>
        </w:rPr>
        <w:t xml:space="preserve">decrease </w:t>
      </w:r>
      <w:r w:rsidR="00665A40">
        <w:rPr>
          <w:sz w:val="22"/>
          <w:szCs w:val="22"/>
        </w:rPr>
        <w:t xml:space="preserve">of </w:t>
      </w:r>
      <w:r w:rsidR="006550E8">
        <w:rPr>
          <w:sz w:val="22"/>
          <w:szCs w:val="22"/>
        </w:rPr>
        <w:t>the estimated annualized one-time report</w:t>
      </w:r>
      <w:r w:rsidR="00665A40">
        <w:rPr>
          <w:sz w:val="22"/>
          <w:szCs w:val="22"/>
        </w:rPr>
        <w:t>i</w:t>
      </w:r>
      <w:r w:rsidR="006550E8">
        <w:rPr>
          <w:sz w:val="22"/>
          <w:szCs w:val="22"/>
        </w:rPr>
        <w:t>ng burden</w:t>
      </w:r>
      <w:r w:rsidR="004021FA">
        <w:rPr>
          <w:sz w:val="22"/>
          <w:szCs w:val="22"/>
        </w:rPr>
        <w:t xml:space="preserve"> </w:t>
      </w:r>
      <w:r w:rsidR="006550E8">
        <w:rPr>
          <w:sz w:val="22"/>
          <w:szCs w:val="22"/>
        </w:rPr>
        <w:t>to industry for this information collection.</w:t>
      </w:r>
    </w:p>
    <w:p w:rsidR="007A188A" w:rsidRDefault="007A188A" w:rsidP="007A188A">
      <w:pPr>
        <w:pStyle w:val="Default"/>
        <w:rPr>
          <w:sz w:val="22"/>
          <w:szCs w:val="22"/>
        </w:rPr>
      </w:pPr>
    </w:p>
    <w:p w:rsidR="004021FA" w:rsidRDefault="00CA60AD" w:rsidP="005408F5">
      <w:pPr>
        <w:pStyle w:val="Default"/>
        <w:numPr>
          <w:ilvl w:val="0"/>
          <w:numId w:val="4"/>
        </w:numPr>
        <w:ind w:left="360" w:firstLine="0"/>
        <w:rPr>
          <w:sz w:val="22"/>
          <w:szCs w:val="22"/>
        </w:rPr>
      </w:pPr>
      <w:r>
        <w:rPr>
          <w:sz w:val="22"/>
          <w:szCs w:val="22"/>
        </w:rPr>
        <w:t>A labor rate of $238/hr was used for the</w:t>
      </w:r>
      <w:r w:rsidR="00F64E03">
        <w:rPr>
          <w:sz w:val="22"/>
          <w:szCs w:val="22"/>
        </w:rPr>
        <w:t xml:space="preserve"> proposed rule analysis and $274</w:t>
      </w:r>
      <w:r>
        <w:rPr>
          <w:sz w:val="22"/>
          <w:szCs w:val="22"/>
        </w:rPr>
        <w:t>/hr for the final</w:t>
      </w:r>
    </w:p>
    <w:p w:rsidR="00E85439" w:rsidRDefault="000B4E25" w:rsidP="004021FA">
      <w:pPr>
        <w:pStyle w:val="Default"/>
        <w:ind w:left="720"/>
        <w:rPr>
          <w:sz w:val="22"/>
          <w:szCs w:val="22"/>
        </w:rPr>
      </w:pPr>
      <w:proofErr w:type="gramStart"/>
      <w:r>
        <w:rPr>
          <w:sz w:val="22"/>
          <w:szCs w:val="22"/>
        </w:rPr>
        <w:t>rule</w:t>
      </w:r>
      <w:proofErr w:type="gramEnd"/>
      <w:r>
        <w:rPr>
          <w:sz w:val="22"/>
          <w:szCs w:val="22"/>
        </w:rPr>
        <w:t xml:space="preserve">.  </w:t>
      </w:r>
      <w:r w:rsidR="00CA60AD">
        <w:rPr>
          <w:sz w:val="22"/>
          <w:szCs w:val="22"/>
        </w:rPr>
        <w:t xml:space="preserve">However, the impact from the rise in hourly rate is offset by the substantial increase in the number of issues </w:t>
      </w:r>
      <w:r w:rsidR="00B611A5">
        <w:rPr>
          <w:sz w:val="22"/>
          <w:szCs w:val="22"/>
        </w:rPr>
        <w:t xml:space="preserve">in the final rule </w:t>
      </w:r>
      <w:r w:rsidR="00CA60AD">
        <w:rPr>
          <w:sz w:val="22"/>
          <w:szCs w:val="22"/>
        </w:rPr>
        <w:t xml:space="preserve">that decrease the reporting burden to industry for this information collection.  </w:t>
      </w:r>
      <w:r w:rsidR="008C7D06">
        <w:rPr>
          <w:sz w:val="22"/>
          <w:szCs w:val="22"/>
        </w:rPr>
        <w:t>As a result,</w:t>
      </w:r>
      <w:r w:rsidR="00E85439">
        <w:rPr>
          <w:sz w:val="22"/>
          <w:szCs w:val="22"/>
        </w:rPr>
        <w:t xml:space="preserve"> the increase in in</w:t>
      </w:r>
      <w:r w:rsidR="00F2772A">
        <w:rPr>
          <w:sz w:val="22"/>
          <w:szCs w:val="22"/>
        </w:rPr>
        <w:t xml:space="preserve">dustry </w:t>
      </w:r>
      <w:r w:rsidR="00E85439">
        <w:rPr>
          <w:sz w:val="22"/>
          <w:szCs w:val="22"/>
        </w:rPr>
        <w:t xml:space="preserve">reporting burden </w:t>
      </w:r>
      <w:r w:rsidR="008C7D06">
        <w:rPr>
          <w:sz w:val="22"/>
          <w:szCs w:val="22"/>
        </w:rPr>
        <w:t>that w</w:t>
      </w:r>
      <w:r w:rsidR="00E85439">
        <w:rPr>
          <w:sz w:val="22"/>
          <w:szCs w:val="22"/>
        </w:rPr>
        <w:t>as determined for the proposed rule become</w:t>
      </w:r>
      <w:r w:rsidR="00F2772A">
        <w:rPr>
          <w:sz w:val="22"/>
          <w:szCs w:val="22"/>
        </w:rPr>
        <w:t>s</w:t>
      </w:r>
      <w:r w:rsidR="00E85439">
        <w:rPr>
          <w:sz w:val="22"/>
          <w:szCs w:val="22"/>
        </w:rPr>
        <w:t xml:space="preserve"> a decrease in total burden under the final rule analysis.</w:t>
      </w:r>
    </w:p>
    <w:p w:rsidR="006A620C" w:rsidRDefault="006A620C" w:rsidP="006A620C">
      <w:pPr>
        <w:pStyle w:val="Default"/>
        <w:rPr>
          <w:sz w:val="22"/>
          <w:szCs w:val="22"/>
        </w:rPr>
      </w:pPr>
    </w:p>
    <w:p w:rsidR="003E50D4" w:rsidRDefault="006A620C" w:rsidP="000368C4">
      <w:pPr>
        <w:pStyle w:val="Default"/>
        <w:keepNext/>
        <w:keepLines/>
        <w:rPr>
          <w:sz w:val="22"/>
          <w:szCs w:val="22"/>
        </w:rPr>
      </w:pPr>
      <w:r>
        <w:rPr>
          <w:sz w:val="22"/>
          <w:szCs w:val="22"/>
        </w:rPr>
        <w:lastRenderedPageBreak/>
        <w:t>The following discuss</w:t>
      </w:r>
      <w:r w:rsidR="00C44B9C">
        <w:rPr>
          <w:sz w:val="22"/>
          <w:szCs w:val="22"/>
        </w:rPr>
        <w:t xml:space="preserve">es </w:t>
      </w:r>
      <w:r w:rsidR="00965EF3">
        <w:rPr>
          <w:sz w:val="22"/>
          <w:szCs w:val="22"/>
        </w:rPr>
        <w:t xml:space="preserve">further </w:t>
      </w:r>
      <w:r w:rsidR="00C44B9C">
        <w:rPr>
          <w:sz w:val="22"/>
          <w:szCs w:val="22"/>
        </w:rPr>
        <w:t xml:space="preserve">the reasons for change in burden </w:t>
      </w:r>
      <w:r w:rsidR="00795418">
        <w:rPr>
          <w:sz w:val="22"/>
          <w:szCs w:val="22"/>
        </w:rPr>
        <w:t xml:space="preserve">(with examples) </w:t>
      </w:r>
      <w:r w:rsidR="00C44B9C">
        <w:rPr>
          <w:sz w:val="22"/>
          <w:szCs w:val="22"/>
        </w:rPr>
        <w:t>as shown in Exhibit 1.</w:t>
      </w:r>
    </w:p>
    <w:p w:rsidR="00162880" w:rsidRPr="00D07FFE" w:rsidRDefault="00162880" w:rsidP="000368C4">
      <w:pPr>
        <w:pStyle w:val="Default"/>
        <w:keepNext/>
        <w:keepLines/>
        <w:rPr>
          <w:sz w:val="22"/>
          <w:szCs w:val="22"/>
        </w:rPr>
      </w:pPr>
    </w:p>
    <w:p w:rsidR="00A24E6C" w:rsidRDefault="00A24E6C" w:rsidP="000368C4">
      <w:pPr>
        <w:keepNext/>
        <w:keepLines/>
        <w:widowControl w:val="0"/>
        <w:numPr>
          <w:ilvl w:val="0"/>
          <w:numId w:val="1"/>
        </w:numPr>
        <w:tabs>
          <w:tab w:val="num" w:pos="810"/>
        </w:tabs>
        <w:spacing w:line="240" w:lineRule="auto"/>
        <w:ind w:left="720"/>
      </w:pPr>
      <w:r w:rsidRPr="00412FFB">
        <w:rPr>
          <w:u w:val="single"/>
        </w:rPr>
        <w:t>Burden Increases</w:t>
      </w:r>
      <w:r w:rsidRPr="00412FFB">
        <w:t xml:space="preserve">.  The estimated burden increase of </w:t>
      </w:r>
      <w:r w:rsidR="008879A2">
        <w:t>4</w:t>
      </w:r>
      <w:r>
        <w:t>,</w:t>
      </w:r>
      <w:r w:rsidR="008879A2">
        <w:t>164</w:t>
      </w:r>
      <w:r>
        <w:t>.</w:t>
      </w:r>
      <w:r w:rsidR="008879A2">
        <w:t>4</w:t>
      </w:r>
      <w:r w:rsidRPr="00412FFB">
        <w:t xml:space="preserve"> hours for one-time reporting (annualized) represents an increase in reporting requirements for the applicant’s ER due to changes made to Table B-1 (e.g., creating new Category 1 and 2 </w:t>
      </w:r>
      <w:r>
        <w:t>i</w:t>
      </w:r>
      <w:r w:rsidRPr="00412FFB">
        <w:t xml:space="preserve">ssues, adding information requirements to some </w:t>
      </w:r>
      <w:r>
        <w:t>Category 1 and 2 issues</w:t>
      </w:r>
      <w:r w:rsidRPr="00412FFB">
        <w:t>)</w:t>
      </w:r>
      <w:r>
        <w:t>.</w:t>
      </w:r>
    </w:p>
    <w:p w:rsidR="002C5A87" w:rsidRDefault="002C5A87" w:rsidP="000368C4">
      <w:pPr>
        <w:keepNext/>
        <w:keepLines/>
        <w:widowControl w:val="0"/>
        <w:spacing w:line="240" w:lineRule="auto"/>
        <w:ind w:left="720"/>
      </w:pPr>
    </w:p>
    <w:p w:rsidR="003336FF" w:rsidRPr="00412FFB" w:rsidRDefault="002C5A87" w:rsidP="003336FF">
      <w:pPr>
        <w:widowControl w:val="0"/>
        <w:spacing w:line="240" w:lineRule="auto"/>
        <w:ind w:left="720"/>
      </w:pPr>
      <w:r>
        <w:t xml:space="preserve">One example of burden increase </w:t>
      </w:r>
      <w:r w:rsidR="00790030">
        <w:t xml:space="preserve">is </w:t>
      </w:r>
      <w:r>
        <w:t xml:space="preserve">due to the new Category 1 issue “Effects of dredging on surface water quality.”  The </w:t>
      </w:r>
      <w:r w:rsidR="00790030">
        <w:t xml:space="preserve">increase in </w:t>
      </w:r>
      <w:r w:rsidR="003336FF">
        <w:t xml:space="preserve">the estimated annualized one-time reporting burden to industry for this information collection is </w:t>
      </w:r>
      <w:r w:rsidR="00292B3C">
        <w:t>78</w:t>
      </w:r>
      <w:r w:rsidR="003336FF">
        <w:t>.0 hours</w:t>
      </w:r>
      <w:r w:rsidR="005E2709">
        <w:t xml:space="preserve"> (final rule)</w:t>
      </w:r>
      <w:r w:rsidR="003336FF">
        <w:t>.</w:t>
      </w:r>
      <w:r w:rsidR="001470A2">
        <w:t xml:space="preserve">  For the proposed rule, the estimated annualized burden one-time burden was 96 hours.</w:t>
      </w:r>
    </w:p>
    <w:p w:rsidR="00A24E6C" w:rsidRPr="00D07FFE" w:rsidRDefault="00A24E6C" w:rsidP="00A24E6C"/>
    <w:p w:rsidR="00A24E6C" w:rsidRDefault="00A24E6C" w:rsidP="00A24E6C">
      <w:pPr>
        <w:widowControl w:val="0"/>
        <w:numPr>
          <w:ilvl w:val="0"/>
          <w:numId w:val="1"/>
        </w:numPr>
        <w:tabs>
          <w:tab w:val="num" w:pos="810"/>
        </w:tabs>
        <w:spacing w:line="240" w:lineRule="auto"/>
        <w:ind w:left="720"/>
      </w:pPr>
      <w:r w:rsidRPr="00412FFB">
        <w:rPr>
          <w:u w:val="single"/>
        </w:rPr>
        <w:t>Burden Decreases</w:t>
      </w:r>
      <w:r w:rsidRPr="00412FFB">
        <w:t xml:space="preserve">.  The estimated burden decrease </w:t>
      </w:r>
      <w:r w:rsidRPr="00CD487E">
        <w:t xml:space="preserve">of </w:t>
      </w:r>
      <w:r w:rsidR="00A332EB">
        <w:t>6</w:t>
      </w:r>
      <w:r w:rsidRPr="00CD487E">
        <w:t>,</w:t>
      </w:r>
      <w:r w:rsidR="00A332EB">
        <w:t>134</w:t>
      </w:r>
      <w:r w:rsidRPr="00CD487E">
        <w:t>.0 hours</w:t>
      </w:r>
      <w:r w:rsidRPr="00412FFB">
        <w:t xml:space="preserve"> for one-time reporting (annualized) represents a reduction in reporting requirements due to changes made to Table B-1 (</w:t>
      </w:r>
      <w:r>
        <w:t>e</w:t>
      </w:r>
      <w:r w:rsidRPr="00412FFB">
        <w:t>.</w:t>
      </w:r>
      <w:r>
        <w:t>g</w:t>
      </w:r>
      <w:r w:rsidRPr="00412FFB">
        <w:t>., changing issues from Category 2 to Category 1, consolidating multiple issues into one issue).</w:t>
      </w:r>
    </w:p>
    <w:p w:rsidR="00790030" w:rsidRDefault="00790030" w:rsidP="00790030">
      <w:pPr>
        <w:widowControl w:val="0"/>
        <w:spacing w:line="240" w:lineRule="auto"/>
      </w:pPr>
    </w:p>
    <w:p w:rsidR="00790030" w:rsidRDefault="00CC11DA" w:rsidP="002E02FF">
      <w:pPr>
        <w:widowControl w:val="0"/>
        <w:spacing w:line="240" w:lineRule="auto"/>
        <w:ind w:left="720"/>
      </w:pPr>
      <w:r>
        <w:t>In response to public comments received on the proposed rule, two issues</w:t>
      </w:r>
      <w:r w:rsidR="00CF7B76">
        <w:t>, “Air quality impacts (all plants)” and “Groundwater and soil contamination,”</w:t>
      </w:r>
      <w:r>
        <w:t xml:space="preserve"> were changed from Category 2 to Category 1</w:t>
      </w:r>
      <w:r w:rsidR="009A522B">
        <w:t xml:space="preserve"> by the final rule</w:t>
      </w:r>
      <w:r>
        <w:t xml:space="preserve">.  This </w:t>
      </w:r>
      <w:r w:rsidR="009A522B">
        <w:t>change resulted in their associated reporting burden going from a burden increase (proposed rule) to a burden decrease (final rule).  “For the proposed rule, “Groundwater and soil contamination” was determined to increase the annualized industry burden by 144 hours.  For the final rule, this issue was changed from a Category 2 to a Category 1 issue and consolidated with the “Groundwater use and quality</w:t>
      </w:r>
      <w:r w:rsidR="002E02FF">
        <w:t>” issue into a single renamed Category 1 issue. “Groundwater contamination and use (non-cooling system impacts).”  Consequently, the annualized industry burden decrea</w:t>
      </w:r>
      <w:r w:rsidR="004D4EF8">
        <w:t xml:space="preserve">sed to </w:t>
      </w:r>
      <w:r w:rsidR="00A332EB">
        <w:t>23</w:t>
      </w:r>
      <w:r w:rsidR="004D4EF8">
        <w:t xml:space="preserve"> hours.</w:t>
      </w:r>
    </w:p>
    <w:p w:rsidR="00225CD6" w:rsidRDefault="00225CD6" w:rsidP="00790030">
      <w:pPr>
        <w:widowControl w:val="0"/>
        <w:spacing w:line="240" w:lineRule="auto"/>
        <w:ind w:left="720"/>
      </w:pPr>
    </w:p>
    <w:p w:rsidR="00225CD6" w:rsidRPr="00412FFB" w:rsidRDefault="00795418" w:rsidP="00F55F20">
      <w:pPr>
        <w:widowControl w:val="0"/>
        <w:spacing w:line="240" w:lineRule="auto"/>
        <w:ind w:left="720"/>
      </w:pPr>
      <w:r>
        <w:t xml:space="preserve">Also in response to public comments </w:t>
      </w:r>
      <w:r w:rsidR="009C3522">
        <w:t>on the proposed rule, the issue</w:t>
      </w:r>
      <w:r>
        <w:t xml:space="preserve"> “Air quality during refurbishment (nonat</w:t>
      </w:r>
      <w:r w:rsidR="009C3522">
        <w:t>tainment and maintenance areas)</w:t>
      </w:r>
      <w:r>
        <w:t>” was changed from a Category 2 to a Category 1 issue and renamed, “A</w:t>
      </w:r>
      <w:r w:rsidR="009C3522">
        <w:t>ir quality impacts (all plants),</w:t>
      </w:r>
      <w:r>
        <w:t>”</w:t>
      </w:r>
      <w:r w:rsidR="009C3522">
        <w:t xml:space="preserve"> by the final rule.</w:t>
      </w:r>
      <w:r w:rsidR="000712DC">
        <w:t xml:space="preserve">  </w:t>
      </w:r>
      <w:r w:rsidR="00F55F20">
        <w:t>Consequently, the estimated annualized one-time reporting burden for industry decreased by 702 hours</w:t>
      </w:r>
      <w:r w:rsidR="009040DC">
        <w:t>.</w:t>
      </w:r>
    </w:p>
    <w:p w:rsidR="00A24E6C" w:rsidRPr="00D07FFE" w:rsidRDefault="00A24E6C" w:rsidP="00A24E6C"/>
    <w:p w:rsidR="00A24E6C" w:rsidRPr="003E288F" w:rsidRDefault="00A24E6C" w:rsidP="00A24E6C">
      <w:pPr>
        <w:widowControl w:val="0"/>
        <w:numPr>
          <w:ilvl w:val="0"/>
          <w:numId w:val="1"/>
        </w:numPr>
        <w:tabs>
          <w:tab w:val="num" w:pos="810"/>
        </w:tabs>
        <w:spacing w:line="240" w:lineRule="auto"/>
        <w:ind w:left="720"/>
      </w:pPr>
      <w:r w:rsidRPr="003E288F">
        <w:rPr>
          <w:u w:val="single"/>
        </w:rPr>
        <w:t>Net-one time reporting (annualized) industry burden decrease</w:t>
      </w:r>
      <w:r w:rsidR="004D4EF8">
        <w:t>.</w:t>
      </w:r>
      <w:r w:rsidRPr="003E288F">
        <w:br/>
      </w:r>
      <w:r w:rsidR="006B5D5E">
        <w:t>1</w:t>
      </w:r>
      <w:r w:rsidRPr="003E288F">
        <w:t>,</w:t>
      </w:r>
      <w:r w:rsidR="006B5D5E">
        <w:t>969</w:t>
      </w:r>
      <w:r w:rsidRPr="003E288F">
        <w:t>.</w:t>
      </w:r>
      <w:r w:rsidR="006B5D5E">
        <w:t>6</w:t>
      </w:r>
      <w:r w:rsidRPr="003E288F">
        <w:t xml:space="preserve"> hours (</w:t>
      </w:r>
      <w:r w:rsidR="006B5D5E">
        <w:t>6</w:t>
      </w:r>
      <w:r w:rsidRPr="003E288F">
        <w:t>,</w:t>
      </w:r>
      <w:r w:rsidR="006B5D5E">
        <w:t>134</w:t>
      </w:r>
      <w:r w:rsidRPr="003E288F">
        <w:t xml:space="preserve">.0 hours – </w:t>
      </w:r>
      <w:r w:rsidR="006B5D5E">
        <w:t>4</w:t>
      </w:r>
      <w:r w:rsidRPr="003E288F">
        <w:t>,</w:t>
      </w:r>
      <w:r w:rsidR="006B5D5E">
        <w:t>164</w:t>
      </w:r>
      <w:r w:rsidRPr="003E288F">
        <w:t>.</w:t>
      </w:r>
      <w:r w:rsidR="006B5D5E">
        <w:t>4</w:t>
      </w:r>
      <w:r w:rsidRPr="003E288F">
        <w:t> ho</w:t>
      </w:r>
      <w:r w:rsidR="005879F9">
        <w:t>urs) for a savings of $539,670.</w:t>
      </w:r>
    </w:p>
    <w:p w:rsidR="00A24E6C" w:rsidRPr="00D07FFE" w:rsidRDefault="00A24E6C" w:rsidP="00A24E6C">
      <w:pPr>
        <w:pStyle w:val="Default"/>
        <w:widowControl w:val="0"/>
        <w:rPr>
          <w:sz w:val="22"/>
          <w:szCs w:val="22"/>
        </w:rPr>
      </w:pPr>
    </w:p>
    <w:p w:rsidR="00A24E6C" w:rsidRPr="00D07FFE" w:rsidRDefault="00A24E6C" w:rsidP="00A24E6C">
      <w:pPr>
        <w:pStyle w:val="Default"/>
        <w:rPr>
          <w:sz w:val="22"/>
          <w:szCs w:val="22"/>
          <w:u w:val="single"/>
        </w:rPr>
      </w:pPr>
      <w:r w:rsidRPr="00D07FFE">
        <w:rPr>
          <w:sz w:val="22"/>
          <w:szCs w:val="22"/>
        </w:rPr>
        <w:t xml:space="preserve">16. </w:t>
      </w:r>
      <w:r w:rsidRPr="00D07FFE">
        <w:rPr>
          <w:sz w:val="22"/>
          <w:szCs w:val="22"/>
          <w:u w:val="single"/>
        </w:rPr>
        <w:t>Publication for Statistical Use</w:t>
      </w:r>
    </w:p>
    <w:p w:rsidR="00A24E6C" w:rsidRPr="00D07FFE" w:rsidRDefault="00A24E6C" w:rsidP="00A24E6C">
      <w:pPr>
        <w:pStyle w:val="Default"/>
        <w:rPr>
          <w:sz w:val="22"/>
          <w:szCs w:val="22"/>
        </w:rPr>
      </w:pPr>
    </w:p>
    <w:p w:rsidR="00A24E6C" w:rsidRPr="00D07FFE" w:rsidRDefault="00A24E6C" w:rsidP="00A24E6C">
      <w:pPr>
        <w:pStyle w:val="Default"/>
        <w:ind w:left="360"/>
        <w:rPr>
          <w:sz w:val="22"/>
          <w:szCs w:val="22"/>
        </w:rPr>
      </w:pPr>
      <w:r w:rsidRPr="00D07FFE">
        <w:rPr>
          <w:sz w:val="22"/>
          <w:szCs w:val="22"/>
        </w:rPr>
        <w:t>None.</w:t>
      </w:r>
    </w:p>
    <w:p w:rsidR="00A24E6C" w:rsidRPr="00D07FFE" w:rsidRDefault="00A24E6C" w:rsidP="00A24E6C">
      <w:pPr>
        <w:pStyle w:val="Default"/>
        <w:rPr>
          <w:sz w:val="22"/>
          <w:szCs w:val="22"/>
        </w:rPr>
      </w:pPr>
    </w:p>
    <w:p w:rsidR="00A24E6C" w:rsidRPr="00D07FFE" w:rsidRDefault="00A24E6C" w:rsidP="00A24E6C">
      <w:pPr>
        <w:pStyle w:val="Default"/>
        <w:rPr>
          <w:sz w:val="22"/>
          <w:szCs w:val="22"/>
          <w:u w:val="single"/>
        </w:rPr>
      </w:pPr>
      <w:r w:rsidRPr="00D07FFE">
        <w:rPr>
          <w:sz w:val="22"/>
          <w:szCs w:val="22"/>
        </w:rPr>
        <w:t xml:space="preserve">17. </w:t>
      </w:r>
      <w:r w:rsidRPr="00D07FFE">
        <w:rPr>
          <w:sz w:val="22"/>
          <w:szCs w:val="22"/>
          <w:u w:val="single"/>
        </w:rPr>
        <w:t>Reason for Not Displaying the Expiration Date</w:t>
      </w:r>
    </w:p>
    <w:p w:rsidR="00A24E6C" w:rsidRPr="00D07FFE" w:rsidRDefault="00A24E6C" w:rsidP="00A24E6C">
      <w:pPr>
        <w:pStyle w:val="Default"/>
        <w:rPr>
          <w:sz w:val="22"/>
          <w:szCs w:val="22"/>
        </w:rPr>
      </w:pPr>
    </w:p>
    <w:p w:rsidR="00A24E6C" w:rsidRPr="00D07FFE" w:rsidRDefault="00A24E6C" w:rsidP="00A24E6C">
      <w:pPr>
        <w:pStyle w:val="Default"/>
        <w:ind w:left="360"/>
        <w:rPr>
          <w:sz w:val="22"/>
          <w:szCs w:val="22"/>
        </w:rPr>
      </w:pPr>
      <w:r w:rsidRPr="00D07FFE">
        <w:rPr>
          <w:sz w:val="22"/>
          <w:szCs w:val="22"/>
        </w:rPr>
        <w:t xml:space="preserve">The requirement is contained in a regulation.  Amending the </w:t>
      </w:r>
      <w:r w:rsidRPr="00FE6B6E">
        <w:rPr>
          <w:i/>
          <w:sz w:val="22"/>
          <w:szCs w:val="22"/>
        </w:rPr>
        <w:t>Code of Federal Regulations</w:t>
      </w:r>
      <w:r w:rsidRPr="00D07FFE">
        <w:rPr>
          <w:sz w:val="22"/>
          <w:szCs w:val="22"/>
        </w:rPr>
        <w:t xml:space="preserve"> to display information that, in an annual publication, could become obsolete would be unduly burdensome and too difficult to keep current.</w:t>
      </w:r>
    </w:p>
    <w:p w:rsidR="00A24E6C" w:rsidRPr="00D07FFE" w:rsidRDefault="00A24E6C" w:rsidP="00A24E6C">
      <w:pPr>
        <w:pStyle w:val="Default"/>
        <w:rPr>
          <w:sz w:val="22"/>
          <w:szCs w:val="22"/>
        </w:rPr>
      </w:pPr>
    </w:p>
    <w:p w:rsidR="00A24E6C" w:rsidRPr="00D07FFE" w:rsidRDefault="00A24E6C" w:rsidP="00A24E6C">
      <w:pPr>
        <w:pStyle w:val="Default"/>
        <w:rPr>
          <w:sz w:val="22"/>
          <w:szCs w:val="22"/>
          <w:u w:val="single"/>
        </w:rPr>
      </w:pPr>
      <w:r w:rsidRPr="00D07FFE">
        <w:rPr>
          <w:sz w:val="22"/>
          <w:szCs w:val="22"/>
        </w:rPr>
        <w:lastRenderedPageBreak/>
        <w:t xml:space="preserve">18. </w:t>
      </w:r>
      <w:r w:rsidRPr="00D07FFE">
        <w:rPr>
          <w:sz w:val="22"/>
          <w:szCs w:val="22"/>
          <w:u w:val="single"/>
        </w:rPr>
        <w:t>Exceptions to the Certification Statement</w:t>
      </w:r>
    </w:p>
    <w:p w:rsidR="00A24E6C" w:rsidRPr="00D07FFE" w:rsidRDefault="00A24E6C" w:rsidP="00A24E6C">
      <w:pPr>
        <w:pStyle w:val="Default"/>
        <w:rPr>
          <w:sz w:val="22"/>
          <w:szCs w:val="22"/>
        </w:rPr>
      </w:pPr>
    </w:p>
    <w:p w:rsidR="00A24E6C" w:rsidRPr="00D07FFE" w:rsidRDefault="00A24E6C" w:rsidP="00A24E6C">
      <w:pPr>
        <w:pStyle w:val="Default"/>
        <w:ind w:left="360"/>
        <w:rPr>
          <w:sz w:val="22"/>
          <w:szCs w:val="22"/>
        </w:rPr>
      </w:pPr>
      <w:r w:rsidRPr="00D07FFE">
        <w:rPr>
          <w:sz w:val="22"/>
          <w:szCs w:val="22"/>
        </w:rPr>
        <w:t>None.</w:t>
      </w:r>
    </w:p>
    <w:p w:rsidR="00A24E6C" w:rsidRPr="00D07FFE" w:rsidRDefault="00A24E6C" w:rsidP="00A24E6C">
      <w:pPr>
        <w:pStyle w:val="Default"/>
        <w:rPr>
          <w:sz w:val="22"/>
          <w:szCs w:val="22"/>
        </w:rPr>
      </w:pPr>
    </w:p>
    <w:p w:rsidR="00A24E6C" w:rsidRPr="00D07FFE" w:rsidRDefault="00A24E6C" w:rsidP="00A24E6C">
      <w:pPr>
        <w:pStyle w:val="Default"/>
        <w:keepNext/>
        <w:keepLines/>
        <w:rPr>
          <w:sz w:val="22"/>
          <w:szCs w:val="22"/>
        </w:rPr>
      </w:pPr>
      <w:r w:rsidRPr="00D07FFE">
        <w:rPr>
          <w:sz w:val="22"/>
          <w:szCs w:val="22"/>
        </w:rPr>
        <w:t>B. COLLECTION OF INFORMATION EMPLOYING STATISTICAL METHODS</w:t>
      </w:r>
    </w:p>
    <w:p w:rsidR="00A24E6C" w:rsidRPr="00D07FFE" w:rsidRDefault="00A24E6C" w:rsidP="00A24E6C">
      <w:pPr>
        <w:pStyle w:val="Default"/>
        <w:keepNext/>
        <w:keepLines/>
        <w:rPr>
          <w:sz w:val="22"/>
          <w:szCs w:val="22"/>
        </w:rPr>
      </w:pPr>
    </w:p>
    <w:p w:rsidR="00A24E6C" w:rsidRPr="00D07FFE" w:rsidRDefault="00A24E6C" w:rsidP="00C415E0">
      <w:pPr>
        <w:pStyle w:val="Default"/>
        <w:keepNext/>
        <w:keepLines/>
        <w:ind w:left="360"/>
        <w:rPr>
          <w:sz w:val="22"/>
          <w:szCs w:val="22"/>
        </w:rPr>
      </w:pPr>
      <w:r w:rsidRPr="00D07FFE">
        <w:rPr>
          <w:sz w:val="22"/>
          <w:szCs w:val="22"/>
        </w:rPr>
        <w:t>Statistical methods are not used in this collection of information.</w:t>
      </w:r>
      <w:r w:rsidR="0081392A">
        <w:rPr>
          <w:sz w:val="22"/>
          <w:szCs w:val="22"/>
        </w:rPr>
        <w:t xml:space="preserve"> </w:t>
      </w:r>
    </w:p>
    <w:p w:rsidR="00A24E6C" w:rsidRPr="00C415E0" w:rsidRDefault="00C415E0" w:rsidP="00C415E0">
      <w:pPr>
        <w:rPr>
          <w:color w:val="000000"/>
        </w:rPr>
      </w:pPr>
      <w:r>
        <w:br w:type="page"/>
      </w:r>
    </w:p>
    <w:p w:rsidR="007D441E" w:rsidRDefault="007D441E" w:rsidP="00846619">
      <w:pPr>
        <w:pStyle w:val="Default"/>
        <w:rPr>
          <w:sz w:val="22"/>
          <w:szCs w:val="22"/>
        </w:rPr>
        <w:sectPr w:rsidR="007D441E" w:rsidSect="008A1104">
          <w:headerReference w:type="default" r:id="rId9"/>
          <w:pgSz w:w="12240" w:h="15840" w:code="1"/>
          <w:pgMar w:top="1440" w:right="1440" w:bottom="1440" w:left="1440" w:header="1440" w:footer="1440" w:gutter="0"/>
          <w:cols w:space="720"/>
          <w:titlePg/>
          <w:docGrid w:linePitch="360"/>
        </w:sectPr>
      </w:pPr>
    </w:p>
    <w:p w:rsidR="0098401A" w:rsidRDefault="00AB7942" w:rsidP="0098401A">
      <w:pPr>
        <w:pStyle w:val="text"/>
        <w:keepNext/>
        <w:spacing w:before="240"/>
        <w:jc w:val="center"/>
        <w:rPr>
          <w:b/>
          <w:szCs w:val="22"/>
        </w:rPr>
      </w:pPr>
      <w:r>
        <w:rPr>
          <w:b/>
          <w:szCs w:val="22"/>
        </w:rPr>
        <w:lastRenderedPageBreak/>
        <w:t>Exhibit</w:t>
      </w:r>
      <w:r w:rsidR="0098401A">
        <w:rPr>
          <w:b/>
          <w:szCs w:val="22"/>
        </w:rPr>
        <w:t xml:space="preserve"> 1</w:t>
      </w:r>
      <w:r w:rsidR="0098401A">
        <w:rPr>
          <w:b/>
        </w:rPr>
        <w:br/>
      </w:r>
      <w:r w:rsidR="0098401A" w:rsidRPr="002C1932">
        <w:rPr>
          <w:b/>
          <w:szCs w:val="22"/>
        </w:rPr>
        <w:t>One-Tim</w:t>
      </w:r>
      <w:r w:rsidR="0098401A">
        <w:rPr>
          <w:b/>
          <w:szCs w:val="22"/>
        </w:rPr>
        <w:t>e Reporting Burden (Annualized)—Industry (2013–</w:t>
      </w:r>
      <w:r w:rsidR="0098401A" w:rsidRPr="002C1932">
        <w:rPr>
          <w:b/>
          <w:szCs w:val="22"/>
        </w:rPr>
        <w:t>2015)</w:t>
      </w:r>
    </w:p>
    <w:tbl>
      <w:tblPr>
        <w:tblStyle w:val="TableGrid"/>
        <w:tblW w:w="10008" w:type="dxa"/>
        <w:tblBorders>
          <w:top w:val="double" w:sz="4" w:space="0" w:color="auto"/>
        </w:tblBorders>
        <w:tblLayout w:type="fixed"/>
        <w:tblLook w:val="04A0" w:firstRow="1" w:lastRow="0" w:firstColumn="1" w:lastColumn="0" w:noHBand="0" w:noVBand="1"/>
      </w:tblPr>
      <w:tblGrid>
        <w:gridCol w:w="648"/>
        <w:gridCol w:w="3420"/>
        <w:gridCol w:w="1170"/>
        <w:gridCol w:w="1260"/>
        <w:gridCol w:w="990"/>
        <w:gridCol w:w="900"/>
        <w:gridCol w:w="720"/>
        <w:gridCol w:w="900"/>
      </w:tblGrid>
      <w:tr w:rsidR="0098401A" w:rsidTr="00E560C8">
        <w:tc>
          <w:tcPr>
            <w:tcW w:w="648" w:type="dxa"/>
            <w:tcBorders>
              <w:top w:val="single" w:sz="12" w:space="0" w:color="auto"/>
              <w:left w:val="single" w:sz="12" w:space="0" w:color="auto"/>
              <w:bottom w:val="single" w:sz="12" w:space="0" w:color="auto"/>
            </w:tcBorders>
            <w:vAlign w:val="center"/>
          </w:tcPr>
          <w:p w:rsidR="0098401A" w:rsidRPr="009F6C55" w:rsidRDefault="0098401A" w:rsidP="00E560C8">
            <w:pPr>
              <w:jc w:val="center"/>
              <w:rPr>
                <w:b/>
                <w:sz w:val="14"/>
                <w:szCs w:val="14"/>
              </w:rPr>
            </w:pPr>
            <w:r w:rsidRPr="009F6C55">
              <w:rPr>
                <w:b/>
                <w:sz w:val="14"/>
                <w:szCs w:val="14"/>
              </w:rPr>
              <w:t>Issue</w:t>
            </w:r>
          </w:p>
          <w:p w:rsidR="0098401A" w:rsidRPr="009F6C55" w:rsidRDefault="0098401A" w:rsidP="00E560C8">
            <w:pPr>
              <w:jc w:val="center"/>
              <w:rPr>
                <w:b/>
                <w:sz w:val="14"/>
                <w:szCs w:val="14"/>
              </w:rPr>
            </w:pPr>
            <w:r w:rsidRPr="009F6C55">
              <w:rPr>
                <w:b/>
                <w:sz w:val="14"/>
                <w:szCs w:val="14"/>
              </w:rPr>
              <w:t>No.</w:t>
            </w:r>
          </w:p>
        </w:tc>
        <w:tc>
          <w:tcPr>
            <w:tcW w:w="342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Table B-1 Issues</w:t>
            </w:r>
          </w:p>
        </w:tc>
        <w:tc>
          <w:tcPr>
            <w:tcW w:w="117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Number of</w:t>
            </w:r>
          </w:p>
          <w:p w:rsidR="0098401A" w:rsidRPr="009F6C55" w:rsidRDefault="0098401A" w:rsidP="00E560C8">
            <w:pPr>
              <w:rPr>
                <w:b/>
                <w:sz w:val="14"/>
                <w:szCs w:val="14"/>
              </w:rPr>
            </w:pPr>
            <w:r w:rsidRPr="009F6C55">
              <w:rPr>
                <w:b/>
                <w:sz w:val="14"/>
                <w:szCs w:val="14"/>
              </w:rPr>
              <w:t>Respondents</w:t>
            </w:r>
          </w:p>
          <w:p w:rsidR="0098401A" w:rsidRPr="009F6C55" w:rsidRDefault="0098401A" w:rsidP="00E560C8">
            <w:pPr>
              <w:rPr>
                <w:b/>
                <w:sz w:val="14"/>
                <w:szCs w:val="14"/>
              </w:rPr>
            </w:pPr>
            <w:r w:rsidRPr="009F6C55">
              <w:rPr>
                <w:b/>
                <w:sz w:val="14"/>
                <w:szCs w:val="14"/>
              </w:rPr>
              <w:t>Annually</w:t>
            </w:r>
          </w:p>
        </w:tc>
        <w:tc>
          <w:tcPr>
            <w:tcW w:w="126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Responses per Respondent Annually</w:t>
            </w:r>
          </w:p>
        </w:tc>
        <w:tc>
          <w:tcPr>
            <w:tcW w:w="99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Total Responses Annually</w:t>
            </w:r>
          </w:p>
        </w:tc>
        <w:tc>
          <w:tcPr>
            <w:tcW w:w="90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Burden Hours Per Response</w:t>
            </w:r>
          </w:p>
        </w:tc>
        <w:tc>
          <w:tcPr>
            <w:tcW w:w="72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Total Annual Burden Hours</w:t>
            </w:r>
          </w:p>
        </w:tc>
        <w:tc>
          <w:tcPr>
            <w:tcW w:w="900" w:type="dxa"/>
            <w:tcBorders>
              <w:top w:val="single" w:sz="12" w:space="0" w:color="auto"/>
              <w:bottom w:val="single" w:sz="12" w:space="0" w:color="auto"/>
              <w:right w:val="single" w:sz="12" w:space="0" w:color="auto"/>
            </w:tcBorders>
            <w:vAlign w:val="center"/>
          </w:tcPr>
          <w:p w:rsidR="0098401A" w:rsidRPr="009F6C55" w:rsidRDefault="0098401A" w:rsidP="00E560C8">
            <w:pPr>
              <w:rPr>
                <w:b/>
                <w:sz w:val="14"/>
                <w:szCs w:val="14"/>
              </w:rPr>
            </w:pPr>
            <w:r w:rsidRPr="009F6C55">
              <w:rPr>
                <w:b/>
                <w:sz w:val="14"/>
                <w:szCs w:val="14"/>
              </w:rPr>
              <w:t>Estima</w:t>
            </w:r>
            <w:r w:rsidR="00FF5383">
              <w:rPr>
                <w:b/>
                <w:sz w:val="14"/>
                <w:szCs w:val="14"/>
              </w:rPr>
              <w:t>ted Annual Cost @ $274</w:t>
            </w:r>
            <w:r w:rsidRPr="009F6C55">
              <w:rPr>
                <w:b/>
                <w:sz w:val="14"/>
                <w:szCs w:val="14"/>
              </w:rPr>
              <w:t>/hr</w:t>
            </w:r>
          </w:p>
        </w:tc>
      </w:tr>
      <w:tr w:rsidR="0098401A" w:rsidTr="00E560C8">
        <w:trPr>
          <w:trHeight w:val="204"/>
        </w:trPr>
        <w:tc>
          <w:tcPr>
            <w:tcW w:w="10008" w:type="dxa"/>
            <w:gridSpan w:val="8"/>
            <w:tcBorders>
              <w:top w:val="single" w:sz="12" w:space="0" w:color="auto"/>
              <w:left w:val="single" w:sz="12" w:space="0" w:color="auto"/>
              <w:bottom w:val="single" w:sz="12" w:space="0" w:color="auto"/>
              <w:right w:val="single" w:sz="12" w:space="0" w:color="auto"/>
            </w:tcBorders>
            <w:shd w:val="pct5" w:color="auto" w:fill="auto"/>
            <w:vAlign w:val="center"/>
          </w:tcPr>
          <w:p w:rsidR="0098401A" w:rsidRPr="009F6C55" w:rsidRDefault="0098401A" w:rsidP="00E560C8">
            <w:pPr>
              <w:rPr>
                <w:b/>
                <w:sz w:val="16"/>
                <w:szCs w:val="16"/>
              </w:rPr>
            </w:pPr>
            <w:r>
              <w:rPr>
                <w:b/>
                <w:sz w:val="18"/>
                <w:szCs w:val="18"/>
              </w:rPr>
              <w:t xml:space="preserve">            INDUSTRY—</w:t>
            </w:r>
            <w:r w:rsidRPr="009F6C55">
              <w:rPr>
                <w:b/>
                <w:sz w:val="16"/>
                <w:szCs w:val="16"/>
              </w:rPr>
              <w:t>BURDEN INCREASE</w:t>
            </w:r>
          </w:p>
        </w:tc>
      </w:tr>
      <w:tr w:rsidR="0098401A" w:rsidTr="00E560C8">
        <w:tc>
          <w:tcPr>
            <w:tcW w:w="648" w:type="dxa"/>
            <w:tcBorders>
              <w:top w:val="single" w:sz="12"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8</w:t>
            </w:r>
          </w:p>
        </w:tc>
        <w:tc>
          <w:tcPr>
            <w:tcW w:w="3420" w:type="dxa"/>
            <w:tcBorders>
              <w:top w:val="single" w:sz="12" w:space="0" w:color="auto"/>
            </w:tcBorders>
            <w:vAlign w:val="center"/>
          </w:tcPr>
          <w:p w:rsidR="0098401A" w:rsidRPr="007B5BB8" w:rsidRDefault="0098401A" w:rsidP="00E560C8">
            <w:pPr>
              <w:rPr>
                <w:sz w:val="14"/>
                <w:szCs w:val="14"/>
              </w:rPr>
            </w:pPr>
            <w:r w:rsidRPr="007B5BB8">
              <w:rPr>
                <w:color w:val="000000"/>
                <w:sz w:val="14"/>
                <w:szCs w:val="14"/>
              </w:rPr>
              <w:t>Geology and soils</w:t>
            </w:r>
          </w:p>
        </w:tc>
        <w:tc>
          <w:tcPr>
            <w:tcW w:w="1170" w:type="dxa"/>
            <w:tcBorders>
              <w:top w:val="single" w:sz="12" w:space="0" w:color="auto"/>
            </w:tcBorders>
          </w:tcPr>
          <w:p w:rsidR="0098401A" w:rsidRPr="009F6C55" w:rsidRDefault="0045721A" w:rsidP="00E560C8">
            <w:pPr>
              <w:jc w:val="right"/>
              <w:rPr>
                <w:sz w:val="14"/>
                <w:szCs w:val="14"/>
              </w:rPr>
            </w:pPr>
            <w:r>
              <w:rPr>
                <w:sz w:val="14"/>
                <w:szCs w:val="14"/>
              </w:rPr>
              <w:t>2</w:t>
            </w:r>
            <w:r w:rsidR="0098401A">
              <w:rPr>
                <w:sz w:val="14"/>
                <w:szCs w:val="14"/>
              </w:rPr>
              <w:t>.0</w:t>
            </w:r>
          </w:p>
        </w:tc>
        <w:tc>
          <w:tcPr>
            <w:tcW w:w="1260" w:type="dxa"/>
            <w:tcBorders>
              <w:top w:val="single" w:sz="12"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12" w:space="0" w:color="auto"/>
            </w:tcBorders>
          </w:tcPr>
          <w:p w:rsidR="0098401A" w:rsidRPr="009F6C55" w:rsidRDefault="0045721A" w:rsidP="00E560C8">
            <w:pPr>
              <w:jc w:val="right"/>
              <w:rPr>
                <w:sz w:val="14"/>
                <w:szCs w:val="14"/>
              </w:rPr>
            </w:pPr>
            <w:r>
              <w:rPr>
                <w:sz w:val="14"/>
                <w:szCs w:val="14"/>
              </w:rPr>
              <w:t>2</w:t>
            </w:r>
            <w:r w:rsidR="0098401A">
              <w:rPr>
                <w:sz w:val="14"/>
                <w:szCs w:val="14"/>
              </w:rPr>
              <w:t>.0</w:t>
            </w:r>
          </w:p>
        </w:tc>
        <w:tc>
          <w:tcPr>
            <w:tcW w:w="900" w:type="dxa"/>
            <w:tcBorders>
              <w:top w:val="single" w:sz="12"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12" w:space="0" w:color="auto"/>
            </w:tcBorders>
          </w:tcPr>
          <w:p w:rsidR="0098401A" w:rsidRPr="009F6C55" w:rsidRDefault="0045721A" w:rsidP="00E560C8">
            <w:pPr>
              <w:jc w:val="right"/>
              <w:rPr>
                <w:sz w:val="14"/>
                <w:szCs w:val="14"/>
              </w:rPr>
            </w:pPr>
            <w:r>
              <w:rPr>
                <w:sz w:val="14"/>
                <w:szCs w:val="14"/>
              </w:rPr>
              <w:t>156</w:t>
            </w:r>
            <w:r w:rsidR="0098401A">
              <w:rPr>
                <w:sz w:val="14"/>
                <w:szCs w:val="14"/>
              </w:rPr>
              <w:t>.0</w:t>
            </w:r>
          </w:p>
        </w:tc>
        <w:tc>
          <w:tcPr>
            <w:tcW w:w="900" w:type="dxa"/>
            <w:tcBorders>
              <w:top w:val="single" w:sz="12"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45721A">
              <w:rPr>
                <w:sz w:val="14"/>
                <w:szCs w:val="14"/>
              </w:rPr>
              <w:t>42</w:t>
            </w:r>
            <w:r>
              <w:rPr>
                <w:sz w:val="14"/>
                <w:szCs w:val="14"/>
              </w:rPr>
              <w:t>,</w:t>
            </w:r>
            <w:r w:rsidR="0045721A">
              <w:rPr>
                <w:sz w:val="14"/>
                <w:szCs w:val="14"/>
              </w:rPr>
              <w:t>744</w:t>
            </w:r>
          </w:p>
        </w:tc>
      </w:tr>
      <w:tr w:rsidR="0098401A" w:rsidTr="00E560C8">
        <w:trPr>
          <w:trHeight w:val="161"/>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18</w:t>
            </w:r>
          </w:p>
        </w:tc>
        <w:tc>
          <w:tcPr>
            <w:tcW w:w="3420" w:type="dxa"/>
            <w:tcBorders>
              <w:top w:val="single" w:sz="4" w:space="0" w:color="auto"/>
            </w:tcBorders>
            <w:vAlign w:val="center"/>
          </w:tcPr>
          <w:p w:rsidR="0098401A" w:rsidRPr="007B5BB8" w:rsidRDefault="0098401A" w:rsidP="00E560C8">
            <w:pPr>
              <w:spacing w:line="264" w:lineRule="auto"/>
              <w:rPr>
                <w:sz w:val="14"/>
                <w:szCs w:val="14"/>
              </w:rPr>
            </w:pPr>
            <w:r w:rsidRPr="007B5BB8">
              <w:rPr>
                <w:color w:val="000000"/>
                <w:sz w:val="14"/>
                <w:szCs w:val="14"/>
              </w:rPr>
              <w:t>Effects of dredging on surface water quality</w:t>
            </w:r>
          </w:p>
        </w:tc>
        <w:tc>
          <w:tcPr>
            <w:tcW w:w="1170" w:type="dxa"/>
            <w:tcBorders>
              <w:top w:val="single" w:sz="4" w:space="0" w:color="auto"/>
            </w:tcBorders>
          </w:tcPr>
          <w:p w:rsidR="0098401A" w:rsidRPr="009F6C55" w:rsidRDefault="0045721A"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45721A"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45721A"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45721A">
              <w:rPr>
                <w:sz w:val="14"/>
                <w:szCs w:val="14"/>
              </w:rPr>
              <w:t>42</w:t>
            </w:r>
            <w:r>
              <w:rPr>
                <w:sz w:val="14"/>
                <w:szCs w:val="14"/>
              </w:rPr>
              <w:t>,</w:t>
            </w:r>
            <w:r w:rsidR="0045721A">
              <w:rPr>
                <w:sz w:val="14"/>
                <w:szCs w:val="14"/>
              </w:rPr>
              <w:t>744</w:t>
            </w:r>
          </w:p>
        </w:tc>
      </w:tr>
      <w:tr w:rsidR="0098401A" w:rsidTr="00E560C8">
        <w:trPr>
          <w:trHeight w:val="332"/>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20</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Groundwater contamination and use (non-cooling system impacts)</w:t>
            </w:r>
          </w:p>
        </w:tc>
        <w:tc>
          <w:tcPr>
            <w:tcW w:w="1170" w:type="dxa"/>
            <w:tcBorders>
              <w:top w:val="single" w:sz="4" w:space="0" w:color="auto"/>
            </w:tcBorders>
          </w:tcPr>
          <w:p w:rsidR="0098401A" w:rsidRPr="009F6C55" w:rsidRDefault="00D55C48"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55C48"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23.0</w:t>
            </w:r>
          </w:p>
        </w:tc>
        <w:tc>
          <w:tcPr>
            <w:tcW w:w="720" w:type="dxa"/>
            <w:tcBorders>
              <w:top w:val="single" w:sz="4" w:space="0" w:color="auto"/>
            </w:tcBorders>
          </w:tcPr>
          <w:p w:rsidR="0098401A" w:rsidRPr="009F6C55" w:rsidRDefault="00D55C48" w:rsidP="00E560C8">
            <w:pPr>
              <w:jc w:val="right"/>
              <w:rPr>
                <w:sz w:val="14"/>
                <w:szCs w:val="14"/>
              </w:rPr>
            </w:pPr>
            <w:r>
              <w:rPr>
                <w:sz w:val="14"/>
                <w:szCs w:val="14"/>
              </w:rPr>
              <w:t>46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D55C48">
            <w:pPr>
              <w:jc w:val="right"/>
              <w:rPr>
                <w:sz w:val="14"/>
                <w:szCs w:val="14"/>
              </w:rPr>
            </w:pPr>
            <w:r>
              <w:rPr>
                <w:sz w:val="14"/>
                <w:szCs w:val="14"/>
              </w:rPr>
              <w:t xml:space="preserve">$    </w:t>
            </w:r>
            <w:r w:rsidR="00D55C48">
              <w:rPr>
                <w:sz w:val="14"/>
                <w:szCs w:val="14"/>
              </w:rPr>
              <w:t>12,604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27</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Radionuclides released to groundwater</w:t>
            </w:r>
          </w:p>
        </w:tc>
        <w:tc>
          <w:tcPr>
            <w:tcW w:w="1170" w:type="dxa"/>
            <w:tcBorders>
              <w:top w:val="single" w:sz="4" w:space="0" w:color="auto"/>
            </w:tcBorders>
          </w:tcPr>
          <w:p w:rsidR="0098401A" w:rsidRPr="009F6C55" w:rsidRDefault="00D55C48" w:rsidP="00D55C4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55C48" w:rsidP="00D55C4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312.0</w:t>
            </w:r>
          </w:p>
        </w:tc>
        <w:tc>
          <w:tcPr>
            <w:tcW w:w="720" w:type="dxa"/>
            <w:tcBorders>
              <w:top w:val="single" w:sz="4" w:space="0" w:color="auto"/>
            </w:tcBorders>
          </w:tcPr>
          <w:p w:rsidR="0098401A" w:rsidRPr="009F6C55" w:rsidRDefault="00D55C48" w:rsidP="00E560C8">
            <w:pPr>
              <w:jc w:val="right"/>
              <w:rPr>
                <w:sz w:val="14"/>
                <w:szCs w:val="14"/>
              </w:rPr>
            </w:pPr>
            <w:r>
              <w:rPr>
                <w:sz w:val="14"/>
                <w:szCs w:val="14"/>
              </w:rPr>
              <w:t>624.0</w:t>
            </w:r>
          </w:p>
        </w:tc>
        <w:tc>
          <w:tcPr>
            <w:tcW w:w="900" w:type="dxa"/>
            <w:tcBorders>
              <w:top w:val="single" w:sz="4" w:space="0" w:color="auto"/>
              <w:right w:val="single" w:sz="12" w:space="0" w:color="auto"/>
            </w:tcBorders>
          </w:tcPr>
          <w:p w:rsidR="0098401A" w:rsidRPr="009F6C55" w:rsidRDefault="0098401A" w:rsidP="00D55C48">
            <w:pPr>
              <w:jc w:val="right"/>
              <w:rPr>
                <w:sz w:val="14"/>
                <w:szCs w:val="14"/>
              </w:rPr>
            </w:pPr>
            <w:r>
              <w:rPr>
                <w:sz w:val="14"/>
                <w:szCs w:val="14"/>
              </w:rPr>
              <w:t>$</w:t>
            </w:r>
            <w:r w:rsidR="000D3390">
              <w:rPr>
                <w:sz w:val="14"/>
                <w:szCs w:val="14"/>
              </w:rPr>
              <w:t xml:space="preserve">  </w:t>
            </w:r>
            <w:r w:rsidR="00D55C48">
              <w:rPr>
                <w:sz w:val="14"/>
                <w:szCs w:val="14"/>
              </w:rPr>
              <w:t>170,976</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29</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Exposure of terrestrial organisms to radionuclides</w:t>
            </w:r>
          </w:p>
        </w:tc>
        <w:tc>
          <w:tcPr>
            <w:tcW w:w="1170" w:type="dxa"/>
            <w:tcBorders>
              <w:top w:val="single" w:sz="4" w:space="0" w:color="auto"/>
            </w:tcBorders>
          </w:tcPr>
          <w:p w:rsidR="0098401A" w:rsidRPr="009F6C55" w:rsidRDefault="00F1799A"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F1799A"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F1799A"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F1799A">
              <w:rPr>
                <w:sz w:val="14"/>
                <w:szCs w:val="14"/>
              </w:rPr>
              <w:t>42</w:t>
            </w:r>
            <w:r>
              <w:rPr>
                <w:sz w:val="14"/>
                <w:szCs w:val="14"/>
              </w:rPr>
              <w:t>,</w:t>
            </w:r>
            <w:r w:rsidR="00F1799A">
              <w:rPr>
                <w:sz w:val="14"/>
                <w:szCs w:val="14"/>
              </w:rPr>
              <w:t>744</w:t>
            </w:r>
          </w:p>
        </w:tc>
      </w:tr>
      <w:tr w:rsidR="0098401A" w:rsidTr="00E560C8">
        <w:trPr>
          <w:trHeight w:val="359"/>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33</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Water use conflicts with terrestrial resources (plants with cooling ponds or cooling towers using makeup water from a river)**</w:t>
            </w:r>
          </w:p>
        </w:tc>
        <w:tc>
          <w:tcPr>
            <w:tcW w:w="1170" w:type="dxa"/>
            <w:tcBorders>
              <w:top w:val="single" w:sz="4" w:space="0" w:color="auto"/>
            </w:tcBorders>
          </w:tcPr>
          <w:p w:rsidR="0098401A" w:rsidRPr="009F6C55" w:rsidRDefault="0098401A" w:rsidP="00E560C8">
            <w:pPr>
              <w:jc w:val="right"/>
              <w:rPr>
                <w:sz w:val="14"/>
                <w:szCs w:val="14"/>
              </w:rPr>
            </w:pPr>
            <w:r>
              <w:rPr>
                <w:sz w:val="14"/>
                <w:szCs w:val="14"/>
              </w:rPr>
              <w:t>1.</w:t>
            </w:r>
            <w:r w:rsidR="00C86CE9">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98401A" w:rsidP="00E560C8">
            <w:pPr>
              <w:jc w:val="right"/>
              <w:rPr>
                <w:sz w:val="14"/>
                <w:szCs w:val="14"/>
              </w:rPr>
            </w:pPr>
            <w:r>
              <w:rPr>
                <w:sz w:val="14"/>
                <w:szCs w:val="14"/>
              </w:rPr>
              <w:t>1.</w:t>
            </w:r>
            <w:r w:rsidR="00C86CE9">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312.0</w:t>
            </w:r>
          </w:p>
        </w:tc>
        <w:tc>
          <w:tcPr>
            <w:tcW w:w="720" w:type="dxa"/>
            <w:tcBorders>
              <w:top w:val="single" w:sz="4" w:space="0" w:color="auto"/>
            </w:tcBorders>
          </w:tcPr>
          <w:p w:rsidR="0098401A" w:rsidRPr="009F6C55" w:rsidRDefault="00C86CE9" w:rsidP="00E560C8">
            <w:pPr>
              <w:jc w:val="right"/>
              <w:rPr>
                <w:sz w:val="14"/>
                <w:szCs w:val="14"/>
              </w:rPr>
            </w:pPr>
            <w:r>
              <w:rPr>
                <w:sz w:val="14"/>
                <w:szCs w:val="14"/>
              </w:rPr>
              <w:t>312</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C86CE9">
              <w:rPr>
                <w:sz w:val="14"/>
                <w:szCs w:val="14"/>
              </w:rPr>
              <w:t xml:space="preserve">  85</w:t>
            </w:r>
            <w:r>
              <w:rPr>
                <w:sz w:val="14"/>
                <w:szCs w:val="14"/>
              </w:rPr>
              <w:t>,</w:t>
            </w:r>
            <w:r w:rsidR="00C86CE9">
              <w:rPr>
                <w:sz w:val="14"/>
                <w:szCs w:val="14"/>
              </w:rPr>
              <w:t>488</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44</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Exposure of aquatic organisms to radionuclides</w:t>
            </w:r>
          </w:p>
        </w:tc>
        <w:tc>
          <w:tcPr>
            <w:tcW w:w="1170" w:type="dxa"/>
            <w:tcBorders>
              <w:top w:val="single" w:sz="4" w:space="0" w:color="auto"/>
            </w:tcBorders>
          </w:tcPr>
          <w:p w:rsidR="0098401A" w:rsidRPr="009F6C55" w:rsidRDefault="003B0BF9"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3B0BF9"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3B0BF9"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3B0BF9">
              <w:rPr>
                <w:sz w:val="14"/>
                <w:szCs w:val="14"/>
              </w:rPr>
              <w:t>42</w:t>
            </w:r>
            <w:r>
              <w:rPr>
                <w:sz w:val="14"/>
                <w:szCs w:val="14"/>
              </w:rPr>
              <w:t>,</w:t>
            </w:r>
            <w:r w:rsidR="003B0BF9">
              <w:rPr>
                <w:sz w:val="14"/>
                <w:szCs w:val="14"/>
              </w:rPr>
              <w:t>744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45</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Effects of dredging on aquatic organisms</w:t>
            </w:r>
          </w:p>
        </w:tc>
        <w:tc>
          <w:tcPr>
            <w:tcW w:w="1170" w:type="dxa"/>
            <w:tcBorders>
              <w:top w:val="single" w:sz="4" w:space="0" w:color="auto"/>
            </w:tcBorders>
          </w:tcPr>
          <w:p w:rsidR="0098401A" w:rsidRPr="009F6C55" w:rsidRDefault="001409BB"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1409BB"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1409BB"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1409BB">
              <w:rPr>
                <w:sz w:val="14"/>
                <w:szCs w:val="14"/>
              </w:rPr>
              <w:t>42</w:t>
            </w:r>
            <w:r>
              <w:rPr>
                <w:sz w:val="14"/>
                <w:szCs w:val="14"/>
              </w:rPr>
              <w:t>,</w:t>
            </w:r>
            <w:r w:rsidR="001409BB">
              <w:rPr>
                <w:sz w:val="14"/>
                <w:szCs w:val="14"/>
              </w:rPr>
              <w:t>744</w:t>
            </w:r>
          </w:p>
        </w:tc>
      </w:tr>
      <w:tr w:rsidR="0098401A" w:rsidTr="00E560C8">
        <w:trPr>
          <w:trHeight w:val="476"/>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46</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Water use conflicts with aquatic resources (plants with cooling ponds or cooling towers using makeup water from a river)**</w:t>
            </w:r>
          </w:p>
        </w:tc>
        <w:tc>
          <w:tcPr>
            <w:tcW w:w="1170" w:type="dxa"/>
            <w:tcBorders>
              <w:top w:val="single" w:sz="4" w:space="0" w:color="auto"/>
            </w:tcBorders>
          </w:tcPr>
          <w:p w:rsidR="0098401A" w:rsidRPr="009F6C55" w:rsidRDefault="0098401A" w:rsidP="00E560C8">
            <w:pPr>
              <w:jc w:val="right"/>
              <w:rPr>
                <w:sz w:val="14"/>
                <w:szCs w:val="14"/>
              </w:rPr>
            </w:pPr>
            <w:r>
              <w:rPr>
                <w:sz w:val="14"/>
                <w:szCs w:val="14"/>
              </w:rPr>
              <w:t>1.</w:t>
            </w:r>
            <w:r w:rsidR="001409BB">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98401A" w:rsidP="00E560C8">
            <w:pPr>
              <w:jc w:val="right"/>
              <w:rPr>
                <w:sz w:val="14"/>
                <w:szCs w:val="14"/>
              </w:rPr>
            </w:pPr>
            <w:r>
              <w:rPr>
                <w:sz w:val="14"/>
                <w:szCs w:val="14"/>
              </w:rPr>
              <w:t>1.</w:t>
            </w:r>
            <w:r w:rsidR="001409BB">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312.0</w:t>
            </w:r>
          </w:p>
        </w:tc>
        <w:tc>
          <w:tcPr>
            <w:tcW w:w="720" w:type="dxa"/>
            <w:tcBorders>
              <w:top w:val="single" w:sz="4" w:space="0" w:color="auto"/>
            </w:tcBorders>
          </w:tcPr>
          <w:p w:rsidR="0098401A" w:rsidRPr="009F6C55" w:rsidRDefault="001409BB" w:rsidP="00E560C8">
            <w:pPr>
              <w:jc w:val="right"/>
              <w:rPr>
                <w:sz w:val="14"/>
                <w:szCs w:val="14"/>
              </w:rPr>
            </w:pPr>
            <w:r>
              <w:rPr>
                <w:sz w:val="14"/>
                <w:szCs w:val="14"/>
              </w:rPr>
              <w:t>312</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1409BB">
            <w:pPr>
              <w:jc w:val="right"/>
              <w:rPr>
                <w:sz w:val="14"/>
                <w:szCs w:val="14"/>
              </w:rPr>
            </w:pPr>
            <w:r>
              <w:rPr>
                <w:sz w:val="14"/>
                <w:szCs w:val="14"/>
              </w:rPr>
              <w:t xml:space="preserve">$  </w:t>
            </w:r>
            <w:r w:rsidR="001409BB">
              <w:rPr>
                <w:sz w:val="14"/>
                <w:szCs w:val="14"/>
              </w:rPr>
              <w:t xml:space="preserve">  85</w:t>
            </w:r>
            <w:r>
              <w:rPr>
                <w:sz w:val="14"/>
                <w:szCs w:val="14"/>
              </w:rPr>
              <w:t>,</w:t>
            </w:r>
            <w:r w:rsidR="001409BB">
              <w:rPr>
                <w:sz w:val="14"/>
                <w:szCs w:val="14"/>
              </w:rPr>
              <w:t>488</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48</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Impacts of transmission line right-of-way (ROW) management on aquatic resources</w:t>
            </w:r>
          </w:p>
        </w:tc>
        <w:tc>
          <w:tcPr>
            <w:tcW w:w="1170" w:type="dxa"/>
            <w:tcBorders>
              <w:top w:val="single" w:sz="4" w:space="0" w:color="auto"/>
            </w:tcBorders>
          </w:tcPr>
          <w:p w:rsidR="0098401A" w:rsidRPr="009F6C55" w:rsidRDefault="00934832"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934832"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934832" w:rsidP="00E560C8">
            <w:pPr>
              <w:jc w:val="right"/>
              <w:rPr>
                <w:sz w:val="14"/>
                <w:szCs w:val="14"/>
              </w:rPr>
            </w:pPr>
            <w:r>
              <w:rPr>
                <w:sz w:val="14"/>
                <w:szCs w:val="14"/>
              </w:rPr>
              <w:t xml:space="preserve"> 156.0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934832">
              <w:rPr>
                <w:sz w:val="14"/>
                <w:szCs w:val="14"/>
              </w:rPr>
              <w:t>42</w:t>
            </w:r>
            <w:r>
              <w:rPr>
                <w:sz w:val="14"/>
                <w:szCs w:val="14"/>
              </w:rPr>
              <w:t>,</w:t>
            </w:r>
            <w:r w:rsidR="00934832">
              <w:rPr>
                <w:sz w:val="14"/>
                <w:szCs w:val="14"/>
              </w:rPr>
              <w:t>744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50</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Threatened, endangered, and protected species and essential fish habitat*</w:t>
            </w:r>
          </w:p>
        </w:tc>
        <w:tc>
          <w:tcPr>
            <w:tcW w:w="1170" w:type="dxa"/>
            <w:tcBorders>
              <w:top w:val="single" w:sz="4" w:space="0" w:color="auto"/>
            </w:tcBorders>
          </w:tcPr>
          <w:p w:rsidR="0098401A" w:rsidRPr="00965B32" w:rsidRDefault="0098401A" w:rsidP="00E560C8">
            <w:pPr>
              <w:jc w:val="right"/>
              <w:rPr>
                <w:sz w:val="14"/>
                <w:szCs w:val="14"/>
              </w:rPr>
            </w:pPr>
            <w:r w:rsidRPr="00965B32">
              <w:rPr>
                <w:sz w:val="14"/>
                <w:szCs w:val="14"/>
              </w:rPr>
              <w:t>0.</w:t>
            </w:r>
            <w:r w:rsidR="00DB4E18">
              <w:rPr>
                <w:sz w:val="14"/>
                <w:szCs w:val="14"/>
              </w:rPr>
              <w:t>2</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98401A" w:rsidP="00E560C8">
            <w:pPr>
              <w:jc w:val="right"/>
              <w:rPr>
                <w:sz w:val="14"/>
                <w:szCs w:val="14"/>
              </w:rPr>
            </w:pPr>
            <w:r>
              <w:rPr>
                <w:sz w:val="14"/>
                <w:szCs w:val="14"/>
              </w:rPr>
              <w:t>0.</w:t>
            </w:r>
            <w:r w:rsidR="00DB4E18">
              <w:rPr>
                <w:sz w:val="14"/>
                <w:szCs w:val="14"/>
              </w:rPr>
              <w:t>2</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312.0</w:t>
            </w:r>
          </w:p>
        </w:tc>
        <w:tc>
          <w:tcPr>
            <w:tcW w:w="720" w:type="dxa"/>
            <w:tcBorders>
              <w:top w:val="single" w:sz="4" w:space="0" w:color="auto"/>
            </w:tcBorders>
          </w:tcPr>
          <w:p w:rsidR="0098401A" w:rsidRPr="009F6C55" w:rsidRDefault="00DB4E18" w:rsidP="00E560C8">
            <w:pPr>
              <w:jc w:val="right"/>
              <w:rPr>
                <w:sz w:val="14"/>
                <w:szCs w:val="14"/>
              </w:rPr>
            </w:pPr>
            <w:r>
              <w:rPr>
                <w:sz w:val="14"/>
                <w:szCs w:val="14"/>
              </w:rPr>
              <w:t>62.4</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DB4E18">
              <w:rPr>
                <w:sz w:val="14"/>
                <w:szCs w:val="14"/>
              </w:rPr>
              <w:t>17</w:t>
            </w:r>
            <w:r>
              <w:rPr>
                <w:sz w:val="14"/>
                <w:szCs w:val="14"/>
              </w:rPr>
              <w:t>,</w:t>
            </w:r>
            <w:r w:rsidR="00DB4E18">
              <w:rPr>
                <w:sz w:val="14"/>
                <w:szCs w:val="14"/>
              </w:rPr>
              <w:t>098</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52</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Employment and income, recreation and tourism</w:t>
            </w:r>
          </w:p>
        </w:tc>
        <w:tc>
          <w:tcPr>
            <w:tcW w:w="1170" w:type="dxa"/>
            <w:tcBorders>
              <w:top w:val="single" w:sz="4" w:space="0" w:color="auto"/>
            </w:tcBorders>
          </w:tcPr>
          <w:p w:rsidR="0098401A" w:rsidRPr="009F6C55" w:rsidRDefault="00CF139F"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CF139F"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CF139F"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CF139F">
              <w:rPr>
                <w:sz w:val="14"/>
                <w:szCs w:val="14"/>
              </w:rPr>
              <w:t>42</w:t>
            </w:r>
            <w:r>
              <w:rPr>
                <w:sz w:val="14"/>
                <w:szCs w:val="14"/>
              </w:rPr>
              <w:t>,</w:t>
            </w:r>
            <w:r w:rsidR="00CF139F">
              <w:rPr>
                <w:sz w:val="14"/>
                <w:szCs w:val="14"/>
              </w:rPr>
              <w:t>744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53</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Tax revenues</w:t>
            </w:r>
          </w:p>
        </w:tc>
        <w:tc>
          <w:tcPr>
            <w:tcW w:w="1170" w:type="dxa"/>
            <w:tcBorders>
              <w:top w:val="single" w:sz="4" w:space="0" w:color="auto"/>
            </w:tcBorders>
          </w:tcPr>
          <w:p w:rsidR="0098401A" w:rsidRPr="009F6C55" w:rsidRDefault="00CF139F"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CF139F"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CF139F"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CF139F">
              <w:rPr>
                <w:sz w:val="14"/>
                <w:szCs w:val="14"/>
              </w:rPr>
              <w:t>42</w:t>
            </w:r>
            <w:r>
              <w:rPr>
                <w:sz w:val="14"/>
                <w:szCs w:val="14"/>
              </w:rPr>
              <w:t>,</w:t>
            </w:r>
            <w:r w:rsidR="00CF139F">
              <w:rPr>
                <w:sz w:val="14"/>
                <w:szCs w:val="14"/>
              </w:rPr>
              <w:t>744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59</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Human health impact from chemicals</w:t>
            </w:r>
          </w:p>
        </w:tc>
        <w:tc>
          <w:tcPr>
            <w:tcW w:w="1170" w:type="dxa"/>
            <w:tcBorders>
              <w:top w:val="single" w:sz="4" w:space="0" w:color="auto"/>
            </w:tcBorders>
          </w:tcPr>
          <w:p w:rsidR="0098401A" w:rsidRPr="009F6C55" w:rsidRDefault="00CF139F"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CF139F"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CF139F"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CF139F">
              <w:rPr>
                <w:sz w:val="14"/>
                <w:szCs w:val="14"/>
              </w:rPr>
              <w:t>42</w:t>
            </w:r>
            <w:r>
              <w:rPr>
                <w:sz w:val="14"/>
                <w:szCs w:val="14"/>
              </w:rPr>
              <w:t>,</w:t>
            </w:r>
            <w:r w:rsidR="00CF139F">
              <w:rPr>
                <w:sz w:val="14"/>
                <w:szCs w:val="14"/>
              </w:rPr>
              <w:t>744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63</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Physical occupational hazards</w:t>
            </w:r>
          </w:p>
        </w:tc>
        <w:tc>
          <w:tcPr>
            <w:tcW w:w="1170" w:type="dxa"/>
            <w:tcBorders>
              <w:top w:val="single" w:sz="4" w:space="0" w:color="auto"/>
            </w:tcBorders>
          </w:tcPr>
          <w:p w:rsidR="0098401A" w:rsidRPr="009F6C55" w:rsidRDefault="00521ABD"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521ABD"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78.0</w:t>
            </w:r>
          </w:p>
        </w:tc>
        <w:tc>
          <w:tcPr>
            <w:tcW w:w="720" w:type="dxa"/>
            <w:tcBorders>
              <w:top w:val="single" w:sz="4" w:space="0" w:color="auto"/>
            </w:tcBorders>
          </w:tcPr>
          <w:p w:rsidR="0098401A" w:rsidRPr="009F6C55" w:rsidRDefault="00521ABD" w:rsidP="00E560C8">
            <w:pPr>
              <w:jc w:val="right"/>
              <w:rPr>
                <w:sz w:val="14"/>
                <w:szCs w:val="14"/>
              </w:rPr>
            </w:pPr>
            <w:r>
              <w:rPr>
                <w:sz w:val="14"/>
                <w:szCs w:val="14"/>
              </w:rPr>
              <w:t>156</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521ABD">
              <w:rPr>
                <w:sz w:val="14"/>
                <w:szCs w:val="14"/>
              </w:rPr>
              <w:t>42</w:t>
            </w:r>
            <w:r>
              <w:rPr>
                <w:sz w:val="14"/>
                <w:szCs w:val="14"/>
              </w:rPr>
              <w:t>,</w:t>
            </w:r>
            <w:r w:rsidR="00521ABD">
              <w:rPr>
                <w:sz w:val="14"/>
                <w:szCs w:val="14"/>
              </w:rPr>
              <w:t>744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67</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Minority and low-income populations</w:t>
            </w:r>
          </w:p>
        </w:tc>
        <w:tc>
          <w:tcPr>
            <w:tcW w:w="1170" w:type="dxa"/>
            <w:tcBorders>
              <w:top w:val="single" w:sz="4" w:space="0" w:color="auto"/>
            </w:tcBorders>
          </w:tcPr>
          <w:p w:rsidR="0098401A" w:rsidRPr="009F6C55" w:rsidRDefault="00447920"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447920"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312.0</w:t>
            </w:r>
          </w:p>
        </w:tc>
        <w:tc>
          <w:tcPr>
            <w:tcW w:w="720" w:type="dxa"/>
            <w:tcBorders>
              <w:top w:val="single" w:sz="4" w:space="0" w:color="auto"/>
            </w:tcBorders>
          </w:tcPr>
          <w:p w:rsidR="0098401A" w:rsidRPr="009F6C55" w:rsidRDefault="00447920" w:rsidP="00E560C8">
            <w:pPr>
              <w:jc w:val="right"/>
              <w:rPr>
                <w:sz w:val="14"/>
                <w:szCs w:val="14"/>
              </w:rPr>
            </w:pPr>
            <w:r>
              <w:rPr>
                <w:sz w:val="14"/>
                <w:szCs w:val="14"/>
              </w:rPr>
              <w:t>624</w:t>
            </w:r>
            <w:r w:rsidR="0098401A">
              <w:rPr>
                <w:sz w:val="14"/>
                <w:szCs w:val="14"/>
              </w:rPr>
              <w:t>.0</w:t>
            </w:r>
          </w:p>
        </w:tc>
        <w:tc>
          <w:tcPr>
            <w:tcW w:w="900" w:type="dxa"/>
            <w:tcBorders>
              <w:top w:val="single" w:sz="4" w:space="0" w:color="auto"/>
              <w:right w:val="single" w:sz="12" w:space="0" w:color="auto"/>
            </w:tcBorders>
          </w:tcPr>
          <w:p w:rsidR="0098401A" w:rsidRPr="009F6C55" w:rsidRDefault="0098401A" w:rsidP="00E560C8">
            <w:pPr>
              <w:jc w:val="right"/>
              <w:rPr>
                <w:sz w:val="14"/>
                <w:szCs w:val="14"/>
              </w:rPr>
            </w:pPr>
            <w:r>
              <w:rPr>
                <w:sz w:val="14"/>
                <w:szCs w:val="14"/>
              </w:rPr>
              <w:t xml:space="preserve">$  </w:t>
            </w:r>
            <w:r w:rsidR="00447920">
              <w:rPr>
                <w:sz w:val="14"/>
                <w:szCs w:val="14"/>
              </w:rPr>
              <w:t>170</w:t>
            </w:r>
            <w:r>
              <w:rPr>
                <w:sz w:val="14"/>
                <w:szCs w:val="14"/>
              </w:rPr>
              <w:t>,</w:t>
            </w:r>
            <w:r w:rsidR="00447920">
              <w:rPr>
                <w:sz w:val="14"/>
                <w:szCs w:val="14"/>
              </w:rPr>
              <w:t>976</w:t>
            </w:r>
          </w:p>
        </w:tc>
      </w:tr>
      <w:tr w:rsidR="0098401A" w:rsidTr="00E560C8">
        <w:tc>
          <w:tcPr>
            <w:tcW w:w="648" w:type="dxa"/>
            <w:tcBorders>
              <w:top w:val="single" w:sz="4" w:space="0" w:color="auto"/>
              <w:left w:val="single" w:sz="12" w:space="0" w:color="auto"/>
              <w:bottom w:val="double" w:sz="4" w:space="0" w:color="auto"/>
            </w:tcBorders>
            <w:vAlign w:val="center"/>
          </w:tcPr>
          <w:p w:rsidR="0098401A" w:rsidRPr="00AB4B1C" w:rsidRDefault="0098401A" w:rsidP="00E560C8">
            <w:pPr>
              <w:jc w:val="center"/>
              <w:rPr>
                <w:sz w:val="14"/>
                <w:szCs w:val="14"/>
              </w:rPr>
            </w:pPr>
            <w:r w:rsidRPr="00AB4B1C">
              <w:rPr>
                <w:sz w:val="14"/>
                <w:szCs w:val="14"/>
              </w:rPr>
              <w:t>73</w:t>
            </w:r>
          </w:p>
        </w:tc>
        <w:tc>
          <w:tcPr>
            <w:tcW w:w="3420" w:type="dxa"/>
            <w:tcBorders>
              <w:top w:val="single" w:sz="4" w:space="0" w:color="auto"/>
              <w:bottom w:val="double" w:sz="4" w:space="0" w:color="auto"/>
            </w:tcBorders>
            <w:vAlign w:val="center"/>
          </w:tcPr>
          <w:p w:rsidR="0098401A" w:rsidRPr="007B5BB8" w:rsidRDefault="0098401A" w:rsidP="00E560C8">
            <w:pPr>
              <w:rPr>
                <w:sz w:val="14"/>
                <w:szCs w:val="14"/>
              </w:rPr>
            </w:pPr>
            <w:r w:rsidRPr="007B5BB8">
              <w:rPr>
                <w:color w:val="000000"/>
                <w:sz w:val="14"/>
                <w:szCs w:val="14"/>
              </w:rPr>
              <w:t>Cumulative impacts</w:t>
            </w:r>
          </w:p>
        </w:tc>
        <w:tc>
          <w:tcPr>
            <w:tcW w:w="1170" w:type="dxa"/>
            <w:tcBorders>
              <w:top w:val="single" w:sz="4" w:space="0" w:color="auto"/>
              <w:bottom w:val="double" w:sz="4" w:space="0" w:color="auto"/>
            </w:tcBorders>
          </w:tcPr>
          <w:p w:rsidR="0098401A" w:rsidRPr="00924532" w:rsidRDefault="00447920" w:rsidP="00E560C8">
            <w:pPr>
              <w:jc w:val="right"/>
              <w:rPr>
                <w:sz w:val="14"/>
                <w:szCs w:val="14"/>
              </w:rPr>
            </w:pPr>
            <w:r>
              <w:rPr>
                <w:sz w:val="14"/>
                <w:szCs w:val="14"/>
              </w:rPr>
              <w:t>2</w:t>
            </w:r>
            <w:r w:rsidR="0098401A">
              <w:rPr>
                <w:sz w:val="14"/>
                <w:szCs w:val="14"/>
              </w:rPr>
              <w:t>.0</w:t>
            </w:r>
          </w:p>
        </w:tc>
        <w:tc>
          <w:tcPr>
            <w:tcW w:w="1260" w:type="dxa"/>
            <w:tcBorders>
              <w:top w:val="single" w:sz="4" w:space="0" w:color="auto"/>
              <w:bottom w:val="double" w:sz="4" w:space="0" w:color="auto"/>
            </w:tcBorders>
          </w:tcPr>
          <w:p w:rsidR="0098401A" w:rsidRPr="00924532" w:rsidRDefault="0098401A" w:rsidP="00E560C8">
            <w:pPr>
              <w:jc w:val="right"/>
              <w:rPr>
                <w:sz w:val="14"/>
                <w:szCs w:val="14"/>
              </w:rPr>
            </w:pPr>
            <w:r>
              <w:rPr>
                <w:sz w:val="14"/>
                <w:szCs w:val="14"/>
              </w:rPr>
              <w:t>1.0</w:t>
            </w:r>
          </w:p>
        </w:tc>
        <w:tc>
          <w:tcPr>
            <w:tcW w:w="990" w:type="dxa"/>
            <w:tcBorders>
              <w:top w:val="single" w:sz="4" w:space="0" w:color="auto"/>
              <w:bottom w:val="double" w:sz="4" w:space="0" w:color="auto"/>
            </w:tcBorders>
          </w:tcPr>
          <w:p w:rsidR="0098401A" w:rsidRPr="00924532" w:rsidRDefault="00447920" w:rsidP="00E560C8">
            <w:pPr>
              <w:jc w:val="right"/>
              <w:rPr>
                <w:sz w:val="14"/>
                <w:szCs w:val="14"/>
              </w:rPr>
            </w:pPr>
            <w:r>
              <w:rPr>
                <w:sz w:val="14"/>
                <w:szCs w:val="14"/>
              </w:rPr>
              <w:t>2</w:t>
            </w:r>
            <w:r w:rsidR="0098401A">
              <w:rPr>
                <w:sz w:val="14"/>
                <w:szCs w:val="14"/>
              </w:rPr>
              <w:t>.0</w:t>
            </w:r>
          </w:p>
        </w:tc>
        <w:tc>
          <w:tcPr>
            <w:tcW w:w="900" w:type="dxa"/>
            <w:tcBorders>
              <w:top w:val="single" w:sz="4" w:space="0" w:color="auto"/>
              <w:bottom w:val="double" w:sz="4" w:space="0" w:color="auto"/>
            </w:tcBorders>
          </w:tcPr>
          <w:p w:rsidR="0098401A" w:rsidRPr="00924532" w:rsidRDefault="0098401A" w:rsidP="00E560C8">
            <w:pPr>
              <w:jc w:val="right"/>
              <w:rPr>
                <w:sz w:val="14"/>
                <w:szCs w:val="14"/>
              </w:rPr>
            </w:pPr>
            <w:r>
              <w:rPr>
                <w:sz w:val="14"/>
                <w:szCs w:val="14"/>
              </w:rPr>
              <w:t>312.0</w:t>
            </w:r>
          </w:p>
        </w:tc>
        <w:tc>
          <w:tcPr>
            <w:tcW w:w="720" w:type="dxa"/>
            <w:tcBorders>
              <w:top w:val="single" w:sz="4" w:space="0" w:color="auto"/>
              <w:bottom w:val="double" w:sz="4" w:space="0" w:color="auto"/>
            </w:tcBorders>
          </w:tcPr>
          <w:p w:rsidR="0098401A" w:rsidRPr="00924532" w:rsidRDefault="00447920" w:rsidP="00E560C8">
            <w:pPr>
              <w:jc w:val="right"/>
              <w:rPr>
                <w:sz w:val="14"/>
                <w:szCs w:val="14"/>
              </w:rPr>
            </w:pPr>
            <w:r>
              <w:rPr>
                <w:sz w:val="14"/>
                <w:szCs w:val="14"/>
              </w:rPr>
              <w:t>624</w:t>
            </w:r>
            <w:r w:rsidR="0098401A" w:rsidRPr="00924532">
              <w:rPr>
                <w:sz w:val="14"/>
                <w:szCs w:val="14"/>
              </w:rPr>
              <w:t>.0</w:t>
            </w:r>
          </w:p>
        </w:tc>
        <w:tc>
          <w:tcPr>
            <w:tcW w:w="900" w:type="dxa"/>
            <w:tcBorders>
              <w:top w:val="single" w:sz="4" w:space="0" w:color="auto"/>
              <w:bottom w:val="double" w:sz="4" w:space="0" w:color="auto"/>
              <w:right w:val="single" w:sz="12" w:space="0" w:color="auto"/>
            </w:tcBorders>
          </w:tcPr>
          <w:p w:rsidR="0098401A" w:rsidRPr="00924532" w:rsidRDefault="0098401A" w:rsidP="00E560C8">
            <w:pPr>
              <w:jc w:val="right"/>
              <w:rPr>
                <w:sz w:val="14"/>
                <w:szCs w:val="14"/>
              </w:rPr>
            </w:pPr>
            <w:r>
              <w:rPr>
                <w:sz w:val="14"/>
                <w:szCs w:val="14"/>
              </w:rPr>
              <w:t xml:space="preserve">$  </w:t>
            </w:r>
            <w:r w:rsidR="00447920">
              <w:rPr>
                <w:sz w:val="14"/>
                <w:szCs w:val="14"/>
              </w:rPr>
              <w:t>170</w:t>
            </w:r>
            <w:r>
              <w:rPr>
                <w:sz w:val="14"/>
                <w:szCs w:val="14"/>
              </w:rPr>
              <w:t>,</w:t>
            </w:r>
            <w:r w:rsidR="00447920">
              <w:rPr>
                <w:sz w:val="14"/>
                <w:szCs w:val="14"/>
              </w:rPr>
              <w:t>976</w:t>
            </w:r>
          </w:p>
        </w:tc>
      </w:tr>
      <w:tr w:rsidR="0098401A" w:rsidTr="00E560C8">
        <w:tc>
          <w:tcPr>
            <w:tcW w:w="10008" w:type="dxa"/>
            <w:gridSpan w:val="8"/>
            <w:tcBorders>
              <w:top w:val="double" w:sz="4" w:space="0" w:color="auto"/>
              <w:left w:val="single" w:sz="12" w:space="0" w:color="auto"/>
              <w:bottom w:val="single" w:sz="12" w:space="0" w:color="auto"/>
              <w:right w:val="single" w:sz="12" w:space="0" w:color="auto"/>
            </w:tcBorders>
          </w:tcPr>
          <w:p w:rsidR="0098401A" w:rsidRPr="00CA0600" w:rsidRDefault="0098401A" w:rsidP="00E560C8">
            <w:pPr>
              <w:jc w:val="right"/>
              <w:rPr>
                <w:b/>
                <w:i/>
                <w:sz w:val="14"/>
                <w:szCs w:val="14"/>
              </w:rPr>
            </w:pPr>
            <w:r w:rsidRPr="00CA0600">
              <w:rPr>
                <w:b/>
                <w:i/>
                <w:sz w:val="14"/>
                <w:szCs w:val="14"/>
              </w:rPr>
              <w:t>Subtotal</w:t>
            </w:r>
            <w:r>
              <w:rPr>
                <w:b/>
                <w:i/>
                <w:sz w:val="14"/>
                <w:szCs w:val="14"/>
              </w:rPr>
              <w:t xml:space="preserve">—Industry Burden Increase    </w:t>
            </w:r>
            <w:r w:rsidRPr="00CA0600">
              <w:rPr>
                <w:b/>
                <w:i/>
                <w:sz w:val="14"/>
                <w:szCs w:val="14"/>
              </w:rPr>
              <w:t xml:space="preserve"> </w:t>
            </w:r>
            <w:r w:rsidR="0002565A">
              <w:rPr>
                <w:b/>
                <w:i/>
                <w:sz w:val="14"/>
                <w:szCs w:val="14"/>
              </w:rPr>
              <w:t>4</w:t>
            </w:r>
            <w:r w:rsidRPr="00CA0600">
              <w:rPr>
                <w:b/>
                <w:i/>
                <w:sz w:val="14"/>
                <w:szCs w:val="14"/>
              </w:rPr>
              <w:t>,</w:t>
            </w:r>
            <w:r w:rsidR="0002565A">
              <w:rPr>
                <w:b/>
                <w:i/>
                <w:sz w:val="14"/>
                <w:szCs w:val="14"/>
              </w:rPr>
              <w:t>164</w:t>
            </w:r>
            <w:r>
              <w:rPr>
                <w:b/>
                <w:i/>
                <w:sz w:val="14"/>
                <w:szCs w:val="14"/>
              </w:rPr>
              <w:t>.</w:t>
            </w:r>
            <w:r w:rsidR="0002565A">
              <w:rPr>
                <w:b/>
                <w:i/>
                <w:sz w:val="14"/>
                <w:szCs w:val="14"/>
              </w:rPr>
              <w:t>4</w:t>
            </w:r>
            <w:r>
              <w:rPr>
                <w:b/>
                <w:i/>
                <w:sz w:val="14"/>
                <w:szCs w:val="14"/>
              </w:rPr>
              <w:t xml:space="preserve">     $</w:t>
            </w:r>
            <w:r w:rsidR="000A0FAF">
              <w:rPr>
                <w:b/>
                <w:i/>
                <w:sz w:val="14"/>
                <w:szCs w:val="14"/>
              </w:rPr>
              <w:t>1</w:t>
            </w:r>
            <w:r>
              <w:rPr>
                <w:b/>
                <w:i/>
                <w:sz w:val="14"/>
                <w:szCs w:val="14"/>
              </w:rPr>
              <w:t>,</w:t>
            </w:r>
            <w:r w:rsidR="000A0FAF">
              <w:rPr>
                <w:b/>
                <w:i/>
                <w:sz w:val="14"/>
                <w:szCs w:val="14"/>
              </w:rPr>
              <w:t>141</w:t>
            </w:r>
            <w:r w:rsidRPr="00CA0600">
              <w:rPr>
                <w:b/>
                <w:i/>
                <w:sz w:val="14"/>
                <w:szCs w:val="14"/>
              </w:rPr>
              <w:t>,</w:t>
            </w:r>
            <w:r w:rsidR="000A0FAF">
              <w:rPr>
                <w:b/>
                <w:i/>
                <w:sz w:val="14"/>
                <w:szCs w:val="14"/>
              </w:rPr>
              <w:t>046</w:t>
            </w:r>
          </w:p>
        </w:tc>
      </w:tr>
      <w:tr w:rsidR="0098401A" w:rsidTr="00E560C8">
        <w:tc>
          <w:tcPr>
            <w:tcW w:w="10008" w:type="dxa"/>
            <w:gridSpan w:val="8"/>
            <w:tcBorders>
              <w:top w:val="single" w:sz="12" w:space="0" w:color="auto"/>
              <w:left w:val="single" w:sz="12" w:space="0" w:color="auto"/>
              <w:bottom w:val="single" w:sz="12" w:space="0" w:color="auto"/>
              <w:right w:val="single" w:sz="12" w:space="0" w:color="auto"/>
            </w:tcBorders>
            <w:shd w:val="pct5" w:color="auto" w:fill="auto"/>
          </w:tcPr>
          <w:p w:rsidR="0098401A" w:rsidRPr="00E57DCA" w:rsidRDefault="0098401A" w:rsidP="00E560C8">
            <w:pPr>
              <w:rPr>
                <w:sz w:val="16"/>
                <w:szCs w:val="16"/>
              </w:rPr>
            </w:pPr>
            <w:r>
              <w:rPr>
                <w:b/>
                <w:sz w:val="18"/>
                <w:szCs w:val="18"/>
              </w:rPr>
              <w:t xml:space="preserve">            </w:t>
            </w:r>
            <w:r>
              <w:rPr>
                <w:b/>
                <w:sz w:val="16"/>
                <w:szCs w:val="16"/>
              </w:rPr>
              <w:t>INDUSTRY—BURDEN DE</w:t>
            </w:r>
            <w:r w:rsidRPr="009F6C55">
              <w:rPr>
                <w:b/>
                <w:sz w:val="16"/>
                <w:szCs w:val="16"/>
              </w:rPr>
              <w:t>CREASE</w:t>
            </w:r>
          </w:p>
        </w:tc>
      </w:tr>
      <w:tr w:rsidR="0098401A" w:rsidTr="00E560C8">
        <w:tc>
          <w:tcPr>
            <w:tcW w:w="648" w:type="dxa"/>
            <w:tcBorders>
              <w:top w:val="single" w:sz="12" w:space="0" w:color="auto"/>
              <w:left w:val="single" w:sz="12" w:space="0" w:color="auto"/>
            </w:tcBorders>
            <w:vAlign w:val="center"/>
          </w:tcPr>
          <w:p w:rsidR="0098401A" w:rsidRPr="005E0C94" w:rsidRDefault="0098401A" w:rsidP="00E560C8">
            <w:pPr>
              <w:jc w:val="center"/>
              <w:rPr>
                <w:sz w:val="14"/>
                <w:szCs w:val="14"/>
              </w:rPr>
            </w:pPr>
            <w:r w:rsidRPr="005E0C94">
              <w:rPr>
                <w:sz w:val="14"/>
                <w:szCs w:val="14"/>
              </w:rPr>
              <w:t>2</w:t>
            </w:r>
          </w:p>
        </w:tc>
        <w:tc>
          <w:tcPr>
            <w:tcW w:w="3420" w:type="dxa"/>
            <w:tcBorders>
              <w:top w:val="single" w:sz="12" w:space="0" w:color="auto"/>
            </w:tcBorders>
            <w:vAlign w:val="center"/>
          </w:tcPr>
          <w:p w:rsidR="0098401A" w:rsidRPr="007B5BB8" w:rsidRDefault="0098401A" w:rsidP="00E560C8">
            <w:r w:rsidRPr="007B5BB8">
              <w:rPr>
                <w:color w:val="000000"/>
                <w:sz w:val="14"/>
                <w:szCs w:val="14"/>
              </w:rPr>
              <w:t>Offsite land use</w:t>
            </w:r>
          </w:p>
        </w:tc>
        <w:tc>
          <w:tcPr>
            <w:tcW w:w="1170" w:type="dxa"/>
            <w:tcBorders>
              <w:top w:val="single" w:sz="12"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1260" w:type="dxa"/>
            <w:tcBorders>
              <w:top w:val="single" w:sz="12"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12"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900" w:type="dxa"/>
            <w:tcBorders>
              <w:top w:val="single" w:sz="12" w:space="0" w:color="auto"/>
            </w:tcBorders>
          </w:tcPr>
          <w:p w:rsidR="0098401A" w:rsidRPr="005E0C94" w:rsidRDefault="0098401A" w:rsidP="00E560C8">
            <w:pPr>
              <w:jc w:val="right"/>
              <w:rPr>
                <w:sz w:val="14"/>
                <w:szCs w:val="14"/>
              </w:rPr>
            </w:pPr>
            <w:r>
              <w:rPr>
                <w:sz w:val="14"/>
                <w:szCs w:val="14"/>
              </w:rPr>
              <w:t>523.0</w:t>
            </w:r>
          </w:p>
        </w:tc>
        <w:tc>
          <w:tcPr>
            <w:tcW w:w="720" w:type="dxa"/>
            <w:tcBorders>
              <w:top w:val="single" w:sz="12" w:space="0" w:color="auto"/>
            </w:tcBorders>
          </w:tcPr>
          <w:p w:rsidR="0098401A" w:rsidRPr="005E0C94" w:rsidRDefault="0098401A" w:rsidP="00E560C8">
            <w:pPr>
              <w:jc w:val="right"/>
              <w:rPr>
                <w:sz w:val="14"/>
                <w:szCs w:val="14"/>
              </w:rPr>
            </w:pPr>
            <w:r>
              <w:rPr>
                <w:sz w:val="14"/>
                <w:szCs w:val="14"/>
              </w:rPr>
              <w:t>1,</w:t>
            </w:r>
            <w:r w:rsidR="000B602E">
              <w:rPr>
                <w:sz w:val="14"/>
                <w:szCs w:val="14"/>
              </w:rPr>
              <w:t>046</w:t>
            </w:r>
            <w:r>
              <w:rPr>
                <w:sz w:val="14"/>
                <w:szCs w:val="14"/>
              </w:rPr>
              <w:t>.0</w:t>
            </w:r>
          </w:p>
        </w:tc>
        <w:tc>
          <w:tcPr>
            <w:tcW w:w="900" w:type="dxa"/>
            <w:tcBorders>
              <w:top w:val="single" w:sz="12"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0B602E">
              <w:rPr>
                <w:sz w:val="14"/>
                <w:szCs w:val="14"/>
              </w:rPr>
              <w:t>286</w:t>
            </w:r>
            <w:r>
              <w:rPr>
                <w:sz w:val="14"/>
                <w:szCs w:val="14"/>
              </w:rPr>
              <w:t>,</w:t>
            </w:r>
            <w:r w:rsidR="000B602E">
              <w:rPr>
                <w:sz w:val="14"/>
                <w:szCs w:val="14"/>
              </w:rPr>
              <w:t>604</w:t>
            </w:r>
          </w:p>
        </w:tc>
      </w:tr>
      <w:tr w:rsidR="0098401A" w:rsidTr="00E560C8">
        <w:tc>
          <w:tcPr>
            <w:tcW w:w="648" w:type="dxa"/>
            <w:tcBorders>
              <w:top w:val="single" w:sz="4" w:space="0" w:color="auto"/>
              <w:left w:val="single" w:sz="12" w:space="0" w:color="auto"/>
            </w:tcBorders>
            <w:vAlign w:val="center"/>
          </w:tcPr>
          <w:p w:rsidR="0098401A" w:rsidRPr="005E0C94" w:rsidRDefault="0098401A" w:rsidP="00E560C8">
            <w:pPr>
              <w:jc w:val="center"/>
              <w:rPr>
                <w:sz w:val="14"/>
                <w:szCs w:val="14"/>
              </w:rPr>
            </w:pPr>
            <w:r>
              <w:rPr>
                <w:sz w:val="14"/>
                <w:szCs w:val="14"/>
              </w:rPr>
              <w:t>4</w:t>
            </w:r>
          </w:p>
        </w:tc>
        <w:tc>
          <w:tcPr>
            <w:tcW w:w="3420" w:type="dxa"/>
            <w:tcBorders>
              <w:top w:val="single" w:sz="4" w:space="0" w:color="auto"/>
            </w:tcBorders>
            <w:vAlign w:val="center"/>
          </w:tcPr>
          <w:p w:rsidR="0098401A" w:rsidRPr="007B5BB8" w:rsidRDefault="0098401A" w:rsidP="00E560C8">
            <w:r w:rsidRPr="007B5BB8">
              <w:rPr>
                <w:color w:val="000000"/>
                <w:sz w:val="14"/>
                <w:szCs w:val="14"/>
              </w:rPr>
              <w:t>Aesthetic impacts</w:t>
            </w:r>
          </w:p>
        </w:tc>
        <w:tc>
          <w:tcPr>
            <w:tcW w:w="117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110.0</w:t>
            </w:r>
          </w:p>
        </w:tc>
        <w:tc>
          <w:tcPr>
            <w:tcW w:w="720" w:type="dxa"/>
            <w:tcBorders>
              <w:top w:val="single" w:sz="4" w:space="0" w:color="auto"/>
            </w:tcBorders>
          </w:tcPr>
          <w:p w:rsidR="0098401A" w:rsidRPr="005E0C94" w:rsidRDefault="000B602E" w:rsidP="00E560C8">
            <w:pPr>
              <w:jc w:val="right"/>
              <w:rPr>
                <w:sz w:val="14"/>
                <w:szCs w:val="14"/>
              </w:rPr>
            </w:pPr>
            <w:r>
              <w:rPr>
                <w:sz w:val="14"/>
                <w:szCs w:val="14"/>
              </w:rPr>
              <w:t>22</w:t>
            </w:r>
            <w:r w:rsidR="0098401A">
              <w:rPr>
                <w:sz w:val="14"/>
                <w:szCs w:val="14"/>
              </w:rPr>
              <w:t>0.0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0B602E">
              <w:rPr>
                <w:sz w:val="14"/>
                <w:szCs w:val="14"/>
              </w:rPr>
              <w:t>60</w:t>
            </w:r>
            <w:r>
              <w:rPr>
                <w:sz w:val="14"/>
                <w:szCs w:val="14"/>
              </w:rPr>
              <w:t>,</w:t>
            </w:r>
            <w:r w:rsidR="000B602E">
              <w:rPr>
                <w:sz w:val="14"/>
                <w:szCs w:val="14"/>
              </w:rPr>
              <w:t>280</w:t>
            </w:r>
          </w:p>
        </w:tc>
      </w:tr>
      <w:tr w:rsidR="0098401A" w:rsidTr="00E560C8">
        <w:tc>
          <w:tcPr>
            <w:tcW w:w="648" w:type="dxa"/>
            <w:tcBorders>
              <w:top w:val="single" w:sz="4" w:space="0" w:color="auto"/>
              <w:left w:val="single" w:sz="12" w:space="0" w:color="auto"/>
            </w:tcBorders>
            <w:vAlign w:val="center"/>
          </w:tcPr>
          <w:p w:rsidR="0098401A" w:rsidRPr="005E0C94" w:rsidRDefault="0098401A" w:rsidP="00E560C8">
            <w:pPr>
              <w:jc w:val="center"/>
              <w:rPr>
                <w:sz w:val="14"/>
                <w:szCs w:val="14"/>
              </w:rPr>
            </w:pPr>
            <w:r>
              <w:rPr>
                <w:sz w:val="14"/>
                <w:szCs w:val="14"/>
              </w:rPr>
              <w:t>5</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Air quality impacts (all plants)</w:t>
            </w:r>
          </w:p>
        </w:tc>
        <w:tc>
          <w:tcPr>
            <w:tcW w:w="117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234.0</w:t>
            </w:r>
          </w:p>
        </w:tc>
        <w:tc>
          <w:tcPr>
            <w:tcW w:w="720" w:type="dxa"/>
            <w:tcBorders>
              <w:top w:val="single" w:sz="4" w:space="0" w:color="auto"/>
            </w:tcBorders>
          </w:tcPr>
          <w:p w:rsidR="0098401A" w:rsidRPr="005E0C94" w:rsidRDefault="000B602E" w:rsidP="00E560C8">
            <w:pPr>
              <w:jc w:val="right"/>
              <w:rPr>
                <w:sz w:val="14"/>
                <w:szCs w:val="14"/>
              </w:rPr>
            </w:pPr>
            <w:r>
              <w:rPr>
                <w:sz w:val="14"/>
                <w:szCs w:val="14"/>
              </w:rPr>
              <w:t>468.0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1</w:t>
            </w:r>
            <w:r w:rsidR="000B602E">
              <w:rPr>
                <w:sz w:val="14"/>
                <w:szCs w:val="14"/>
              </w:rPr>
              <w:t>28</w:t>
            </w:r>
            <w:r>
              <w:rPr>
                <w:sz w:val="14"/>
                <w:szCs w:val="14"/>
              </w:rPr>
              <w:t>,</w:t>
            </w:r>
            <w:r w:rsidR="000B602E">
              <w:rPr>
                <w:sz w:val="14"/>
                <w:szCs w:val="14"/>
              </w:rPr>
              <w:t>232</w:t>
            </w:r>
          </w:p>
        </w:tc>
      </w:tr>
      <w:tr w:rsidR="0098401A" w:rsidTr="00E560C8">
        <w:tc>
          <w:tcPr>
            <w:tcW w:w="648" w:type="dxa"/>
            <w:tcBorders>
              <w:top w:val="single" w:sz="4" w:space="0" w:color="auto"/>
              <w:left w:val="single" w:sz="12" w:space="0" w:color="auto"/>
            </w:tcBorders>
            <w:vAlign w:val="center"/>
          </w:tcPr>
          <w:p w:rsidR="0098401A" w:rsidRPr="005E0C94" w:rsidRDefault="0098401A" w:rsidP="00E560C8">
            <w:pPr>
              <w:jc w:val="center"/>
              <w:rPr>
                <w:sz w:val="14"/>
                <w:szCs w:val="14"/>
              </w:rPr>
            </w:pPr>
            <w:r>
              <w:rPr>
                <w:sz w:val="14"/>
                <w:szCs w:val="14"/>
              </w:rPr>
              <w:t>9</w:t>
            </w:r>
          </w:p>
        </w:tc>
        <w:tc>
          <w:tcPr>
            <w:tcW w:w="3420" w:type="dxa"/>
            <w:tcBorders>
              <w:top w:val="single" w:sz="4" w:space="0" w:color="auto"/>
            </w:tcBorders>
            <w:vAlign w:val="center"/>
          </w:tcPr>
          <w:p w:rsidR="0098401A" w:rsidRPr="007B5BB8" w:rsidRDefault="0098401A" w:rsidP="00E560C8">
            <w:pPr>
              <w:spacing w:line="216" w:lineRule="auto"/>
            </w:pPr>
            <w:r w:rsidRPr="007B5BB8">
              <w:rPr>
                <w:color w:val="000000"/>
                <w:sz w:val="14"/>
                <w:szCs w:val="14"/>
              </w:rPr>
              <w:t>Surface water use and quality (non-cooling system impacts)</w:t>
            </w:r>
          </w:p>
        </w:tc>
        <w:tc>
          <w:tcPr>
            <w:tcW w:w="117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55.0</w:t>
            </w:r>
          </w:p>
        </w:tc>
        <w:tc>
          <w:tcPr>
            <w:tcW w:w="720" w:type="dxa"/>
            <w:tcBorders>
              <w:top w:val="single" w:sz="4" w:space="0" w:color="auto"/>
            </w:tcBorders>
          </w:tcPr>
          <w:p w:rsidR="0098401A" w:rsidRPr="005E0C94" w:rsidRDefault="0098401A" w:rsidP="00E560C8">
            <w:pPr>
              <w:jc w:val="right"/>
              <w:rPr>
                <w:sz w:val="14"/>
                <w:szCs w:val="14"/>
              </w:rPr>
            </w:pPr>
            <w:r>
              <w:rPr>
                <w:sz w:val="14"/>
                <w:szCs w:val="14"/>
              </w:rPr>
              <w:t>1</w:t>
            </w:r>
            <w:r w:rsidR="000B602E">
              <w:rPr>
                <w:sz w:val="14"/>
                <w:szCs w:val="14"/>
              </w:rPr>
              <w:t>10</w:t>
            </w:r>
            <w:r>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0B602E">
              <w:rPr>
                <w:sz w:val="14"/>
                <w:szCs w:val="14"/>
              </w:rPr>
              <w:t>30</w:t>
            </w:r>
            <w:r>
              <w:rPr>
                <w:sz w:val="14"/>
                <w:szCs w:val="14"/>
              </w:rPr>
              <w:t>,</w:t>
            </w:r>
            <w:r w:rsidR="000B602E">
              <w:rPr>
                <w:sz w:val="14"/>
                <w:szCs w:val="14"/>
              </w:rPr>
              <w:t>140</w:t>
            </w:r>
          </w:p>
        </w:tc>
      </w:tr>
      <w:tr w:rsidR="0098401A" w:rsidTr="00E560C8">
        <w:tc>
          <w:tcPr>
            <w:tcW w:w="648" w:type="dxa"/>
            <w:tcBorders>
              <w:top w:val="single" w:sz="4" w:space="0" w:color="auto"/>
              <w:left w:val="single" w:sz="12" w:space="0" w:color="auto"/>
            </w:tcBorders>
            <w:vAlign w:val="center"/>
          </w:tcPr>
          <w:p w:rsidR="0098401A" w:rsidRPr="005E0C94" w:rsidRDefault="0098401A" w:rsidP="00E560C8">
            <w:pPr>
              <w:jc w:val="center"/>
              <w:rPr>
                <w:sz w:val="14"/>
                <w:szCs w:val="14"/>
              </w:rPr>
            </w:pPr>
            <w:r>
              <w:rPr>
                <w:sz w:val="14"/>
                <w:szCs w:val="14"/>
              </w:rPr>
              <w:t>15</w:t>
            </w:r>
          </w:p>
        </w:tc>
        <w:tc>
          <w:tcPr>
            <w:tcW w:w="3420" w:type="dxa"/>
            <w:tcBorders>
              <w:top w:val="single" w:sz="4" w:space="0" w:color="auto"/>
            </w:tcBorders>
            <w:vAlign w:val="center"/>
          </w:tcPr>
          <w:p w:rsidR="0098401A" w:rsidRPr="007B5BB8" w:rsidRDefault="0098401A" w:rsidP="00E560C8">
            <w:pPr>
              <w:spacing w:line="216" w:lineRule="auto"/>
            </w:pPr>
            <w:r w:rsidRPr="007B5BB8">
              <w:rPr>
                <w:color w:val="000000"/>
                <w:sz w:val="14"/>
                <w:szCs w:val="14"/>
              </w:rPr>
              <w:t xml:space="preserve">Discharge of biocides, sanitary wastes, and minor chemical </w:t>
            </w:r>
          </w:p>
        </w:tc>
        <w:tc>
          <w:tcPr>
            <w:tcW w:w="117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55.0</w:t>
            </w:r>
          </w:p>
        </w:tc>
        <w:tc>
          <w:tcPr>
            <w:tcW w:w="720" w:type="dxa"/>
            <w:tcBorders>
              <w:top w:val="single" w:sz="4" w:space="0" w:color="auto"/>
            </w:tcBorders>
          </w:tcPr>
          <w:p w:rsidR="0098401A" w:rsidRPr="005E0C94" w:rsidRDefault="0098401A" w:rsidP="00E560C8">
            <w:pPr>
              <w:jc w:val="right"/>
              <w:rPr>
                <w:sz w:val="14"/>
                <w:szCs w:val="14"/>
              </w:rPr>
            </w:pPr>
            <w:r>
              <w:rPr>
                <w:sz w:val="14"/>
                <w:szCs w:val="14"/>
              </w:rPr>
              <w:t>1</w:t>
            </w:r>
            <w:r w:rsidR="000B602E">
              <w:rPr>
                <w:sz w:val="14"/>
                <w:szCs w:val="14"/>
              </w:rPr>
              <w:t>10</w:t>
            </w:r>
            <w:r>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0B602E">
              <w:rPr>
                <w:sz w:val="14"/>
                <w:szCs w:val="14"/>
              </w:rPr>
              <w:t>30</w:t>
            </w:r>
            <w:r>
              <w:rPr>
                <w:sz w:val="14"/>
                <w:szCs w:val="14"/>
              </w:rPr>
              <w:t>,</w:t>
            </w:r>
            <w:r w:rsidR="000B602E">
              <w:rPr>
                <w:sz w:val="14"/>
                <w:szCs w:val="14"/>
              </w:rPr>
              <w:t>14</w:t>
            </w:r>
            <w:r w:rsidR="00FF3B87">
              <w:rPr>
                <w:sz w:val="14"/>
                <w:szCs w:val="14"/>
              </w:rPr>
              <w:t>0</w:t>
            </w:r>
          </w:p>
        </w:tc>
      </w:tr>
      <w:tr w:rsidR="0098401A" w:rsidTr="00E560C8">
        <w:tc>
          <w:tcPr>
            <w:tcW w:w="648" w:type="dxa"/>
            <w:tcBorders>
              <w:top w:val="single" w:sz="4" w:space="0" w:color="auto"/>
              <w:left w:val="single" w:sz="12" w:space="0" w:color="auto"/>
            </w:tcBorders>
            <w:vAlign w:val="center"/>
          </w:tcPr>
          <w:p w:rsidR="0098401A" w:rsidRPr="005E0C94" w:rsidRDefault="0098401A" w:rsidP="00E560C8">
            <w:pPr>
              <w:jc w:val="center"/>
              <w:rPr>
                <w:sz w:val="14"/>
                <w:szCs w:val="14"/>
              </w:rPr>
            </w:pPr>
            <w:r>
              <w:rPr>
                <w:sz w:val="14"/>
                <w:szCs w:val="14"/>
              </w:rPr>
              <w:t>31</w:t>
            </w:r>
          </w:p>
        </w:tc>
        <w:tc>
          <w:tcPr>
            <w:tcW w:w="3420" w:type="dxa"/>
            <w:tcBorders>
              <w:top w:val="single" w:sz="4" w:space="0" w:color="auto"/>
            </w:tcBorders>
            <w:vAlign w:val="center"/>
          </w:tcPr>
          <w:p w:rsidR="0098401A" w:rsidRPr="007B5BB8" w:rsidRDefault="0098401A" w:rsidP="00E560C8">
            <w:pPr>
              <w:spacing w:line="216" w:lineRule="auto"/>
            </w:pPr>
            <w:r w:rsidRPr="007B5BB8">
              <w:rPr>
                <w:color w:val="000000"/>
                <w:sz w:val="14"/>
                <w:szCs w:val="14"/>
              </w:rPr>
              <w:t>Cooling tower impacts on vegetation (plants with cooling towers)**</w:t>
            </w:r>
          </w:p>
        </w:tc>
        <w:tc>
          <w:tcPr>
            <w:tcW w:w="1170" w:type="dxa"/>
            <w:tcBorders>
              <w:top w:val="single" w:sz="4" w:space="0" w:color="auto"/>
            </w:tcBorders>
          </w:tcPr>
          <w:p w:rsidR="0098401A" w:rsidRPr="005E0C94" w:rsidRDefault="0098401A" w:rsidP="00E560C8">
            <w:pPr>
              <w:jc w:val="right"/>
              <w:rPr>
                <w:sz w:val="14"/>
                <w:szCs w:val="14"/>
              </w:rPr>
            </w:pPr>
            <w:r>
              <w:rPr>
                <w:sz w:val="14"/>
                <w:szCs w:val="14"/>
              </w:rPr>
              <w:t>1.</w:t>
            </w:r>
            <w:r w:rsidR="000B602E">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98401A" w:rsidP="00E560C8">
            <w:pPr>
              <w:jc w:val="right"/>
              <w:rPr>
                <w:sz w:val="14"/>
                <w:szCs w:val="14"/>
              </w:rPr>
            </w:pPr>
            <w:r>
              <w:rPr>
                <w:sz w:val="14"/>
                <w:szCs w:val="14"/>
              </w:rPr>
              <w:t>1.</w:t>
            </w:r>
            <w:r w:rsidR="000B602E">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55.0</w:t>
            </w:r>
          </w:p>
        </w:tc>
        <w:tc>
          <w:tcPr>
            <w:tcW w:w="720" w:type="dxa"/>
            <w:tcBorders>
              <w:top w:val="single" w:sz="4" w:space="0" w:color="auto"/>
            </w:tcBorders>
          </w:tcPr>
          <w:p w:rsidR="0098401A" w:rsidRPr="005E0C94" w:rsidRDefault="000B602E" w:rsidP="00E560C8">
            <w:pPr>
              <w:jc w:val="right"/>
              <w:rPr>
                <w:sz w:val="14"/>
                <w:szCs w:val="14"/>
              </w:rPr>
            </w:pPr>
            <w:r>
              <w:rPr>
                <w:sz w:val="14"/>
                <w:szCs w:val="14"/>
              </w:rPr>
              <w:t>55.0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0B602E">
              <w:rPr>
                <w:sz w:val="14"/>
                <w:szCs w:val="14"/>
              </w:rPr>
              <w:t>15</w:t>
            </w:r>
            <w:r>
              <w:rPr>
                <w:sz w:val="14"/>
                <w:szCs w:val="14"/>
              </w:rPr>
              <w:t>,</w:t>
            </w:r>
            <w:r w:rsidR="000B602E">
              <w:rPr>
                <w:sz w:val="14"/>
                <w:szCs w:val="14"/>
              </w:rPr>
              <w:t>070</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32</w:t>
            </w:r>
          </w:p>
        </w:tc>
        <w:tc>
          <w:tcPr>
            <w:tcW w:w="3420" w:type="dxa"/>
            <w:tcBorders>
              <w:top w:val="single" w:sz="4" w:space="0" w:color="auto"/>
            </w:tcBorders>
            <w:vAlign w:val="center"/>
          </w:tcPr>
          <w:p w:rsidR="0098401A" w:rsidRPr="007B5BB8" w:rsidRDefault="0098401A" w:rsidP="00E560C8">
            <w:pPr>
              <w:spacing w:line="216" w:lineRule="auto"/>
            </w:pPr>
            <w:r w:rsidRPr="007B5BB8">
              <w:rPr>
                <w:color w:val="000000"/>
                <w:sz w:val="14"/>
                <w:szCs w:val="14"/>
              </w:rPr>
              <w:t>Bird collisions with plant structures and transmission lines</w:t>
            </w:r>
          </w:p>
        </w:tc>
        <w:tc>
          <w:tcPr>
            <w:tcW w:w="117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0B602E"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55.0</w:t>
            </w:r>
          </w:p>
        </w:tc>
        <w:tc>
          <w:tcPr>
            <w:tcW w:w="720" w:type="dxa"/>
            <w:tcBorders>
              <w:top w:val="single" w:sz="4" w:space="0" w:color="auto"/>
            </w:tcBorders>
          </w:tcPr>
          <w:p w:rsidR="0098401A" w:rsidRPr="005E0C94" w:rsidRDefault="000B602E" w:rsidP="00E560C8">
            <w:pPr>
              <w:jc w:val="right"/>
              <w:rPr>
                <w:sz w:val="14"/>
                <w:szCs w:val="14"/>
              </w:rPr>
            </w:pPr>
            <w:r>
              <w:rPr>
                <w:sz w:val="14"/>
                <w:szCs w:val="14"/>
              </w:rPr>
              <w:t>110</w:t>
            </w:r>
            <w:r w:rsidR="0098401A">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0B602E">
              <w:rPr>
                <w:sz w:val="14"/>
                <w:szCs w:val="14"/>
              </w:rPr>
              <w:t>30</w:t>
            </w:r>
            <w:r>
              <w:rPr>
                <w:sz w:val="14"/>
                <w:szCs w:val="14"/>
              </w:rPr>
              <w:t>,</w:t>
            </w:r>
            <w:r w:rsidR="000B602E">
              <w:rPr>
                <w:sz w:val="14"/>
                <w:szCs w:val="14"/>
              </w:rPr>
              <w:t>140</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34</w:t>
            </w:r>
          </w:p>
        </w:tc>
        <w:tc>
          <w:tcPr>
            <w:tcW w:w="3420" w:type="dxa"/>
            <w:tcBorders>
              <w:top w:val="single" w:sz="4" w:space="0" w:color="auto"/>
            </w:tcBorders>
            <w:vAlign w:val="center"/>
          </w:tcPr>
          <w:p w:rsidR="0098401A" w:rsidRPr="007B5BB8" w:rsidRDefault="0098401A" w:rsidP="00E560C8">
            <w:r w:rsidRPr="007B5BB8">
              <w:rPr>
                <w:color w:val="000000"/>
                <w:sz w:val="14"/>
                <w:szCs w:val="14"/>
              </w:rPr>
              <w:t>Transmission line right-of-way (ROW) management impacts on terrestrial resources</w:t>
            </w:r>
          </w:p>
        </w:tc>
        <w:tc>
          <w:tcPr>
            <w:tcW w:w="1170" w:type="dxa"/>
            <w:tcBorders>
              <w:top w:val="single" w:sz="4" w:space="0" w:color="auto"/>
            </w:tcBorders>
          </w:tcPr>
          <w:p w:rsidR="0098401A" w:rsidRPr="005E0C94" w:rsidRDefault="00AC1884"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AC1884"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55.0</w:t>
            </w:r>
          </w:p>
        </w:tc>
        <w:tc>
          <w:tcPr>
            <w:tcW w:w="720" w:type="dxa"/>
            <w:tcBorders>
              <w:top w:val="single" w:sz="4" w:space="0" w:color="auto"/>
            </w:tcBorders>
          </w:tcPr>
          <w:p w:rsidR="0098401A" w:rsidRPr="005E0C94" w:rsidRDefault="0098401A" w:rsidP="00E560C8">
            <w:pPr>
              <w:jc w:val="right"/>
              <w:rPr>
                <w:sz w:val="14"/>
                <w:szCs w:val="14"/>
              </w:rPr>
            </w:pPr>
            <w:r>
              <w:rPr>
                <w:sz w:val="14"/>
                <w:szCs w:val="14"/>
              </w:rPr>
              <w:t>1</w:t>
            </w:r>
            <w:r w:rsidR="00AC1884">
              <w:rPr>
                <w:sz w:val="14"/>
                <w:szCs w:val="14"/>
              </w:rPr>
              <w:t>10</w:t>
            </w:r>
            <w:r>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0B602E">
              <w:rPr>
                <w:sz w:val="14"/>
                <w:szCs w:val="14"/>
              </w:rPr>
              <w:t>30</w:t>
            </w:r>
            <w:r>
              <w:rPr>
                <w:sz w:val="14"/>
                <w:szCs w:val="14"/>
              </w:rPr>
              <w:t>,</w:t>
            </w:r>
            <w:r w:rsidR="000B602E">
              <w:rPr>
                <w:sz w:val="14"/>
                <w:szCs w:val="14"/>
              </w:rPr>
              <w:t>140</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36</w:t>
            </w:r>
          </w:p>
        </w:tc>
        <w:tc>
          <w:tcPr>
            <w:tcW w:w="3420" w:type="dxa"/>
            <w:tcBorders>
              <w:top w:val="single" w:sz="4" w:space="0" w:color="auto"/>
            </w:tcBorders>
            <w:vAlign w:val="center"/>
          </w:tcPr>
          <w:p w:rsidR="0098401A" w:rsidRPr="007B5BB8" w:rsidRDefault="0098401A" w:rsidP="00E560C8">
            <w:pPr>
              <w:spacing w:line="216" w:lineRule="auto"/>
            </w:pPr>
            <w:r w:rsidRPr="007B5BB8">
              <w:rPr>
                <w:color w:val="000000"/>
                <w:sz w:val="14"/>
                <w:szCs w:val="14"/>
              </w:rPr>
              <w:t>Impingement and entrainment of aquatic organisms (plants with once-through cooling systems or cooling ponds)**</w:t>
            </w:r>
          </w:p>
        </w:tc>
        <w:tc>
          <w:tcPr>
            <w:tcW w:w="1170" w:type="dxa"/>
            <w:tcBorders>
              <w:top w:val="single" w:sz="4" w:space="0" w:color="auto"/>
            </w:tcBorders>
          </w:tcPr>
          <w:p w:rsidR="0098401A" w:rsidRPr="005E0C94" w:rsidRDefault="0098401A" w:rsidP="00E560C8">
            <w:pPr>
              <w:jc w:val="right"/>
              <w:rPr>
                <w:sz w:val="14"/>
                <w:szCs w:val="14"/>
              </w:rPr>
            </w:pPr>
            <w:r>
              <w:rPr>
                <w:sz w:val="14"/>
                <w:szCs w:val="14"/>
              </w:rPr>
              <w:t>1.</w:t>
            </w:r>
            <w:r w:rsidR="002C42F6">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98401A" w:rsidP="00E560C8">
            <w:pPr>
              <w:jc w:val="right"/>
              <w:rPr>
                <w:sz w:val="14"/>
                <w:szCs w:val="14"/>
              </w:rPr>
            </w:pPr>
            <w:r>
              <w:rPr>
                <w:sz w:val="14"/>
                <w:szCs w:val="14"/>
              </w:rPr>
              <w:t>1.</w:t>
            </w:r>
            <w:r w:rsidR="002C42F6">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218.0</w:t>
            </w:r>
          </w:p>
        </w:tc>
        <w:tc>
          <w:tcPr>
            <w:tcW w:w="720" w:type="dxa"/>
            <w:tcBorders>
              <w:top w:val="single" w:sz="4" w:space="0" w:color="auto"/>
            </w:tcBorders>
          </w:tcPr>
          <w:p w:rsidR="0098401A" w:rsidRPr="005E0C94" w:rsidRDefault="002C42F6" w:rsidP="00E560C8">
            <w:pPr>
              <w:jc w:val="right"/>
              <w:rPr>
                <w:sz w:val="14"/>
                <w:szCs w:val="14"/>
              </w:rPr>
            </w:pPr>
            <w:r>
              <w:rPr>
                <w:sz w:val="14"/>
                <w:szCs w:val="14"/>
              </w:rPr>
              <w:t>218</w:t>
            </w:r>
            <w:r w:rsidR="0098401A">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2C42F6">
              <w:rPr>
                <w:sz w:val="14"/>
                <w:szCs w:val="14"/>
              </w:rPr>
              <w:t>59</w:t>
            </w:r>
            <w:r>
              <w:rPr>
                <w:sz w:val="14"/>
                <w:szCs w:val="14"/>
              </w:rPr>
              <w:t>,</w:t>
            </w:r>
            <w:r w:rsidR="002C42F6">
              <w:rPr>
                <w:sz w:val="14"/>
                <w:szCs w:val="14"/>
              </w:rPr>
              <w:t>732</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37</w:t>
            </w:r>
          </w:p>
        </w:tc>
        <w:tc>
          <w:tcPr>
            <w:tcW w:w="3420" w:type="dxa"/>
            <w:tcBorders>
              <w:top w:val="single" w:sz="4" w:space="0" w:color="auto"/>
            </w:tcBorders>
            <w:vAlign w:val="center"/>
          </w:tcPr>
          <w:p w:rsidR="0098401A" w:rsidRPr="007B5BB8" w:rsidRDefault="0098401A" w:rsidP="00E560C8">
            <w:pPr>
              <w:spacing w:line="216" w:lineRule="auto"/>
            </w:pPr>
            <w:r w:rsidRPr="007B5BB8">
              <w:rPr>
                <w:color w:val="000000"/>
                <w:sz w:val="14"/>
                <w:szCs w:val="14"/>
              </w:rPr>
              <w:t>Impingement and entrainment of aquatic organisms (plants with cooling towers)**</w:t>
            </w:r>
          </w:p>
        </w:tc>
        <w:tc>
          <w:tcPr>
            <w:tcW w:w="1170" w:type="dxa"/>
            <w:tcBorders>
              <w:top w:val="single" w:sz="4" w:space="0" w:color="auto"/>
            </w:tcBorders>
          </w:tcPr>
          <w:p w:rsidR="0098401A" w:rsidRPr="005E0C94" w:rsidRDefault="0098401A" w:rsidP="00E560C8">
            <w:pPr>
              <w:jc w:val="right"/>
              <w:rPr>
                <w:sz w:val="14"/>
                <w:szCs w:val="14"/>
              </w:rPr>
            </w:pPr>
            <w:r>
              <w:rPr>
                <w:sz w:val="14"/>
                <w:szCs w:val="14"/>
              </w:rPr>
              <w:t>1.</w:t>
            </w:r>
            <w:r w:rsidR="002C42F6">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98401A" w:rsidP="00E560C8">
            <w:pPr>
              <w:jc w:val="right"/>
              <w:rPr>
                <w:sz w:val="14"/>
                <w:szCs w:val="14"/>
              </w:rPr>
            </w:pPr>
            <w:r>
              <w:rPr>
                <w:sz w:val="14"/>
                <w:szCs w:val="14"/>
              </w:rPr>
              <w:t>1.</w:t>
            </w:r>
            <w:r w:rsidR="002C42F6">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55.0</w:t>
            </w:r>
          </w:p>
        </w:tc>
        <w:tc>
          <w:tcPr>
            <w:tcW w:w="720" w:type="dxa"/>
            <w:tcBorders>
              <w:top w:val="single" w:sz="4" w:space="0" w:color="auto"/>
            </w:tcBorders>
          </w:tcPr>
          <w:p w:rsidR="0098401A" w:rsidRPr="005E0C94" w:rsidRDefault="002C42F6" w:rsidP="00E560C8">
            <w:pPr>
              <w:jc w:val="right"/>
              <w:rPr>
                <w:sz w:val="14"/>
                <w:szCs w:val="14"/>
              </w:rPr>
            </w:pPr>
            <w:r>
              <w:rPr>
                <w:sz w:val="14"/>
                <w:szCs w:val="14"/>
              </w:rPr>
              <w:t>55</w:t>
            </w:r>
            <w:r w:rsidR="0098401A">
              <w:rPr>
                <w:sz w:val="14"/>
                <w:szCs w:val="14"/>
              </w:rPr>
              <w:t>.</w:t>
            </w:r>
            <w:r>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2C42F6">
              <w:rPr>
                <w:sz w:val="14"/>
                <w:szCs w:val="14"/>
              </w:rPr>
              <w:t>15</w:t>
            </w:r>
            <w:r>
              <w:rPr>
                <w:sz w:val="14"/>
                <w:szCs w:val="14"/>
              </w:rPr>
              <w:t>,</w:t>
            </w:r>
            <w:r w:rsidR="002C42F6">
              <w:rPr>
                <w:sz w:val="14"/>
                <w:szCs w:val="14"/>
              </w:rPr>
              <w:t>070</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41</w:t>
            </w:r>
          </w:p>
        </w:tc>
        <w:tc>
          <w:tcPr>
            <w:tcW w:w="3420" w:type="dxa"/>
            <w:tcBorders>
              <w:top w:val="single" w:sz="4" w:space="0" w:color="auto"/>
            </w:tcBorders>
            <w:vAlign w:val="center"/>
          </w:tcPr>
          <w:p w:rsidR="0098401A" w:rsidRPr="007B5BB8" w:rsidRDefault="0098401A" w:rsidP="00E560C8">
            <w:r w:rsidRPr="007B5BB8">
              <w:rPr>
                <w:color w:val="000000"/>
                <w:sz w:val="14"/>
                <w:szCs w:val="14"/>
              </w:rPr>
              <w:t>Infrequently reported thermal impacts (all plants)</w:t>
            </w:r>
          </w:p>
        </w:tc>
        <w:tc>
          <w:tcPr>
            <w:tcW w:w="1170" w:type="dxa"/>
            <w:tcBorders>
              <w:top w:val="single" w:sz="4" w:space="0" w:color="auto"/>
            </w:tcBorders>
          </w:tcPr>
          <w:p w:rsidR="0098401A" w:rsidRPr="005E0C94" w:rsidRDefault="002C42F6"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2C42F6"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220.0</w:t>
            </w:r>
          </w:p>
        </w:tc>
        <w:tc>
          <w:tcPr>
            <w:tcW w:w="720" w:type="dxa"/>
            <w:tcBorders>
              <w:top w:val="single" w:sz="4" w:space="0" w:color="auto"/>
            </w:tcBorders>
          </w:tcPr>
          <w:p w:rsidR="0098401A" w:rsidRPr="005E0C94" w:rsidRDefault="002C42F6" w:rsidP="00E560C8">
            <w:pPr>
              <w:jc w:val="right"/>
              <w:rPr>
                <w:sz w:val="14"/>
                <w:szCs w:val="14"/>
              </w:rPr>
            </w:pPr>
            <w:r>
              <w:rPr>
                <w:sz w:val="14"/>
                <w:szCs w:val="14"/>
              </w:rPr>
              <w:t>44</w:t>
            </w:r>
            <w:r w:rsidR="0098401A">
              <w:rPr>
                <w:sz w:val="14"/>
                <w:szCs w:val="14"/>
              </w:rPr>
              <w:t>0.0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1</w:t>
            </w:r>
            <w:r w:rsidR="002C42F6">
              <w:rPr>
                <w:sz w:val="14"/>
                <w:szCs w:val="14"/>
              </w:rPr>
              <w:t>20</w:t>
            </w:r>
            <w:r>
              <w:rPr>
                <w:sz w:val="14"/>
                <w:szCs w:val="14"/>
              </w:rPr>
              <w:t>,</w:t>
            </w:r>
            <w:r w:rsidR="002C42F6">
              <w:rPr>
                <w:sz w:val="14"/>
                <w:szCs w:val="14"/>
              </w:rPr>
              <w:t>560</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42</w:t>
            </w:r>
          </w:p>
        </w:tc>
        <w:tc>
          <w:tcPr>
            <w:tcW w:w="3420" w:type="dxa"/>
            <w:tcBorders>
              <w:top w:val="single" w:sz="4" w:space="0" w:color="auto"/>
            </w:tcBorders>
            <w:vAlign w:val="center"/>
          </w:tcPr>
          <w:p w:rsidR="0098401A" w:rsidRPr="007B5BB8" w:rsidRDefault="0098401A" w:rsidP="00E560C8">
            <w:pPr>
              <w:spacing w:line="216" w:lineRule="auto"/>
            </w:pPr>
            <w:r w:rsidRPr="007B5BB8">
              <w:rPr>
                <w:color w:val="000000"/>
                <w:sz w:val="14"/>
                <w:szCs w:val="14"/>
              </w:rPr>
              <w:t>Effects of cooling water discharge on dissolved oxygen, gas supersaturation, and eutrophication</w:t>
            </w:r>
          </w:p>
        </w:tc>
        <w:tc>
          <w:tcPr>
            <w:tcW w:w="1170" w:type="dxa"/>
            <w:tcBorders>
              <w:top w:val="single" w:sz="4" w:space="0" w:color="auto"/>
            </w:tcBorders>
          </w:tcPr>
          <w:p w:rsidR="0098401A" w:rsidRPr="005E0C94" w:rsidRDefault="002C42F6"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2C42F6"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110.0</w:t>
            </w:r>
          </w:p>
        </w:tc>
        <w:tc>
          <w:tcPr>
            <w:tcW w:w="720" w:type="dxa"/>
            <w:tcBorders>
              <w:top w:val="single" w:sz="4" w:space="0" w:color="auto"/>
            </w:tcBorders>
          </w:tcPr>
          <w:p w:rsidR="0098401A" w:rsidRPr="005E0C94" w:rsidRDefault="002C42F6" w:rsidP="00E560C8">
            <w:pPr>
              <w:jc w:val="right"/>
              <w:rPr>
                <w:sz w:val="14"/>
                <w:szCs w:val="14"/>
              </w:rPr>
            </w:pPr>
            <w:r>
              <w:rPr>
                <w:sz w:val="14"/>
                <w:szCs w:val="14"/>
              </w:rPr>
              <w:t>22</w:t>
            </w:r>
            <w:r w:rsidR="0098401A">
              <w:rPr>
                <w:sz w:val="14"/>
                <w:szCs w:val="14"/>
              </w:rPr>
              <w:t>0.0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2C42F6">
              <w:rPr>
                <w:sz w:val="14"/>
                <w:szCs w:val="14"/>
              </w:rPr>
              <w:t>6</w:t>
            </w:r>
            <w:r>
              <w:rPr>
                <w:sz w:val="14"/>
                <w:szCs w:val="14"/>
              </w:rPr>
              <w:t>0,</w:t>
            </w:r>
            <w:r w:rsidR="002C42F6">
              <w:rPr>
                <w:sz w:val="14"/>
                <w:szCs w:val="14"/>
              </w:rPr>
              <w:t>280</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54</w:t>
            </w:r>
          </w:p>
        </w:tc>
        <w:tc>
          <w:tcPr>
            <w:tcW w:w="3420" w:type="dxa"/>
            <w:tcBorders>
              <w:top w:val="single" w:sz="4" w:space="0" w:color="auto"/>
            </w:tcBorders>
            <w:vAlign w:val="center"/>
          </w:tcPr>
          <w:p w:rsidR="0098401A" w:rsidRPr="007B5BB8" w:rsidRDefault="0098401A" w:rsidP="00E560C8">
            <w:r w:rsidRPr="007B5BB8">
              <w:rPr>
                <w:color w:val="000000"/>
                <w:sz w:val="14"/>
                <w:szCs w:val="14"/>
              </w:rPr>
              <w:t>Community services and education</w:t>
            </w:r>
          </w:p>
        </w:tc>
        <w:tc>
          <w:tcPr>
            <w:tcW w:w="1170" w:type="dxa"/>
            <w:tcBorders>
              <w:top w:val="single" w:sz="4" w:space="0" w:color="auto"/>
            </w:tcBorders>
          </w:tcPr>
          <w:p w:rsidR="0098401A" w:rsidRPr="005E0C94" w:rsidRDefault="002C42F6"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2C42F6"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633.0</w:t>
            </w:r>
          </w:p>
        </w:tc>
        <w:tc>
          <w:tcPr>
            <w:tcW w:w="720" w:type="dxa"/>
            <w:tcBorders>
              <w:top w:val="single" w:sz="4" w:space="0" w:color="auto"/>
            </w:tcBorders>
          </w:tcPr>
          <w:p w:rsidR="0098401A" w:rsidRPr="005E0C94" w:rsidRDefault="0098401A" w:rsidP="00E560C8">
            <w:pPr>
              <w:jc w:val="right"/>
              <w:rPr>
                <w:sz w:val="14"/>
                <w:szCs w:val="14"/>
              </w:rPr>
            </w:pPr>
            <w:r>
              <w:rPr>
                <w:sz w:val="14"/>
                <w:szCs w:val="14"/>
              </w:rPr>
              <w:t>1</w:t>
            </w:r>
            <w:r w:rsidR="002C42F6">
              <w:rPr>
                <w:sz w:val="14"/>
                <w:szCs w:val="14"/>
              </w:rPr>
              <w:t>266</w:t>
            </w:r>
            <w:r>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661B2E">
              <w:rPr>
                <w:sz w:val="14"/>
                <w:szCs w:val="14"/>
              </w:rPr>
              <w:t>346</w:t>
            </w:r>
            <w:r>
              <w:rPr>
                <w:sz w:val="14"/>
                <w:szCs w:val="14"/>
              </w:rPr>
              <w:t>,</w:t>
            </w:r>
            <w:r w:rsidR="00661B2E">
              <w:rPr>
                <w:sz w:val="14"/>
                <w:szCs w:val="14"/>
              </w:rPr>
              <w:t>884</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55</w:t>
            </w:r>
          </w:p>
        </w:tc>
        <w:tc>
          <w:tcPr>
            <w:tcW w:w="3420" w:type="dxa"/>
            <w:tcBorders>
              <w:top w:val="single" w:sz="4" w:space="0" w:color="auto"/>
            </w:tcBorders>
            <w:vAlign w:val="center"/>
          </w:tcPr>
          <w:p w:rsidR="0098401A" w:rsidRPr="007B5BB8" w:rsidRDefault="0098401A" w:rsidP="00E560C8">
            <w:r w:rsidRPr="007B5BB8">
              <w:rPr>
                <w:color w:val="000000"/>
                <w:sz w:val="14"/>
                <w:szCs w:val="14"/>
              </w:rPr>
              <w:t>Population and housing</w:t>
            </w:r>
          </w:p>
        </w:tc>
        <w:tc>
          <w:tcPr>
            <w:tcW w:w="1170" w:type="dxa"/>
            <w:tcBorders>
              <w:top w:val="single" w:sz="4" w:space="0" w:color="auto"/>
            </w:tcBorders>
          </w:tcPr>
          <w:p w:rsidR="0098401A" w:rsidRPr="005E0C94" w:rsidRDefault="00661B2E"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661B2E"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234.0</w:t>
            </w:r>
          </w:p>
        </w:tc>
        <w:tc>
          <w:tcPr>
            <w:tcW w:w="720" w:type="dxa"/>
            <w:tcBorders>
              <w:top w:val="single" w:sz="4" w:space="0" w:color="auto"/>
            </w:tcBorders>
          </w:tcPr>
          <w:p w:rsidR="0098401A" w:rsidRPr="005E0C94" w:rsidRDefault="00661B2E" w:rsidP="00E560C8">
            <w:pPr>
              <w:jc w:val="right"/>
              <w:rPr>
                <w:sz w:val="14"/>
                <w:szCs w:val="14"/>
              </w:rPr>
            </w:pPr>
            <w:r>
              <w:rPr>
                <w:sz w:val="14"/>
                <w:szCs w:val="14"/>
              </w:rPr>
              <w:t>468</w:t>
            </w:r>
            <w:r w:rsidR="0098401A">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1</w:t>
            </w:r>
            <w:r w:rsidR="00661B2E">
              <w:rPr>
                <w:sz w:val="14"/>
                <w:szCs w:val="14"/>
              </w:rPr>
              <w:t>28</w:t>
            </w:r>
            <w:r>
              <w:rPr>
                <w:sz w:val="14"/>
                <w:szCs w:val="14"/>
              </w:rPr>
              <w:t>,</w:t>
            </w:r>
            <w:r w:rsidR="00661B2E">
              <w:rPr>
                <w:sz w:val="14"/>
                <w:szCs w:val="14"/>
              </w:rPr>
              <w:t>232</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56</w:t>
            </w:r>
          </w:p>
        </w:tc>
        <w:tc>
          <w:tcPr>
            <w:tcW w:w="3420" w:type="dxa"/>
            <w:tcBorders>
              <w:top w:val="single" w:sz="4" w:space="0" w:color="auto"/>
            </w:tcBorders>
            <w:vAlign w:val="center"/>
          </w:tcPr>
          <w:p w:rsidR="0098401A" w:rsidRPr="007B5BB8" w:rsidRDefault="0098401A" w:rsidP="00E560C8">
            <w:r w:rsidRPr="007B5BB8">
              <w:rPr>
                <w:color w:val="000000"/>
                <w:sz w:val="14"/>
                <w:szCs w:val="14"/>
              </w:rPr>
              <w:t>Transportation</w:t>
            </w:r>
          </w:p>
        </w:tc>
        <w:tc>
          <w:tcPr>
            <w:tcW w:w="1170" w:type="dxa"/>
            <w:tcBorders>
              <w:top w:val="single" w:sz="4" w:space="0" w:color="auto"/>
            </w:tcBorders>
          </w:tcPr>
          <w:p w:rsidR="0098401A" w:rsidRPr="005E0C94" w:rsidRDefault="00661B2E"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661B2E"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98401A" w:rsidP="00E560C8">
            <w:pPr>
              <w:jc w:val="right"/>
              <w:rPr>
                <w:sz w:val="14"/>
                <w:szCs w:val="14"/>
              </w:rPr>
            </w:pPr>
            <w:r>
              <w:rPr>
                <w:sz w:val="14"/>
                <w:szCs w:val="14"/>
              </w:rPr>
              <w:t>234.0</w:t>
            </w:r>
          </w:p>
        </w:tc>
        <w:tc>
          <w:tcPr>
            <w:tcW w:w="720" w:type="dxa"/>
            <w:tcBorders>
              <w:top w:val="single" w:sz="4" w:space="0" w:color="auto"/>
            </w:tcBorders>
          </w:tcPr>
          <w:p w:rsidR="0098401A" w:rsidRPr="005E0C94" w:rsidRDefault="00661B2E" w:rsidP="00E560C8">
            <w:pPr>
              <w:jc w:val="right"/>
              <w:rPr>
                <w:sz w:val="14"/>
                <w:szCs w:val="14"/>
              </w:rPr>
            </w:pPr>
            <w:r>
              <w:rPr>
                <w:sz w:val="14"/>
                <w:szCs w:val="14"/>
              </w:rPr>
              <w:t>468</w:t>
            </w:r>
            <w:r w:rsidR="0098401A">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1</w:t>
            </w:r>
            <w:r w:rsidR="00661B2E">
              <w:rPr>
                <w:sz w:val="14"/>
                <w:szCs w:val="14"/>
              </w:rPr>
              <w:t>28</w:t>
            </w:r>
            <w:r>
              <w:rPr>
                <w:sz w:val="14"/>
                <w:szCs w:val="14"/>
              </w:rPr>
              <w:t>,</w:t>
            </w:r>
            <w:r w:rsidR="00661B2E">
              <w:rPr>
                <w:sz w:val="14"/>
                <w:szCs w:val="14"/>
              </w:rPr>
              <w:t>232</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57</w:t>
            </w:r>
          </w:p>
        </w:tc>
        <w:tc>
          <w:tcPr>
            <w:tcW w:w="3420" w:type="dxa"/>
            <w:tcBorders>
              <w:top w:val="single" w:sz="4" w:space="0" w:color="auto"/>
            </w:tcBorders>
            <w:vAlign w:val="center"/>
          </w:tcPr>
          <w:p w:rsidR="0098401A" w:rsidRPr="007B5BB8" w:rsidRDefault="00661B2E" w:rsidP="00E560C8">
            <w:r w:rsidRPr="007B5BB8">
              <w:rPr>
                <w:color w:val="000000"/>
                <w:sz w:val="14"/>
                <w:szCs w:val="14"/>
              </w:rPr>
              <w:t>Radiation exposure to the public</w:t>
            </w:r>
          </w:p>
        </w:tc>
        <w:tc>
          <w:tcPr>
            <w:tcW w:w="1170" w:type="dxa"/>
            <w:tcBorders>
              <w:top w:val="single" w:sz="4" w:space="0" w:color="auto"/>
            </w:tcBorders>
          </w:tcPr>
          <w:p w:rsidR="0098401A" w:rsidRPr="005E0C94" w:rsidRDefault="00EF6D51" w:rsidP="00EF6D51">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EF6D51"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EF6D51" w:rsidP="00E560C8">
            <w:pPr>
              <w:jc w:val="right"/>
              <w:rPr>
                <w:sz w:val="14"/>
                <w:szCs w:val="14"/>
              </w:rPr>
            </w:pPr>
            <w:r>
              <w:rPr>
                <w:sz w:val="14"/>
                <w:szCs w:val="14"/>
              </w:rPr>
              <w:t xml:space="preserve"> 55</w:t>
            </w:r>
            <w:r w:rsidR="0098401A">
              <w:rPr>
                <w:sz w:val="14"/>
                <w:szCs w:val="14"/>
              </w:rPr>
              <w:t>.0</w:t>
            </w:r>
          </w:p>
        </w:tc>
        <w:tc>
          <w:tcPr>
            <w:tcW w:w="720" w:type="dxa"/>
            <w:tcBorders>
              <w:top w:val="single" w:sz="4" w:space="0" w:color="auto"/>
            </w:tcBorders>
          </w:tcPr>
          <w:p w:rsidR="0098401A" w:rsidRPr="005E0C94" w:rsidRDefault="00EF6D51" w:rsidP="00E560C8">
            <w:pPr>
              <w:jc w:val="right"/>
              <w:rPr>
                <w:sz w:val="14"/>
                <w:szCs w:val="14"/>
              </w:rPr>
            </w:pPr>
            <w:r>
              <w:rPr>
                <w:sz w:val="14"/>
                <w:szCs w:val="14"/>
              </w:rPr>
              <w:t>110</w:t>
            </w:r>
            <w:r w:rsidR="0098401A">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EF6D51">
              <w:rPr>
                <w:sz w:val="14"/>
                <w:szCs w:val="14"/>
              </w:rPr>
              <w:t xml:space="preserve">  30</w:t>
            </w:r>
            <w:r>
              <w:rPr>
                <w:sz w:val="14"/>
                <w:szCs w:val="14"/>
              </w:rPr>
              <w:t>,</w:t>
            </w:r>
            <w:r w:rsidR="00EF6D51">
              <w:rPr>
                <w:sz w:val="14"/>
                <w:szCs w:val="14"/>
              </w:rPr>
              <w:t>140</w:t>
            </w:r>
          </w:p>
        </w:tc>
      </w:tr>
      <w:tr w:rsidR="0098401A" w:rsidTr="00E560C8">
        <w:tc>
          <w:tcPr>
            <w:tcW w:w="648" w:type="dxa"/>
            <w:tcBorders>
              <w:top w:val="single" w:sz="4" w:space="0" w:color="auto"/>
              <w:left w:val="single" w:sz="12" w:space="0" w:color="auto"/>
            </w:tcBorders>
            <w:vAlign w:val="center"/>
          </w:tcPr>
          <w:p w:rsidR="0098401A" w:rsidRDefault="0098401A" w:rsidP="00E560C8">
            <w:pPr>
              <w:jc w:val="center"/>
              <w:rPr>
                <w:sz w:val="14"/>
                <w:szCs w:val="14"/>
              </w:rPr>
            </w:pPr>
            <w:r>
              <w:rPr>
                <w:sz w:val="14"/>
                <w:szCs w:val="14"/>
              </w:rPr>
              <w:t>58</w:t>
            </w:r>
          </w:p>
        </w:tc>
        <w:tc>
          <w:tcPr>
            <w:tcW w:w="3420" w:type="dxa"/>
            <w:tcBorders>
              <w:top w:val="single" w:sz="4" w:space="0" w:color="auto"/>
            </w:tcBorders>
            <w:vAlign w:val="center"/>
          </w:tcPr>
          <w:p w:rsidR="0098401A" w:rsidRPr="007B5BB8" w:rsidRDefault="00661B2E" w:rsidP="00E560C8">
            <w:r w:rsidRPr="007B5BB8">
              <w:rPr>
                <w:color w:val="000000"/>
                <w:sz w:val="14"/>
                <w:szCs w:val="14"/>
              </w:rPr>
              <w:t>Radiation exposure to plant workers</w:t>
            </w:r>
          </w:p>
        </w:tc>
        <w:tc>
          <w:tcPr>
            <w:tcW w:w="1170" w:type="dxa"/>
            <w:tcBorders>
              <w:top w:val="single" w:sz="4" w:space="0" w:color="auto"/>
            </w:tcBorders>
          </w:tcPr>
          <w:p w:rsidR="0098401A" w:rsidRPr="005E0C94" w:rsidRDefault="00EF6D51" w:rsidP="00E560C8">
            <w:pPr>
              <w:jc w:val="right"/>
              <w:rPr>
                <w:sz w:val="14"/>
                <w:szCs w:val="14"/>
              </w:rPr>
            </w:pPr>
            <w:r>
              <w:rPr>
                <w:sz w:val="14"/>
                <w:szCs w:val="14"/>
              </w:rPr>
              <w:t>2</w:t>
            </w:r>
            <w:r w:rsidR="0098401A">
              <w:rPr>
                <w:sz w:val="14"/>
                <w:szCs w:val="14"/>
              </w:rPr>
              <w:t>.0</w:t>
            </w:r>
          </w:p>
        </w:tc>
        <w:tc>
          <w:tcPr>
            <w:tcW w:w="1260" w:type="dxa"/>
            <w:tcBorders>
              <w:top w:val="sing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tcBorders>
          </w:tcPr>
          <w:p w:rsidR="0098401A" w:rsidRPr="005E0C94" w:rsidRDefault="00EF6D51" w:rsidP="00E560C8">
            <w:pPr>
              <w:jc w:val="right"/>
              <w:rPr>
                <w:sz w:val="14"/>
                <w:szCs w:val="14"/>
              </w:rPr>
            </w:pPr>
            <w:r>
              <w:rPr>
                <w:sz w:val="14"/>
                <w:szCs w:val="14"/>
              </w:rPr>
              <w:t>2</w:t>
            </w:r>
            <w:r w:rsidR="0098401A">
              <w:rPr>
                <w:sz w:val="14"/>
                <w:szCs w:val="14"/>
              </w:rPr>
              <w:t>.0</w:t>
            </w:r>
          </w:p>
        </w:tc>
        <w:tc>
          <w:tcPr>
            <w:tcW w:w="900" w:type="dxa"/>
            <w:tcBorders>
              <w:top w:val="single" w:sz="4" w:space="0" w:color="auto"/>
            </w:tcBorders>
          </w:tcPr>
          <w:p w:rsidR="0098401A" w:rsidRPr="005E0C94" w:rsidRDefault="00EF6D51" w:rsidP="00E560C8">
            <w:pPr>
              <w:jc w:val="right"/>
              <w:rPr>
                <w:sz w:val="14"/>
                <w:szCs w:val="14"/>
              </w:rPr>
            </w:pPr>
            <w:r>
              <w:rPr>
                <w:sz w:val="14"/>
                <w:szCs w:val="14"/>
              </w:rPr>
              <w:t xml:space="preserve"> 55</w:t>
            </w:r>
            <w:r w:rsidR="0098401A">
              <w:rPr>
                <w:sz w:val="14"/>
                <w:szCs w:val="14"/>
              </w:rPr>
              <w:t>.0</w:t>
            </w:r>
          </w:p>
        </w:tc>
        <w:tc>
          <w:tcPr>
            <w:tcW w:w="720" w:type="dxa"/>
            <w:tcBorders>
              <w:top w:val="single" w:sz="4" w:space="0" w:color="auto"/>
            </w:tcBorders>
          </w:tcPr>
          <w:p w:rsidR="0098401A" w:rsidRPr="005E0C94" w:rsidRDefault="00EF6D51" w:rsidP="00E560C8">
            <w:pPr>
              <w:jc w:val="right"/>
              <w:rPr>
                <w:sz w:val="14"/>
                <w:szCs w:val="14"/>
              </w:rPr>
            </w:pPr>
            <w:r>
              <w:rPr>
                <w:sz w:val="14"/>
                <w:szCs w:val="14"/>
              </w:rPr>
              <w:t>110</w:t>
            </w:r>
            <w:r w:rsidR="0098401A">
              <w:rPr>
                <w:sz w:val="14"/>
                <w:szCs w:val="14"/>
              </w:rPr>
              <w:t>.0</w:t>
            </w:r>
          </w:p>
        </w:tc>
        <w:tc>
          <w:tcPr>
            <w:tcW w:w="900" w:type="dxa"/>
            <w:tcBorders>
              <w:top w:val="sing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EF6D51">
              <w:rPr>
                <w:sz w:val="14"/>
                <w:szCs w:val="14"/>
              </w:rPr>
              <w:t xml:space="preserve">  30</w:t>
            </w:r>
            <w:r>
              <w:rPr>
                <w:sz w:val="14"/>
                <w:szCs w:val="14"/>
              </w:rPr>
              <w:t>,</w:t>
            </w:r>
            <w:r w:rsidR="00EF6D51">
              <w:rPr>
                <w:sz w:val="14"/>
                <w:szCs w:val="14"/>
              </w:rPr>
              <w:t>140</w:t>
            </w:r>
          </w:p>
        </w:tc>
      </w:tr>
      <w:tr w:rsidR="0098401A" w:rsidTr="00E560C8">
        <w:tc>
          <w:tcPr>
            <w:tcW w:w="648" w:type="dxa"/>
            <w:tcBorders>
              <w:top w:val="single" w:sz="4" w:space="0" w:color="auto"/>
              <w:left w:val="single" w:sz="12" w:space="0" w:color="auto"/>
              <w:bottom w:val="double" w:sz="4" w:space="0" w:color="auto"/>
            </w:tcBorders>
            <w:vAlign w:val="center"/>
          </w:tcPr>
          <w:p w:rsidR="0098401A" w:rsidRDefault="0098401A" w:rsidP="00E560C8">
            <w:pPr>
              <w:jc w:val="center"/>
              <w:rPr>
                <w:sz w:val="14"/>
                <w:szCs w:val="14"/>
              </w:rPr>
            </w:pPr>
            <w:r>
              <w:rPr>
                <w:sz w:val="14"/>
                <w:szCs w:val="14"/>
              </w:rPr>
              <w:t>78</w:t>
            </w:r>
          </w:p>
        </w:tc>
        <w:tc>
          <w:tcPr>
            <w:tcW w:w="3420" w:type="dxa"/>
            <w:tcBorders>
              <w:top w:val="single" w:sz="4" w:space="0" w:color="auto"/>
              <w:bottom w:val="double" w:sz="4" w:space="0" w:color="auto"/>
            </w:tcBorders>
            <w:vAlign w:val="center"/>
          </w:tcPr>
          <w:p w:rsidR="0098401A" w:rsidRPr="007B5BB8" w:rsidRDefault="0098401A" w:rsidP="00E560C8">
            <w:pPr>
              <w:spacing w:line="216" w:lineRule="auto"/>
            </w:pPr>
            <w:r w:rsidRPr="007B5BB8">
              <w:rPr>
                <w:color w:val="000000"/>
                <w:sz w:val="14"/>
                <w:szCs w:val="14"/>
              </w:rPr>
              <w:t>Termination of plant operations and decommissioning</w:t>
            </w:r>
          </w:p>
        </w:tc>
        <w:tc>
          <w:tcPr>
            <w:tcW w:w="1170" w:type="dxa"/>
            <w:tcBorders>
              <w:top w:val="single" w:sz="4" w:space="0" w:color="auto"/>
              <w:bottom w:val="double" w:sz="4" w:space="0" w:color="auto"/>
            </w:tcBorders>
          </w:tcPr>
          <w:p w:rsidR="0098401A" w:rsidRPr="005E0C94" w:rsidRDefault="00EF6D51" w:rsidP="00E560C8">
            <w:pPr>
              <w:jc w:val="right"/>
              <w:rPr>
                <w:sz w:val="14"/>
                <w:szCs w:val="14"/>
              </w:rPr>
            </w:pPr>
            <w:r>
              <w:rPr>
                <w:sz w:val="14"/>
                <w:szCs w:val="14"/>
              </w:rPr>
              <w:t>2</w:t>
            </w:r>
            <w:r w:rsidR="0098401A">
              <w:rPr>
                <w:sz w:val="14"/>
                <w:szCs w:val="14"/>
              </w:rPr>
              <w:t>.0</w:t>
            </w:r>
          </w:p>
        </w:tc>
        <w:tc>
          <w:tcPr>
            <w:tcW w:w="1260" w:type="dxa"/>
            <w:tcBorders>
              <w:top w:val="single" w:sz="4" w:space="0" w:color="auto"/>
              <w:bottom w:val="double" w:sz="4" w:space="0" w:color="auto"/>
            </w:tcBorders>
          </w:tcPr>
          <w:p w:rsidR="0098401A" w:rsidRPr="005E0C94" w:rsidRDefault="0098401A" w:rsidP="00E560C8">
            <w:pPr>
              <w:jc w:val="right"/>
              <w:rPr>
                <w:sz w:val="14"/>
                <w:szCs w:val="14"/>
              </w:rPr>
            </w:pPr>
            <w:r>
              <w:rPr>
                <w:sz w:val="14"/>
                <w:szCs w:val="14"/>
              </w:rPr>
              <w:t>1.0</w:t>
            </w:r>
          </w:p>
        </w:tc>
        <w:tc>
          <w:tcPr>
            <w:tcW w:w="990" w:type="dxa"/>
            <w:tcBorders>
              <w:top w:val="single" w:sz="4" w:space="0" w:color="auto"/>
              <w:bottom w:val="double" w:sz="4" w:space="0" w:color="auto"/>
            </w:tcBorders>
          </w:tcPr>
          <w:p w:rsidR="0098401A" w:rsidRPr="005E0C94" w:rsidRDefault="00EF6D51" w:rsidP="00E560C8">
            <w:pPr>
              <w:jc w:val="right"/>
              <w:rPr>
                <w:sz w:val="14"/>
                <w:szCs w:val="14"/>
              </w:rPr>
            </w:pPr>
            <w:r>
              <w:rPr>
                <w:sz w:val="14"/>
                <w:szCs w:val="14"/>
              </w:rPr>
              <w:t>2</w:t>
            </w:r>
            <w:r w:rsidR="0098401A">
              <w:rPr>
                <w:sz w:val="14"/>
                <w:szCs w:val="14"/>
              </w:rPr>
              <w:t>.0</w:t>
            </w:r>
          </w:p>
        </w:tc>
        <w:tc>
          <w:tcPr>
            <w:tcW w:w="900" w:type="dxa"/>
            <w:tcBorders>
              <w:top w:val="single" w:sz="4" w:space="0" w:color="auto"/>
              <w:bottom w:val="double" w:sz="4" w:space="0" w:color="auto"/>
            </w:tcBorders>
          </w:tcPr>
          <w:p w:rsidR="0098401A" w:rsidRPr="005E0C94" w:rsidRDefault="0098401A" w:rsidP="00E560C8">
            <w:pPr>
              <w:jc w:val="right"/>
              <w:rPr>
                <w:sz w:val="14"/>
                <w:szCs w:val="14"/>
              </w:rPr>
            </w:pPr>
            <w:r>
              <w:rPr>
                <w:sz w:val="14"/>
                <w:szCs w:val="14"/>
              </w:rPr>
              <w:t>275.0</w:t>
            </w:r>
          </w:p>
        </w:tc>
        <w:tc>
          <w:tcPr>
            <w:tcW w:w="720" w:type="dxa"/>
            <w:tcBorders>
              <w:top w:val="single" w:sz="4" w:space="0" w:color="auto"/>
              <w:bottom w:val="double" w:sz="4" w:space="0" w:color="auto"/>
            </w:tcBorders>
          </w:tcPr>
          <w:p w:rsidR="0098401A" w:rsidRPr="005E0C94" w:rsidRDefault="00EF6D51" w:rsidP="00E560C8">
            <w:pPr>
              <w:jc w:val="right"/>
              <w:rPr>
                <w:sz w:val="14"/>
                <w:szCs w:val="14"/>
              </w:rPr>
            </w:pPr>
            <w:r>
              <w:rPr>
                <w:sz w:val="14"/>
                <w:szCs w:val="14"/>
              </w:rPr>
              <w:t>550</w:t>
            </w:r>
            <w:r w:rsidR="0098401A">
              <w:rPr>
                <w:sz w:val="14"/>
                <w:szCs w:val="14"/>
              </w:rPr>
              <w:t>.0</w:t>
            </w:r>
          </w:p>
        </w:tc>
        <w:tc>
          <w:tcPr>
            <w:tcW w:w="900" w:type="dxa"/>
            <w:tcBorders>
              <w:top w:val="single" w:sz="4" w:space="0" w:color="auto"/>
              <w:bottom w:val="double" w:sz="4" w:space="0" w:color="auto"/>
              <w:right w:val="single" w:sz="12" w:space="0" w:color="auto"/>
            </w:tcBorders>
          </w:tcPr>
          <w:p w:rsidR="0098401A" w:rsidRPr="005E0C94" w:rsidRDefault="0098401A" w:rsidP="00E560C8">
            <w:pPr>
              <w:jc w:val="right"/>
              <w:rPr>
                <w:sz w:val="14"/>
                <w:szCs w:val="14"/>
              </w:rPr>
            </w:pPr>
            <w:r>
              <w:rPr>
                <w:sz w:val="14"/>
                <w:szCs w:val="14"/>
              </w:rPr>
              <w:t xml:space="preserve">$  </w:t>
            </w:r>
            <w:r w:rsidR="00EF6D51">
              <w:rPr>
                <w:sz w:val="14"/>
                <w:szCs w:val="14"/>
              </w:rPr>
              <w:t>150</w:t>
            </w:r>
            <w:r>
              <w:rPr>
                <w:sz w:val="14"/>
                <w:szCs w:val="14"/>
              </w:rPr>
              <w:t>,</w:t>
            </w:r>
            <w:r w:rsidR="00EF6D51">
              <w:rPr>
                <w:sz w:val="14"/>
                <w:szCs w:val="14"/>
              </w:rPr>
              <w:t>700</w:t>
            </w:r>
          </w:p>
        </w:tc>
      </w:tr>
      <w:tr w:rsidR="0098401A" w:rsidTr="00E560C8">
        <w:tc>
          <w:tcPr>
            <w:tcW w:w="10008" w:type="dxa"/>
            <w:gridSpan w:val="8"/>
            <w:tcBorders>
              <w:top w:val="double" w:sz="4" w:space="0" w:color="auto"/>
              <w:left w:val="single" w:sz="12" w:space="0" w:color="auto"/>
              <w:bottom w:val="single" w:sz="12" w:space="0" w:color="auto"/>
              <w:right w:val="single" w:sz="12" w:space="0" w:color="auto"/>
            </w:tcBorders>
            <w:vAlign w:val="center"/>
          </w:tcPr>
          <w:p w:rsidR="0098401A" w:rsidRPr="005E0C94" w:rsidRDefault="0098401A" w:rsidP="00E560C8">
            <w:pPr>
              <w:jc w:val="right"/>
              <w:rPr>
                <w:sz w:val="14"/>
                <w:szCs w:val="14"/>
              </w:rPr>
            </w:pPr>
            <w:r w:rsidRPr="00CA0600">
              <w:rPr>
                <w:b/>
                <w:i/>
                <w:sz w:val="14"/>
                <w:szCs w:val="14"/>
              </w:rPr>
              <w:t>Subtotal</w:t>
            </w:r>
            <w:r>
              <w:rPr>
                <w:b/>
                <w:i/>
                <w:sz w:val="14"/>
                <w:szCs w:val="14"/>
              </w:rPr>
              <w:t xml:space="preserve">—Industry Burden Decrease   </w:t>
            </w:r>
            <w:r w:rsidRPr="00CA0600">
              <w:rPr>
                <w:b/>
                <w:i/>
                <w:sz w:val="14"/>
                <w:szCs w:val="14"/>
              </w:rPr>
              <w:t xml:space="preserve"> </w:t>
            </w:r>
            <w:r w:rsidR="00A22B39">
              <w:rPr>
                <w:b/>
                <w:i/>
                <w:sz w:val="14"/>
                <w:szCs w:val="14"/>
              </w:rPr>
              <w:t xml:space="preserve">  6</w:t>
            </w:r>
            <w:r w:rsidRPr="00CA0600">
              <w:rPr>
                <w:b/>
                <w:i/>
                <w:sz w:val="14"/>
                <w:szCs w:val="14"/>
              </w:rPr>
              <w:t>,</w:t>
            </w:r>
            <w:r w:rsidR="00A22B39">
              <w:rPr>
                <w:b/>
                <w:i/>
                <w:sz w:val="14"/>
                <w:szCs w:val="14"/>
              </w:rPr>
              <w:t>134</w:t>
            </w:r>
            <w:r>
              <w:rPr>
                <w:b/>
                <w:i/>
                <w:sz w:val="14"/>
                <w:szCs w:val="14"/>
              </w:rPr>
              <w:t xml:space="preserve">.0   $ </w:t>
            </w:r>
            <w:r w:rsidR="00A22B39">
              <w:rPr>
                <w:b/>
                <w:i/>
                <w:sz w:val="14"/>
                <w:szCs w:val="14"/>
              </w:rPr>
              <w:t>1</w:t>
            </w:r>
            <w:r>
              <w:rPr>
                <w:b/>
                <w:i/>
                <w:sz w:val="14"/>
                <w:szCs w:val="14"/>
              </w:rPr>
              <w:t>,</w:t>
            </w:r>
            <w:r w:rsidR="00A22B39">
              <w:rPr>
                <w:b/>
                <w:i/>
                <w:sz w:val="14"/>
                <w:szCs w:val="14"/>
              </w:rPr>
              <w:t>680,716</w:t>
            </w:r>
          </w:p>
        </w:tc>
      </w:tr>
      <w:tr w:rsidR="0098401A" w:rsidTr="00E560C8">
        <w:tc>
          <w:tcPr>
            <w:tcW w:w="10008" w:type="dxa"/>
            <w:gridSpan w:val="8"/>
            <w:tcBorders>
              <w:top w:val="single" w:sz="12" w:space="0" w:color="auto"/>
              <w:left w:val="nil"/>
              <w:bottom w:val="nil"/>
              <w:right w:val="nil"/>
            </w:tcBorders>
            <w:vAlign w:val="center"/>
          </w:tcPr>
          <w:p w:rsidR="0098401A" w:rsidRPr="002B6A92" w:rsidRDefault="0098401A" w:rsidP="000A5A89">
            <w:pPr>
              <w:jc w:val="right"/>
              <w:rPr>
                <w:b/>
                <w:i/>
                <w:sz w:val="14"/>
                <w:szCs w:val="14"/>
              </w:rPr>
            </w:pPr>
            <w:r>
              <w:rPr>
                <w:b/>
                <w:i/>
                <w:sz w:val="14"/>
                <w:szCs w:val="14"/>
              </w:rPr>
              <w:t>Total—In</w:t>
            </w:r>
            <w:r w:rsidRPr="002B6A92">
              <w:rPr>
                <w:b/>
                <w:i/>
                <w:sz w:val="14"/>
                <w:szCs w:val="14"/>
              </w:rPr>
              <w:t xml:space="preserve">dustry Burden Decrease   </w:t>
            </w:r>
            <w:r>
              <w:rPr>
                <w:b/>
                <w:i/>
                <w:sz w:val="14"/>
                <w:szCs w:val="14"/>
              </w:rPr>
              <w:t xml:space="preserve"> </w:t>
            </w:r>
            <w:r w:rsidRPr="002B6A92">
              <w:rPr>
                <w:b/>
                <w:i/>
                <w:sz w:val="14"/>
                <w:szCs w:val="14"/>
              </w:rPr>
              <w:t xml:space="preserve">  </w:t>
            </w:r>
            <w:r w:rsidR="000A5A89">
              <w:rPr>
                <w:b/>
                <w:i/>
                <w:sz w:val="14"/>
                <w:szCs w:val="14"/>
              </w:rPr>
              <w:t>1</w:t>
            </w:r>
            <w:r w:rsidRPr="002B6A92">
              <w:rPr>
                <w:b/>
                <w:i/>
                <w:sz w:val="14"/>
                <w:szCs w:val="14"/>
              </w:rPr>
              <w:t>,</w:t>
            </w:r>
            <w:r w:rsidR="000A5A89">
              <w:rPr>
                <w:b/>
                <w:i/>
                <w:sz w:val="14"/>
                <w:szCs w:val="14"/>
              </w:rPr>
              <w:t>969</w:t>
            </w:r>
            <w:r w:rsidRPr="002B6A92">
              <w:rPr>
                <w:b/>
                <w:i/>
                <w:sz w:val="14"/>
                <w:szCs w:val="14"/>
              </w:rPr>
              <w:t>.</w:t>
            </w:r>
            <w:r w:rsidR="000A5A89">
              <w:rPr>
                <w:b/>
                <w:i/>
                <w:sz w:val="14"/>
                <w:szCs w:val="14"/>
              </w:rPr>
              <w:t>6</w:t>
            </w:r>
            <w:r w:rsidR="000305A5">
              <w:rPr>
                <w:b/>
                <w:i/>
                <w:sz w:val="14"/>
                <w:szCs w:val="14"/>
              </w:rPr>
              <w:t xml:space="preserve">     </w:t>
            </w:r>
            <w:r>
              <w:rPr>
                <w:b/>
                <w:i/>
                <w:sz w:val="14"/>
                <w:szCs w:val="14"/>
              </w:rPr>
              <w:t xml:space="preserve"> </w:t>
            </w:r>
            <w:r w:rsidR="000305A5">
              <w:rPr>
                <w:b/>
                <w:i/>
                <w:sz w:val="14"/>
                <w:szCs w:val="14"/>
              </w:rPr>
              <w:t>$ 539</w:t>
            </w:r>
            <w:r w:rsidRPr="002B6A92">
              <w:rPr>
                <w:b/>
                <w:i/>
                <w:sz w:val="14"/>
                <w:szCs w:val="14"/>
              </w:rPr>
              <w:t>,</w:t>
            </w:r>
            <w:r w:rsidR="00A22B39">
              <w:rPr>
                <w:b/>
                <w:i/>
                <w:sz w:val="14"/>
                <w:szCs w:val="14"/>
              </w:rPr>
              <w:t>670</w:t>
            </w:r>
          </w:p>
        </w:tc>
      </w:tr>
    </w:tbl>
    <w:p w:rsidR="0098401A" w:rsidRPr="00523F66" w:rsidRDefault="0098401A" w:rsidP="0098401A">
      <w:pPr>
        <w:rPr>
          <w:i/>
          <w:sz w:val="14"/>
          <w:szCs w:val="14"/>
        </w:rPr>
      </w:pPr>
      <w:r w:rsidRPr="00523F66">
        <w:rPr>
          <w:sz w:val="14"/>
          <w:szCs w:val="14"/>
        </w:rPr>
        <w:t xml:space="preserve">  *   </w:t>
      </w:r>
      <w:r w:rsidRPr="00523F66">
        <w:rPr>
          <w:i/>
          <w:sz w:val="14"/>
          <w:szCs w:val="14"/>
        </w:rPr>
        <w:t>Burden only applies to 10% of reactors</w:t>
      </w:r>
    </w:p>
    <w:p w:rsidR="0098401A" w:rsidRPr="00523F66" w:rsidRDefault="0098401A" w:rsidP="0098401A">
      <w:pPr>
        <w:rPr>
          <w:i/>
          <w:sz w:val="14"/>
          <w:szCs w:val="14"/>
        </w:rPr>
      </w:pPr>
      <w:r w:rsidRPr="00523F66">
        <w:rPr>
          <w:i/>
          <w:sz w:val="14"/>
          <w:szCs w:val="14"/>
        </w:rPr>
        <w:t>**   Burden only applies to 50% of reactors</w:t>
      </w:r>
    </w:p>
    <w:p w:rsidR="007D441E" w:rsidRDefault="007D441E" w:rsidP="0098401A">
      <w:pPr>
        <w:pStyle w:val="text"/>
        <w:keepNext/>
        <w:spacing w:before="240"/>
        <w:jc w:val="center"/>
        <w:rPr>
          <w:b/>
          <w:szCs w:val="22"/>
        </w:rPr>
        <w:sectPr w:rsidR="007D441E" w:rsidSect="008A1104">
          <w:pgSz w:w="12240" w:h="15840" w:code="1"/>
          <w:pgMar w:top="1440" w:right="1440" w:bottom="1440" w:left="1440" w:header="1440" w:footer="1440" w:gutter="0"/>
          <w:cols w:space="720"/>
          <w:titlePg/>
          <w:docGrid w:linePitch="360"/>
        </w:sectPr>
      </w:pPr>
    </w:p>
    <w:p w:rsidR="0098401A" w:rsidRDefault="00FF5383" w:rsidP="0098401A">
      <w:pPr>
        <w:pStyle w:val="text"/>
        <w:keepNext/>
        <w:spacing w:before="240"/>
        <w:jc w:val="center"/>
        <w:rPr>
          <w:b/>
          <w:szCs w:val="22"/>
        </w:rPr>
      </w:pPr>
      <w:r>
        <w:rPr>
          <w:b/>
          <w:szCs w:val="22"/>
        </w:rPr>
        <w:lastRenderedPageBreak/>
        <w:t>Exhibit</w:t>
      </w:r>
      <w:r w:rsidR="0098401A">
        <w:rPr>
          <w:b/>
          <w:szCs w:val="22"/>
        </w:rPr>
        <w:t xml:space="preserve"> 2</w:t>
      </w:r>
      <w:r w:rsidR="0098401A">
        <w:rPr>
          <w:b/>
        </w:rPr>
        <w:br/>
      </w:r>
      <w:r w:rsidR="0098401A" w:rsidRPr="002C1932">
        <w:rPr>
          <w:b/>
          <w:szCs w:val="22"/>
        </w:rPr>
        <w:t xml:space="preserve">One-Time </w:t>
      </w:r>
      <w:r w:rsidR="0098401A">
        <w:rPr>
          <w:b/>
          <w:szCs w:val="22"/>
        </w:rPr>
        <w:t>Reporting Burden (Annualized)—NRC (2013–</w:t>
      </w:r>
      <w:r w:rsidR="0098401A" w:rsidRPr="002C1932">
        <w:rPr>
          <w:b/>
          <w:szCs w:val="22"/>
        </w:rPr>
        <w:t>2015)</w:t>
      </w:r>
    </w:p>
    <w:tbl>
      <w:tblPr>
        <w:tblStyle w:val="TableGrid"/>
        <w:tblW w:w="10008" w:type="dxa"/>
        <w:tblBorders>
          <w:top w:val="double" w:sz="4" w:space="0" w:color="auto"/>
        </w:tblBorders>
        <w:tblLayout w:type="fixed"/>
        <w:tblLook w:val="04A0" w:firstRow="1" w:lastRow="0" w:firstColumn="1" w:lastColumn="0" w:noHBand="0" w:noVBand="1"/>
      </w:tblPr>
      <w:tblGrid>
        <w:gridCol w:w="648"/>
        <w:gridCol w:w="3420"/>
        <w:gridCol w:w="1170"/>
        <w:gridCol w:w="1260"/>
        <w:gridCol w:w="990"/>
        <w:gridCol w:w="900"/>
        <w:gridCol w:w="720"/>
        <w:gridCol w:w="900"/>
      </w:tblGrid>
      <w:tr w:rsidR="0098401A" w:rsidTr="00E560C8">
        <w:tc>
          <w:tcPr>
            <w:tcW w:w="648" w:type="dxa"/>
            <w:tcBorders>
              <w:top w:val="single" w:sz="12" w:space="0" w:color="auto"/>
              <w:left w:val="single" w:sz="12" w:space="0" w:color="auto"/>
              <w:bottom w:val="single" w:sz="12" w:space="0" w:color="auto"/>
            </w:tcBorders>
            <w:vAlign w:val="center"/>
          </w:tcPr>
          <w:p w:rsidR="0098401A" w:rsidRPr="009F6C55" w:rsidRDefault="0098401A" w:rsidP="00E560C8">
            <w:pPr>
              <w:jc w:val="center"/>
              <w:rPr>
                <w:b/>
                <w:sz w:val="14"/>
                <w:szCs w:val="14"/>
              </w:rPr>
            </w:pPr>
            <w:r w:rsidRPr="009F6C55">
              <w:rPr>
                <w:b/>
                <w:sz w:val="14"/>
                <w:szCs w:val="14"/>
              </w:rPr>
              <w:t>Issue</w:t>
            </w:r>
          </w:p>
          <w:p w:rsidR="0098401A" w:rsidRPr="009F6C55" w:rsidRDefault="0098401A" w:rsidP="00E560C8">
            <w:pPr>
              <w:jc w:val="center"/>
              <w:rPr>
                <w:b/>
                <w:sz w:val="14"/>
                <w:szCs w:val="14"/>
              </w:rPr>
            </w:pPr>
            <w:r w:rsidRPr="009F6C55">
              <w:rPr>
                <w:b/>
                <w:sz w:val="14"/>
                <w:szCs w:val="14"/>
              </w:rPr>
              <w:t>No.</w:t>
            </w:r>
          </w:p>
        </w:tc>
        <w:tc>
          <w:tcPr>
            <w:tcW w:w="342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Table B-1 Issues</w:t>
            </w:r>
          </w:p>
        </w:tc>
        <w:tc>
          <w:tcPr>
            <w:tcW w:w="117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Number of</w:t>
            </w:r>
          </w:p>
          <w:p w:rsidR="0098401A" w:rsidRPr="009F6C55" w:rsidRDefault="0098401A" w:rsidP="00E560C8">
            <w:pPr>
              <w:rPr>
                <w:b/>
                <w:sz w:val="14"/>
                <w:szCs w:val="14"/>
              </w:rPr>
            </w:pPr>
            <w:r w:rsidRPr="009F6C55">
              <w:rPr>
                <w:b/>
                <w:sz w:val="14"/>
                <w:szCs w:val="14"/>
              </w:rPr>
              <w:t>Respondents</w:t>
            </w:r>
          </w:p>
          <w:p w:rsidR="0098401A" w:rsidRPr="009F6C55" w:rsidRDefault="0098401A" w:rsidP="00E560C8">
            <w:pPr>
              <w:rPr>
                <w:b/>
                <w:sz w:val="14"/>
                <w:szCs w:val="14"/>
              </w:rPr>
            </w:pPr>
            <w:r w:rsidRPr="009F6C55">
              <w:rPr>
                <w:b/>
                <w:sz w:val="14"/>
                <w:szCs w:val="14"/>
              </w:rPr>
              <w:t>Annually</w:t>
            </w:r>
          </w:p>
        </w:tc>
        <w:tc>
          <w:tcPr>
            <w:tcW w:w="126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Responses per Respondent Annually</w:t>
            </w:r>
          </w:p>
        </w:tc>
        <w:tc>
          <w:tcPr>
            <w:tcW w:w="99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Total Responses Annually</w:t>
            </w:r>
          </w:p>
        </w:tc>
        <w:tc>
          <w:tcPr>
            <w:tcW w:w="90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Burden Hours Per Response</w:t>
            </w:r>
          </w:p>
        </w:tc>
        <w:tc>
          <w:tcPr>
            <w:tcW w:w="720" w:type="dxa"/>
            <w:tcBorders>
              <w:top w:val="single" w:sz="12" w:space="0" w:color="auto"/>
              <w:bottom w:val="single" w:sz="12" w:space="0" w:color="auto"/>
            </w:tcBorders>
            <w:vAlign w:val="center"/>
          </w:tcPr>
          <w:p w:rsidR="0098401A" w:rsidRPr="009F6C55" w:rsidRDefault="0098401A" w:rsidP="00E560C8">
            <w:pPr>
              <w:rPr>
                <w:b/>
                <w:sz w:val="14"/>
                <w:szCs w:val="14"/>
              </w:rPr>
            </w:pPr>
            <w:r w:rsidRPr="009F6C55">
              <w:rPr>
                <w:b/>
                <w:sz w:val="14"/>
                <w:szCs w:val="14"/>
              </w:rPr>
              <w:t>Total Annual Burden Hours</w:t>
            </w:r>
          </w:p>
        </w:tc>
        <w:tc>
          <w:tcPr>
            <w:tcW w:w="900" w:type="dxa"/>
            <w:tcBorders>
              <w:top w:val="single" w:sz="12" w:space="0" w:color="auto"/>
              <w:bottom w:val="single" w:sz="12" w:space="0" w:color="auto"/>
              <w:right w:val="single" w:sz="12" w:space="0" w:color="auto"/>
            </w:tcBorders>
            <w:vAlign w:val="center"/>
          </w:tcPr>
          <w:p w:rsidR="0098401A" w:rsidRPr="009F6C55" w:rsidRDefault="00FF5383" w:rsidP="00E560C8">
            <w:pPr>
              <w:rPr>
                <w:b/>
                <w:sz w:val="14"/>
                <w:szCs w:val="14"/>
              </w:rPr>
            </w:pPr>
            <w:r>
              <w:rPr>
                <w:b/>
                <w:sz w:val="14"/>
                <w:szCs w:val="14"/>
              </w:rPr>
              <w:t>Estimated Annual Cost @ $274</w:t>
            </w:r>
            <w:r w:rsidR="0098401A" w:rsidRPr="009F6C55">
              <w:rPr>
                <w:b/>
                <w:sz w:val="14"/>
                <w:szCs w:val="14"/>
              </w:rPr>
              <w:t>/hr</w:t>
            </w:r>
          </w:p>
        </w:tc>
      </w:tr>
      <w:tr w:rsidR="0098401A" w:rsidTr="00E560C8">
        <w:trPr>
          <w:trHeight w:val="204"/>
        </w:trPr>
        <w:tc>
          <w:tcPr>
            <w:tcW w:w="10008" w:type="dxa"/>
            <w:gridSpan w:val="8"/>
            <w:tcBorders>
              <w:top w:val="single" w:sz="12" w:space="0" w:color="auto"/>
              <w:left w:val="single" w:sz="12" w:space="0" w:color="auto"/>
              <w:bottom w:val="single" w:sz="12" w:space="0" w:color="auto"/>
              <w:right w:val="single" w:sz="12" w:space="0" w:color="auto"/>
            </w:tcBorders>
            <w:shd w:val="pct5" w:color="auto" w:fill="auto"/>
            <w:vAlign w:val="center"/>
          </w:tcPr>
          <w:p w:rsidR="0098401A" w:rsidRPr="009F6C55" w:rsidRDefault="0098401A" w:rsidP="00E560C8">
            <w:pPr>
              <w:rPr>
                <w:b/>
                <w:sz w:val="16"/>
                <w:szCs w:val="16"/>
              </w:rPr>
            </w:pPr>
            <w:r>
              <w:rPr>
                <w:b/>
                <w:sz w:val="18"/>
                <w:szCs w:val="18"/>
              </w:rPr>
              <w:t xml:space="preserve">            </w:t>
            </w:r>
            <w:r w:rsidRPr="009F6C55">
              <w:rPr>
                <w:b/>
                <w:sz w:val="16"/>
                <w:szCs w:val="16"/>
              </w:rPr>
              <w:t>NRC</w:t>
            </w:r>
            <w:r>
              <w:rPr>
                <w:b/>
                <w:sz w:val="16"/>
                <w:szCs w:val="16"/>
              </w:rPr>
              <w:t>—</w:t>
            </w:r>
            <w:r w:rsidRPr="009F6C55">
              <w:rPr>
                <w:b/>
                <w:sz w:val="16"/>
                <w:szCs w:val="16"/>
              </w:rPr>
              <w:t>BURDEN INCREASE</w:t>
            </w:r>
          </w:p>
        </w:tc>
      </w:tr>
      <w:tr w:rsidR="0098401A" w:rsidTr="00E560C8">
        <w:tc>
          <w:tcPr>
            <w:tcW w:w="648" w:type="dxa"/>
            <w:tcBorders>
              <w:top w:val="single" w:sz="12"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8</w:t>
            </w:r>
          </w:p>
        </w:tc>
        <w:tc>
          <w:tcPr>
            <w:tcW w:w="3420" w:type="dxa"/>
            <w:tcBorders>
              <w:top w:val="single" w:sz="12" w:space="0" w:color="auto"/>
            </w:tcBorders>
            <w:vAlign w:val="center"/>
          </w:tcPr>
          <w:p w:rsidR="0098401A" w:rsidRPr="007B5BB8" w:rsidRDefault="0098401A" w:rsidP="00E560C8">
            <w:pPr>
              <w:rPr>
                <w:sz w:val="14"/>
                <w:szCs w:val="14"/>
              </w:rPr>
            </w:pPr>
            <w:r w:rsidRPr="007B5BB8">
              <w:rPr>
                <w:color w:val="000000"/>
                <w:sz w:val="14"/>
                <w:szCs w:val="14"/>
              </w:rPr>
              <w:t>Geology and soils</w:t>
            </w:r>
          </w:p>
        </w:tc>
        <w:tc>
          <w:tcPr>
            <w:tcW w:w="1170" w:type="dxa"/>
            <w:tcBorders>
              <w:top w:val="single" w:sz="12"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12"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12"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12" w:space="0" w:color="auto"/>
            </w:tcBorders>
          </w:tcPr>
          <w:p w:rsidR="0098401A" w:rsidRPr="009F6C55" w:rsidRDefault="0098401A" w:rsidP="00E560C8">
            <w:pPr>
              <w:jc w:val="right"/>
              <w:rPr>
                <w:sz w:val="14"/>
                <w:szCs w:val="14"/>
              </w:rPr>
            </w:pPr>
            <w:r>
              <w:rPr>
                <w:sz w:val="14"/>
                <w:szCs w:val="14"/>
              </w:rPr>
              <w:t>26.0</w:t>
            </w:r>
          </w:p>
        </w:tc>
        <w:tc>
          <w:tcPr>
            <w:tcW w:w="720" w:type="dxa"/>
            <w:tcBorders>
              <w:top w:val="single" w:sz="12" w:space="0" w:color="auto"/>
            </w:tcBorders>
          </w:tcPr>
          <w:p w:rsidR="0098401A" w:rsidRPr="009F6C55" w:rsidRDefault="00BB4BBB" w:rsidP="00EE4242">
            <w:pPr>
              <w:jc w:val="right"/>
              <w:rPr>
                <w:sz w:val="14"/>
                <w:szCs w:val="14"/>
              </w:rPr>
            </w:pPr>
            <w:r>
              <w:rPr>
                <w:sz w:val="14"/>
                <w:szCs w:val="14"/>
              </w:rPr>
              <w:t>164.</w:t>
            </w:r>
            <w:r w:rsidR="00EE4242">
              <w:rPr>
                <w:sz w:val="14"/>
                <w:szCs w:val="14"/>
              </w:rPr>
              <w:t>6</w:t>
            </w:r>
          </w:p>
        </w:tc>
        <w:tc>
          <w:tcPr>
            <w:tcW w:w="900" w:type="dxa"/>
            <w:tcBorders>
              <w:top w:val="single" w:sz="12" w:space="0" w:color="auto"/>
              <w:right w:val="single" w:sz="12" w:space="0" w:color="auto"/>
            </w:tcBorders>
          </w:tcPr>
          <w:p w:rsidR="0098401A" w:rsidRPr="009F6C55" w:rsidRDefault="0098401A" w:rsidP="00EE4242">
            <w:pPr>
              <w:jc w:val="right"/>
              <w:rPr>
                <w:sz w:val="14"/>
                <w:szCs w:val="14"/>
              </w:rPr>
            </w:pPr>
            <w:r>
              <w:rPr>
                <w:sz w:val="14"/>
                <w:szCs w:val="14"/>
              </w:rPr>
              <w:t xml:space="preserve">$    </w:t>
            </w:r>
            <w:r w:rsidR="00BB4BBB">
              <w:rPr>
                <w:sz w:val="14"/>
                <w:szCs w:val="14"/>
              </w:rPr>
              <w:t>45</w:t>
            </w:r>
            <w:r>
              <w:rPr>
                <w:sz w:val="14"/>
                <w:szCs w:val="14"/>
              </w:rPr>
              <w:t>,</w:t>
            </w:r>
            <w:r w:rsidR="00EE4242">
              <w:rPr>
                <w:sz w:val="14"/>
                <w:szCs w:val="14"/>
              </w:rPr>
              <w:t>100</w:t>
            </w:r>
          </w:p>
        </w:tc>
      </w:tr>
      <w:tr w:rsidR="0098401A" w:rsidTr="00E560C8">
        <w:trPr>
          <w:trHeight w:val="161"/>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18</w:t>
            </w:r>
          </w:p>
        </w:tc>
        <w:tc>
          <w:tcPr>
            <w:tcW w:w="3420" w:type="dxa"/>
            <w:tcBorders>
              <w:top w:val="single" w:sz="4" w:space="0" w:color="auto"/>
            </w:tcBorders>
            <w:vAlign w:val="center"/>
          </w:tcPr>
          <w:p w:rsidR="0098401A" w:rsidRPr="007B5BB8" w:rsidRDefault="0098401A" w:rsidP="00E560C8">
            <w:pPr>
              <w:spacing w:line="264" w:lineRule="auto"/>
              <w:rPr>
                <w:sz w:val="14"/>
                <w:szCs w:val="14"/>
              </w:rPr>
            </w:pPr>
            <w:r w:rsidRPr="007B5BB8">
              <w:rPr>
                <w:color w:val="000000"/>
                <w:sz w:val="14"/>
                <w:szCs w:val="14"/>
              </w:rPr>
              <w:t>Effects of dredging on surface water quality</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26.0</w:t>
            </w:r>
          </w:p>
        </w:tc>
        <w:tc>
          <w:tcPr>
            <w:tcW w:w="720" w:type="dxa"/>
            <w:tcBorders>
              <w:top w:val="single" w:sz="4" w:space="0" w:color="auto"/>
            </w:tcBorders>
          </w:tcPr>
          <w:p w:rsidR="0098401A" w:rsidRPr="009F6C55" w:rsidRDefault="00BB4BBB" w:rsidP="00EE4242">
            <w:pPr>
              <w:jc w:val="right"/>
              <w:rPr>
                <w:sz w:val="14"/>
                <w:szCs w:val="14"/>
              </w:rPr>
            </w:pPr>
            <w:r>
              <w:rPr>
                <w:sz w:val="14"/>
                <w:szCs w:val="14"/>
              </w:rPr>
              <w:t>164</w:t>
            </w:r>
            <w:r w:rsidR="00EE4242">
              <w:rPr>
                <w:sz w:val="14"/>
                <w:szCs w:val="14"/>
              </w:rPr>
              <w:t>.6</w:t>
            </w:r>
          </w:p>
        </w:tc>
        <w:tc>
          <w:tcPr>
            <w:tcW w:w="900" w:type="dxa"/>
            <w:tcBorders>
              <w:top w:val="single" w:sz="4" w:space="0" w:color="auto"/>
              <w:right w:val="single" w:sz="12" w:space="0" w:color="auto"/>
            </w:tcBorders>
          </w:tcPr>
          <w:p w:rsidR="0098401A" w:rsidRPr="009F6C55" w:rsidRDefault="0098401A" w:rsidP="00EE4242">
            <w:pPr>
              <w:jc w:val="right"/>
              <w:rPr>
                <w:sz w:val="14"/>
                <w:szCs w:val="14"/>
              </w:rPr>
            </w:pPr>
            <w:r>
              <w:rPr>
                <w:sz w:val="14"/>
                <w:szCs w:val="14"/>
              </w:rPr>
              <w:t xml:space="preserve">$    </w:t>
            </w:r>
            <w:r w:rsidR="00BB4BBB">
              <w:rPr>
                <w:sz w:val="14"/>
                <w:szCs w:val="14"/>
              </w:rPr>
              <w:t>45</w:t>
            </w:r>
            <w:r>
              <w:rPr>
                <w:sz w:val="14"/>
                <w:szCs w:val="14"/>
              </w:rPr>
              <w:t>,</w:t>
            </w:r>
            <w:r w:rsidR="00EE4242">
              <w:rPr>
                <w:sz w:val="14"/>
                <w:szCs w:val="14"/>
              </w:rPr>
              <w:t>100</w:t>
            </w:r>
          </w:p>
        </w:tc>
      </w:tr>
      <w:tr w:rsidR="0098401A" w:rsidTr="00E560C8">
        <w:trPr>
          <w:trHeight w:val="332"/>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20</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Groundwater contamination and use (non-cooling system impacts)</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8.0</w:t>
            </w:r>
          </w:p>
        </w:tc>
        <w:tc>
          <w:tcPr>
            <w:tcW w:w="720" w:type="dxa"/>
            <w:tcBorders>
              <w:top w:val="single" w:sz="4" w:space="0" w:color="auto"/>
            </w:tcBorders>
          </w:tcPr>
          <w:p w:rsidR="0098401A" w:rsidRPr="009F6C55" w:rsidRDefault="00BB4BBB" w:rsidP="00EE4242">
            <w:pPr>
              <w:jc w:val="right"/>
              <w:rPr>
                <w:sz w:val="14"/>
                <w:szCs w:val="14"/>
              </w:rPr>
            </w:pPr>
            <w:r>
              <w:rPr>
                <w:sz w:val="14"/>
                <w:szCs w:val="14"/>
              </w:rPr>
              <w:t>50</w:t>
            </w:r>
            <w:r w:rsidR="00EE4242">
              <w:rPr>
                <w:sz w:val="14"/>
                <w:szCs w:val="14"/>
              </w:rPr>
              <w:t>.6</w:t>
            </w:r>
          </w:p>
        </w:tc>
        <w:tc>
          <w:tcPr>
            <w:tcW w:w="900" w:type="dxa"/>
            <w:tcBorders>
              <w:top w:val="single" w:sz="4" w:space="0" w:color="auto"/>
              <w:right w:val="single" w:sz="12" w:space="0" w:color="auto"/>
            </w:tcBorders>
          </w:tcPr>
          <w:p w:rsidR="0098401A" w:rsidRPr="009F6C55" w:rsidRDefault="00BB4BBB" w:rsidP="00EE4242">
            <w:pPr>
              <w:jc w:val="right"/>
              <w:rPr>
                <w:sz w:val="14"/>
                <w:szCs w:val="14"/>
              </w:rPr>
            </w:pPr>
            <w:r>
              <w:rPr>
                <w:sz w:val="14"/>
                <w:szCs w:val="14"/>
              </w:rPr>
              <w:t>$</w:t>
            </w:r>
            <w:r w:rsidR="0098401A">
              <w:rPr>
                <w:sz w:val="14"/>
                <w:szCs w:val="14"/>
              </w:rPr>
              <w:t xml:space="preserve">    </w:t>
            </w:r>
            <w:r>
              <w:rPr>
                <w:sz w:val="14"/>
                <w:szCs w:val="14"/>
              </w:rPr>
              <w:t>13,8</w:t>
            </w:r>
            <w:r w:rsidR="00EE4242">
              <w:rPr>
                <w:sz w:val="14"/>
                <w:szCs w:val="14"/>
              </w:rPr>
              <w:t>64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27</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Radionuclides released to groundwater</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104.0</w:t>
            </w:r>
          </w:p>
        </w:tc>
        <w:tc>
          <w:tcPr>
            <w:tcW w:w="720" w:type="dxa"/>
            <w:tcBorders>
              <w:top w:val="single" w:sz="4" w:space="0" w:color="auto"/>
            </w:tcBorders>
          </w:tcPr>
          <w:p w:rsidR="0098401A" w:rsidRPr="009F6C55" w:rsidRDefault="00596063" w:rsidP="00EE4242">
            <w:pPr>
              <w:jc w:val="right"/>
              <w:rPr>
                <w:sz w:val="14"/>
                <w:szCs w:val="14"/>
              </w:rPr>
            </w:pPr>
            <w:r>
              <w:rPr>
                <w:sz w:val="14"/>
                <w:szCs w:val="14"/>
              </w:rPr>
              <w:t>658.</w:t>
            </w:r>
            <w:r w:rsidR="00EE4242">
              <w:rPr>
                <w:sz w:val="14"/>
                <w:szCs w:val="14"/>
              </w:rPr>
              <w:t>3</w:t>
            </w:r>
          </w:p>
        </w:tc>
        <w:tc>
          <w:tcPr>
            <w:tcW w:w="900" w:type="dxa"/>
            <w:tcBorders>
              <w:top w:val="single" w:sz="4" w:space="0" w:color="auto"/>
              <w:right w:val="single" w:sz="12" w:space="0" w:color="auto"/>
            </w:tcBorders>
          </w:tcPr>
          <w:p w:rsidR="0098401A" w:rsidRPr="009F6C55" w:rsidRDefault="0098401A" w:rsidP="00EE4242">
            <w:pPr>
              <w:jc w:val="right"/>
              <w:rPr>
                <w:sz w:val="14"/>
                <w:szCs w:val="14"/>
              </w:rPr>
            </w:pPr>
            <w:r>
              <w:rPr>
                <w:sz w:val="14"/>
                <w:szCs w:val="14"/>
              </w:rPr>
              <w:t xml:space="preserve">$  </w:t>
            </w:r>
            <w:r w:rsidR="00596063">
              <w:rPr>
                <w:sz w:val="14"/>
                <w:szCs w:val="14"/>
              </w:rPr>
              <w:t>180</w:t>
            </w:r>
            <w:r w:rsidR="00EE4242">
              <w:rPr>
                <w:sz w:val="14"/>
                <w:szCs w:val="14"/>
              </w:rPr>
              <w:t>,374</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29</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Exposure of terrestrial organisms to radionuclides</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26.0</w:t>
            </w:r>
          </w:p>
        </w:tc>
        <w:tc>
          <w:tcPr>
            <w:tcW w:w="720" w:type="dxa"/>
            <w:tcBorders>
              <w:top w:val="single" w:sz="4" w:space="0" w:color="auto"/>
            </w:tcBorders>
          </w:tcPr>
          <w:p w:rsidR="0098401A" w:rsidRPr="009F6C55" w:rsidRDefault="00117F9E" w:rsidP="00EE4242">
            <w:pPr>
              <w:jc w:val="right"/>
              <w:rPr>
                <w:sz w:val="14"/>
                <w:szCs w:val="14"/>
              </w:rPr>
            </w:pPr>
            <w:r>
              <w:rPr>
                <w:sz w:val="14"/>
                <w:szCs w:val="14"/>
              </w:rPr>
              <w:t>164.</w:t>
            </w:r>
            <w:r w:rsidR="00EE4242">
              <w:rPr>
                <w:sz w:val="14"/>
                <w:szCs w:val="14"/>
              </w:rPr>
              <w:t>6</w:t>
            </w:r>
          </w:p>
        </w:tc>
        <w:tc>
          <w:tcPr>
            <w:tcW w:w="900" w:type="dxa"/>
            <w:tcBorders>
              <w:top w:val="single" w:sz="4" w:space="0" w:color="auto"/>
              <w:right w:val="single" w:sz="12" w:space="0" w:color="auto"/>
            </w:tcBorders>
          </w:tcPr>
          <w:p w:rsidR="0098401A" w:rsidRPr="009F6C55" w:rsidRDefault="000D3390" w:rsidP="00B551E7">
            <w:pPr>
              <w:jc w:val="right"/>
              <w:rPr>
                <w:sz w:val="14"/>
                <w:szCs w:val="14"/>
              </w:rPr>
            </w:pPr>
            <w:r>
              <w:rPr>
                <w:sz w:val="14"/>
                <w:szCs w:val="14"/>
              </w:rPr>
              <w:t xml:space="preserve">$    </w:t>
            </w:r>
            <w:r w:rsidR="00117F9E">
              <w:rPr>
                <w:sz w:val="14"/>
                <w:szCs w:val="14"/>
              </w:rPr>
              <w:t>45</w:t>
            </w:r>
            <w:r w:rsidR="0098401A">
              <w:rPr>
                <w:sz w:val="14"/>
                <w:szCs w:val="14"/>
              </w:rPr>
              <w:t>,</w:t>
            </w:r>
            <w:r w:rsidR="00117F9E">
              <w:rPr>
                <w:sz w:val="14"/>
                <w:szCs w:val="14"/>
              </w:rPr>
              <w:t>1</w:t>
            </w:r>
            <w:r w:rsidR="00B551E7">
              <w:rPr>
                <w:sz w:val="14"/>
                <w:szCs w:val="14"/>
              </w:rPr>
              <w:t>00</w:t>
            </w:r>
          </w:p>
        </w:tc>
      </w:tr>
      <w:tr w:rsidR="0098401A" w:rsidTr="00E560C8">
        <w:trPr>
          <w:trHeight w:val="359"/>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33</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Water use conflicts with terrestrial resources (plants with cooling ponds or cooling towers using makeup water from a river)**</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3.1</w:t>
            </w:r>
            <w:r w:rsidR="00B45A2A">
              <w:rPr>
                <w:sz w:val="14"/>
                <w:szCs w:val="14"/>
              </w:rPr>
              <w:t>7</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3.1</w:t>
            </w:r>
            <w:r w:rsidR="00B45A2A">
              <w:rPr>
                <w:sz w:val="14"/>
                <w:szCs w:val="14"/>
              </w:rPr>
              <w:t>7</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104.0</w:t>
            </w:r>
          </w:p>
        </w:tc>
        <w:tc>
          <w:tcPr>
            <w:tcW w:w="720" w:type="dxa"/>
            <w:tcBorders>
              <w:top w:val="single" w:sz="4" w:space="0" w:color="auto"/>
            </w:tcBorders>
          </w:tcPr>
          <w:p w:rsidR="0098401A" w:rsidRPr="009F6C55" w:rsidRDefault="007D5230" w:rsidP="00B551E7">
            <w:pPr>
              <w:jc w:val="right"/>
              <w:rPr>
                <w:sz w:val="14"/>
                <w:szCs w:val="14"/>
              </w:rPr>
            </w:pPr>
            <w:r>
              <w:rPr>
                <w:sz w:val="14"/>
                <w:szCs w:val="14"/>
              </w:rPr>
              <w:t>32</w:t>
            </w:r>
            <w:r w:rsidR="000A576E">
              <w:rPr>
                <w:sz w:val="14"/>
                <w:szCs w:val="14"/>
              </w:rPr>
              <w:t>9</w:t>
            </w:r>
            <w:r>
              <w:rPr>
                <w:sz w:val="14"/>
                <w:szCs w:val="14"/>
              </w:rPr>
              <w:t>.</w:t>
            </w:r>
            <w:r w:rsidR="00B551E7">
              <w:rPr>
                <w:sz w:val="14"/>
                <w:szCs w:val="14"/>
              </w:rPr>
              <w:t>7</w:t>
            </w:r>
          </w:p>
        </w:tc>
        <w:tc>
          <w:tcPr>
            <w:tcW w:w="900" w:type="dxa"/>
            <w:tcBorders>
              <w:top w:val="single" w:sz="4" w:space="0" w:color="auto"/>
              <w:right w:val="single" w:sz="12" w:space="0" w:color="auto"/>
            </w:tcBorders>
          </w:tcPr>
          <w:p w:rsidR="0098401A" w:rsidRPr="009F6C55" w:rsidRDefault="0098401A" w:rsidP="00B551E7">
            <w:pPr>
              <w:jc w:val="right"/>
              <w:rPr>
                <w:sz w:val="14"/>
                <w:szCs w:val="14"/>
              </w:rPr>
            </w:pPr>
            <w:r>
              <w:rPr>
                <w:sz w:val="14"/>
                <w:szCs w:val="14"/>
              </w:rPr>
              <w:t xml:space="preserve">$    </w:t>
            </w:r>
            <w:r w:rsidR="007D5230">
              <w:rPr>
                <w:sz w:val="14"/>
                <w:szCs w:val="14"/>
              </w:rPr>
              <w:t>90</w:t>
            </w:r>
            <w:r>
              <w:rPr>
                <w:sz w:val="14"/>
                <w:szCs w:val="14"/>
              </w:rPr>
              <w:t>,</w:t>
            </w:r>
            <w:r w:rsidR="00B551E7">
              <w:rPr>
                <w:sz w:val="14"/>
                <w:szCs w:val="14"/>
              </w:rPr>
              <w:t>338</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44</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Exposure of aquatic organisms to radionuclides</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26.0</w:t>
            </w:r>
          </w:p>
        </w:tc>
        <w:tc>
          <w:tcPr>
            <w:tcW w:w="720" w:type="dxa"/>
            <w:tcBorders>
              <w:top w:val="single" w:sz="4" w:space="0" w:color="auto"/>
            </w:tcBorders>
          </w:tcPr>
          <w:p w:rsidR="0098401A" w:rsidRPr="009F6C55" w:rsidRDefault="00BA4CED" w:rsidP="00B551E7">
            <w:pPr>
              <w:jc w:val="right"/>
              <w:rPr>
                <w:sz w:val="14"/>
                <w:szCs w:val="14"/>
              </w:rPr>
            </w:pPr>
            <w:r>
              <w:rPr>
                <w:sz w:val="14"/>
                <w:szCs w:val="14"/>
              </w:rPr>
              <w:t>164.</w:t>
            </w:r>
            <w:r w:rsidR="00B551E7">
              <w:rPr>
                <w:sz w:val="14"/>
                <w:szCs w:val="14"/>
              </w:rPr>
              <w:t>6</w:t>
            </w:r>
          </w:p>
        </w:tc>
        <w:tc>
          <w:tcPr>
            <w:tcW w:w="900" w:type="dxa"/>
            <w:tcBorders>
              <w:top w:val="single" w:sz="4" w:space="0" w:color="auto"/>
              <w:right w:val="single" w:sz="12" w:space="0" w:color="auto"/>
            </w:tcBorders>
          </w:tcPr>
          <w:p w:rsidR="0098401A" w:rsidRPr="009F6C55" w:rsidRDefault="0098401A" w:rsidP="00B551E7">
            <w:pPr>
              <w:jc w:val="right"/>
              <w:rPr>
                <w:sz w:val="14"/>
                <w:szCs w:val="14"/>
              </w:rPr>
            </w:pPr>
            <w:r>
              <w:rPr>
                <w:sz w:val="14"/>
                <w:szCs w:val="14"/>
              </w:rPr>
              <w:t xml:space="preserve">$   </w:t>
            </w:r>
            <w:r w:rsidR="000D3390">
              <w:rPr>
                <w:sz w:val="14"/>
                <w:szCs w:val="14"/>
              </w:rPr>
              <w:t xml:space="preserve"> </w:t>
            </w:r>
            <w:r w:rsidR="00BA4CED">
              <w:rPr>
                <w:sz w:val="14"/>
                <w:szCs w:val="14"/>
              </w:rPr>
              <w:t>45</w:t>
            </w:r>
            <w:r>
              <w:rPr>
                <w:sz w:val="14"/>
                <w:szCs w:val="14"/>
              </w:rPr>
              <w:t>,</w:t>
            </w:r>
            <w:r w:rsidR="00BA4CED">
              <w:rPr>
                <w:sz w:val="14"/>
                <w:szCs w:val="14"/>
              </w:rPr>
              <w:t>1</w:t>
            </w:r>
            <w:r w:rsidR="00B551E7">
              <w:rPr>
                <w:sz w:val="14"/>
                <w:szCs w:val="14"/>
              </w:rPr>
              <w:t>00</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45</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Effects of dredging on aquatic organisms</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26.0</w:t>
            </w:r>
          </w:p>
        </w:tc>
        <w:tc>
          <w:tcPr>
            <w:tcW w:w="720" w:type="dxa"/>
            <w:tcBorders>
              <w:top w:val="single" w:sz="4" w:space="0" w:color="auto"/>
            </w:tcBorders>
          </w:tcPr>
          <w:p w:rsidR="0098401A" w:rsidRPr="009F6C55" w:rsidRDefault="00BA4CED" w:rsidP="00B551E7">
            <w:pPr>
              <w:jc w:val="right"/>
              <w:rPr>
                <w:sz w:val="14"/>
                <w:szCs w:val="14"/>
              </w:rPr>
            </w:pPr>
            <w:r>
              <w:rPr>
                <w:sz w:val="14"/>
                <w:szCs w:val="14"/>
              </w:rPr>
              <w:t>164.</w:t>
            </w:r>
            <w:r w:rsidR="00B551E7">
              <w:rPr>
                <w:sz w:val="14"/>
                <w:szCs w:val="14"/>
              </w:rPr>
              <w:t>6</w:t>
            </w:r>
          </w:p>
        </w:tc>
        <w:tc>
          <w:tcPr>
            <w:tcW w:w="900" w:type="dxa"/>
            <w:tcBorders>
              <w:top w:val="single" w:sz="4" w:space="0" w:color="auto"/>
              <w:right w:val="single" w:sz="12" w:space="0" w:color="auto"/>
            </w:tcBorders>
          </w:tcPr>
          <w:p w:rsidR="0098401A" w:rsidRPr="009F6C55" w:rsidRDefault="0098401A" w:rsidP="00B551E7">
            <w:pPr>
              <w:jc w:val="right"/>
              <w:rPr>
                <w:sz w:val="14"/>
                <w:szCs w:val="14"/>
              </w:rPr>
            </w:pPr>
            <w:r>
              <w:rPr>
                <w:sz w:val="14"/>
                <w:szCs w:val="14"/>
              </w:rPr>
              <w:t xml:space="preserve">$    </w:t>
            </w:r>
            <w:r w:rsidR="00BA4CED">
              <w:rPr>
                <w:sz w:val="14"/>
                <w:szCs w:val="14"/>
              </w:rPr>
              <w:t>45</w:t>
            </w:r>
            <w:r>
              <w:rPr>
                <w:sz w:val="14"/>
                <w:szCs w:val="14"/>
              </w:rPr>
              <w:t>,</w:t>
            </w:r>
            <w:r w:rsidR="00BA4CED">
              <w:rPr>
                <w:sz w:val="14"/>
                <w:szCs w:val="14"/>
              </w:rPr>
              <w:t>1</w:t>
            </w:r>
            <w:r w:rsidR="00B551E7">
              <w:rPr>
                <w:sz w:val="14"/>
                <w:szCs w:val="14"/>
              </w:rPr>
              <w:t>00</w:t>
            </w:r>
          </w:p>
        </w:tc>
      </w:tr>
      <w:tr w:rsidR="0098401A" w:rsidTr="00E560C8">
        <w:trPr>
          <w:trHeight w:val="476"/>
        </w:trPr>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46</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Water use conflicts with aquatic resources (plants with cooling ponds or cooling towers using makeup water from a river)**</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3.1</w:t>
            </w:r>
            <w:r w:rsidR="00B45A2A">
              <w:rPr>
                <w:sz w:val="14"/>
                <w:szCs w:val="14"/>
              </w:rPr>
              <w:t>7</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3.1</w:t>
            </w:r>
            <w:r w:rsidR="00B45A2A">
              <w:rPr>
                <w:sz w:val="14"/>
                <w:szCs w:val="14"/>
              </w:rPr>
              <w:t>7</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104.0</w:t>
            </w:r>
          </w:p>
        </w:tc>
        <w:tc>
          <w:tcPr>
            <w:tcW w:w="720" w:type="dxa"/>
            <w:tcBorders>
              <w:top w:val="single" w:sz="4" w:space="0" w:color="auto"/>
            </w:tcBorders>
          </w:tcPr>
          <w:p w:rsidR="0098401A" w:rsidRPr="009F6C55" w:rsidRDefault="00BA4CED" w:rsidP="00B551E7">
            <w:pPr>
              <w:jc w:val="right"/>
              <w:rPr>
                <w:sz w:val="14"/>
                <w:szCs w:val="14"/>
              </w:rPr>
            </w:pPr>
            <w:r>
              <w:rPr>
                <w:sz w:val="14"/>
                <w:szCs w:val="14"/>
              </w:rPr>
              <w:t>329.</w:t>
            </w:r>
            <w:r w:rsidR="00B551E7">
              <w:rPr>
                <w:sz w:val="14"/>
                <w:szCs w:val="14"/>
              </w:rPr>
              <w:t>7</w:t>
            </w:r>
          </w:p>
        </w:tc>
        <w:tc>
          <w:tcPr>
            <w:tcW w:w="900" w:type="dxa"/>
            <w:tcBorders>
              <w:top w:val="single" w:sz="4" w:space="0" w:color="auto"/>
              <w:right w:val="single" w:sz="12" w:space="0" w:color="auto"/>
            </w:tcBorders>
          </w:tcPr>
          <w:p w:rsidR="0098401A" w:rsidRPr="009F6C55" w:rsidRDefault="0098401A" w:rsidP="00B551E7">
            <w:pPr>
              <w:jc w:val="right"/>
              <w:rPr>
                <w:sz w:val="14"/>
                <w:szCs w:val="14"/>
              </w:rPr>
            </w:pPr>
            <w:r>
              <w:rPr>
                <w:sz w:val="14"/>
                <w:szCs w:val="14"/>
              </w:rPr>
              <w:t xml:space="preserve">$    </w:t>
            </w:r>
            <w:r w:rsidR="00BA4CED">
              <w:rPr>
                <w:sz w:val="14"/>
                <w:szCs w:val="14"/>
              </w:rPr>
              <w:t>90</w:t>
            </w:r>
            <w:r>
              <w:rPr>
                <w:sz w:val="14"/>
                <w:szCs w:val="14"/>
              </w:rPr>
              <w:t>,</w:t>
            </w:r>
            <w:r w:rsidR="00B551E7">
              <w:rPr>
                <w:sz w:val="14"/>
                <w:szCs w:val="14"/>
              </w:rPr>
              <w:t>338</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48</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Impacts of transmission line right-of-way (ROW) management on aquatic resources</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26.0</w:t>
            </w:r>
          </w:p>
        </w:tc>
        <w:tc>
          <w:tcPr>
            <w:tcW w:w="720" w:type="dxa"/>
            <w:tcBorders>
              <w:top w:val="single" w:sz="4" w:space="0" w:color="auto"/>
            </w:tcBorders>
          </w:tcPr>
          <w:p w:rsidR="0098401A" w:rsidRPr="009F6C55" w:rsidRDefault="00BA4CED" w:rsidP="00B551E7">
            <w:pPr>
              <w:jc w:val="right"/>
              <w:rPr>
                <w:sz w:val="14"/>
                <w:szCs w:val="14"/>
              </w:rPr>
            </w:pPr>
            <w:r>
              <w:rPr>
                <w:sz w:val="14"/>
                <w:szCs w:val="14"/>
              </w:rPr>
              <w:t>164.</w:t>
            </w:r>
            <w:r w:rsidR="00B551E7">
              <w:rPr>
                <w:sz w:val="14"/>
                <w:szCs w:val="14"/>
              </w:rPr>
              <w:t>6</w:t>
            </w:r>
          </w:p>
        </w:tc>
        <w:tc>
          <w:tcPr>
            <w:tcW w:w="900" w:type="dxa"/>
            <w:tcBorders>
              <w:top w:val="single" w:sz="4" w:space="0" w:color="auto"/>
              <w:right w:val="single" w:sz="12" w:space="0" w:color="auto"/>
            </w:tcBorders>
          </w:tcPr>
          <w:p w:rsidR="0098401A" w:rsidRPr="009F6C55" w:rsidRDefault="0098401A" w:rsidP="00B551E7">
            <w:pPr>
              <w:jc w:val="right"/>
              <w:rPr>
                <w:sz w:val="14"/>
                <w:szCs w:val="14"/>
              </w:rPr>
            </w:pPr>
            <w:r>
              <w:rPr>
                <w:sz w:val="14"/>
                <w:szCs w:val="14"/>
              </w:rPr>
              <w:t xml:space="preserve">$    </w:t>
            </w:r>
            <w:r w:rsidR="00BA4CED">
              <w:rPr>
                <w:sz w:val="14"/>
                <w:szCs w:val="14"/>
              </w:rPr>
              <w:t>45</w:t>
            </w:r>
            <w:r>
              <w:rPr>
                <w:sz w:val="14"/>
                <w:szCs w:val="14"/>
              </w:rPr>
              <w:t>,</w:t>
            </w:r>
            <w:r w:rsidR="00BA4CED">
              <w:rPr>
                <w:sz w:val="14"/>
                <w:szCs w:val="14"/>
              </w:rPr>
              <w:t>1</w:t>
            </w:r>
            <w:r w:rsidR="00B551E7">
              <w:rPr>
                <w:sz w:val="14"/>
                <w:szCs w:val="14"/>
              </w:rPr>
              <w:t>00</w:t>
            </w:r>
            <w:r>
              <w:rPr>
                <w:sz w:val="14"/>
                <w:szCs w:val="14"/>
              </w:rPr>
              <w:t xml:space="preserve"> </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50</w:t>
            </w:r>
          </w:p>
        </w:tc>
        <w:tc>
          <w:tcPr>
            <w:tcW w:w="3420" w:type="dxa"/>
            <w:tcBorders>
              <w:top w:val="single" w:sz="4" w:space="0" w:color="auto"/>
            </w:tcBorders>
            <w:vAlign w:val="center"/>
          </w:tcPr>
          <w:p w:rsidR="0098401A" w:rsidRPr="007B5BB8" w:rsidRDefault="0098401A" w:rsidP="00E560C8">
            <w:pPr>
              <w:spacing w:line="216" w:lineRule="auto"/>
              <w:rPr>
                <w:sz w:val="14"/>
                <w:szCs w:val="14"/>
              </w:rPr>
            </w:pPr>
            <w:r w:rsidRPr="007B5BB8">
              <w:rPr>
                <w:color w:val="000000"/>
                <w:sz w:val="14"/>
                <w:szCs w:val="14"/>
              </w:rPr>
              <w:t>Threatened, endangered, and protected species and essential fish habitat*</w:t>
            </w:r>
          </w:p>
        </w:tc>
        <w:tc>
          <w:tcPr>
            <w:tcW w:w="1170" w:type="dxa"/>
            <w:tcBorders>
              <w:top w:val="single" w:sz="4" w:space="0" w:color="auto"/>
            </w:tcBorders>
          </w:tcPr>
          <w:p w:rsidR="0098401A" w:rsidRPr="00965B32" w:rsidRDefault="00AE0D17" w:rsidP="00E560C8">
            <w:pPr>
              <w:jc w:val="right"/>
              <w:rPr>
                <w:sz w:val="14"/>
                <w:szCs w:val="14"/>
              </w:rPr>
            </w:pPr>
            <w:r>
              <w:rPr>
                <w:sz w:val="14"/>
                <w:szCs w:val="14"/>
              </w:rPr>
              <w:t>0.63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0.63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104.0</w:t>
            </w:r>
          </w:p>
        </w:tc>
        <w:tc>
          <w:tcPr>
            <w:tcW w:w="720" w:type="dxa"/>
            <w:tcBorders>
              <w:top w:val="single" w:sz="4" w:space="0" w:color="auto"/>
            </w:tcBorders>
          </w:tcPr>
          <w:p w:rsidR="0098401A" w:rsidRPr="009F6C55" w:rsidRDefault="00BA4CED" w:rsidP="00B551E7">
            <w:pPr>
              <w:jc w:val="right"/>
              <w:rPr>
                <w:sz w:val="14"/>
                <w:szCs w:val="14"/>
              </w:rPr>
            </w:pPr>
            <w:r>
              <w:rPr>
                <w:sz w:val="14"/>
                <w:szCs w:val="14"/>
              </w:rPr>
              <w:t>65.</w:t>
            </w:r>
            <w:r w:rsidR="00B551E7">
              <w:rPr>
                <w:sz w:val="14"/>
                <w:szCs w:val="14"/>
              </w:rPr>
              <w:t>5</w:t>
            </w:r>
          </w:p>
        </w:tc>
        <w:tc>
          <w:tcPr>
            <w:tcW w:w="900" w:type="dxa"/>
            <w:tcBorders>
              <w:top w:val="single" w:sz="4" w:space="0" w:color="auto"/>
              <w:right w:val="single" w:sz="12" w:space="0" w:color="auto"/>
            </w:tcBorders>
          </w:tcPr>
          <w:p w:rsidR="0098401A" w:rsidRPr="009F6C55" w:rsidRDefault="0098401A" w:rsidP="00B551E7">
            <w:pPr>
              <w:jc w:val="center"/>
              <w:rPr>
                <w:sz w:val="14"/>
                <w:szCs w:val="14"/>
              </w:rPr>
            </w:pPr>
            <w:r>
              <w:rPr>
                <w:sz w:val="14"/>
                <w:szCs w:val="14"/>
              </w:rPr>
              <w:t xml:space="preserve">$    </w:t>
            </w:r>
            <w:r w:rsidR="00BA4CED">
              <w:rPr>
                <w:sz w:val="14"/>
                <w:szCs w:val="14"/>
              </w:rPr>
              <w:t>1</w:t>
            </w:r>
            <w:r w:rsidR="00B551E7">
              <w:rPr>
                <w:sz w:val="14"/>
                <w:szCs w:val="14"/>
              </w:rPr>
              <w:t>7</w:t>
            </w:r>
            <w:r>
              <w:rPr>
                <w:sz w:val="14"/>
                <w:szCs w:val="14"/>
              </w:rPr>
              <w:t>,</w:t>
            </w:r>
            <w:r w:rsidR="00B551E7">
              <w:rPr>
                <w:sz w:val="14"/>
                <w:szCs w:val="14"/>
              </w:rPr>
              <w:t>9</w:t>
            </w:r>
            <w:r w:rsidR="00BA4CED">
              <w:rPr>
                <w:sz w:val="14"/>
                <w:szCs w:val="14"/>
              </w:rPr>
              <w:t>47</w:t>
            </w:r>
          </w:p>
        </w:tc>
      </w:tr>
      <w:tr w:rsidR="0098401A" w:rsidTr="00E560C8">
        <w:tc>
          <w:tcPr>
            <w:tcW w:w="648" w:type="dxa"/>
            <w:tcBorders>
              <w:top w:val="single" w:sz="4" w:space="0" w:color="auto"/>
              <w:left w:val="single" w:sz="12" w:space="0" w:color="auto"/>
            </w:tcBorders>
            <w:vAlign w:val="center"/>
          </w:tcPr>
          <w:p w:rsidR="0098401A" w:rsidRPr="00AB4B1C" w:rsidRDefault="0098401A" w:rsidP="00E560C8">
            <w:pPr>
              <w:jc w:val="center"/>
              <w:rPr>
                <w:sz w:val="14"/>
                <w:szCs w:val="14"/>
              </w:rPr>
            </w:pPr>
            <w:r w:rsidRPr="00AB4B1C">
              <w:rPr>
                <w:sz w:val="14"/>
                <w:szCs w:val="14"/>
              </w:rPr>
              <w:t>52</w:t>
            </w:r>
          </w:p>
        </w:tc>
        <w:tc>
          <w:tcPr>
            <w:tcW w:w="3420" w:type="dxa"/>
            <w:tcBorders>
              <w:top w:val="single" w:sz="4" w:space="0" w:color="auto"/>
            </w:tcBorders>
            <w:vAlign w:val="center"/>
          </w:tcPr>
          <w:p w:rsidR="0098401A" w:rsidRPr="007B5BB8" w:rsidRDefault="0098401A" w:rsidP="00E560C8">
            <w:pPr>
              <w:rPr>
                <w:sz w:val="14"/>
                <w:szCs w:val="14"/>
              </w:rPr>
            </w:pPr>
            <w:r w:rsidRPr="007B5BB8">
              <w:rPr>
                <w:color w:val="000000"/>
                <w:sz w:val="14"/>
                <w:szCs w:val="14"/>
              </w:rPr>
              <w:t>Employment and income, recreation and tourism</w:t>
            </w:r>
          </w:p>
        </w:tc>
        <w:tc>
          <w:tcPr>
            <w:tcW w:w="1170" w:type="dxa"/>
            <w:tcBorders>
              <w:top w:val="single" w:sz="4" w:space="0" w:color="auto"/>
            </w:tcBorders>
          </w:tcPr>
          <w:p w:rsidR="0098401A" w:rsidRPr="009F6C55" w:rsidRDefault="00AE0D17" w:rsidP="00E560C8">
            <w:pPr>
              <w:jc w:val="right"/>
              <w:rPr>
                <w:sz w:val="14"/>
                <w:szCs w:val="14"/>
              </w:rPr>
            </w:pPr>
            <w:r>
              <w:rPr>
                <w:sz w:val="14"/>
                <w:szCs w:val="14"/>
              </w:rPr>
              <w:t>6.33</w:t>
            </w:r>
          </w:p>
        </w:tc>
        <w:tc>
          <w:tcPr>
            <w:tcW w:w="1260" w:type="dxa"/>
            <w:tcBorders>
              <w:top w:val="single" w:sz="4" w:space="0" w:color="auto"/>
            </w:tcBorders>
          </w:tcPr>
          <w:p w:rsidR="0098401A" w:rsidRPr="009F6C55" w:rsidRDefault="0098401A" w:rsidP="00E560C8">
            <w:pPr>
              <w:jc w:val="right"/>
              <w:rPr>
                <w:sz w:val="14"/>
                <w:szCs w:val="14"/>
              </w:rPr>
            </w:pPr>
            <w:r>
              <w:rPr>
                <w:sz w:val="14"/>
                <w:szCs w:val="14"/>
              </w:rPr>
              <w:t>1.0</w:t>
            </w:r>
          </w:p>
        </w:tc>
        <w:tc>
          <w:tcPr>
            <w:tcW w:w="990" w:type="dxa"/>
            <w:tcBorders>
              <w:top w:val="single" w:sz="4" w:space="0" w:color="auto"/>
            </w:tcBorders>
          </w:tcPr>
          <w:p w:rsidR="0098401A" w:rsidRPr="009F6C55" w:rsidRDefault="00D20817" w:rsidP="00E560C8">
            <w:pPr>
              <w:jc w:val="right"/>
              <w:rPr>
                <w:sz w:val="14"/>
                <w:szCs w:val="14"/>
              </w:rPr>
            </w:pPr>
            <w:r>
              <w:rPr>
                <w:sz w:val="14"/>
                <w:szCs w:val="14"/>
              </w:rPr>
              <w:t>6.33</w:t>
            </w:r>
          </w:p>
        </w:tc>
        <w:tc>
          <w:tcPr>
            <w:tcW w:w="900" w:type="dxa"/>
            <w:tcBorders>
              <w:top w:val="single" w:sz="4" w:space="0" w:color="auto"/>
            </w:tcBorders>
          </w:tcPr>
          <w:p w:rsidR="0098401A" w:rsidRPr="009F6C55" w:rsidRDefault="0098401A" w:rsidP="00E560C8">
            <w:pPr>
              <w:jc w:val="right"/>
              <w:rPr>
                <w:sz w:val="14"/>
                <w:szCs w:val="14"/>
              </w:rPr>
            </w:pPr>
            <w:r>
              <w:rPr>
                <w:sz w:val="14"/>
                <w:szCs w:val="14"/>
              </w:rPr>
              <w:t>26.0</w:t>
            </w:r>
          </w:p>
        </w:tc>
        <w:tc>
          <w:tcPr>
            <w:tcW w:w="720" w:type="dxa"/>
            <w:tcBorders>
              <w:top w:val="single" w:sz="4" w:space="0" w:color="auto"/>
            </w:tcBorders>
          </w:tcPr>
          <w:p w:rsidR="0098401A" w:rsidRPr="009F6C55" w:rsidRDefault="005D69DF" w:rsidP="00B551E7">
            <w:pPr>
              <w:jc w:val="right"/>
              <w:rPr>
                <w:sz w:val="14"/>
                <w:szCs w:val="14"/>
              </w:rPr>
            </w:pPr>
            <w:r>
              <w:rPr>
                <w:sz w:val="14"/>
                <w:szCs w:val="14"/>
              </w:rPr>
              <w:t>164.</w:t>
            </w:r>
            <w:r w:rsidR="00B551E7">
              <w:rPr>
                <w:sz w:val="14"/>
                <w:szCs w:val="14"/>
              </w:rPr>
              <w:t>6</w:t>
            </w:r>
          </w:p>
        </w:tc>
        <w:tc>
          <w:tcPr>
            <w:tcW w:w="900" w:type="dxa"/>
            <w:tcBorders>
              <w:top w:val="single" w:sz="4" w:space="0" w:color="auto"/>
              <w:right w:val="single" w:sz="12" w:space="0" w:color="auto"/>
            </w:tcBorders>
          </w:tcPr>
          <w:p w:rsidR="0098401A" w:rsidRPr="009F6C55" w:rsidRDefault="0098401A" w:rsidP="00B551E7">
            <w:pPr>
              <w:jc w:val="right"/>
              <w:rPr>
                <w:sz w:val="14"/>
                <w:szCs w:val="14"/>
              </w:rPr>
            </w:pPr>
            <w:r>
              <w:rPr>
                <w:sz w:val="14"/>
                <w:szCs w:val="14"/>
              </w:rPr>
              <w:t xml:space="preserve">$    </w:t>
            </w:r>
            <w:r w:rsidR="005D69DF">
              <w:rPr>
                <w:sz w:val="14"/>
                <w:szCs w:val="14"/>
              </w:rPr>
              <w:t>45</w:t>
            </w:r>
            <w:r>
              <w:rPr>
                <w:sz w:val="14"/>
                <w:szCs w:val="14"/>
              </w:rPr>
              <w:t>,</w:t>
            </w:r>
            <w:r w:rsidR="005D69DF">
              <w:rPr>
                <w:sz w:val="14"/>
                <w:szCs w:val="14"/>
              </w:rPr>
              <w:t>1</w:t>
            </w:r>
            <w:r w:rsidR="00B551E7">
              <w:rPr>
                <w:sz w:val="14"/>
                <w:szCs w:val="14"/>
              </w:rPr>
              <w:t>00</w:t>
            </w:r>
          </w:p>
        </w:tc>
      </w:tr>
      <w:tr w:rsidR="005D69DF" w:rsidTr="00E560C8">
        <w:tc>
          <w:tcPr>
            <w:tcW w:w="648" w:type="dxa"/>
            <w:tcBorders>
              <w:top w:val="single" w:sz="4" w:space="0" w:color="auto"/>
              <w:left w:val="single" w:sz="12" w:space="0" w:color="auto"/>
            </w:tcBorders>
            <w:vAlign w:val="center"/>
          </w:tcPr>
          <w:p w:rsidR="005D69DF" w:rsidRPr="00AB4B1C" w:rsidRDefault="005D69DF" w:rsidP="00E560C8">
            <w:pPr>
              <w:jc w:val="center"/>
              <w:rPr>
                <w:sz w:val="14"/>
                <w:szCs w:val="14"/>
              </w:rPr>
            </w:pPr>
            <w:r w:rsidRPr="00AB4B1C">
              <w:rPr>
                <w:sz w:val="14"/>
                <w:szCs w:val="14"/>
              </w:rPr>
              <w:t>53</w:t>
            </w:r>
          </w:p>
        </w:tc>
        <w:tc>
          <w:tcPr>
            <w:tcW w:w="3420" w:type="dxa"/>
            <w:tcBorders>
              <w:top w:val="single" w:sz="4" w:space="0" w:color="auto"/>
            </w:tcBorders>
            <w:vAlign w:val="center"/>
          </w:tcPr>
          <w:p w:rsidR="005D69DF" w:rsidRPr="007B5BB8" w:rsidRDefault="005D69DF" w:rsidP="00E560C8">
            <w:pPr>
              <w:rPr>
                <w:sz w:val="14"/>
                <w:szCs w:val="14"/>
              </w:rPr>
            </w:pPr>
            <w:r w:rsidRPr="007B5BB8">
              <w:rPr>
                <w:color w:val="000000"/>
                <w:sz w:val="14"/>
                <w:szCs w:val="14"/>
              </w:rPr>
              <w:t>Tax revenues</w:t>
            </w:r>
          </w:p>
        </w:tc>
        <w:tc>
          <w:tcPr>
            <w:tcW w:w="1170" w:type="dxa"/>
            <w:tcBorders>
              <w:top w:val="single" w:sz="4" w:space="0" w:color="auto"/>
            </w:tcBorders>
          </w:tcPr>
          <w:p w:rsidR="005D69DF" w:rsidRPr="009F6C55" w:rsidRDefault="005D69DF" w:rsidP="00E560C8">
            <w:pPr>
              <w:jc w:val="right"/>
              <w:rPr>
                <w:sz w:val="14"/>
                <w:szCs w:val="14"/>
              </w:rPr>
            </w:pPr>
            <w:r>
              <w:rPr>
                <w:sz w:val="14"/>
                <w:szCs w:val="14"/>
              </w:rPr>
              <w:t>6.33</w:t>
            </w:r>
          </w:p>
        </w:tc>
        <w:tc>
          <w:tcPr>
            <w:tcW w:w="1260" w:type="dxa"/>
            <w:tcBorders>
              <w:top w:val="single" w:sz="4" w:space="0" w:color="auto"/>
            </w:tcBorders>
          </w:tcPr>
          <w:p w:rsidR="005D69DF" w:rsidRPr="009F6C55" w:rsidRDefault="005D69DF" w:rsidP="00E560C8">
            <w:pPr>
              <w:jc w:val="right"/>
              <w:rPr>
                <w:sz w:val="14"/>
                <w:szCs w:val="14"/>
              </w:rPr>
            </w:pPr>
            <w:r>
              <w:rPr>
                <w:sz w:val="14"/>
                <w:szCs w:val="14"/>
              </w:rPr>
              <w:t>1.0</w:t>
            </w:r>
          </w:p>
        </w:tc>
        <w:tc>
          <w:tcPr>
            <w:tcW w:w="990" w:type="dxa"/>
            <w:tcBorders>
              <w:top w:val="single" w:sz="4" w:space="0" w:color="auto"/>
            </w:tcBorders>
          </w:tcPr>
          <w:p w:rsidR="005D69DF" w:rsidRPr="009F6C55" w:rsidRDefault="005D69DF" w:rsidP="00E560C8">
            <w:pPr>
              <w:jc w:val="right"/>
              <w:rPr>
                <w:sz w:val="14"/>
                <w:szCs w:val="14"/>
              </w:rPr>
            </w:pPr>
            <w:r>
              <w:rPr>
                <w:sz w:val="14"/>
                <w:szCs w:val="14"/>
              </w:rPr>
              <w:t>6.33</w:t>
            </w:r>
          </w:p>
        </w:tc>
        <w:tc>
          <w:tcPr>
            <w:tcW w:w="900" w:type="dxa"/>
            <w:tcBorders>
              <w:top w:val="single" w:sz="4" w:space="0" w:color="auto"/>
            </w:tcBorders>
          </w:tcPr>
          <w:p w:rsidR="005D69DF" w:rsidRPr="009F6C55" w:rsidRDefault="005D69DF" w:rsidP="00E560C8">
            <w:pPr>
              <w:jc w:val="right"/>
              <w:rPr>
                <w:sz w:val="14"/>
                <w:szCs w:val="14"/>
              </w:rPr>
            </w:pPr>
            <w:r>
              <w:rPr>
                <w:sz w:val="14"/>
                <w:szCs w:val="14"/>
              </w:rPr>
              <w:t>26.0</w:t>
            </w:r>
          </w:p>
        </w:tc>
        <w:tc>
          <w:tcPr>
            <w:tcW w:w="720" w:type="dxa"/>
            <w:tcBorders>
              <w:top w:val="single" w:sz="4" w:space="0" w:color="auto"/>
            </w:tcBorders>
          </w:tcPr>
          <w:p w:rsidR="005D69DF" w:rsidRPr="009F6C55" w:rsidRDefault="005D69DF" w:rsidP="00B551E7">
            <w:pPr>
              <w:jc w:val="right"/>
              <w:rPr>
                <w:sz w:val="14"/>
                <w:szCs w:val="14"/>
              </w:rPr>
            </w:pPr>
            <w:r>
              <w:rPr>
                <w:sz w:val="14"/>
                <w:szCs w:val="14"/>
              </w:rPr>
              <w:t>164.</w:t>
            </w:r>
            <w:r w:rsidR="00B551E7">
              <w:rPr>
                <w:sz w:val="14"/>
                <w:szCs w:val="14"/>
              </w:rPr>
              <w:t>6</w:t>
            </w:r>
          </w:p>
        </w:tc>
        <w:tc>
          <w:tcPr>
            <w:tcW w:w="900" w:type="dxa"/>
            <w:tcBorders>
              <w:top w:val="single" w:sz="4" w:space="0" w:color="auto"/>
              <w:right w:val="single" w:sz="12" w:space="0" w:color="auto"/>
            </w:tcBorders>
          </w:tcPr>
          <w:p w:rsidR="005D69DF" w:rsidRPr="009F6C55" w:rsidRDefault="005D69DF" w:rsidP="00D237C9">
            <w:pPr>
              <w:jc w:val="right"/>
              <w:rPr>
                <w:sz w:val="14"/>
                <w:szCs w:val="14"/>
              </w:rPr>
            </w:pPr>
            <w:r>
              <w:rPr>
                <w:sz w:val="14"/>
                <w:szCs w:val="14"/>
              </w:rPr>
              <w:t xml:space="preserve">$    </w:t>
            </w:r>
            <w:r w:rsidR="00B551E7">
              <w:rPr>
                <w:sz w:val="14"/>
                <w:szCs w:val="14"/>
              </w:rPr>
              <w:t>45,100</w:t>
            </w:r>
          </w:p>
        </w:tc>
      </w:tr>
      <w:tr w:rsidR="00624F83" w:rsidTr="00E560C8">
        <w:tc>
          <w:tcPr>
            <w:tcW w:w="648" w:type="dxa"/>
            <w:tcBorders>
              <w:top w:val="single" w:sz="4" w:space="0" w:color="auto"/>
              <w:left w:val="single" w:sz="12" w:space="0" w:color="auto"/>
            </w:tcBorders>
            <w:vAlign w:val="center"/>
          </w:tcPr>
          <w:p w:rsidR="00624F83" w:rsidRPr="00AB4B1C" w:rsidRDefault="00624F83" w:rsidP="00E560C8">
            <w:pPr>
              <w:jc w:val="center"/>
              <w:rPr>
                <w:sz w:val="14"/>
                <w:szCs w:val="14"/>
              </w:rPr>
            </w:pPr>
            <w:r w:rsidRPr="00AB4B1C">
              <w:rPr>
                <w:sz w:val="14"/>
                <w:szCs w:val="14"/>
              </w:rPr>
              <w:t>59</w:t>
            </w:r>
          </w:p>
        </w:tc>
        <w:tc>
          <w:tcPr>
            <w:tcW w:w="3420" w:type="dxa"/>
            <w:tcBorders>
              <w:top w:val="single" w:sz="4" w:space="0" w:color="auto"/>
            </w:tcBorders>
            <w:vAlign w:val="center"/>
          </w:tcPr>
          <w:p w:rsidR="00624F83" w:rsidRPr="007B5BB8" w:rsidRDefault="00624F83" w:rsidP="00E560C8">
            <w:pPr>
              <w:rPr>
                <w:sz w:val="14"/>
                <w:szCs w:val="14"/>
              </w:rPr>
            </w:pPr>
            <w:r w:rsidRPr="007B5BB8">
              <w:rPr>
                <w:color w:val="000000"/>
                <w:sz w:val="14"/>
                <w:szCs w:val="14"/>
              </w:rPr>
              <w:t>Human health impact from chemicals</w:t>
            </w:r>
          </w:p>
        </w:tc>
        <w:tc>
          <w:tcPr>
            <w:tcW w:w="1170" w:type="dxa"/>
            <w:tcBorders>
              <w:top w:val="single" w:sz="4" w:space="0" w:color="auto"/>
            </w:tcBorders>
          </w:tcPr>
          <w:p w:rsidR="00624F83" w:rsidRPr="009F6C55" w:rsidRDefault="00624F83" w:rsidP="00E560C8">
            <w:pPr>
              <w:jc w:val="right"/>
              <w:rPr>
                <w:sz w:val="14"/>
                <w:szCs w:val="14"/>
              </w:rPr>
            </w:pPr>
            <w:r>
              <w:rPr>
                <w:sz w:val="14"/>
                <w:szCs w:val="14"/>
              </w:rPr>
              <w:t>6.33</w:t>
            </w:r>
          </w:p>
        </w:tc>
        <w:tc>
          <w:tcPr>
            <w:tcW w:w="1260" w:type="dxa"/>
            <w:tcBorders>
              <w:top w:val="single" w:sz="4" w:space="0" w:color="auto"/>
            </w:tcBorders>
          </w:tcPr>
          <w:p w:rsidR="00624F83" w:rsidRPr="009F6C55" w:rsidRDefault="00624F83" w:rsidP="00E560C8">
            <w:pPr>
              <w:jc w:val="right"/>
              <w:rPr>
                <w:sz w:val="14"/>
                <w:szCs w:val="14"/>
              </w:rPr>
            </w:pPr>
            <w:r>
              <w:rPr>
                <w:sz w:val="14"/>
                <w:szCs w:val="14"/>
              </w:rPr>
              <w:t>1.0</w:t>
            </w:r>
          </w:p>
        </w:tc>
        <w:tc>
          <w:tcPr>
            <w:tcW w:w="990" w:type="dxa"/>
            <w:tcBorders>
              <w:top w:val="single" w:sz="4" w:space="0" w:color="auto"/>
            </w:tcBorders>
          </w:tcPr>
          <w:p w:rsidR="00624F83" w:rsidRPr="009F6C55" w:rsidRDefault="00624F83" w:rsidP="00E560C8">
            <w:pPr>
              <w:jc w:val="right"/>
              <w:rPr>
                <w:sz w:val="14"/>
                <w:szCs w:val="14"/>
              </w:rPr>
            </w:pPr>
            <w:r>
              <w:rPr>
                <w:sz w:val="14"/>
                <w:szCs w:val="14"/>
              </w:rPr>
              <w:t>6.33</w:t>
            </w:r>
          </w:p>
        </w:tc>
        <w:tc>
          <w:tcPr>
            <w:tcW w:w="900" w:type="dxa"/>
            <w:tcBorders>
              <w:top w:val="single" w:sz="4" w:space="0" w:color="auto"/>
            </w:tcBorders>
          </w:tcPr>
          <w:p w:rsidR="00624F83" w:rsidRPr="009F6C55" w:rsidRDefault="00624F83" w:rsidP="00E560C8">
            <w:pPr>
              <w:jc w:val="right"/>
              <w:rPr>
                <w:sz w:val="14"/>
                <w:szCs w:val="14"/>
              </w:rPr>
            </w:pPr>
            <w:r>
              <w:rPr>
                <w:sz w:val="14"/>
                <w:szCs w:val="14"/>
              </w:rPr>
              <w:t>26.0</w:t>
            </w:r>
          </w:p>
        </w:tc>
        <w:tc>
          <w:tcPr>
            <w:tcW w:w="720" w:type="dxa"/>
            <w:tcBorders>
              <w:top w:val="single" w:sz="4" w:space="0" w:color="auto"/>
            </w:tcBorders>
          </w:tcPr>
          <w:p w:rsidR="00624F83" w:rsidRPr="009F6C55" w:rsidRDefault="00624F83" w:rsidP="00D237C9">
            <w:pPr>
              <w:jc w:val="right"/>
              <w:rPr>
                <w:sz w:val="14"/>
                <w:szCs w:val="14"/>
              </w:rPr>
            </w:pPr>
            <w:r>
              <w:rPr>
                <w:sz w:val="14"/>
                <w:szCs w:val="14"/>
              </w:rPr>
              <w:t>164.</w:t>
            </w:r>
            <w:r w:rsidR="00B551E7">
              <w:rPr>
                <w:sz w:val="14"/>
                <w:szCs w:val="14"/>
              </w:rPr>
              <w:t>6</w:t>
            </w:r>
          </w:p>
        </w:tc>
        <w:tc>
          <w:tcPr>
            <w:tcW w:w="900" w:type="dxa"/>
            <w:tcBorders>
              <w:top w:val="single" w:sz="4" w:space="0" w:color="auto"/>
              <w:right w:val="single" w:sz="12" w:space="0" w:color="auto"/>
            </w:tcBorders>
          </w:tcPr>
          <w:p w:rsidR="00624F83" w:rsidRPr="009F6C55" w:rsidRDefault="00624F83" w:rsidP="00B551E7">
            <w:pPr>
              <w:jc w:val="right"/>
              <w:rPr>
                <w:sz w:val="14"/>
                <w:szCs w:val="14"/>
              </w:rPr>
            </w:pPr>
            <w:r>
              <w:rPr>
                <w:sz w:val="14"/>
                <w:szCs w:val="14"/>
              </w:rPr>
              <w:t>$    45,1</w:t>
            </w:r>
            <w:r w:rsidR="00B551E7">
              <w:rPr>
                <w:sz w:val="14"/>
                <w:szCs w:val="14"/>
              </w:rPr>
              <w:t>00</w:t>
            </w:r>
          </w:p>
        </w:tc>
      </w:tr>
      <w:tr w:rsidR="00624F83" w:rsidTr="00E560C8">
        <w:tc>
          <w:tcPr>
            <w:tcW w:w="648" w:type="dxa"/>
            <w:tcBorders>
              <w:top w:val="single" w:sz="4" w:space="0" w:color="auto"/>
              <w:left w:val="single" w:sz="12" w:space="0" w:color="auto"/>
            </w:tcBorders>
            <w:vAlign w:val="center"/>
          </w:tcPr>
          <w:p w:rsidR="00624F83" w:rsidRPr="00AB4B1C" w:rsidRDefault="00624F83" w:rsidP="00E560C8">
            <w:pPr>
              <w:jc w:val="center"/>
              <w:rPr>
                <w:sz w:val="14"/>
                <w:szCs w:val="14"/>
              </w:rPr>
            </w:pPr>
            <w:r w:rsidRPr="00AB4B1C">
              <w:rPr>
                <w:sz w:val="14"/>
                <w:szCs w:val="14"/>
              </w:rPr>
              <w:t>63</w:t>
            </w:r>
          </w:p>
        </w:tc>
        <w:tc>
          <w:tcPr>
            <w:tcW w:w="3420" w:type="dxa"/>
            <w:tcBorders>
              <w:top w:val="single" w:sz="4" w:space="0" w:color="auto"/>
            </w:tcBorders>
            <w:vAlign w:val="center"/>
          </w:tcPr>
          <w:p w:rsidR="00624F83" w:rsidRPr="007B5BB8" w:rsidRDefault="00624F83" w:rsidP="00E560C8">
            <w:pPr>
              <w:rPr>
                <w:sz w:val="14"/>
                <w:szCs w:val="14"/>
              </w:rPr>
            </w:pPr>
            <w:r w:rsidRPr="007B5BB8">
              <w:rPr>
                <w:color w:val="000000"/>
                <w:sz w:val="14"/>
                <w:szCs w:val="14"/>
              </w:rPr>
              <w:t>Physical occupational hazards</w:t>
            </w:r>
          </w:p>
        </w:tc>
        <w:tc>
          <w:tcPr>
            <w:tcW w:w="1170" w:type="dxa"/>
            <w:tcBorders>
              <w:top w:val="single" w:sz="4" w:space="0" w:color="auto"/>
            </w:tcBorders>
          </w:tcPr>
          <w:p w:rsidR="00624F83" w:rsidRPr="009F6C55" w:rsidRDefault="00624F83" w:rsidP="00E560C8">
            <w:pPr>
              <w:jc w:val="right"/>
              <w:rPr>
                <w:sz w:val="14"/>
                <w:szCs w:val="14"/>
              </w:rPr>
            </w:pPr>
            <w:r>
              <w:rPr>
                <w:sz w:val="14"/>
                <w:szCs w:val="14"/>
              </w:rPr>
              <w:t>6.33</w:t>
            </w:r>
          </w:p>
        </w:tc>
        <w:tc>
          <w:tcPr>
            <w:tcW w:w="1260" w:type="dxa"/>
            <w:tcBorders>
              <w:top w:val="single" w:sz="4" w:space="0" w:color="auto"/>
            </w:tcBorders>
          </w:tcPr>
          <w:p w:rsidR="00624F83" w:rsidRPr="009F6C55" w:rsidRDefault="00624F83" w:rsidP="00E560C8">
            <w:pPr>
              <w:jc w:val="right"/>
              <w:rPr>
                <w:sz w:val="14"/>
                <w:szCs w:val="14"/>
              </w:rPr>
            </w:pPr>
            <w:r>
              <w:rPr>
                <w:sz w:val="14"/>
                <w:szCs w:val="14"/>
              </w:rPr>
              <w:t>1.0</w:t>
            </w:r>
          </w:p>
        </w:tc>
        <w:tc>
          <w:tcPr>
            <w:tcW w:w="990" w:type="dxa"/>
            <w:tcBorders>
              <w:top w:val="single" w:sz="4" w:space="0" w:color="auto"/>
            </w:tcBorders>
          </w:tcPr>
          <w:p w:rsidR="00624F83" w:rsidRPr="009F6C55" w:rsidRDefault="00624F83" w:rsidP="00E560C8">
            <w:pPr>
              <w:jc w:val="right"/>
              <w:rPr>
                <w:sz w:val="14"/>
                <w:szCs w:val="14"/>
              </w:rPr>
            </w:pPr>
            <w:r>
              <w:rPr>
                <w:sz w:val="14"/>
                <w:szCs w:val="14"/>
              </w:rPr>
              <w:t>6.33</w:t>
            </w:r>
          </w:p>
        </w:tc>
        <w:tc>
          <w:tcPr>
            <w:tcW w:w="900" w:type="dxa"/>
            <w:tcBorders>
              <w:top w:val="single" w:sz="4" w:space="0" w:color="auto"/>
            </w:tcBorders>
          </w:tcPr>
          <w:p w:rsidR="00624F83" w:rsidRPr="009F6C55" w:rsidRDefault="00624F83" w:rsidP="00E560C8">
            <w:pPr>
              <w:jc w:val="right"/>
              <w:rPr>
                <w:sz w:val="14"/>
                <w:szCs w:val="14"/>
              </w:rPr>
            </w:pPr>
            <w:r>
              <w:rPr>
                <w:sz w:val="14"/>
                <w:szCs w:val="14"/>
              </w:rPr>
              <w:t>26.0</w:t>
            </w:r>
          </w:p>
        </w:tc>
        <w:tc>
          <w:tcPr>
            <w:tcW w:w="720" w:type="dxa"/>
            <w:tcBorders>
              <w:top w:val="single" w:sz="4" w:space="0" w:color="auto"/>
            </w:tcBorders>
          </w:tcPr>
          <w:p w:rsidR="00624F83" w:rsidRPr="009F6C55" w:rsidRDefault="00624F83" w:rsidP="00B551E7">
            <w:pPr>
              <w:jc w:val="right"/>
              <w:rPr>
                <w:sz w:val="14"/>
                <w:szCs w:val="14"/>
              </w:rPr>
            </w:pPr>
            <w:r>
              <w:rPr>
                <w:sz w:val="14"/>
                <w:szCs w:val="14"/>
              </w:rPr>
              <w:t>164.</w:t>
            </w:r>
            <w:r w:rsidR="00B551E7">
              <w:rPr>
                <w:sz w:val="14"/>
                <w:szCs w:val="14"/>
              </w:rPr>
              <w:t>6</w:t>
            </w:r>
          </w:p>
        </w:tc>
        <w:tc>
          <w:tcPr>
            <w:tcW w:w="900" w:type="dxa"/>
            <w:tcBorders>
              <w:top w:val="single" w:sz="4" w:space="0" w:color="auto"/>
              <w:right w:val="single" w:sz="12" w:space="0" w:color="auto"/>
            </w:tcBorders>
          </w:tcPr>
          <w:p w:rsidR="00624F83" w:rsidRPr="009F6C55" w:rsidRDefault="00624F83" w:rsidP="00D237C9">
            <w:pPr>
              <w:jc w:val="right"/>
              <w:rPr>
                <w:sz w:val="14"/>
                <w:szCs w:val="14"/>
              </w:rPr>
            </w:pPr>
            <w:r>
              <w:rPr>
                <w:sz w:val="14"/>
                <w:szCs w:val="14"/>
              </w:rPr>
              <w:t xml:space="preserve">$    </w:t>
            </w:r>
            <w:r w:rsidR="00B551E7">
              <w:rPr>
                <w:sz w:val="14"/>
                <w:szCs w:val="14"/>
              </w:rPr>
              <w:t>45,100</w:t>
            </w:r>
          </w:p>
        </w:tc>
      </w:tr>
      <w:tr w:rsidR="00624F83" w:rsidTr="00E560C8">
        <w:tc>
          <w:tcPr>
            <w:tcW w:w="648" w:type="dxa"/>
            <w:tcBorders>
              <w:top w:val="single" w:sz="4" w:space="0" w:color="auto"/>
              <w:left w:val="single" w:sz="12" w:space="0" w:color="auto"/>
            </w:tcBorders>
            <w:vAlign w:val="center"/>
          </w:tcPr>
          <w:p w:rsidR="00624F83" w:rsidRPr="00AB4B1C" w:rsidRDefault="00624F83" w:rsidP="00E560C8">
            <w:pPr>
              <w:jc w:val="center"/>
              <w:rPr>
                <w:sz w:val="14"/>
                <w:szCs w:val="14"/>
              </w:rPr>
            </w:pPr>
            <w:r w:rsidRPr="00AB4B1C">
              <w:rPr>
                <w:sz w:val="14"/>
                <w:szCs w:val="14"/>
              </w:rPr>
              <w:t>67</w:t>
            </w:r>
          </w:p>
        </w:tc>
        <w:tc>
          <w:tcPr>
            <w:tcW w:w="3420" w:type="dxa"/>
            <w:tcBorders>
              <w:top w:val="single" w:sz="4" w:space="0" w:color="auto"/>
            </w:tcBorders>
            <w:vAlign w:val="center"/>
          </w:tcPr>
          <w:p w:rsidR="00624F83" w:rsidRPr="007B5BB8" w:rsidRDefault="00624F83" w:rsidP="00E560C8">
            <w:pPr>
              <w:rPr>
                <w:sz w:val="14"/>
                <w:szCs w:val="14"/>
              </w:rPr>
            </w:pPr>
            <w:r w:rsidRPr="007B5BB8">
              <w:rPr>
                <w:color w:val="000000"/>
                <w:sz w:val="14"/>
                <w:szCs w:val="14"/>
              </w:rPr>
              <w:t>Minority and low-income populations</w:t>
            </w:r>
          </w:p>
        </w:tc>
        <w:tc>
          <w:tcPr>
            <w:tcW w:w="1170" w:type="dxa"/>
            <w:tcBorders>
              <w:top w:val="single" w:sz="4" w:space="0" w:color="auto"/>
            </w:tcBorders>
          </w:tcPr>
          <w:p w:rsidR="00624F83" w:rsidRPr="009F6C55" w:rsidRDefault="00624F83" w:rsidP="00E560C8">
            <w:pPr>
              <w:jc w:val="right"/>
              <w:rPr>
                <w:sz w:val="14"/>
                <w:szCs w:val="14"/>
              </w:rPr>
            </w:pPr>
            <w:r>
              <w:rPr>
                <w:sz w:val="14"/>
                <w:szCs w:val="14"/>
              </w:rPr>
              <w:t>6.33</w:t>
            </w:r>
          </w:p>
        </w:tc>
        <w:tc>
          <w:tcPr>
            <w:tcW w:w="1260" w:type="dxa"/>
            <w:tcBorders>
              <w:top w:val="single" w:sz="4" w:space="0" w:color="auto"/>
            </w:tcBorders>
          </w:tcPr>
          <w:p w:rsidR="00624F83" w:rsidRPr="009F6C55" w:rsidRDefault="00624F83" w:rsidP="00E560C8">
            <w:pPr>
              <w:jc w:val="right"/>
              <w:rPr>
                <w:sz w:val="14"/>
                <w:szCs w:val="14"/>
              </w:rPr>
            </w:pPr>
            <w:r>
              <w:rPr>
                <w:sz w:val="14"/>
                <w:szCs w:val="14"/>
              </w:rPr>
              <w:t>1.0</w:t>
            </w:r>
          </w:p>
        </w:tc>
        <w:tc>
          <w:tcPr>
            <w:tcW w:w="990" w:type="dxa"/>
            <w:tcBorders>
              <w:top w:val="single" w:sz="4" w:space="0" w:color="auto"/>
            </w:tcBorders>
          </w:tcPr>
          <w:p w:rsidR="00624F83" w:rsidRPr="009F6C55" w:rsidRDefault="00624F83" w:rsidP="00E560C8">
            <w:pPr>
              <w:jc w:val="right"/>
              <w:rPr>
                <w:sz w:val="14"/>
                <w:szCs w:val="14"/>
              </w:rPr>
            </w:pPr>
            <w:r>
              <w:rPr>
                <w:sz w:val="14"/>
                <w:szCs w:val="14"/>
              </w:rPr>
              <w:t>6.33</w:t>
            </w:r>
          </w:p>
        </w:tc>
        <w:tc>
          <w:tcPr>
            <w:tcW w:w="900" w:type="dxa"/>
            <w:tcBorders>
              <w:top w:val="single" w:sz="4" w:space="0" w:color="auto"/>
            </w:tcBorders>
          </w:tcPr>
          <w:p w:rsidR="00624F83" w:rsidRPr="009F6C55" w:rsidRDefault="00624F83" w:rsidP="00E560C8">
            <w:pPr>
              <w:jc w:val="right"/>
              <w:rPr>
                <w:sz w:val="14"/>
                <w:szCs w:val="14"/>
              </w:rPr>
            </w:pPr>
            <w:r>
              <w:rPr>
                <w:sz w:val="14"/>
                <w:szCs w:val="14"/>
              </w:rPr>
              <w:t>104.0</w:t>
            </w:r>
          </w:p>
        </w:tc>
        <w:tc>
          <w:tcPr>
            <w:tcW w:w="720" w:type="dxa"/>
            <w:tcBorders>
              <w:top w:val="single" w:sz="4" w:space="0" w:color="auto"/>
            </w:tcBorders>
          </w:tcPr>
          <w:p w:rsidR="00624F83" w:rsidRPr="009F6C55" w:rsidRDefault="00624F83" w:rsidP="00B551E7">
            <w:pPr>
              <w:jc w:val="right"/>
              <w:rPr>
                <w:sz w:val="14"/>
                <w:szCs w:val="14"/>
              </w:rPr>
            </w:pPr>
            <w:r>
              <w:rPr>
                <w:sz w:val="14"/>
                <w:szCs w:val="14"/>
              </w:rPr>
              <w:t>658.</w:t>
            </w:r>
            <w:r w:rsidR="00B551E7">
              <w:rPr>
                <w:sz w:val="14"/>
                <w:szCs w:val="14"/>
              </w:rPr>
              <w:t>3</w:t>
            </w:r>
          </w:p>
        </w:tc>
        <w:tc>
          <w:tcPr>
            <w:tcW w:w="900" w:type="dxa"/>
            <w:tcBorders>
              <w:top w:val="single" w:sz="4" w:space="0" w:color="auto"/>
              <w:right w:val="single" w:sz="12" w:space="0" w:color="auto"/>
            </w:tcBorders>
          </w:tcPr>
          <w:p w:rsidR="00624F83" w:rsidRPr="009F6C55" w:rsidRDefault="00624F83" w:rsidP="00B551E7">
            <w:pPr>
              <w:jc w:val="right"/>
              <w:rPr>
                <w:sz w:val="14"/>
                <w:szCs w:val="14"/>
              </w:rPr>
            </w:pPr>
            <w:r>
              <w:rPr>
                <w:sz w:val="14"/>
                <w:szCs w:val="14"/>
              </w:rPr>
              <w:t>$  180,</w:t>
            </w:r>
            <w:r w:rsidR="00B551E7">
              <w:rPr>
                <w:sz w:val="14"/>
                <w:szCs w:val="14"/>
              </w:rPr>
              <w:t>374</w:t>
            </w:r>
          </w:p>
        </w:tc>
      </w:tr>
      <w:tr w:rsidR="00624F83" w:rsidTr="00E560C8">
        <w:tc>
          <w:tcPr>
            <w:tcW w:w="648" w:type="dxa"/>
            <w:tcBorders>
              <w:top w:val="single" w:sz="4" w:space="0" w:color="auto"/>
              <w:left w:val="single" w:sz="12" w:space="0" w:color="auto"/>
              <w:bottom w:val="double" w:sz="4" w:space="0" w:color="auto"/>
            </w:tcBorders>
            <w:vAlign w:val="center"/>
          </w:tcPr>
          <w:p w:rsidR="00624F83" w:rsidRPr="00AB4B1C" w:rsidRDefault="00624F83" w:rsidP="00E560C8">
            <w:pPr>
              <w:jc w:val="center"/>
              <w:rPr>
                <w:sz w:val="14"/>
                <w:szCs w:val="14"/>
              </w:rPr>
            </w:pPr>
            <w:r w:rsidRPr="00AB4B1C">
              <w:rPr>
                <w:sz w:val="14"/>
                <w:szCs w:val="14"/>
              </w:rPr>
              <w:t>73</w:t>
            </w:r>
          </w:p>
        </w:tc>
        <w:tc>
          <w:tcPr>
            <w:tcW w:w="3420" w:type="dxa"/>
            <w:tcBorders>
              <w:top w:val="single" w:sz="4" w:space="0" w:color="auto"/>
              <w:bottom w:val="double" w:sz="4" w:space="0" w:color="auto"/>
            </w:tcBorders>
            <w:vAlign w:val="center"/>
          </w:tcPr>
          <w:p w:rsidR="00624F83" w:rsidRPr="007B5BB8" w:rsidRDefault="00624F83" w:rsidP="00E560C8">
            <w:pPr>
              <w:rPr>
                <w:sz w:val="14"/>
                <w:szCs w:val="14"/>
              </w:rPr>
            </w:pPr>
            <w:r w:rsidRPr="007B5BB8">
              <w:rPr>
                <w:color w:val="000000"/>
                <w:sz w:val="14"/>
                <w:szCs w:val="14"/>
              </w:rPr>
              <w:t>Cumulative impacts</w:t>
            </w:r>
          </w:p>
        </w:tc>
        <w:tc>
          <w:tcPr>
            <w:tcW w:w="1170" w:type="dxa"/>
            <w:tcBorders>
              <w:top w:val="single" w:sz="4" w:space="0" w:color="auto"/>
              <w:bottom w:val="double" w:sz="4" w:space="0" w:color="auto"/>
            </w:tcBorders>
          </w:tcPr>
          <w:p w:rsidR="00624F83" w:rsidRPr="00924532" w:rsidRDefault="00624F83" w:rsidP="00E560C8">
            <w:pPr>
              <w:jc w:val="right"/>
              <w:rPr>
                <w:sz w:val="14"/>
                <w:szCs w:val="14"/>
              </w:rPr>
            </w:pPr>
            <w:r>
              <w:rPr>
                <w:sz w:val="14"/>
                <w:szCs w:val="14"/>
              </w:rPr>
              <w:t>6.33</w:t>
            </w:r>
          </w:p>
        </w:tc>
        <w:tc>
          <w:tcPr>
            <w:tcW w:w="1260" w:type="dxa"/>
            <w:tcBorders>
              <w:top w:val="single" w:sz="4" w:space="0" w:color="auto"/>
              <w:bottom w:val="double" w:sz="4" w:space="0" w:color="auto"/>
            </w:tcBorders>
          </w:tcPr>
          <w:p w:rsidR="00624F83" w:rsidRPr="00924532" w:rsidRDefault="00624F83" w:rsidP="00E560C8">
            <w:pPr>
              <w:jc w:val="right"/>
              <w:rPr>
                <w:sz w:val="14"/>
                <w:szCs w:val="14"/>
              </w:rPr>
            </w:pPr>
            <w:r>
              <w:rPr>
                <w:sz w:val="14"/>
                <w:szCs w:val="14"/>
              </w:rPr>
              <w:t>1.0</w:t>
            </w:r>
          </w:p>
        </w:tc>
        <w:tc>
          <w:tcPr>
            <w:tcW w:w="990" w:type="dxa"/>
            <w:tcBorders>
              <w:top w:val="single" w:sz="4" w:space="0" w:color="auto"/>
              <w:bottom w:val="double" w:sz="4" w:space="0" w:color="auto"/>
            </w:tcBorders>
          </w:tcPr>
          <w:p w:rsidR="00624F83" w:rsidRPr="00924532" w:rsidRDefault="00624F83" w:rsidP="00E560C8">
            <w:pPr>
              <w:jc w:val="right"/>
              <w:rPr>
                <w:sz w:val="14"/>
                <w:szCs w:val="14"/>
              </w:rPr>
            </w:pPr>
            <w:r>
              <w:rPr>
                <w:sz w:val="14"/>
                <w:szCs w:val="14"/>
              </w:rPr>
              <w:t>6.33</w:t>
            </w:r>
          </w:p>
        </w:tc>
        <w:tc>
          <w:tcPr>
            <w:tcW w:w="900" w:type="dxa"/>
            <w:tcBorders>
              <w:top w:val="single" w:sz="4" w:space="0" w:color="auto"/>
              <w:bottom w:val="double" w:sz="4" w:space="0" w:color="auto"/>
            </w:tcBorders>
          </w:tcPr>
          <w:p w:rsidR="00624F83" w:rsidRPr="00924532" w:rsidRDefault="00624F83" w:rsidP="00E560C8">
            <w:pPr>
              <w:jc w:val="right"/>
              <w:rPr>
                <w:sz w:val="14"/>
                <w:szCs w:val="14"/>
              </w:rPr>
            </w:pPr>
            <w:r>
              <w:rPr>
                <w:sz w:val="14"/>
                <w:szCs w:val="14"/>
              </w:rPr>
              <w:t>104.0</w:t>
            </w:r>
          </w:p>
        </w:tc>
        <w:tc>
          <w:tcPr>
            <w:tcW w:w="720" w:type="dxa"/>
            <w:tcBorders>
              <w:top w:val="single" w:sz="4" w:space="0" w:color="auto"/>
              <w:bottom w:val="double" w:sz="4" w:space="0" w:color="auto"/>
            </w:tcBorders>
          </w:tcPr>
          <w:p w:rsidR="00624F83" w:rsidRPr="009F6C55" w:rsidRDefault="000A576E" w:rsidP="00D237C9">
            <w:pPr>
              <w:jc w:val="right"/>
              <w:rPr>
                <w:sz w:val="14"/>
                <w:szCs w:val="14"/>
              </w:rPr>
            </w:pPr>
            <w:r>
              <w:rPr>
                <w:sz w:val="14"/>
                <w:szCs w:val="14"/>
              </w:rPr>
              <w:t>658.</w:t>
            </w:r>
            <w:r w:rsidR="00B551E7">
              <w:rPr>
                <w:sz w:val="14"/>
                <w:szCs w:val="14"/>
              </w:rPr>
              <w:t>3</w:t>
            </w:r>
          </w:p>
        </w:tc>
        <w:tc>
          <w:tcPr>
            <w:tcW w:w="900" w:type="dxa"/>
            <w:tcBorders>
              <w:top w:val="single" w:sz="4" w:space="0" w:color="auto"/>
              <w:bottom w:val="double" w:sz="4" w:space="0" w:color="auto"/>
              <w:right w:val="single" w:sz="12" w:space="0" w:color="auto"/>
            </w:tcBorders>
          </w:tcPr>
          <w:p w:rsidR="00624F83" w:rsidRPr="009F6C55" w:rsidRDefault="00624F83" w:rsidP="00B551E7">
            <w:pPr>
              <w:jc w:val="right"/>
              <w:rPr>
                <w:sz w:val="14"/>
                <w:szCs w:val="14"/>
              </w:rPr>
            </w:pPr>
            <w:r>
              <w:rPr>
                <w:sz w:val="14"/>
                <w:szCs w:val="14"/>
              </w:rPr>
              <w:t>$  180,</w:t>
            </w:r>
            <w:r w:rsidR="00B551E7">
              <w:rPr>
                <w:sz w:val="14"/>
                <w:szCs w:val="14"/>
              </w:rPr>
              <w:t>374</w:t>
            </w:r>
          </w:p>
        </w:tc>
      </w:tr>
      <w:tr w:rsidR="00624F83" w:rsidTr="00E560C8">
        <w:tc>
          <w:tcPr>
            <w:tcW w:w="10008" w:type="dxa"/>
            <w:gridSpan w:val="8"/>
            <w:tcBorders>
              <w:top w:val="double" w:sz="4" w:space="0" w:color="auto"/>
              <w:left w:val="single" w:sz="12" w:space="0" w:color="auto"/>
              <w:bottom w:val="single" w:sz="12" w:space="0" w:color="auto"/>
              <w:right w:val="single" w:sz="12" w:space="0" w:color="auto"/>
            </w:tcBorders>
          </w:tcPr>
          <w:p w:rsidR="00624F83" w:rsidRPr="00CA0600" w:rsidRDefault="00624F83" w:rsidP="00B551E7">
            <w:pPr>
              <w:jc w:val="right"/>
              <w:rPr>
                <w:b/>
                <w:i/>
                <w:sz w:val="14"/>
                <w:szCs w:val="14"/>
              </w:rPr>
            </w:pPr>
            <w:r w:rsidRPr="00CA0600">
              <w:rPr>
                <w:b/>
                <w:i/>
                <w:sz w:val="14"/>
                <w:szCs w:val="14"/>
              </w:rPr>
              <w:t>Subtotal</w:t>
            </w:r>
            <w:r>
              <w:rPr>
                <w:b/>
                <w:i/>
                <w:sz w:val="14"/>
                <w:szCs w:val="14"/>
              </w:rPr>
              <w:t xml:space="preserve">—NRC Burden Increase    </w:t>
            </w:r>
            <w:r w:rsidRPr="00CA0600">
              <w:rPr>
                <w:b/>
                <w:i/>
                <w:sz w:val="14"/>
                <w:szCs w:val="14"/>
              </w:rPr>
              <w:t xml:space="preserve"> </w:t>
            </w:r>
            <w:r w:rsidR="00CC40C0">
              <w:rPr>
                <w:b/>
                <w:i/>
                <w:sz w:val="14"/>
                <w:szCs w:val="14"/>
              </w:rPr>
              <w:t>4</w:t>
            </w:r>
            <w:r w:rsidRPr="00CA0600">
              <w:rPr>
                <w:b/>
                <w:i/>
                <w:sz w:val="14"/>
                <w:szCs w:val="14"/>
              </w:rPr>
              <w:t>,</w:t>
            </w:r>
            <w:r w:rsidR="00CC40C0">
              <w:rPr>
                <w:b/>
                <w:i/>
                <w:sz w:val="14"/>
                <w:szCs w:val="14"/>
              </w:rPr>
              <w:t>39</w:t>
            </w:r>
            <w:r w:rsidR="00B551E7">
              <w:rPr>
                <w:b/>
                <w:i/>
                <w:sz w:val="14"/>
                <w:szCs w:val="14"/>
              </w:rPr>
              <w:t>6</w:t>
            </w:r>
            <w:r>
              <w:rPr>
                <w:b/>
                <w:i/>
                <w:sz w:val="14"/>
                <w:szCs w:val="14"/>
              </w:rPr>
              <w:t>.</w:t>
            </w:r>
            <w:r w:rsidR="00B551E7">
              <w:rPr>
                <w:b/>
                <w:i/>
                <w:sz w:val="14"/>
                <w:szCs w:val="14"/>
              </w:rPr>
              <w:t>4</w:t>
            </w:r>
            <w:r>
              <w:rPr>
                <w:b/>
                <w:i/>
                <w:sz w:val="14"/>
                <w:szCs w:val="14"/>
              </w:rPr>
              <w:t xml:space="preserve">      $ </w:t>
            </w:r>
            <w:r w:rsidR="00CC40C0">
              <w:rPr>
                <w:b/>
                <w:i/>
                <w:sz w:val="14"/>
                <w:szCs w:val="14"/>
              </w:rPr>
              <w:t>1,20</w:t>
            </w:r>
            <w:r w:rsidR="00B551E7">
              <w:rPr>
                <w:b/>
                <w:i/>
                <w:sz w:val="14"/>
                <w:szCs w:val="14"/>
              </w:rPr>
              <w:t>4</w:t>
            </w:r>
            <w:r w:rsidRPr="00CA0600">
              <w:rPr>
                <w:b/>
                <w:i/>
                <w:sz w:val="14"/>
                <w:szCs w:val="14"/>
              </w:rPr>
              <w:t>,</w:t>
            </w:r>
            <w:r w:rsidR="00B551E7">
              <w:rPr>
                <w:b/>
                <w:i/>
                <w:sz w:val="14"/>
                <w:szCs w:val="14"/>
              </w:rPr>
              <w:t>609</w:t>
            </w:r>
          </w:p>
        </w:tc>
      </w:tr>
      <w:tr w:rsidR="00624F83" w:rsidTr="00E560C8">
        <w:tc>
          <w:tcPr>
            <w:tcW w:w="10008" w:type="dxa"/>
            <w:gridSpan w:val="8"/>
            <w:tcBorders>
              <w:top w:val="single" w:sz="12" w:space="0" w:color="auto"/>
              <w:left w:val="single" w:sz="12" w:space="0" w:color="auto"/>
              <w:bottom w:val="single" w:sz="12" w:space="0" w:color="auto"/>
              <w:right w:val="single" w:sz="12" w:space="0" w:color="auto"/>
            </w:tcBorders>
            <w:shd w:val="pct5" w:color="auto" w:fill="auto"/>
          </w:tcPr>
          <w:p w:rsidR="00624F83" w:rsidRPr="00E57DCA" w:rsidRDefault="00624F83" w:rsidP="00E560C8">
            <w:pPr>
              <w:rPr>
                <w:sz w:val="16"/>
                <w:szCs w:val="16"/>
              </w:rPr>
            </w:pPr>
            <w:r>
              <w:rPr>
                <w:b/>
                <w:sz w:val="18"/>
                <w:szCs w:val="18"/>
              </w:rPr>
              <w:t xml:space="preserve">            </w:t>
            </w:r>
            <w:r>
              <w:rPr>
                <w:b/>
                <w:sz w:val="16"/>
                <w:szCs w:val="16"/>
              </w:rPr>
              <w:t>NRC—BURDEN DE</w:t>
            </w:r>
            <w:r w:rsidRPr="009F6C55">
              <w:rPr>
                <w:b/>
                <w:sz w:val="16"/>
                <w:szCs w:val="16"/>
              </w:rPr>
              <w:t>CREASE</w:t>
            </w:r>
          </w:p>
        </w:tc>
      </w:tr>
      <w:tr w:rsidR="00C15483" w:rsidTr="00E560C8">
        <w:tc>
          <w:tcPr>
            <w:tcW w:w="648" w:type="dxa"/>
            <w:tcBorders>
              <w:top w:val="single" w:sz="12" w:space="0" w:color="auto"/>
              <w:left w:val="single" w:sz="12" w:space="0" w:color="auto"/>
            </w:tcBorders>
            <w:vAlign w:val="center"/>
          </w:tcPr>
          <w:p w:rsidR="00C15483" w:rsidRPr="005E0C94" w:rsidRDefault="00C15483" w:rsidP="00E560C8">
            <w:pPr>
              <w:jc w:val="center"/>
              <w:rPr>
                <w:sz w:val="14"/>
                <w:szCs w:val="14"/>
              </w:rPr>
            </w:pPr>
            <w:r w:rsidRPr="005E0C94">
              <w:rPr>
                <w:sz w:val="14"/>
                <w:szCs w:val="14"/>
              </w:rPr>
              <w:t>2</w:t>
            </w:r>
          </w:p>
        </w:tc>
        <w:tc>
          <w:tcPr>
            <w:tcW w:w="3420" w:type="dxa"/>
            <w:tcBorders>
              <w:top w:val="single" w:sz="12" w:space="0" w:color="auto"/>
            </w:tcBorders>
            <w:vAlign w:val="center"/>
          </w:tcPr>
          <w:p w:rsidR="00C15483" w:rsidRPr="007B5BB8" w:rsidRDefault="00C15483" w:rsidP="00E560C8">
            <w:r w:rsidRPr="007B5BB8">
              <w:rPr>
                <w:color w:val="000000"/>
                <w:sz w:val="14"/>
                <w:szCs w:val="14"/>
              </w:rPr>
              <w:t>Offsite land use</w:t>
            </w:r>
          </w:p>
        </w:tc>
        <w:tc>
          <w:tcPr>
            <w:tcW w:w="1170" w:type="dxa"/>
            <w:tcBorders>
              <w:top w:val="single" w:sz="12" w:space="0" w:color="auto"/>
            </w:tcBorders>
          </w:tcPr>
          <w:p w:rsidR="00C15483" w:rsidRPr="005E0C94" w:rsidRDefault="00C15483" w:rsidP="00DF1ABF">
            <w:pPr>
              <w:jc w:val="right"/>
              <w:rPr>
                <w:sz w:val="14"/>
                <w:szCs w:val="14"/>
              </w:rPr>
            </w:pPr>
            <w:r>
              <w:rPr>
                <w:sz w:val="14"/>
                <w:szCs w:val="14"/>
              </w:rPr>
              <w:t>6.33</w:t>
            </w:r>
          </w:p>
        </w:tc>
        <w:tc>
          <w:tcPr>
            <w:tcW w:w="1260" w:type="dxa"/>
            <w:tcBorders>
              <w:top w:val="single" w:sz="12" w:space="0" w:color="auto"/>
            </w:tcBorders>
          </w:tcPr>
          <w:p w:rsidR="00C15483" w:rsidRPr="005E0C94" w:rsidRDefault="00C15483" w:rsidP="00E560C8">
            <w:pPr>
              <w:jc w:val="right"/>
              <w:rPr>
                <w:sz w:val="14"/>
                <w:szCs w:val="14"/>
              </w:rPr>
            </w:pPr>
            <w:r>
              <w:rPr>
                <w:sz w:val="14"/>
                <w:szCs w:val="14"/>
              </w:rPr>
              <w:t>1.0</w:t>
            </w:r>
          </w:p>
        </w:tc>
        <w:tc>
          <w:tcPr>
            <w:tcW w:w="990" w:type="dxa"/>
            <w:tcBorders>
              <w:top w:val="single" w:sz="12" w:space="0" w:color="auto"/>
            </w:tcBorders>
          </w:tcPr>
          <w:p w:rsidR="00C15483" w:rsidRPr="005E0C94" w:rsidRDefault="00C15483" w:rsidP="00D237C9">
            <w:pPr>
              <w:jc w:val="right"/>
              <w:rPr>
                <w:sz w:val="14"/>
                <w:szCs w:val="14"/>
              </w:rPr>
            </w:pPr>
            <w:r>
              <w:rPr>
                <w:sz w:val="14"/>
                <w:szCs w:val="14"/>
              </w:rPr>
              <w:t>6.33</w:t>
            </w:r>
          </w:p>
        </w:tc>
        <w:tc>
          <w:tcPr>
            <w:tcW w:w="900" w:type="dxa"/>
            <w:tcBorders>
              <w:top w:val="single" w:sz="12" w:space="0" w:color="auto"/>
            </w:tcBorders>
          </w:tcPr>
          <w:p w:rsidR="00C15483" w:rsidRPr="005E0C94" w:rsidRDefault="00C15483" w:rsidP="00E560C8">
            <w:pPr>
              <w:jc w:val="right"/>
              <w:rPr>
                <w:sz w:val="14"/>
                <w:szCs w:val="14"/>
              </w:rPr>
            </w:pPr>
            <w:r>
              <w:rPr>
                <w:sz w:val="14"/>
                <w:szCs w:val="14"/>
              </w:rPr>
              <w:t>174.0</w:t>
            </w:r>
          </w:p>
        </w:tc>
        <w:tc>
          <w:tcPr>
            <w:tcW w:w="720" w:type="dxa"/>
            <w:tcBorders>
              <w:top w:val="single" w:sz="12" w:space="0" w:color="auto"/>
            </w:tcBorders>
          </w:tcPr>
          <w:p w:rsidR="00C15483" w:rsidRPr="005E0C94" w:rsidRDefault="006020AC" w:rsidP="00455FB5">
            <w:pPr>
              <w:jc w:val="right"/>
              <w:rPr>
                <w:sz w:val="14"/>
                <w:szCs w:val="14"/>
              </w:rPr>
            </w:pPr>
            <w:r>
              <w:rPr>
                <w:sz w:val="14"/>
                <w:szCs w:val="14"/>
              </w:rPr>
              <w:t>1</w:t>
            </w:r>
            <w:r w:rsidR="002E7177">
              <w:rPr>
                <w:sz w:val="14"/>
                <w:szCs w:val="14"/>
              </w:rPr>
              <w:t>,</w:t>
            </w:r>
            <w:r>
              <w:rPr>
                <w:sz w:val="14"/>
                <w:szCs w:val="14"/>
              </w:rPr>
              <w:t>10</w:t>
            </w:r>
            <w:r w:rsidR="00455FB5">
              <w:rPr>
                <w:sz w:val="14"/>
                <w:szCs w:val="14"/>
              </w:rPr>
              <w:t>1</w:t>
            </w:r>
            <w:r>
              <w:rPr>
                <w:sz w:val="14"/>
                <w:szCs w:val="14"/>
              </w:rPr>
              <w:t>.</w:t>
            </w:r>
            <w:r w:rsidR="00C15483">
              <w:rPr>
                <w:sz w:val="14"/>
                <w:szCs w:val="14"/>
              </w:rPr>
              <w:t>0</w:t>
            </w:r>
          </w:p>
        </w:tc>
        <w:tc>
          <w:tcPr>
            <w:tcW w:w="900" w:type="dxa"/>
            <w:tcBorders>
              <w:top w:val="single" w:sz="12" w:space="0" w:color="auto"/>
              <w:right w:val="single" w:sz="12" w:space="0" w:color="auto"/>
            </w:tcBorders>
          </w:tcPr>
          <w:p w:rsidR="00C15483" w:rsidRPr="005E0C94" w:rsidRDefault="00C15483" w:rsidP="00F97122">
            <w:pPr>
              <w:jc w:val="right"/>
              <w:rPr>
                <w:sz w:val="14"/>
                <w:szCs w:val="14"/>
              </w:rPr>
            </w:pPr>
            <w:r>
              <w:rPr>
                <w:sz w:val="14"/>
                <w:szCs w:val="14"/>
              </w:rPr>
              <w:t xml:space="preserve">$ </w:t>
            </w:r>
            <w:r w:rsidR="000D3390">
              <w:rPr>
                <w:sz w:val="14"/>
                <w:szCs w:val="14"/>
              </w:rPr>
              <w:t xml:space="preserve"> </w:t>
            </w:r>
            <w:r w:rsidR="006020AC">
              <w:rPr>
                <w:sz w:val="14"/>
                <w:szCs w:val="14"/>
              </w:rPr>
              <w:t>301</w:t>
            </w:r>
            <w:r>
              <w:rPr>
                <w:sz w:val="14"/>
                <w:szCs w:val="14"/>
              </w:rPr>
              <w:t>,</w:t>
            </w:r>
            <w:r w:rsidR="00F97122">
              <w:rPr>
                <w:sz w:val="14"/>
                <w:szCs w:val="14"/>
              </w:rPr>
              <w:t>674</w:t>
            </w:r>
          </w:p>
        </w:tc>
      </w:tr>
      <w:tr w:rsidR="00C15483" w:rsidTr="00E560C8">
        <w:tc>
          <w:tcPr>
            <w:tcW w:w="648" w:type="dxa"/>
            <w:tcBorders>
              <w:top w:val="single" w:sz="4" w:space="0" w:color="auto"/>
              <w:left w:val="single" w:sz="12" w:space="0" w:color="auto"/>
            </w:tcBorders>
            <w:vAlign w:val="center"/>
          </w:tcPr>
          <w:p w:rsidR="00C15483" w:rsidRPr="005E0C94" w:rsidRDefault="00C15483" w:rsidP="00E560C8">
            <w:pPr>
              <w:jc w:val="center"/>
              <w:rPr>
                <w:sz w:val="14"/>
                <w:szCs w:val="14"/>
              </w:rPr>
            </w:pPr>
            <w:r>
              <w:rPr>
                <w:sz w:val="14"/>
                <w:szCs w:val="14"/>
              </w:rPr>
              <w:t>4</w:t>
            </w:r>
          </w:p>
        </w:tc>
        <w:tc>
          <w:tcPr>
            <w:tcW w:w="3420" w:type="dxa"/>
            <w:tcBorders>
              <w:top w:val="single" w:sz="4" w:space="0" w:color="auto"/>
            </w:tcBorders>
            <w:vAlign w:val="center"/>
          </w:tcPr>
          <w:p w:rsidR="00C15483" w:rsidRPr="007B5BB8" w:rsidRDefault="00C15483" w:rsidP="00E560C8">
            <w:r w:rsidRPr="007B5BB8">
              <w:rPr>
                <w:color w:val="000000"/>
                <w:sz w:val="14"/>
                <w:szCs w:val="14"/>
              </w:rPr>
              <w:t>Aesthetic impacts</w:t>
            </w:r>
          </w:p>
        </w:tc>
        <w:tc>
          <w:tcPr>
            <w:tcW w:w="1170" w:type="dxa"/>
            <w:tcBorders>
              <w:top w:val="single" w:sz="4" w:space="0" w:color="auto"/>
            </w:tcBorders>
          </w:tcPr>
          <w:p w:rsidR="00C15483" w:rsidRPr="005E0C94" w:rsidRDefault="00C15483" w:rsidP="00DF1ABF">
            <w:pPr>
              <w:jc w:val="right"/>
              <w:rPr>
                <w:sz w:val="14"/>
                <w:szCs w:val="14"/>
              </w:rPr>
            </w:pPr>
            <w:r>
              <w:rPr>
                <w:sz w:val="14"/>
                <w:szCs w:val="14"/>
              </w:rPr>
              <w:t>6.33</w:t>
            </w:r>
          </w:p>
        </w:tc>
        <w:tc>
          <w:tcPr>
            <w:tcW w:w="1260" w:type="dxa"/>
            <w:tcBorders>
              <w:top w:val="single" w:sz="4" w:space="0" w:color="auto"/>
            </w:tcBorders>
          </w:tcPr>
          <w:p w:rsidR="00C15483" w:rsidRPr="005E0C94" w:rsidRDefault="00C15483" w:rsidP="00E560C8">
            <w:pPr>
              <w:jc w:val="right"/>
              <w:rPr>
                <w:sz w:val="14"/>
                <w:szCs w:val="14"/>
              </w:rPr>
            </w:pPr>
            <w:r>
              <w:rPr>
                <w:sz w:val="14"/>
                <w:szCs w:val="14"/>
              </w:rPr>
              <w:t>1.0</w:t>
            </w:r>
          </w:p>
        </w:tc>
        <w:tc>
          <w:tcPr>
            <w:tcW w:w="990" w:type="dxa"/>
            <w:tcBorders>
              <w:top w:val="single" w:sz="4" w:space="0" w:color="auto"/>
            </w:tcBorders>
          </w:tcPr>
          <w:p w:rsidR="00C15483" w:rsidRPr="005E0C94" w:rsidRDefault="00C15483" w:rsidP="00D237C9">
            <w:pPr>
              <w:jc w:val="right"/>
              <w:rPr>
                <w:sz w:val="14"/>
                <w:szCs w:val="14"/>
              </w:rPr>
            </w:pPr>
            <w:r>
              <w:rPr>
                <w:sz w:val="14"/>
                <w:szCs w:val="14"/>
              </w:rPr>
              <w:t>6.33</w:t>
            </w:r>
          </w:p>
        </w:tc>
        <w:tc>
          <w:tcPr>
            <w:tcW w:w="900" w:type="dxa"/>
            <w:tcBorders>
              <w:top w:val="single" w:sz="4" w:space="0" w:color="auto"/>
            </w:tcBorders>
          </w:tcPr>
          <w:p w:rsidR="00C15483" w:rsidRPr="005E0C94" w:rsidRDefault="00C15483" w:rsidP="00E560C8">
            <w:pPr>
              <w:jc w:val="right"/>
              <w:rPr>
                <w:sz w:val="14"/>
                <w:szCs w:val="14"/>
              </w:rPr>
            </w:pPr>
            <w:r>
              <w:rPr>
                <w:sz w:val="14"/>
                <w:szCs w:val="14"/>
              </w:rPr>
              <w:t>36.0</w:t>
            </w:r>
          </w:p>
        </w:tc>
        <w:tc>
          <w:tcPr>
            <w:tcW w:w="720" w:type="dxa"/>
            <w:tcBorders>
              <w:top w:val="single" w:sz="4" w:space="0" w:color="auto"/>
            </w:tcBorders>
          </w:tcPr>
          <w:p w:rsidR="00C15483" w:rsidRPr="005E0C94" w:rsidRDefault="000D3390" w:rsidP="00E560C8">
            <w:pPr>
              <w:jc w:val="right"/>
              <w:rPr>
                <w:sz w:val="14"/>
                <w:szCs w:val="14"/>
              </w:rPr>
            </w:pPr>
            <w:r>
              <w:rPr>
                <w:sz w:val="14"/>
                <w:szCs w:val="14"/>
              </w:rPr>
              <w:t>228</w:t>
            </w:r>
            <w:r w:rsidR="00C15483">
              <w:rPr>
                <w:sz w:val="14"/>
                <w:szCs w:val="14"/>
              </w:rPr>
              <w:t>.0</w:t>
            </w:r>
          </w:p>
        </w:tc>
        <w:tc>
          <w:tcPr>
            <w:tcW w:w="900" w:type="dxa"/>
            <w:tcBorders>
              <w:top w:val="single" w:sz="4" w:space="0" w:color="auto"/>
              <w:right w:val="single" w:sz="12" w:space="0" w:color="auto"/>
            </w:tcBorders>
          </w:tcPr>
          <w:p w:rsidR="00C15483" w:rsidRPr="005E0C94" w:rsidRDefault="00C15483" w:rsidP="00E560C8">
            <w:pPr>
              <w:jc w:val="right"/>
              <w:rPr>
                <w:sz w:val="14"/>
                <w:szCs w:val="14"/>
              </w:rPr>
            </w:pPr>
            <w:r>
              <w:rPr>
                <w:sz w:val="14"/>
                <w:szCs w:val="14"/>
              </w:rPr>
              <w:t xml:space="preserve">$ </w:t>
            </w:r>
            <w:r w:rsidR="000D3390">
              <w:rPr>
                <w:sz w:val="14"/>
                <w:szCs w:val="14"/>
              </w:rPr>
              <w:t xml:space="preserve"> </w:t>
            </w:r>
            <w:r>
              <w:rPr>
                <w:sz w:val="14"/>
                <w:szCs w:val="14"/>
              </w:rPr>
              <w:t xml:space="preserve">  </w:t>
            </w:r>
            <w:r w:rsidR="000D3390">
              <w:rPr>
                <w:sz w:val="14"/>
                <w:szCs w:val="14"/>
              </w:rPr>
              <w:t>62</w:t>
            </w:r>
            <w:r>
              <w:rPr>
                <w:sz w:val="14"/>
                <w:szCs w:val="14"/>
              </w:rPr>
              <w:t>,</w:t>
            </w:r>
            <w:r w:rsidR="000D3390">
              <w:rPr>
                <w:sz w:val="14"/>
                <w:szCs w:val="14"/>
              </w:rPr>
              <w:t>47</w:t>
            </w:r>
            <w:r>
              <w:rPr>
                <w:sz w:val="14"/>
                <w:szCs w:val="14"/>
              </w:rPr>
              <w:t>2</w:t>
            </w:r>
          </w:p>
        </w:tc>
      </w:tr>
      <w:tr w:rsidR="00C15483" w:rsidTr="00E560C8">
        <w:tc>
          <w:tcPr>
            <w:tcW w:w="648" w:type="dxa"/>
            <w:tcBorders>
              <w:top w:val="single" w:sz="4" w:space="0" w:color="auto"/>
              <w:left w:val="single" w:sz="12" w:space="0" w:color="auto"/>
            </w:tcBorders>
            <w:vAlign w:val="center"/>
          </w:tcPr>
          <w:p w:rsidR="00C15483" w:rsidRPr="005E0C94" w:rsidRDefault="00C15483" w:rsidP="00E560C8">
            <w:pPr>
              <w:jc w:val="center"/>
              <w:rPr>
                <w:sz w:val="14"/>
                <w:szCs w:val="14"/>
              </w:rPr>
            </w:pPr>
            <w:r>
              <w:rPr>
                <w:sz w:val="14"/>
                <w:szCs w:val="14"/>
              </w:rPr>
              <w:t>5</w:t>
            </w:r>
          </w:p>
        </w:tc>
        <w:tc>
          <w:tcPr>
            <w:tcW w:w="3420" w:type="dxa"/>
            <w:tcBorders>
              <w:top w:val="single" w:sz="4" w:space="0" w:color="auto"/>
            </w:tcBorders>
            <w:vAlign w:val="center"/>
          </w:tcPr>
          <w:p w:rsidR="00C15483" w:rsidRPr="007B5BB8" w:rsidRDefault="00C15483" w:rsidP="00E560C8">
            <w:pPr>
              <w:rPr>
                <w:sz w:val="14"/>
                <w:szCs w:val="14"/>
              </w:rPr>
            </w:pPr>
            <w:r w:rsidRPr="007B5BB8">
              <w:rPr>
                <w:color w:val="000000"/>
                <w:sz w:val="14"/>
                <w:szCs w:val="14"/>
              </w:rPr>
              <w:t>Air quality impacts (all plants)</w:t>
            </w:r>
          </w:p>
        </w:tc>
        <w:tc>
          <w:tcPr>
            <w:tcW w:w="1170" w:type="dxa"/>
            <w:tcBorders>
              <w:top w:val="single" w:sz="4" w:space="0" w:color="auto"/>
            </w:tcBorders>
          </w:tcPr>
          <w:p w:rsidR="00C15483" w:rsidRPr="005E0C94" w:rsidRDefault="00C15483" w:rsidP="00E560C8">
            <w:pPr>
              <w:jc w:val="right"/>
              <w:rPr>
                <w:sz w:val="14"/>
                <w:szCs w:val="14"/>
              </w:rPr>
            </w:pPr>
            <w:r>
              <w:rPr>
                <w:sz w:val="14"/>
                <w:szCs w:val="14"/>
              </w:rPr>
              <w:t>6.33</w:t>
            </w:r>
          </w:p>
        </w:tc>
        <w:tc>
          <w:tcPr>
            <w:tcW w:w="1260" w:type="dxa"/>
            <w:tcBorders>
              <w:top w:val="single" w:sz="4" w:space="0" w:color="auto"/>
            </w:tcBorders>
          </w:tcPr>
          <w:p w:rsidR="00C15483" w:rsidRPr="005E0C94" w:rsidRDefault="00C15483" w:rsidP="00E560C8">
            <w:pPr>
              <w:jc w:val="right"/>
              <w:rPr>
                <w:sz w:val="14"/>
                <w:szCs w:val="14"/>
              </w:rPr>
            </w:pPr>
            <w:r>
              <w:rPr>
                <w:sz w:val="14"/>
                <w:szCs w:val="14"/>
              </w:rPr>
              <w:t>1.0</w:t>
            </w:r>
          </w:p>
        </w:tc>
        <w:tc>
          <w:tcPr>
            <w:tcW w:w="990" w:type="dxa"/>
            <w:tcBorders>
              <w:top w:val="single" w:sz="4" w:space="0" w:color="auto"/>
            </w:tcBorders>
          </w:tcPr>
          <w:p w:rsidR="00C15483" w:rsidRPr="005E0C94" w:rsidRDefault="00C15483" w:rsidP="00D237C9">
            <w:pPr>
              <w:jc w:val="right"/>
              <w:rPr>
                <w:sz w:val="14"/>
                <w:szCs w:val="14"/>
              </w:rPr>
            </w:pPr>
            <w:r>
              <w:rPr>
                <w:sz w:val="14"/>
                <w:szCs w:val="14"/>
              </w:rPr>
              <w:t>6.33</w:t>
            </w:r>
          </w:p>
        </w:tc>
        <w:tc>
          <w:tcPr>
            <w:tcW w:w="900" w:type="dxa"/>
            <w:tcBorders>
              <w:top w:val="single" w:sz="4" w:space="0" w:color="auto"/>
            </w:tcBorders>
          </w:tcPr>
          <w:p w:rsidR="00C15483" w:rsidRPr="005E0C94" w:rsidRDefault="00C15483" w:rsidP="00E560C8">
            <w:pPr>
              <w:jc w:val="right"/>
              <w:rPr>
                <w:sz w:val="14"/>
                <w:szCs w:val="14"/>
              </w:rPr>
            </w:pPr>
            <w:r>
              <w:rPr>
                <w:sz w:val="14"/>
                <w:szCs w:val="14"/>
              </w:rPr>
              <w:t>78.0</w:t>
            </w:r>
          </w:p>
        </w:tc>
        <w:tc>
          <w:tcPr>
            <w:tcW w:w="720" w:type="dxa"/>
            <w:tcBorders>
              <w:top w:val="single" w:sz="4" w:space="0" w:color="auto"/>
            </w:tcBorders>
          </w:tcPr>
          <w:p w:rsidR="00C15483" w:rsidRPr="005E0C94" w:rsidRDefault="000D3390" w:rsidP="00E560C8">
            <w:pPr>
              <w:jc w:val="right"/>
              <w:rPr>
                <w:sz w:val="14"/>
                <w:szCs w:val="14"/>
              </w:rPr>
            </w:pPr>
            <w:r>
              <w:rPr>
                <w:sz w:val="14"/>
                <w:szCs w:val="14"/>
              </w:rPr>
              <w:t>494</w:t>
            </w:r>
            <w:r w:rsidR="00C15483">
              <w:rPr>
                <w:sz w:val="14"/>
                <w:szCs w:val="14"/>
              </w:rPr>
              <w:t>.0</w:t>
            </w:r>
          </w:p>
        </w:tc>
        <w:tc>
          <w:tcPr>
            <w:tcW w:w="900" w:type="dxa"/>
            <w:tcBorders>
              <w:top w:val="single" w:sz="4" w:space="0" w:color="auto"/>
              <w:right w:val="single" w:sz="12" w:space="0" w:color="auto"/>
            </w:tcBorders>
          </w:tcPr>
          <w:p w:rsidR="00C15483" w:rsidRPr="005E0C94" w:rsidRDefault="000D3390" w:rsidP="000D3390">
            <w:pPr>
              <w:jc w:val="right"/>
              <w:rPr>
                <w:sz w:val="14"/>
                <w:szCs w:val="14"/>
              </w:rPr>
            </w:pPr>
            <w:r>
              <w:rPr>
                <w:sz w:val="14"/>
                <w:szCs w:val="14"/>
              </w:rPr>
              <w:t xml:space="preserve">$ </w:t>
            </w:r>
            <w:r w:rsidR="00C15483">
              <w:rPr>
                <w:sz w:val="14"/>
                <w:szCs w:val="14"/>
              </w:rPr>
              <w:t xml:space="preserve"> </w:t>
            </w:r>
            <w:r>
              <w:rPr>
                <w:sz w:val="14"/>
                <w:szCs w:val="14"/>
              </w:rPr>
              <w:t>135</w:t>
            </w:r>
            <w:r w:rsidR="00C15483">
              <w:rPr>
                <w:sz w:val="14"/>
                <w:szCs w:val="14"/>
              </w:rPr>
              <w:t>,</w:t>
            </w:r>
            <w:r>
              <w:rPr>
                <w:sz w:val="14"/>
                <w:szCs w:val="14"/>
              </w:rPr>
              <w:t>356</w:t>
            </w:r>
          </w:p>
        </w:tc>
      </w:tr>
      <w:tr w:rsidR="00C15483" w:rsidTr="00E560C8">
        <w:tc>
          <w:tcPr>
            <w:tcW w:w="648" w:type="dxa"/>
            <w:tcBorders>
              <w:top w:val="single" w:sz="4" w:space="0" w:color="auto"/>
              <w:left w:val="single" w:sz="12" w:space="0" w:color="auto"/>
            </w:tcBorders>
            <w:vAlign w:val="center"/>
          </w:tcPr>
          <w:p w:rsidR="00C15483" w:rsidRPr="005E0C94" w:rsidRDefault="00C15483" w:rsidP="00E560C8">
            <w:pPr>
              <w:jc w:val="center"/>
              <w:rPr>
                <w:sz w:val="14"/>
                <w:szCs w:val="14"/>
              </w:rPr>
            </w:pPr>
            <w:r>
              <w:rPr>
                <w:sz w:val="14"/>
                <w:szCs w:val="14"/>
              </w:rPr>
              <w:t>9</w:t>
            </w:r>
          </w:p>
        </w:tc>
        <w:tc>
          <w:tcPr>
            <w:tcW w:w="3420" w:type="dxa"/>
            <w:tcBorders>
              <w:top w:val="single" w:sz="4" w:space="0" w:color="auto"/>
            </w:tcBorders>
            <w:vAlign w:val="center"/>
          </w:tcPr>
          <w:p w:rsidR="00C15483" w:rsidRPr="007B5BB8" w:rsidRDefault="00C15483" w:rsidP="00E560C8">
            <w:pPr>
              <w:spacing w:line="216" w:lineRule="auto"/>
            </w:pPr>
            <w:r w:rsidRPr="007B5BB8">
              <w:rPr>
                <w:color w:val="000000"/>
                <w:sz w:val="14"/>
                <w:szCs w:val="14"/>
              </w:rPr>
              <w:t>Surface water use and quality (non-cooling system impacts)</w:t>
            </w:r>
          </w:p>
        </w:tc>
        <w:tc>
          <w:tcPr>
            <w:tcW w:w="1170" w:type="dxa"/>
            <w:tcBorders>
              <w:top w:val="single" w:sz="4" w:space="0" w:color="auto"/>
            </w:tcBorders>
          </w:tcPr>
          <w:p w:rsidR="00C15483" w:rsidRPr="005E0C94" w:rsidRDefault="00C15483" w:rsidP="00E560C8">
            <w:pPr>
              <w:jc w:val="right"/>
              <w:rPr>
                <w:sz w:val="14"/>
                <w:szCs w:val="14"/>
              </w:rPr>
            </w:pPr>
            <w:r>
              <w:rPr>
                <w:sz w:val="14"/>
                <w:szCs w:val="14"/>
              </w:rPr>
              <w:t>6.33</w:t>
            </w:r>
          </w:p>
        </w:tc>
        <w:tc>
          <w:tcPr>
            <w:tcW w:w="1260" w:type="dxa"/>
            <w:tcBorders>
              <w:top w:val="single" w:sz="4" w:space="0" w:color="auto"/>
            </w:tcBorders>
          </w:tcPr>
          <w:p w:rsidR="00C15483" w:rsidRPr="005E0C94" w:rsidRDefault="00C15483" w:rsidP="00E560C8">
            <w:pPr>
              <w:jc w:val="right"/>
              <w:rPr>
                <w:sz w:val="14"/>
                <w:szCs w:val="14"/>
              </w:rPr>
            </w:pPr>
            <w:r>
              <w:rPr>
                <w:sz w:val="14"/>
                <w:szCs w:val="14"/>
              </w:rPr>
              <w:t>1.0</w:t>
            </w:r>
          </w:p>
        </w:tc>
        <w:tc>
          <w:tcPr>
            <w:tcW w:w="990" w:type="dxa"/>
            <w:tcBorders>
              <w:top w:val="single" w:sz="4" w:space="0" w:color="auto"/>
            </w:tcBorders>
          </w:tcPr>
          <w:p w:rsidR="00C15483" w:rsidRPr="005E0C94" w:rsidRDefault="00C15483" w:rsidP="00D237C9">
            <w:pPr>
              <w:jc w:val="right"/>
              <w:rPr>
                <w:sz w:val="14"/>
                <w:szCs w:val="14"/>
              </w:rPr>
            </w:pPr>
            <w:r>
              <w:rPr>
                <w:sz w:val="14"/>
                <w:szCs w:val="14"/>
              </w:rPr>
              <w:t>6.33</w:t>
            </w:r>
          </w:p>
        </w:tc>
        <w:tc>
          <w:tcPr>
            <w:tcW w:w="900" w:type="dxa"/>
            <w:tcBorders>
              <w:top w:val="single" w:sz="4" w:space="0" w:color="auto"/>
            </w:tcBorders>
          </w:tcPr>
          <w:p w:rsidR="00C15483" w:rsidRPr="005E0C94" w:rsidRDefault="00C15483" w:rsidP="00E560C8">
            <w:pPr>
              <w:jc w:val="right"/>
              <w:rPr>
                <w:sz w:val="14"/>
                <w:szCs w:val="14"/>
              </w:rPr>
            </w:pPr>
            <w:r>
              <w:rPr>
                <w:sz w:val="14"/>
                <w:szCs w:val="14"/>
              </w:rPr>
              <w:t>18.0</w:t>
            </w:r>
          </w:p>
        </w:tc>
        <w:tc>
          <w:tcPr>
            <w:tcW w:w="720" w:type="dxa"/>
            <w:tcBorders>
              <w:top w:val="single" w:sz="4" w:space="0" w:color="auto"/>
            </w:tcBorders>
          </w:tcPr>
          <w:p w:rsidR="00C15483" w:rsidRPr="005E0C94" w:rsidRDefault="000D3390" w:rsidP="000D3390">
            <w:pPr>
              <w:jc w:val="right"/>
              <w:rPr>
                <w:sz w:val="14"/>
                <w:szCs w:val="14"/>
              </w:rPr>
            </w:pPr>
            <w:r>
              <w:rPr>
                <w:sz w:val="14"/>
                <w:szCs w:val="14"/>
              </w:rPr>
              <w:t>114</w:t>
            </w:r>
            <w:r w:rsidR="00C15483">
              <w:rPr>
                <w:sz w:val="14"/>
                <w:szCs w:val="14"/>
              </w:rPr>
              <w:t>.0</w:t>
            </w:r>
          </w:p>
        </w:tc>
        <w:tc>
          <w:tcPr>
            <w:tcW w:w="900" w:type="dxa"/>
            <w:tcBorders>
              <w:top w:val="single" w:sz="4" w:space="0" w:color="auto"/>
              <w:right w:val="single" w:sz="12" w:space="0" w:color="auto"/>
            </w:tcBorders>
          </w:tcPr>
          <w:p w:rsidR="00C15483" w:rsidRPr="005E0C94" w:rsidRDefault="00C15483" w:rsidP="00E560C8">
            <w:pPr>
              <w:jc w:val="right"/>
              <w:rPr>
                <w:sz w:val="14"/>
                <w:szCs w:val="14"/>
              </w:rPr>
            </w:pPr>
            <w:r>
              <w:rPr>
                <w:sz w:val="14"/>
                <w:szCs w:val="14"/>
              </w:rPr>
              <w:t xml:space="preserve">$  </w:t>
            </w:r>
            <w:r w:rsidR="000D3390">
              <w:rPr>
                <w:sz w:val="14"/>
                <w:szCs w:val="14"/>
              </w:rPr>
              <w:t xml:space="preserve">  31</w:t>
            </w:r>
            <w:r>
              <w:rPr>
                <w:sz w:val="14"/>
                <w:szCs w:val="14"/>
              </w:rPr>
              <w:t>,</w:t>
            </w:r>
            <w:r w:rsidR="000D3390">
              <w:rPr>
                <w:sz w:val="14"/>
                <w:szCs w:val="14"/>
              </w:rPr>
              <w:t>236</w:t>
            </w:r>
          </w:p>
        </w:tc>
      </w:tr>
      <w:tr w:rsidR="00C0439B" w:rsidTr="00E560C8">
        <w:tc>
          <w:tcPr>
            <w:tcW w:w="648" w:type="dxa"/>
            <w:tcBorders>
              <w:top w:val="single" w:sz="4" w:space="0" w:color="auto"/>
              <w:left w:val="single" w:sz="12" w:space="0" w:color="auto"/>
            </w:tcBorders>
            <w:vAlign w:val="center"/>
          </w:tcPr>
          <w:p w:rsidR="00C0439B" w:rsidRPr="005E0C94" w:rsidRDefault="00C0439B" w:rsidP="00E560C8">
            <w:pPr>
              <w:jc w:val="center"/>
              <w:rPr>
                <w:sz w:val="14"/>
                <w:szCs w:val="14"/>
              </w:rPr>
            </w:pPr>
            <w:r>
              <w:rPr>
                <w:sz w:val="14"/>
                <w:szCs w:val="14"/>
              </w:rPr>
              <w:t>15</w:t>
            </w:r>
          </w:p>
        </w:tc>
        <w:tc>
          <w:tcPr>
            <w:tcW w:w="3420" w:type="dxa"/>
            <w:tcBorders>
              <w:top w:val="single" w:sz="4" w:space="0" w:color="auto"/>
            </w:tcBorders>
            <w:vAlign w:val="center"/>
          </w:tcPr>
          <w:p w:rsidR="00C0439B" w:rsidRPr="007B5BB8" w:rsidRDefault="00C0439B" w:rsidP="00E560C8">
            <w:pPr>
              <w:spacing w:line="216" w:lineRule="auto"/>
            </w:pPr>
            <w:r w:rsidRPr="007B5BB8">
              <w:rPr>
                <w:color w:val="000000"/>
                <w:sz w:val="14"/>
                <w:szCs w:val="14"/>
              </w:rPr>
              <w:t xml:space="preserve">Discharge of biocides, sanitary wastes, and minor chemical </w:t>
            </w:r>
          </w:p>
        </w:tc>
        <w:tc>
          <w:tcPr>
            <w:tcW w:w="1170" w:type="dxa"/>
            <w:tcBorders>
              <w:top w:val="single" w:sz="4" w:space="0" w:color="auto"/>
            </w:tcBorders>
          </w:tcPr>
          <w:p w:rsidR="00C0439B" w:rsidRPr="005E0C94" w:rsidRDefault="00C0439B" w:rsidP="00E560C8">
            <w:pPr>
              <w:jc w:val="right"/>
              <w:rPr>
                <w:sz w:val="14"/>
                <w:szCs w:val="14"/>
              </w:rPr>
            </w:pPr>
            <w:r>
              <w:rPr>
                <w:sz w:val="14"/>
                <w:szCs w:val="14"/>
              </w:rPr>
              <w:t>6.33</w:t>
            </w:r>
          </w:p>
        </w:tc>
        <w:tc>
          <w:tcPr>
            <w:tcW w:w="1260" w:type="dxa"/>
            <w:tcBorders>
              <w:top w:val="single" w:sz="4" w:space="0" w:color="auto"/>
            </w:tcBorders>
          </w:tcPr>
          <w:p w:rsidR="00C0439B" w:rsidRPr="005E0C94" w:rsidRDefault="00C0439B" w:rsidP="00E560C8">
            <w:pPr>
              <w:jc w:val="right"/>
              <w:rPr>
                <w:sz w:val="14"/>
                <w:szCs w:val="14"/>
              </w:rPr>
            </w:pPr>
            <w:r>
              <w:rPr>
                <w:sz w:val="14"/>
                <w:szCs w:val="14"/>
              </w:rPr>
              <w:t>1.0</w:t>
            </w:r>
          </w:p>
        </w:tc>
        <w:tc>
          <w:tcPr>
            <w:tcW w:w="990" w:type="dxa"/>
            <w:tcBorders>
              <w:top w:val="single" w:sz="4" w:space="0" w:color="auto"/>
            </w:tcBorders>
          </w:tcPr>
          <w:p w:rsidR="00C0439B" w:rsidRPr="005E0C94" w:rsidRDefault="00C0439B" w:rsidP="00D237C9">
            <w:pPr>
              <w:jc w:val="right"/>
              <w:rPr>
                <w:sz w:val="14"/>
                <w:szCs w:val="14"/>
              </w:rPr>
            </w:pPr>
            <w:r>
              <w:rPr>
                <w:sz w:val="14"/>
                <w:szCs w:val="14"/>
              </w:rPr>
              <w:t>6.33</w:t>
            </w:r>
          </w:p>
        </w:tc>
        <w:tc>
          <w:tcPr>
            <w:tcW w:w="900" w:type="dxa"/>
            <w:tcBorders>
              <w:top w:val="single" w:sz="4" w:space="0" w:color="auto"/>
            </w:tcBorders>
          </w:tcPr>
          <w:p w:rsidR="00C0439B" w:rsidRPr="005E0C94" w:rsidRDefault="00C0439B" w:rsidP="00E560C8">
            <w:pPr>
              <w:jc w:val="right"/>
              <w:rPr>
                <w:sz w:val="14"/>
                <w:szCs w:val="14"/>
              </w:rPr>
            </w:pPr>
            <w:r>
              <w:rPr>
                <w:sz w:val="14"/>
                <w:szCs w:val="14"/>
              </w:rPr>
              <w:t>18.0</w:t>
            </w:r>
          </w:p>
        </w:tc>
        <w:tc>
          <w:tcPr>
            <w:tcW w:w="720" w:type="dxa"/>
            <w:tcBorders>
              <w:top w:val="single" w:sz="4" w:space="0" w:color="auto"/>
            </w:tcBorders>
          </w:tcPr>
          <w:p w:rsidR="00C0439B" w:rsidRPr="005E0C94" w:rsidRDefault="00C0439B" w:rsidP="00D237C9">
            <w:pPr>
              <w:jc w:val="right"/>
              <w:rPr>
                <w:sz w:val="14"/>
                <w:szCs w:val="14"/>
              </w:rPr>
            </w:pPr>
            <w:r>
              <w:rPr>
                <w:sz w:val="14"/>
                <w:szCs w:val="14"/>
              </w:rPr>
              <w:t>114.0</w:t>
            </w:r>
          </w:p>
        </w:tc>
        <w:tc>
          <w:tcPr>
            <w:tcW w:w="900" w:type="dxa"/>
            <w:tcBorders>
              <w:top w:val="single" w:sz="4" w:space="0" w:color="auto"/>
              <w:right w:val="single" w:sz="12" w:space="0" w:color="auto"/>
            </w:tcBorders>
          </w:tcPr>
          <w:p w:rsidR="00C0439B" w:rsidRPr="005E0C94" w:rsidRDefault="00C0439B" w:rsidP="00D237C9">
            <w:pPr>
              <w:jc w:val="right"/>
              <w:rPr>
                <w:sz w:val="14"/>
                <w:szCs w:val="14"/>
              </w:rPr>
            </w:pPr>
            <w:r>
              <w:rPr>
                <w:sz w:val="14"/>
                <w:szCs w:val="14"/>
              </w:rPr>
              <w:t>$    31,236</w:t>
            </w:r>
          </w:p>
        </w:tc>
      </w:tr>
      <w:tr w:rsidR="00C0439B" w:rsidTr="00E560C8">
        <w:tc>
          <w:tcPr>
            <w:tcW w:w="648" w:type="dxa"/>
            <w:tcBorders>
              <w:top w:val="single" w:sz="4" w:space="0" w:color="auto"/>
              <w:left w:val="single" w:sz="12" w:space="0" w:color="auto"/>
            </w:tcBorders>
            <w:vAlign w:val="center"/>
          </w:tcPr>
          <w:p w:rsidR="00C0439B" w:rsidRPr="005E0C94" w:rsidRDefault="00C0439B" w:rsidP="00E560C8">
            <w:pPr>
              <w:jc w:val="center"/>
              <w:rPr>
                <w:sz w:val="14"/>
                <w:szCs w:val="14"/>
              </w:rPr>
            </w:pPr>
            <w:r>
              <w:rPr>
                <w:sz w:val="14"/>
                <w:szCs w:val="14"/>
              </w:rPr>
              <w:t>31</w:t>
            </w:r>
          </w:p>
        </w:tc>
        <w:tc>
          <w:tcPr>
            <w:tcW w:w="3420" w:type="dxa"/>
            <w:tcBorders>
              <w:top w:val="single" w:sz="4" w:space="0" w:color="auto"/>
            </w:tcBorders>
            <w:vAlign w:val="center"/>
          </w:tcPr>
          <w:p w:rsidR="00C0439B" w:rsidRPr="007B5BB8" w:rsidRDefault="00C0439B" w:rsidP="00E560C8">
            <w:pPr>
              <w:spacing w:line="216" w:lineRule="auto"/>
            </w:pPr>
            <w:r w:rsidRPr="007B5BB8">
              <w:rPr>
                <w:color w:val="000000"/>
                <w:sz w:val="14"/>
                <w:szCs w:val="14"/>
              </w:rPr>
              <w:t>Cooling tower impacts on vegetation (plants with cooling towers)**</w:t>
            </w:r>
          </w:p>
        </w:tc>
        <w:tc>
          <w:tcPr>
            <w:tcW w:w="1170" w:type="dxa"/>
            <w:tcBorders>
              <w:top w:val="single" w:sz="4" w:space="0" w:color="auto"/>
            </w:tcBorders>
          </w:tcPr>
          <w:p w:rsidR="00C0439B" w:rsidRPr="005E0C94" w:rsidRDefault="00C0439B" w:rsidP="00E560C8">
            <w:pPr>
              <w:jc w:val="right"/>
              <w:rPr>
                <w:sz w:val="14"/>
                <w:szCs w:val="14"/>
              </w:rPr>
            </w:pPr>
            <w:r>
              <w:rPr>
                <w:sz w:val="14"/>
                <w:szCs w:val="14"/>
              </w:rPr>
              <w:t>3.1</w:t>
            </w:r>
            <w:r w:rsidR="002E7177">
              <w:rPr>
                <w:sz w:val="14"/>
                <w:szCs w:val="14"/>
              </w:rPr>
              <w:t>7</w:t>
            </w:r>
          </w:p>
        </w:tc>
        <w:tc>
          <w:tcPr>
            <w:tcW w:w="1260" w:type="dxa"/>
            <w:tcBorders>
              <w:top w:val="single" w:sz="4" w:space="0" w:color="auto"/>
            </w:tcBorders>
          </w:tcPr>
          <w:p w:rsidR="00C0439B" w:rsidRPr="005E0C94" w:rsidRDefault="00C0439B" w:rsidP="00E560C8">
            <w:pPr>
              <w:jc w:val="right"/>
              <w:rPr>
                <w:sz w:val="14"/>
                <w:szCs w:val="14"/>
              </w:rPr>
            </w:pPr>
            <w:r>
              <w:rPr>
                <w:sz w:val="14"/>
                <w:szCs w:val="14"/>
              </w:rPr>
              <w:t>1.0</w:t>
            </w:r>
          </w:p>
        </w:tc>
        <w:tc>
          <w:tcPr>
            <w:tcW w:w="990" w:type="dxa"/>
            <w:tcBorders>
              <w:top w:val="single" w:sz="4" w:space="0" w:color="auto"/>
            </w:tcBorders>
          </w:tcPr>
          <w:p w:rsidR="00C0439B" w:rsidRPr="005E0C94" w:rsidRDefault="00C0439B" w:rsidP="00D237C9">
            <w:pPr>
              <w:jc w:val="right"/>
              <w:rPr>
                <w:sz w:val="14"/>
                <w:szCs w:val="14"/>
              </w:rPr>
            </w:pPr>
            <w:r>
              <w:rPr>
                <w:sz w:val="14"/>
                <w:szCs w:val="14"/>
              </w:rPr>
              <w:t>3.1</w:t>
            </w:r>
            <w:r w:rsidR="002E7177">
              <w:rPr>
                <w:sz w:val="14"/>
                <w:szCs w:val="14"/>
              </w:rPr>
              <w:t>7</w:t>
            </w:r>
          </w:p>
        </w:tc>
        <w:tc>
          <w:tcPr>
            <w:tcW w:w="900" w:type="dxa"/>
            <w:tcBorders>
              <w:top w:val="single" w:sz="4" w:space="0" w:color="auto"/>
            </w:tcBorders>
          </w:tcPr>
          <w:p w:rsidR="00C0439B" w:rsidRPr="005E0C94" w:rsidRDefault="00C0439B" w:rsidP="00E560C8">
            <w:pPr>
              <w:jc w:val="right"/>
              <w:rPr>
                <w:sz w:val="14"/>
                <w:szCs w:val="14"/>
              </w:rPr>
            </w:pPr>
            <w:r>
              <w:rPr>
                <w:sz w:val="14"/>
                <w:szCs w:val="14"/>
              </w:rPr>
              <w:t>18.0</w:t>
            </w:r>
          </w:p>
        </w:tc>
        <w:tc>
          <w:tcPr>
            <w:tcW w:w="720" w:type="dxa"/>
            <w:tcBorders>
              <w:top w:val="single" w:sz="4" w:space="0" w:color="auto"/>
            </w:tcBorders>
          </w:tcPr>
          <w:p w:rsidR="00C0439B" w:rsidRPr="005E0C94" w:rsidRDefault="009168D0" w:rsidP="00E560C8">
            <w:pPr>
              <w:jc w:val="right"/>
              <w:rPr>
                <w:sz w:val="14"/>
                <w:szCs w:val="14"/>
              </w:rPr>
            </w:pPr>
            <w:r>
              <w:rPr>
                <w:sz w:val="14"/>
                <w:szCs w:val="14"/>
              </w:rPr>
              <w:t>57.0</w:t>
            </w:r>
          </w:p>
        </w:tc>
        <w:tc>
          <w:tcPr>
            <w:tcW w:w="900" w:type="dxa"/>
            <w:tcBorders>
              <w:top w:val="single" w:sz="4" w:space="0" w:color="auto"/>
              <w:right w:val="single" w:sz="12" w:space="0" w:color="auto"/>
            </w:tcBorders>
          </w:tcPr>
          <w:p w:rsidR="00C0439B" w:rsidRPr="005E0C94" w:rsidRDefault="00C0439B" w:rsidP="009168D0">
            <w:pPr>
              <w:jc w:val="right"/>
              <w:rPr>
                <w:sz w:val="14"/>
                <w:szCs w:val="14"/>
              </w:rPr>
            </w:pPr>
            <w:r>
              <w:rPr>
                <w:sz w:val="14"/>
                <w:szCs w:val="14"/>
              </w:rPr>
              <w:t xml:space="preserve">$    </w:t>
            </w:r>
            <w:r w:rsidR="009168D0">
              <w:rPr>
                <w:sz w:val="14"/>
                <w:szCs w:val="14"/>
              </w:rPr>
              <w:t>15</w:t>
            </w:r>
            <w:r>
              <w:rPr>
                <w:sz w:val="14"/>
                <w:szCs w:val="14"/>
              </w:rPr>
              <w:t>,</w:t>
            </w:r>
            <w:r w:rsidR="009168D0">
              <w:rPr>
                <w:sz w:val="14"/>
                <w:szCs w:val="14"/>
              </w:rPr>
              <w:t>618</w:t>
            </w:r>
          </w:p>
        </w:tc>
      </w:tr>
      <w:tr w:rsidR="00C0439B" w:rsidTr="00E560C8">
        <w:tc>
          <w:tcPr>
            <w:tcW w:w="648" w:type="dxa"/>
            <w:tcBorders>
              <w:top w:val="single" w:sz="4" w:space="0" w:color="auto"/>
              <w:left w:val="single" w:sz="12" w:space="0" w:color="auto"/>
            </w:tcBorders>
            <w:vAlign w:val="center"/>
          </w:tcPr>
          <w:p w:rsidR="00C0439B" w:rsidRDefault="00C0439B" w:rsidP="00E560C8">
            <w:pPr>
              <w:jc w:val="center"/>
              <w:rPr>
                <w:sz w:val="14"/>
                <w:szCs w:val="14"/>
              </w:rPr>
            </w:pPr>
            <w:r>
              <w:rPr>
                <w:sz w:val="14"/>
                <w:szCs w:val="14"/>
              </w:rPr>
              <w:t>32</w:t>
            </w:r>
          </w:p>
        </w:tc>
        <w:tc>
          <w:tcPr>
            <w:tcW w:w="3420" w:type="dxa"/>
            <w:tcBorders>
              <w:top w:val="single" w:sz="4" w:space="0" w:color="auto"/>
            </w:tcBorders>
            <w:vAlign w:val="center"/>
          </w:tcPr>
          <w:p w:rsidR="00C0439B" w:rsidRPr="007B5BB8" w:rsidRDefault="00C0439B" w:rsidP="00E560C8">
            <w:pPr>
              <w:spacing w:line="216" w:lineRule="auto"/>
            </w:pPr>
            <w:r w:rsidRPr="007B5BB8">
              <w:rPr>
                <w:color w:val="000000"/>
                <w:sz w:val="14"/>
                <w:szCs w:val="14"/>
              </w:rPr>
              <w:t>Bird collisions with plant structures and transmission lines</w:t>
            </w:r>
          </w:p>
        </w:tc>
        <w:tc>
          <w:tcPr>
            <w:tcW w:w="1170" w:type="dxa"/>
            <w:tcBorders>
              <w:top w:val="single" w:sz="4" w:space="0" w:color="auto"/>
            </w:tcBorders>
          </w:tcPr>
          <w:p w:rsidR="00C0439B" w:rsidRPr="005E0C94" w:rsidRDefault="00C0439B" w:rsidP="00E560C8">
            <w:pPr>
              <w:jc w:val="right"/>
              <w:rPr>
                <w:sz w:val="14"/>
                <w:szCs w:val="14"/>
              </w:rPr>
            </w:pPr>
            <w:r>
              <w:rPr>
                <w:sz w:val="14"/>
                <w:szCs w:val="14"/>
              </w:rPr>
              <w:t>6.33</w:t>
            </w:r>
          </w:p>
        </w:tc>
        <w:tc>
          <w:tcPr>
            <w:tcW w:w="1260" w:type="dxa"/>
            <w:tcBorders>
              <w:top w:val="single" w:sz="4" w:space="0" w:color="auto"/>
            </w:tcBorders>
          </w:tcPr>
          <w:p w:rsidR="00C0439B" w:rsidRPr="005E0C94" w:rsidRDefault="00C0439B" w:rsidP="00E560C8">
            <w:pPr>
              <w:jc w:val="right"/>
              <w:rPr>
                <w:sz w:val="14"/>
                <w:szCs w:val="14"/>
              </w:rPr>
            </w:pPr>
            <w:r>
              <w:rPr>
                <w:sz w:val="14"/>
                <w:szCs w:val="14"/>
              </w:rPr>
              <w:t>1.0</w:t>
            </w:r>
          </w:p>
        </w:tc>
        <w:tc>
          <w:tcPr>
            <w:tcW w:w="990" w:type="dxa"/>
            <w:tcBorders>
              <w:top w:val="single" w:sz="4" w:space="0" w:color="auto"/>
            </w:tcBorders>
          </w:tcPr>
          <w:p w:rsidR="00C0439B" w:rsidRPr="005E0C94" w:rsidRDefault="00C0439B" w:rsidP="00D237C9">
            <w:pPr>
              <w:jc w:val="right"/>
              <w:rPr>
                <w:sz w:val="14"/>
                <w:szCs w:val="14"/>
              </w:rPr>
            </w:pPr>
            <w:r>
              <w:rPr>
                <w:sz w:val="14"/>
                <w:szCs w:val="14"/>
              </w:rPr>
              <w:t>6.33</w:t>
            </w:r>
          </w:p>
        </w:tc>
        <w:tc>
          <w:tcPr>
            <w:tcW w:w="900" w:type="dxa"/>
            <w:tcBorders>
              <w:top w:val="single" w:sz="4" w:space="0" w:color="auto"/>
            </w:tcBorders>
          </w:tcPr>
          <w:p w:rsidR="00C0439B" w:rsidRPr="005E0C94" w:rsidRDefault="00C0439B" w:rsidP="00E560C8">
            <w:pPr>
              <w:jc w:val="right"/>
              <w:rPr>
                <w:sz w:val="14"/>
                <w:szCs w:val="14"/>
              </w:rPr>
            </w:pPr>
            <w:r>
              <w:rPr>
                <w:sz w:val="14"/>
                <w:szCs w:val="14"/>
              </w:rPr>
              <w:t>18.0</w:t>
            </w:r>
          </w:p>
        </w:tc>
        <w:tc>
          <w:tcPr>
            <w:tcW w:w="720" w:type="dxa"/>
            <w:tcBorders>
              <w:top w:val="single" w:sz="4" w:space="0" w:color="auto"/>
            </w:tcBorders>
          </w:tcPr>
          <w:p w:rsidR="00C0439B" w:rsidRPr="005E0C94" w:rsidRDefault="0078678E" w:rsidP="00E560C8">
            <w:pPr>
              <w:jc w:val="right"/>
              <w:rPr>
                <w:sz w:val="14"/>
                <w:szCs w:val="14"/>
              </w:rPr>
            </w:pPr>
            <w:r>
              <w:rPr>
                <w:sz w:val="14"/>
                <w:szCs w:val="14"/>
              </w:rPr>
              <w:t>114.0</w:t>
            </w:r>
          </w:p>
        </w:tc>
        <w:tc>
          <w:tcPr>
            <w:tcW w:w="900" w:type="dxa"/>
            <w:tcBorders>
              <w:top w:val="single" w:sz="4" w:space="0" w:color="auto"/>
              <w:right w:val="single" w:sz="12" w:space="0" w:color="auto"/>
            </w:tcBorders>
          </w:tcPr>
          <w:p w:rsidR="00C0439B" w:rsidRPr="005E0C94" w:rsidRDefault="00C0439B" w:rsidP="00E560C8">
            <w:pPr>
              <w:jc w:val="right"/>
              <w:rPr>
                <w:sz w:val="14"/>
                <w:szCs w:val="14"/>
              </w:rPr>
            </w:pPr>
            <w:r>
              <w:rPr>
                <w:sz w:val="14"/>
                <w:szCs w:val="14"/>
              </w:rPr>
              <w:t>$</w:t>
            </w:r>
            <w:r w:rsidR="0071429E">
              <w:rPr>
                <w:sz w:val="14"/>
                <w:szCs w:val="14"/>
              </w:rPr>
              <w:t xml:space="preserve"> </w:t>
            </w:r>
            <w:r>
              <w:rPr>
                <w:sz w:val="14"/>
                <w:szCs w:val="14"/>
              </w:rPr>
              <w:t xml:space="preserve">   </w:t>
            </w:r>
            <w:r w:rsidR="0078678E">
              <w:rPr>
                <w:sz w:val="14"/>
                <w:szCs w:val="14"/>
              </w:rPr>
              <w:t>31</w:t>
            </w:r>
            <w:r>
              <w:rPr>
                <w:sz w:val="14"/>
                <w:szCs w:val="14"/>
              </w:rPr>
              <w:t>,</w:t>
            </w:r>
            <w:r w:rsidR="0078678E">
              <w:rPr>
                <w:sz w:val="14"/>
                <w:szCs w:val="14"/>
              </w:rPr>
              <w:t>236</w:t>
            </w:r>
          </w:p>
        </w:tc>
      </w:tr>
      <w:tr w:rsidR="00C31C03" w:rsidTr="00E560C8">
        <w:tc>
          <w:tcPr>
            <w:tcW w:w="648" w:type="dxa"/>
            <w:tcBorders>
              <w:top w:val="single" w:sz="4" w:space="0" w:color="auto"/>
              <w:left w:val="single" w:sz="12" w:space="0" w:color="auto"/>
            </w:tcBorders>
            <w:vAlign w:val="center"/>
          </w:tcPr>
          <w:p w:rsidR="00C31C03" w:rsidRDefault="00C31C03" w:rsidP="00E560C8">
            <w:pPr>
              <w:jc w:val="center"/>
              <w:rPr>
                <w:sz w:val="14"/>
                <w:szCs w:val="14"/>
              </w:rPr>
            </w:pPr>
            <w:r>
              <w:rPr>
                <w:sz w:val="14"/>
                <w:szCs w:val="14"/>
              </w:rPr>
              <w:t>34</w:t>
            </w:r>
          </w:p>
        </w:tc>
        <w:tc>
          <w:tcPr>
            <w:tcW w:w="3420" w:type="dxa"/>
            <w:tcBorders>
              <w:top w:val="single" w:sz="4" w:space="0" w:color="auto"/>
            </w:tcBorders>
            <w:vAlign w:val="center"/>
          </w:tcPr>
          <w:p w:rsidR="00C31C03" w:rsidRPr="007B5BB8" w:rsidRDefault="00C31C03" w:rsidP="00E560C8">
            <w:r w:rsidRPr="007B5BB8">
              <w:rPr>
                <w:color w:val="000000"/>
                <w:sz w:val="14"/>
                <w:szCs w:val="14"/>
              </w:rPr>
              <w:t>Transmission line right-of-way (ROW) management impacts on terrestrial resources</w:t>
            </w:r>
          </w:p>
        </w:tc>
        <w:tc>
          <w:tcPr>
            <w:tcW w:w="1170" w:type="dxa"/>
            <w:tcBorders>
              <w:top w:val="single" w:sz="4" w:space="0" w:color="auto"/>
            </w:tcBorders>
          </w:tcPr>
          <w:p w:rsidR="00C31C03" w:rsidRPr="005E0C94" w:rsidRDefault="00C31C03" w:rsidP="00E560C8">
            <w:pPr>
              <w:jc w:val="right"/>
              <w:rPr>
                <w:sz w:val="14"/>
                <w:szCs w:val="14"/>
              </w:rPr>
            </w:pPr>
            <w:r>
              <w:rPr>
                <w:sz w:val="14"/>
                <w:szCs w:val="14"/>
              </w:rPr>
              <w:t>6.33</w:t>
            </w:r>
          </w:p>
        </w:tc>
        <w:tc>
          <w:tcPr>
            <w:tcW w:w="1260" w:type="dxa"/>
            <w:tcBorders>
              <w:top w:val="single" w:sz="4" w:space="0" w:color="auto"/>
            </w:tcBorders>
          </w:tcPr>
          <w:p w:rsidR="00C31C03" w:rsidRPr="005E0C94" w:rsidRDefault="00C31C03" w:rsidP="00E560C8">
            <w:pPr>
              <w:jc w:val="right"/>
              <w:rPr>
                <w:sz w:val="14"/>
                <w:szCs w:val="14"/>
              </w:rPr>
            </w:pPr>
            <w:r>
              <w:rPr>
                <w:sz w:val="14"/>
                <w:szCs w:val="14"/>
              </w:rPr>
              <w:t>1.0</w:t>
            </w:r>
          </w:p>
        </w:tc>
        <w:tc>
          <w:tcPr>
            <w:tcW w:w="990" w:type="dxa"/>
            <w:tcBorders>
              <w:top w:val="single" w:sz="4" w:space="0" w:color="auto"/>
            </w:tcBorders>
          </w:tcPr>
          <w:p w:rsidR="00C31C03" w:rsidRPr="005E0C94" w:rsidRDefault="00C31C03" w:rsidP="00D237C9">
            <w:pPr>
              <w:jc w:val="right"/>
              <w:rPr>
                <w:sz w:val="14"/>
                <w:szCs w:val="14"/>
              </w:rPr>
            </w:pPr>
            <w:r>
              <w:rPr>
                <w:sz w:val="14"/>
                <w:szCs w:val="14"/>
              </w:rPr>
              <w:t>6.33</w:t>
            </w:r>
          </w:p>
        </w:tc>
        <w:tc>
          <w:tcPr>
            <w:tcW w:w="900" w:type="dxa"/>
            <w:tcBorders>
              <w:top w:val="single" w:sz="4" w:space="0" w:color="auto"/>
            </w:tcBorders>
          </w:tcPr>
          <w:p w:rsidR="00C31C03" w:rsidRPr="005E0C94" w:rsidRDefault="00C31C03" w:rsidP="00E560C8">
            <w:pPr>
              <w:jc w:val="right"/>
              <w:rPr>
                <w:sz w:val="14"/>
                <w:szCs w:val="14"/>
              </w:rPr>
            </w:pPr>
            <w:r>
              <w:rPr>
                <w:sz w:val="14"/>
                <w:szCs w:val="14"/>
              </w:rPr>
              <w:t>18.0</w:t>
            </w:r>
          </w:p>
        </w:tc>
        <w:tc>
          <w:tcPr>
            <w:tcW w:w="720" w:type="dxa"/>
            <w:tcBorders>
              <w:top w:val="single" w:sz="4" w:space="0" w:color="auto"/>
            </w:tcBorders>
          </w:tcPr>
          <w:p w:rsidR="00C31C03" w:rsidRPr="005E0C94" w:rsidRDefault="00C31C03" w:rsidP="00D237C9">
            <w:pPr>
              <w:jc w:val="right"/>
              <w:rPr>
                <w:sz w:val="14"/>
                <w:szCs w:val="14"/>
              </w:rPr>
            </w:pPr>
            <w:r>
              <w:rPr>
                <w:sz w:val="14"/>
                <w:szCs w:val="14"/>
              </w:rPr>
              <w:t>114.0</w:t>
            </w:r>
          </w:p>
        </w:tc>
        <w:tc>
          <w:tcPr>
            <w:tcW w:w="900" w:type="dxa"/>
            <w:tcBorders>
              <w:top w:val="single" w:sz="4" w:space="0" w:color="auto"/>
              <w:right w:val="single" w:sz="12" w:space="0" w:color="auto"/>
            </w:tcBorders>
          </w:tcPr>
          <w:p w:rsidR="00C31C03" w:rsidRPr="005E0C94" w:rsidRDefault="00C31C03" w:rsidP="00D237C9">
            <w:pPr>
              <w:jc w:val="right"/>
              <w:rPr>
                <w:sz w:val="14"/>
                <w:szCs w:val="14"/>
              </w:rPr>
            </w:pPr>
            <w:r>
              <w:rPr>
                <w:sz w:val="14"/>
                <w:szCs w:val="14"/>
              </w:rPr>
              <w:t>$</w:t>
            </w:r>
            <w:r w:rsidR="0071429E">
              <w:rPr>
                <w:sz w:val="14"/>
                <w:szCs w:val="14"/>
              </w:rPr>
              <w:t xml:space="preserve"> </w:t>
            </w:r>
            <w:r>
              <w:rPr>
                <w:sz w:val="14"/>
                <w:szCs w:val="14"/>
              </w:rPr>
              <w:t xml:space="preserve">   31,236</w:t>
            </w:r>
          </w:p>
        </w:tc>
      </w:tr>
      <w:tr w:rsidR="00C31C03" w:rsidTr="00E560C8">
        <w:tc>
          <w:tcPr>
            <w:tcW w:w="648" w:type="dxa"/>
            <w:tcBorders>
              <w:top w:val="single" w:sz="4" w:space="0" w:color="auto"/>
              <w:left w:val="single" w:sz="12" w:space="0" w:color="auto"/>
            </w:tcBorders>
            <w:vAlign w:val="center"/>
          </w:tcPr>
          <w:p w:rsidR="00C31C03" w:rsidRDefault="00C31C03" w:rsidP="00E560C8">
            <w:pPr>
              <w:jc w:val="center"/>
              <w:rPr>
                <w:sz w:val="14"/>
                <w:szCs w:val="14"/>
              </w:rPr>
            </w:pPr>
            <w:r>
              <w:rPr>
                <w:sz w:val="14"/>
                <w:szCs w:val="14"/>
              </w:rPr>
              <w:t>36</w:t>
            </w:r>
          </w:p>
        </w:tc>
        <w:tc>
          <w:tcPr>
            <w:tcW w:w="3420" w:type="dxa"/>
            <w:tcBorders>
              <w:top w:val="single" w:sz="4" w:space="0" w:color="auto"/>
            </w:tcBorders>
            <w:vAlign w:val="center"/>
          </w:tcPr>
          <w:p w:rsidR="00C31C03" w:rsidRPr="007B5BB8" w:rsidRDefault="00C31C03" w:rsidP="00E560C8">
            <w:pPr>
              <w:spacing w:line="216" w:lineRule="auto"/>
            </w:pPr>
            <w:r w:rsidRPr="007B5BB8">
              <w:rPr>
                <w:color w:val="000000"/>
                <w:sz w:val="14"/>
                <w:szCs w:val="14"/>
              </w:rPr>
              <w:t>Impingement and entrainment of aquatic organisms (plants with once-through cooling systems or cooling ponds)**</w:t>
            </w:r>
          </w:p>
        </w:tc>
        <w:tc>
          <w:tcPr>
            <w:tcW w:w="1170" w:type="dxa"/>
            <w:tcBorders>
              <w:top w:val="single" w:sz="4" w:space="0" w:color="auto"/>
            </w:tcBorders>
          </w:tcPr>
          <w:p w:rsidR="00C31C03" w:rsidRPr="005E0C94" w:rsidRDefault="00C31C03" w:rsidP="00E560C8">
            <w:pPr>
              <w:jc w:val="right"/>
              <w:rPr>
                <w:sz w:val="14"/>
                <w:szCs w:val="14"/>
              </w:rPr>
            </w:pPr>
            <w:r>
              <w:rPr>
                <w:sz w:val="14"/>
                <w:szCs w:val="14"/>
              </w:rPr>
              <w:t>3.16</w:t>
            </w:r>
          </w:p>
        </w:tc>
        <w:tc>
          <w:tcPr>
            <w:tcW w:w="1260" w:type="dxa"/>
            <w:tcBorders>
              <w:top w:val="single" w:sz="4" w:space="0" w:color="auto"/>
            </w:tcBorders>
          </w:tcPr>
          <w:p w:rsidR="00C31C03" w:rsidRPr="005E0C94" w:rsidRDefault="00C31C03" w:rsidP="00E560C8">
            <w:pPr>
              <w:jc w:val="right"/>
              <w:rPr>
                <w:sz w:val="14"/>
                <w:szCs w:val="14"/>
              </w:rPr>
            </w:pPr>
            <w:r>
              <w:rPr>
                <w:sz w:val="14"/>
                <w:szCs w:val="14"/>
              </w:rPr>
              <w:t>1.0</w:t>
            </w:r>
          </w:p>
        </w:tc>
        <w:tc>
          <w:tcPr>
            <w:tcW w:w="990" w:type="dxa"/>
            <w:tcBorders>
              <w:top w:val="single" w:sz="4" w:space="0" w:color="auto"/>
            </w:tcBorders>
          </w:tcPr>
          <w:p w:rsidR="00C31C03" w:rsidRPr="005E0C94" w:rsidRDefault="00C31C03" w:rsidP="00D237C9">
            <w:pPr>
              <w:jc w:val="right"/>
              <w:rPr>
                <w:sz w:val="14"/>
                <w:szCs w:val="14"/>
              </w:rPr>
            </w:pPr>
            <w:r>
              <w:rPr>
                <w:sz w:val="14"/>
                <w:szCs w:val="14"/>
              </w:rPr>
              <w:t>3.16</w:t>
            </w:r>
          </w:p>
        </w:tc>
        <w:tc>
          <w:tcPr>
            <w:tcW w:w="900" w:type="dxa"/>
            <w:tcBorders>
              <w:top w:val="single" w:sz="4" w:space="0" w:color="auto"/>
            </w:tcBorders>
          </w:tcPr>
          <w:p w:rsidR="00C31C03" w:rsidRPr="005E0C94" w:rsidRDefault="00C31C03" w:rsidP="00E560C8">
            <w:pPr>
              <w:jc w:val="right"/>
              <w:rPr>
                <w:sz w:val="14"/>
                <w:szCs w:val="14"/>
              </w:rPr>
            </w:pPr>
            <w:r>
              <w:rPr>
                <w:sz w:val="14"/>
                <w:szCs w:val="14"/>
              </w:rPr>
              <w:t>73.0</w:t>
            </w:r>
          </w:p>
        </w:tc>
        <w:tc>
          <w:tcPr>
            <w:tcW w:w="720" w:type="dxa"/>
            <w:tcBorders>
              <w:top w:val="single" w:sz="4" w:space="0" w:color="auto"/>
            </w:tcBorders>
          </w:tcPr>
          <w:p w:rsidR="00C31C03" w:rsidRPr="005E0C94" w:rsidRDefault="00C31C03" w:rsidP="00455FB5">
            <w:pPr>
              <w:jc w:val="right"/>
              <w:rPr>
                <w:sz w:val="14"/>
                <w:szCs w:val="14"/>
              </w:rPr>
            </w:pPr>
            <w:r>
              <w:rPr>
                <w:sz w:val="14"/>
                <w:szCs w:val="14"/>
              </w:rPr>
              <w:t>2</w:t>
            </w:r>
            <w:r w:rsidR="002E7177">
              <w:rPr>
                <w:sz w:val="14"/>
                <w:szCs w:val="14"/>
              </w:rPr>
              <w:t>31</w:t>
            </w:r>
            <w:r>
              <w:rPr>
                <w:sz w:val="14"/>
                <w:szCs w:val="14"/>
              </w:rPr>
              <w:t>.</w:t>
            </w:r>
            <w:r w:rsidR="00455FB5">
              <w:rPr>
                <w:sz w:val="14"/>
                <w:szCs w:val="14"/>
              </w:rPr>
              <w:t>0</w:t>
            </w:r>
          </w:p>
        </w:tc>
        <w:tc>
          <w:tcPr>
            <w:tcW w:w="900" w:type="dxa"/>
            <w:tcBorders>
              <w:top w:val="single" w:sz="4" w:space="0" w:color="auto"/>
              <w:right w:val="single" w:sz="12" w:space="0" w:color="auto"/>
            </w:tcBorders>
          </w:tcPr>
          <w:p w:rsidR="00C31C03" w:rsidRPr="005E0C94" w:rsidRDefault="00C31C03" w:rsidP="00455FB5">
            <w:pPr>
              <w:jc w:val="right"/>
              <w:rPr>
                <w:sz w:val="14"/>
                <w:szCs w:val="14"/>
              </w:rPr>
            </w:pPr>
            <w:r>
              <w:rPr>
                <w:sz w:val="14"/>
                <w:szCs w:val="14"/>
              </w:rPr>
              <w:t>$</w:t>
            </w:r>
            <w:r w:rsidR="0071429E">
              <w:rPr>
                <w:sz w:val="14"/>
                <w:szCs w:val="14"/>
              </w:rPr>
              <w:t xml:space="preserve"> </w:t>
            </w:r>
            <w:r>
              <w:rPr>
                <w:sz w:val="14"/>
                <w:szCs w:val="14"/>
              </w:rPr>
              <w:t xml:space="preserve">   63,</w:t>
            </w:r>
            <w:r w:rsidR="00455FB5">
              <w:rPr>
                <w:sz w:val="14"/>
                <w:szCs w:val="14"/>
              </w:rPr>
              <w:t>294</w:t>
            </w:r>
          </w:p>
        </w:tc>
      </w:tr>
      <w:tr w:rsidR="00C31C03" w:rsidTr="00E560C8">
        <w:tc>
          <w:tcPr>
            <w:tcW w:w="648" w:type="dxa"/>
            <w:tcBorders>
              <w:top w:val="single" w:sz="4" w:space="0" w:color="auto"/>
              <w:left w:val="single" w:sz="12" w:space="0" w:color="auto"/>
            </w:tcBorders>
            <w:vAlign w:val="center"/>
          </w:tcPr>
          <w:p w:rsidR="00C31C03" w:rsidRDefault="00C31C03" w:rsidP="00E560C8">
            <w:pPr>
              <w:jc w:val="center"/>
              <w:rPr>
                <w:sz w:val="14"/>
                <w:szCs w:val="14"/>
              </w:rPr>
            </w:pPr>
            <w:r>
              <w:rPr>
                <w:sz w:val="14"/>
                <w:szCs w:val="14"/>
              </w:rPr>
              <w:t>37</w:t>
            </w:r>
          </w:p>
        </w:tc>
        <w:tc>
          <w:tcPr>
            <w:tcW w:w="3420" w:type="dxa"/>
            <w:tcBorders>
              <w:top w:val="single" w:sz="4" w:space="0" w:color="auto"/>
            </w:tcBorders>
            <w:vAlign w:val="center"/>
          </w:tcPr>
          <w:p w:rsidR="00C31C03" w:rsidRPr="007B5BB8" w:rsidRDefault="00C31C03" w:rsidP="00E560C8">
            <w:pPr>
              <w:spacing w:line="216" w:lineRule="auto"/>
            </w:pPr>
            <w:r w:rsidRPr="007B5BB8">
              <w:rPr>
                <w:color w:val="000000"/>
                <w:sz w:val="14"/>
                <w:szCs w:val="14"/>
              </w:rPr>
              <w:t>Impingement and entrainment of aquatic organisms (plants with cooling towers)**</w:t>
            </w:r>
          </w:p>
        </w:tc>
        <w:tc>
          <w:tcPr>
            <w:tcW w:w="1170" w:type="dxa"/>
            <w:tcBorders>
              <w:top w:val="single" w:sz="4" w:space="0" w:color="auto"/>
            </w:tcBorders>
          </w:tcPr>
          <w:p w:rsidR="00C31C03" w:rsidRPr="005E0C94" w:rsidRDefault="00C31C03" w:rsidP="00E560C8">
            <w:pPr>
              <w:jc w:val="right"/>
              <w:rPr>
                <w:sz w:val="14"/>
                <w:szCs w:val="14"/>
              </w:rPr>
            </w:pPr>
            <w:r>
              <w:rPr>
                <w:sz w:val="14"/>
                <w:szCs w:val="14"/>
              </w:rPr>
              <w:t>3.16</w:t>
            </w:r>
          </w:p>
        </w:tc>
        <w:tc>
          <w:tcPr>
            <w:tcW w:w="1260" w:type="dxa"/>
            <w:tcBorders>
              <w:top w:val="single" w:sz="4" w:space="0" w:color="auto"/>
            </w:tcBorders>
          </w:tcPr>
          <w:p w:rsidR="00C31C03" w:rsidRPr="005E0C94" w:rsidRDefault="00C31C03" w:rsidP="00E560C8">
            <w:pPr>
              <w:jc w:val="right"/>
              <w:rPr>
                <w:sz w:val="14"/>
                <w:szCs w:val="14"/>
              </w:rPr>
            </w:pPr>
            <w:r>
              <w:rPr>
                <w:sz w:val="14"/>
                <w:szCs w:val="14"/>
              </w:rPr>
              <w:t>1.0</w:t>
            </w:r>
          </w:p>
        </w:tc>
        <w:tc>
          <w:tcPr>
            <w:tcW w:w="990" w:type="dxa"/>
            <w:tcBorders>
              <w:top w:val="single" w:sz="4" w:space="0" w:color="auto"/>
            </w:tcBorders>
          </w:tcPr>
          <w:p w:rsidR="00C31C03" w:rsidRPr="005E0C94" w:rsidRDefault="00C31C03" w:rsidP="00D237C9">
            <w:pPr>
              <w:jc w:val="right"/>
              <w:rPr>
                <w:sz w:val="14"/>
                <w:szCs w:val="14"/>
              </w:rPr>
            </w:pPr>
            <w:r>
              <w:rPr>
                <w:sz w:val="14"/>
                <w:szCs w:val="14"/>
              </w:rPr>
              <w:t>3.16</w:t>
            </w:r>
          </w:p>
        </w:tc>
        <w:tc>
          <w:tcPr>
            <w:tcW w:w="900" w:type="dxa"/>
            <w:tcBorders>
              <w:top w:val="single" w:sz="4" w:space="0" w:color="auto"/>
            </w:tcBorders>
          </w:tcPr>
          <w:p w:rsidR="00C31C03" w:rsidRPr="005E0C94" w:rsidRDefault="00C31C03" w:rsidP="00E560C8">
            <w:pPr>
              <w:jc w:val="right"/>
              <w:rPr>
                <w:sz w:val="14"/>
                <w:szCs w:val="14"/>
              </w:rPr>
            </w:pPr>
            <w:r>
              <w:rPr>
                <w:sz w:val="14"/>
                <w:szCs w:val="14"/>
              </w:rPr>
              <w:t>18.0</w:t>
            </w:r>
          </w:p>
        </w:tc>
        <w:tc>
          <w:tcPr>
            <w:tcW w:w="720" w:type="dxa"/>
            <w:tcBorders>
              <w:top w:val="single" w:sz="4" w:space="0" w:color="auto"/>
            </w:tcBorders>
          </w:tcPr>
          <w:p w:rsidR="00C31C03" w:rsidRPr="005E0C94" w:rsidRDefault="00C31C03" w:rsidP="00E560C8">
            <w:pPr>
              <w:jc w:val="right"/>
              <w:rPr>
                <w:sz w:val="14"/>
                <w:szCs w:val="14"/>
              </w:rPr>
            </w:pPr>
            <w:r>
              <w:rPr>
                <w:sz w:val="14"/>
                <w:szCs w:val="14"/>
              </w:rPr>
              <w:t>57.0</w:t>
            </w:r>
          </w:p>
        </w:tc>
        <w:tc>
          <w:tcPr>
            <w:tcW w:w="900" w:type="dxa"/>
            <w:tcBorders>
              <w:top w:val="single" w:sz="4" w:space="0" w:color="auto"/>
              <w:right w:val="single" w:sz="12" w:space="0" w:color="auto"/>
            </w:tcBorders>
          </w:tcPr>
          <w:p w:rsidR="00C31C03" w:rsidRPr="005E0C94" w:rsidRDefault="00C31C03" w:rsidP="00C31C03">
            <w:pPr>
              <w:jc w:val="right"/>
              <w:rPr>
                <w:sz w:val="14"/>
                <w:szCs w:val="14"/>
              </w:rPr>
            </w:pPr>
            <w:r>
              <w:rPr>
                <w:sz w:val="14"/>
                <w:szCs w:val="14"/>
              </w:rPr>
              <w:t>$    15,618</w:t>
            </w:r>
          </w:p>
        </w:tc>
      </w:tr>
      <w:tr w:rsidR="00C31C03" w:rsidTr="00E560C8">
        <w:tc>
          <w:tcPr>
            <w:tcW w:w="648" w:type="dxa"/>
            <w:tcBorders>
              <w:top w:val="single" w:sz="4" w:space="0" w:color="auto"/>
              <w:left w:val="single" w:sz="12" w:space="0" w:color="auto"/>
            </w:tcBorders>
            <w:vAlign w:val="center"/>
          </w:tcPr>
          <w:p w:rsidR="00C31C03" w:rsidRDefault="00C31C03" w:rsidP="00E560C8">
            <w:pPr>
              <w:jc w:val="center"/>
              <w:rPr>
                <w:sz w:val="14"/>
                <w:szCs w:val="14"/>
              </w:rPr>
            </w:pPr>
            <w:r>
              <w:rPr>
                <w:sz w:val="14"/>
                <w:szCs w:val="14"/>
              </w:rPr>
              <w:t>41</w:t>
            </w:r>
          </w:p>
        </w:tc>
        <w:tc>
          <w:tcPr>
            <w:tcW w:w="3420" w:type="dxa"/>
            <w:tcBorders>
              <w:top w:val="single" w:sz="4" w:space="0" w:color="auto"/>
            </w:tcBorders>
            <w:vAlign w:val="center"/>
          </w:tcPr>
          <w:p w:rsidR="00C31C03" w:rsidRPr="007B5BB8" w:rsidRDefault="00C31C03" w:rsidP="00E560C8">
            <w:r w:rsidRPr="007B5BB8">
              <w:rPr>
                <w:color w:val="000000"/>
                <w:sz w:val="14"/>
                <w:szCs w:val="14"/>
              </w:rPr>
              <w:t>Infrequently reported thermal impacts (all plants)</w:t>
            </w:r>
          </w:p>
        </w:tc>
        <w:tc>
          <w:tcPr>
            <w:tcW w:w="1170" w:type="dxa"/>
            <w:tcBorders>
              <w:top w:val="single" w:sz="4" w:space="0" w:color="auto"/>
            </w:tcBorders>
          </w:tcPr>
          <w:p w:rsidR="00C31C03" w:rsidRPr="005E0C94" w:rsidRDefault="00C31C03" w:rsidP="00E560C8">
            <w:pPr>
              <w:jc w:val="right"/>
              <w:rPr>
                <w:sz w:val="14"/>
                <w:szCs w:val="14"/>
              </w:rPr>
            </w:pPr>
            <w:r>
              <w:rPr>
                <w:sz w:val="14"/>
                <w:szCs w:val="14"/>
              </w:rPr>
              <w:t>6.33</w:t>
            </w:r>
          </w:p>
        </w:tc>
        <w:tc>
          <w:tcPr>
            <w:tcW w:w="1260" w:type="dxa"/>
            <w:tcBorders>
              <w:top w:val="single" w:sz="4" w:space="0" w:color="auto"/>
            </w:tcBorders>
          </w:tcPr>
          <w:p w:rsidR="00C31C03" w:rsidRPr="005E0C94" w:rsidRDefault="00C31C03" w:rsidP="00E560C8">
            <w:pPr>
              <w:jc w:val="right"/>
              <w:rPr>
                <w:sz w:val="14"/>
                <w:szCs w:val="14"/>
              </w:rPr>
            </w:pPr>
            <w:r>
              <w:rPr>
                <w:sz w:val="14"/>
                <w:szCs w:val="14"/>
              </w:rPr>
              <w:t>1.0</w:t>
            </w:r>
          </w:p>
        </w:tc>
        <w:tc>
          <w:tcPr>
            <w:tcW w:w="990" w:type="dxa"/>
            <w:tcBorders>
              <w:top w:val="single" w:sz="4" w:space="0" w:color="auto"/>
            </w:tcBorders>
          </w:tcPr>
          <w:p w:rsidR="00C31C03" w:rsidRPr="005E0C94" w:rsidRDefault="00C31C03" w:rsidP="00D237C9">
            <w:pPr>
              <w:jc w:val="right"/>
              <w:rPr>
                <w:sz w:val="14"/>
                <w:szCs w:val="14"/>
              </w:rPr>
            </w:pPr>
            <w:r>
              <w:rPr>
                <w:sz w:val="14"/>
                <w:szCs w:val="14"/>
              </w:rPr>
              <w:t>6.33</w:t>
            </w:r>
          </w:p>
        </w:tc>
        <w:tc>
          <w:tcPr>
            <w:tcW w:w="900" w:type="dxa"/>
            <w:tcBorders>
              <w:top w:val="single" w:sz="4" w:space="0" w:color="auto"/>
            </w:tcBorders>
          </w:tcPr>
          <w:p w:rsidR="00C31C03" w:rsidRPr="005E0C94" w:rsidRDefault="00C31C03" w:rsidP="00E560C8">
            <w:pPr>
              <w:jc w:val="right"/>
              <w:rPr>
                <w:sz w:val="14"/>
                <w:szCs w:val="14"/>
              </w:rPr>
            </w:pPr>
            <w:r>
              <w:rPr>
                <w:sz w:val="14"/>
                <w:szCs w:val="14"/>
              </w:rPr>
              <w:t>72.0</w:t>
            </w:r>
          </w:p>
        </w:tc>
        <w:tc>
          <w:tcPr>
            <w:tcW w:w="720" w:type="dxa"/>
            <w:tcBorders>
              <w:top w:val="single" w:sz="4" w:space="0" w:color="auto"/>
            </w:tcBorders>
          </w:tcPr>
          <w:p w:rsidR="00C31C03" w:rsidRPr="005E0C94" w:rsidRDefault="004841F9" w:rsidP="004841F9">
            <w:pPr>
              <w:jc w:val="right"/>
              <w:rPr>
                <w:sz w:val="14"/>
                <w:szCs w:val="14"/>
              </w:rPr>
            </w:pPr>
            <w:r>
              <w:rPr>
                <w:sz w:val="14"/>
                <w:szCs w:val="14"/>
              </w:rPr>
              <w:t>456</w:t>
            </w:r>
            <w:r w:rsidR="00C31C03">
              <w:rPr>
                <w:sz w:val="14"/>
                <w:szCs w:val="14"/>
              </w:rPr>
              <w:t>.0</w:t>
            </w:r>
          </w:p>
        </w:tc>
        <w:tc>
          <w:tcPr>
            <w:tcW w:w="900" w:type="dxa"/>
            <w:tcBorders>
              <w:top w:val="single" w:sz="4" w:space="0" w:color="auto"/>
              <w:right w:val="single" w:sz="12" w:space="0" w:color="auto"/>
            </w:tcBorders>
          </w:tcPr>
          <w:p w:rsidR="00C31C03" w:rsidRPr="005E0C94" w:rsidRDefault="00C31C03" w:rsidP="004841F9">
            <w:pPr>
              <w:jc w:val="right"/>
              <w:rPr>
                <w:sz w:val="14"/>
                <w:szCs w:val="14"/>
              </w:rPr>
            </w:pPr>
            <w:r>
              <w:rPr>
                <w:sz w:val="14"/>
                <w:szCs w:val="14"/>
              </w:rPr>
              <w:t xml:space="preserve">$  </w:t>
            </w:r>
            <w:r w:rsidR="004841F9">
              <w:rPr>
                <w:sz w:val="14"/>
                <w:szCs w:val="14"/>
              </w:rPr>
              <w:t>124,944</w:t>
            </w:r>
          </w:p>
        </w:tc>
      </w:tr>
      <w:tr w:rsidR="00C31C03" w:rsidTr="00E560C8">
        <w:tc>
          <w:tcPr>
            <w:tcW w:w="648" w:type="dxa"/>
            <w:tcBorders>
              <w:top w:val="single" w:sz="4" w:space="0" w:color="auto"/>
              <w:left w:val="single" w:sz="12" w:space="0" w:color="auto"/>
            </w:tcBorders>
            <w:vAlign w:val="center"/>
          </w:tcPr>
          <w:p w:rsidR="00C31C03" w:rsidRDefault="00C31C03" w:rsidP="00E560C8">
            <w:pPr>
              <w:jc w:val="center"/>
              <w:rPr>
                <w:sz w:val="14"/>
                <w:szCs w:val="14"/>
              </w:rPr>
            </w:pPr>
            <w:r>
              <w:rPr>
                <w:sz w:val="14"/>
                <w:szCs w:val="14"/>
              </w:rPr>
              <w:t>42</w:t>
            </w:r>
          </w:p>
        </w:tc>
        <w:tc>
          <w:tcPr>
            <w:tcW w:w="3420" w:type="dxa"/>
            <w:tcBorders>
              <w:top w:val="single" w:sz="4" w:space="0" w:color="auto"/>
            </w:tcBorders>
            <w:vAlign w:val="center"/>
          </w:tcPr>
          <w:p w:rsidR="00C31C03" w:rsidRPr="007B5BB8" w:rsidRDefault="00C31C03" w:rsidP="00E560C8">
            <w:pPr>
              <w:spacing w:line="216" w:lineRule="auto"/>
            </w:pPr>
            <w:r w:rsidRPr="007B5BB8">
              <w:rPr>
                <w:color w:val="000000"/>
                <w:sz w:val="14"/>
                <w:szCs w:val="14"/>
              </w:rPr>
              <w:t>Effects of cooling water discharge on dissolved oxygen, gas supersaturation, and eutrophication</w:t>
            </w:r>
          </w:p>
        </w:tc>
        <w:tc>
          <w:tcPr>
            <w:tcW w:w="1170" w:type="dxa"/>
            <w:tcBorders>
              <w:top w:val="single" w:sz="4" w:space="0" w:color="auto"/>
            </w:tcBorders>
          </w:tcPr>
          <w:p w:rsidR="00C31C03" w:rsidRPr="005E0C94" w:rsidRDefault="00C31C03" w:rsidP="00E560C8">
            <w:pPr>
              <w:jc w:val="right"/>
              <w:rPr>
                <w:sz w:val="14"/>
                <w:szCs w:val="14"/>
              </w:rPr>
            </w:pPr>
            <w:r>
              <w:rPr>
                <w:sz w:val="14"/>
                <w:szCs w:val="14"/>
              </w:rPr>
              <w:t>6.33</w:t>
            </w:r>
          </w:p>
        </w:tc>
        <w:tc>
          <w:tcPr>
            <w:tcW w:w="1260" w:type="dxa"/>
            <w:tcBorders>
              <w:top w:val="single" w:sz="4" w:space="0" w:color="auto"/>
            </w:tcBorders>
          </w:tcPr>
          <w:p w:rsidR="00C31C03" w:rsidRPr="005E0C94" w:rsidRDefault="00C31C03" w:rsidP="00E560C8">
            <w:pPr>
              <w:jc w:val="right"/>
              <w:rPr>
                <w:sz w:val="14"/>
                <w:szCs w:val="14"/>
              </w:rPr>
            </w:pPr>
            <w:r>
              <w:rPr>
                <w:sz w:val="14"/>
                <w:szCs w:val="14"/>
              </w:rPr>
              <w:t>1.0</w:t>
            </w:r>
          </w:p>
        </w:tc>
        <w:tc>
          <w:tcPr>
            <w:tcW w:w="990" w:type="dxa"/>
            <w:tcBorders>
              <w:top w:val="single" w:sz="4" w:space="0" w:color="auto"/>
            </w:tcBorders>
          </w:tcPr>
          <w:p w:rsidR="00C31C03" w:rsidRPr="005E0C94" w:rsidRDefault="00C31C03" w:rsidP="00D237C9">
            <w:pPr>
              <w:jc w:val="right"/>
              <w:rPr>
                <w:sz w:val="14"/>
                <w:szCs w:val="14"/>
              </w:rPr>
            </w:pPr>
            <w:r>
              <w:rPr>
                <w:sz w:val="14"/>
                <w:szCs w:val="14"/>
              </w:rPr>
              <w:t>6.33</w:t>
            </w:r>
          </w:p>
        </w:tc>
        <w:tc>
          <w:tcPr>
            <w:tcW w:w="900" w:type="dxa"/>
            <w:tcBorders>
              <w:top w:val="single" w:sz="4" w:space="0" w:color="auto"/>
            </w:tcBorders>
          </w:tcPr>
          <w:p w:rsidR="00C31C03" w:rsidRPr="005E0C94" w:rsidRDefault="00C31C03" w:rsidP="00E560C8">
            <w:pPr>
              <w:jc w:val="right"/>
              <w:rPr>
                <w:sz w:val="14"/>
                <w:szCs w:val="14"/>
              </w:rPr>
            </w:pPr>
            <w:r>
              <w:rPr>
                <w:sz w:val="14"/>
                <w:szCs w:val="14"/>
              </w:rPr>
              <w:t>36.0</w:t>
            </w:r>
          </w:p>
        </w:tc>
        <w:tc>
          <w:tcPr>
            <w:tcW w:w="720" w:type="dxa"/>
            <w:tcBorders>
              <w:top w:val="single" w:sz="4" w:space="0" w:color="auto"/>
            </w:tcBorders>
          </w:tcPr>
          <w:p w:rsidR="00C31C03" w:rsidRPr="005E0C94" w:rsidRDefault="00E576A5" w:rsidP="00E560C8">
            <w:pPr>
              <w:jc w:val="right"/>
              <w:rPr>
                <w:sz w:val="14"/>
                <w:szCs w:val="14"/>
              </w:rPr>
            </w:pPr>
            <w:r>
              <w:rPr>
                <w:sz w:val="14"/>
                <w:szCs w:val="14"/>
              </w:rPr>
              <w:t>228</w:t>
            </w:r>
            <w:r w:rsidR="00C31C03">
              <w:rPr>
                <w:sz w:val="14"/>
                <w:szCs w:val="14"/>
              </w:rPr>
              <w:t>.0</w:t>
            </w:r>
          </w:p>
        </w:tc>
        <w:tc>
          <w:tcPr>
            <w:tcW w:w="900" w:type="dxa"/>
            <w:tcBorders>
              <w:top w:val="single" w:sz="4" w:space="0" w:color="auto"/>
              <w:right w:val="single" w:sz="12" w:space="0" w:color="auto"/>
            </w:tcBorders>
          </w:tcPr>
          <w:p w:rsidR="00C31C03" w:rsidRPr="005E0C94" w:rsidRDefault="00C31C03" w:rsidP="00E576A5">
            <w:pPr>
              <w:jc w:val="right"/>
              <w:rPr>
                <w:sz w:val="14"/>
                <w:szCs w:val="14"/>
              </w:rPr>
            </w:pPr>
            <w:r>
              <w:rPr>
                <w:sz w:val="14"/>
                <w:szCs w:val="14"/>
              </w:rPr>
              <w:t>$</w:t>
            </w:r>
            <w:r w:rsidR="0071429E">
              <w:rPr>
                <w:sz w:val="14"/>
                <w:szCs w:val="14"/>
              </w:rPr>
              <w:t xml:space="preserve">   </w:t>
            </w:r>
            <w:r>
              <w:rPr>
                <w:sz w:val="14"/>
                <w:szCs w:val="14"/>
              </w:rPr>
              <w:t xml:space="preserve"> </w:t>
            </w:r>
            <w:r w:rsidR="00E576A5">
              <w:rPr>
                <w:sz w:val="14"/>
                <w:szCs w:val="14"/>
              </w:rPr>
              <w:t>62</w:t>
            </w:r>
            <w:r>
              <w:rPr>
                <w:sz w:val="14"/>
                <w:szCs w:val="14"/>
              </w:rPr>
              <w:t>,</w:t>
            </w:r>
            <w:r w:rsidR="00E576A5">
              <w:rPr>
                <w:sz w:val="14"/>
                <w:szCs w:val="14"/>
              </w:rPr>
              <w:t>472</w:t>
            </w:r>
          </w:p>
        </w:tc>
      </w:tr>
      <w:tr w:rsidR="00C31C03" w:rsidTr="00E560C8">
        <w:tc>
          <w:tcPr>
            <w:tcW w:w="648" w:type="dxa"/>
            <w:tcBorders>
              <w:top w:val="single" w:sz="4" w:space="0" w:color="auto"/>
              <w:left w:val="single" w:sz="12" w:space="0" w:color="auto"/>
            </w:tcBorders>
            <w:vAlign w:val="center"/>
          </w:tcPr>
          <w:p w:rsidR="00C31C03" w:rsidRDefault="00C31C03" w:rsidP="00E560C8">
            <w:pPr>
              <w:jc w:val="center"/>
              <w:rPr>
                <w:sz w:val="14"/>
                <w:szCs w:val="14"/>
              </w:rPr>
            </w:pPr>
            <w:r>
              <w:rPr>
                <w:sz w:val="14"/>
                <w:szCs w:val="14"/>
              </w:rPr>
              <w:t>54</w:t>
            </w:r>
          </w:p>
        </w:tc>
        <w:tc>
          <w:tcPr>
            <w:tcW w:w="3420" w:type="dxa"/>
            <w:tcBorders>
              <w:top w:val="single" w:sz="4" w:space="0" w:color="auto"/>
            </w:tcBorders>
            <w:vAlign w:val="center"/>
          </w:tcPr>
          <w:p w:rsidR="00C31C03" w:rsidRPr="007B5BB8" w:rsidRDefault="00C31C03" w:rsidP="00E560C8">
            <w:r w:rsidRPr="007B5BB8">
              <w:rPr>
                <w:color w:val="000000"/>
                <w:sz w:val="14"/>
                <w:szCs w:val="14"/>
              </w:rPr>
              <w:t>Community services and education</w:t>
            </w:r>
          </w:p>
        </w:tc>
        <w:tc>
          <w:tcPr>
            <w:tcW w:w="1170" w:type="dxa"/>
            <w:tcBorders>
              <w:top w:val="single" w:sz="4" w:space="0" w:color="auto"/>
            </w:tcBorders>
          </w:tcPr>
          <w:p w:rsidR="00C31C03" w:rsidRPr="005E0C94" w:rsidRDefault="00C31C03" w:rsidP="00E560C8">
            <w:pPr>
              <w:jc w:val="right"/>
              <w:rPr>
                <w:sz w:val="14"/>
                <w:szCs w:val="14"/>
              </w:rPr>
            </w:pPr>
            <w:r>
              <w:rPr>
                <w:sz w:val="14"/>
                <w:szCs w:val="14"/>
              </w:rPr>
              <w:t>6.33</w:t>
            </w:r>
          </w:p>
        </w:tc>
        <w:tc>
          <w:tcPr>
            <w:tcW w:w="1260" w:type="dxa"/>
            <w:tcBorders>
              <w:top w:val="single" w:sz="4" w:space="0" w:color="auto"/>
            </w:tcBorders>
          </w:tcPr>
          <w:p w:rsidR="00C31C03" w:rsidRPr="005E0C94" w:rsidRDefault="00C31C03" w:rsidP="00E560C8">
            <w:pPr>
              <w:jc w:val="right"/>
              <w:rPr>
                <w:sz w:val="14"/>
                <w:szCs w:val="14"/>
              </w:rPr>
            </w:pPr>
            <w:r>
              <w:rPr>
                <w:sz w:val="14"/>
                <w:szCs w:val="14"/>
              </w:rPr>
              <w:t>1.0</w:t>
            </w:r>
          </w:p>
        </w:tc>
        <w:tc>
          <w:tcPr>
            <w:tcW w:w="990" w:type="dxa"/>
            <w:tcBorders>
              <w:top w:val="single" w:sz="4" w:space="0" w:color="auto"/>
            </w:tcBorders>
          </w:tcPr>
          <w:p w:rsidR="00C31C03" w:rsidRPr="005E0C94" w:rsidRDefault="00C31C03" w:rsidP="00D237C9">
            <w:pPr>
              <w:jc w:val="right"/>
              <w:rPr>
                <w:sz w:val="14"/>
                <w:szCs w:val="14"/>
              </w:rPr>
            </w:pPr>
            <w:r>
              <w:rPr>
                <w:sz w:val="14"/>
                <w:szCs w:val="14"/>
              </w:rPr>
              <w:t>6.33</w:t>
            </w:r>
          </w:p>
        </w:tc>
        <w:tc>
          <w:tcPr>
            <w:tcW w:w="900" w:type="dxa"/>
            <w:tcBorders>
              <w:top w:val="single" w:sz="4" w:space="0" w:color="auto"/>
            </w:tcBorders>
          </w:tcPr>
          <w:p w:rsidR="00C31C03" w:rsidRPr="005E0C94" w:rsidRDefault="00C31C03" w:rsidP="00E560C8">
            <w:pPr>
              <w:jc w:val="right"/>
              <w:rPr>
                <w:sz w:val="14"/>
                <w:szCs w:val="14"/>
              </w:rPr>
            </w:pPr>
            <w:r>
              <w:rPr>
                <w:sz w:val="14"/>
                <w:szCs w:val="14"/>
              </w:rPr>
              <w:t>210.0</w:t>
            </w:r>
          </w:p>
        </w:tc>
        <w:tc>
          <w:tcPr>
            <w:tcW w:w="720" w:type="dxa"/>
            <w:tcBorders>
              <w:top w:val="single" w:sz="4" w:space="0" w:color="auto"/>
            </w:tcBorders>
          </w:tcPr>
          <w:p w:rsidR="00C31C03" w:rsidRPr="005E0C94" w:rsidRDefault="0071429E" w:rsidP="00455FB5">
            <w:pPr>
              <w:jc w:val="right"/>
              <w:rPr>
                <w:sz w:val="14"/>
                <w:szCs w:val="14"/>
              </w:rPr>
            </w:pPr>
            <w:r>
              <w:rPr>
                <w:sz w:val="14"/>
                <w:szCs w:val="14"/>
              </w:rPr>
              <w:t>1</w:t>
            </w:r>
            <w:r w:rsidR="002E7177">
              <w:rPr>
                <w:sz w:val="14"/>
                <w:szCs w:val="14"/>
              </w:rPr>
              <w:t>,</w:t>
            </w:r>
            <w:r>
              <w:rPr>
                <w:sz w:val="14"/>
                <w:szCs w:val="14"/>
              </w:rPr>
              <w:t>3</w:t>
            </w:r>
            <w:r w:rsidR="00455FB5">
              <w:rPr>
                <w:sz w:val="14"/>
                <w:szCs w:val="14"/>
              </w:rPr>
              <w:t>29</w:t>
            </w:r>
            <w:r>
              <w:rPr>
                <w:sz w:val="14"/>
                <w:szCs w:val="14"/>
              </w:rPr>
              <w:t>.0</w:t>
            </w:r>
          </w:p>
        </w:tc>
        <w:tc>
          <w:tcPr>
            <w:tcW w:w="900" w:type="dxa"/>
            <w:tcBorders>
              <w:top w:val="single" w:sz="4" w:space="0" w:color="auto"/>
              <w:right w:val="single" w:sz="12" w:space="0" w:color="auto"/>
            </w:tcBorders>
          </w:tcPr>
          <w:p w:rsidR="00C31C03" w:rsidRPr="005E0C94" w:rsidRDefault="00C31C03" w:rsidP="00455FB5">
            <w:pPr>
              <w:jc w:val="right"/>
              <w:rPr>
                <w:sz w:val="14"/>
                <w:szCs w:val="14"/>
              </w:rPr>
            </w:pPr>
            <w:r>
              <w:rPr>
                <w:sz w:val="14"/>
                <w:szCs w:val="14"/>
              </w:rPr>
              <w:t>$</w:t>
            </w:r>
            <w:r w:rsidR="00A42ADB">
              <w:rPr>
                <w:sz w:val="14"/>
                <w:szCs w:val="14"/>
              </w:rPr>
              <w:t xml:space="preserve">  </w:t>
            </w:r>
            <w:r w:rsidR="0071429E">
              <w:rPr>
                <w:sz w:val="14"/>
                <w:szCs w:val="14"/>
              </w:rPr>
              <w:t>364</w:t>
            </w:r>
            <w:r>
              <w:rPr>
                <w:sz w:val="14"/>
                <w:szCs w:val="14"/>
              </w:rPr>
              <w:t>,</w:t>
            </w:r>
            <w:r w:rsidR="00455FB5">
              <w:rPr>
                <w:sz w:val="14"/>
                <w:szCs w:val="14"/>
              </w:rPr>
              <w:t>146</w:t>
            </w:r>
          </w:p>
        </w:tc>
      </w:tr>
      <w:tr w:rsidR="00C31C03" w:rsidTr="00E560C8">
        <w:tc>
          <w:tcPr>
            <w:tcW w:w="648" w:type="dxa"/>
            <w:tcBorders>
              <w:top w:val="single" w:sz="4" w:space="0" w:color="auto"/>
              <w:left w:val="single" w:sz="12" w:space="0" w:color="auto"/>
            </w:tcBorders>
            <w:vAlign w:val="center"/>
          </w:tcPr>
          <w:p w:rsidR="00C31C03" w:rsidRDefault="00C31C03" w:rsidP="00E560C8">
            <w:pPr>
              <w:jc w:val="center"/>
              <w:rPr>
                <w:sz w:val="14"/>
                <w:szCs w:val="14"/>
              </w:rPr>
            </w:pPr>
            <w:r>
              <w:rPr>
                <w:sz w:val="14"/>
                <w:szCs w:val="14"/>
              </w:rPr>
              <w:t>55</w:t>
            </w:r>
          </w:p>
        </w:tc>
        <w:tc>
          <w:tcPr>
            <w:tcW w:w="3420" w:type="dxa"/>
            <w:tcBorders>
              <w:top w:val="single" w:sz="4" w:space="0" w:color="auto"/>
            </w:tcBorders>
            <w:vAlign w:val="center"/>
          </w:tcPr>
          <w:p w:rsidR="00C31C03" w:rsidRPr="007B5BB8" w:rsidRDefault="00C31C03" w:rsidP="00E560C8">
            <w:r w:rsidRPr="007B5BB8">
              <w:rPr>
                <w:color w:val="000000"/>
                <w:sz w:val="14"/>
                <w:szCs w:val="14"/>
              </w:rPr>
              <w:t>Population and housing</w:t>
            </w:r>
          </w:p>
        </w:tc>
        <w:tc>
          <w:tcPr>
            <w:tcW w:w="1170" w:type="dxa"/>
            <w:tcBorders>
              <w:top w:val="single" w:sz="4" w:space="0" w:color="auto"/>
            </w:tcBorders>
          </w:tcPr>
          <w:p w:rsidR="00C31C03" w:rsidRPr="005E0C94" w:rsidRDefault="00C31C03" w:rsidP="00E560C8">
            <w:pPr>
              <w:jc w:val="right"/>
              <w:rPr>
                <w:sz w:val="14"/>
                <w:szCs w:val="14"/>
              </w:rPr>
            </w:pPr>
            <w:r>
              <w:rPr>
                <w:sz w:val="14"/>
                <w:szCs w:val="14"/>
              </w:rPr>
              <w:t>6.33</w:t>
            </w:r>
          </w:p>
        </w:tc>
        <w:tc>
          <w:tcPr>
            <w:tcW w:w="1260" w:type="dxa"/>
            <w:tcBorders>
              <w:top w:val="single" w:sz="4" w:space="0" w:color="auto"/>
            </w:tcBorders>
          </w:tcPr>
          <w:p w:rsidR="00C31C03" w:rsidRPr="005E0C94" w:rsidRDefault="00C31C03" w:rsidP="00E560C8">
            <w:pPr>
              <w:jc w:val="right"/>
              <w:rPr>
                <w:sz w:val="14"/>
                <w:szCs w:val="14"/>
              </w:rPr>
            </w:pPr>
            <w:r>
              <w:rPr>
                <w:sz w:val="14"/>
                <w:szCs w:val="14"/>
              </w:rPr>
              <w:t>1.0</w:t>
            </w:r>
          </w:p>
        </w:tc>
        <w:tc>
          <w:tcPr>
            <w:tcW w:w="990" w:type="dxa"/>
            <w:tcBorders>
              <w:top w:val="single" w:sz="4" w:space="0" w:color="auto"/>
            </w:tcBorders>
          </w:tcPr>
          <w:p w:rsidR="00C31C03" w:rsidRPr="005E0C94" w:rsidRDefault="00C31C03" w:rsidP="00D237C9">
            <w:pPr>
              <w:jc w:val="right"/>
              <w:rPr>
                <w:sz w:val="14"/>
                <w:szCs w:val="14"/>
              </w:rPr>
            </w:pPr>
            <w:r>
              <w:rPr>
                <w:sz w:val="14"/>
                <w:szCs w:val="14"/>
              </w:rPr>
              <w:t>6.33</w:t>
            </w:r>
          </w:p>
        </w:tc>
        <w:tc>
          <w:tcPr>
            <w:tcW w:w="900" w:type="dxa"/>
            <w:tcBorders>
              <w:top w:val="single" w:sz="4" w:space="0" w:color="auto"/>
            </w:tcBorders>
          </w:tcPr>
          <w:p w:rsidR="00C31C03" w:rsidRPr="005E0C94" w:rsidRDefault="00C31C03" w:rsidP="00E560C8">
            <w:pPr>
              <w:jc w:val="right"/>
              <w:rPr>
                <w:sz w:val="14"/>
                <w:szCs w:val="14"/>
              </w:rPr>
            </w:pPr>
            <w:r>
              <w:rPr>
                <w:sz w:val="14"/>
                <w:szCs w:val="14"/>
              </w:rPr>
              <w:t>78.0</w:t>
            </w:r>
          </w:p>
        </w:tc>
        <w:tc>
          <w:tcPr>
            <w:tcW w:w="720" w:type="dxa"/>
            <w:tcBorders>
              <w:top w:val="single" w:sz="4" w:space="0" w:color="auto"/>
            </w:tcBorders>
          </w:tcPr>
          <w:p w:rsidR="00C31C03" w:rsidRPr="005E0C94" w:rsidRDefault="00032C0B" w:rsidP="00032C0B">
            <w:pPr>
              <w:jc w:val="right"/>
              <w:rPr>
                <w:sz w:val="14"/>
                <w:szCs w:val="14"/>
              </w:rPr>
            </w:pPr>
            <w:r>
              <w:rPr>
                <w:sz w:val="14"/>
                <w:szCs w:val="14"/>
              </w:rPr>
              <w:t>494</w:t>
            </w:r>
            <w:r w:rsidR="00C31C03">
              <w:rPr>
                <w:sz w:val="14"/>
                <w:szCs w:val="14"/>
              </w:rPr>
              <w:t>.0</w:t>
            </w:r>
          </w:p>
        </w:tc>
        <w:tc>
          <w:tcPr>
            <w:tcW w:w="900" w:type="dxa"/>
            <w:tcBorders>
              <w:top w:val="single" w:sz="4" w:space="0" w:color="auto"/>
              <w:right w:val="single" w:sz="12" w:space="0" w:color="auto"/>
            </w:tcBorders>
          </w:tcPr>
          <w:p w:rsidR="00C31C03" w:rsidRPr="005E0C94" w:rsidRDefault="00C31C03" w:rsidP="00E560C8">
            <w:pPr>
              <w:jc w:val="right"/>
              <w:rPr>
                <w:sz w:val="14"/>
                <w:szCs w:val="14"/>
              </w:rPr>
            </w:pPr>
            <w:r>
              <w:rPr>
                <w:sz w:val="14"/>
                <w:szCs w:val="14"/>
              </w:rPr>
              <w:t>$</w:t>
            </w:r>
            <w:r w:rsidR="00032C0B">
              <w:rPr>
                <w:sz w:val="14"/>
                <w:szCs w:val="14"/>
              </w:rPr>
              <w:t xml:space="preserve"> </w:t>
            </w:r>
            <w:r w:rsidR="00A42ADB">
              <w:rPr>
                <w:sz w:val="14"/>
                <w:szCs w:val="14"/>
              </w:rPr>
              <w:t xml:space="preserve"> </w:t>
            </w:r>
            <w:r w:rsidR="00032C0B">
              <w:rPr>
                <w:sz w:val="14"/>
                <w:szCs w:val="14"/>
              </w:rPr>
              <w:t>135,356</w:t>
            </w:r>
          </w:p>
        </w:tc>
      </w:tr>
      <w:tr w:rsidR="00032C0B" w:rsidTr="00E560C8">
        <w:tc>
          <w:tcPr>
            <w:tcW w:w="648" w:type="dxa"/>
            <w:tcBorders>
              <w:top w:val="single" w:sz="4" w:space="0" w:color="auto"/>
              <w:left w:val="single" w:sz="12" w:space="0" w:color="auto"/>
            </w:tcBorders>
            <w:vAlign w:val="center"/>
          </w:tcPr>
          <w:p w:rsidR="00032C0B" w:rsidRDefault="00032C0B" w:rsidP="00E560C8">
            <w:pPr>
              <w:jc w:val="center"/>
              <w:rPr>
                <w:sz w:val="14"/>
                <w:szCs w:val="14"/>
              </w:rPr>
            </w:pPr>
            <w:r>
              <w:rPr>
                <w:sz w:val="14"/>
                <w:szCs w:val="14"/>
              </w:rPr>
              <w:t>56</w:t>
            </w:r>
          </w:p>
        </w:tc>
        <w:tc>
          <w:tcPr>
            <w:tcW w:w="3420" w:type="dxa"/>
            <w:tcBorders>
              <w:top w:val="single" w:sz="4" w:space="0" w:color="auto"/>
            </w:tcBorders>
            <w:vAlign w:val="center"/>
          </w:tcPr>
          <w:p w:rsidR="00032C0B" w:rsidRPr="007B5BB8" w:rsidRDefault="00032C0B" w:rsidP="00E560C8">
            <w:r w:rsidRPr="007B5BB8">
              <w:rPr>
                <w:color w:val="000000"/>
                <w:sz w:val="14"/>
                <w:szCs w:val="14"/>
              </w:rPr>
              <w:t>Transportation</w:t>
            </w:r>
          </w:p>
        </w:tc>
        <w:tc>
          <w:tcPr>
            <w:tcW w:w="1170" w:type="dxa"/>
            <w:tcBorders>
              <w:top w:val="single" w:sz="4" w:space="0" w:color="auto"/>
            </w:tcBorders>
          </w:tcPr>
          <w:p w:rsidR="00032C0B" w:rsidRPr="005E0C94" w:rsidRDefault="00032C0B" w:rsidP="00E560C8">
            <w:pPr>
              <w:jc w:val="right"/>
              <w:rPr>
                <w:sz w:val="14"/>
                <w:szCs w:val="14"/>
              </w:rPr>
            </w:pPr>
            <w:r>
              <w:rPr>
                <w:sz w:val="14"/>
                <w:szCs w:val="14"/>
              </w:rPr>
              <w:t>6.33</w:t>
            </w:r>
          </w:p>
        </w:tc>
        <w:tc>
          <w:tcPr>
            <w:tcW w:w="1260" w:type="dxa"/>
            <w:tcBorders>
              <w:top w:val="single" w:sz="4" w:space="0" w:color="auto"/>
            </w:tcBorders>
          </w:tcPr>
          <w:p w:rsidR="00032C0B" w:rsidRPr="005E0C94" w:rsidRDefault="00032C0B" w:rsidP="00E560C8">
            <w:pPr>
              <w:jc w:val="right"/>
              <w:rPr>
                <w:sz w:val="14"/>
                <w:szCs w:val="14"/>
              </w:rPr>
            </w:pPr>
            <w:r>
              <w:rPr>
                <w:sz w:val="14"/>
                <w:szCs w:val="14"/>
              </w:rPr>
              <w:t>1.0</w:t>
            </w:r>
          </w:p>
        </w:tc>
        <w:tc>
          <w:tcPr>
            <w:tcW w:w="990" w:type="dxa"/>
            <w:tcBorders>
              <w:top w:val="single" w:sz="4" w:space="0" w:color="auto"/>
            </w:tcBorders>
          </w:tcPr>
          <w:p w:rsidR="00032C0B" w:rsidRPr="005E0C94" w:rsidRDefault="00032C0B" w:rsidP="00D237C9">
            <w:pPr>
              <w:jc w:val="right"/>
              <w:rPr>
                <w:sz w:val="14"/>
                <w:szCs w:val="14"/>
              </w:rPr>
            </w:pPr>
            <w:r>
              <w:rPr>
                <w:sz w:val="14"/>
                <w:szCs w:val="14"/>
              </w:rPr>
              <w:t>6.33</w:t>
            </w:r>
          </w:p>
        </w:tc>
        <w:tc>
          <w:tcPr>
            <w:tcW w:w="900" w:type="dxa"/>
            <w:tcBorders>
              <w:top w:val="single" w:sz="4" w:space="0" w:color="auto"/>
            </w:tcBorders>
          </w:tcPr>
          <w:p w:rsidR="00032C0B" w:rsidRPr="005E0C94" w:rsidRDefault="00032C0B" w:rsidP="00D237C9">
            <w:pPr>
              <w:jc w:val="right"/>
              <w:rPr>
                <w:sz w:val="14"/>
                <w:szCs w:val="14"/>
              </w:rPr>
            </w:pPr>
            <w:r>
              <w:rPr>
                <w:sz w:val="14"/>
                <w:szCs w:val="14"/>
              </w:rPr>
              <w:t>78.0</w:t>
            </w:r>
          </w:p>
        </w:tc>
        <w:tc>
          <w:tcPr>
            <w:tcW w:w="720" w:type="dxa"/>
            <w:tcBorders>
              <w:top w:val="single" w:sz="4" w:space="0" w:color="auto"/>
            </w:tcBorders>
          </w:tcPr>
          <w:p w:rsidR="00032C0B" w:rsidRPr="005E0C94" w:rsidRDefault="00032C0B" w:rsidP="00D237C9">
            <w:pPr>
              <w:jc w:val="right"/>
              <w:rPr>
                <w:sz w:val="14"/>
                <w:szCs w:val="14"/>
              </w:rPr>
            </w:pPr>
            <w:r>
              <w:rPr>
                <w:sz w:val="14"/>
                <w:szCs w:val="14"/>
              </w:rPr>
              <w:t>494.0</w:t>
            </w:r>
          </w:p>
        </w:tc>
        <w:tc>
          <w:tcPr>
            <w:tcW w:w="900" w:type="dxa"/>
            <w:tcBorders>
              <w:top w:val="single" w:sz="4" w:space="0" w:color="auto"/>
              <w:right w:val="single" w:sz="12" w:space="0" w:color="auto"/>
            </w:tcBorders>
          </w:tcPr>
          <w:p w:rsidR="00032C0B" w:rsidRPr="005E0C94" w:rsidRDefault="00032C0B" w:rsidP="00D237C9">
            <w:pPr>
              <w:jc w:val="right"/>
              <w:rPr>
                <w:sz w:val="14"/>
                <w:szCs w:val="14"/>
              </w:rPr>
            </w:pPr>
            <w:r>
              <w:rPr>
                <w:sz w:val="14"/>
                <w:szCs w:val="14"/>
              </w:rPr>
              <w:t xml:space="preserve">$ </w:t>
            </w:r>
            <w:r w:rsidR="00A42ADB">
              <w:rPr>
                <w:sz w:val="14"/>
                <w:szCs w:val="14"/>
              </w:rPr>
              <w:t xml:space="preserve"> </w:t>
            </w:r>
            <w:r>
              <w:rPr>
                <w:sz w:val="14"/>
                <w:szCs w:val="14"/>
              </w:rPr>
              <w:t>135,356</w:t>
            </w:r>
          </w:p>
        </w:tc>
      </w:tr>
      <w:tr w:rsidR="00CD774A" w:rsidTr="00E560C8">
        <w:tc>
          <w:tcPr>
            <w:tcW w:w="648" w:type="dxa"/>
            <w:tcBorders>
              <w:top w:val="single" w:sz="4" w:space="0" w:color="auto"/>
              <w:left w:val="single" w:sz="12" w:space="0" w:color="auto"/>
            </w:tcBorders>
            <w:vAlign w:val="center"/>
          </w:tcPr>
          <w:p w:rsidR="00CD774A" w:rsidRDefault="00CD774A" w:rsidP="00E560C8">
            <w:pPr>
              <w:jc w:val="center"/>
              <w:rPr>
                <w:sz w:val="14"/>
                <w:szCs w:val="14"/>
              </w:rPr>
            </w:pPr>
            <w:r>
              <w:rPr>
                <w:sz w:val="14"/>
                <w:szCs w:val="14"/>
              </w:rPr>
              <w:t>57</w:t>
            </w:r>
          </w:p>
        </w:tc>
        <w:tc>
          <w:tcPr>
            <w:tcW w:w="3420" w:type="dxa"/>
            <w:tcBorders>
              <w:top w:val="single" w:sz="4" w:space="0" w:color="auto"/>
            </w:tcBorders>
            <w:vAlign w:val="center"/>
          </w:tcPr>
          <w:p w:rsidR="00CD774A" w:rsidRPr="007B5BB8" w:rsidRDefault="00CD774A" w:rsidP="00D237C9">
            <w:r w:rsidRPr="007B5BB8">
              <w:rPr>
                <w:color w:val="000000"/>
                <w:sz w:val="14"/>
                <w:szCs w:val="14"/>
              </w:rPr>
              <w:t>Radiation exposure to the public</w:t>
            </w:r>
          </w:p>
        </w:tc>
        <w:tc>
          <w:tcPr>
            <w:tcW w:w="1170" w:type="dxa"/>
            <w:tcBorders>
              <w:top w:val="single" w:sz="4" w:space="0" w:color="auto"/>
            </w:tcBorders>
          </w:tcPr>
          <w:p w:rsidR="00CD774A" w:rsidRPr="005E0C94" w:rsidRDefault="00CD774A" w:rsidP="00E560C8">
            <w:pPr>
              <w:jc w:val="right"/>
              <w:rPr>
                <w:sz w:val="14"/>
                <w:szCs w:val="14"/>
              </w:rPr>
            </w:pPr>
            <w:r>
              <w:rPr>
                <w:sz w:val="14"/>
                <w:szCs w:val="14"/>
              </w:rPr>
              <w:t>6.33</w:t>
            </w:r>
          </w:p>
        </w:tc>
        <w:tc>
          <w:tcPr>
            <w:tcW w:w="1260" w:type="dxa"/>
            <w:tcBorders>
              <w:top w:val="single" w:sz="4" w:space="0" w:color="auto"/>
            </w:tcBorders>
          </w:tcPr>
          <w:p w:rsidR="00CD774A" w:rsidRPr="005E0C94" w:rsidRDefault="00CD774A" w:rsidP="00E560C8">
            <w:pPr>
              <w:jc w:val="right"/>
              <w:rPr>
                <w:sz w:val="14"/>
                <w:szCs w:val="14"/>
              </w:rPr>
            </w:pPr>
            <w:r>
              <w:rPr>
                <w:sz w:val="14"/>
                <w:szCs w:val="14"/>
              </w:rPr>
              <w:t>1.0</w:t>
            </w:r>
          </w:p>
        </w:tc>
        <w:tc>
          <w:tcPr>
            <w:tcW w:w="990" w:type="dxa"/>
            <w:tcBorders>
              <w:top w:val="single" w:sz="4" w:space="0" w:color="auto"/>
            </w:tcBorders>
          </w:tcPr>
          <w:p w:rsidR="00CD774A" w:rsidRPr="005E0C94" w:rsidRDefault="00CD774A" w:rsidP="00D237C9">
            <w:pPr>
              <w:jc w:val="right"/>
              <w:rPr>
                <w:sz w:val="14"/>
                <w:szCs w:val="14"/>
              </w:rPr>
            </w:pPr>
            <w:r>
              <w:rPr>
                <w:sz w:val="14"/>
                <w:szCs w:val="14"/>
              </w:rPr>
              <w:t>6.33</w:t>
            </w:r>
          </w:p>
        </w:tc>
        <w:tc>
          <w:tcPr>
            <w:tcW w:w="900" w:type="dxa"/>
            <w:tcBorders>
              <w:top w:val="single" w:sz="4" w:space="0" w:color="auto"/>
            </w:tcBorders>
          </w:tcPr>
          <w:p w:rsidR="00CD774A" w:rsidRPr="005E0C94" w:rsidRDefault="006A1EC0" w:rsidP="006A1EC0">
            <w:pPr>
              <w:jc w:val="right"/>
              <w:rPr>
                <w:sz w:val="14"/>
                <w:szCs w:val="14"/>
              </w:rPr>
            </w:pPr>
            <w:r>
              <w:rPr>
                <w:sz w:val="14"/>
                <w:szCs w:val="14"/>
              </w:rPr>
              <w:t>1</w:t>
            </w:r>
            <w:r w:rsidR="00CD774A">
              <w:rPr>
                <w:sz w:val="14"/>
                <w:szCs w:val="14"/>
              </w:rPr>
              <w:t>8.0</w:t>
            </w:r>
          </w:p>
        </w:tc>
        <w:tc>
          <w:tcPr>
            <w:tcW w:w="720" w:type="dxa"/>
            <w:tcBorders>
              <w:top w:val="single" w:sz="4" w:space="0" w:color="auto"/>
            </w:tcBorders>
          </w:tcPr>
          <w:p w:rsidR="00CD774A" w:rsidRPr="005E0C94" w:rsidRDefault="00B42C4F" w:rsidP="00E560C8">
            <w:pPr>
              <w:jc w:val="right"/>
              <w:rPr>
                <w:sz w:val="14"/>
                <w:szCs w:val="14"/>
              </w:rPr>
            </w:pPr>
            <w:r>
              <w:rPr>
                <w:sz w:val="14"/>
                <w:szCs w:val="14"/>
              </w:rPr>
              <w:t>114.0</w:t>
            </w:r>
          </w:p>
        </w:tc>
        <w:tc>
          <w:tcPr>
            <w:tcW w:w="900" w:type="dxa"/>
            <w:tcBorders>
              <w:top w:val="single" w:sz="4" w:space="0" w:color="auto"/>
              <w:right w:val="single" w:sz="12" w:space="0" w:color="auto"/>
            </w:tcBorders>
          </w:tcPr>
          <w:p w:rsidR="00CD774A" w:rsidRPr="005E0C94" w:rsidRDefault="00CD774A" w:rsidP="00B42C4F">
            <w:pPr>
              <w:jc w:val="right"/>
              <w:rPr>
                <w:sz w:val="14"/>
                <w:szCs w:val="14"/>
              </w:rPr>
            </w:pPr>
            <w:r>
              <w:rPr>
                <w:sz w:val="14"/>
                <w:szCs w:val="14"/>
              </w:rPr>
              <w:t>$</w:t>
            </w:r>
            <w:r w:rsidR="00853BBD">
              <w:rPr>
                <w:sz w:val="14"/>
                <w:szCs w:val="14"/>
              </w:rPr>
              <w:t xml:space="preserve"> </w:t>
            </w:r>
            <w:r w:rsidR="00A42ADB">
              <w:rPr>
                <w:sz w:val="14"/>
                <w:szCs w:val="14"/>
              </w:rPr>
              <w:t xml:space="preserve"> </w:t>
            </w:r>
            <w:r w:rsidR="00853BBD">
              <w:rPr>
                <w:sz w:val="14"/>
                <w:szCs w:val="14"/>
              </w:rPr>
              <w:t xml:space="preserve"> </w:t>
            </w:r>
            <w:r>
              <w:rPr>
                <w:sz w:val="14"/>
                <w:szCs w:val="14"/>
              </w:rPr>
              <w:t xml:space="preserve"> </w:t>
            </w:r>
            <w:r w:rsidR="00B42C4F">
              <w:rPr>
                <w:sz w:val="14"/>
                <w:szCs w:val="14"/>
              </w:rPr>
              <w:t>31</w:t>
            </w:r>
            <w:r>
              <w:rPr>
                <w:sz w:val="14"/>
                <w:szCs w:val="14"/>
              </w:rPr>
              <w:t>,</w:t>
            </w:r>
            <w:r w:rsidR="00B42C4F">
              <w:rPr>
                <w:sz w:val="14"/>
                <w:szCs w:val="14"/>
              </w:rPr>
              <w:t>236</w:t>
            </w:r>
          </w:p>
        </w:tc>
      </w:tr>
      <w:tr w:rsidR="00CD774A" w:rsidTr="00E560C8">
        <w:tc>
          <w:tcPr>
            <w:tcW w:w="648" w:type="dxa"/>
            <w:tcBorders>
              <w:top w:val="single" w:sz="4" w:space="0" w:color="auto"/>
              <w:left w:val="single" w:sz="12" w:space="0" w:color="auto"/>
            </w:tcBorders>
            <w:vAlign w:val="center"/>
          </w:tcPr>
          <w:p w:rsidR="00CD774A" w:rsidRDefault="00CD774A" w:rsidP="00E560C8">
            <w:pPr>
              <w:jc w:val="center"/>
              <w:rPr>
                <w:sz w:val="14"/>
                <w:szCs w:val="14"/>
              </w:rPr>
            </w:pPr>
            <w:r>
              <w:rPr>
                <w:sz w:val="14"/>
                <w:szCs w:val="14"/>
              </w:rPr>
              <w:t>58</w:t>
            </w:r>
          </w:p>
        </w:tc>
        <w:tc>
          <w:tcPr>
            <w:tcW w:w="3420" w:type="dxa"/>
            <w:tcBorders>
              <w:top w:val="single" w:sz="4" w:space="0" w:color="auto"/>
            </w:tcBorders>
            <w:vAlign w:val="center"/>
          </w:tcPr>
          <w:p w:rsidR="00CD774A" w:rsidRPr="007B5BB8" w:rsidRDefault="00CD774A" w:rsidP="00D237C9">
            <w:r w:rsidRPr="007B5BB8">
              <w:rPr>
                <w:color w:val="000000"/>
                <w:sz w:val="14"/>
                <w:szCs w:val="14"/>
              </w:rPr>
              <w:t>Radiation exposure to plant workers</w:t>
            </w:r>
          </w:p>
        </w:tc>
        <w:tc>
          <w:tcPr>
            <w:tcW w:w="1170" w:type="dxa"/>
            <w:tcBorders>
              <w:top w:val="single" w:sz="4" w:space="0" w:color="auto"/>
            </w:tcBorders>
          </w:tcPr>
          <w:p w:rsidR="00CD774A" w:rsidRPr="005E0C94" w:rsidRDefault="00CD774A" w:rsidP="00E560C8">
            <w:pPr>
              <w:jc w:val="right"/>
              <w:rPr>
                <w:sz w:val="14"/>
                <w:szCs w:val="14"/>
              </w:rPr>
            </w:pPr>
            <w:r>
              <w:rPr>
                <w:sz w:val="14"/>
                <w:szCs w:val="14"/>
              </w:rPr>
              <w:t>6.33</w:t>
            </w:r>
          </w:p>
        </w:tc>
        <w:tc>
          <w:tcPr>
            <w:tcW w:w="1260" w:type="dxa"/>
            <w:tcBorders>
              <w:top w:val="single" w:sz="4" w:space="0" w:color="auto"/>
            </w:tcBorders>
          </w:tcPr>
          <w:p w:rsidR="00CD774A" w:rsidRPr="005E0C94" w:rsidRDefault="00CD774A" w:rsidP="00E560C8">
            <w:pPr>
              <w:jc w:val="right"/>
              <w:rPr>
                <w:sz w:val="14"/>
                <w:szCs w:val="14"/>
              </w:rPr>
            </w:pPr>
            <w:r>
              <w:rPr>
                <w:sz w:val="14"/>
                <w:szCs w:val="14"/>
              </w:rPr>
              <w:t>1.0</w:t>
            </w:r>
          </w:p>
        </w:tc>
        <w:tc>
          <w:tcPr>
            <w:tcW w:w="990" w:type="dxa"/>
            <w:tcBorders>
              <w:top w:val="single" w:sz="4" w:space="0" w:color="auto"/>
            </w:tcBorders>
          </w:tcPr>
          <w:p w:rsidR="00CD774A" w:rsidRPr="005E0C94" w:rsidRDefault="00CD774A" w:rsidP="00D237C9">
            <w:pPr>
              <w:jc w:val="right"/>
              <w:rPr>
                <w:sz w:val="14"/>
                <w:szCs w:val="14"/>
              </w:rPr>
            </w:pPr>
            <w:r>
              <w:rPr>
                <w:sz w:val="14"/>
                <w:szCs w:val="14"/>
              </w:rPr>
              <w:t>6.33</w:t>
            </w:r>
          </w:p>
        </w:tc>
        <w:tc>
          <w:tcPr>
            <w:tcW w:w="900" w:type="dxa"/>
            <w:tcBorders>
              <w:top w:val="single" w:sz="4" w:space="0" w:color="auto"/>
            </w:tcBorders>
          </w:tcPr>
          <w:p w:rsidR="00CD774A" w:rsidRPr="005E0C94" w:rsidRDefault="006A1EC0" w:rsidP="00E560C8">
            <w:pPr>
              <w:jc w:val="right"/>
              <w:rPr>
                <w:sz w:val="14"/>
                <w:szCs w:val="14"/>
              </w:rPr>
            </w:pPr>
            <w:r>
              <w:rPr>
                <w:sz w:val="14"/>
                <w:szCs w:val="14"/>
              </w:rPr>
              <w:t>1</w:t>
            </w:r>
            <w:r w:rsidR="00CD774A">
              <w:rPr>
                <w:sz w:val="14"/>
                <w:szCs w:val="14"/>
              </w:rPr>
              <w:t>8.0</w:t>
            </w:r>
          </w:p>
        </w:tc>
        <w:tc>
          <w:tcPr>
            <w:tcW w:w="720" w:type="dxa"/>
            <w:tcBorders>
              <w:top w:val="single" w:sz="4" w:space="0" w:color="auto"/>
            </w:tcBorders>
          </w:tcPr>
          <w:p w:rsidR="00CD774A" w:rsidRPr="005E0C94" w:rsidRDefault="00B42C4F" w:rsidP="00E560C8">
            <w:pPr>
              <w:jc w:val="right"/>
              <w:rPr>
                <w:sz w:val="14"/>
                <w:szCs w:val="14"/>
              </w:rPr>
            </w:pPr>
            <w:r>
              <w:rPr>
                <w:sz w:val="14"/>
                <w:szCs w:val="14"/>
              </w:rPr>
              <w:t>114.0</w:t>
            </w:r>
          </w:p>
        </w:tc>
        <w:tc>
          <w:tcPr>
            <w:tcW w:w="900" w:type="dxa"/>
            <w:tcBorders>
              <w:top w:val="single" w:sz="4" w:space="0" w:color="auto"/>
              <w:right w:val="single" w:sz="12" w:space="0" w:color="auto"/>
            </w:tcBorders>
          </w:tcPr>
          <w:p w:rsidR="00CD774A" w:rsidRPr="005E0C94" w:rsidRDefault="00CD774A" w:rsidP="00E560C8">
            <w:pPr>
              <w:jc w:val="right"/>
              <w:rPr>
                <w:sz w:val="14"/>
                <w:szCs w:val="14"/>
              </w:rPr>
            </w:pPr>
            <w:r>
              <w:rPr>
                <w:sz w:val="14"/>
                <w:szCs w:val="14"/>
              </w:rPr>
              <w:t xml:space="preserve">$  </w:t>
            </w:r>
            <w:r w:rsidR="00A42ADB">
              <w:rPr>
                <w:sz w:val="14"/>
                <w:szCs w:val="14"/>
              </w:rPr>
              <w:t xml:space="preserve"> </w:t>
            </w:r>
            <w:r>
              <w:rPr>
                <w:sz w:val="14"/>
                <w:szCs w:val="14"/>
              </w:rPr>
              <w:t xml:space="preserve"> </w:t>
            </w:r>
            <w:r w:rsidR="00B42C4F">
              <w:rPr>
                <w:sz w:val="14"/>
                <w:szCs w:val="14"/>
              </w:rPr>
              <w:t>31</w:t>
            </w:r>
            <w:r>
              <w:rPr>
                <w:sz w:val="14"/>
                <w:szCs w:val="14"/>
              </w:rPr>
              <w:t>,</w:t>
            </w:r>
            <w:r w:rsidR="00B42C4F">
              <w:rPr>
                <w:sz w:val="14"/>
                <w:szCs w:val="14"/>
              </w:rPr>
              <w:t>236</w:t>
            </w:r>
          </w:p>
        </w:tc>
      </w:tr>
      <w:tr w:rsidR="00CD774A" w:rsidTr="00E560C8">
        <w:tc>
          <w:tcPr>
            <w:tcW w:w="648" w:type="dxa"/>
            <w:tcBorders>
              <w:top w:val="single" w:sz="4" w:space="0" w:color="auto"/>
              <w:left w:val="single" w:sz="12" w:space="0" w:color="auto"/>
              <w:bottom w:val="double" w:sz="4" w:space="0" w:color="auto"/>
            </w:tcBorders>
            <w:vAlign w:val="center"/>
          </w:tcPr>
          <w:p w:rsidR="00CD774A" w:rsidRDefault="00CD774A" w:rsidP="00E560C8">
            <w:pPr>
              <w:jc w:val="center"/>
              <w:rPr>
                <w:sz w:val="14"/>
                <w:szCs w:val="14"/>
              </w:rPr>
            </w:pPr>
            <w:r>
              <w:rPr>
                <w:sz w:val="14"/>
                <w:szCs w:val="14"/>
              </w:rPr>
              <w:t>78</w:t>
            </w:r>
          </w:p>
        </w:tc>
        <w:tc>
          <w:tcPr>
            <w:tcW w:w="3420" w:type="dxa"/>
            <w:tcBorders>
              <w:top w:val="single" w:sz="4" w:space="0" w:color="auto"/>
              <w:bottom w:val="double" w:sz="4" w:space="0" w:color="auto"/>
            </w:tcBorders>
            <w:vAlign w:val="center"/>
          </w:tcPr>
          <w:p w:rsidR="00CD774A" w:rsidRPr="007B5BB8" w:rsidRDefault="00CD774A" w:rsidP="00E560C8">
            <w:pPr>
              <w:spacing w:line="216" w:lineRule="auto"/>
            </w:pPr>
            <w:r w:rsidRPr="007B5BB8">
              <w:rPr>
                <w:color w:val="000000"/>
                <w:sz w:val="14"/>
                <w:szCs w:val="14"/>
              </w:rPr>
              <w:t>Termination of plant operations and decommissioning</w:t>
            </w:r>
          </w:p>
        </w:tc>
        <w:tc>
          <w:tcPr>
            <w:tcW w:w="1170" w:type="dxa"/>
            <w:tcBorders>
              <w:top w:val="single" w:sz="4" w:space="0" w:color="auto"/>
              <w:bottom w:val="double" w:sz="4" w:space="0" w:color="auto"/>
            </w:tcBorders>
          </w:tcPr>
          <w:p w:rsidR="00CD774A" w:rsidRPr="005E0C94" w:rsidRDefault="00CD774A" w:rsidP="00E560C8">
            <w:pPr>
              <w:jc w:val="right"/>
              <w:rPr>
                <w:sz w:val="14"/>
                <w:szCs w:val="14"/>
              </w:rPr>
            </w:pPr>
            <w:r>
              <w:rPr>
                <w:sz w:val="14"/>
                <w:szCs w:val="14"/>
              </w:rPr>
              <w:t>6.33</w:t>
            </w:r>
          </w:p>
        </w:tc>
        <w:tc>
          <w:tcPr>
            <w:tcW w:w="1260" w:type="dxa"/>
            <w:tcBorders>
              <w:top w:val="single" w:sz="4" w:space="0" w:color="auto"/>
              <w:bottom w:val="double" w:sz="4" w:space="0" w:color="auto"/>
            </w:tcBorders>
          </w:tcPr>
          <w:p w:rsidR="00CD774A" w:rsidRPr="005E0C94" w:rsidRDefault="00CD774A" w:rsidP="00E560C8">
            <w:pPr>
              <w:jc w:val="right"/>
              <w:rPr>
                <w:sz w:val="14"/>
                <w:szCs w:val="14"/>
              </w:rPr>
            </w:pPr>
            <w:r>
              <w:rPr>
                <w:sz w:val="14"/>
                <w:szCs w:val="14"/>
              </w:rPr>
              <w:t>1.0</w:t>
            </w:r>
          </w:p>
        </w:tc>
        <w:tc>
          <w:tcPr>
            <w:tcW w:w="990" w:type="dxa"/>
            <w:tcBorders>
              <w:top w:val="single" w:sz="4" w:space="0" w:color="auto"/>
              <w:bottom w:val="double" w:sz="4" w:space="0" w:color="auto"/>
            </w:tcBorders>
          </w:tcPr>
          <w:p w:rsidR="00CD774A" w:rsidRPr="005E0C94" w:rsidRDefault="00CD774A" w:rsidP="00D237C9">
            <w:pPr>
              <w:jc w:val="right"/>
              <w:rPr>
                <w:sz w:val="14"/>
                <w:szCs w:val="14"/>
              </w:rPr>
            </w:pPr>
            <w:r>
              <w:rPr>
                <w:sz w:val="14"/>
                <w:szCs w:val="14"/>
              </w:rPr>
              <w:t>6.33</w:t>
            </w:r>
          </w:p>
        </w:tc>
        <w:tc>
          <w:tcPr>
            <w:tcW w:w="900" w:type="dxa"/>
            <w:tcBorders>
              <w:top w:val="single" w:sz="4" w:space="0" w:color="auto"/>
              <w:bottom w:val="double" w:sz="4" w:space="0" w:color="auto"/>
            </w:tcBorders>
          </w:tcPr>
          <w:p w:rsidR="00CD774A" w:rsidRPr="005E0C94" w:rsidRDefault="00CD774A" w:rsidP="00E560C8">
            <w:pPr>
              <w:jc w:val="right"/>
              <w:rPr>
                <w:sz w:val="14"/>
                <w:szCs w:val="14"/>
              </w:rPr>
            </w:pPr>
            <w:r>
              <w:rPr>
                <w:sz w:val="14"/>
                <w:szCs w:val="14"/>
              </w:rPr>
              <w:t>90.0</w:t>
            </w:r>
          </w:p>
        </w:tc>
        <w:tc>
          <w:tcPr>
            <w:tcW w:w="720" w:type="dxa"/>
            <w:tcBorders>
              <w:top w:val="single" w:sz="4" w:space="0" w:color="auto"/>
              <w:bottom w:val="double" w:sz="4" w:space="0" w:color="auto"/>
            </w:tcBorders>
          </w:tcPr>
          <w:p w:rsidR="00CD774A" w:rsidRPr="005E0C94" w:rsidRDefault="00853BBD" w:rsidP="00853BBD">
            <w:pPr>
              <w:tabs>
                <w:tab w:val="left" w:pos="230"/>
              </w:tabs>
              <w:jc w:val="right"/>
              <w:rPr>
                <w:sz w:val="14"/>
                <w:szCs w:val="14"/>
              </w:rPr>
            </w:pPr>
            <w:r>
              <w:rPr>
                <w:sz w:val="14"/>
                <w:szCs w:val="14"/>
              </w:rPr>
              <w:t>570.0</w:t>
            </w:r>
          </w:p>
        </w:tc>
        <w:tc>
          <w:tcPr>
            <w:tcW w:w="900" w:type="dxa"/>
            <w:tcBorders>
              <w:top w:val="single" w:sz="4" w:space="0" w:color="auto"/>
              <w:bottom w:val="double" w:sz="4" w:space="0" w:color="auto"/>
              <w:right w:val="single" w:sz="12" w:space="0" w:color="auto"/>
            </w:tcBorders>
          </w:tcPr>
          <w:p w:rsidR="00CD774A" w:rsidRPr="005E0C94" w:rsidRDefault="00CD774A" w:rsidP="00853BBD">
            <w:pPr>
              <w:jc w:val="right"/>
              <w:rPr>
                <w:sz w:val="14"/>
                <w:szCs w:val="14"/>
              </w:rPr>
            </w:pPr>
            <w:r>
              <w:rPr>
                <w:sz w:val="14"/>
                <w:szCs w:val="14"/>
              </w:rPr>
              <w:t xml:space="preserve">$  </w:t>
            </w:r>
            <w:r w:rsidR="00853BBD">
              <w:rPr>
                <w:sz w:val="14"/>
                <w:szCs w:val="14"/>
              </w:rPr>
              <w:t>156</w:t>
            </w:r>
            <w:r>
              <w:rPr>
                <w:sz w:val="14"/>
                <w:szCs w:val="14"/>
              </w:rPr>
              <w:t>,</w:t>
            </w:r>
            <w:r w:rsidR="00853BBD">
              <w:rPr>
                <w:sz w:val="14"/>
                <w:szCs w:val="14"/>
              </w:rPr>
              <w:t>1</w:t>
            </w:r>
            <w:r>
              <w:rPr>
                <w:sz w:val="14"/>
                <w:szCs w:val="14"/>
              </w:rPr>
              <w:t>80</w:t>
            </w:r>
          </w:p>
        </w:tc>
      </w:tr>
      <w:tr w:rsidR="00CD774A" w:rsidTr="00E560C8">
        <w:tc>
          <w:tcPr>
            <w:tcW w:w="10008" w:type="dxa"/>
            <w:gridSpan w:val="8"/>
            <w:tcBorders>
              <w:top w:val="double" w:sz="4" w:space="0" w:color="auto"/>
              <w:left w:val="single" w:sz="12" w:space="0" w:color="auto"/>
              <w:bottom w:val="single" w:sz="12" w:space="0" w:color="auto"/>
              <w:right w:val="single" w:sz="12" w:space="0" w:color="auto"/>
            </w:tcBorders>
            <w:vAlign w:val="center"/>
          </w:tcPr>
          <w:p w:rsidR="00CD774A" w:rsidRPr="005E0C94" w:rsidRDefault="00CD774A" w:rsidP="00F97122">
            <w:pPr>
              <w:jc w:val="right"/>
              <w:rPr>
                <w:sz w:val="14"/>
                <w:szCs w:val="14"/>
              </w:rPr>
            </w:pPr>
            <w:r w:rsidRPr="00CA0600">
              <w:rPr>
                <w:b/>
                <w:i/>
                <w:sz w:val="14"/>
                <w:szCs w:val="14"/>
              </w:rPr>
              <w:t>Subtotal</w:t>
            </w:r>
            <w:r>
              <w:rPr>
                <w:b/>
                <w:i/>
                <w:sz w:val="14"/>
                <w:szCs w:val="14"/>
              </w:rPr>
              <w:t>—NRC Burden De</w:t>
            </w:r>
            <w:r w:rsidRPr="00CA0600">
              <w:rPr>
                <w:b/>
                <w:i/>
                <w:sz w:val="14"/>
                <w:szCs w:val="14"/>
              </w:rPr>
              <w:t xml:space="preserve">crease </w:t>
            </w:r>
            <w:r>
              <w:rPr>
                <w:b/>
                <w:i/>
                <w:sz w:val="14"/>
                <w:szCs w:val="14"/>
              </w:rPr>
              <w:t xml:space="preserve">   </w:t>
            </w:r>
            <w:r w:rsidR="00B719A8">
              <w:rPr>
                <w:b/>
                <w:i/>
                <w:sz w:val="14"/>
                <w:szCs w:val="14"/>
              </w:rPr>
              <w:t xml:space="preserve"> </w:t>
            </w:r>
            <w:r w:rsidR="00F97122">
              <w:rPr>
                <w:b/>
                <w:i/>
                <w:sz w:val="14"/>
                <w:szCs w:val="14"/>
              </w:rPr>
              <w:t>6</w:t>
            </w:r>
            <w:r w:rsidRPr="00CA0600">
              <w:rPr>
                <w:b/>
                <w:i/>
                <w:sz w:val="14"/>
                <w:szCs w:val="14"/>
              </w:rPr>
              <w:t>,</w:t>
            </w:r>
            <w:r w:rsidR="00B719A8">
              <w:rPr>
                <w:b/>
                <w:i/>
                <w:sz w:val="14"/>
                <w:szCs w:val="14"/>
              </w:rPr>
              <w:t>4</w:t>
            </w:r>
            <w:r w:rsidR="00547020">
              <w:rPr>
                <w:b/>
                <w:i/>
                <w:sz w:val="14"/>
                <w:szCs w:val="14"/>
              </w:rPr>
              <w:t>2</w:t>
            </w:r>
            <w:r w:rsidR="00455FB5">
              <w:rPr>
                <w:b/>
                <w:i/>
                <w:sz w:val="14"/>
                <w:szCs w:val="14"/>
              </w:rPr>
              <w:t>3</w:t>
            </w:r>
            <w:r>
              <w:rPr>
                <w:b/>
                <w:i/>
                <w:sz w:val="14"/>
                <w:szCs w:val="14"/>
              </w:rPr>
              <w:t>.</w:t>
            </w:r>
            <w:r w:rsidR="00455FB5">
              <w:rPr>
                <w:b/>
                <w:i/>
                <w:sz w:val="14"/>
                <w:szCs w:val="14"/>
              </w:rPr>
              <w:t>0</w:t>
            </w:r>
            <w:r w:rsidR="00B719A8">
              <w:rPr>
                <w:b/>
                <w:i/>
                <w:sz w:val="14"/>
                <w:szCs w:val="14"/>
              </w:rPr>
              <w:t xml:space="preserve">  </w:t>
            </w:r>
            <w:r>
              <w:rPr>
                <w:b/>
                <w:i/>
                <w:sz w:val="14"/>
                <w:szCs w:val="14"/>
              </w:rPr>
              <w:t xml:space="preserve">  $</w:t>
            </w:r>
            <w:r w:rsidR="00B719A8">
              <w:rPr>
                <w:b/>
                <w:i/>
                <w:sz w:val="14"/>
                <w:szCs w:val="14"/>
              </w:rPr>
              <w:t>1,</w:t>
            </w:r>
            <w:r>
              <w:rPr>
                <w:b/>
                <w:i/>
                <w:sz w:val="14"/>
                <w:szCs w:val="14"/>
              </w:rPr>
              <w:t xml:space="preserve"> </w:t>
            </w:r>
            <w:r w:rsidR="00B719A8">
              <w:rPr>
                <w:b/>
                <w:i/>
                <w:sz w:val="14"/>
                <w:szCs w:val="14"/>
              </w:rPr>
              <w:t>7</w:t>
            </w:r>
            <w:r w:rsidR="00F97122">
              <w:rPr>
                <w:b/>
                <w:i/>
                <w:sz w:val="14"/>
                <w:szCs w:val="14"/>
              </w:rPr>
              <w:t>59</w:t>
            </w:r>
            <w:r w:rsidRPr="00CA0600">
              <w:rPr>
                <w:b/>
                <w:i/>
                <w:sz w:val="14"/>
                <w:szCs w:val="14"/>
              </w:rPr>
              <w:t>,</w:t>
            </w:r>
            <w:r w:rsidR="00F97122">
              <w:rPr>
                <w:b/>
                <w:i/>
                <w:sz w:val="14"/>
                <w:szCs w:val="14"/>
              </w:rPr>
              <w:t>902</w:t>
            </w:r>
          </w:p>
        </w:tc>
      </w:tr>
      <w:tr w:rsidR="00CD774A" w:rsidTr="00E560C8">
        <w:tc>
          <w:tcPr>
            <w:tcW w:w="10008" w:type="dxa"/>
            <w:gridSpan w:val="8"/>
            <w:tcBorders>
              <w:top w:val="single" w:sz="12" w:space="0" w:color="auto"/>
              <w:left w:val="nil"/>
              <w:bottom w:val="nil"/>
              <w:right w:val="nil"/>
            </w:tcBorders>
            <w:vAlign w:val="center"/>
          </w:tcPr>
          <w:p w:rsidR="00CD774A" w:rsidRPr="004B6EAE" w:rsidRDefault="00CD774A" w:rsidP="00F97122">
            <w:pPr>
              <w:jc w:val="right"/>
              <w:rPr>
                <w:b/>
                <w:i/>
                <w:sz w:val="14"/>
                <w:szCs w:val="14"/>
              </w:rPr>
            </w:pPr>
            <w:r>
              <w:rPr>
                <w:b/>
                <w:i/>
                <w:sz w:val="14"/>
                <w:szCs w:val="14"/>
              </w:rPr>
              <w:t>Total—</w:t>
            </w:r>
            <w:r w:rsidRPr="004B6EAE">
              <w:rPr>
                <w:b/>
                <w:i/>
                <w:sz w:val="14"/>
                <w:szCs w:val="14"/>
              </w:rPr>
              <w:t xml:space="preserve">NRC Burden Decrease </w:t>
            </w:r>
            <w:r>
              <w:rPr>
                <w:b/>
                <w:i/>
                <w:sz w:val="14"/>
                <w:szCs w:val="14"/>
              </w:rPr>
              <w:t xml:space="preserve">   </w:t>
            </w:r>
            <w:r w:rsidRPr="004B6EAE">
              <w:rPr>
                <w:b/>
                <w:i/>
                <w:sz w:val="14"/>
                <w:szCs w:val="14"/>
              </w:rPr>
              <w:t xml:space="preserve">  </w:t>
            </w:r>
            <w:r w:rsidR="00EF6C09">
              <w:rPr>
                <w:b/>
                <w:i/>
                <w:sz w:val="14"/>
                <w:szCs w:val="14"/>
              </w:rPr>
              <w:t>2,0</w:t>
            </w:r>
            <w:r w:rsidR="00547020">
              <w:rPr>
                <w:b/>
                <w:i/>
                <w:sz w:val="14"/>
                <w:szCs w:val="14"/>
              </w:rPr>
              <w:t>2</w:t>
            </w:r>
            <w:r w:rsidR="00F97122">
              <w:rPr>
                <w:b/>
                <w:i/>
                <w:sz w:val="14"/>
                <w:szCs w:val="14"/>
              </w:rPr>
              <w:t>6</w:t>
            </w:r>
            <w:r w:rsidR="00EF6C09">
              <w:rPr>
                <w:b/>
                <w:i/>
                <w:sz w:val="14"/>
                <w:szCs w:val="14"/>
              </w:rPr>
              <w:t>.</w:t>
            </w:r>
            <w:r w:rsidR="00F97122">
              <w:rPr>
                <w:b/>
                <w:i/>
                <w:sz w:val="14"/>
                <w:szCs w:val="14"/>
              </w:rPr>
              <w:t>6</w:t>
            </w:r>
            <w:r>
              <w:rPr>
                <w:b/>
                <w:i/>
                <w:sz w:val="14"/>
                <w:szCs w:val="14"/>
              </w:rPr>
              <w:t xml:space="preserve">    </w:t>
            </w:r>
            <w:r w:rsidRPr="004B6EAE">
              <w:rPr>
                <w:b/>
                <w:i/>
                <w:sz w:val="14"/>
                <w:szCs w:val="14"/>
              </w:rPr>
              <w:t xml:space="preserve">   $ </w:t>
            </w:r>
            <w:r w:rsidR="006B1123">
              <w:rPr>
                <w:b/>
                <w:i/>
                <w:sz w:val="14"/>
                <w:szCs w:val="14"/>
              </w:rPr>
              <w:t>555</w:t>
            </w:r>
            <w:r w:rsidRPr="004B6EAE">
              <w:rPr>
                <w:b/>
                <w:i/>
                <w:sz w:val="14"/>
                <w:szCs w:val="14"/>
              </w:rPr>
              <w:t>,</w:t>
            </w:r>
            <w:r w:rsidR="00F97122">
              <w:rPr>
                <w:b/>
                <w:i/>
                <w:sz w:val="14"/>
                <w:szCs w:val="14"/>
              </w:rPr>
              <w:t>293</w:t>
            </w:r>
          </w:p>
        </w:tc>
      </w:tr>
    </w:tbl>
    <w:p w:rsidR="0098401A" w:rsidRPr="00523F66" w:rsidRDefault="0098401A" w:rsidP="0098401A">
      <w:pPr>
        <w:rPr>
          <w:i/>
          <w:sz w:val="14"/>
          <w:szCs w:val="14"/>
        </w:rPr>
      </w:pPr>
      <w:r w:rsidRPr="00523F66">
        <w:rPr>
          <w:sz w:val="14"/>
          <w:szCs w:val="14"/>
        </w:rPr>
        <w:t xml:space="preserve">  *   </w:t>
      </w:r>
      <w:r w:rsidRPr="00523F66">
        <w:rPr>
          <w:i/>
          <w:sz w:val="14"/>
          <w:szCs w:val="14"/>
        </w:rPr>
        <w:t>Burden only applies to 10% of reactors</w:t>
      </w:r>
    </w:p>
    <w:p w:rsidR="0098401A" w:rsidRPr="00523F66" w:rsidRDefault="0098401A" w:rsidP="0098401A">
      <w:pPr>
        <w:rPr>
          <w:i/>
          <w:sz w:val="14"/>
          <w:szCs w:val="14"/>
        </w:rPr>
      </w:pPr>
      <w:r w:rsidRPr="00523F66">
        <w:rPr>
          <w:i/>
          <w:sz w:val="14"/>
          <w:szCs w:val="14"/>
        </w:rPr>
        <w:t>**   Burden only applies to 50% of reactors</w:t>
      </w:r>
    </w:p>
    <w:p w:rsidR="00332707" w:rsidRDefault="00332707">
      <w:pPr>
        <w:rPr>
          <w:b/>
        </w:rPr>
      </w:pPr>
      <w:r>
        <w:rPr>
          <w:b/>
        </w:rPr>
        <w:br w:type="page"/>
      </w:r>
    </w:p>
    <w:p w:rsidR="00332707" w:rsidRDefault="00C016A7" w:rsidP="00B171CA">
      <w:pPr>
        <w:pStyle w:val="text"/>
        <w:keepNext/>
        <w:jc w:val="center"/>
        <w:rPr>
          <w:b/>
          <w:szCs w:val="22"/>
        </w:rPr>
      </w:pPr>
      <w:r>
        <w:rPr>
          <w:b/>
          <w:szCs w:val="22"/>
        </w:rPr>
        <w:lastRenderedPageBreak/>
        <w:t>Exhibit 3</w:t>
      </w:r>
      <w:r w:rsidR="00332707" w:rsidRPr="00925CA5">
        <w:rPr>
          <w:b/>
        </w:rPr>
        <w:br/>
      </w:r>
      <w:r w:rsidR="00925CA5" w:rsidRPr="00925CA5">
        <w:rPr>
          <w:b/>
          <w:szCs w:val="22"/>
        </w:rPr>
        <w:t>Total Information Collection Burden Over 3 Years – (2013–2015)</w:t>
      </w:r>
      <w:r w:rsidR="00CC2BED">
        <w:rPr>
          <w:b/>
          <w:szCs w:val="22"/>
        </w:rPr>
        <w:t>*</w:t>
      </w:r>
    </w:p>
    <w:tbl>
      <w:tblPr>
        <w:tblStyle w:val="TableGrid"/>
        <w:tblW w:w="0" w:type="auto"/>
        <w:tblLook w:val="04A0" w:firstRow="1" w:lastRow="0" w:firstColumn="1" w:lastColumn="0" w:noHBand="0" w:noVBand="1"/>
      </w:tblPr>
      <w:tblGrid>
        <w:gridCol w:w="2633"/>
        <w:gridCol w:w="1864"/>
        <w:gridCol w:w="1911"/>
        <w:gridCol w:w="1530"/>
        <w:gridCol w:w="1638"/>
      </w:tblGrid>
      <w:tr w:rsidR="00764135" w:rsidTr="00B171CA">
        <w:trPr>
          <w:trHeight w:val="530"/>
        </w:trPr>
        <w:tc>
          <w:tcPr>
            <w:tcW w:w="2633" w:type="dxa"/>
            <w:vMerge w:val="restart"/>
            <w:vAlign w:val="center"/>
          </w:tcPr>
          <w:p w:rsidR="00764135" w:rsidRDefault="00764135" w:rsidP="00764135">
            <w:pPr>
              <w:pStyle w:val="text"/>
              <w:keepNext/>
              <w:spacing w:after="0"/>
              <w:jc w:val="center"/>
              <w:rPr>
                <w:b/>
                <w:szCs w:val="22"/>
              </w:rPr>
            </w:pPr>
            <w:r>
              <w:rPr>
                <w:b/>
                <w:szCs w:val="22"/>
              </w:rPr>
              <w:t>Information Collection</w:t>
            </w:r>
          </w:p>
        </w:tc>
        <w:tc>
          <w:tcPr>
            <w:tcW w:w="1864" w:type="dxa"/>
            <w:vMerge w:val="restart"/>
            <w:vAlign w:val="center"/>
          </w:tcPr>
          <w:p w:rsidR="00764135" w:rsidRDefault="00764135" w:rsidP="00764135">
            <w:pPr>
              <w:pStyle w:val="text"/>
              <w:keepNext/>
              <w:spacing w:after="0"/>
              <w:jc w:val="center"/>
              <w:rPr>
                <w:b/>
                <w:szCs w:val="22"/>
              </w:rPr>
            </w:pPr>
            <w:r>
              <w:rPr>
                <w:b/>
                <w:szCs w:val="22"/>
              </w:rPr>
              <w:t>Number of Respondents</w:t>
            </w:r>
          </w:p>
        </w:tc>
        <w:tc>
          <w:tcPr>
            <w:tcW w:w="1911" w:type="dxa"/>
            <w:vMerge w:val="restart"/>
            <w:vAlign w:val="center"/>
          </w:tcPr>
          <w:p w:rsidR="00764135" w:rsidRDefault="00764135" w:rsidP="00764135">
            <w:pPr>
              <w:pStyle w:val="text"/>
              <w:keepNext/>
              <w:spacing w:after="0"/>
              <w:jc w:val="center"/>
              <w:rPr>
                <w:b/>
                <w:szCs w:val="22"/>
              </w:rPr>
            </w:pPr>
            <w:r>
              <w:rPr>
                <w:b/>
                <w:szCs w:val="22"/>
              </w:rPr>
              <w:t>Number of Responses</w:t>
            </w:r>
          </w:p>
        </w:tc>
        <w:tc>
          <w:tcPr>
            <w:tcW w:w="3168" w:type="dxa"/>
            <w:gridSpan w:val="2"/>
            <w:vAlign w:val="center"/>
          </w:tcPr>
          <w:p w:rsidR="00764135" w:rsidRDefault="00764135" w:rsidP="00764135">
            <w:pPr>
              <w:pStyle w:val="text"/>
              <w:keepNext/>
              <w:spacing w:after="0"/>
              <w:jc w:val="center"/>
              <w:rPr>
                <w:b/>
                <w:szCs w:val="22"/>
              </w:rPr>
            </w:pPr>
            <w:r>
              <w:rPr>
                <w:b/>
                <w:szCs w:val="22"/>
              </w:rPr>
              <w:t>Total Burden</w:t>
            </w:r>
            <w:r w:rsidR="009B5701">
              <w:rPr>
                <w:b/>
                <w:szCs w:val="22"/>
              </w:rPr>
              <w:t>*</w:t>
            </w:r>
            <w:r w:rsidR="00CC2BED">
              <w:rPr>
                <w:b/>
                <w:szCs w:val="22"/>
              </w:rPr>
              <w:t>*</w:t>
            </w:r>
          </w:p>
        </w:tc>
      </w:tr>
      <w:tr w:rsidR="00764135" w:rsidTr="00B171CA">
        <w:trPr>
          <w:trHeight w:val="431"/>
        </w:trPr>
        <w:tc>
          <w:tcPr>
            <w:tcW w:w="2633" w:type="dxa"/>
            <w:vMerge/>
            <w:vAlign w:val="center"/>
          </w:tcPr>
          <w:p w:rsidR="00764135" w:rsidRDefault="00764135" w:rsidP="00764135">
            <w:pPr>
              <w:pStyle w:val="text"/>
              <w:keepNext/>
              <w:spacing w:after="0"/>
              <w:jc w:val="center"/>
              <w:rPr>
                <w:b/>
                <w:szCs w:val="22"/>
              </w:rPr>
            </w:pPr>
          </w:p>
        </w:tc>
        <w:tc>
          <w:tcPr>
            <w:tcW w:w="1864" w:type="dxa"/>
            <w:vMerge/>
            <w:vAlign w:val="center"/>
          </w:tcPr>
          <w:p w:rsidR="00764135" w:rsidRDefault="00764135" w:rsidP="00764135">
            <w:pPr>
              <w:pStyle w:val="text"/>
              <w:keepNext/>
              <w:spacing w:after="0"/>
              <w:jc w:val="center"/>
              <w:rPr>
                <w:b/>
                <w:szCs w:val="22"/>
              </w:rPr>
            </w:pPr>
          </w:p>
        </w:tc>
        <w:tc>
          <w:tcPr>
            <w:tcW w:w="1911" w:type="dxa"/>
            <w:vMerge/>
            <w:vAlign w:val="center"/>
          </w:tcPr>
          <w:p w:rsidR="00764135" w:rsidRDefault="00764135" w:rsidP="00764135">
            <w:pPr>
              <w:pStyle w:val="text"/>
              <w:keepNext/>
              <w:spacing w:after="0"/>
              <w:jc w:val="center"/>
              <w:rPr>
                <w:b/>
                <w:szCs w:val="22"/>
              </w:rPr>
            </w:pPr>
          </w:p>
        </w:tc>
        <w:tc>
          <w:tcPr>
            <w:tcW w:w="1530" w:type="dxa"/>
            <w:vAlign w:val="center"/>
          </w:tcPr>
          <w:p w:rsidR="00764135" w:rsidRDefault="00764135" w:rsidP="00764135">
            <w:pPr>
              <w:pStyle w:val="text"/>
              <w:keepNext/>
              <w:spacing w:after="0"/>
              <w:jc w:val="center"/>
              <w:rPr>
                <w:b/>
                <w:szCs w:val="22"/>
              </w:rPr>
            </w:pPr>
            <w:r>
              <w:rPr>
                <w:b/>
                <w:szCs w:val="22"/>
              </w:rPr>
              <w:t>Hours</w:t>
            </w:r>
          </w:p>
        </w:tc>
        <w:tc>
          <w:tcPr>
            <w:tcW w:w="1638" w:type="dxa"/>
            <w:vAlign w:val="center"/>
          </w:tcPr>
          <w:p w:rsidR="00764135" w:rsidRDefault="00764135" w:rsidP="00764135">
            <w:pPr>
              <w:pStyle w:val="text"/>
              <w:keepNext/>
              <w:spacing w:after="0"/>
              <w:jc w:val="center"/>
              <w:rPr>
                <w:b/>
                <w:szCs w:val="22"/>
              </w:rPr>
            </w:pPr>
            <w:r>
              <w:rPr>
                <w:b/>
                <w:szCs w:val="22"/>
              </w:rPr>
              <w:t>$</w:t>
            </w:r>
          </w:p>
        </w:tc>
      </w:tr>
      <w:tr w:rsidR="00764135" w:rsidTr="00B171CA">
        <w:trPr>
          <w:trHeight w:val="359"/>
        </w:trPr>
        <w:tc>
          <w:tcPr>
            <w:tcW w:w="2633" w:type="dxa"/>
            <w:vAlign w:val="center"/>
          </w:tcPr>
          <w:p w:rsidR="00764135" w:rsidRPr="002379BE" w:rsidRDefault="00764135" w:rsidP="00764135">
            <w:pPr>
              <w:pStyle w:val="text"/>
              <w:keepNext/>
              <w:spacing w:after="0"/>
              <w:rPr>
                <w:szCs w:val="22"/>
              </w:rPr>
            </w:pPr>
            <w:r w:rsidRPr="002379BE">
              <w:rPr>
                <w:szCs w:val="22"/>
              </w:rPr>
              <w:t>Reporting</w:t>
            </w:r>
          </w:p>
        </w:tc>
        <w:tc>
          <w:tcPr>
            <w:tcW w:w="1864" w:type="dxa"/>
            <w:vAlign w:val="center"/>
          </w:tcPr>
          <w:p w:rsidR="00764135" w:rsidRPr="002379BE" w:rsidRDefault="006D389C" w:rsidP="00764135">
            <w:pPr>
              <w:pStyle w:val="text"/>
              <w:keepNext/>
              <w:spacing w:after="0"/>
              <w:jc w:val="center"/>
              <w:rPr>
                <w:szCs w:val="22"/>
              </w:rPr>
            </w:pPr>
            <w:r>
              <w:rPr>
                <w:szCs w:val="22"/>
              </w:rPr>
              <w:t>1</w:t>
            </w:r>
            <w:r w:rsidR="007D5156">
              <w:rPr>
                <w:szCs w:val="22"/>
              </w:rPr>
              <w:t>9</w:t>
            </w:r>
          </w:p>
        </w:tc>
        <w:tc>
          <w:tcPr>
            <w:tcW w:w="1911" w:type="dxa"/>
            <w:vAlign w:val="center"/>
          </w:tcPr>
          <w:p w:rsidR="00764135" w:rsidRPr="002379BE" w:rsidRDefault="006D389C" w:rsidP="00764135">
            <w:pPr>
              <w:pStyle w:val="text"/>
              <w:keepNext/>
              <w:spacing w:after="0"/>
              <w:jc w:val="center"/>
              <w:rPr>
                <w:szCs w:val="22"/>
              </w:rPr>
            </w:pPr>
            <w:r>
              <w:rPr>
                <w:szCs w:val="22"/>
              </w:rPr>
              <w:t>1</w:t>
            </w:r>
            <w:r w:rsidR="007D5156">
              <w:rPr>
                <w:szCs w:val="22"/>
              </w:rPr>
              <w:t>9</w:t>
            </w:r>
          </w:p>
        </w:tc>
        <w:tc>
          <w:tcPr>
            <w:tcW w:w="1530" w:type="dxa"/>
            <w:vAlign w:val="center"/>
          </w:tcPr>
          <w:p w:rsidR="00764135" w:rsidRPr="002379BE" w:rsidRDefault="00B171CA" w:rsidP="00A9001B">
            <w:pPr>
              <w:pStyle w:val="text"/>
              <w:keepNext/>
              <w:spacing w:after="0"/>
              <w:jc w:val="center"/>
              <w:rPr>
                <w:szCs w:val="22"/>
              </w:rPr>
            </w:pPr>
            <w:r>
              <w:rPr>
                <w:szCs w:val="22"/>
              </w:rPr>
              <w:t>-</w:t>
            </w:r>
            <w:r w:rsidR="007D5156">
              <w:rPr>
                <w:szCs w:val="22"/>
              </w:rPr>
              <w:t>1</w:t>
            </w:r>
            <w:r w:rsidR="008949AE">
              <w:rPr>
                <w:szCs w:val="22"/>
              </w:rPr>
              <w:t>1</w:t>
            </w:r>
            <w:r w:rsidR="007D5156">
              <w:rPr>
                <w:szCs w:val="22"/>
              </w:rPr>
              <w:t>,</w:t>
            </w:r>
            <w:r w:rsidR="008949AE">
              <w:rPr>
                <w:szCs w:val="22"/>
              </w:rPr>
              <w:t>9</w:t>
            </w:r>
            <w:r w:rsidR="00A9001B">
              <w:rPr>
                <w:szCs w:val="22"/>
              </w:rPr>
              <w:t>88</w:t>
            </w:r>
            <w:r w:rsidR="007D5156">
              <w:rPr>
                <w:szCs w:val="22"/>
              </w:rPr>
              <w:t>.</w:t>
            </w:r>
            <w:r w:rsidR="00A9001B">
              <w:rPr>
                <w:szCs w:val="22"/>
              </w:rPr>
              <w:t>6</w:t>
            </w:r>
          </w:p>
        </w:tc>
        <w:tc>
          <w:tcPr>
            <w:tcW w:w="1638" w:type="dxa"/>
            <w:vAlign w:val="center"/>
          </w:tcPr>
          <w:p w:rsidR="00764135" w:rsidRPr="002379BE" w:rsidRDefault="00B171CA" w:rsidP="00A9001B">
            <w:pPr>
              <w:pStyle w:val="text"/>
              <w:keepNext/>
              <w:spacing w:after="0"/>
              <w:jc w:val="center"/>
              <w:rPr>
                <w:szCs w:val="22"/>
              </w:rPr>
            </w:pPr>
            <w:r>
              <w:rPr>
                <w:szCs w:val="22"/>
              </w:rPr>
              <w:t>-</w:t>
            </w:r>
            <w:r w:rsidR="008949AE">
              <w:rPr>
                <w:szCs w:val="22"/>
              </w:rPr>
              <w:t>3</w:t>
            </w:r>
            <w:r w:rsidR="007D5156">
              <w:rPr>
                <w:szCs w:val="22"/>
              </w:rPr>
              <w:t>,</w:t>
            </w:r>
            <w:r w:rsidR="008949AE">
              <w:rPr>
                <w:szCs w:val="22"/>
              </w:rPr>
              <w:t>28</w:t>
            </w:r>
            <w:r w:rsidR="00A9001B">
              <w:rPr>
                <w:szCs w:val="22"/>
              </w:rPr>
              <w:t>4</w:t>
            </w:r>
            <w:r w:rsidR="007D5156">
              <w:rPr>
                <w:szCs w:val="22"/>
              </w:rPr>
              <w:t>,</w:t>
            </w:r>
            <w:r w:rsidR="00A9001B">
              <w:rPr>
                <w:szCs w:val="22"/>
              </w:rPr>
              <w:t>876</w:t>
            </w:r>
            <w:bookmarkStart w:id="0" w:name="_GoBack"/>
            <w:bookmarkEnd w:id="0"/>
            <w:r w:rsidR="007D5156">
              <w:rPr>
                <w:szCs w:val="22"/>
              </w:rPr>
              <w:t>.00</w:t>
            </w:r>
          </w:p>
        </w:tc>
      </w:tr>
      <w:tr w:rsidR="00764135" w:rsidTr="00B171CA">
        <w:trPr>
          <w:trHeight w:val="377"/>
        </w:trPr>
        <w:tc>
          <w:tcPr>
            <w:tcW w:w="2633" w:type="dxa"/>
            <w:vAlign w:val="center"/>
          </w:tcPr>
          <w:p w:rsidR="00764135" w:rsidRPr="002379BE" w:rsidRDefault="00764135" w:rsidP="00764135">
            <w:pPr>
              <w:pStyle w:val="text"/>
              <w:keepNext/>
              <w:spacing w:after="0"/>
              <w:rPr>
                <w:szCs w:val="22"/>
              </w:rPr>
            </w:pPr>
            <w:r w:rsidRPr="002379BE">
              <w:rPr>
                <w:szCs w:val="22"/>
              </w:rPr>
              <w:t>Record</w:t>
            </w:r>
            <w:r w:rsidR="007D5156">
              <w:rPr>
                <w:szCs w:val="22"/>
              </w:rPr>
              <w:t>k</w:t>
            </w:r>
            <w:r w:rsidRPr="002379BE">
              <w:rPr>
                <w:szCs w:val="22"/>
              </w:rPr>
              <w:t>eeping</w:t>
            </w:r>
            <w:r w:rsidR="009B5701" w:rsidRPr="009B5701">
              <w:rPr>
                <w:szCs w:val="22"/>
                <w:vertAlign w:val="superscript"/>
              </w:rPr>
              <w:t>†</w:t>
            </w:r>
          </w:p>
        </w:tc>
        <w:tc>
          <w:tcPr>
            <w:tcW w:w="1864" w:type="dxa"/>
            <w:vAlign w:val="center"/>
          </w:tcPr>
          <w:p w:rsidR="00764135" w:rsidRPr="002379BE" w:rsidRDefault="00764135" w:rsidP="00764135">
            <w:pPr>
              <w:pStyle w:val="text"/>
              <w:keepNext/>
              <w:spacing w:after="0"/>
              <w:jc w:val="center"/>
              <w:rPr>
                <w:szCs w:val="22"/>
              </w:rPr>
            </w:pPr>
            <w:r>
              <w:rPr>
                <w:szCs w:val="22"/>
              </w:rPr>
              <w:t>0</w:t>
            </w:r>
          </w:p>
        </w:tc>
        <w:tc>
          <w:tcPr>
            <w:tcW w:w="1911" w:type="dxa"/>
            <w:vAlign w:val="center"/>
          </w:tcPr>
          <w:p w:rsidR="00764135" w:rsidRPr="002379BE" w:rsidRDefault="00764135" w:rsidP="00764135">
            <w:pPr>
              <w:pStyle w:val="text"/>
              <w:keepNext/>
              <w:spacing w:after="0"/>
              <w:jc w:val="center"/>
              <w:rPr>
                <w:szCs w:val="22"/>
              </w:rPr>
            </w:pPr>
            <w:r>
              <w:rPr>
                <w:szCs w:val="22"/>
              </w:rPr>
              <w:t>0</w:t>
            </w:r>
          </w:p>
        </w:tc>
        <w:tc>
          <w:tcPr>
            <w:tcW w:w="1530" w:type="dxa"/>
            <w:vAlign w:val="center"/>
          </w:tcPr>
          <w:p w:rsidR="00764135" w:rsidRPr="002379BE" w:rsidRDefault="00764135" w:rsidP="00764135">
            <w:pPr>
              <w:pStyle w:val="text"/>
              <w:keepNext/>
              <w:spacing w:after="0"/>
              <w:jc w:val="center"/>
              <w:rPr>
                <w:szCs w:val="22"/>
              </w:rPr>
            </w:pPr>
            <w:r>
              <w:rPr>
                <w:szCs w:val="22"/>
              </w:rPr>
              <w:t>0</w:t>
            </w:r>
          </w:p>
        </w:tc>
        <w:tc>
          <w:tcPr>
            <w:tcW w:w="1638" w:type="dxa"/>
            <w:vAlign w:val="center"/>
          </w:tcPr>
          <w:p w:rsidR="00764135" w:rsidRPr="002379BE" w:rsidRDefault="00764135" w:rsidP="00764135">
            <w:pPr>
              <w:pStyle w:val="text"/>
              <w:keepNext/>
              <w:spacing w:after="0"/>
              <w:jc w:val="center"/>
              <w:rPr>
                <w:szCs w:val="22"/>
              </w:rPr>
            </w:pPr>
            <w:r>
              <w:rPr>
                <w:szCs w:val="22"/>
              </w:rPr>
              <w:t>0</w:t>
            </w:r>
          </w:p>
        </w:tc>
      </w:tr>
    </w:tbl>
    <w:p w:rsidR="0081392A" w:rsidRDefault="0081392A" w:rsidP="0005748B">
      <w:pPr>
        <w:pStyle w:val="text"/>
        <w:keepNext/>
        <w:spacing w:before="120" w:after="60"/>
        <w:rPr>
          <w:sz w:val="16"/>
          <w:szCs w:val="16"/>
        </w:rPr>
      </w:pPr>
      <w:r>
        <w:rPr>
          <w:b/>
          <w:sz w:val="16"/>
          <w:szCs w:val="16"/>
        </w:rPr>
        <w:t xml:space="preserve"> </w:t>
      </w:r>
      <w:r w:rsidR="00CC2BED">
        <w:rPr>
          <w:b/>
          <w:sz w:val="16"/>
          <w:szCs w:val="16"/>
        </w:rPr>
        <w:t xml:space="preserve"> </w:t>
      </w:r>
      <w:r w:rsidR="007D5156" w:rsidRPr="007D5156">
        <w:rPr>
          <w:b/>
          <w:sz w:val="16"/>
          <w:szCs w:val="16"/>
        </w:rPr>
        <w:t>*</w:t>
      </w:r>
      <w:r w:rsidR="0005748B">
        <w:rPr>
          <w:b/>
          <w:sz w:val="16"/>
          <w:szCs w:val="16"/>
        </w:rPr>
        <w:t xml:space="preserve"> </w:t>
      </w:r>
      <w:r w:rsidR="0005748B" w:rsidRPr="0005748B">
        <w:rPr>
          <w:sz w:val="16"/>
          <w:szCs w:val="16"/>
        </w:rPr>
        <w:t xml:space="preserve">Burden </w:t>
      </w:r>
      <w:r w:rsidR="0005748B">
        <w:rPr>
          <w:sz w:val="16"/>
          <w:szCs w:val="16"/>
        </w:rPr>
        <w:t>O</w:t>
      </w:r>
      <w:r w:rsidR="0005748B" w:rsidRPr="0005748B">
        <w:rPr>
          <w:sz w:val="16"/>
          <w:szCs w:val="16"/>
        </w:rPr>
        <w:t xml:space="preserve">ver </w:t>
      </w:r>
      <w:r w:rsidR="0005748B">
        <w:rPr>
          <w:sz w:val="16"/>
          <w:szCs w:val="16"/>
        </w:rPr>
        <w:t>3 Years takes into account that (</w:t>
      </w:r>
      <w:r w:rsidR="00FE4FB5">
        <w:rPr>
          <w:sz w:val="16"/>
          <w:szCs w:val="16"/>
        </w:rPr>
        <w:t xml:space="preserve">1) </w:t>
      </w:r>
      <w:r w:rsidR="0005748B">
        <w:rPr>
          <w:sz w:val="16"/>
          <w:szCs w:val="16"/>
        </w:rPr>
        <w:t>NRC begins using the revised requirements to evaluate license renewal applications during 2013</w:t>
      </w:r>
      <w:r w:rsidR="00FE4FB5">
        <w:rPr>
          <w:sz w:val="16"/>
          <w:szCs w:val="16"/>
        </w:rPr>
        <w:t xml:space="preserve"> and (2) industry compliance begins during </w:t>
      </w:r>
      <w:r w:rsidR="00FE4FB5" w:rsidRPr="00FE4FB5">
        <w:rPr>
          <w:sz w:val="16"/>
          <w:szCs w:val="16"/>
        </w:rPr>
        <w:t>2014</w:t>
      </w:r>
    </w:p>
    <w:p w:rsidR="00CC2BED" w:rsidRDefault="0081392A" w:rsidP="0005748B">
      <w:pPr>
        <w:pStyle w:val="text"/>
        <w:keepNext/>
        <w:spacing w:before="20" w:after="0"/>
        <w:rPr>
          <w:sz w:val="16"/>
          <w:szCs w:val="16"/>
        </w:rPr>
      </w:pPr>
      <w:r>
        <w:rPr>
          <w:sz w:val="16"/>
          <w:szCs w:val="16"/>
        </w:rPr>
        <w:t>**</w:t>
      </w:r>
      <w:r w:rsidR="00CC2BED">
        <w:rPr>
          <w:sz w:val="16"/>
          <w:szCs w:val="16"/>
        </w:rPr>
        <w:t xml:space="preserve"> </w:t>
      </w:r>
      <w:r w:rsidR="0005748B">
        <w:rPr>
          <w:sz w:val="16"/>
          <w:szCs w:val="16"/>
        </w:rPr>
        <w:t xml:space="preserve">Sum of </w:t>
      </w:r>
      <w:r w:rsidR="00CC2BED">
        <w:rPr>
          <w:sz w:val="16"/>
          <w:szCs w:val="16"/>
        </w:rPr>
        <w:t xml:space="preserve">industry </w:t>
      </w:r>
      <w:r w:rsidR="0005748B">
        <w:rPr>
          <w:sz w:val="16"/>
          <w:szCs w:val="16"/>
        </w:rPr>
        <w:t>and NRC burden.</w:t>
      </w:r>
    </w:p>
    <w:p w:rsidR="0081392A" w:rsidRPr="0081392A" w:rsidRDefault="0081392A" w:rsidP="0005748B">
      <w:pPr>
        <w:pStyle w:val="text"/>
        <w:keepNext/>
        <w:spacing w:after="0"/>
        <w:rPr>
          <w:sz w:val="16"/>
          <w:szCs w:val="16"/>
        </w:rPr>
      </w:pPr>
      <w:r>
        <w:rPr>
          <w:szCs w:val="22"/>
          <w:vertAlign w:val="superscript"/>
        </w:rPr>
        <w:t xml:space="preserve">  </w:t>
      </w:r>
      <w:r w:rsidR="009B5701" w:rsidRPr="009B5701">
        <w:rPr>
          <w:szCs w:val="22"/>
          <w:vertAlign w:val="superscript"/>
        </w:rPr>
        <w:t>†</w:t>
      </w:r>
      <w:r w:rsidR="00CA6453">
        <w:rPr>
          <w:szCs w:val="22"/>
          <w:vertAlign w:val="superscript"/>
        </w:rPr>
        <w:t xml:space="preserve"> </w:t>
      </w:r>
      <w:r w:rsidR="009B5701">
        <w:rPr>
          <w:sz w:val="16"/>
          <w:szCs w:val="16"/>
        </w:rPr>
        <w:t>Re</w:t>
      </w:r>
      <w:r w:rsidR="007D5156" w:rsidRPr="007D5156">
        <w:rPr>
          <w:sz w:val="16"/>
          <w:szCs w:val="16"/>
        </w:rPr>
        <w:t>cordkeeping requirements are not specified in 10 CFR Part 51</w:t>
      </w:r>
      <w:r>
        <w:rPr>
          <w:sz w:val="16"/>
          <w:szCs w:val="16"/>
        </w:rPr>
        <w:t>.</w:t>
      </w:r>
    </w:p>
    <w:p w:rsidR="009C6C4E" w:rsidRDefault="009C6C4E">
      <w:pPr>
        <w:rPr>
          <w:b/>
        </w:rPr>
      </w:pPr>
    </w:p>
    <w:p w:rsidR="009C6C4E" w:rsidRDefault="009C6C4E">
      <w:pPr>
        <w:rPr>
          <w:b/>
        </w:rPr>
        <w:sectPr w:rsidR="009C6C4E" w:rsidSect="009C6C4E">
          <w:headerReference w:type="default" r:id="rId10"/>
          <w:pgSz w:w="12240" w:h="15840" w:code="1"/>
          <w:pgMar w:top="1440" w:right="1440" w:bottom="1440" w:left="1440" w:header="1440" w:footer="1440" w:gutter="0"/>
          <w:cols w:space="720"/>
          <w:titlePg/>
          <w:docGrid w:linePitch="360"/>
        </w:sectPr>
      </w:pPr>
    </w:p>
    <w:p w:rsidR="009C6C4E" w:rsidRDefault="009C6C4E" w:rsidP="009C6C4E">
      <w:pPr>
        <w:jc w:val="center"/>
        <w:rPr>
          <w:b/>
          <w:szCs w:val="24"/>
        </w:rPr>
      </w:pPr>
      <w:r>
        <w:rPr>
          <w:b/>
          <w:szCs w:val="24"/>
        </w:rPr>
        <w:lastRenderedPageBreak/>
        <w:t>APPENDIX</w:t>
      </w:r>
    </w:p>
    <w:p w:rsidR="009C6C4E" w:rsidRDefault="009C6C4E" w:rsidP="009C6C4E">
      <w:pPr>
        <w:jc w:val="center"/>
        <w:rPr>
          <w:b/>
          <w:szCs w:val="24"/>
        </w:rPr>
      </w:pPr>
    </w:p>
    <w:p w:rsidR="009C6C4E" w:rsidRDefault="009C6C4E" w:rsidP="009C6C4E">
      <w:pPr>
        <w:jc w:val="center"/>
        <w:rPr>
          <w:b/>
          <w:bCs/>
          <w:szCs w:val="24"/>
        </w:rPr>
      </w:pPr>
      <w:r w:rsidRPr="007D1A76">
        <w:rPr>
          <w:b/>
          <w:szCs w:val="24"/>
        </w:rPr>
        <w:t>Presentation of Final Rule Revisions</w:t>
      </w:r>
      <w:r w:rsidRPr="007D1A76">
        <w:rPr>
          <w:b/>
          <w:bCs/>
          <w:szCs w:val="24"/>
        </w:rPr>
        <w:t xml:space="preserve"> to Table </w:t>
      </w:r>
      <w:r>
        <w:rPr>
          <w:b/>
          <w:bCs/>
          <w:szCs w:val="24"/>
        </w:rPr>
        <w:t>B-1</w:t>
      </w:r>
      <w:r w:rsidRPr="007D1A76">
        <w:rPr>
          <w:b/>
          <w:szCs w:val="24"/>
        </w:rPr>
        <w:t xml:space="preserve"> in </w:t>
      </w:r>
      <w:r w:rsidRPr="007D1A76">
        <w:rPr>
          <w:b/>
          <w:bCs/>
          <w:szCs w:val="24"/>
        </w:rPr>
        <w:t>10 CFR Part 51</w:t>
      </w:r>
    </w:p>
    <w:p w:rsidR="009C6C4E" w:rsidRPr="009E6863" w:rsidRDefault="009C6C4E" w:rsidP="009C6C4E">
      <w:pPr>
        <w:jc w:val="center"/>
        <w:rPr>
          <w:b/>
          <w:bCs/>
          <w:sz w:val="8"/>
          <w:szCs w:val="8"/>
        </w:rPr>
      </w:pPr>
    </w:p>
    <w:tbl>
      <w:tblPr>
        <w:tblStyle w:val="TableGrid"/>
        <w:tblW w:w="0" w:type="auto"/>
        <w:tblLayout w:type="fixed"/>
        <w:tblLook w:val="04A0" w:firstRow="1" w:lastRow="0" w:firstColumn="1" w:lastColumn="0" w:noHBand="0" w:noVBand="1"/>
      </w:tblPr>
      <w:tblGrid>
        <w:gridCol w:w="828"/>
        <w:gridCol w:w="1800"/>
        <w:gridCol w:w="3690"/>
        <w:gridCol w:w="1800"/>
        <w:gridCol w:w="3510"/>
        <w:gridCol w:w="1548"/>
      </w:tblGrid>
      <w:tr w:rsidR="009C6C4E" w:rsidRPr="00D009E1" w:rsidTr="00DA18C0">
        <w:trPr>
          <w:cantSplit/>
          <w:trHeight w:val="359"/>
          <w:tblHeader/>
        </w:trPr>
        <w:tc>
          <w:tcPr>
            <w:tcW w:w="6318" w:type="dxa"/>
            <w:gridSpan w:val="3"/>
            <w:vAlign w:val="center"/>
            <w:hideMark/>
          </w:tcPr>
          <w:p w:rsidR="009C6C4E" w:rsidRPr="002549C0" w:rsidRDefault="009C6C4E" w:rsidP="00DA18C0">
            <w:pPr>
              <w:jc w:val="center"/>
              <w:rPr>
                <w:b/>
                <w:bCs/>
                <w:sz w:val="18"/>
                <w:szCs w:val="18"/>
              </w:rPr>
            </w:pPr>
            <w:r w:rsidRPr="002549C0">
              <w:rPr>
                <w:b/>
                <w:bCs/>
                <w:sz w:val="18"/>
                <w:szCs w:val="18"/>
              </w:rPr>
              <w:t>Final Rule Revisions</w:t>
            </w:r>
          </w:p>
        </w:tc>
        <w:tc>
          <w:tcPr>
            <w:tcW w:w="5310" w:type="dxa"/>
            <w:gridSpan w:val="2"/>
            <w:vAlign w:val="center"/>
            <w:hideMark/>
          </w:tcPr>
          <w:p w:rsidR="009C6C4E" w:rsidRPr="002549C0" w:rsidRDefault="009C6C4E" w:rsidP="00DA18C0">
            <w:pPr>
              <w:jc w:val="center"/>
              <w:rPr>
                <w:b/>
                <w:bCs/>
                <w:sz w:val="18"/>
                <w:szCs w:val="18"/>
              </w:rPr>
            </w:pPr>
            <w:r w:rsidRPr="002549C0">
              <w:rPr>
                <w:b/>
                <w:bCs/>
                <w:sz w:val="18"/>
                <w:szCs w:val="18"/>
              </w:rPr>
              <w:t>Current Rule</w:t>
            </w:r>
          </w:p>
        </w:tc>
        <w:tc>
          <w:tcPr>
            <w:tcW w:w="1548" w:type="dxa"/>
            <w:vMerge w:val="restart"/>
            <w:vAlign w:val="center"/>
            <w:hideMark/>
          </w:tcPr>
          <w:p w:rsidR="009C6C4E" w:rsidRPr="002549C0" w:rsidRDefault="009C6C4E" w:rsidP="00DA18C0">
            <w:pPr>
              <w:jc w:val="center"/>
              <w:rPr>
                <w:b/>
                <w:bCs/>
                <w:sz w:val="18"/>
                <w:szCs w:val="18"/>
              </w:rPr>
            </w:pPr>
            <w:r w:rsidRPr="002549C0">
              <w:rPr>
                <w:b/>
                <w:bCs/>
                <w:sz w:val="18"/>
                <w:szCs w:val="18"/>
              </w:rPr>
              <w:t>Final Rule Change Summary</w:t>
            </w:r>
          </w:p>
        </w:tc>
      </w:tr>
      <w:tr w:rsidR="009C6C4E" w:rsidRPr="00D009E1" w:rsidTr="00DA18C0">
        <w:trPr>
          <w:cantSplit/>
          <w:trHeight w:val="269"/>
          <w:tblHeader/>
        </w:trPr>
        <w:tc>
          <w:tcPr>
            <w:tcW w:w="828" w:type="dxa"/>
            <w:vAlign w:val="center"/>
            <w:hideMark/>
          </w:tcPr>
          <w:p w:rsidR="009C6C4E" w:rsidRPr="002549C0" w:rsidRDefault="009C6C4E" w:rsidP="00DA18C0">
            <w:pPr>
              <w:jc w:val="center"/>
              <w:rPr>
                <w:b/>
                <w:bCs/>
                <w:sz w:val="18"/>
                <w:szCs w:val="18"/>
              </w:rPr>
            </w:pPr>
            <w:r w:rsidRPr="002549C0">
              <w:rPr>
                <w:b/>
                <w:bCs/>
                <w:sz w:val="18"/>
                <w:szCs w:val="18"/>
              </w:rPr>
              <w:t xml:space="preserve">Issue </w:t>
            </w:r>
            <w:r>
              <w:rPr>
                <w:b/>
                <w:bCs/>
                <w:sz w:val="18"/>
                <w:szCs w:val="18"/>
              </w:rPr>
              <w:t>#</w:t>
            </w:r>
          </w:p>
        </w:tc>
        <w:tc>
          <w:tcPr>
            <w:tcW w:w="1800" w:type="dxa"/>
            <w:vAlign w:val="center"/>
            <w:hideMark/>
          </w:tcPr>
          <w:p w:rsidR="009C6C4E" w:rsidRPr="002549C0" w:rsidRDefault="009C6C4E" w:rsidP="00DA18C0">
            <w:pPr>
              <w:jc w:val="center"/>
              <w:rPr>
                <w:b/>
                <w:bCs/>
                <w:sz w:val="18"/>
                <w:szCs w:val="18"/>
              </w:rPr>
            </w:pPr>
            <w:r w:rsidRPr="002549C0">
              <w:rPr>
                <w:b/>
                <w:bCs/>
                <w:sz w:val="18"/>
                <w:szCs w:val="18"/>
              </w:rPr>
              <w:t>Issue</w:t>
            </w:r>
          </w:p>
        </w:tc>
        <w:tc>
          <w:tcPr>
            <w:tcW w:w="3690" w:type="dxa"/>
            <w:vAlign w:val="center"/>
            <w:hideMark/>
          </w:tcPr>
          <w:p w:rsidR="009C6C4E" w:rsidRPr="002549C0" w:rsidRDefault="009C6C4E" w:rsidP="00DA18C0">
            <w:pPr>
              <w:jc w:val="center"/>
              <w:rPr>
                <w:b/>
                <w:bCs/>
                <w:sz w:val="18"/>
                <w:szCs w:val="18"/>
              </w:rPr>
            </w:pPr>
            <w:r w:rsidRPr="002549C0">
              <w:rPr>
                <w:b/>
                <w:bCs/>
                <w:sz w:val="18"/>
                <w:szCs w:val="18"/>
              </w:rPr>
              <w:t>Finding</w:t>
            </w:r>
          </w:p>
        </w:tc>
        <w:tc>
          <w:tcPr>
            <w:tcW w:w="1800" w:type="dxa"/>
            <w:vAlign w:val="center"/>
            <w:hideMark/>
          </w:tcPr>
          <w:p w:rsidR="009C6C4E" w:rsidRPr="002549C0" w:rsidRDefault="009C6C4E" w:rsidP="00DA18C0">
            <w:pPr>
              <w:jc w:val="center"/>
              <w:rPr>
                <w:b/>
                <w:bCs/>
                <w:sz w:val="18"/>
                <w:szCs w:val="18"/>
              </w:rPr>
            </w:pPr>
            <w:r w:rsidRPr="002549C0">
              <w:rPr>
                <w:b/>
                <w:bCs/>
                <w:sz w:val="18"/>
                <w:szCs w:val="18"/>
              </w:rPr>
              <w:t>Issue</w:t>
            </w:r>
          </w:p>
        </w:tc>
        <w:tc>
          <w:tcPr>
            <w:tcW w:w="3510" w:type="dxa"/>
            <w:vAlign w:val="center"/>
            <w:hideMark/>
          </w:tcPr>
          <w:p w:rsidR="009C6C4E" w:rsidRPr="002549C0" w:rsidRDefault="009C6C4E" w:rsidP="00DA18C0">
            <w:pPr>
              <w:jc w:val="center"/>
              <w:rPr>
                <w:b/>
                <w:bCs/>
                <w:sz w:val="18"/>
                <w:szCs w:val="18"/>
              </w:rPr>
            </w:pPr>
            <w:r w:rsidRPr="002549C0">
              <w:rPr>
                <w:b/>
                <w:bCs/>
                <w:sz w:val="18"/>
                <w:szCs w:val="18"/>
              </w:rPr>
              <w:t>Finding</w:t>
            </w:r>
          </w:p>
        </w:tc>
        <w:tc>
          <w:tcPr>
            <w:tcW w:w="1548" w:type="dxa"/>
            <w:vMerge/>
            <w:hideMark/>
          </w:tcPr>
          <w:p w:rsidR="009C6C4E" w:rsidRPr="002549C0" w:rsidRDefault="009C6C4E" w:rsidP="00DA18C0">
            <w:pPr>
              <w:jc w:val="center"/>
              <w:rPr>
                <w:b/>
                <w:bCs/>
                <w:sz w:val="18"/>
                <w:szCs w:val="18"/>
              </w:rPr>
            </w:pPr>
          </w:p>
        </w:tc>
      </w:tr>
      <w:tr w:rsidR="009C6C4E" w:rsidRPr="00D009E1" w:rsidTr="00DA18C0">
        <w:trPr>
          <w:cantSplit/>
          <w:trHeight w:val="255"/>
        </w:trPr>
        <w:tc>
          <w:tcPr>
            <w:tcW w:w="13176" w:type="dxa"/>
            <w:gridSpan w:val="6"/>
            <w:shd w:val="clear" w:color="auto" w:fill="D9D9D9" w:themeFill="background1" w:themeFillShade="D9"/>
            <w:noWrap/>
            <w:vAlign w:val="center"/>
            <w:hideMark/>
          </w:tcPr>
          <w:p w:rsidR="009C6C4E" w:rsidRPr="002549C0" w:rsidRDefault="009C6C4E" w:rsidP="00DA18C0">
            <w:pPr>
              <w:rPr>
                <w:b/>
                <w:bCs/>
                <w:sz w:val="18"/>
                <w:szCs w:val="18"/>
              </w:rPr>
            </w:pPr>
            <w:r w:rsidRPr="002549C0">
              <w:rPr>
                <w:b/>
                <w:bCs/>
                <w:sz w:val="18"/>
                <w:szCs w:val="18"/>
              </w:rPr>
              <w:t>Land Use</w:t>
            </w:r>
          </w:p>
        </w:tc>
      </w:tr>
      <w:tr w:rsidR="009C6C4E" w:rsidRPr="00D009E1" w:rsidTr="00DA18C0">
        <w:trPr>
          <w:cantSplit/>
          <w:trHeight w:val="720"/>
        </w:trPr>
        <w:tc>
          <w:tcPr>
            <w:tcW w:w="828" w:type="dxa"/>
            <w:vMerge w:val="restart"/>
            <w:noWrap/>
            <w:hideMark/>
          </w:tcPr>
          <w:p w:rsidR="009C6C4E" w:rsidRPr="002549C0" w:rsidRDefault="009C6C4E" w:rsidP="00DA18C0">
            <w:pPr>
              <w:jc w:val="center"/>
              <w:rPr>
                <w:sz w:val="18"/>
                <w:szCs w:val="18"/>
              </w:rPr>
            </w:pPr>
            <w:r w:rsidRPr="002549C0">
              <w:rPr>
                <w:sz w:val="18"/>
                <w:szCs w:val="18"/>
              </w:rPr>
              <w:t>2</w:t>
            </w:r>
          </w:p>
        </w:tc>
        <w:tc>
          <w:tcPr>
            <w:tcW w:w="1800" w:type="dxa"/>
            <w:vMerge w:val="restart"/>
            <w:hideMark/>
          </w:tcPr>
          <w:p w:rsidR="009C6C4E" w:rsidRPr="002549C0" w:rsidRDefault="009C6C4E" w:rsidP="00DA18C0">
            <w:pPr>
              <w:rPr>
                <w:sz w:val="18"/>
                <w:szCs w:val="18"/>
              </w:rPr>
            </w:pPr>
            <w:r w:rsidRPr="002549C0">
              <w:rPr>
                <w:sz w:val="18"/>
                <w:szCs w:val="18"/>
              </w:rPr>
              <w:t>Offsite land use</w:t>
            </w:r>
          </w:p>
        </w:tc>
        <w:tc>
          <w:tcPr>
            <w:tcW w:w="3690" w:type="dxa"/>
            <w:vMerge w:val="restart"/>
            <w:hideMark/>
          </w:tcPr>
          <w:p w:rsidR="009C6C4E" w:rsidRPr="002549C0" w:rsidRDefault="009C6C4E" w:rsidP="00DA18C0">
            <w:pPr>
              <w:rPr>
                <w:sz w:val="18"/>
                <w:szCs w:val="18"/>
              </w:rPr>
            </w:pPr>
            <w:r w:rsidRPr="002549C0">
              <w:rPr>
                <w:sz w:val="18"/>
                <w:szCs w:val="18"/>
              </w:rPr>
              <w:t>SMALL (Category 1).  Offsite land use would not be affected by continued operations and refurbishment associated with license renewal.</w:t>
            </w:r>
          </w:p>
        </w:tc>
        <w:tc>
          <w:tcPr>
            <w:tcW w:w="1800" w:type="dxa"/>
            <w:hideMark/>
          </w:tcPr>
          <w:p w:rsidR="009C6C4E" w:rsidRPr="002549C0" w:rsidRDefault="009C6C4E" w:rsidP="00DA18C0">
            <w:pPr>
              <w:rPr>
                <w:sz w:val="18"/>
                <w:szCs w:val="18"/>
              </w:rPr>
            </w:pPr>
            <w:r w:rsidRPr="002549C0">
              <w:rPr>
                <w:sz w:val="18"/>
                <w:szCs w:val="18"/>
              </w:rPr>
              <w:t>Offsite land use (refurbishment)</w:t>
            </w:r>
          </w:p>
        </w:tc>
        <w:tc>
          <w:tcPr>
            <w:tcW w:w="3510" w:type="dxa"/>
            <w:hideMark/>
          </w:tcPr>
          <w:p w:rsidR="009C6C4E" w:rsidRPr="002549C0" w:rsidRDefault="009C6C4E" w:rsidP="00DA18C0">
            <w:pPr>
              <w:rPr>
                <w:sz w:val="18"/>
                <w:szCs w:val="18"/>
              </w:rPr>
            </w:pPr>
            <w:r w:rsidRPr="002549C0">
              <w:rPr>
                <w:sz w:val="18"/>
                <w:szCs w:val="18"/>
              </w:rPr>
              <w:t>SMALL or MODERATE (Category 2).  Impacts may be of moderate significance at plants in low population areas.</w:t>
            </w:r>
          </w:p>
        </w:tc>
        <w:tc>
          <w:tcPr>
            <w:tcW w:w="1548" w:type="dxa"/>
            <w:vMerge w:val="restart"/>
            <w:hideMark/>
          </w:tcPr>
          <w:p w:rsidR="009C6C4E" w:rsidRPr="002549C0" w:rsidRDefault="009C6C4E" w:rsidP="00DA18C0">
            <w:pPr>
              <w:jc w:val="center"/>
              <w:rPr>
                <w:sz w:val="18"/>
                <w:szCs w:val="18"/>
              </w:rPr>
            </w:pPr>
            <w:r w:rsidRPr="002549C0">
              <w:rPr>
                <w:sz w:val="18"/>
                <w:szCs w:val="18"/>
              </w:rPr>
              <w:t>Change</w:t>
            </w:r>
          </w:p>
          <w:p w:rsidR="009C6C4E" w:rsidRPr="002549C0" w:rsidRDefault="009C6C4E" w:rsidP="00DA18C0">
            <w:pPr>
              <w:jc w:val="center"/>
              <w:rPr>
                <w:sz w:val="18"/>
                <w:szCs w:val="18"/>
              </w:rPr>
            </w:pPr>
            <w:r>
              <w:rPr>
                <w:sz w:val="18"/>
                <w:szCs w:val="18"/>
              </w:rPr>
              <w:t>issue</w:t>
            </w:r>
            <w:r w:rsidRPr="002549C0">
              <w:rPr>
                <w:sz w:val="18"/>
                <w:szCs w:val="18"/>
              </w:rPr>
              <w:t xml:space="preserve"> from</w:t>
            </w:r>
            <w:r w:rsidRPr="002549C0">
              <w:rPr>
                <w:sz w:val="18"/>
                <w:szCs w:val="18"/>
              </w:rPr>
              <w:br/>
              <w:t>Category 2 to</w:t>
            </w:r>
            <w:r w:rsidRPr="002549C0">
              <w:rPr>
                <w:sz w:val="18"/>
                <w:szCs w:val="18"/>
              </w:rPr>
              <w:br/>
              <w:t>Category 1</w:t>
            </w:r>
          </w:p>
          <w:p w:rsidR="009C6C4E" w:rsidRPr="002549C0" w:rsidRDefault="009C6C4E" w:rsidP="00DA18C0">
            <w:pPr>
              <w:jc w:val="center"/>
              <w:rPr>
                <w:sz w:val="18"/>
                <w:szCs w:val="18"/>
              </w:rPr>
            </w:pPr>
          </w:p>
          <w:p w:rsidR="009C6C4E" w:rsidRPr="002549C0" w:rsidRDefault="009C6C4E" w:rsidP="00DA18C0">
            <w:pPr>
              <w:jc w:val="center"/>
              <w:rPr>
                <w:sz w:val="18"/>
                <w:szCs w:val="18"/>
              </w:rPr>
            </w:pPr>
            <w:r>
              <w:rPr>
                <w:sz w:val="18"/>
                <w:szCs w:val="18"/>
              </w:rPr>
              <w:t>Issue c</w:t>
            </w:r>
            <w:r w:rsidRPr="002549C0">
              <w:rPr>
                <w:sz w:val="18"/>
                <w:szCs w:val="18"/>
              </w:rPr>
              <w:t>onsolidation</w:t>
            </w:r>
          </w:p>
          <w:p w:rsidR="009C6C4E" w:rsidRPr="002549C0" w:rsidRDefault="009C6C4E" w:rsidP="00DA18C0">
            <w:pPr>
              <w:jc w:val="center"/>
              <w:rPr>
                <w:sz w:val="18"/>
                <w:szCs w:val="18"/>
              </w:rPr>
            </w:pPr>
            <w:r w:rsidRPr="002549C0">
              <w:rPr>
                <w:sz w:val="18"/>
                <w:szCs w:val="18"/>
              </w:rPr>
              <w:t>(Category 1)</w:t>
            </w:r>
          </w:p>
          <w:p w:rsidR="009C6C4E" w:rsidRPr="002549C0" w:rsidRDefault="009C6C4E" w:rsidP="00DA18C0">
            <w:pPr>
              <w:jc w:val="center"/>
              <w:rPr>
                <w:sz w:val="18"/>
                <w:szCs w:val="18"/>
              </w:rPr>
            </w:pPr>
            <w:r w:rsidRPr="002549C0">
              <w:rPr>
                <w:sz w:val="18"/>
                <w:szCs w:val="18"/>
              </w:rPr>
              <w:br/>
              <w:t xml:space="preserve">Remove tax revenue and address a new </w:t>
            </w:r>
            <w:r w:rsidRPr="002549C0">
              <w:rPr>
                <w:sz w:val="18"/>
                <w:szCs w:val="18"/>
              </w:rPr>
              <w:br/>
              <w:t>Category 1 issue</w:t>
            </w:r>
          </w:p>
        </w:tc>
      </w:tr>
      <w:tr w:rsidR="009C6C4E" w:rsidRPr="00D009E1" w:rsidTr="00DA18C0">
        <w:trPr>
          <w:cantSplit/>
          <w:trHeight w:val="144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Offsite land use (license renewal term)</w:t>
            </w:r>
          </w:p>
        </w:tc>
        <w:tc>
          <w:tcPr>
            <w:tcW w:w="3510" w:type="dxa"/>
            <w:hideMark/>
          </w:tcPr>
          <w:p w:rsidR="009C6C4E" w:rsidRPr="002549C0" w:rsidRDefault="009C6C4E" w:rsidP="00DA18C0">
            <w:pPr>
              <w:rPr>
                <w:sz w:val="18"/>
                <w:szCs w:val="18"/>
              </w:rPr>
            </w:pPr>
            <w:r w:rsidRPr="002549C0">
              <w:rPr>
                <w:sz w:val="18"/>
                <w:szCs w:val="18"/>
              </w:rPr>
              <w:t>SMALL, MODERATE, or LARGE (Category 2).  Significant changes in land use may be associated with population and tax revenue changes resulting from license renewal.</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255"/>
        </w:trPr>
        <w:tc>
          <w:tcPr>
            <w:tcW w:w="13176" w:type="dxa"/>
            <w:gridSpan w:val="6"/>
            <w:shd w:val="clear" w:color="auto" w:fill="D9D9D9" w:themeFill="background1" w:themeFillShade="D9"/>
            <w:noWrap/>
            <w:vAlign w:val="center"/>
            <w:hideMark/>
          </w:tcPr>
          <w:p w:rsidR="009C6C4E" w:rsidRPr="002549C0" w:rsidRDefault="009C6C4E" w:rsidP="00DA18C0">
            <w:pPr>
              <w:rPr>
                <w:b/>
                <w:bCs/>
                <w:sz w:val="18"/>
                <w:szCs w:val="18"/>
              </w:rPr>
            </w:pPr>
            <w:r>
              <w:rPr>
                <w:b/>
                <w:bCs/>
                <w:sz w:val="18"/>
                <w:szCs w:val="18"/>
              </w:rPr>
              <w:t>Visual Resources</w:t>
            </w:r>
          </w:p>
        </w:tc>
      </w:tr>
      <w:tr w:rsidR="009C6C4E" w:rsidRPr="00D009E1" w:rsidTr="00DA18C0">
        <w:trPr>
          <w:cantSplit/>
          <w:trHeight w:val="480"/>
        </w:trPr>
        <w:tc>
          <w:tcPr>
            <w:tcW w:w="828" w:type="dxa"/>
            <w:vMerge w:val="restart"/>
            <w:noWrap/>
            <w:hideMark/>
          </w:tcPr>
          <w:p w:rsidR="009C6C4E" w:rsidRPr="002549C0" w:rsidRDefault="009C6C4E" w:rsidP="00DA18C0">
            <w:pPr>
              <w:jc w:val="center"/>
              <w:rPr>
                <w:sz w:val="18"/>
                <w:szCs w:val="18"/>
              </w:rPr>
            </w:pPr>
            <w:r w:rsidRPr="002549C0">
              <w:rPr>
                <w:sz w:val="18"/>
                <w:szCs w:val="18"/>
              </w:rPr>
              <w:t>4</w:t>
            </w:r>
          </w:p>
        </w:tc>
        <w:tc>
          <w:tcPr>
            <w:tcW w:w="1800" w:type="dxa"/>
            <w:vMerge w:val="restart"/>
            <w:noWrap/>
            <w:hideMark/>
          </w:tcPr>
          <w:p w:rsidR="009C6C4E" w:rsidRPr="002549C0" w:rsidRDefault="009C6C4E" w:rsidP="00DA18C0">
            <w:pPr>
              <w:rPr>
                <w:sz w:val="18"/>
                <w:szCs w:val="18"/>
              </w:rPr>
            </w:pPr>
            <w:r w:rsidRPr="002549C0">
              <w:rPr>
                <w:sz w:val="18"/>
                <w:szCs w:val="18"/>
              </w:rPr>
              <w:t>Aesthetic impacts</w:t>
            </w:r>
          </w:p>
        </w:tc>
        <w:tc>
          <w:tcPr>
            <w:tcW w:w="3690" w:type="dxa"/>
            <w:vMerge w:val="restart"/>
            <w:hideMark/>
          </w:tcPr>
          <w:p w:rsidR="009C6C4E" w:rsidRPr="002549C0" w:rsidRDefault="009C6C4E" w:rsidP="00DA18C0">
            <w:pPr>
              <w:rPr>
                <w:sz w:val="18"/>
                <w:szCs w:val="18"/>
              </w:rPr>
            </w:pPr>
            <w:r w:rsidRPr="002549C0">
              <w:rPr>
                <w:sz w:val="18"/>
                <w:szCs w:val="18"/>
              </w:rPr>
              <w:t>SMALL (Category 1). No important changes to the visual appearance of plant structures or transmission lines are expected from continued operation</w:t>
            </w:r>
            <w:r>
              <w:rPr>
                <w:sz w:val="18"/>
                <w:szCs w:val="18"/>
              </w:rPr>
              <w:t xml:space="preserve">s and refurbishment associated </w:t>
            </w:r>
            <w:r w:rsidRPr="002549C0">
              <w:rPr>
                <w:sz w:val="18"/>
                <w:szCs w:val="18"/>
              </w:rPr>
              <w:t>with license renewal.</w:t>
            </w:r>
          </w:p>
        </w:tc>
        <w:tc>
          <w:tcPr>
            <w:tcW w:w="1800" w:type="dxa"/>
            <w:hideMark/>
          </w:tcPr>
          <w:p w:rsidR="009C6C4E" w:rsidRPr="002549C0" w:rsidRDefault="009C6C4E" w:rsidP="00DA18C0">
            <w:pPr>
              <w:rPr>
                <w:sz w:val="18"/>
                <w:szCs w:val="18"/>
              </w:rPr>
            </w:pPr>
            <w:r w:rsidRPr="002549C0">
              <w:rPr>
                <w:sz w:val="18"/>
                <w:szCs w:val="18"/>
              </w:rPr>
              <w:t>Aesthetic impacts (refurbishment)</w:t>
            </w:r>
          </w:p>
        </w:tc>
        <w:tc>
          <w:tcPr>
            <w:tcW w:w="3510" w:type="dxa"/>
            <w:hideMark/>
          </w:tcPr>
          <w:p w:rsidR="009C6C4E" w:rsidRPr="002549C0" w:rsidRDefault="009C6C4E" w:rsidP="00DA18C0">
            <w:pPr>
              <w:rPr>
                <w:sz w:val="18"/>
                <w:szCs w:val="18"/>
              </w:rPr>
            </w:pPr>
            <w:r w:rsidRPr="002549C0">
              <w:rPr>
                <w:sz w:val="18"/>
                <w:szCs w:val="18"/>
              </w:rPr>
              <w:t>SMALL (Category 1). No significant impacts are expected during refurbishment.</w:t>
            </w:r>
          </w:p>
        </w:tc>
        <w:tc>
          <w:tcPr>
            <w:tcW w:w="1548" w:type="dxa"/>
            <w:vMerge w:val="restart"/>
            <w:hideMark/>
          </w:tcPr>
          <w:p w:rsidR="009C6C4E" w:rsidRPr="002549C0" w:rsidRDefault="009C6C4E" w:rsidP="00DA18C0">
            <w:pPr>
              <w:jc w:val="center"/>
              <w:rPr>
                <w:sz w:val="18"/>
                <w:szCs w:val="18"/>
              </w:rPr>
            </w:pPr>
            <w:r>
              <w:rPr>
                <w:sz w:val="18"/>
                <w:szCs w:val="18"/>
              </w:rPr>
              <w:t>Issue c</w:t>
            </w:r>
            <w:r w:rsidRPr="002549C0">
              <w:rPr>
                <w:sz w:val="18"/>
                <w:szCs w:val="18"/>
              </w:rPr>
              <w:t>onsolidation</w:t>
            </w:r>
          </w:p>
          <w:p w:rsidR="009C6C4E" w:rsidRPr="002549C0" w:rsidRDefault="009C6C4E" w:rsidP="00DA18C0">
            <w:pPr>
              <w:jc w:val="center"/>
              <w:rPr>
                <w:sz w:val="18"/>
                <w:szCs w:val="18"/>
              </w:rPr>
            </w:pPr>
            <w:r w:rsidRPr="002549C0">
              <w:rPr>
                <w:sz w:val="18"/>
                <w:szCs w:val="18"/>
              </w:rPr>
              <w:t>(Category 1)</w:t>
            </w:r>
          </w:p>
        </w:tc>
      </w:tr>
      <w:tr w:rsidR="009C6C4E" w:rsidRPr="00D009E1" w:rsidTr="00DA18C0">
        <w:trPr>
          <w:cantSplit/>
          <w:trHeight w:val="72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Aesthetic impacts (license renewal term)</w:t>
            </w:r>
          </w:p>
        </w:tc>
        <w:tc>
          <w:tcPr>
            <w:tcW w:w="3510" w:type="dxa"/>
            <w:hideMark/>
          </w:tcPr>
          <w:p w:rsidR="009C6C4E" w:rsidRPr="002549C0" w:rsidRDefault="009C6C4E" w:rsidP="00DA18C0">
            <w:pPr>
              <w:rPr>
                <w:sz w:val="18"/>
                <w:szCs w:val="18"/>
              </w:rPr>
            </w:pPr>
            <w:r w:rsidRPr="002549C0">
              <w:rPr>
                <w:sz w:val="18"/>
                <w:szCs w:val="18"/>
              </w:rPr>
              <w:t>SMALL (Category 1). No significant impacts are expected during the license renewal term.</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96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Aesthetic impacts of transmission lines (license renewal term)</w:t>
            </w:r>
          </w:p>
        </w:tc>
        <w:tc>
          <w:tcPr>
            <w:tcW w:w="3510" w:type="dxa"/>
            <w:hideMark/>
          </w:tcPr>
          <w:p w:rsidR="009C6C4E" w:rsidRPr="002549C0" w:rsidRDefault="009C6C4E" w:rsidP="00DA18C0">
            <w:pPr>
              <w:rPr>
                <w:sz w:val="18"/>
                <w:szCs w:val="18"/>
              </w:rPr>
            </w:pPr>
            <w:r w:rsidRPr="002549C0">
              <w:rPr>
                <w:sz w:val="18"/>
                <w:szCs w:val="18"/>
              </w:rPr>
              <w:t>SMALL (Category 1). No significant impacts are expected during the license renewal term.</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keepNext/>
              <w:keepLines/>
              <w:rPr>
                <w:b/>
                <w:bCs/>
                <w:sz w:val="18"/>
                <w:szCs w:val="18"/>
              </w:rPr>
            </w:pPr>
            <w:r w:rsidRPr="002549C0">
              <w:rPr>
                <w:b/>
                <w:bCs/>
                <w:sz w:val="18"/>
                <w:szCs w:val="18"/>
              </w:rPr>
              <w:lastRenderedPageBreak/>
              <w:t>Air Quality</w:t>
            </w:r>
          </w:p>
        </w:tc>
      </w:tr>
      <w:tr w:rsidR="009C6C4E" w:rsidRPr="00D009E1" w:rsidTr="00DA18C0">
        <w:trPr>
          <w:cantSplit/>
          <w:trHeight w:val="5760"/>
        </w:trPr>
        <w:tc>
          <w:tcPr>
            <w:tcW w:w="828" w:type="dxa"/>
            <w:noWrap/>
            <w:hideMark/>
          </w:tcPr>
          <w:p w:rsidR="009C6C4E" w:rsidRPr="002549C0" w:rsidRDefault="009C6C4E" w:rsidP="00DA18C0">
            <w:pPr>
              <w:keepNext/>
              <w:keepLines/>
              <w:jc w:val="center"/>
              <w:rPr>
                <w:sz w:val="18"/>
                <w:szCs w:val="18"/>
              </w:rPr>
            </w:pPr>
            <w:r w:rsidRPr="002549C0">
              <w:rPr>
                <w:sz w:val="18"/>
                <w:szCs w:val="18"/>
              </w:rPr>
              <w:t>5</w:t>
            </w:r>
          </w:p>
        </w:tc>
        <w:tc>
          <w:tcPr>
            <w:tcW w:w="1800" w:type="dxa"/>
            <w:hideMark/>
          </w:tcPr>
          <w:p w:rsidR="009C6C4E" w:rsidRPr="002549C0" w:rsidRDefault="009C6C4E" w:rsidP="00DA18C0">
            <w:pPr>
              <w:keepNext/>
              <w:keepLines/>
              <w:rPr>
                <w:sz w:val="18"/>
                <w:szCs w:val="18"/>
              </w:rPr>
            </w:pPr>
            <w:r w:rsidRPr="002549C0">
              <w:rPr>
                <w:sz w:val="18"/>
                <w:szCs w:val="18"/>
              </w:rPr>
              <w:t>Air quality impacts (all plants)</w:t>
            </w:r>
          </w:p>
        </w:tc>
        <w:tc>
          <w:tcPr>
            <w:tcW w:w="3690" w:type="dxa"/>
            <w:hideMark/>
          </w:tcPr>
          <w:p w:rsidR="009C6C4E" w:rsidRPr="002549C0" w:rsidRDefault="009C6C4E" w:rsidP="00DA18C0">
            <w:pPr>
              <w:keepNext/>
              <w:keepLines/>
              <w:rPr>
                <w:sz w:val="18"/>
                <w:szCs w:val="18"/>
              </w:rPr>
            </w:pPr>
            <w:r w:rsidRPr="002549C0">
              <w:rPr>
                <w:sz w:val="18"/>
                <w:szCs w:val="18"/>
              </w:rPr>
              <w:t>SMALL (Category 1).  Air quality impacts from continued operations and refurbishment associated with license renewal are expected to be small at all plants.  Emissions resulting from refurbishment activities at locations in or near air quality nonattainment or maintenance areas would be short-lived and would cease after these refurbishment activities are completed.  Operating experience has shown that the scale of refurbishment activities has not resulted in exceedances of the de minimis thresholds for criteria pollutants, and best management practices including fugitive dust controls and the imposition of permit conditions in State and local air emissions permits would ensure conformance with applicable State or Tribal Implementation Plans.</w:t>
            </w:r>
            <w:r w:rsidRPr="002549C0">
              <w:rPr>
                <w:sz w:val="18"/>
                <w:szCs w:val="18"/>
              </w:rPr>
              <w:br/>
            </w:r>
            <w:r w:rsidRPr="002549C0">
              <w:rPr>
                <w:sz w:val="18"/>
                <w:szCs w:val="18"/>
              </w:rPr>
              <w:br/>
              <w:t>Emissions from emergency diesel generators and fire pumps and routine operations of boilers used for space heating would not be a concern, even for plants located in or adjacent to nonattainment areas.  Impacts from cooling tower particulate emissions even under the worst-case situations have been small.</w:t>
            </w:r>
          </w:p>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Air quality during refurbishment (nonattainment and maintenance areas)</w:t>
            </w:r>
          </w:p>
        </w:tc>
        <w:tc>
          <w:tcPr>
            <w:tcW w:w="3510" w:type="dxa"/>
            <w:hideMark/>
          </w:tcPr>
          <w:p w:rsidR="009C6C4E" w:rsidRPr="002549C0" w:rsidRDefault="009C6C4E" w:rsidP="00DA18C0">
            <w:pPr>
              <w:keepNext/>
              <w:keepLines/>
              <w:rPr>
                <w:sz w:val="18"/>
                <w:szCs w:val="18"/>
              </w:rPr>
            </w:pPr>
            <w:r w:rsidRPr="002549C0">
              <w:rPr>
                <w:sz w:val="18"/>
                <w:szCs w:val="18"/>
              </w:rPr>
              <w:t>SMALL, MODERATE, or LARGE (Category 2).  Air quality impacts from plant refurbishment associated with license renewal are expected to be small.  However, vehicle exhaust emissions could be cause for concern at locations in or near nonattainment or maintenance areas.  The significance of the potential impact cannot be determined without considering the compliance status of each site and the numbers of workers expected to be employed during the outage.</w:t>
            </w:r>
          </w:p>
        </w:tc>
        <w:tc>
          <w:tcPr>
            <w:tcW w:w="1548" w:type="dxa"/>
            <w:hideMark/>
          </w:tcPr>
          <w:p w:rsidR="009C6C4E" w:rsidRPr="002549C0" w:rsidRDefault="009C6C4E" w:rsidP="00DA18C0">
            <w:pPr>
              <w:keepNext/>
              <w:keepLines/>
              <w:jc w:val="center"/>
              <w:rPr>
                <w:sz w:val="18"/>
                <w:szCs w:val="18"/>
              </w:rPr>
            </w:pPr>
            <w:r w:rsidRPr="002549C0">
              <w:rPr>
                <w:sz w:val="18"/>
                <w:szCs w:val="18"/>
              </w:rPr>
              <w:t xml:space="preserve">Change </w:t>
            </w:r>
          </w:p>
          <w:p w:rsidR="009C6C4E" w:rsidRPr="002549C0" w:rsidRDefault="009C6C4E" w:rsidP="00DA18C0">
            <w:pPr>
              <w:keepNext/>
              <w:keepLines/>
              <w:jc w:val="center"/>
              <w:rPr>
                <w:sz w:val="18"/>
                <w:szCs w:val="18"/>
              </w:rPr>
            </w:pPr>
            <w:r>
              <w:rPr>
                <w:sz w:val="18"/>
                <w:szCs w:val="18"/>
              </w:rPr>
              <w:t>issue</w:t>
            </w:r>
            <w:r w:rsidRPr="002549C0">
              <w:rPr>
                <w:sz w:val="18"/>
                <w:szCs w:val="18"/>
              </w:rPr>
              <w:t xml:space="preserve"> from</w:t>
            </w:r>
            <w:r w:rsidRPr="002549C0">
              <w:rPr>
                <w:sz w:val="18"/>
                <w:szCs w:val="18"/>
              </w:rPr>
              <w:br/>
              <w:t>Category 2 to</w:t>
            </w:r>
            <w:r w:rsidRPr="002549C0">
              <w:rPr>
                <w:sz w:val="18"/>
                <w:szCs w:val="18"/>
              </w:rPr>
              <w:br/>
              <w:t>Category 1</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pageBreakBefore/>
              <w:widowControl w:val="0"/>
              <w:rPr>
                <w:b/>
                <w:bCs/>
                <w:sz w:val="18"/>
                <w:szCs w:val="18"/>
              </w:rPr>
            </w:pPr>
            <w:r w:rsidRPr="002549C0">
              <w:rPr>
                <w:b/>
                <w:bCs/>
                <w:sz w:val="18"/>
                <w:szCs w:val="18"/>
              </w:rPr>
              <w:lastRenderedPageBreak/>
              <w:t>Geologic Environment</w:t>
            </w:r>
          </w:p>
        </w:tc>
      </w:tr>
      <w:tr w:rsidR="009C6C4E" w:rsidRPr="00D009E1" w:rsidTr="00DA18C0">
        <w:trPr>
          <w:cantSplit/>
          <w:trHeight w:val="1200"/>
        </w:trPr>
        <w:tc>
          <w:tcPr>
            <w:tcW w:w="828" w:type="dxa"/>
            <w:noWrap/>
            <w:hideMark/>
          </w:tcPr>
          <w:p w:rsidR="009C6C4E" w:rsidRPr="002549C0" w:rsidRDefault="009C6C4E" w:rsidP="00DA18C0">
            <w:pPr>
              <w:keepNext/>
              <w:keepLines/>
              <w:jc w:val="center"/>
              <w:rPr>
                <w:sz w:val="18"/>
                <w:szCs w:val="18"/>
              </w:rPr>
            </w:pPr>
            <w:r w:rsidRPr="002549C0">
              <w:rPr>
                <w:sz w:val="18"/>
                <w:szCs w:val="18"/>
              </w:rPr>
              <w:t>8</w:t>
            </w:r>
          </w:p>
        </w:tc>
        <w:tc>
          <w:tcPr>
            <w:tcW w:w="1800" w:type="dxa"/>
            <w:hideMark/>
          </w:tcPr>
          <w:p w:rsidR="009C6C4E" w:rsidRPr="002549C0" w:rsidRDefault="009C6C4E" w:rsidP="00DA18C0">
            <w:pPr>
              <w:keepNext/>
              <w:keepLines/>
              <w:rPr>
                <w:sz w:val="18"/>
                <w:szCs w:val="18"/>
              </w:rPr>
            </w:pPr>
            <w:r w:rsidRPr="002549C0">
              <w:rPr>
                <w:sz w:val="18"/>
                <w:szCs w:val="18"/>
              </w:rPr>
              <w:t>Geology and soils</w:t>
            </w:r>
          </w:p>
        </w:tc>
        <w:tc>
          <w:tcPr>
            <w:tcW w:w="3690" w:type="dxa"/>
            <w:hideMark/>
          </w:tcPr>
          <w:p w:rsidR="009C6C4E" w:rsidRPr="002549C0" w:rsidRDefault="009C6C4E" w:rsidP="00DA18C0">
            <w:pPr>
              <w:keepNext/>
              <w:keepLines/>
              <w:rPr>
                <w:sz w:val="18"/>
                <w:szCs w:val="18"/>
              </w:rPr>
            </w:pPr>
            <w:r w:rsidRPr="002549C0">
              <w:rPr>
                <w:sz w:val="18"/>
                <w:szCs w:val="18"/>
              </w:rPr>
              <w:t>SMALL (Category 1).  The effect of geologic and soil conditions on plant operations and refurbishment activities on geology and soils would be small for all nuclear power plants and would not change appreciably during the license renewal term.</w:t>
            </w:r>
          </w:p>
        </w:tc>
        <w:tc>
          <w:tcPr>
            <w:tcW w:w="1800" w:type="dxa"/>
            <w:hideMark/>
          </w:tcPr>
          <w:p w:rsidR="009C6C4E" w:rsidRPr="002549C0" w:rsidRDefault="009C6C4E" w:rsidP="00DA18C0">
            <w:pPr>
              <w:keepNext/>
              <w:keepLines/>
              <w:rPr>
                <w:sz w:val="18"/>
                <w:szCs w:val="18"/>
              </w:rPr>
            </w:pPr>
            <w:r w:rsidRPr="002549C0">
              <w:rPr>
                <w:sz w:val="18"/>
                <w:szCs w:val="18"/>
              </w:rPr>
              <w:t>Not addressed</w:t>
            </w:r>
          </w:p>
        </w:tc>
        <w:tc>
          <w:tcPr>
            <w:tcW w:w="3510" w:type="dxa"/>
            <w:hideMark/>
          </w:tcPr>
          <w:p w:rsidR="009C6C4E" w:rsidRPr="002549C0" w:rsidRDefault="009C6C4E" w:rsidP="00DA18C0">
            <w:pPr>
              <w:keepNext/>
              <w:keepLines/>
              <w:rPr>
                <w:sz w:val="18"/>
                <w:szCs w:val="18"/>
              </w:rPr>
            </w:pPr>
            <w:r w:rsidRPr="002549C0">
              <w:rPr>
                <w:sz w:val="18"/>
                <w:szCs w:val="18"/>
              </w:rPr>
              <w:t>Not addressed</w:t>
            </w:r>
          </w:p>
        </w:tc>
        <w:tc>
          <w:tcPr>
            <w:tcW w:w="1548" w:type="dxa"/>
            <w:hideMark/>
          </w:tcPr>
          <w:p w:rsidR="009C6C4E" w:rsidRPr="002549C0" w:rsidRDefault="009C6C4E" w:rsidP="00DA18C0">
            <w:pPr>
              <w:keepNext/>
              <w:keepLines/>
              <w:jc w:val="center"/>
              <w:rPr>
                <w:sz w:val="18"/>
                <w:szCs w:val="18"/>
              </w:rPr>
            </w:pPr>
            <w:r w:rsidRPr="002549C0">
              <w:rPr>
                <w:sz w:val="18"/>
                <w:szCs w:val="18"/>
              </w:rPr>
              <w:t xml:space="preserve">New </w:t>
            </w:r>
          </w:p>
          <w:p w:rsidR="009C6C4E" w:rsidRPr="002549C0" w:rsidRDefault="009C6C4E" w:rsidP="00DA18C0">
            <w:pPr>
              <w:keepNext/>
              <w:keepLines/>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rPr>
                <w:b/>
                <w:bCs/>
                <w:sz w:val="18"/>
                <w:szCs w:val="18"/>
              </w:rPr>
            </w:pPr>
            <w:r w:rsidRPr="002549C0">
              <w:rPr>
                <w:b/>
                <w:bCs/>
                <w:sz w:val="18"/>
                <w:szCs w:val="18"/>
              </w:rPr>
              <w:t>Surface Water Resources</w:t>
            </w:r>
          </w:p>
        </w:tc>
      </w:tr>
      <w:tr w:rsidR="009C6C4E" w:rsidRPr="00D009E1" w:rsidTr="00DA18C0">
        <w:trPr>
          <w:cantSplit/>
          <w:trHeight w:val="960"/>
        </w:trPr>
        <w:tc>
          <w:tcPr>
            <w:tcW w:w="828" w:type="dxa"/>
            <w:vMerge w:val="restart"/>
            <w:hideMark/>
          </w:tcPr>
          <w:p w:rsidR="009C6C4E" w:rsidRPr="002549C0" w:rsidRDefault="009C6C4E" w:rsidP="00DA18C0">
            <w:pPr>
              <w:widowControl w:val="0"/>
              <w:jc w:val="center"/>
              <w:rPr>
                <w:sz w:val="18"/>
                <w:szCs w:val="18"/>
              </w:rPr>
            </w:pPr>
            <w:r w:rsidRPr="002549C0">
              <w:rPr>
                <w:sz w:val="18"/>
                <w:szCs w:val="18"/>
              </w:rPr>
              <w:t>9</w:t>
            </w:r>
          </w:p>
        </w:tc>
        <w:tc>
          <w:tcPr>
            <w:tcW w:w="1800" w:type="dxa"/>
            <w:vMerge w:val="restart"/>
            <w:hideMark/>
          </w:tcPr>
          <w:p w:rsidR="009C6C4E" w:rsidRPr="002549C0" w:rsidRDefault="009C6C4E" w:rsidP="00DA18C0">
            <w:pPr>
              <w:widowControl w:val="0"/>
              <w:rPr>
                <w:sz w:val="18"/>
                <w:szCs w:val="18"/>
              </w:rPr>
            </w:pPr>
            <w:r w:rsidRPr="002549C0">
              <w:rPr>
                <w:sz w:val="18"/>
                <w:szCs w:val="18"/>
              </w:rPr>
              <w:t>Surface water use and quality (non-cooling system impacts)</w:t>
            </w:r>
          </w:p>
        </w:tc>
        <w:tc>
          <w:tcPr>
            <w:tcW w:w="3690" w:type="dxa"/>
            <w:vMerge w:val="restart"/>
            <w:hideMark/>
          </w:tcPr>
          <w:p w:rsidR="009C6C4E" w:rsidRPr="002549C0" w:rsidRDefault="009C6C4E" w:rsidP="00DA18C0">
            <w:pPr>
              <w:widowControl w:val="0"/>
              <w:rPr>
                <w:sz w:val="18"/>
                <w:szCs w:val="18"/>
              </w:rPr>
            </w:pPr>
            <w:r w:rsidRPr="002549C0">
              <w:rPr>
                <w:sz w:val="18"/>
                <w:szCs w:val="18"/>
              </w:rPr>
              <w:t>SMALL (Category 1). Impacts are expected to be small if best management practices are employed to control soil erosion and spills. Surface water use associated with continued operations and refurbishment associated with license renewal would not increase significantly or would be reduced if refurbishment occurs during a plant outage.</w:t>
            </w:r>
          </w:p>
        </w:tc>
        <w:tc>
          <w:tcPr>
            <w:tcW w:w="1800" w:type="dxa"/>
            <w:hideMark/>
          </w:tcPr>
          <w:p w:rsidR="009C6C4E" w:rsidRPr="002549C0" w:rsidRDefault="009C6C4E" w:rsidP="00DA18C0">
            <w:pPr>
              <w:widowControl w:val="0"/>
              <w:rPr>
                <w:sz w:val="18"/>
                <w:szCs w:val="18"/>
              </w:rPr>
            </w:pPr>
            <w:r w:rsidRPr="002549C0">
              <w:rPr>
                <w:sz w:val="18"/>
                <w:szCs w:val="18"/>
              </w:rPr>
              <w:t>Impacts of refurbishment on surface water quality</w:t>
            </w:r>
          </w:p>
        </w:tc>
        <w:tc>
          <w:tcPr>
            <w:tcW w:w="3510" w:type="dxa"/>
            <w:hideMark/>
          </w:tcPr>
          <w:p w:rsidR="009C6C4E" w:rsidRPr="002549C0" w:rsidRDefault="009C6C4E" w:rsidP="00DA18C0">
            <w:pPr>
              <w:widowControl w:val="0"/>
              <w:rPr>
                <w:sz w:val="18"/>
                <w:szCs w:val="18"/>
              </w:rPr>
            </w:pPr>
            <w:r w:rsidRPr="002549C0">
              <w:rPr>
                <w:sz w:val="18"/>
                <w:szCs w:val="18"/>
              </w:rPr>
              <w:t>SMALL (Category 1). Impacts are expected to be negligible du</w:t>
            </w:r>
            <w:r>
              <w:rPr>
                <w:sz w:val="18"/>
                <w:szCs w:val="18"/>
              </w:rPr>
              <w:t xml:space="preserve">ring refurbishment because best </w:t>
            </w:r>
            <w:r w:rsidRPr="002549C0">
              <w:rPr>
                <w:sz w:val="18"/>
                <w:szCs w:val="18"/>
              </w:rPr>
              <w:t>management practices are expected to be employed to control soil erosion and spills.</w:t>
            </w:r>
          </w:p>
        </w:tc>
        <w:tc>
          <w:tcPr>
            <w:tcW w:w="1548" w:type="dxa"/>
            <w:vMerge w:val="restart"/>
            <w:hideMark/>
          </w:tcPr>
          <w:p w:rsidR="009C6C4E" w:rsidRPr="002549C0" w:rsidRDefault="009C6C4E" w:rsidP="00DA18C0">
            <w:pPr>
              <w:widowControl w:val="0"/>
              <w:jc w:val="center"/>
              <w:rPr>
                <w:sz w:val="18"/>
                <w:szCs w:val="18"/>
              </w:rPr>
            </w:pPr>
            <w:r>
              <w:rPr>
                <w:sz w:val="18"/>
                <w:szCs w:val="18"/>
              </w:rPr>
              <w:t>Issue c</w:t>
            </w:r>
            <w:r w:rsidRPr="002549C0">
              <w:rPr>
                <w:sz w:val="18"/>
                <w:szCs w:val="18"/>
              </w:rPr>
              <w:t>onsolidation (Category 1)</w:t>
            </w:r>
          </w:p>
          <w:p w:rsidR="009C6C4E" w:rsidRPr="002549C0" w:rsidRDefault="009C6C4E" w:rsidP="00DA18C0">
            <w:pPr>
              <w:widowControl w:val="0"/>
              <w:jc w:val="center"/>
              <w:rPr>
                <w:sz w:val="18"/>
                <w:szCs w:val="18"/>
              </w:rPr>
            </w:pPr>
          </w:p>
          <w:p w:rsidR="009C6C4E" w:rsidRPr="002549C0" w:rsidRDefault="009C6C4E" w:rsidP="00DA18C0">
            <w:pPr>
              <w:widowControl w:val="0"/>
              <w:jc w:val="center"/>
              <w:rPr>
                <w:sz w:val="18"/>
                <w:szCs w:val="18"/>
              </w:rPr>
            </w:pPr>
            <w:r w:rsidRPr="002549C0">
              <w:rPr>
                <w:sz w:val="18"/>
                <w:szCs w:val="18"/>
              </w:rPr>
              <w:t>Issue expanded to include impacts of continued operations</w:t>
            </w:r>
          </w:p>
        </w:tc>
      </w:tr>
      <w:tr w:rsidR="009C6C4E" w:rsidRPr="00D009E1" w:rsidTr="00DA18C0">
        <w:trPr>
          <w:cantSplit/>
          <w:trHeight w:val="840"/>
        </w:trPr>
        <w:tc>
          <w:tcPr>
            <w:tcW w:w="828" w:type="dxa"/>
            <w:vMerge/>
            <w:hideMark/>
          </w:tcPr>
          <w:p w:rsidR="009C6C4E" w:rsidRPr="002549C0" w:rsidRDefault="009C6C4E" w:rsidP="00DA18C0">
            <w:pPr>
              <w:widowControl w:val="0"/>
              <w:jc w:val="center"/>
              <w:rPr>
                <w:sz w:val="18"/>
                <w:szCs w:val="18"/>
              </w:rPr>
            </w:pPr>
          </w:p>
        </w:tc>
        <w:tc>
          <w:tcPr>
            <w:tcW w:w="1800" w:type="dxa"/>
            <w:vMerge/>
            <w:hideMark/>
          </w:tcPr>
          <w:p w:rsidR="009C6C4E" w:rsidRPr="002549C0" w:rsidRDefault="009C6C4E" w:rsidP="00DA18C0">
            <w:pPr>
              <w:widowControl w:val="0"/>
              <w:rPr>
                <w:sz w:val="18"/>
                <w:szCs w:val="18"/>
              </w:rPr>
            </w:pPr>
          </w:p>
        </w:tc>
        <w:tc>
          <w:tcPr>
            <w:tcW w:w="3690" w:type="dxa"/>
            <w:vMerge/>
            <w:hideMark/>
          </w:tcPr>
          <w:p w:rsidR="009C6C4E" w:rsidRPr="002549C0" w:rsidRDefault="009C6C4E" w:rsidP="00DA18C0">
            <w:pPr>
              <w:widowControl w:val="0"/>
              <w:rPr>
                <w:sz w:val="18"/>
                <w:szCs w:val="18"/>
              </w:rPr>
            </w:pPr>
          </w:p>
        </w:tc>
        <w:tc>
          <w:tcPr>
            <w:tcW w:w="1800" w:type="dxa"/>
            <w:hideMark/>
          </w:tcPr>
          <w:p w:rsidR="009C6C4E" w:rsidRPr="002549C0" w:rsidRDefault="009C6C4E" w:rsidP="00DA18C0">
            <w:pPr>
              <w:widowControl w:val="0"/>
              <w:rPr>
                <w:sz w:val="18"/>
                <w:szCs w:val="18"/>
              </w:rPr>
            </w:pPr>
            <w:r w:rsidRPr="002549C0">
              <w:rPr>
                <w:sz w:val="18"/>
                <w:szCs w:val="18"/>
              </w:rPr>
              <w:t>Impacts of refurbishment on surface water use</w:t>
            </w:r>
          </w:p>
        </w:tc>
        <w:tc>
          <w:tcPr>
            <w:tcW w:w="3510" w:type="dxa"/>
            <w:hideMark/>
          </w:tcPr>
          <w:p w:rsidR="009C6C4E" w:rsidRPr="002549C0" w:rsidRDefault="009C6C4E" w:rsidP="00DA18C0">
            <w:pPr>
              <w:widowControl w:val="0"/>
              <w:rPr>
                <w:sz w:val="18"/>
                <w:szCs w:val="18"/>
              </w:rPr>
            </w:pPr>
            <w:r w:rsidRPr="002549C0">
              <w:rPr>
                <w:sz w:val="18"/>
                <w:szCs w:val="18"/>
              </w:rPr>
              <w:t>SMALL (Category 1). Water use during refurbishment will not increase appreciably or will be reduced during plant outage.</w:t>
            </w:r>
          </w:p>
        </w:tc>
        <w:tc>
          <w:tcPr>
            <w:tcW w:w="1548" w:type="dxa"/>
            <w:vMerge/>
            <w:hideMark/>
          </w:tcPr>
          <w:p w:rsidR="009C6C4E" w:rsidRPr="002549C0" w:rsidRDefault="009C6C4E" w:rsidP="00DA18C0">
            <w:pPr>
              <w:widowControl w:val="0"/>
              <w:jc w:val="center"/>
              <w:rPr>
                <w:sz w:val="18"/>
                <w:szCs w:val="18"/>
              </w:rPr>
            </w:pPr>
          </w:p>
        </w:tc>
      </w:tr>
      <w:tr w:rsidR="009C6C4E" w:rsidRPr="00D009E1" w:rsidTr="00DA18C0">
        <w:trPr>
          <w:cantSplit/>
          <w:trHeight w:val="960"/>
        </w:trPr>
        <w:tc>
          <w:tcPr>
            <w:tcW w:w="828" w:type="dxa"/>
            <w:vMerge w:val="restart"/>
            <w:hideMark/>
          </w:tcPr>
          <w:p w:rsidR="009C6C4E" w:rsidRPr="002549C0" w:rsidRDefault="009C6C4E" w:rsidP="00DA18C0">
            <w:pPr>
              <w:widowControl w:val="0"/>
              <w:jc w:val="center"/>
              <w:rPr>
                <w:sz w:val="18"/>
                <w:szCs w:val="18"/>
              </w:rPr>
            </w:pPr>
            <w:r w:rsidRPr="002549C0">
              <w:rPr>
                <w:sz w:val="18"/>
                <w:szCs w:val="18"/>
              </w:rPr>
              <w:t>15</w:t>
            </w:r>
          </w:p>
        </w:tc>
        <w:tc>
          <w:tcPr>
            <w:tcW w:w="1800" w:type="dxa"/>
            <w:vMerge w:val="restart"/>
            <w:hideMark/>
          </w:tcPr>
          <w:p w:rsidR="009C6C4E" w:rsidRPr="002549C0" w:rsidRDefault="009C6C4E" w:rsidP="00DA18C0">
            <w:pPr>
              <w:widowControl w:val="0"/>
              <w:rPr>
                <w:sz w:val="18"/>
                <w:szCs w:val="18"/>
              </w:rPr>
            </w:pPr>
            <w:r w:rsidRPr="002549C0">
              <w:rPr>
                <w:sz w:val="18"/>
                <w:szCs w:val="18"/>
              </w:rPr>
              <w:t>Discharge of biocides, sanitary wastes, and minor chemical spills</w:t>
            </w:r>
          </w:p>
        </w:tc>
        <w:tc>
          <w:tcPr>
            <w:tcW w:w="3690" w:type="dxa"/>
            <w:vMerge w:val="restart"/>
            <w:hideMark/>
          </w:tcPr>
          <w:p w:rsidR="009C6C4E" w:rsidRPr="002549C0" w:rsidRDefault="009C6C4E" w:rsidP="00DA18C0">
            <w:pPr>
              <w:widowControl w:val="0"/>
              <w:rPr>
                <w:sz w:val="18"/>
                <w:szCs w:val="18"/>
              </w:rPr>
            </w:pPr>
            <w:r w:rsidRPr="002549C0">
              <w:rPr>
                <w:sz w:val="18"/>
                <w:szCs w:val="18"/>
              </w:rPr>
              <w:t>SMALL (Category 1). The effects of these discharges are regulated by Federal and State environmental agencies. Discharges are monitored and controlled as part of the NPDES permit process. These impacts have been small at operating nuclear power plants.</w:t>
            </w:r>
          </w:p>
        </w:tc>
        <w:tc>
          <w:tcPr>
            <w:tcW w:w="1800" w:type="dxa"/>
            <w:hideMark/>
          </w:tcPr>
          <w:p w:rsidR="009C6C4E" w:rsidRPr="002549C0" w:rsidRDefault="009C6C4E" w:rsidP="00DA18C0">
            <w:pPr>
              <w:widowControl w:val="0"/>
              <w:rPr>
                <w:sz w:val="18"/>
                <w:szCs w:val="18"/>
              </w:rPr>
            </w:pPr>
            <w:r w:rsidRPr="002549C0">
              <w:rPr>
                <w:sz w:val="18"/>
                <w:szCs w:val="18"/>
              </w:rPr>
              <w:t>Discharge of chlorine or other biocides</w:t>
            </w:r>
          </w:p>
        </w:tc>
        <w:tc>
          <w:tcPr>
            <w:tcW w:w="3510" w:type="dxa"/>
            <w:hideMark/>
          </w:tcPr>
          <w:p w:rsidR="009C6C4E" w:rsidRPr="002549C0" w:rsidRDefault="009C6C4E" w:rsidP="00DA18C0">
            <w:pPr>
              <w:widowControl w:val="0"/>
              <w:rPr>
                <w:sz w:val="18"/>
                <w:szCs w:val="18"/>
              </w:rPr>
            </w:pPr>
            <w:r w:rsidRPr="002549C0">
              <w:rPr>
                <w:sz w:val="18"/>
                <w:szCs w:val="18"/>
              </w:rPr>
              <w:t>SMALL (Category 1). Effects are not a concern among regulatory and resource agencies, and are not expected to be a problem during the license renewal term.</w:t>
            </w:r>
          </w:p>
        </w:tc>
        <w:tc>
          <w:tcPr>
            <w:tcW w:w="1548" w:type="dxa"/>
            <w:vMerge w:val="restart"/>
            <w:hideMark/>
          </w:tcPr>
          <w:p w:rsidR="009C6C4E" w:rsidRPr="002549C0" w:rsidRDefault="009C6C4E" w:rsidP="00DA18C0">
            <w:pPr>
              <w:widowControl w:val="0"/>
              <w:jc w:val="center"/>
              <w:rPr>
                <w:sz w:val="18"/>
                <w:szCs w:val="18"/>
              </w:rPr>
            </w:pPr>
            <w:r>
              <w:rPr>
                <w:sz w:val="18"/>
                <w:szCs w:val="18"/>
              </w:rPr>
              <w:t>Issue c</w:t>
            </w:r>
            <w:r w:rsidRPr="002549C0">
              <w:rPr>
                <w:sz w:val="18"/>
                <w:szCs w:val="18"/>
              </w:rPr>
              <w:t>onsolidation</w:t>
            </w:r>
          </w:p>
          <w:p w:rsidR="009C6C4E" w:rsidRPr="002549C0" w:rsidRDefault="009C6C4E" w:rsidP="00DA18C0">
            <w:pPr>
              <w:widowControl w:val="0"/>
              <w:jc w:val="center"/>
              <w:rPr>
                <w:sz w:val="18"/>
                <w:szCs w:val="18"/>
              </w:rPr>
            </w:pPr>
            <w:r w:rsidRPr="002549C0">
              <w:rPr>
                <w:sz w:val="18"/>
                <w:szCs w:val="18"/>
              </w:rPr>
              <w:t>(Category 1)</w:t>
            </w:r>
          </w:p>
        </w:tc>
      </w:tr>
      <w:tr w:rsidR="009C6C4E" w:rsidRPr="00D009E1" w:rsidTr="00DA18C0">
        <w:trPr>
          <w:cantSplit/>
          <w:trHeight w:val="96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Discharge of sanitary wastes and minor chemical spills</w:t>
            </w:r>
          </w:p>
        </w:tc>
        <w:tc>
          <w:tcPr>
            <w:tcW w:w="3510" w:type="dxa"/>
            <w:hideMark/>
          </w:tcPr>
          <w:p w:rsidR="009C6C4E" w:rsidRPr="002549C0" w:rsidRDefault="009C6C4E" w:rsidP="00DA18C0">
            <w:pPr>
              <w:rPr>
                <w:sz w:val="18"/>
                <w:szCs w:val="18"/>
              </w:rPr>
            </w:pPr>
            <w:r w:rsidRPr="002549C0">
              <w:rPr>
                <w:sz w:val="18"/>
                <w:szCs w:val="18"/>
              </w:rPr>
              <w:t>SMALL (Category 1). Effects are readily controlled through NPDES permit and periodic modifications, if needed, and are not expected to be a problem during the license renewal term.</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1680"/>
        </w:trPr>
        <w:tc>
          <w:tcPr>
            <w:tcW w:w="828" w:type="dxa"/>
            <w:noWrap/>
            <w:hideMark/>
          </w:tcPr>
          <w:p w:rsidR="009C6C4E" w:rsidRPr="002549C0" w:rsidRDefault="009C6C4E" w:rsidP="00DA18C0">
            <w:pPr>
              <w:jc w:val="center"/>
              <w:rPr>
                <w:sz w:val="18"/>
                <w:szCs w:val="18"/>
              </w:rPr>
            </w:pPr>
            <w:r w:rsidRPr="002549C0">
              <w:rPr>
                <w:sz w:val="18"/>
                <w:szCs w:val="18"/>
              </w:rPr>
              <w:t>18</w:t>
            </w:r>
          </w:p>
        </w:tc>
        <w:tc>
          <w:tcPr>
            <w:tcW w:w="1800" w:type="dxa"/>
            <w:hideMark/>
          </w:tcPr>
          <w:p w:rsidR="009C6C4E" w:rsidRPr="002549C0" w:rsidRDefault="009C6C4E" w:rsidP="00DA18C0">
            <w:pPr>
              <w:rPr>
                <w:sz w:val="18"/>
                <w:szCs w:val="18"/>
              </w:rPr>
            </w:pPr>
            <w:r w:rsidRPr="002549C0">
              <w:rPr>
                <w:sz w:val="18"/>
                <w:szCs w:val="18"/>
              </w:rPr>
              <w:t>Effects of dredging on surface water quality</w:t>
            </w:r>
          </w:p>
        </w:tc>
        <w:tc>
          <w:tcPr>
            <w:tcW w:w="3690" w:type="dxa"/>
            <w:hideMark/>
          </w:tcPr>
          <w:p w:rsidR="009C6C4E" w:rsidRPr="002549C0" w:rsidRDefault="009C6C4E" w:rsidP="00DA18C0">
            <w:pPr>
              <w:rPr>
                <w:sz w:val="18"/>
                <w:szCs w:val="18"/>
              </w:rPr>
            </w:pPr>
            <w:r w:rsidRPr="002549C0">
              <w:rPr>
                <w:sz w:val="18"/>
                <w:szCs w:val="18"/>
              </w:rPr>
              <w:t>SMALL (Category 1).  Dredging to remove accumulated sediments in the vicinity of intake and discharge structures and to maintain barge shipping has not been found to be a problem for surface water quality.  Dredging is performed under permit from the U.S. Army Corps of Engineers, and possibly, from other State or local agencies.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Pr="002549C0"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keepNext/>
              <w:keepLines/>
              <w:rPr>
                <w:b/>
                <w:bCs/>
                <w:sz w:val="18"/>
                <w:szCs w:val="18"/>
              </w:rPr>
            </w:pPr>
            <w:r w:rsidRPr="002549C0">
              <w:rPr>
                <w:b/>
                <w:bCs/>
                <w:sz w:val="18"/>
                <w:szCs w:val="18"/>
              </w:rPr>
              <w:lastRenderedPageBreak/>
              <w:t>Groundwater Resources</w:t>
            </w:r>
          </w:p>
        </w:tc>
      </w:tr>
      <w:tr w:rsidR="009C6C4E" w:rsidRPr="00D009E1" w:rsidTr="00DA18C0">
        <w:trPr>
          <w:cantSplit/>
          <w:trHeight w:val="3120"/>
        </w:trPr>
        <w:tc>
          <w:tcPr>
            <w:tcW w:w="828" w:type="dxa"/>
            <w:hideMark/>
          </w:tcPr>
          <w:p w:rsidR="009C6C4E" w:rsidRPr="002549C0" w:rsidRDefault="009C6C4E" w:rsidP="00DA18C0">
            <w:pPr>
              <w:keepNext/>
              <w:keepLines/>
              <w:jc w:val="center"/>
              <w:rPr>
                <w:sz w:val="18"/>
                <w:szCs w:val="18"/>
              </w:rPr>
            </w:pPr>
            <w:r w:rsidRPr="002549C0">
              <w:rPr>
                <w:sz w:val="18"/>
                <w:szCs w:val="18"/>
              </w:rPr>
              <w:t>20</w:t>
            </w:r>
          </w:p>
        </w:tc>
        <w:tc>
          <w:tcPr>
            <w:tcW w:w="1800" w:type="dxa"/>
            <w:hideMark/>
          </w:tcPr>
          <w:p w:rsidR="009C6C4E" w:rsidRPr="002549C0" w:rsidRDefault="009C6C4E" w:rsidP="00DA18C0">
            <w:pPr>
              <w:keepNext/>
              <w:keepLines/>
              <w:rPr>
                <w:sz w:val="18"/>
                <w:szCs w:val="18"/>
              </w:rPr>
            </w:pPr>
            <w:r w:rsidRPr="002549C0">
              <w:rPr>
                <w:sz w:val="18"/>
                <w:szCs w:val="18"/>
              </w:rPr>
              <w:t>Groundwater contamination and use (non-cooling system impacts)</w:t>
            </w:r>
          </w:p>
        </w:tc>
        <w:tc>
          <w:tcPr>
            <w:tcW w:w="3690" w:type="dxa"/>
            <w:hideMark/>
          </w:tcPr>
          <w:p w:rsidR="009C6C4E" w:rsidRPr="002549C0" w:rsidRDefault="009C6C4E" w:rsidP="00DA18C0">
            <w:pPr>
              <w:keepNext/>
              <w:keepLines/>
              <w:rPr>
                <w:sz w:val="18"/>
                <w:szCs w:val="18"/>
              </w:rPr>
            </w:pPr>
            <w:r w:rsidRPr="002549C0">
              <w:rPr>
                <w:sz w:val="18"/>
                <w:szCs w:val="18"/>
              </w:rPr>
              <w:t>SMALL (Category 1). Extensive dewatering is not anticipated from continued operations and refurbishment associated with license renewal. Industrial practices involving the use of solvents, hydrocarbons, heavy metals, or other chemicals, and/or the use of wastewater ponds or lagoons have the potential to contaminate site groundwater, soil, and subsoil. Contamination is subject to State or Environmental Protection Agency regulated cleanup and monitoring programs. The application of best management practices for handling any materials produced or used during these activities would reduce impacts.</w:t>
            </w:r>
          </w:p>
        </w:tc>
        <w:tc>
          <w:tcPr>
            <w:tcW w:w="1800" w:type="dxa"/>
            <w:hideMark/>
          </w:tcPr>
          <w:p w:rsidR="009C6C4E" w:rsidRPr="002549C0" w:rsidRDefault="009C6C4E" w:rsidP="00DA18C0">
            <w:pPr>
              <w:keepNext/>
              <w:keepLines/>
              <w:rPr>
                <w:sz w:val="18"/>
                <w:szCs w:val="18"/>
              </w:rPr>
            </w:pPr>
            <w:r w:rsidRPr="002549C0">
              <w:rPr>
                <w:sz w:val="18"/>
                <w:szCs w:val="18"/>
              </w:rPr>
              <w:t>Impacts of refurbishment on ground-water use and quality</w:t>
            </w:r>
          </w:p>
        </w:tc>
        <w:tc>
          <w:tcPr>
            <w:tcW w:w="3510" w:type="dxa"/>
            <w:hideMark/>
          </w:tcPr>
          <w:p w:rsidR="009C6C4E" w:rsidRPr="002549C0" w:rsidRDefault="009C6C4E" w:rsidP="00DA18C0">
            <w:pPr>
              <w:keepNext/>
              <w:keepLines/>
              <w:rPr>
                <w:sz w:val="18"/>
                <w:szCs w:val="18"/>
              </w:rPr>
            </w:pPr>
            <w:r w:rsidRPr="002549C0">
              <w:rPr>
                <w:sz w:val="18"/>
                <w:szCs w:val="18"/>
              </w:rPr>
              <w:t>SMALL (Category 1). Extensive dewatering during the original construction on some sites will not be repeated during refurbishment on any sites.  Any plant wastes produced during refurbishment will be handled in the same manner as in current operating practices and are not expected to be a problem during the license renewal term.</w:t>
            </w:r>
          </w:p>
        </w:tc>
        <w:tc>
          <w:tcPr>
            <w:tcW w:w="1548" w:type="dxa"/>
            <w:hideMark/>
          </w:tcPr>
          <w:p w:rsidR="009C6C4E" w:rsidRPr="002549C0" w:rsidRDefault="009C6C4E" w:rsidP="00DA18C0">
            <w:pPr>
              <w:keepNext/>
              <w:keepLines/>
              <w:jc w:val="center"/>
              <w:rPr>
                <w:sz w:val="18"/>
                <w:szCs w:val="18"/>
              </w:rPr>
            </w:pPr>
            <w:r w:rsidRPr="002549C0">
              <w:rPr>
                <w:sz w:val="18"/>
                <w:szCs w:val="18"/>
              </w:rPr>
              <w:t xml:space="preserve">Issue </w:t>
            </w:r>
          </w:p>
          <w:p w:rsidR="009C6C4E" w:rsidRPr="002549C0" w:rsidRDefault="009C6C4E" w:rsidP="00DA18C0">
            <w:pPr>
              <w:keepNext/>
              <w:keepLines/>
              <w:jc w:val="center"/>
              <w:rPr>
                <w:sz w:val="18"/>
                <w:szCs w:val="18"/>
              </w:rPr>
            </w:pPr>
            <w:r w:rsidRPr="002549C0">
              <w:rPr>
                <w:sz w:val="18"/>
                <w:szCs w:val="18"/>
              </w:rPr>
              <w:t>expanded to include impacts of continued operations</w:t>
            </w:r>
          </w:p>
          <w:p w:rsidR="009C6C4E" w:rsidRPr="002549C0" w:rsidRDefault="009C6C4E" w:rsidP="00DA18C0">
            <w:pPr>
              <w:keepNext/>
              <w:keepLines/>
              <w:jc w:val="center"/>
              <w:rPr>
                <w:sz w:val="18"/>
                <w:szCs w:val="18"/>
              </w:rPr>
            </w:pPr>
          </w:p>
          <w:p w:rsidR="009C6C4E" w:rsidRPr="002549C0" w:rsidRDefault="009C6C4E" w:rsidP="00DA18C0">
            <w:pPr>
              <w:keepNext/>
              <w:keepLines/>
              <w:jc w:val="center"/>
              <w:rPr>
                <w:sz w:val="18"/>
                <w:szCs w:val="18"/>
              </w:rPr>
            </w:pPr>
            <w:r w:rsidRPr="002549C0">
              <w:rPr>
                <w:sz w:val="18"/>
                <w:szCs w:val="18"/>
              </w:rPr>
              <w:t xml:space="preserve">Issue </w:t>
            </w:r>
          </w:p>
          <w:p w:rsidR="009C6C4E" w:rsidRPr="002549C0" w:rsidRDefault="009C6C4E" w:rsidP="00DA18C0">
            <w:pPr>
              <w:keepNext/>
              <w:keepLines/>
              <w:jc w:val="center"/>
              <w:rPr>
                <w:sz w:val="18"/>
                <w:szCs w:val="18"/>
              </w:rPr>
            </w:pPr>
            <w:r w:rsidRPr="002549C0">
              <w:rPr>
                <w:sz w:val="18"/>
                <w:szCs w:val="18"/>
              </w:rPr>
              <w:t xml:space="preserve">expanded to </w:t>
            </w:r>
            <w:r>
              <w:rPr>
                <w:sz w:val="18"/>
                <w:szCs w:val="18"/>
              </w:rPr>
              <w:t xml:space="preserve">include </w:t>
            </w:r>
            <w:r w:rsidRPr="002549C0">
              <w:rPr>
                <w:sz w:val="18"/>
                <w:szCs w:val="18"/>
              </w:rPr>
              <w:t xml:space="preserve">impacts to groundwater </w:t>
            </w:r>
          </w:p>
          <w:p w:rsidR="009C6C4E" w:rsidRPr="002549C0" w:rsidRDefault="009C6C4E" w:rsidP="00DA18C0">
            <w:pPr>
              <w:keepNext/>
              <w:keepLines/>
              <w:jc w:val="center"/>
              <w:rPr>
                <w:sz w:val="18"/>
                <w:szCs w:val="18"/>
              </w:rPr>
            </w:pPr>
            <w:r w:rsidRPr="002549C0">
              <w:rPr>
                <w:sz w:val="18"/>
                <w:szCs w:val="18"/>
              </w:rPr>
              <w:t xml:space="preserve">and soil contamination </w:t>
            </w:r>
          </w:p>
        </w:tc>
      </w:tr>
      <w:tr w:rsidR="009C6C4E" w:rsidRPr="00D009E1" w:rsidTr="00DA18C0">
        <w:trPr>
          <w:cantSplit/>
          <w:trHeight w:val="1920"/>
        </w:trPr>
        <w:tc>
          <w:tcPr>
            <w:tcW w:w="828" w:type="dxa"/>
            <w:noWrap/>
            <w:hideMark/>
          </w:tcPr>
          <w:p w:rsidR="009C6C4E" w:rsidRPr="002549C0" w:rsidRDefault="009C6C4E" w:rsidP="00DA18C0">
            <w:pPr>
              <w:jc w:val="center"/>
              <w:rPr>
                <w:sz w:val="18"/>
                <w:szCs w:val="18"/>
              </w:rPr>
            </w:pPr>
            <w:r w:rsidRPr="002549C0">
              <w:rPr>
                <w:sz w:val="18"/>
                <w:szCs w:val="18"/>
              </w:rPr>
              <w:t>27</w:t>
            </w:r>
          </w:p>
        </w:tc>
        <w:tc>
          <w:tcPr>
            <w:tcW w:w="1800" w:type="dxa"/>
            <w:hideMark/>
          </w:tcPr>
          <w:p w:rsidR="009C6C4E" w:rsidRPr="002549C0" w:rsidRDefault="009C6C4E" w:rsidP="00DA18C0">
            <w:pPr>
              <w:rPr>
                <w:sz w:val="18"/>
                <w:szCs w:val="18"/>
              </w:rPr>
            </w:pPr>
            <w:r w:rsidRPr="002549C0">
              <w:rPr>
                <w:sz w:val="18"/>
                <w:szCs w:val="18"/>
              </w:rPr>
              <w:t>Radionuclides released to groundwater</w:t>
            </w:r>
          </w:p>
        </w:tc>
        <w:tc>
          <w:tcPr>
            <w:tcW w:w="3690" w:type="dxa"/>
            <w:hideMark/>
          </w:tcPr>
          <w:p w:rsidR="009C6C4E" w:rsidRPr="002549C0" w:rsidRDefault="009C6C4E" w:rsidP="00DA18C0">
            <w:pPr>
              <w:rPr>
                <w:sz w:val="18"/>
                <w:szCs w:val="18"/>
              </w:rPr>
            </w:pPr>
            <w:r w:rsidRPr="002549C0">
              <w:rPr>
                <w:sz w:val="18"/>
                <w:szCs w:val="18"/>
              </w:rPr>
              <w:t xml:space="preserve">SMALL or MODERATE (Category 2).  Leaks of radioactive water from plant components and pipes have occurred at </w:t>
            </w:r>
            <w:r>
              <w:rPr>
                <w:sz w:val="18"/>
                <w:szCs w:val="18"/>
              </w:rPr>
              <w:t>numerous</w:t>
            </w:r>
            <w:r w:rsidRPr="002549C0">
              <w:rPr>
                <w:sz w:val="18"/>
                <w:szCs w:val="18"/>
              </w:rPr>
              <w:t xml:space="preserve"> plants.  Groundwater protection programs have been established at all operating nuclear power plants to minimize the potential impact from any inadvertent releases.  The magnitude </w:t>
            </w:r>
            <w:r>
              <w:rPr>
                <w:sz w:val="18"/>
                <w:szCs w:val="18"/>
              </w:rPr>
              <w:t>of impacts would depend on site-</w:t>
            </w:r>
            <w:r w:rsidRPr="002549C0">
              <w:rPr>
                <w:sz w:val="18"/>
                <w:szCs w:val="18"/>
              </w:rPr>
              <w:t>specific characteristics.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Pr="002549C0"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2 </w:t>
            </w:r>
          </w:p>
          <w:p w:rsidR="009C6C4E" w:rsidRPr="002549C0" w:rsidRDefault="009C6C4E" w:rsidP="00DA18C0">
            <w:pPr>
              <w:jc w:val="center"/>
              <w:rPr>
                <w:sz w:val="18"/>
                <w:szCs w:val="18"/>
              </w:rPr>
            </w:pPr>
            <w:r>
              <w:rPr>
                <w:sz w:val="18"/>
                <w:szCs w:val="18"/>
              </w:rPr>
              <w:t>issue</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widowControl w:val="0"/>
              <w:rPr>
                <w:b/>
                <w:bCs/>
                <w:sz w:val="18"/>
                <w:szCs w:val="18"/>
              </w:rPr>
            </w:pPr>
            <w:r w:rsidRPr="002549C0">
              <w:rPr>
                <w:b/>
                <w:bCs/>
                <w:sz w:val="18"/>
                <w:szCs w:val="18"/>
              </w:rPr>
              <w:t>Terrestrial Resources</w:t>
            </w:r>
          </w:p>
        </w:tc>
      </w:tr>
      <w:tr w:rsidR="009C6C4E" w:rsidRPr="00D009E1" w:rsidTr="00DA18C0">
        <w:trPr>
          <w:cantSplit/>
          <w:trHeight w:val="1200"/>
        </w:trPr>
        <w:tc>
          <w:tcPr>
            <w:tcW w:w="828" w:type="dxa"/>
            <w:noWrap/>
            <w:hideMark/>
          </w:tcPr>
          <w:p w:rsidR="009C6C4E" w:rsidRPr="002549C0" w:rsidRDefault="009C6C4E" w:rsidP="00DA18C0">
            <w:pPr>
              <w:widowControl w:val="0"/>
              <w:jc w:val="center"/>
              <w:rPr>
                <w:sz w:val="18"/>
                <w:szCs w:val="18"/>
              </w:rPr>
            </w:pPr>
            <w:r w:rsidRPr="002549C0">
              <w:rPr>
                <w:sz w:val="18"/>
                <w:szCs w:val="18"/>
              </w:rPr>
              <w:t>29</w:t>
            </w:r>
          </w:p>
        </w:tc>
        <w:tc>
          <w:tcPr>
            <w:tcW w:w="1800" w:type="dxa"/>
            <w:hideMark/>
          </w:tcPr>
          <w:p w:rsidR="009C6C4E" w:rsidRPr="002549C0" w:rsidRDefault="009C6C4E" w:rsidP="00DA18C0">
            <w:pPr>
              <w:widowControl w:val="0"/>
              <w:rPr>
                <w:sz w:val="18"/>
                <w:szCs w:val="18"/>
              </w:rPr>
            </w:pPr>
            <w:r w:rsidRPr="002549C0">
              <w:rPr>
                <w:sz w:val="18"/>
                <w:szCs w:val="18"/>
              </w:rPr>
              <w:t>Exposure of terrestrial organisms to radionuclides</w:t>
            </w:r>
          </w:p>
        </w:tc>
        <w:tc>
          <w:tcPr>
            <w:tcW w:w="3690" w:type="dxa"/>
            <w:hideMark/>
          </w:tcPr>
          <w:p w:rsidR="009C6C4E" w:rsidRPr="002549C0" w:rsidRDefault="009C6C4E" w:rsidP="00DA18C0">
            <w:pPr>
              <w:widowControl w:val="0"/>
              <w:rPr>
                <w:sz w:val="18"/>
                <w:szCs w:val="18"/>
              </w:rPr>
            </w:pPr>
            <w:r w:rsidRPr="002549C0">
              <w:rPr>
                <w:sz w:val="18"/>
                <w:szCs w:val="18"/>
              </w:rPr>
              <w:t>SMALL (Category 1).  Doses to terrestrial organisms from continued operations and refurbishment associated with license renewal are expected to be well below exposure guidelines developed to protect these organisms.</w:t>
            </w:r>
          </w:p>
        </w:tc>
        <w:tc>
          <w:tcPr>
            <w:tcW w:w="1800" w:type="dxa"/>
            <w:hideMark/>
          </w:tcPr>
          <w:p w:rsidR="009C6C4E" w:rsidRPr="002549C0" w:rsidRDefault="009C6C4E" w:rsidP="00DA18C0">
            <w:pPr>
              <w:widowControl w:val="0"/>
              <w:rPr>
                <w:sz w:val="18"/>
                <w:szCs w:val="18"/>
              </w:rPr>
            </w:pPr>
            <w:r w:rsidRPr="002549C0">
              <w:rPr>
                <w:sz w:val="18"/>
                <w:szCs w:val="18"/>
              </w:rPr>
              <w:t>Not addressed</w:t>
            </w:r>
          </w:p>
        </w:tc>
        <w:tc>
          <w:tcPr>
            <w:tcW w:w="3510" w:type="dxa"/>
            <w:hideMark/>
          </w:tcPr>
          <w:p w:rsidR="009C6C4E" w:rsidRPr="002549C0" w:rsidRDefault="009C6C4E" w:rsidP="00DA18C0">
            <w:pPr>
              <w:widowControl w:val="0"/>
              <w:rPr>
                <w:sz w:val="18"/>
                <w:szCs w:val="18"/>
              </w:rPr>
            </w:pPr>
            <w:r w:rsidRPr="002549C0">
              <w:rPr>
                <w:sz w:val="18"/>
                <w:szCs w:val="18"/>
              </w:rPr>
              <w:t>Not addressed</w:t>
            </w:r>
          </w:p>
        </w:tc>
        <w:tc>
          <w:tcPr>
            <w:tcW w:w="1548" w:type="dxa"/>
            <w:hideMark/>
          </w:tcPr>
          <w:p w:rsidR="009C6C4E" w:rsidRPr="002549C0" w:rsidRDefault="009C6C4E" w:rsidP="00DA18C0">
            <w:pPr>
              <w:widowControl w:val="0"/>
              <w:jc w:val="center"/>
              <w:rPr>
                <w:sz w:val="18"/>
                <w:szCs w:val="18"/>
              </w:rPr>
            </w:pPr>
            <w:r w:rsidRPr="002549C0">
              <w:rPr>
                <w:sz w:val="18"/>
                <w:szCs w:val="18"/>
              </w:rPr>
              <w:t xml:space="preserve">New </w:t>
            </w:r>
          </w:p>
          <w:p w:rsidR="009C6C4E" w:rsidRPr="002549C0" w:rsidRDefault="009C6C4E" w:rsidP="00DA18C0">
            <w:pPr>
              <w:widowControl w:val="0"/>
              <w:jc w:val="center"/>
              <w:rPr>
                <w:sz w:val="18"/>
                <w:szCs w:val="18"/>
              </w:rPr>
            </w:pPr>
            <w:r w:rsidRPr="002549C0">
              <w:rPr>
                <w:sz w:val="18"/>
                <w:szCs w:val="18"/>
              </w:rPr>
              <w:t xml:space="preserve">Category 1 </w:t>
            </w:r>
          </w:p>
          <w:p w:rsidR="009C6C4E" w:rsidRPr="002549C0" w:rsidRDefault="009C6C4E" w:rsidP="00DA18C0">
            <w:pPr>
              <w:widowControl w:val="0"/>
              <w:jc w:val="center"/>
              <w:rPr>
                <w:sz w:val="18"/>
                <w:szCs w:val="18"/>
              </w:rPr>
            </w:pPr>
            <w:r>
              <w:rPr>
                <w:sz w:val="18"/>
                <w:szCs w:val="18"/>
              </w:rPr>
              <w:t>issue</w:t>
            </w:r>
          </w:p>
        </w:tc>
      </w:tr>
      <w:tr w:rsidR="009C6C4E" w:rsidRPr="00D009E1" w:rsidTr="00DA18C0">
        <w:trPr>
          <w:cantSplit/>
          <w:trHeight w:val="1430"/>
        </w:trPr>
        <w:tc>
          <w:tcPr>
            <w:tcW w:w="828" w:type="dxa"/>
            <w:vMerge w:val="restart"/>
            <w:hideMark/>
          </w:tcPr>
          <w:p w:rsidR="009C6C4E" w:rsidRPr="002549C0" w:rsidRDefault="009C6C4E" w:rsidP="00DA18C0">
            <w:pPr>
              <w:keepNext/>
              <w:keepLines/>
              <w:jc w:val="center"/>
              <w:rPr>
                <w:sz w:val="18"/>
                <w:szCs w:val="18"/>
              </w:rPr>
            </w:pPr>
            <w:r w:rsidRPr="002549C0">
              <w:rPr>
                <w:sz w:val="18"/>
                <w:szCs w:val="18"/>
              </w:rPr>
              <w:lastRenderedPageBreak/>
              <w:t>31</w:t>
            </w:r>
          </w:p>
        </w:tc>
        <w:tc>
          <w:tcPr>
            <w:tcW w:w="1800" w:type="dxa"/>
            <w:vMerge w:val="restart"/>
            <w:hideMark/>
          </w:tcPr>
          <w:p w:rsidR="009C6C4E" w:rsidRPr="002549C0" w:rsidRDefault="009C6C4E" w:rsidP="00DA18C0">
            <w:pPr>
              <w:keepNext/>
              <w:keepLines/>
              <w:rPr>
                <w:sz w:val="18"/>
                <w:szCs w:val="18"/>
              </w:rPr>
            </w:pPr>
            <w:r w:rsidRPr="002549C0">
              <w:rPr>
                <w:sz w:val="18"/>
                <w:szCs w:val="18"/>
              </w:rPr>
              <w:t>Cooling tower impacts on vegetation (plants with cooling towers)</w:t>
            </w:r>
            <w:r>
              <w:rPr>
                <w:rStyle w:val="FootnoteReference"/>
                <w:sz w:val="18"/>
                <w:szCs w:val="18"/>
              </w:rPr>
              <w:footnoteReference w:id="3"/>
            </w:r>
          </w:p>
        </w:tc>
        <w:tc>
          <w:tcPr>
            <w:tcW w:w="3690" w:type="dxa"/>
            <w:vMerge w:val="restart"/>
            <w:hideMark/>
          </w:tcPr>
          <w:p w:rsidR="009C6C4E" w:rsidRPr="002549C0" w:rsidRDefault="009C6C4E" w:rsidP="00DA18C0">
            <w:pPr>
              <w:keepNext/>
              <w:keepLines/>
              <w:rPr>
                <w:sz w:val="18"/>
                <w:szCs w:val="18"/>
              </w:rPr>
            </w:pPr>
            <w:r w:rsidRPr="002549C0">
              <w:rPr>
                <w:sz w:val="18"/>
                <w:szCs w:val="18"/>
              </w:rPr>
              <w:t>SMALL (Category 1). Impacts from salt drift, icing, fogging, or increased humidity associated with cooling tower operation have the potential to affect adjacent vegetation, but these impacts have been small at operating nuclear power plants and are not expected to change over the license renewal term.</w:t>
            </w:r>
          </w:p>
        </w:tc>
        <w:tc>
          <w:tcPr>
            <w:tcW w:w="1800" w:type="dxa"/>
            <w:hideMark/>
          </w:tcPr>
          <w:p w:rsidR="009C6C4E" w:rsidRPr="002549C0" w:rsidRDefault="009C6C4E" w:rsidP="00DA18C0">
            <w:pPr>
              <w:keepNext/>
              <w:keepLines/>
              <w:rPr>
                <w:sz w:val="18"/>
                <w:szCs w:val="18"/>
              </w:rPr>
            </w:pPr>
            <w:r w:rsidRPr="002549C0">
              <w:rPr>
                <w:sz w:val="18"/>
                <w:szCs w:val="18"/>
              </w:rPr>
              <w:t>Cooling tower impacts on crops and ornamental vegetation</w:t>
            </w:r>
          </w:p>
        </w:tc>
        <w:tc>
          <w:tcPr>
            <w:tcW w:w="3510" w:type="dxa"/>
            <w:hideMark/>
          </w:tcPr>
          <w:p w:rsidR="009C6C4E" w:rsidRPr="002549C0" w:rsidRDefault="009C6C4E" w:rsidP="00DA18C0">
            <w:pPr>
              <w:keepNext/>
              <w:keepLines/>
              <w:rPr>
                <w:sz w:val="18"/>
                <w:szCs w:val="18"/>
              </w:rPr>
            </w:pPr>
            <w:r w:rsidRPr="002549C0">
              <w:rPr>
                <w:sz w:val="18"/>
                <w:szCs w:val="18"/>
              </w:rPr>
              <w:t>SMALL (Category 1). Impacts from salt drift, icing, fogging, or increased humidity associated with cooling</w:t>
            </w:r>
            <w:r w:rsidRPr="002549C0">
              <w:rPr>
                <w:sz w:val="18"/>
                <w:szCs w:val="18"/>
              </w:rPr>
              <w:br w:type="page"/>
              <w:t>tower operation have not been found to be a problem at operating nuclear power plants and</w:t>
            </w:r>
            <w:r w:rsidRPr="002549C0">
              <w:rPr>
                <w:sz w:val="18"/>
                <w:szCs w:val="18"/>
              </w:rPr>
              <w:br w:type="page"/>
              <w:t>are not expected to be a problem during the license renewal term.</w:t>
            </w:r>
          </w:p>
        </w:tc>
        <w:tc>
          <w:tcPr>
            <w:tcW w:w="1548" w:type="dxa"/>
            <w:vMerge w:val="restart"/>
            <w:hideMark/>
          </w:tcPr>
          <w:p w:rsidR="009C6C4E" w:rsidRPr="002549C0" w:rsidRDefault="009C6C4E" w:rsidP="00DA18C0">
            <w:pPr>
              <w:jc w:val="center"/>
              <w:rPr>
                <w:sz w:val="18"/>
                <w:szCs w:val="18"/>
              </w:rPr>
            </w:pPr>
            <w:r>
              <w:rPr>
                <w:sz w:val="18"/>
                <w:szCs w:val="18"/>
              </w:rPr>
              <w:t>Issue c</w:t>
            </w:r>
            <w:r w:rsidRPr="002549C0">
              <w:rPr>
                <w:sz w:val="18"/>
                <w:szCs w:val="18"/>
              </w:rPr>
              <w:t>onsolidation</w:t>
            </w:r>
          </w:p>
          <w:p w:rsidR="009C6C4E" w:rsidRPr="002549C0" w:rsidRDefault="009C6C4E" w:rsidP="00DA18C0">
            <w:pPr>
              <w:jc w:val="center"/>
              <w:rPr>
                <w:sz w:val="18"/>
                <w:szCs w:val="18"/>
              </w:rPr>
            </w:pPr>
            <w:r w:rsidRPr="002549C0">
              <w:rPr>
                <w:sz w:val="18"/>
                <w:szCs w:val="18"/>
              </w:rPr>
              <w:t>(Category 1)</w:t>
            </w:r>
          </w:p>
        </w:tc>
      </w:tr>
      <w:tr w:rsidR="009C6C4E" w:rsidRPr="00D009E1" w:rsidTr="00DA18C0">
        <w:trPr>
          <w:cantSplit/>
          <w:trHeight w:val="144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Cooling tower impacts on native plants</w:t>
            </w:r>
          </w:p>
        </w:tc>
        <w:tc>
          <w:tcPr>
            <w:tcW w:w="3510" w:type="dxa"/>
            <w:hideMark/>
          </w:tcPr>
          <w:p w:rsidR="009C6C4E" w:rsidRPr="002549C0" w:rsidRDefault="009C6C4E" w:rsidP="00DA18C0">
            <w:pPr>
              <w:keepNext/>
              <w:keepLines/>
              <w:rPr>
                <w:sz w:val="18"/>
                <w:szCs w:val="18"/>
              </w:rPr>
            </w:pPr>
            <w:r w:rsidRPr="002549C0">
              <w:rPr>
                <w:sz w:val="18"/>
                <w:szCs w:val="18"/>
              </w:rPr>
              <w:t>SMALL (Category 1). Impacts from salt drift, icing, fogging, or increased humidity associated with cooling tower operation have not been found to be a problem at operating nuclear power plants and are not expected to be a problem during the license renewal term.</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960"/>
        </w:trPr>
        <w:tc>
          <w:tcPr>
            <w:tcW w:w="828" w:type="dxa"/>
            <w:vMerge w:val="restart"/>
            <w:hideMark/>
          </w:tcPr>
          <w:p w:rsidR="009C6C4E" w:rsidRPr="002549C0" w:rsidRDefault="009C6C4E" w:rsidP="00DA18C0">
            <w:pPr>
              <w:jc w:val="center"/>
              <w:rPr>
                <w:sz w:val="18"/>
                <w:szCs w:val="18"/>
              </w:rPr>
            </w:pPr>
            <w:r w:rsidRPr="002549C0">
              <w:rPr>
                <w:sz w:val="18"/>
                <w:szCs w:val="18"/>
              </w:rPr>
              <w:t>32</w:t>
            </w:r>
          </w:p>
        </w:tc>
        <w:tc>
          <w:tcPr>
            <w:tcW w:w="1800" w:type="dxa"/>
            <w:vMerge w:val="restart"/>
            <w:hideMark/>
          </w:tcPr>
          <w:p w:rsidR="009C6C4E" w:rsidRPr="002549C0" w:rsidRDefault="009C6C4E" w:rsidP="00DA18C0">
            <w:pPr>
              <w:rPr>
                <w:sz w:val="18"/>
                <w:szCs w:val="18"/>
              </w:rPr>
            </w:pPr>
            <w:r w:rsidRPr="002549C0">
              <w:rPr>
                <w:sz w:val="18"/>
                <w:szCs w:val="18"/>
              </w:rPr>
              <w:t>Bird collisions with plant structures and transmission lines</w:t>
            </w:r>
          </w:p>
        </w:tc>
        <w:tc>
          <w:tcPr>
            <w:tcW w:w="3690" w:type="dxa"/>
            <w:vMerge w:val="restart"/>
            <w:hideMark/>
          </w:tcPr>
          <w:p w:rsidR="009C6C4E" w:rsidRPr="002549C0" w:rsidRDefault="009C6C4E" w:rsidP="00DA18C0">
            <w:pPr>
              <w:rPr>
                <w:sz w:val="18"/>
                <w:szCs w:val="18"/>
              </w:rPr>
            </w:pPr>
            <w:r w:rsidRPr="002549C0">
              <w:rPr>
                <w:sz w:val="18"/>
                <w:szCs w:val="18"/>
              </w:rPr>
              <w:t>SMALL (Category 1). Bird collisions with cooling towers and other plant structures and transmission lines occur at rates that are unlikely to affect local or migratory populations and the rates are not expected to change.</w:t>
            </w:r>
            <w:r w:rsidRPr="002549C0">
              <w:rPr>
                <w:sz w:val="18"/>
                <w:szCs w:val="18"/>
              </w:rPr>
              <w:br/>
            </w:r>
            <w:r w:rsidRPr="002549C0">
              <w:rPr>
                <w:sz w:val="18"/>
                <w:szCs w:val="18"/>
              </w:rPr>
              <w:br/>
              <w:t>Footnote: This issue applies only to the in-scope portion of electric power transmission lines which are defined as transmission lines that connect the nuclear power plant to the substation where electricity is fed into the regional power distribution system and transmission lines that supply power to the nuclear plant from the grid.</w:t>
            </w:r>
          </w:p>
        </w:tc>
        <w:tc>
          <w:tcPr>
            <w:tcW w:w="1800" w:type="dxa"/>
            <w:hideMark/>
          </w:tcPr>
          <w:p w:rsidR="009C6C4E" w:rsidRPr="002549C0" w:rsidRDefault="009C6C4E" w:rsidP="00DA18C0">
            <w:pPr>
              <w:rPr>
                <w:sz w:val="18"/>
                <w:szCs w:val="18"/>
              </w:rPr>
            </w:pPr>
            <w:r w:rsidRPr="002549C0">
              <w:rPr>
                <w:sz w:val="18"/>
                <w:szCs w:val="18"/>
              </w:rPr>
              <w:t>Bird collisions with cooling towers</w:t>
            </w:r>
          </w:p>
        </w:tc>
        <w:tc>
          <w:tcPr>
            <w:tcW w:w="3510" w:type="dxa"/>
            <w:hideMark/>
          </w:tcPr>
          <w:p w:rsidR="009C6C4E" w:rsidRPr="002549C0" w:rsidRDefault="009C6C4E" w:rsidP="00DA18C0">
            <w:pPr>
              <w:rPr>
                <w:sz w:val="18"/>
                <w:szCs w:val="18"/>
              </w:rPr>
            </w:pPr>
            <w:r w:rsidRPr="002549C0">
              <w:rPr>
                <w:sz w:val="18"/>
                <w:szCs w:val="18"/>
              </w:rPr>
              <w:t>SMALL (Category 1). These collisions have not been found to be a problem at operating nuclear power plants and are not expected to be a problem during the license renewal term.</w:t>
            </w:r>
          </w:p>
        </w:tc>
        <w:tc>
          <w:tcPr>
            <w:tcW w:w="1548" w:type="dxa"/>
            <w:vMerge w:val="restart"/>
            <w:hideMark/>
          </w:tcPr>
          <w:p w:rsidR="009C6C4E" w:rsidRPr="002549C0" w:rsidRDefault="009C6C4E" w:rsidP="00DA18C0">
            <w:pPr>
              <w:jc w:val="center"/>
              <w:rPr>
                <w:sz w:val="18"/>
                <w:szCs w:val="18"/>
              </w:rPr>
            </w:pPr>
            <w:r>
              <w:rPr>
                <w:sz w:val="18"/>
                <w:szCs w:val="18"/>
              </w:rPr>
              <w:t>Issue c</w:t>
            </w:r>
            <w:r w:rsidRPr="002549C0">
              <w:rPr>
                <w:sz w:val="18"/>
                <w:szCs w:val="18"/>
              </w:rPr>
              <w:t>onsolidation</w:t>
            </w:r>
          </w:p>
          <w:p w:rsidR="009C6C4E" w:rsidRPr="002549C0" w:rsidRDefault="009C6C4E" w:rsidP="00DA18C0">
            <w:pPr>
              <w:jc w:val="center"/>
              <w:rPr>
                <w:sz w:val="18"/>
                <w:szCs w:val="18"/>
              </w:rPr>
            </w:pPr>
            <w:r w:rsidRPr="002549C0">
              <w:rPr>
                <w:sz w:val="18"/>
                <w:szCs w:val="18"/>
              </w:rPr>
              <w:t>(Category 1)</w:t>
            </w:r>
          </w:p>
          <w:p w:rsidR="009C6C4E" w:rsidRPr="002549C0" w:rsidRDefault="009C6C4E" w:rsidP="00DA18C0">
            <w:pPr>
              <w:jc w:val="center"/>
              <w:rPr>
                <w:sz w:val="18"/>
                <w:szCs w:val="18"/>
              </w:rPr>
            </w:pPr>
          </w:p>
          <w:p w:rsidR="009C6C4E" w:rsidRPr="002549C0" w:rsidRDefault="009C6C4E" w:rsidP="00DA18C0">
            <w:pPr>
              <w:jc w:val="center"/>
              <w:rPr>
                <w:sz w:val="18"/>
                <w:szCs w:val="18"/>
              </w:rPr>
            </w:pPr>
            <w:r w:rsidRPr="002549C0">
              <w:rPr>
                <w:sz w:val="18"/>
                <w:szCs w:val="18"/>
              </w:rPr>
              <w:t>Issue expanded to address collisions with all plant structures</w:t>
            </w:r>
          </w:p>
          <w:p w:rsidR="009C6C4E" w:rsidRPr="002549C0" w:rsidRDefault="009C6C4E" w:rsidP="00DA18C0">
            <w:pPr>
              <w:rPr>
                <w:sz w:val="18"/>
                <w:szCs w:val="18"/>
              </w:rPr>
            </w:pPr>
          </w:p>
        </w:tc>
      </w:tr>
      <w:tr w:rsidR="009C6C4E" w:rsidRPr="00D009E1" w:rsidTr="00DA18C0">
        <w:trPr>
          <w:cantSplit/>
          <w:trHeight w:val="96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Bird collision with power lines</w:t>
            </w:r>
          </w:p>
        </w:tc>
        <w:tc>
          <w:tcPr>
            <w:tcW w:w="3510" w:type="dxa"/>
            <w:hideMark/>
          </w:tcPr>
          <w:p w:rsidR="009C6C4E" w:rsidRPr="002549C0" w:rsidRDefault="009C6C4E" w:rsidP="00DA18C0">
            <w:pPr>
              <w:rPr>
                <w:sz w:val="18"/>
                <w:szCs w:val="18"/>
              </w:rPr>
            </w:pPr>
            <w:r w:rsidRPr="002549C0">
              <w:rPr>
                <w:sz w:val="18"/>
                <w:szCs w:val="18"/>
              </w:rPr>
              <w:t>SMALL (Category 1). Impacts are expected to be of small significance at all sites.</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1680"/>
        </w:trPr>
        <w:tc>
          <w:tcPr>
            <w:tcW w:w="828" w:type="dxa"/>
            <w:hideMark/>
          </w:tcPr>
          <w:p w:rsidR="009C6C4E" w:rsidRPr="002549C0" w:rsidRDefault="009C6C4E" w:rsidP="00DA18C0">
            <w:pPr>
              <w:widowControl w:val="0"/>
              <w:jc w:val="center"/>
              <w:rPr>
                <w:sz w:val="18"/>
                <w:szCs w:val="18"/>
              </w:rPr>
            </w:pPr>
            <w:r w:rsidRPr="002549C0">
              <w:rPr>
                <w:sz w:val="18"/>
                <w:szCs w:val="18"/>
              </w:rPr>
              <w:lastRenderedPageBreak/>
              <w:t>33</w:t>
            </w:r>
          </w:p>
        </w:tc>
        <w:tc>
          <w:tcPr>
            <w:tcW w:w="1800" w:type="dxa"/>
            <w:hideMark/>
          </w:tcPr>
          <w:p w:rsidR="009C6C4E" w:rsidRPr="002549C0" w:rsidRDefault="009C6C4E" w:rsidP="00DA18C0">
            <w:pPr>
              <w:widowControl w:val="0"/>
              <w:rPr>
                <w:sz w:val="18"/>
                <w:szCs w:val="18"/>
              </w:rPr>
            </w:pPr>
            <w:r w:rsidRPr="002549C0">
              <w:rPr>
                <w:sz w:val="18"/>
                <w:szCs w:val="18"/>
              </w:rPr>
              <w:t>Water use conflicts with terrestrial resources (plants with cooling ponds or cooling towers using makeup water from a river)</w:t>
            </w:r>
            <w:r>
              <w:rPr>
                <w:rStyle w:val="FootnoteReference"/>
                <w:sz w:val="18"/>
                <w:szCs w:val="18"/>
              </w:rPr>
              <w:footnoteReference w:id="4"/>
            </w:r>
          </w:p>
        </w:tc>
        <w:tc>
          <w:tcPr>
            <w:tcW w:w="3690" w:type="dxa"/>
            <w:hideMark/>
          </w:tcPr>
          <w:p w:rsidR="009C6C4E" w:rsidRPr="002549C0" w:rsidRDefault="009C6C4E" w:rsidP="00DA18C0">
            <w:pPr>
              <w:widowControl w:val="0"/>
              <w:rPr>
                <w:sz w:val="18"/>
                <w:szCs w:val="18"/>
              </w:rPr>
            </w:pPr>
            <w:r w:rsidRPr="002549C0">
              <w:rPr>
                <w:sz w:val="18"/>
                <w:szCs w:val="18"/>
              </w:rPr>
              <w:t>SMALL or MODERATE (Category 2).  Impacts on terrestrial resources in riparian communities affected by water use conflicts could be of moderate significance.</w:t>
            </w:r>
          </w:p>
        </w:tc>
        <w:tc>
          <w:tcPr>
            <w:tcW w:w="1800" w:type="dxa"/>
            <w:hideMark/>
          </w:tcPr>
          <w:p w:rsidR="009C6C4E" w:rsidRPr="002549C0" w:rsidRDefault="009C6C4E" w:rsidP="00DA18C0">
            <w:pPr>
              <w:widowControl w:val="0"/>
              <w:rPr>
                <w:sz w:val="18"/>
                <w:szCs w:val="18"/>
              </w:rPr>
            </w:pPr>
            <w:r w:rsidRPr="002549C0">
              <w:rPr>
                <w:sz w:val="18"/>
                <w:szCs w:val="18"/>
              </w:rPr>
              <w:t>Not addressed</w:t>
            </w:r>
          </w:p>
        </w:tc>
        <w:tc>
          <w:tcPr>
            <w:tcW w:w="3510" w:type="dxa"/>
            <w:hideMark/>
          </w:tcPr>
          <w:p w:rsidR="009C6C4E" w:rsidRPr="002549C0" w:rsidRDefault="009C6C4E" w:rsidP="00DA18C0">
            <w:pPr>
              <w:widowControl w:val="0"/>
              <w:rPr>
                <w:sz w:val="18"/>
                <w:szCs w:val="18"/>
              </w:rPr>
            </w:pPr>
            <w:r w:rsidRPr="002549C0">
              <w:rPr>
                <w:sz w:val="18"/>
                <w:szCs w:val="18"/>
              </w:rPr>
              <w:t>Not addressed</w:t>
            </w:r>
          </w:p>
        </w:tc>
        <w:tc>
          <w:tcPr>
            <w:tcW w:w="1548" w:type="dxa"/>
            <w:hideMark/>
          </w:tcPr>
          <w:p w:rsidR="009C6C4E" w:rsidRDefault="009C6C4E" w:rsidP="00DA18C0">
            <w:pPr>
              <w:widowControl w:val="0"/>
              <w:jc w:val="center"/>
              <w:rPr>
                <w:sz w:val="18"/>
                <w:szCs w:val="18"/>
              </w:rPr>
            </w:pPr>
            <w:r w:rsidRPr="002549C0">
              <w:rPr>
                <w:sz w:val="18"/>
                <w:szCs w:val="18"/>
              </w:rPr>
              <w:t xml:space="preserve">New </w:t>
            </w:r>
          </w:p>
          <w:p w:rsidR="009C6C4E" w:rsidRPr="002549C0" w:rsidRDefault="009C6C4E" w:rsidP="00DA18C0">
            <w:pPr>
              <w:widowControl w:val="0"/>
              <w:jc w:val="center"/>
              <w:rPr>
                <w:sz w:val="18"/>
                <w:szCs w:val="18"/>
              </w:rPr>
            </w:pPr>
            <w:r w:rsidRPr="002549C0">
              <w:rPr>
                <w:sz w:val="18"/>
                <w:szCs w:val="18"/>
              </w:rPr>
              <w:t xml:space="preserve">Category 2 </w:t>
            </w:r>
            <w:r>
              <w:rPr>
                <w:sz w:val="18"/>
                <w:szCs w:val="18"/>
              </w:rPr>
              <w:t>issue</w:t>
            </w:r>
          </w:p>
        </w:tc>
      </w:tr>
      <w:tr w:rsidR="009C6C4E" w:rsidRPr="00D009E1" w:rsidTr="00DA18C0">
        <w:trPr>
          <w:cantSplit/>
          <w:trHeight w:val="1250"/>
        </w:trPr>
        <w:tc>
          <w:tcPr>
            <w:tcW w:w="828" w:type="dxa"/>
            <w:vMerge w:val="restart"/>
            <w:hideMark/>
          </w:tcPr>
          <w:p w:rsidR="009C6C4E" w:rsidRPr="002549C0" w:rsidRDefault="009C6C4E" w:rsidP="00DA18C0">
            <w:pPr>
              <w:jc w:val="center"/>
              <w:rPr>
                <w:sz w:val="18"/>
                <w:szCs w:val="18"/>
              </w:rPr>
            </w:pPr>
            <w:r w:rsidRPr="002549C0">
              <w:rPr>
                <w:sz w:val="18"/>
                <w:szCs w:val="18"/>
              </w:rPr>
              <w:t>34</w:t>
            </w:r>
          </w:p>
        </w:tc>
        <w:tc>
          <w:tcPr>
            <w:tcW w:w="1800" w:type="dxa"/>
            <w:vMerge w:val="restart"/>
            <w:hideMark/>
          </w:tcPr>
          <w:p w:rsidR="009C6C4E" w:rsidRDefault="009C6C4E" w:rsidP="00DA18C0">
            <w:pPr>
              <w:keepNext/>
              <w:keepLines/>
              <w:rPr>
                <w:sz w:val="18"/>
                <w:szCs w:val="18"/>
              </w:rPr>
            </w:pPr>
            <w:r w:rsidRPr="002549C0">
              <w:rPr>
                <w:sz w:val="18"/>
                <w:szCs w:val="18"/>
              </w:rPr>
              <w:t>Transmission line right-of-way (ROW) management impacts on terrestrial resources</w:t>
            </w:r>
          </w:p>
          <w:p w:rsidR="009C6C4E" w:rsidRPr="00FF6F1A" w:rsidRDefault="009C6C4E" w:rsidP="00DA18C0">
            <w:pPr>
              <w:rPr>
                <w:sz w:val="18"/>
                <w:szCs w:val="18"/>
              </w:rPr>
            </w:pPr>
          </w:p>
        </w:tc>
        <w:tc>
          <w:tcPr>
            <w:tcW w:w="3690" w:type="dxa"/>
            <w:vMerge w:val="restart"/>
            <w:hideMark/>
          </w:tcPr>
          <w:p w:rsidR="009C6C4E" w:rsidRPr="002549C0" w:rsidRDefault="009C6C4E" w:rsidP="00DA18C0">
            <w:pPr>
              <w:keepNext/>
              <w:keepLines/>
              <w:rPr>
                <w:sz w:val="18"/>
                <w:szCs w:val="18"/>
              </w:rPr>
            </w:pPr>
            <w:r w:rsidRPr="002549C0">
              <w:rPr>
                <w:sz w:val="18"/>
                <w:szCs w:val="18"/>
              </w:rPr>
              <w:t>SMALL (Category 1). Continued ROW management during the license renewal term is expected to keep terrestrial communities in their current condition.  Application of best management practices would reduce the potential for impacts.</w:t>
            </w:r>
            <w:r w:rsidRPr="002549C0">
              <w:rPr>
                <w:sz w:val="18"/>
                <w:szCs w:val="18"/>
              </w:rPr>
              <w:br/>
            </w:r>
            <w:r w:rsidRPr="002549C0">
              <w:rPr>
                <w:sz w:val="18"/>
                <w:szCs w:val="18"/>
              </w:rPr>
              <w:br/>
              <w:t>Footnote: This issue applies only to the in-scope portion of electric power transmission lines which are defined as transmission lines that connect the nuclear power plant to the substation where electricity is fed into the regional power distribution system and transmission lines that supply power to the nuclear plant from the grid.</w:t>
            </w:r>
          </w:p>
        </w:tc>
        <w:tc>
          <w:tcPr>
            <w:tcW w:w="1800" w:type="dxa"/>
            <w:hideMark/>
          </w:tcPr>
          <w:p w:rsidR="009C6C4E" w:rsidRPr="002549C0" w:rsidRDefault="009C6C4E" w:rsidP="00DA18C0">
            <w:pPr>
              <w:keepNext/>
              <w:keepLines/>
              <w:rPr>
                <w:sz w:val="18"/>
                <w:szCs w:val="18"/>
              </w:rPr>
            </w:pPr>
            <w:r w:rsidRPr="002549C0">
              <w:rPr>
                <w:sz w:val="18"/>
                <w:szCs w:val="18"/>
              </w:rPr>
              <w:t>Power line right-of-way management (cutting and herbicide application)</w:t>
            </w:r>
          </w:p>
        </w:tc>
        <w:tc>
          <w:tcPr>
            <w:tcW w:w="3510" w:type="dxa"/>
            <w:hideMark/>
          </w:tcPr>
          <w:p w:rsidR="009C6C4E" w:rsidRPr="002549C0" w:rsidRDefault="009C6C4E" w:rsidP="00DA18C0">
            <w:pPr>
              <w:keepNext/>
              <w:keepLines/>
              <w:rPr>
                <w:sz w:val="18"/>
                <w:szCs w:val="18"/>
              </w:rPr>
            </w:pPr>
            <w:r w:rsidRPr="002549C0">
              <w:rPr>
                <w:sz w:val="18"/>
                <w:szCs w:val="18"/>
              </w:rPr>
              <w:t>SMALL (Category 1). The impacts of right-of-way maintenance on wildlife are expected to be of small significance at all sites.</w:t>
            </w:r>
          </w:p>
        </w:tc>
        <w:tc>
          <w:tcPr>
            <w:tcW w:w="1548" w:type="dxa"/>
            <w:vMerge w:val="restart"/>
            <w:hideMark/>
          </w:tcPr>
          <w:p w:rsidR="009C6C4E" w:rsidRPr="002549C0" w:rsidRDefault="009C6C4E" w:rsidP="00DA18C0">
            <w:pPr>
              <w:jc w:val="center"/>
              <w:rPr>
                <w:sz w:val="18"/>
                <w:szCs w:val="18"/>
              </w:rPr>
            </w:pPr>
            <w:r>
              <w:rPr>
                <w:sz w:val="18"/>
                <w:szCs w:val="18"/>
              </w:rPr>
              <w:t>Issue c</w:t>
            </w:r>
            <w:r w:rsidRPr="002549C0">
              <w:rPr>
                <w:sz w:val="18"/>
                <w:szCs w:val="18"/>
              </w:rPr>
              <w:t>onsolidation</w:t>
            </w:r>
          </w:p>
          <w:p w:rsidR="009C6C4E" w:rsidRPr="002549C0" w:rsidRDefault="009C6C4E" w:rsidP="00DA18C0">
            <w:pPr>
              <w:jc w:val="center"/>
              <w:rPr>
                <w:sz w:val="18"/>
                <w:szCs w:val="18"/>
              </w:rPr>
            </w:pPr>
            <w:r w:rsidRPr="002549C0">
              <w:rPr>
                <w:sz w:val="18"/>
                <w:szCs w:val="18"/>
              </w:rPr>
              <w:t>(Category 1)</w:t>
            </w:r>
          </w:p>
        </w:tc>
      </w:tr>
      <w:tr w:rsidR="009C6C4E" w:rsidRPr="00D009E1" w:rsidTr="00DA18C0">
        <w:trPr>
          <w:cantSplit/>
          <w:trHeight w:val="147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Floodplains and wetland on power line right of way</w:t>
            </w:r>
          </w:p>
        </w:tc>
        <w:tc>
          <w:tcPr>
            <w:tcW w:w="3510" w:type="dxa"/>
            <w:hideMark/>
          </w:tcPr>
          <w:p w:rsidR="009C6C4E" w:rsidRDefault="009C6C4E" w:rsidP="00DA18C0">
            <w:pPr>
              <w:keepNext/>
              <w:keepLines/>
              <w:rPr>
                <w:sz w:val="18"/>
                <w:szCs w:val="18"/>
              </w:rPr>
            </w:pPr>
            <w:r w:rsidRPr="002549C0">
              <w:rPr>
                <w:sz w:val="18"/>
                <w:szCs w:val="18"/>
              </w:rPr>
              <w:t>SMALL (Category 1). Periodic vegetation control is necessary in forested wetlands underneath power lines</w:t>
            </w:r>
            <w:r w:rsidRPr="002549C0">
              <w:rPr>
                <w:sz w:val="18"/>
                <w:szCs w:val="18"/>
              </w:rPr>
              <w:br/>
              <w:t>and can be achieved with minimal damage to the wetland. No significant impact is expected</w:t>
            </w:r>
            <w:r w:rsidRPr="002549C0">
              <w:rPr>
                <w:sz w:val="18"/>
                <w:szCs w:val="18"/>
              </w:rPr>
              <w:br/>
              <w:t>at any nuclear power plant during the license renewal term.</w:t>
            </w:r>
          </w:p>
          <w:p w:rsidR="009C6C4E" w:rsidRPr="002549C0" w:rsidRDefault="009C6C4E" w:rsidP="00DA18C0">
            <w:pPr>
              <w:keepNext/>
              <w:keepLines/>
              <w:rPr>
                <w:sz w:val="18"/>
                <w:szCs w:val="18"/>
              </w:rPr>
            </w:pP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keepNext/>
              <w:keepLines/>
              <w:widowControl w:val="0"/>
              <w:rPr>
                <w:b/>
                <w:bCs/>
                <w:sz w:val="18"/>
                <w:szCs w:val="18"/>
              </w:rPr>
            </w:pPr>
            <w:r w:rsidRPr="002549C0">
              <w:rPr>
                <w:b/>
                <w:bCs/>
                <w:sz w:val="18"/>
                <w:szCs w:val="18"/>
              </w:rPr>
              <w:lastRenderedPageBreak/>
              <w:t>Aquatic Resources</w:t>
            </w:r>
          </w:p>
        </w:tc>
      </w:tr>
      <w:tr w:rsidR="009C6C4E" w:rsidRPr="00D009E1" w:rsidTr="00DA18C0">
        <w:trPr>
          <w:cantSplit/>
          <w:trHeight w:val="2505"/>
        </w:trPr>
        <w:tc>
          <w:tcPr>
            <w:tcW w:w="828" w:type="dxa"/>
            <w:vMerge w:val="restart"/>
            <w:hideMark/>
          </w:tcPr>
          <w:p w:rsidR="009C6C4E" w:rsidRPr="002549C0" w:rsidRDefault="009C6C4E" w:rsidP="00DA18C0">
            <w:pPr>
              <w:keepNext/>
              <w:keepLines/>
              <w:widowControl w:val="0"/>
              <w:jc w:val="center"/>
              <w:rPr>
                <w:sz w:val="18"/>
                <w:szCs w:val="18"/>
              </w:rPr>
            </w:pPr>
            <w:r w:rsidRPr="002549C0">
              <w:rPr>
                <w:sz w:val="18"/>
                <w:szCs w:val="18"/>
              </w:rPr>
              <w:t>36</w:t>
            </w:r>
          </w:p>
        </w:tc>
        <w:tc>
          <w:tcPr>
            <w:tcW w:w="1800" w:type="dxa"/>
            <w:vMerge w:val="restart"/>
            <w:hideMark/>
          </w:tcPr>
          <w:p w:rsidR="009C6C4E" w:rsidRPr="002549C0" w:rsidRDefault="009C6C4E" w:rsidP="00DA18C0">
            <w:pPr>
              <w:keepNext/>
              <w:keepLines/>
              <w:widowControl w:val="0"/>
              <w:rPr>
                <w:sz w:val="18"/>
                <w:szCs w:val="18"/>
              </w:rPr>
            </w:pPr>
            <w:r w:rsidRPr="002549C0">
              <w:rPr>
                <w:sz w:val="18"/>
                <w:szCs w:val="18"/>
              </w:rPr>
              <w:t>Impingement and entrainment of aquatic organisms (plants with once-through cooling systems or cooling ponds)</w:t>
            </w:r>
            <w:r>
              <w:rPr>
                <w:rStyle w:val="FootnoteReference"/>
                <w:sz w:val="18"/>
                <w:szCs w:val="18"/>
              </w:rPr>
              <w:footnoteReference w:id="5"/>
            </w:r>
          </w:p>
        </w:tc>
        <w:tc>
          <w:tcPr>
            <w:tcW w:w="3690" w:type="dxa"/>
            <w:vMerge w:val="restart"/>
            <w:hideMark/>
          </w:tcPr>
          <w:p w:rsidR="009C6C4E" w:rsidRPr="002549C0" w:rsidRDefault="009C6C4E" w:rsidP="00DA18C0">
            <w:pPr>
              <w:keepNext/>
              <w:keepLines/>
              <w:widowControl w:val="0"/>
              <w:rPr>
                <w:sz w:val="18"/>
                <w:szCs w:val="18"/>
              </w:rPr>
            </w:pPr>
            <w:r w:rsidRPr="002549C0">
              <w:rPr>
                <w:sz w:val="18"/>
                <w:szCs w:val="18"/>
              </w:rPr>
              <w:t>SMALL, MODERATE, or LARGE (Category 2). The impacts of impingement and entrainment are small at many plants, but may be moderate or even large at a few plants with once-through and cooling-pond cooling systems, depending on cooling system withdrawal rates and volumes and the aquatic resources at the site.</w:t>
            </w:r>
          </w:p>
        </w:tc>
        <w:tc>
          <w:tcPr>
            <w:tcW w:w="1800" w:type="dxa"/>
            <w:hideMark/>
          </w:tcPr>
          <w:p w:rsidR="009C6C4E" w:rsidRPr="002549C0" w:rsidRDefault="009C6C4E" w:rsidP="00DA18C0">
            <w:pPr>
              <w:keepNext/>
              <w:keepLines/>
              <w:widowControl w:val="0"/>
              <w:rPr>
                <w:sz w:val="18"/>
                <w:szCs w:val="18"/>
              </w:rPr>
            </w:pPr>
            <w:r w:rsidRPr="002549C0">
              <w:rPr>
                <w:sz w:val="18"/>
                <w:szCs w:val="18"/>
              </w:rPr>
              <w:t>Entrainment of fish and shellfish in early life stages (for plants with once-through cooling and cooling pond heat dissipation systems)</w:t>
            </w:r>
          </w:p>
        </w:tc>
        <w:tc>
          <w:tcPr>
            <w:tcW w:w="3510" w:type="dxa"/>
            <w:hideMark/>
          </w:tcPr>
          <w:p w:rsidR="009C6C4E" w:rsidRPr="002549C0" w:rsidRDefault="009C6C4E" w:rsidP="00DA18C0">
            <w:pPr>
              <w:keepNext/>
              <w:keepLines/>
              <w:widowControl w:val="0"/>
              <w:rPr>
                <w:sz w:val="18"/>
                <w:szCs w:val="18"/>
              </w:rPr>
            </w:pPr>
            <w:r w:rsidRPr="002549C0">
              <w:rPr>
                <w:sz w:val="18"/>
                <w:szCs w:val="18"/>
              </w:rPr>
              <w:t>SMALL, MODERATE, or LARGE (Category 2). The impacts of entrainment are small at many plants but may be moderate or even large at a few plants with once-through and cooling-pond cooling systems. Further, ongoing efforts in the vicinity of these plants to restore fish populations may increase the numbers of fish susceptible to intake effects during the license renewal period, such that entrainment studies conducted in support of the original license may no longer be valid. See § 51.53(c</w:t>
            </w:r>
            <w:proofErr w:type="gramStart"/>
            <w:r w:rsidRPr="002549C0">
              <w:rPr>
                <w:sz w:val="18"/>
                <w:szCs w:val="18"/>
              </w:rPr>
              <w:t>)(</w:t>
            </w:r>
            <w:proofErr w:type="gramEnd"/>
            <w:r w:rsidRPr="002549C0">
              <w:rPr>
                <w:sz w:val="18"/>
                <w:szCs w:val="18"/>
              </w:rPr>
              <w:t>3)(ii)(B).</w:t>
            </w:r>
          </w:p>
        </w:tc>
        <w:tc>
          <w:tcPr>
            <w:tcW w:w="1548" w:type="dxa"/>
            <w:vMerge w:val="restart"/>
            <w:hideMark/>
          </w:tcPr>
          <w:p w:rsidR="009C6C4E" w:rsidRDefault="009C6C4E" w:rsidP="00DA18C0">
            <w:pPr>
              <w:keepNext/>
              <w:keepLines/>
              <w:widowControl w:val="0"/>
              <w:jc w:val="center"/>
              <w:rPr>
                <w:sz w:val="18"/>
                <w:szCs w:val="18"/>
              </w:rPr>
            </w:pPr>
            <w:r>
              <w:rPr>
                <w:sz w:val="18"/>
                <w:szCs w:val="18"/>
              </w:rPr>
              <w:t>Issue consolidation</w:t>
            </w:r>
          </w:p>
          <w:p w:rsidR="009C6C4E" w:rsidRPr="002549C0" w:rsidRDefault="009C6C4E" w:rsidP="00DA18C0">
            <w:pPr>
              <w:keepNext/>
              <w:keepLines/>
              <w:widowControl w:val="0"/>
              <w:jc w:val="center"/>
              <w:rPr>
                <w:sz w:val="18"/>
                <w:szCs w:val="18"/>
              </w:rPr>
            </w:pPr>
            <w:r>
              <w:rPr>
                <w:sz w:val="18"/>
                <w:szCs w:val="18"/>
              </w:rPr>
              <w:t>(Category 2)</w:t>
            </w:r>
          </w:p>
        </w:tc>
      </w:tr>
      <w:tr w:rsidR="009C6C4E" w:rsidRPr="00D009E1" w:rsidTr="00DA18C0">
        <w:trPr>
          <w:cantSplit/>
          <w:trHeight w:val="1440"/>
        </w:trPr>
        <w:tc>
          <w:tcPr>
            <w:tcW w:w="828" w:type="dxa"/>
            <w:vMerge/>
            <w:hideMark/>
          </w:tcPr>
          <w:p w:rsidR="009C6C4E" w:rsidRPr="002549C0" w:rsidRDefault="009C6C4E" w:rsidP="00DA18C0">
            <w:pPr>
              <w:widowControl w:val="0"/>
              <w:jc w:val="center"/>
              <w:rPr>
                <w:sz w:val="18"/>
                <w:szCs w:val="18"/>
              </w:rPr>
            </w:pPr>
          </w:p>
        </w:tc>
        <w:tc>
          <w:tcPr>
            <w:tcW w:w="1800" w:type="dxa"/>
            <w:vMerge/>
            <w:hideMark/>
          </w:tcPr>
          <w:p w:rsidR="009C6C4E" w:rsidRPr="002549C0" w:rsidRDefault="009C6C4E" w:rsidP="00DA18C0">
            <w:pPr>
              <w:widowControl w:val="0"/>
              <w:rPr>
                <w:sz w:val="18"/>
                <w:szCs w:val="18"/>
              </w:rPr>
            </w:pPr>
          </w:p>
        </w:tc>
        <w:tc>
          <w:tcPr>
            <w:tcW w:w="3690" w:type="dxa"/>
            <w:vMerge/>
            <w:hideMark/>
          </w:tcPr>
          <w:p w:rsidR="009C6C4E" w:rsidRPr="002549C0" w:rsidRDefault="009C6C4E" w:rsidP="00DA18C0">
            <w:pPr>
              <w:widowControl w:val="0"/>
              <w:rPr>
                <w:sz w:val="18"/>
                <w:szCs w:val="18"/>
              </w:rPr>
            </w:pPr>
          </w:p>
        </w:tc>
        <w:tc>
          <w:tcPr>
            <w:tcW w:w="1800" w:type="dxa"/>
            <w:hideMark/>
          </w:tcPr>
          <w:p w:rsidR="009C6C4E" w:rsidRPr="002549C0" w:rsidRDefault="009C6C4E" w:rsidP="00DA18C0">
            <w:pPr>
              <w:widowControl w:val="0"/>
              <w:rPr>
                <w:sz w:val="18"/>
                <w:szCs w:val="18"/>
              </w:rPr>
            </w:pPr>
            <w:r w:rsidRPr="002549C0">
              <w:rPr>
                <w:sz w:val="18"/>
                <w:szCs w:val="18"/>
              </w:rPr>
              <w:t>Impingement of fish and shellfish (for plants with once-through cooling and cooling pond heat dissipation systems)</w:t>
            </w:r>
          </w:p>
        </w:tc>
        <w:tc>
          <w:tcPr>
            <w:tcW w:w="3510" w:type="dxa"/>
            <w:hideMark/>
          </w:tcPr>
          <w:p w:rsidR="009C6C4E" w:rsidRDefault="009C6C4E" w:rsidP="00DA18C0">
            <w:pPr>
              <w:widowControl w:val="0"/>
              <w:rPr>
                <w:sz w:val="18"/>
                <w:szCs w:val="18"/>
              </w:rPr>
            </w:pPr>
            <w:r w:rsidRPr="002549C0">
              <w:rPr>
                <w:sz w:val="18"/>
                <w:szCs w:val="18"/>
              </w:rPr>
              <w:t xml:space="preserve">SMALL, MODERATE, or LARGE (Category 2). The impacts of impingement are small at many plants but may be moderate or even large at a few plants with once-through and cooling-pond cooling systems. </w:t>
            </w:r>
          </w:p>
          <w:p w:rsidR="009C6C4E" w:rsidRPr="002549C0" w:rsidRDefault="009C6C4E" w:rsidP="00DA18C0">
            <w:pPr>
              <w:widowControl w:val="0"/>
              <w:rPr>
                <w:sz w:val="18"/>
                <w:szCs w:val="18"/>
              </w:rPr>
            </w:pPr>
            <w:r w:rsidRPr="002549C0">
              <w:rPr>
                <w:sz w:val="18"/>
                <w:szCs w:val="18"/>
              </w:rPr>
              <w:t>See § 51.53(c</w:t>
            </w:r>
            <w:proofErr w:type="gramStart"/>
            <w:r w:rsidRPr="002549C0">
              <w:rPr>
                <w:sz w:val="18"/>
                <w:szCs w:val="18"/>
              </w:rPr>
              <w:t>)(</w:t>
            </w:r>
            <w:proofErr w:type="gramEnd"/>
            <w:r w:rsidRPr="002549C0">
              <w:rPr>
                <w:sz w:val="18"/>
                <w:szCs w:val="18"/>
              </w:rPr>
              <w:t>3)(ii)(B).</w:t>
            </w:r>
          </w:p>
        </w:tc>
        <w:tc>
          <w:tcPr>
            <w:tcW w:w="1548" w:type="dxa"/>
            <w:vMerge/>
            <w:hideMark/>
          </w:tcPr>
          <w:p w:rsidR="009C6C4E" w:rsidRPr="002549C0" w:rsidRDefault="009C6C4E" w:rsidP="00DA18C0">
            <w:pPr>
              <w:widowControl w:val="0"/>
              <w:jc w:val="center"/>
              <w:rPr>
                <w:sz w:val="18"/>
                <w:szCs w:val="18"/>
              </w:rPr>
            </w:pPr>
          </w:p>
        </w:tc>
      </w:tr>
      <w:tr w:rsidR="009C6C4E" w:rsidRPr="00D009E1" w:rsidTr="00DA18C0">
        <w:trPr>
          <w:cantSplit/>
          <w:trHeight w:val="1440"/>
        </w:trPr>
        <w:tc>
          <w:tcPr>
            <w:tcW w:w="828" w:type="dxa"/>
            <w:vMerge w:val="restart"/>
            <w:hideMark/>
          </w:tcPr>
          <w:p w:rsidR="009C6C4E" w:rsidRPr="002549C0" w:rsidRDefault="009C6C4E" w:rsidP="00DA18C0">
            <w:pPr>
              <w:keepNext/>
              <w:keepLines/>
              <w:jc w:val="center"/>
              <w:rPr>
                <w:sz w:val="18"/>
                <w:szCs w:val="18"/>
              </w:rPr>
            </w:pPr>
            <w:r w:rsidRPr="002549C0">
              <w:rPr>
                <w:sz w:val="18"/>
                <w:szCs w:val="18"/>
              </w:rPr>
              <w:lastRenderedPageBreak/>
              <w:t>37</w:t>
            </w:r>
          </w:p>
        </w:tc>
        <w:tc>
          <w:tcPr>
            <w:tcW w:w="1800" w:type="dxa"/>
            <w:vMerge w:val="restart"/>
            <w:hideMark/>
          </w:tcPr>
          <w:p w:rsidR="009C6C4E" w:rsidRPr="002549C0" w:rsidRDefault="009C6C4E" w:rsidP="00DA18C0">
            <w:pPr>
              <w:keepNext/>
              <w:keepLines/>
              <w:rPr>
                <w:sz w:val="18"/>
                <w:szCs w:val="18"/>
              </w:rPr>
            </w:pPr>
            <w:r w:rsidRPr="002549C0">
              <w:rPr>
                <w:sz w:val="18"/>
                <w:szCs w:val="18"/>
              </w:rPr>
              <w:t>Impingement and entrainment of aquatic organisms (plants with cooling towers)</w:t>
            </w:r>
            <w:r>
              <w:rPr>
                <w:rStyle w:val="FootnoteReference"/>
                <w:sz w:val="18"/>
                <w:szCs w:val="18"/>
              </w:rPr>
              <w:footnoteReference w:id="6"/>
            </w:r>
          </w:p>
        </w:tc>
        <w:tc>
          <w:tcPr>
            <w:tcW w:w="3690" w:type="dxa"/>
            <w:vMerge w:val="restart"/>
            <w:hideMark/>
          </w:tcPr>
          <w:p w:rsidR="009C6C4E" w:rsidRPr="002549C0" w:rsidRDefault="009C6C4E" w:rsidP="00DA18C0">
            <w:pPr>
              <w:keepNext/>
              <w:keepLines/>
              <w:rPr>
                <w:sz w:val="18"/>
                <w:szCs w:val="18"/>
              </w:rPr>
            </w:pPr>
            <w:r w:rsidRPr="002549C0">
              <w:rPr>
                <w:sz w:val="18"/>
                <w:szCs w:val="18"/>
              </w:rPr>
              <w:t>SMALL (Category 1). Impingement and entrainment rates are lower at plants that use closed-cycle cooling with cooling towers because the rates and volumes of water withdrawal needed for makeup are minimized.</w:t>
            </w:r>
          </w:p>
        </w:tc>
        <w:tc>
          <w:tcPr>
            <w:tcW w:w="1800" w:type="dxa"/>
            <w:hideMark/>
          </w:tcPr>
          <w:p w:rsidR="009C6C4E" w:rsidRPr="002549C0" w:rsidRDefault="009C6C4E" w:rsidP="00DA18C0">
            <w:pPr>
              <w:keepNext/>
              <w:keepLines/>
              <w:rPr>
                <w:sz w:val="18"/>
                <w:szCs w:val="18"/>
              </w:rPr>
            </w:pPr>
            <w:r w:rsidRPr="002549C0">
              <w:rPr>
                <w:sz w:val="18"/>
                <w:szCs w:val="18"/>
              </w:rPr>
              <w:t>Entrainment of fish and shellfish in early life stages (for plants with cooling tower-based heat dissipation systems)</w:t>
            </w:r>
          </w:p>
        </w:tc>
        <w:tc>
          <w:tcPr>
            <w:tcW w:w="3510" w:type="dxa"/>
            <w:hideMark/>
          </w:tcPr>
          <w:p w:rsidR="009C6C4E" w:rsidRPr="002549C0" w:rsidRDefault="009C6C4E" w:rsidP="00DA18C0">
            <w:pPr>
              <w:keepNext/>
              <w:keepLines/>
              <w:rPr>
                <w:sz w:val="18"/>
                <w:szCs w:val="18"/>
              </w:rPr>
            </w:pPr>
            <w:r w:rsidRPr="002549C0">
              <w:rPr>
                <w:sz w:val="18"/>
                <w:szCs w:val="18"/>
              </w:rPr>
              <w:t>SMALL (Category 1). Entrainment of fish has not been found to be a problem at operating nuclear power plants with this type of cooling system and is not expected to be a problem during the license renewal term.</w:t>
            </w:r>
          </w:p>
        </w:tc>
        <w:tc>
          <w:tcPr>
            <w:tcW w:w="1548" w:type="dxa"/>
            <w:vMerge w:val="restart"/>
            <w:hideMark/>
          </w:tcPr>
          <w:p w:rsidR="009C6C4E" w:rsidRPr="002549C0" w:rsidRDefault="009C6C4E" w:rsidP="00DA18C0">
            <w:pPr>
              <w:jc w:val="center"/>
              <w:rPr>
                <w:sz w:val="18"/>
                <w:szCs w:val="18"/>
              </w:rPr>
            </w:pPr>
            <w:r w:rsidRPr="002549C0">
              <w:rPr>
                <w:sz w:val="18"/>
                <w:szCs w:val="18"/>
              </w:rPr>
              <w:t xml:space="preserve">Issue </w:t>
            </w:r>
            <w:r>
              <w:rPr>
                <w:sz w:val="18"/>
                <w:szCs w:val="18"/>
              </w:rPr>
              <w:t>c</w:t>
            </w:r>
            <w:r w:rsidRPr="002549C0">
              <w:rPr>
                <w:sz w:val="18"/>
                <w:szCs w:val="18"/>
              </w:rPr>
              <w:t>onsolidation</w:t>
            </w:r>
          </w:p>
          <w:p w:rsidR="009C6C4E" w:rsidRPr="002549C0" w:rsidRDefault="009C6C4E" w:rsidP="00DA18C0">
            <w:pPr>
              <w:keepNext/>
              <w:keepLines/>
              <w:jc w:val="center"/>
              <w:rPr>
                <w:sz w:val="18"/>
                <w:szCs w:val="18"/>
              </w:rPr>
            </w:pPr>
            <w:r w:rsidRPr="002549C0">
              <w:rPr>
                <w:sz w:val="18"/>
                <w:szCs w:val="18"/>
              </w:rPr>
              <w:t>(Category 1)</w:t>
            </w:r>
          </w:p>
        </w:tc>
      </w:tr>
      <w:tr w:rsidR="009C6C4E" w:rsidRPr="00D009E1" w:rsidTr="00DA18C0">
        <w:trPr>
          <w:cantSplit/>
          <w:trHeight w:val="120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Impingement of fish and shellfish (for plants with cooling tower-based heat dissipation systems)</w:t>
            </w:r>
          </w:p>
        </w:tc>
        <w:tc>
          <w:tcPr>
            <w:tcW w:w="3510" w:type="dxa"/>
            <w:hideMark/>
          </w:tcPr>
          <w:p w:rsidR="009C6C4E" w:rsidRPr="002549C0" w:rsidRDefault="009C6C4E" w:rsidP="00DA18C0">
            <w:pPr>
              <w:keepNext/>
              <w:keepLines/>
              <w:rPr>
                <w:sz w:val="18"/>
                <w:szCs w:val="18"/>
              </w:rPr>
            </w:pPr>
            <w:r w:rsidRPr="002549C0">
              <w:rPr>
                <w:sz w:val="18"/>
                <w:szCs w:val="18"/>
              </w:rPr>
              <w:t>SMALL (Category 1). The impingement has not been found to be a problem at operating nuclear power plants with this type of cooling system and is not expected to be a problem during the license renewal term.</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1830"/>
        </w:trPr>
        <w:tc>
          <w:tcPr>
            <w:tcW w:w="828" w:type="dxa"/>
            <w:vMerge w:val="restart"/>
            <w:noWrap/>
            <w:hideMark/>
          </w:tcPr>
          <w:p w:rsidR="009C6C4E" w:rsidRPr="002549C0" w:rsidRDefault="009C6C4E" w:rsidP="00DA18C0">
            <w:pPr>
              <w:pageBreakBefore/>
              <w:jc w:val="center"/>
              <w:rPr>
                <w:sz w:val="18"/>
                <w:szCs w:val="18"/>
              </w:rPr>
            </w:pPr>
            <w:r w:rsidRPr="002549C0">
              <w:rPr>
                <w:sz w:val="18"/>
                <w:szCs w:val="18"/>
              </w:rPr>
              <w:lastRenderedPageBreak/>
              <w:t>41</w:t>
            </w:r>
          </w:p>
        </w:tc>
        <w:tc>
          <w:tcPr>
            <w:tcW w:w="1800" w:type="dxa"/>
            <w:vMerge w:val="restart"/>
            <w:hideMark/>
          </w:tcPr>
          <w:p w:rsidR="009C6C4E" w:rsidRPr="002549C0" w:rsidRDefault="009C6C4E" w:rsidP="00DA18C0">
            <w:pPr>
              <w:rPr>
                <w:sz w:val="18"/>
                <w:szCs w:val="18"/>
              </w:rPr>
            </w:pPr>
            <w:r w:rsidRPr="002549C0">
              <w:rPr>
                <w:sz w:val="18"/>
                <w:szCs w:val="18"/>
              </w:rPr>
              <w:t>Infrequently reported thermal impacts (all plants)</w:t>
            </w:r>
          </w:p>
        </w:tc>
        <w:tc>
          <w:tcPr>
            <w:tcW w:w="3690" w:type="dxa"/>
            <w:vMerge w:val="restart"/>
            <w:hideMark/>
          </w:tcPr>
          <w:p w:rsidR="009C6C4E" w:rsidRDefault="009C6C4E" w:rsidP="00DA18C0">
            <w:pPr>
              <w:rPr>
                <w:sz w:val="18"/>
                <w:szCs w:val="18"/>
              </w:rPr>
            </w:pPr>
            <w:r w:rsidRPr="002549C0">
              <w:rPr>
                <w:sz w:val="18"/>
                <w:szCs w:val="18"/>
              </w:rPr>
              <w:t>SMALL (Category 1). Continued operations during the license renewal term are expected to have small thermal impacts with respect to the following</w:t>
            </w:r>
            <w:proofErr w:type="gramStart"/>
            <w:r w:rsidRPr="002549C0">
              <w:rPr>
                <w:sz w:val="18"/>
                <w:szCs w:val="18"/>
              </w:rPr>
              <w:t>:</w:t>
            </w:r>
            <w:proofErr w:type="gramEnd"/>
            <w:r w:rsidRPr="002549C0">
              <w:rPr>
                <w:sz w:val="18"/>
                <w:szCs w:val="18"/>
              </w:rPr>
              <w:br/>
            </w:r>
            <w:r w:rsidRPr="002549C0">
              <w:rPr>
                <w:sz w:val="18"/>
                <w:szCs w:val="18"/>
              </w:rPr>
              <w:br/>
              <w:t>Cold shock has been satisfactorily mitigated at operating nuclear plants with once-through cooling systems, has not endangered fish populations or been found to be a problem at operating nuclear power plants with cooling towers or cooling ponds, and is not expected to be a problem.</w:t>
            </w:r>
            <w:r w:rsidRPr="002549C0">
              <w:rPr>
                <w:sz w:val="18"/>
                <w:szCs w:val="18"/>
              </w:rPr>
              <w:br/>
            </w:r>
            <w:r w:rsidRPr="002549C0">
              <w:rPr>
                <w:sz w:val="18"/>
                <w:szCs w:val="18"/>
              </w:rPr>
              <w:br/>
              <w:t>Thermal plumes have not been found to be a problem at operating nuclear power plants and are not expected to be a problem.</w:t>
            </w:r>
            <w:r w:rsidRPr="002549C0">
              <w:rPr>
                <w:sz w:val="18"/>
                <w:szCs w:val="18"/>
              </w:rPr>
              <w:br/>
            </w:r>
            <w:r w:rsidRPr="002549C0">
              <w:rPr>
                <w:sz w:val="18"/>
                <w:szCs w:val="18"/>
              </w:rPr>
              <w:br/>
              <w:t>Thermal discharge may have localized effects but is not expected to affect the larger geographical distribution of aquatic organisms.</w:t>
            </w:r>
            <w:r w:rsidRPr="002549C0">
              <w:rPr>
                <w:sz w:val="18"/>
                <w:szCs w:val="18"/>
              </w:rPr>
              <w:br/>
            </w:r>
            <w:r w:rsidRPr="002549C0">
              <w:rPr>
                <w:sz w:val="18"/>
                <w:szCs w:val="18"/>
              </w:rPr>
              <w:br/>
              <w:t>Premature emergence has been found to be a localized effect at some operating nuclear power plants but has not been a problem and is not expected to be a problem.</w:t>
            </w:r>
            <w:r w:rsidRPr="002549C0">
              <w:rPr>
                <w:sz w:val="18"/>
                <w:szCs w:val="18"/>
              </w:rPr>
              <w:br/>
            </w:r>
            <w:r w:rsidRPr="002549C0">
              <w:rPr>
                <w:sz w:val="18"/>
                <w:szCs w:val="18"/>
              </w:rPr>
              <w:br/>
              <w:t>Stimulation of nuisance organisms has been satisfactorily mitigated at the single nuclear power plant with a once-through cooling system where previously it was a problem. It has not been found to be a problem at operating nuclear power plants with cooling towers or cooling ponds and is not expected to be a problem.</w:t>
            </w:r>
          </w:p>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Cold shock (for all plants)</w:t>
            </w:r>
          </w:p>
        </w:tc>
        <w:tc>
          <w:tcPr>
            <w:tcW w:w="3510" w:type="dxa"/>
            <w:hideMark/>
          </w:tcPr>
          <w:p w:rsidR="009C6C4E" w:rsidRPr="002549C0" w:rsidRDefault="009C6C4E" w:rsidP="00DA18C0">
            <w:pPr>
              <w:rPr>
                <w:sz w:val="18"/>
                <w:szCs w:val="18"/>
              </w:rPr>
            </w:pPr>
            <w:r w:rsidRPr="002549C0">
              <w:rPr>
                <w:sz w:val="18"/>
                <w:szCs w:val="18"/>
              </w:rPr>
              <w:t>SMALL (Category 1). Cold shock has been satisfactorily mitigated at operating nuclear plants with once</w:t>
            </w:r>
            <w:r>
              <w:rPr>
                <w:sz w:val="18"/>
                <w:szCs w:val="18"/>
              </w:rPr>
              <w:t>-</w:t>
            </w:r>
            <w:r w:rsidRPr="002549C0">
              <w:rPr>
                <w:sz w:val="18"/>
                <w:szCs w:val="18"/>
              </w:rPr>
              <w:t>through cooling systems, has not endangered fish populations or been found to be a problem at operating nuclear power plants with cooling towers or cooling ponds, and is not expected to be a problem during the license renewal term.</w:t>
            </w:r>
          </w:p>
        </w:tc>
        <w:tc>
          <w:tcPr>
            <w:tcW w:w="1548" w:type="dxa"/>
            <w:vMerge w:val="restart"/>
            <w:hideMark/>
          </w:tcPr>
          <w:p w:rsidR="009C6C4E" w:rsidRDefault="009C6C4E" w:rsidP="00DA18C0">
            <w:pPr>
              <w:jc w:val="center"/>
              <w:rPr>
                <w:sz w:val="18"/>
                <w:szCs w:val="18"/>
              </w:rPr>
            </w:pPr>
            <w:r>
              <w:rPr>
                <w:sz w:val="18"/>
                <w:szCs w:val="18"/>
              </w:rPr>
              <w:t>Issue consolidation</w:t>
            </w:r>
          </w:p>
          <w:p w:rsidR="009C6C4E" w:rsidRPr="002549C0" w:rsidRDefault="009C6C4E" w:rsidP="00DA18C0">
            <w:pPr>
              <w:jc w:val="center"/>
              <w:rPr>
                <w:sz w:val="18"/>
                <w:szCs w:val="18"/>
              </w:rPr>
            </w:pPr>
            <w:r>
              <w:rPr>
                <w:sz w:val="18"/>
                <w:szCs w:val="18"/>
              </w:rPr>
              <w:t>(Category 1)</w:t>
            </w:r>
          </w:p>
        </w:tc>
      </w:tr>
      <w:tr w:rsidR="009C6C4E" w:rsidRPr="00D009E1" w:rsidTr="00DA18C0">
        <w:trPr>
          <w:cantSplit/>
          <w:trHeight w:val="1088"/>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Thermal plume barrier to migrating fish (for all plants)</w:t>
            </w:r>
          </w:p>
        </w:tc>
        <w:tc>
          <w:tcPr>
            <w:tcW w:w="3510" w:type="dxa"/>
            <w:hideMark/>
          </w:tcPr>
          <w:p w:rsidR="009C6C4E" w:rsidRPr="002549C0" w:rsidRDefault="009C6C4E" w:rsidP="00DA18C0">
            <w:pPr>
              <w:rPr>
                <w:sz w:val="18"/>
                <w:szCs w:val="18"/>
              </w:rPr>
            </w:pPr>
            <w:r w:rsidRPr="002549C0">
              <w:rPr>
                <w:sz w:val="18"/>
                <w:szCs w:val="18"/>
              </w:rPr>
              <w:t>SMALL (Category 1). Thermal plumes have not been found to be a problem at operating nuclear power plants and are not expected to be a problem during the license renewal term.</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885"/>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Distribution of aquatic organisms (for all plants)</w:t>
            </w:r>
          </w:p>
        </w:tc>
        <w:tc>
          <w:tcPr>
            <w:tcW w:w="3510" w:type="dxa"/>
            <w:hideMark/>
          </w:tcPr>
          <w:p w:rsidR="009C6C4E" w:rsidRPr="002549C0" w:rsidRDefault="009C6C4E" w:rsidP="00DA18C0">
            <w:pPr>
              <w:rPr>
                <w:sz w:val="18"/>
                <w:szCs w:val="18"/>
              </w:rPr>
            </w:pPr>
            <w:r w:rsidRPr="002549C0">
              <w:rPr>
                <w:sz w:val="18"/>
                <w:szCs w:val="18"/>
              </w:rPr>
              <w:t>SMALL (Category 1). Thermal discharge may have localized effects but is not expected to affect the larger geographical distribution of aquatic organisms.</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129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Premature emergence of aquatic insects (for all plants)</w:t>
            </w:r>
          </w:p>
        </w:tc>
        <w:tc>
          <w:tcPr>
            <w:tcW w:w="3510" w:type="dxa"/>
            <w:hideMark/>
          </w:tcPr>
          <w:p w:rsidR="009C6C4E" w:rsidRPr="002549C0" w:rsidRDefault="009C6C4E" w:rsidP="00DA18C0">
            <w:pPr>
              <w:rPr>
                <w:sz w:val="18"/>
                <w:szCs w:val="18"/>
              </w:rPr>
            </w:pPr>
            <w:r w:rsidRPr="002549C0">
              <w:rPr>
                <w:sz w:val="18"/>
                <w:szCs w:val="18"/>
              </w:rPr>
              <w:t>SMALL (Category 1). Premature emergence has been found to be a localized effect at some operating nuclear power plants but has not been a problem and is not expected to be a problem during the license renewal term.</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192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Stimulation of Nuisance Organisms (e.g., Shipworms)</w:t>
            </w:r>
          </w:p>
        </w:tc>
        <w:tc>
          <w:tcPr>
            <w:tcW w:w="3510" w:type="dxa"/>
            <w:hideMark/>
          </w:tcPr>
          <w:p w:rsidR="009C6C4E" w:rsidRPr="002549C0" w:rsidRDefault="009C6C4E" w:rsidP="00DA18C0">
            <w:pPr>
              <w:rPr>
                <w:sz w:val="18"/>
                <w:szCs w:val="18"/>
              </w:rPr>
            </w:pPr>
            <w:r w:rsidRPr="002549C0">
              <w:rPr>
                <w:sz w:val="18"/>
                <w:szCs w:val="18"/>
              </w:rPr>
              <w:t>SMALL (Category 1). Stimulation of nuisance organisms has been satisfactorily mitigated at the single nuclear</w:t>
            </w:r>
            <w:r>
              <w:rPr>
                <w:sz w:val="18"/>
                <w:szCs w:val="18"/>
              </w:rPr>
              <w:t xml:space="preserve"> </w:t>
            </w:r>
            <w:r w:rsidRPr="002549C0">
              <w:rPr>
                <w:sz w:val="18"/>
                <w:szCs w:val="18"/>
              </w:rPr>
              <w:t>power plant with a once-through cooling system where previously it was a problem. It has not been found to be a problem at operating nuclear power plants with cooling towers or cooling ponds and is not expected to be a problem during the license renewal term.</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990"/>
        </w:trPr>
        <w:tc>
          <w:tcPr>
            <w:tcW w:w="828" w:type="dxa"/>
            <w:vMerge w:val="restart"/>
            <w:noWrap/>
            <w:hideMark/>
          </w:tcPr>
          <w:p w:rsidR="009C6C4E" w:rsidRPr="002549C0" w:rsidRDefault="009C6C4E" w:rsidP="00DA18C0">
            <w:pPr>
              <w:keepNext/>
              <w:keepLines/>
              <w:jc w:val="center"/>
              <w:rPr>
                <w:sz w:val="18"/>
                <w:szCs w:val="18"/>
              </w:rPr>
            </w:pPr>
            <w:r w:rsidRPr="002549C0">
              <w:rPr>
                <w:sz w:val="18"/>
                <w:szCs w:val="18"/>
              </w:rPr>
              <w:lastRenderedPageBreak/>
              <w:t>42</w:t>
            </w:r>
          </w:p>
        </w:tc>
        <w:tc>
          <w:tcPr>
            <w:tcW w:w="1800" w:type="dxa"/>
            <w:vMerge w:val="restart"/>
            <w:hideMark/>
          </w:tcPr>
          <w:p w:rsidR="009C6C4E" w:rsidRPr="002549C0" w:rsidRDefault="009C6C4E" w:rsidP="00DA18C0">
            <w:pPr>
              <w:keepNext/>
              <w:keepLines/>
              <w:rPr>
                <w:sz w:val="18"/>
                <w:szCs w:val="18"/>
              </w:rPr>
            </w:pPr>
            <w:r w:rsidRPr="002549C0">
              <w:rPr>
                <w:sz w:val="18"/>
                <w:szCs w:val="18"/>
              </w:rPr>
              <w:t>Effects of cooling water discharge on dissolved oxygen, gas supersaturation, and eutrophication</w:t>
            </w:r>
          </w:p>
        </w:tc>
        <w:tc>
          <w:tcPr>
            <w:tcW w:w="3690" w:type="dxa"/>
            <w:vMerge w:val="restart"/>
            <w:hideMark/>
          </w:tcPr>
          <w:p w:rsidR="009C6C4E" w:rsidRPr="002549C0" w:rsidRDefault="009C6C4E" w:rsidP="00DA18C0">
            <w:pPr>
              <w:keepNext/>
              <w:keepLines/>
              <w:rPr>
                <w:sz w:val="18"/>
                <w:szCs w:val="18"/>
              </w:rPr>
            </w:pPr>
            <w:r w:rsidRPr="002549C0">
              <w:rPr>
                <w:sz w:val="18"/>
                <w:szCs w:val="18"/>
              </w:rPr>
              <w:t>SMALL (Category 1). Gas supersaturation was a concern at a small number of operating nuclear power plants with once-through cooling systems but has been mitigated.  Low dissolved oxygen was a concern at one nuclear power plant with a once-through cooling system but has been mitigated.  Eutrophication (nutrient loading) and resulting effects on chemical and biological oxygen demands have not been found to be a problem at operating nuclear power plants.</w:t>
            </w:r>
          </w:p>
        </w:tc>
        <w:tc>
          <w:tcPr>
            <w:tcW w:w="1800" w:type="dxa"/>
            <w:hideMark/>
          </w:tcPr>
          <w:p w:rsidR="009C6C4E" w:rsidRPr="002549C0" w:rsidRDefault="009C6C4E" w:rsidP="00DA18C0">
            <w:pPr>
              <w:keepNext/>
              <w:keepLines/>
              <w:rPr>
                <w:sz w:val="18"/>
                <w:szCs w:val="18"/>
              </w:rPr>
            </w:pPr>
            <w:r w:rsidRPr="002549C0">
              <w:rPr>
                <w:sz w:val="18"/>
                <w:szCs w:val="18"/>
              </w:rPr>
              <w:t>Eutrophication</w:t>
            </w:r>
          </w:p>
        </w:tc>
        <w:tc>
          <w:tcPr>
            <w:tcW w:w="3510" w:type="dxa"/>
            <w:hideMark/>
          </w:tcPr>
          <w:p w:rsidR="009C6C4E" w:rsidRPr="002549C0" w:rsidRDefault="009C6C4E" w:rsidP="00DA18C0">
            <w:pPr>
              <w:keepNext/>
              <w:keepLines/>
              <w:rPr>
                <w:sz w:val="18"/>
                <w:szCs w:val="18"/>
              </w:rPr>
            </w:pPr>
            <w:r w:rsidRPr="002549C0">
              <w:rPr>
                <w:sz w:val="18"/>
                <w:szCs w:val="18"/>
              </w:rPr>
              <w:t>SMALL (Category 1). Eutrophication has not been found to be a problem at operating nuclear power plants and is not expected to be a problem during the license renewal term.</w:t>
            </w:r>
          </w:p>
        </w:tc>
        <w:tc>
          <w:tcPr>
            <w:tcW w:w="1548" w:type="dxa"/>
            <w:vMerge w:val="restart"/>
            <w:hideMark/>
          </w:tcPr>
          <w:p w:rsidR="009C6C4E" w:rsidRDefault="009C6C4E" w:rsidP="00DA18C0">
            <w:pPr>
              <w:keepNext/>
              <w:keepLines/>
              <w:jc w:val="center"/>
              <w:rPr>
                <w:sz w:val="18"/>
                <w:szCs w:val="18"/>
              </w:rPr>
            </w:pPr>
            <w:r>
              <w:rPr>
                <w:sz w:val="18"/>
                <w:szCs w:val="18"/>
              </w:rPr>
              <w:t>Issue consolidation</w:t>
            </w:r>
          </w:p>
          <w:p w:rsidR="009C6C4E" w:rsidRPr="002549C0" w:rsidRDefault="009C6C4E" w:rsidP="00DA18C0">
            <w:pPr>
              <w:keepNext/>
              <w:keepLines/>
              <w:jc w:val="center"/>
              <w:rPr>
                <w:sz w:val="18"/>
                <w:szCs w:val="18"/>
              </w:rPr>
            </w:pPr>
            <w:r>
              <w:rPr>
                <w:sz w:val="18"/>
                <w:szCs w:val="18"/>
              </w:rPr>
              <w:t>(Issue 1)</w:t>
            </w:r>
          </w:p>
        </w:tc>
      </w:tr>
      <w:tr w:rsidR="009C6C4E" w:rsidRPr="00D009E1" w:rsidTr="00DA18C0">
        <w:trPr>
          <w:cantSplit/>
          <w:trHeight w:val="177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Gas supersaturation (gas bubble disease)</w:t>
            </w:r>
          </w:p>
        </w:tc>
        <w:tc>
          <w:tcPr>
            <w:tcW w:w="3510" w:type="dxa"/>
            <w:hideMark/>
          </w:tcPr>
          <w:p w:rsidR="009C6C4E" w:rsidRPr="002549C0" w:rsidRDefault="009C6C4E" w:rsidP="00DA18C0">
            <w:pPr>
              <w:keepNext/>
              <w:keepLines/>
              <w:rPr>
                <w:sz w:val="18"/>
                <w:szCs w:val="18"/>
              </w:rPr>
            </w:pPr>
            <w:r w:rsidRPr="002549C0">
              <w:rPr>
                <w:sz w:val="18"/>
                <w:szCs w:val="18"/>
              </w:rPr>
              <w:t>SMALL (Category 1). Gas</w:t>
            </w:r>
            <w:r>
              <w:rPr>
                <w:sz w:val="18"/>
                <w:szCs w:val="18"/>
              </w:rPr>
              <w:t xml:space="preserve"> </w:t>
            </w:r>
            <w:r w:rsidRPr="002549C0">
              <w:rPr>
                <w:sz w:val="18"/>
                <w:szCs w:val="18"/>
              </w:rPr>
              <w:t>supersaturation was a concern at a small number of operating nuclear power plants with once-through cooling systems but has been satisfactorily mitigated. It has not been found to be a problem at operating nuclear power plants with cooling towers or cooling ponds and is not expected to be a problem during the license renewal term.</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174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Low dissolved oxygen in the discharge</w:t>
            </w:r>
          </w:p>
        </w:tc>
        <w:tc>
          <w:tcPr>
            <w:tcW w:w="3510" w:type="dxa"/>
            <w:hideMark/>
          </w:tcPr>
          <w:p w:rsidR="009C6C4E" w:rsidRPr="002549C0" w:rsidRDefault="009C6C4E" w:rsidP="00DA18C0">
            <w:pPr>
              <w:keepNext/>
              <w:keepLines/>
              <w:rPr>
                <w:sz w:val="18"/>
                <w:szCs w:val="18"/>
              </w:rPr>
            </w:pPr>
            <w:r w:rsidRPr="002549C0">
              <w:rPr>
                <w:sz w:val="18"/>
                <w:szCs w:val="18"/>
              </w:rPr>
              <w:t>SMALL (Category 1). Low dissolved oxygen has been a concern at one nuclear power plant with a once</w:t>
            </w:r>
            <w:r>
              <w:rPr>
                <w:sz w:val="18"/>
                <w:szCs w:val="18"/>
              </w:rPr>
              <w:t>-</w:t>
            </w:r>
            <w:r w:rsidRPr="002549C0">
              <w:rPr>
                <w:sz w:val="18"/>
                <w:szCs w:val="18"/>
              </w:rPr>
              <w:t>through</w:t>
            </w:r>
            <w:r w:rsidRPr="002549C0">
              <w:rPr>
                <w:sz w:val="18"/>
                <w:szCs w:val="18"/>
              </w:rPr>
              <w:br/>
              <w:t>cooling system but has been effectively mitigated.</w:t>
            </w:r>
            <w:r>
              <w:rPr>
                <w:sz w:val="18"/>
                <w:szCs w:val="18"/>
              </w:rPr>
              <w:t xml:space="preserve"> </w:t>
            </w:r>
            <w:r w:rsidRPr="002549C0">
              <w:rPr>
                <w:sz w:val="18"/>
                <w:szCs w:val="18"/>
              </w:rPr>
              <w:t xml:space="preserve"> It has not been found to be a problem at operating nuclear power plants with cooling towers or cooling ponds and is not expected to be a problem during the license renewal term.</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720"/>
        </w:trPr>
        <w:tc>
          <w:tcPr>
            <w:tcW w:w="828" w:type="dxa"/>
            <w:noWrap/>
            <w:hideMark/>
          </w:tcPr>
          <w:p w:rsidR="009C6C4E" w:rsidRPr="002549C0" w:rsidRDefault="009C6C4E" w:rsidP="00DA18C0">
            <w:pPr>
              <w:jc w:val="center"/>
              <w:rPr>
                <w:sz w:val="18"/>
                <w:szCs w:val="18"/>
              </w:rPr>
            </w:pPr>
            <w:r w:rsidRPr="002549C0">
              <w:rPr>
                <w:sz w:val="18"/>
                <w:szCs w:val="18"/>
              </w:rPr>
              <w:t>44</w:t>
            </w:r>
          </w:p>
        </w:tc>
        <w:tc>
          <w:tcPr>
            <w:tcW w:w="1800" w:type="dxa"/>
            <w:hideMark/>
          </w:tcPr>
          <w:p w:rsidR="009C6C4E" w:rsidRPr="002549C0" w:rsidRDefault="009C6C4E" w:rsidP="00DA18C0">
            <w:pPr>
              <w:rPr>
                <w:sz w:val="18"/>
                <w:szCs w:val="18"/>
              </w:rPr>
            </w:pPr>
            <w:r w:rsidRPr="002549C0">
              <w:rPr>
                <w:sz w:val="18"/>
                <w:szCs w:val="18"/>
              </w:rPr>
              <w:t>Exposure of aquatic organisms to radionuclides</w:t>
            </w:r>
          </w:p>
        </w:tc>
        <w:tc>
          <w:tcPr>
            <w:tcW w:w="3690" w:type="dxa"/>
            <w:hideMark/>
          </w:tcPr>
          <w:p w:rsidR="009C6C4E" w:rsidRPr="002549C0" w:rsidRDefault="009C6C4E" w:rsidP="00DA18C0">
            <w:pPr>
              <w:rPr>
                <w:sz w:val="18"/>
                <w:szCs w:val="18"/>
              </w:rPr>
            </w:pPr>
            <w:r w:rsidRPr="002549C0">
              <w:rPr>
                <w:sz w:val="18"/>
                <w:szCs w:val="18"/>
              </w:rPr>
              <w:t>SMALL (Category 1).  Doses to aquatic organisms are expected to be well below exposure guidelines developed to protect these organisms.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1440"/>
        </w:trPr>
        <w:tc>
          <w:tcPr>
            <w:tcW w:w="828" w:type="dxa"/>
            <w:noWrap/>
            <w:hideMark/>
          </w:tcPr>
          <w:p w:rsidR="009C6C4E" w:rsidRPr="002549C0" w:rsidRDefault="009C6C4E" w:rsidP="00DA18C0">
            <w:pPr>
              <w:jc w:val="center"/>
              <w:rPr>
                <w:sz w:val="18"/>
                <w:szCs w:val="18"/>
              </w:rPr>
            </w:pPr>
            <w:r w:rsidRPr="002549C0">
              <w:rPr>
                <w:sz w:val="18"/>
                <w:szCs w:val="18"/>
              </w:rPr>
              <w:t>45</w:t>
            </w:r>
          </w:p>
        </w:tc>
        <w:tc>
          <w:tcPr>
            <w:tcW w:w="1800" w:type="dxa"/>
            <w:hideMark/>
          </w:tcPr>
          <w:p w:rsidR="009C6C4E" w:rsidRPr="002549C0" w:rsidRDefault="009C6C4E" w:rsidP="00DA18C0">
            <w:pPr>
              <w:rPr>
                <w:sz w:val="18"/>
                <w:szCs w:val="18"/>
              </w:rPr>
            </w:pPr>
            <w:r w:rsidRPr="002549C0">
              <w:rPr>
                <w:sz w:val="18"/>
                <w:szCs w:val="18"/>
              </w:rPr>
              <w:t>Effects of dredging on aquatic organisms</w:t>
            </w:r>
          </w:p>
        </w:tc>
        <w:tc>
          <w:tcPr>
            <w:tcW w:w="3690" w:type="dxa"/>
            <w:hideMark/>
          </w:tcPr>
          <w:p w:rsidR="009C6C4E" w:rsidRPr="002549C0" w:rsidRDefault="009C6C4E" w:rsidP="00DA18C0">
            <w:pPr>
              <w:rPr>
                <w:sz w:val="18"/>
                <w:szCs w:val="18"/>
              </w:rPr>
            </w:pPr>
            <w:r w:rsidRPr="002549C0">
              <w:rPr>
                <w:sz w:val="18"/>
                <w:szCs w:val="18"/>
              </w:rPr>
              <w:t>SMALL (Category 1).  Dredging at nuclear power plants is expected to occur infrequently, would be of relatively short duration, and would affect relatively small areas.  Dredging is performed under permit from the U.S. Army Corps of Engineers, and possibly, from other State or local agencies.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1680"/>
        </w:trPr>
        <w:tc>
          <w:tcPr>
            <w:tcW w:w="828" w:type="dxa"/>
            <w:noWrap/>
            <w:hideMark/>
          </w:tcPr>
          <w:p w:rsidR="009C6C4E" w:rsidRPr="002549C0" w:rsidRDefault="009C6C4E" w:rsidP="00DA18C0">
            <w:pPr>
              <w:jc w:val="center"/>
              <w:rPr>
                <w:sz w:val="18"/>
                <w:szCs w:val="18"/>
              </w:rPr>
            </w:pPr>
            <w:r w:rsidRPr="002549C0">
              <w:rPr>
                <w:sz w:val="18"/>
                <w:szCs w:val="18"/>
              </w:rPr>
              <w:lastRenderedPageBreak/>
              <w:t>46</w:t>
            </w:r>
          </w:p>
        </w:tc>
        <w:tc>
          <w:tcPr>
            <w:tcW w:w="1800" w:type="dxa"/>
            <w:hideMark/>
          </w:tcPr>
          <w:p w:rsidR="009C6C4E" w:rsidRPr="002549C0" w:rsidRDefault="009C6C4E" w:rsidP="00DA18C0">
            <w:pPr>
              <w:rPr>
                <w:sz w:val="18"/>
                <w:szCs w:val="18"/>
              </w:rPr>
            </w:pPr>
            <w:r w:rsidRPr="002549C0">
              <w:rPr>
                <w:sz w:val="18"/>
                <w:szCs w:val="18"/>
              </w:rPr>
              <w:t>Water use conflicts with aquatic resources (plants with cooling ponds or cooling towers using makeup water from a river)</w:t>
            </w:r>
            <w:r>
              <w:rPr>
                <w:rStyle w:val="FootnoteReference"/>
                <w:sz w:val="18"/>
                <w:szCs w:val="18"/>
              </w:rPr>
              <w:footnoteReference w:id="7"/>
            </w:r>
          </w:p>
        </w:tc>
        <w:tc>
          <w:tcPr>
            <w:tcW w:w="3690" w:type="dxa"/>
            <w:hideMark/>
          </w:tcPr>
          <w:p w:rsidR="009C6C4E" w:rsidRPr="002549C0" w:rsidRDefault="009C6C4E" w:rsidP="00DA18C0">
            <w:pPr>
              <w:rPr>
                <w:sz w:val="18"/>
                <w:szCs w:val="18"/>
              </w:rPr>
            </w:pPr>
            <w:r w:rsidRPr="002549C0">
              <w:rPr>
                <w:sz w:val="18"/>
                <w:szCs w:val="18"/>
              </w:rPr>
              <w:t>SMALL or MODERATE (Category 2). Impacts on aquatic resources in stream communities affected by water use conflicts could be of moderate significance in some situations.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2 </w:t>
            </w:r>
            <w:r>
              <w:rPr>
                <w:sz w:val="18"/>
                <w:szCs w:val="18"/>
              </w:rPr>
              <w:t>issue</w:t>
            </w:r>
          </w:p>
        </w:tc>
      </w:tr>
      <w:tr w:rsidR="009C6C4E" w:rsidRPr="00D009E1" w:rsidTr="00DA18C0">
        <w:trPr>
          <w:cantSplit/>
          <w:trHeight w:val="1200"/>
        </w:trPr>
        <w:tc>
          <w:tcPr>
            <w:tcW w:w="828" w:type="dxa"/>
            <w:noWrap/>
            <w:hideMark/>
          </w:tcPr>
          <w:p w:rsidR="009C6C4E" w:rsidRPr="002549C0" w:rsidRDefault="009C6C4E" w:rsidP="00DA18C0">
            <w:pPr>
              <w:jc w:val="center"/>
              <w:rPr>
                <w:sz w:val="18"/>
                <w:szCs w:val="18"/>
              </w:rPr>
            </w:pPr>
            <w:r w:rsidRPr="002549C0">
              <w:rPr>
                <w:sz w:val="18"/>
                <w:szCs w:val="18"/>
              </w:rPr>
              <w:t>48</w:t>
            </w:r>
          </w:p>
        </w:tc>
        <w:tc>
          <w:tcPr>
            <w:tcW w:w="1800" w:type="dxa"/>
            <w:hideMark/>
          </w:tcPr>
          <w:p w:rsidR="009C6C4E" w:rsidRPr="002549C0" w:rsidRDefault="009C6C4E" w:rsidP="00DA18C0">
            <w:pPr>
              <w:rPr>
                <w:sz w:val="18"/>
                <w:szCs w:val="18"/>
              </w:rPr>
            </w:pPr>
            <w:r w:rsidRPr="002549C0">
              <w:rPr>
                <w:sz w:val="18"/>
                <w:szCs w:val="18"/>
              </w:rPr>
              <w:t>Impacts of transmission line right-of-way (ROW) management on aquatic resources</w:t>
            </w:r>
          </w:p>
        </w:tc>
        <w:tc>
          <w:tcPr>
            <w:tcW w:w="3690" w:type="dxa"/>
            <w:hideMark/>
          </w:tcPr>
          <w:p w:rsidR="009C6C4E" w:rsidRPr="002549C0" w:rsidRDefault="009C6C4E" w:rsidP="00DA18C0">
            <w:pPr>
              <w:rPr>
                <w:sz w:val="18"/>
                <w:szCs w:val="18"/>
              </w:rPr>
            </w:pPr>
            <w:r w:rsidRPr="002549C0">
              <w:rPr>
                <w:sz w:val="18"/>
                <w:szCs w:val="18"/>
              </w:rPr>
              <w:t>SMALL (Category 1).  Licensee application of best management practices to ROW maintenance is expected to result in no more than small impacts to aquatic resources.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keepNext/>
              <w:keepLines/>
              <w:rPr>
                <w:b/>
                <w:bCs/>
                <w:sz w:val="18"/>
                <w:szCs w:val="18"/>
              </w:rPr>
            </w:pPr>
            <w:r w:rsidRPr="002549C0">
              <w:rPr>
                <w:b/>
                <w:bCs/>
                <w:sz w:val="18"/>
                <w:szCs w:val="18"/>
              </w:rPr>
              <w:lastRenderedPageBreak/>
              <w:t>Special Status Species and Habitats</w:t>
            </w:r>
          </w:p>
        </w:tc>
      </w:tr>
      <w:tr w:rsidR="009C6C4E" w:rsidRPr="00D009E1" w:rsidTr="00DA18C0">
        <w:trPr>
          <w:cantSplit/>
          <w:trHeight w:val="2640"/>
        </w:trPr>
        <w:tc>
          <w:tcPr>
            <w:tcW w:w="828" w:type="dxa"/>
            <w:noWrap/>
            <w:hideMark/>
          </w:tcPr>
          <w:p w:rsidR="009C6C4E" w:rsidRPr="002549C0" w:rsidRDefault="009C6C4E" w:rsidP="00DA18C0">
            <w:pPr>
              <w:keepNext/>
              <w:keepLines/>
              <w:jc w:val="center"/>
              <w:rPr>
                <w:sz w:val="18"/>
                <w:szCs w:val="18"/>
              </w:rPr>
            </w:pPr>
            <w:r w:rsidRPr="002549C0">
              <w:rPr>
                <w:sz w:val="18"/>
                <w:szCs w:val="18"/>
              </w:rPr>
              <w:t>50</w:t>
            </w:r>
          </w:p>
        </w:tc>
        <w:tc>
          <w:tcPr>
            <w:tcW w:w="1800" w:type="dxa"/>
            <w:hideMark/>
          </w:tcPr>
          <w:p w:rsidR="009C6C4E" w:rsidRPr="002549C0" w:rsidRDefault="009C6C4E" w:rsidP="00DA18C0">
            <w:pPr>
              <w:keepNext/>
              <w:keepLines/>
              <w:rPr>
                <w:sz w:val="18"/>
                <w:szCs w:val="18"/>
              </w:rPr>
            </w:pPr>
            <w:r w:rsidRPr="002549C0">
              <w:rPr>
                <w:sz w:val="18"/>
                <w:szCs w:val="18"/>
              </w:rPr>
              <w:t>Threatened, endangered, and protected species and essential fish habitat</w:t>
            </w:r>
            <w:r>
              <w:rPr>
                <w:rStyle w:val="FootnoteReference"/>
                <w:sz w:val="18"/>
                <w:szCs w:val="18"/>
              </w:rPr>
              <w:footnoteReference w:id="8"/>
            </w:r>
          </w:p>
        </w:tc>
        <w:tc>
          <w:tcPr>
            <w:tcW w:w="3690" w:type="dxa"/>
            <w:hideMark/>
          </w:tcPr>
          <w:p w:rsidR="009C6C4E" w:rsidRDefault="009C6C4E" w:rsidP="00DA18C0">
            <w:pPr>
              <w:keepNext/>
              <w:keepLines/>
              <w:rPr>
                <w:sz w:val="18"/>
                <w:szCs w:val="18"/>
              </w:rPr>
            </w:pPr>
            <w:r w:rsidRPr="002549C0">
              <w:rPr>
                <w:sz w:val="18"/>
                <w:szCs w:val="18"/>
              </w:rPr>
              <w:t>(Category 2). The magnitude of impacts on threatened, endangered, and protected species, critical habitat, and essential fish habitat would depend on the occurrence of listed species and habitats and the effects of power plant systems on them.  Consultation with appropriate agencies would be needed to determine whether special status species or habitats are present and whether they would be adversely affected by continued operations and refurbishment associated with license renewal.</w:t>
            </w:r>
          </w:p>
          <w:p w:rsidR="009C6C4E" w:rsidRDefault="009C6C4E" w:rsidP="00DA18C0">
            <w:pPr>
              <w:keepNext/>
              <w:keepLines/>
              <w:rPr>
                <w:sz w:val="18"/>
                <w:szCs w:val="18"/>
              </w:rPr>
            </w:pPr>
          </w:p>
          <w:p w:rsidR="009C6C4E" w:rsidRPr="002549C0" w:rsidRDefault="009C6C4E" w:rsidP="00DA18C0">
            <w:pPr>
              <w:keepNext/>
              <w:keepLines/>
              <w:rPr>
                <w:sz w:val="18"/>
                <w:szCs w:val="18"/>
              </w:rPr>
            </w:pPr>
            <w:r w:rsidRPr="002549C0">
              <w:rPr>
                <w:sz w:val="18"/>
                <w:szCs w:val="18"/>
              </w:rPr>
              <w:t>Footnote: This issue applies only to the in-scope portion of electric power transmission lines which are defined as transmission lines that connect the nuclear power plant to the substation where electricity is fed into the regional power distribution system and transmission lines that supply power to the nuclear plant from the grid.</w:t>
            </w:r>
          </w:p>
        </w:tc>
        <w:tc>
          <w:tcPr>
            <w:tcW w:w="1800" w:type="dxa"/>
            <w:hideMark/>
          </w:tcPr>
          <w:p w:rsidR="009C6C4E" w:rsidRPr="002549C0" w:rsidRDefault="009C6C4E" w:rsidP="00DA18C0">
            <w:pPr>
              <w:keepNext/>
              <w:keepLines/>
              <w:rPr>
                <w:sz w:val="18"/>
                <w:szCs w:val="18"/>
              </w:rPr>
            </w:pPr>
            <w:r w:rsidRPr="002549C0">
              <w:rPr>
                <w:sz w:val="18"/>
                <w:szCs w:val="18"/>
              </w:rPr>
              <w:t>Threatened or endangered species</w:t>
            </w:r>
          </w:p>
        </w:tc>
        <w:tc>
          <w:tcPr>
            <w:tcW w:w="3510" w:type="dxa"/>
            <w:hideMark/>
          </w:tcPr>
          <w:p w:rsidR="009C6C4E" w:rsidRPr="002549C0" w:rsidRDefault="009C6C4E" w:rsidP="00DA18C0">
            <w:pPr>
              <w:keepNext/>
              <w:keepLines/>
              <w:rPr>
                <w:sz w:val="18"/>
                <w:szCs w:val="18"/>
              </w:rPr>
            </w:pPr>
            <w:r w:rsidRPr="002549C0">
              <w:rPr>
                <w:sz w:val="18"/>
                <w:szCs w:val="18"/>
              </w:rPr>
              <w:t>SMALL, MODERATE, or LARGE (Category 2). Generally, plant refurbishment and continued operations are not expected to adversely affect threatened or endangered species.  However, consultation with appropriate agencies would be needed at the time of license renewal to determine whether threatened or endangered species are present and whether they would be adversely affected.  See § 51.53(c</w:t>
            </w:r>
            <w:proofErr w:type="gramStart"/>
            <w:r w:rsidRPr="002549C0">
              <w:rPr>
                <w:sz w:val="18"/>
                <w:szCs w:val="18"/>
              </w:rPr>
              <w:t>)(</w:t>
            </w:r>
            <w:proofErr w:type="gramEnd"/>
            <w:r w:rsidRPr="002549C0">
              <w:rPr>
                <w:sz w:val="18"/>
                <w:szCs w:val="18"/>
              </w:rPr>
              <w:t>3)(ii)(E).</w:t>
            </w:r>
          </w:p>
        </w:tc>
        <w:tc>
          <w:tcPr>
            <w:tcW w:w="1548" w:type="dxa"/>
            <w:hideMark/>
          </w:tcPr>
          <w:p w:rsidR="009C6C4E" w:rsidRPr="002549C0" w:rsidRDefault="009C6C4E" w:rsidP="00DA18C0">
            <w:pPr>
              <w:jc w:val="center"/>
              <w:rPr>
                <w:sz w:val="18"/>
                <w:szCs w:val="18"/>
              </w:rPr>
            </w:pPr>
            <w:r w:rsidRPr="002549C0">
              <w:rPr>
                <w:sz w:val="18"/>
                <w:szCs w:val="18"/>
              </w:rPr>
              <w:t>Issue exp</w:t>
            </w:r>
            <w:r>
              <w:rPr>
                <w:sz w:val="18"/>
                <w:szCs w:val="18"/>
              </w:rPr>
              <w:t xml:space="preserve">anded to include essential fish </w:t>
            </w:r>
            <w:r w:rsidRPr="002549C0">
              <w:rPr>
                <w:sz w:val="18"/>
                <w:szCs w:val="18"/>
              </w:rPr>
              <w:t xml:space="preserve">habitats protected under the Magnuson-Stevens Fishery Conservation </w:t>
            </w:r>
            <w:r>
              <w:rPr>
                <w:sz w:val="18"/>
                <w:szCs w:val="18"/>
              </w:rPr>
              <w:t xml:space="preserve">&amp; </w:t>
            </w:r>
            <w:r w:rsidRPr="002549C0">
              <w:rPr>
                <w:sz w:val="18"/>
                <w:szCs w:val="18"/>
              </w:rPr>
              <w:t>Management Act (MSA)</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pageBreakBefore/>
              <w:rPr>
                <w:b/>
                <w:bCs/>
                <w:sz w:val="18"/>
                <w:szCs w:val="18"/>
              </w:rPr>
            </w:pPr>
            <w:r w:rsidRPr="002549C0">
              <w:rPr>
                <w:b/>
                <w:bCs/>
                <w:sz w:val="18"/>
                <w:szCs w:val="18"/>
              </w:rPr>
              <w:lastRenderedPageBreak/>
              <w:t>Socioeconomics</w:t>
            </w:r>
          </w:p>
        </w:tc>
      </w:tr>
      <w:tr w:rsidR="009C6C4E" w:rsidRPr="00D009E1" w:rsidTr="00DA18C0">
        <w:trPr>
          <w:cantSplit/>
          <w:trHeight w:val="2400"/>
        </w:trPr>
        <w:tc>
          <w:tcPr>
            <w:tcW w:w="828" w:type="dxa"/>
            <w:noWrap/>
            <w:hideMark/>
          </w:tcPr>
          <w:p w:rsidR="009C6C4E" w:rsidRPr="002549C0" w:rsidRDefault="009C6C4E" w:rsidP="00DA18C0">
            <w:pPr>
              <w:jc w:val="center"/>
              <w:rPr>
                <w:sz w:val="18"/>
                <w:szCs w:val="18"/>
              </w:rPr>
            </w:pPr>
            <w:r w:rsidRPr="002549C0">
              <w:rPr>
                <w:sz w:val="18"/>
                <w:szCs w:val="18"/>
              </w:rPr>
              <w:t>52</w:t>
            </w:r>
          </w:p>
        </w:tc>
        <w:tc>
          <w:tcPr>
            <w:tcW w:w="1800" w:type="dxa"/>
            <w:hideMark/>
          </w:tcPr>
          <w:p w:rsidR="009C6C4E" w:rsidRPr="002549C0" w:rsidRDefault="009C6C4E" w:rsidP="00DA18C0">
            <w:pPr>
              <w:rPr>
                <w:sz w:val="18"/>
                <w:szCs w:val="18"/>
              </w:rPr>
            </w:pPr>
            <w:r w:rsidRPr="002549C0">
              <w:rPr>
                <w:sz w:val="18"/>
                <w:szCs w:val="18"/>
              </w:rPr>
              <w:t>Employment and income, recreation and tourism</w:t>
            </w:r>
          </w:p>
        </w:tc>
        <w:tc>
          <w:tcPr>
            <w:tcW w:w="3690" w:type="dxa"/>
            <w:hideMark/>
          </w:tcPr>
          <w:p w:rsidR="009C6C4E" w:rsidRPr="002549C0" w:rsidRDefault="009C6C4E" w:rsidP="00DA18C0">
            <w:pPr>
              <w:rPr>
                <w:sz w:val="18"/>
                <w:szCs w:val="18"/>
              </w:rPr>
            </w:pPr>
            <w:r w:rsidRPr="002549C0">
              <w:rPr>
                <w:sz w:val="18"/>
                <w:szCs w:val="18"/>
              </w:rPr>
              <w:t xml:space="preserve">SMALL (Category 1). </w:t>
            </w:r>
            <w:r>
              <w:rPr>
                <w:sz w:val="18"/>
                <w:szCs w:val="18"/>
              </w:rPr>
              <w:t>Impacts</w:t>
            </w:r>
            <w:r w:rsidRPr="002549C0">
              <w:rPr>
                <w:sz w:val="18"/>
                <w:szCs w:val="18"/>
              </w:rPr>
              <w:t xml:space="preserve"> from continued operations and refurbishment associated with license ren</w:t>
            </w:r>
            <w:r>
              <w:rPr>
                <w:sz w:val="18"/>
                <w:szCs w:val="18"/>
              </w:rPr>
              <w:t>ewal are expected to be small</w:t>
            </w:r>
            <w:r w:rsidRPr="002549C0">
              <w:rPr>
                <w:sz w:val="18"/>
                <w:szCs w:val="18"/>
              </w:rPr>
              <w:t>.</w:t>
            </w:r>
          </w:p>
        </w:tc>
        <w:tc>
          <w:tcPr>
            <w:tcW w:w="1800" w:type="dxa"/>
            <w:hideMark/>
          </w:tcPr>
          <w:p w:rsidR="009C6C4E" w:rsidRPr="002549C0" w:rsidRDefault="009C6C4E" w:rsidP="00DA18C0">
            <w:pPr>
              <w:rPr>
                <w:sz w:val="18"/>
                <w:szCs w:val="18"/>
              </w:rPr>
            </w:pPr>
            <w:r w:rsidRPr="002549C0">
              <w:rPr>
                <w:sz w:val="18"/>
                <w:szCs w:val="18"/>
              </w:rPr>
              <w:t>Public services:  public safety, social services, and tourism and recreation</w:t>
            </w:r>
          </w:p>
        </w:tc>
        <w:tc>
          <w:tcPr>
            <w:tcW w:w="3510" w:type="dxa"/>
            <w:hideMark/>
          </w:tcPr>
          <w:p w:rsidR="009C6C4E" w:rsidRPr="002549C0" w:rsidRDefault="009C6C4E" w:rsidP="00DA18C0">
            <w:pPr>
              <w:rPr>
                <w:sz w:val="18"/>
                <w:szCs w:val="18"/>
              </w:rPr>
            </w:pPr>
            <w:r w:rsidRPr="002549C0">
              <w:rPr>
                <w:sz w:val="18"/>
                <w:szCs w:val="18"/>
              </w:rPr>
              <w:t>Small (Category</w:t>
            </w:r>
            <w:r>
              <w:rPr>
                <w:sz w:val="18"/>
                <w:szCs w:val="18"/>
              </w:rPr>
              <w:t xml:space="preserve"> </w:t>
            </w:r>
            <w:r w:rsidRPr="002549C0">
              <w:rPr>
                <w:sz w:val="18"/>
                <w:szCs w:val="18"/>
              </w:rPr>
              <w:t xml:space="preserve">1). </w:t>
            </w:r>
            <w:r>
              <w:rPr>
                <w:sz w:val="18"/>
                <w:szCs w:val="18"/>
              </w:rPr>
              <w:t xml:space="preserve"> </w:t>
            </w:r>
            <w:r w:rsidRPr="002549C0">
              <w:rPr>
                <w:sz w:val="18"/>
                <w:szCs w:val="18"/>
              </w:rPr>
              <w:t>Impacts to public safety, social services, and tourism and recreation are expected to be of small significance at all sites.</w:t>
            </w:r>
          </w:p>
        </w:tc>
        <w:tc>
          <w:tcPr>
            <w:tcW w:w="1548" w:type="dxa"/>
            <w:hideMark/>
          </w:tcPr>
          <w:p w:rsidR="009C6C4E" w:rsidRDefault="009C6C4E" w:rsidP="00DA18C0">
            <w:pPr>
              <w:jc w:val="center"/>
              <w:rPr>
                <w:sz w:val="18"/>
                <w:szCs w:val="18"/>
              </w:rPr>
            </w:pPr>
            <w:r w:rsidRPr="002549C0">
              <w:rPr>
                <w:sz w:val="18"/>
                <w:szCs w:val="18"/>
              </w:rPr>
              <w:t>Issue expanded t</w:t>
            </w:r>
            <w:r>
              <w:rPr>
                <w:sz w:val="18"/>
                <w:szCs w:val="18"/>
              </w:rPr>
              <w:t>o address employment and income</w:t>
            </w:r>
            <w:r w:rsidRPr="002549C0">
              <w:rPr>
                <w:sz w:val="18"/>
                <w:szCs w:val="18"/>
              </w:rPr>
              <w:t xml:space="preserve"> </w:t>
            </w:r>
          </w:p>
          <w:p w:rsidR="009C6C4E" w:rsidRDefault="009C6C4E" w:rsidP="00DA18C0">
            <w:pPr>
              <w:jc w:val="center"/>
              <w:rPr>
                <w:sz w:val="18"/>
                <w:szCs w:val="18"/>
              </w:rPr>
            </w:pPr>
          </w:p>
          <w:p w:rsidR="009C6C4E" w:rsidRDefault="009C6C4E" w:rsidP="00DA18C0">
            <w:pPr>
              <w:jc w:val="center"/>
              <w:rPr>
                <w:sz w:val="18"/>
                <w:szCs w:val="18"/>
              </w:rPr>
            </w:pPr>
            <w:r w:rsidRPr="002549C0">
              <w:rPr>
                <w:sz w:val="18"/>
                <w:szCs w:val="18"/>
              </w:rPr>
              <w:t>The "Public safety, social services" portion of this issue was consolidated into the Category 1 issue, "C</w:t>
            </w:r>
            <w:r>
              <w:rPr>
                <w:sz w:val="18"/>
                <w:szCs w:val="18"/>
              </w:rPr>
              <w:t>ommunity services and education</w:t>
            </w:r>
            <w:r w:rsidRPr="002549C0">
              <w:rPr>
                <w:sz w:val="18"/>
                <w:szCs w:val="18"/>
              </w:rPr>
              <w:t>"</w:t>
            </w:r>
          </w:p>
          <w:p w:rsidR="009C6C4E" w:rsidRPr="002549C0" w:rsidRDefault="009C6C4E" w:rsidP="00DA18C0">
            <w:pPr>
              <w:rPr>
                <w:sz w:val="18"/>
                <w:szCs w:val="18"/>
              </w:rPr>
            </w:pPr>
          </w:p>
        </w:tc>
      </w:tr>
      <w:tr w:rsidR="009C6C4E" w:rsidRPr="00D009E1" w:rsidTr="00DA18C0">
        <w:trPr>
          <w:cantSplit/>
          <w:trHeight w:val="1920"/>
        </w:trPr>
        <w:tc>
          <w:tcPr>
            <w:tcW w:w="828" w:type="dxa"/>
            <w:noWrap/>
            <w:hideMark/>
          </w:tcPr>
          <w:p w:rsidR="009C6C4E" w:rsidRPr="002549C0" w:rsidRDefault="009C6C4E" w:rsidP="00DA18C0">
            <w:pPr>
              <w:jc w:val="center"/>
              <w:rPr>
                <w:sz w:val="18"/>
                <w:szCs w:val="18"/>
              </w:rPr>
            </w:pPr>
            <w:r w:rsidRPr="002549C0">
              <w:rPr>
                <w:sz w:val="18"/>
                <w:szCs w:val="18"/>
              </w:rPr>
              <w:t>53</w:t>
            </w:r>
          </w:p>
        </w:tc>
        <w:tc>
          <w:tcPr>
            <w:tcW w:w="1800" w:type="dxa"/>
            <w:hideMark/>
          </w:tcPr>
          <w:p w:rsidR="009C6C4E" w:rsidRPr="002549C0" w:rsidRDefault="009C6C4E" w:rsidP="00DA18C0">
            <w:pPr>
              <w:rPr>
                <w:sz w:val="18"/>
                <w:szCs w:val="18"/>
              </w:rPr>
            </w:pPr>
            <w:r w:rsidRPr="002549C0">
              <w:rPr>
                <w:sz w:val="18"/>
                <w:szCs w:val="18"/>
              </w:rPr>
              <w:t>Tax revenues</w:t>
            </w:r>
          </w:p>
        </w:tc>
        <w:tc>
          <w:tcPr>
            <w:tcW w:w="3690" w:type="dxa"/>
            <w:hideMark/>
          </w:tcPr>
          <w:p w:rsidR="009C6C4E" w:rsidRPr="002549C0" w:rsidRDefault="009C6C4E" w:rsidP="00DA18C0">
            <w:pPr>
              <w:rPr>
                <w:sz w:val="18"/>
                <w:szCs w:val="18"/>
              </w:rPr>
            </w:pPr>
            <w:r w:rsidRPr="002549C0">
              <w:rPr>
                <w:sz w:val="18"/>
                <w:szCs w:val="18"/>
              </w:rPr>
              <w:t>SMALL (Category 1). Nuclear plants provide tax revenue to local jurisdictions in the form of property tax payments, payments in lieu of tax (PILOT), or tax payments on energy production.  The amount of tax revenue paid during the license renewal term as a result of continued operations and refurbishment associated with license renewal is not expected to change.</w:t>
            </w:r>
          </w:p>
        </w:tc>
        <w:tc>
          <w:tcPr>
            <w:tcW w:w="1800" w:type="dxa"/>
            <w:hideMark/>
          </w:tcPr>
          <w:p w:rsidR="009C6C4E" w:rsidRPr="002549C0" w:rsidRDefault="009C6C4E" w:rsidP="00DA18C0">
            <w:pPr>
              <w:rPr>
                <w:sz w:val="18"/>
                <w:szCs w:val="18"/>
              </w:rPr>
            </w:pPr>
            <w:r w:rsidRPr="002549C0">
              <w:rPr>
                <w:sz w:val="18"/>
                <w:szCs w:val="18"/>
              </w:rPr>
              <w:t>Considered in the 1996 GEIS but not identified as an issue</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2100"/>
        </w:trPr>
        <w:tc>
          <w:tcPr>
            <w:tcW w:w="828" w:type="dxa"/>
            <w:vMerge w:val="restart"/>
            <w:noWrap/>
            <w:hideMark/>
          </w:tcPr>
          <w:p w:rsidR="009C6C4E" w:rsidRPr="002549C0" w:rsidRDefault="009C6C4E" w:rsidP="00DA18C0">
            <w:pPr>
              <w:keepNext/>
              <w:keepLines/>
              <w:jc w:val="center"/>
              <w:rPr>
                <w:sz w:val="18"/>
                <w:szCs w:val="18"/>
              </w:rPr>
            </w:pPr>
            <w:r w:rsidRPr="002549C0">
              <w:rPr>
                <w:sz w:val="18"/>
                <w:szCs w:val="18"/>
              </w:rPr>
              <w:lastRenderedPageBreak/>
              <w:t>54</w:t>
            </w:r>
          </w:p>
        </w:tc>
        <w:tc>
          <w:tcPr>
            <w:tcW w:w="1800" w:type="dxa"/>
            <w:vMerge w:val="restart"/>
            <w:hideMark/>
          </w:tcPr>
          <w:p w:rsidR="009C6C4E" w:rsidRPr="002549C0" w:rsidRDefault="009C6C4E" w:rsidP="00DA18C0">
            <w:pPr>
              <w:keepNext/>
              <w:keepLines/>
              <w:rPr>
                <w:sz w:val="18"/>
                <w:szCs w:val="18"/>
              </w:rPr>
            </w:pPr>
            <w:r w:rsidRPr="002549C0">
              <w:rPr>
                <w:sz w:val="18"/>
                <w:szCs w:val="18"/>
              </w:rPr>
              <w:t>Community services and education</w:t>
            </w:r>
          </w:p>
        </w:tc>
        <w:tc>
          <w:tcPr>
            <w:tcW w:w="3690" w:type="dxa"/>
            <w:vMerge w:val="restart"/>
            <w:hideMark/>
          </w:tcPr>
          <w:p w:rsidR="009C6C4E" w:rsidRPr="002549C0" w:rsidRDefault="009C6C4E" w:rsidP="00DA18C0">
            <w:pPr>
              <w:keepNext/>
              <w:keepLines/>
              <w:rPr>
                <w:sz w:val="18"/>
                <w:szCs w:val="18"/>
              </w:rPr>
            </w:pPr>
            <w:r w:rsidRPr="002549C0">
              <w:rPr>
                <w:sz w:val="18"/>
                <w:szCs w:val="18"/>
              </w:rPr>
              <w:t>SMALL (Category 1). Changes resulting from continued operations and refurbishment associated with license renewal to local community and educational services would be small.  With little or no change in employment at the licensee’s plant, value of the power plant, payments on energy production, and PILOT payments expected during the license renewal term, community and educational services would not be affected by continued power plant operations.</w:t>
            </w:r>
          </w:p>
        </w:tc>
        <w:tc>
          <w:tcPr>
            <w:tcW w:w="1800" w:type="dxa"/>
            <w:hideMark/>
          </w:tcPr>
          <w:p w:rsidR="009C6C4E" w:rsidRPr="002549C0" w:rsidRDefault="009C6C4E" w:rsidP="00DA18C0">
            <w:pPr>
              <w:keepNext/>
              <w:keepLines/>
              <w:rPr>
                <w:sz w:val="18"/>
                <w:szCs w:val="18"/>
              </w:rPr>
            </w:pPr>
            <w:r w:rsidRPr="002549C0">
              <w:rPr>
                <w:sz w:val="18"/>
                <w:szCs w:val="18"/>
              </w:rPr>
              <w:t>Public services: public safety, social services, and tourism and recreation</w:t>
            </w:r>
          </w:p>
        </w:tc>
        <w:tc>
          <w:tcPr>
            <w:tcW w:w="3510" w:type="dxa"/>
            <w:hideMark/>
          </w:tcPr>
          <w:p w:rsidR="009C6C4E" w:rsidRPr="002549C0" w:rsidRDefault="009C6C4E" w:rsidP="00DA18C0">
            <w:pPr>
              <w:keepNext/>
              <w:keepLines/>
              <w:rPr>
                <w:sz w:val="18"/>
                <w:szCs w:val="18"/>
              </w:rPr>
            </w:pPr>
            <w:r w:rsidRPr="002549C0">
              <w:rPr>
                <w:sz w:val="18"/>
                <w:szCs w:val="18"/>
              </w:rPr>
              <w:t>SMALL (Category 1).  Impacts to public safety, social services, and tourism and recreation are expected to be of small significance at all sites</w:t>
            </w:r>
          </w:p>
        </w:tc>
        <w:tc>
          <w:tcPr>
            <w:tcW w:w="1548" w:type="dxa"/>
            <w:hideMark/>
          </w:tcPr>
          <w:p w:rsidR="009C6C4E" w:rsidRPr="002549C0" w:rsidRDefault="009C6C4E" w:rsidP="00DA18C0">
            <w:pPr>
              <w:jc w:val="center"/>
              <w:rPr>
                <w:sz w:val="18"/>
                <w:szCs w:val="18"/>
              </w:rPr>
            </w:pPr>
            <w:r w:rsidRPr="002549C0">
              <w:rPr>
                <w:sz w:val="18"/>
                <w:szCs w:val="18"/>
              </w:rPr>
              <w:t>The “tourism and recreation” portion of this issue was consolidated into the Category 1 issue, “Employment and</w:t>
            </w:r>
            <w:r>
              <w:rPr>
                <w:sz w:val="18"/>
                <w:szCs w:val="18"/>
              </w:rPr>
              <w:t xml:space="preserve"> income, recreation and tourism</w:t>
            </w:r>
            <w:r w:rsidRPr="002549C0">
              <w:rPr>
                <w:sz w:val="18"/>
                <w:szCs w:val="18"/>
              </w:rPr>
              <w:t>”</w:t>
            </w:r>
          </w:p>
        </w:tc>
      </w:tr>
      <w:tr w:rsidR="009C6C4E" w:rsidRPr="00D009E1" w:rsidTr="00DA18C0">
        <w:trPr>
          <w:cantSplit/>
          <w:trHeight w:val="96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Public services: public utilities</w:t>
            </w:r>
          </w:p>
        </w:tc>
        <w:tc>
          <w:tcPr>
            <w:tcW w:w="3510" w:type="dxa"/>
            <w:hideMark/>
          </w:tcPr>
          <w:p w:rsidR="009C6C4E" w:rsidRPr="002549C0" w:rsidRDefault="009C6C4E" w:rsidP="00DA18C0">
            <w:pPr>
              <w:keepNext/>
              <w:keepLines/>
              <w:rPr>
                <w:sz w:val="18"/>
                <w:szCs w:val="18"/>
              </w:rPr>
            </w:pPr>
            <w:r w:rsidRPr="002549C0">
              <w:rPr>
                <w:sz w:val="18"/>
                <w:szCs w:val="18"/>
              </w:rPr>
              <w:t>SMALL or MODERATE (Category 2).  An increased problem with water shortages at some sites may lead to impacts of moderate significance on public water supply availability.</w:t>
            </w:r>
          </w:p>
        </w:tc>
        <w:tc>
          <w:tcPr>
            <w:tcW w:w="1548" w:type="dxa"/>
            <w:hideMark/>
          </w:tcPr>
          <w:p w:rsidR="009C6C4E" w:rsidRDefault="009C6C4E" w:rsidP="00DA18C0">
            <w:pPr>
              <w:jc w:val="center"/>
              <w:rPr>
                <w:sz w:val="18"/>
                <w:szCs w:val="18"/>
              </w:rPr>
            </w:pPr>
            <w:r w:rsidRPr="002549C0">
              <w:rPr>
                <w:sz w:val="18"/>
                <w:szCs w:val="18"/>
              </w:rPr>
              <w:t xml:space="preserve">Change </w:t>
            </w:r>
          </w:p>
          <w:p w:rsidR="009C6C4E" w:rsidRPr="002549C0" w:rsidRDefault="009C6C4E" w:rsidP="00DA18C0">
            <w:pPr>
              <w:jc w:val="center"/>
              <w:rPr>
                <w:sz w:val="18"/>
                <w:szCs w:val="18"/>
              </w:rPr>
            </w:pPr>
            <w:r>
              <w:rPr>
                <w:sz w:val="18"/>
                <w:szCs w:val="18"/>
              </w:rPr>
              <w:t>issue</w:t>
            </w:r>
            <w:r w:rsidRPr="002549C0">
              <w:rPr>
                <w:sz w:val="18"/>
                <w:szCs w:val="18"/>
              </w:rPr>
              <w:t xml:space="preserve"> from</w:t>
            </w:r>
            <w:r w:rsidRPr="002549C0">
              <w:rPr>
                <w:sz w:val="18"/>
                <w:szCs w:val="18"/>
              </w:rPr>
              <w:br/>
              <w:t>Category 2 to</w:t>
            </w:r>
            <w:r w:rsidRPr="002549C0">
              <w:rPr>
                <w:sz w:val="18"/>
                <w:szCs w:val="18"/>
              </w:rPr>
              <w:br/>
              <w:t>Category 1</w:t>
            </w:r>
          </w:p>
        </w:tc>
      </w:tr>
      <w:tr w:rsidR="009C6C4E" w:rsidRPr="00D009E1" w:rsidTr="00DA18C0">
        <w:trPr>
          <w:cantSplit/>
          <w:trHeight w:val="72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Public services, education (license renewal term)</w:t>
            </w:r>
          </w:p>
        </w:tc>
        <w:tc>
          <w:tcPr>
            <w:tcW w:w="3510" w:type="dxa"/>
            <w:hideMark/>
          </w:tcPr>
          <w:p w:rsidR="009C6C4E" w:rsidRPr="002549C0" w:rsidRDefault="009C6C4E" w:rsidP="00DA18C0">
            <w:pPr>
              <w:keepNext/>
              <w:keepLines/>
              <w:rPr>
                <w:sz w:val="18"/>
                <w:szCs w:val="18"/>
              </w:rPr>
            </w:pPr>
            <w:r w:rsidRPr="002549C0">
              <w:rPr>
                <w:sz w:val="18"/>
                <w:szCs w:val="18"/>
              </w:rPr>
              <w:t>SMALL (Category 1).  Only impacts of small significance are expected.</w:t>
            </w:r>
          </w:p>
        </w:tc>
        <w:tc>
          <w:tcPr>
            <w:tcW w:w="1548" w:type="dxa"/>
            <w:hideMark/>
          </w:tcPr>
          <w:p w:rsidR="009C6C4E" w:rsidRPr="002549C0" w:rsidRDefault="009C6C4E" w:rsidP="00DA18C0">
            <w:pPr>
              <w:jc w:val="center"/>
              <w:rPr>
                <w:sz w:val="18"/>
                <w:szCs w:val="18"/>
              </w:rPr>
            </w:pPr>
            <w:r w:rsidRPr="002549C0">
              <w:rPr>
                <w:sz w:val="18"/>
                <w:szCs w:val="18"/>
              </w:rPr>
              <w:t>No change</w:t>
            </w:r>
          </w:p>
        </w:tc>
      </w:tr>
      <w:tr w:rsidR="009C6C4E" w:rsidRPr="00D009E1" w:rsidTr="00DA18C0">
        <w:trPr>
          <w:cantSplit/>
          <w:trHeight w:val="96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Public services, education (refurbishment)</w:t>
            </w:r>
          </w:p>
        </w:tc>
        <w:tc>
          <w:tcPr>
            <w:tcW w:w="3510" w:type="dxa"/>
            <w:hideMark/>
          </w:tcPr>
          <w:p w:rsidR="009C6C4E" w:rsidRPr="002549C0" w:rsidRDefault="009C6C4E" w:rsidP="00DA18C0">
            <w:pPr>
              <w:keepNext/>
              <w:keepLines/>
              <w:rPr>
                <w:sz w:val="18"/>
                <w:szCs w:val="18"/>
              </w:rPr>
            </w:pPr>
            <w:r w:rsidRPr="002549C0">
              <w:rPr>
                <w:sz w:val="18"/>
                <w:szCs w:val="18"/>
              </w:rPr>
              <w:t>SMALL, MODERATE, or LARGE (Category 2).  Most sites would experience impacts of small significance, but larger impacts are possible depending on site- and project-specific factors.</w:t>
            </w:r>
          </w:p>
        </w:tc>
        <w:tc>
          <w:tcPr>
            <w:tcW w:w="1548" w:type="dxa"/>
            <w:hideMark/>
          </w:tcPr>
          <w:p w:rsidR="009C6C4E" w:rsidRDefault="009C6C4E" w:rsidP="00DA18C0">
            <w:pPr>
              <w:jc w:val="center"/>
              <w:rPr>
                <w:sz w:val="18"/>
                <w:szCs w:val="18"/>
              </w:rPr>
            </w:pPr>
            <w:r w:rsidRPr="002549C0">
              <w:rPr>
                <w:sz w:val="18"/>
                <w:szCs w:val="18"/>
              </w:rPr>
              <w:t xml:space="preserve">Change </w:t>
            </w:r>
          </w:p>
          <w:p w:rsidR="009C6C4E" w:rsidRPr="002549C0" w:rsidRDefault="009C6C4E" w:rsidP="00DA18C0">
            <w:pPr>
              <w:jc w:val="center"/>
              <w:rPr>
                <w:sz w:val="18"/>
                <w:szCs w:val="18"/>
              </w:rPr>
            </w:pPr>
            <w:r>
              <w:rPr>
                <w:sz w:val="18"/>
                <w:szCs w:val="18"/>
              </w:rPr>
              <w:t>issue</w:t>
            </w:r>
            <w:r w:rsidRPr="002549C0">
              <w:rPr>
                <w:sz w:val="18"/>
                <w:szCs w:val="18"/>
              </w:rPr>
              <w:t xml:space="preserve"> from</w:t>
            </w:r>
            <w:r w:rsidRPr="002549C0">
              <w:rPr>
                <w:sz w:val="18"/>
                <w:szCs w:val="18"/>
              </w:rPr>
              <w:br/>
              <w:t>Category 2 to</w:t>
            </w:r>
            <w:r w:rsidRPr="002549C0">
              <w:rPr>
                <w:sz w:val="18"/>
                <w:szCs w:val="18"/>
              </w:rPr>
              <w:br/>
              <w:t>Category 1</w:t>
            </w:r>
          </w:p>
        </w:tc>
      </w:tr>
      <w:tr w:rsidR="009C6C4E" w:rsidRPr="00D009E1" w:rsidTr="00DA18C0">
        <w:trPr>
          <w:cantSplit/>
          <w:trHeight w:val="2400"/>
        </w:trPr>
        <w:tc>
          <w:tcPr>
            <w:tcW w:w="828" w:type="dxa"/>
            <w:noWrap/>
            <w:hideMark/>
          </w:tcPr>
          <w:p w:rsidR="009C6C4E" w:rsidRPr="002549C0" w:rsidRDefault="009C6C4E" w:rsidP="00DA18C0">
            <w:pPr>
              <w:jc w:val="center"/>
              <w:rPr>
                <w:sz w:val="18"/>
                <w:szCs w:val="18"/>
              </w:rPr>
            </w:pPr>
            <w:r w:rsidRPr="002549C0">
              <w:rPr>
                <w:sz w:val="18"/>
                <w:szCs w:val="18"/>
              </w:rPr>
              <w:lastRenderedPageBreak/>
              <w:t>55</w:t>
            </w:r>
          </w:p>
        </w:tc>
        <w:tc>
          <w:tcPr>
            <w:tcW w:w="1800" w:type="dxa"/>
            <w:hideMark/>
          </w:tcPr>
          <w:p w:rsidR="009C6C4E" w:rsidRPr="002549C0" w:rsidRDefault="009C6C4E" w:rsidP="00DA18C0">
            <w:pPr>
              <w:rPr>
                <w:sz w:val="18"/>
                <w:szCs w:val="18"/>
              </w:rPr>
            </w:pPr>
            <w:r w:rsidRPr="002549C0">
              <w:rPr>
                <w:sz w:val="18"/>
                <w:szCs w:val="18"/>
              </w:rPr>
              <w:t>Population and housing</w:t>
            </w:r>
          </w:p>
        </w:tc>
        <w:tc>
          <w:tcPr>
            <w:tcW w:w="3690" w:type="dxa"/>
            <w:hideMark/>
          </w:tcPr>
          <w:p w:rsidR="009C6C4E" w:rsidRPr="002549C0" w:rsidRDefault="009C6C4E" w:rsidP="00DA18C0">
            <w:pPr>
              <w:rPr>
                <w:sz w:val="18"/>
                <w:szCs w:val="18"/>
              </w:rPr>
            </w:pPr>
            <w:r w:rsidRPr="002549C0">
              <w:rPr>
                <w:sz w:val="18"/>
                <w:szCs w:val="18"/>
              </w:rPr>
              <w:t>SMALL (Category 1).  Changes resulting from continued operations and refurbishment associated with license renewal to regional population and housing availability and value would be small.  With little or no change in employment at the licensee’s plant expected during the license renewal term, population and housing availability and values would not be affected by continued power plant operations.</w:t>
            </w:r>
          </w:p>
        </w:tc>
        <w:tc>
          <w:tcPr>
            <w:tcW w:w="1800" w:type="dxa"/>
            <w:hideMark/>
          </w:tcPr>
          <w:p w:rsidR="009C6C4E" w:rsidRPr="002549C0" w:rsidRDefault="009C6C4E" w:rsidP="00DA18C0">
            <w:pPr>
              <w:rPr>
                <w:sz w:val="18"/>
                <w:szCs w:val="18"/>
              </w:rPr>
            </w:pPr>
            <w:r w:rsidRPr="002549C0">
              <w:rPr>
                <w:sz w:val="18"/>
                <w:szCs w:val="18"/>
              </w:rPr>
              <w:t>Housing impacts</w:t>
            </w:r>
          </w:p>
        </w:tc>
        <w:tc>
          <w:tcPr>
            <w:tcW w:w="3510" w:type="dxa"/>
            <w:hideMark/>
          </w:tcPr>
          <w:p w:rsidR="009C6C4E" w:rsidRPr="002549C0" w:rsidRDefault="009C6C4E" w:rsidP="00DA18C0">
            <w:pPr>
              <w:rPr>
                <w:sz w:val="18"/>
                <w:szCs w:val="18"/>
              </w:rPr>
            </w:pPr>
            <w:r w:rsidRPr="002549C0">
              <w:rPr>
                <w:sz w:val="18"/>
                <w:szCs w:val="18"/>
              </w:rPr>
              <w:t>SMALL, MODERATE, or LARGE (Category 2).  Housing impacts are expected to be of small significance at plants located in a medium or high population area and not in an area where growth control measures that limit housing development are in effect.  Moderate or large housing impacts of the workforce associated with refurbishment may be associated with plants located in sparsely populated areas or in areas with growth control measures that limit housing development.</w:t>
            </w:r>
          </w:p>
        </w:tc>
        <w:tc>
          <w:tcPr>
            <w:tcW w:w="1548" w:type="dxa"/>
            <w:hideMark/>
          </w:tcPr>
          <w:p w:rsidR="002274C7" w:rsidRDefault="009C6C4E" w:rsidP="00DA18C0">
            <w:pPr>
              <w:jc w:val="center"/>
              <w:rPr>
                <w:sz w:val="18"/>
                <w:szCs w:val="18"/>
              </w:rPr>
            </w:pPr>
            <w:r w:rsidRPr="002549C0">
              <w:rPr>
                <w:sz w:val="18"/>
                <w:szCs w:val="18"/>
              </w:rPr>
              <w:t xml:space="preserve">Change </w:t>
            </w:r>
            <w:r>
              <w:rPr>
                <w:sz w:val="18"/>
                <w:szCs w:val="18"/>
              </w:rPr>
              <w:t>issue</w:t>
            </w:r>
          </w:p>
          <w:p w:rsidR="009C6C4E" w:rsidRPr="002549C0" w:rsidRDefault="009C6C4E" w:rsidP="00DA18C0">
            <w:pPr>
              <w:jc w:val="center"/>
              <w:rPr>
                <w:sz w:val="18"/>
                <w:szCs w:val="18"/>
              </w:rPr>
            </w:pPr>
            <w:r w:rsidRPr="002549C0">
              <w:rPr>
                <w:sz w:val="18"/>
                <w:szCs w:val="18"/>
              </w:rPr>
              <w:t>from</w:t>
            </w:r>
            <w:r w:rsidRPr="002549C0">
              <w:rPr>
                <w:sz w:val="18"/>
                <w:szCs w:val="18"/>
              </w:rPr>
              <w:br/>
              <w:t>Category 2 to</w:t>
            </w:r>
            <w:r w:rsidRPr="002549C0">
              <w:rPr>
                <w:sz w:val="18"/>
                <w:szCs w:val="18"/>
              </w:rPr>
              <w:br/>
              <w:t>Category 1</w:t>
            </w:r>
          </w:p>
        </w:tc>
      </w:tr>
      <w:tr w:rsidR="009C6C4E" w:rsidRPr="00D009E1" w:rsidTr="00DA18C0">
        <w:trPr>
          <w:cantSplit/>
          <w:trHeight w:val="2160"/>
        </w:trPr>
        <w:tc>
          <w:tcPr>
            <w:tcW w:w="828" w:type="dxa"/>
            <w:noWrap/>
            <w:hideMark/>
          </w:tcPr>
          <w:p w:rsidR="009C6C4E" w:rsidRPr="002549C0" w:rsidRDefault="009C6C4E" w:rsidP="00DA18C0">
            <w:pPr>
              <w:jc w:val="center"/>
              <w:rPr>
                <w:sz w:val="18"/>
                <w:szCs w:val="18"/>
              </w:rPr>
            </w:pPr>
            <w:r w:rsidRPr="002549C0">
              <w:rPr>
                <w:sz w:val="18"/>
                <w:szCs w:val="18"/>
              </w:rPr>
              <w:t>56</w:t>
            </w:r>
          </w:p>
        </w:tc>
        <w:tc>
          <w:tcPr>
            <w:tcW w:w="1800" w:type="dxa"/>
            <w:hideMark/>
          </w:tcPr>
          <w:p w:rsidR="009C6C4E" w:rsidRPr="002549C0" w:rsidRDefault="009C6C4E" w:rsidP="00DA18C0">
            <w:pPr>
              <w:rPr>
                <w:sz w:val="18"/>
                <w:szCs w:val="18"/>
              </w:rPr>
            </w:pPr>
            <w:r w:rsidRPr="002549C0">
              <w:rPr>
                <w:sz w:val="18"/>
                <w:szCs w:val="18"/>
              </w:rPr>
              <w:t>Transportation</w:t>
            </w:r>
          </w:p>
        </w:tc>
        <w:tc>
          <w:tcPr>
            <w:tcW w:w="3690" w:type="dxa"/>
            <w:hideMark/>
          </w:tcPr>
          <w:p w:rsidR="009C6C4E" w:rsidRPr="002549C0" w:rsidRDefault="009C6C4E" w:rsidP="00DA18C0">
            <w:pPr>
              <w:rPr>
                <w:sz w:val="18"/>
                <w:szCs w:val="18"/>
              </w:rPr>
            </w:pPr>
            <w:r w:rsidRPr="002549C0">
              <w:rPr>
                <w:sz w:val="18"/>
                <w:szCs w:val="18"/>
              </w:rPr>
              <w:t>SMALL (Category 1).  Changes resulting from continued operations and refurbishment associated with license renewal to traffic volumes would be small.</w:t>
            </w:r>
          </w:p>
        </w:tc>
        <w:tc>
          <w:tcPr>
            <w:tcW w:w="1800" w:type="dxa"/>
            <w:hideMark/>
          </w:tcPr>
          <w:p w:rsidR="009C6C4E" w:rsidRPr="002549C0" w:rsidRDefault="009C6C4E" w:rsidP="00DA18C0">
            <w:pPr>
              <w:rPr>
                <w:sz w:val="18"/>
                <w:szCs w:val="18"/>
              </w:rPr>
            </w:pPr>
            <w:r w:rsidRPr="002549C0">
              <w:rPr>
                <w:sz w:val="18"/>
                <w:szCs w:val="18"/>
              </w:rPr>
              <w:t>Public services, Transportation</w:t>
            </w:r>
          </w:p>
        </w:tc>
        <w:tc>
          <w:tcPr>
            <w:tcW w:w="3510" w:type="dxa"/>
            <w:hideMark/>
          </w:tcPr>
          <w:p w:rsidR="009C6C4E" w:rsidRPr="002549C0" w:rsidRDefault="009C6C4E" w:rsidP="00DA18C0">
            <w:pPr>
              <w:rPr>
                <w:sz w:val="18"/>
                <w:szCs w:val="18"/>
              </w:rPr>
            </w:pPr>
            <w:r w:rsidRPr="002549C0">
              <w:rPr>
                <w:sz w:val="18"/>
                <w:szCs w:val="18"/>
              </w:rPr>
              <w:t>SMALL, MODERATE, or LARGE (Category 2).  Transportation impacts (level of service) of highway traffic generated during plant refurbishment and during the term of the renewed license are generally expected to be of small significance.  However, the increase in traffic associated with additional workers and the local road and traffic control conditions may lead to impacts of moderate or large significance at some sites.</w:t>
            </w:r>
          </w:p>
        </w:tc>
        <w:tc>
          <w:tcPr>
            <w:tcW w:w="1548" w:type="dxa"/>
            <w:hideMark/>
          </w:tcPr>
          <w:p w:rsidR="002274C7" w:rsidRDefault="009C6C4E" w:rsidP="002274C7">
            <w:pPr>
              <w:jc w:val="center"/>
              <w:rPr>
                <w:sz w:val="18"/>
                <w:szCs w:val="18"/>
              </w:rPr>
            </w:pPr>
            <w:r w:rsidRPr="002549C0">
              <w:rPr>
                <w:sz w:val="18"/>
                <w:szCs w:val="18"/>
              </w:rPr>
              <w:t xml:space="preserve">Change </w:t>
            </w:r>
            <w:r>
              <w:rPr>
                <w:sz w:val="18"/>
                <w:szCs w:val="18"/>
              </w:rPr>
              <w:t>issue</w:t>
            </w:r>
          </w:p>
          <w:p w:rsidR="009C6C4E" w:rsidRPr="002549C0" w:rsidRDefault="009C6C4E" w:rsidP="002274C7">
            <w:pPr>
              <w:jc w:val="center"/>
              <w:rPr>
                <w:sz w:val="18"/>
                <w:szCs w:val="18"/>
              </w:rPr>
            </w:pPr>
            <w:r w:rsidRPr="002549C0">
              <w:rPr>
                <w:sz w:val="18"/>
                <w:szCs w:val="18"/>
              </w:rPr>
              <w:t>from</w:t>
            </w:r>
            <w:r w:rsidRPr="002549C0">
              <w:rPr>
                <w:sz w:val="18"/>
                <w:szCs w:val="18"/>
              </w:rPr>
              <w:br/>
              <w:t>Category 2 to</w:t>
            </w:r>
            <w:r w:rsidRPr="002549C0">
              <w:rPr>
                <w:sz w:val="18"/>
                <w:szCs w:val="18"/>
              </w:rPr>
              <w:br/>
              <w:t>Category 1</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keepNext/>
              <w:keepLines/>
              <w:rPr>
                <w:b/>
                <w:bCs/>
                <w:sz w:val="18"/>
                <w:szCs w:val="18"/>
              </w:rPr>
            </w:pPr>
            <w:r w:rsidRPr="002549C0">
              <w:rPr>
                <w:b/>
                <w:bCs/>
                <w:sz w:val="18"/>
                <w:szCs w:val="18"/>
              </w:rPr>
              <w:lastRenderedPageBreak/>
              <w:t>Human Health</w:t>
            </w:r>
          </w:p>
        </w:tc>
      </w:tr>
      <w:tr w:rsidR="009C6C4E" w:rsidRPr="00D009E1" w:rsidTr="00DA18C0">
        <w:trPr>
          <w:cantSplit/>
          <w:trHeight w:val="1200"/>
        </w:trPr>
        <w:tc>
          <w:tcPr>
            <w:tcW w:w="828" w:type="dxa"/>
            <w:vMerge w:val="restart"/>
            <w:noWrap/>
            <w:hideMark/>
          </w:tcPr>
          <w:p w:rsidR="009C6C4E" w:rsidRPr="002549C0" w:rsidRDefault="009C6C4E" w:rsidP="00DA18C0">
            <w:pPr>
              <w:keepNext/>
              <w:keepLines/>
              <w:jc w:val="center"/>
              <w:rPr>
                <w:sz w:val="18"/>
                <w:szCs w:val="18"/>
              </w:rPr>
            </w:pPr>
            <w:r w:rsidRPr="002549C0">
              <w:rPr>
                <w:sz w:val="18"/>
                <w:szCs w:val="18"/>
              </w:rPr>
              <w:t>57</w:t>
            </w:r>
          </w:p>
        </w:tc>
        <w:tc>
          <w:tcPr>
            <w:tcW w:w="1800" w:type="dxa"/>
            <w:vMerge w:val="restart"/>
            <w:hideMark/>
          </w:tcPr>
          <w:p w:rsidR="009C6C4E" w:rsidRPr="002549C0" w:rsidRDefault="009C6C4E" w:rsidP="00DA18C0">
            <w:pPr>
              <w:keepNext/>
              <w:keepLines/>
              <w:rPr>
                <w:sz w:val="18"/>
                <w:szCs w:val="18"/>
              </w:rPr>
            </w:pPr>
            <w:r w:rsidRPr="002549C0">
              <w:rPr>
                <w:sz w:val="18"/>
                <w:szCs w:val="18"/>
              </w:rPr>
              <w:t>Radiation exposures to the public</w:t>
            </w:r>
          </w:p>
        </w:tc>
        <w:tc>
          <w:tcPr>
            <w:tcW w:w="3690" w:type="dxa"/>
            <w:vMerge w:val="restart"/>
            <w:hideMark/>
          </w:tcPr>
          <w:p w:rsidR="009C6C4E" w:rsidRPr="002549C0" w:rsidRDefault="009C6C4E" w:rsidP="00DA18C0">
            <w:pPr>
              <w:keepNext/>
              <w:keepLines/>
              <w:rPr>
                <w:sz w:val="18"/>
                <w:szCs w:val="18"/>
              </w:rPr>
            </w:pPr>
            <w:r w:rsidRPr="002549C0">
              <w:rPr>
                <w:sz w:val="18"/>
                <w:szCs w:val="18"/>
              </w:rPr>
              <w:t>SMALL (Category 1).  Radiation doses to the public from continued operations and refurbishment associated with license renewal are expected to continue at current levels, and would be well below regulatory limits.</w:t>
            </w:r>
          </w:p>
        </w:tc>
        <w:tc>
          <w:tcPr>
            <w:tcW w:w="1800" w:type="dxa"/>
            <w:hideMark/>
          </w:tcPr>
          <w:p w:rsidR="009C6C4E" w:rsidRPr="002549C0" w:rsidRDefault="009C6C4E" w:rsidP="00DA18C0">
            <w:pPr>
              <w:keepNext/>
              <w:keepLines/>
              <w:rPr>
                <w:sz w:val="18"/>
                <w:szCs w:val="18"/>
              </w:rPr>
            </w:pPr>
            <w:r w:rsidRPr="002549C0">
              <w:rPr>
                <w:sz w:val="18"/>
                <w:szCs w:val="18"/>
              </w:rPr>
              <w:t>Radiation exposures to the public during refurbishment</w:t>
            </w:r>
          </w:p>
        </w:tc>
        <w:tc>
          <w:tcPr>
            <w:tcW w:w="3510" w:type="dxa"/>
            <w:hideMark/>
          </w:tcPr>
          <w:p w:rsidR="009C6C4E" w:rsidRPr="002549C0" w:rsidRDefault="009C6C4E" w:rsidP="00DA18C0">
            <w:pPr>
              <w:keepNext/>
              <w:keepLines/>
              <w:rPr>
                <w:sz w:val="18"/>
                <w:szCs w:val="18"/>
              </w:rPr>
            </w:pPr>
            <w:r w:rsidRPr="002549C0">
              <w:rPr>
                <w:sz w:val="18"/>
                <w:szCs w:val="18"/>
              </w:rPr>
              <w:t>SMALL (Category 1). During refurbishment, the gaseous effluents would result in doses that are similar to those from current operation. Applicable regulatory dose limits to the public are not expected</w:t>
            </w:r>
            <w:r>
              <w:rPr>
                <w:sz w:val="18"/>
                <w:szCs w:val="18"/>
              </w:rPr>
              <w:t xml:space="preserve"> </w:t>
            </w:r>
            <w:r w:rsidRPr="002549C0">
              <w:rPr>
                <w:sz w:val="18"/>
                <w:szCs w:val="18"/>
              </w:rPr>
              <w:t>to be exceeded.</w:t>
            </w:r>
          </w:p>
        </w:tc>
        <w:tc>
          <w:tcPr>
            <w:tcW w:w="1548" w:type="dxa"/>
            <w:vMerge w:val="restart"/>
            <w:hideMark/>
          </w:tcPr>
          <w:p w:rsidR="009C6C4E" w:rsidRPr="002549C0" w:rsidRDefault="009C6C4E" w:rsidP="00DA18C0">
            <w:pPr>
              <w:keepNext/>
              <w:keepLines/>
              <w:jc w:val="center"/>
              <w:rPr>
                <w:sz w:val="18"/>
                <w:szCs w:val="18"/>
              </w:rPr>
            </w:pPr>
            <w:r>
              <w:rPr>
                <w:sz w:val="18"/>
                <w:szCs w:val="18"/>
              </w:rPr>
              <w:t>Issue consolidation (Category 1)</w:t>
            </w:r>
          </w:p>
        </w:tc>
      </w:tr>
      <w:tr w:rsidR="009C6C4E" w:rsidRPr="00D009E1" w:rsidTr="00DA18C0">
        <w:trPr>
          <w:cantSplit/>
          <w:trHeight w:val="72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Radiation exposure to public (license renewal term)</w:t>
            </w:r>
          </w:p>
        </w:tc>
        <w:tc>
          <w:tcPr>
            <w:tcW w:w="3510" w:type="dxa"/>
            <w:hideMark/>
          </w:tcPr>
          <w:p w:rsidR="009C6C4E" w:rsidRPr="002549C0" w:rsidRDefault="009C6C4E" w:rsidP="00DA18C0">
            <w:pPr>
              <w:keepNext/>
              <w:keepLines/>
              <w:rPr>
                <w:sz w:val="18"/>
                <w:szCs w:val="18"/>
              </w:rPr>
            </w:pPr>
            <w:r w:rsidRPr="002549C0">
              <w:rPr>
                <w:sz w:val="18"/>
                <w:szCs w:val="18"/>
              </w:rPr>
              <w:t>SMALL (Category 1). Radiation doses to the public will continue at current levels associated with normal operations.</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1680"/>
        </w:trPr>
        <w:tc>
          <w:tcPr>
            <w:tcW w:w="828" w:type="dxa"/>
            <w:vMerge w:val="restart"/>
            <w:noWrap/>
            <w:hideMark/>
          </w:tcPr>
          <w:p w:rsidR="009C6C4E" w:rsidRPr="002549C0" w:rsidRDefault="009C6C4E" w:rsidP="00DA18C0">
            <w:pPr>
              <w:jc w:val="center"/>
              <w:rPr>
                <w:sz w:val="18"/>
                <w:szCs w:val="18"/>
              </w:rPr>
            </w:pPr>
            <w:r w:rsidRPr="002549C0">
              <w:rPr>
                <w:sz w:val="18"/>
                <w:szCs w:val="18"/>
              </w:rPr>
              <w:t>58</w:t>
            </w:r>
          </w:p>
        </w:tc>
        <w:tc>
          <w:tcPr>
            <w:tcW w:w="1800" w:type="dxa"/>
            <w:vMerge w:val="restart"/>
            <w:hideMark/>
          </w:tcPr>
          <w:p w:rsidR="009C6C4E" w:rsidRPr="002549C0" w:rsidRDefault="009C6C4E" w:rsidP="00DA18C0">
            <w:pPr>
              <w:rPr>
                <w:sz w:val="18"/>
                <w:szCs w:val="18"/>
              </w:rPr>
            </w:pPr>
            <w:r w:rsidRPr="002549C0">
              <w:rPr>
                <w:sz w:val="18"/>
                <w:szCs w:val="18"/>
              </w:rPr>
              <w:t>Radiation exposures to plant workers</w:t>
            </w:r>
          </w:p>
        </w:tc>
        <w:tc>
          <w:tcPr>
            <w:tcW w:w="3690" w:type="dxa"/>
            <w:vMerge w:val="restart"/>
            <w:hideMark/>
          </w:tcPr>
          <w:p w:rsidR="009C6C4E" w:rsidRPr="002549C0" w:rsidRDefault="009C6C4E" w:rsidP="00DA18C0">
            <w:pPr>
              <w:rPr>
                <w:sz w:val="18"/>
                <w:szCs w:val="18"/>
              </w:rPr>
            </w:pPr>
            <w:r w:rsidRPr="002549C0">
              <w:rPr>
                <w:sz w:val="18"/>
                <w:szCs w:val="18"/>
              </w:rPr>
              <w:t>SMALL (Category 1). Occupational doses from continued operations and refurbishment associated with license renewal are expected to be within the range of doses experienced during the current license term and would continue to be well below regulatory limits.</w:t>
            </w:r>
          </w:p>
        </w:tc>
        <w:tc>
          <w:tcPr>
            <w:tcW w:w="1800" w:type="dxa"/>
            <w:hideMark/>
          </w:tcPr>
          <w:p w:rsidR="009C6C4E" w:rsidRPr="002549C0" w:rsidRDefault="009C6C4E" w:rsidP="00DA18C0">
            <w:pPr>
              <w:rPr>
                <w:sz w:val="18"/>
                <w:szCs w:val="18"/>
              </w:rPr>
            </w:pPr>
            <w:r w:rsidRPr="002549C0">
              <w:rPr>
                <w:sz w:val="18"/>
                <w:szCs w:val="18"/>
              </w:rPr>
              <w:t>Occupational radiation exposures during refurbishment</w:t>
            </w:r>
          </w:p>
        </w:tc>
        <w:tc>
          <w:tcPr>
            <w:tcW w:w="3510" w:type="dxa"/>
            <w:hideMark/>
          </w:tcPr>
          <w:p w:rsidR="009C6C4E" w:rsidRPr="002549C0" w:rsidRDefault="009C6C4E" w:rsidP="00DA18C0">
            <w:pPr>
              <w:rPr>
                <w:sz w:val="18"/>
                <w:szCs w:val="18"/>
              </w:rPr>
            </w:pPr>
            <w:r w:rsidRPr="002549C0">
              <w:rPr>
                <w:sz w:val="18"/>
                <w:szCs w:val="18"/>
              </w:rPr>
              <w:t>SMALL (Category 1). Occupational doses from refurbishment are expected to be within the range of annual average collective doses experienced for pressurized-water reactors and boiling-water reactors. Occupational mortality risk from all causes including radiation is in the mid-range for industrial</w:t>
            </w:r>
            <w:r w:rsidRPr="002549C0">
              <w:rPr>
                <w:sz w:val="18"/>
                <w:szCs w:val="18"/>
              </w:rPr>
              <w:br/>
              <w:t>settings.</w:t>
            </w:r>
          </w:p>
        </w:tc>
        <w:tc>
          <w:tcPr>
            <w:tcW w:w="1548" w:type="dxa"/>
            <w:vMerge w:val="restart"/>
            <w:hideMark/>
          </w:tcPr>
          <w:p w:rsidR="009C6C4E" w:rsidRPr="002549C0" w:rsidRDefault="009C6C4E" w:rsidP="00DA18C0">
            <w:pPr>
              <w:jc w:val="center"/>
              <w:rPr>
                <w:sz w:val="18"/>
                <w:szCs w:val="18"/>
              </w:rPr>
            </w:pPr>
            <w:r>
              <w:rPr>
                <w:sz w:val="18"/>
                <w:szCs w:val="18"/>
              </w:rPr>
              <w:t>Issue consolidation (Category 1)</w:t>
            </w:r>
          </w:p>
        </w:tc>
      </w:tr>
      <w:tr w:rsidR="009C6C4E" w:rsidRPr="00D009E1" w:rsidTr="00DA18C0">
        <w:trPr>
          <w:cantSplit/>
          <w:trHeight w:val="1200"/>
        </w:trPr>
        <w:tc>
          <w:tcPr>
            <w:tcW w:w="828" w:type="dxa"/>
            <w:vMerge/>
            <w:hideMark/>
          </w:tcPr>
          <w:p w:rsidR="009C6C4E" w:rsidRPr="002549C0" w:rsidRDefault="009C6C4E" w:rsidP="00DA18C0">
            <w:pPr>
              <w:jc w:val="center"/>
              <w:rPr>
                <w:sz w:val="18"/>
                <w:szCs w:val="18"/>
              </w:rPr>
            </w:pPr>
          </w:p>
        </w:tc>
        <w:tc>
          <w:tcPr>
            <w:tcW w:w="1800" w:type="dxa"/>
            <w:vMerge/>
            <w:hideMark/>
          </w:tcPr>
          <w:p w:rsidR="009C6C4E" w:rsidRPr="002549C0" w:rsidRDefault="009C6C4E" w:rsidP="00DA18C0">
            <w:pPr>
              <w:rPr>
                <w:sz w:val="18"/>
                <w:szCs w:val="18"/>
              </w:rPr>
            </w:pPr>
          </w:p>
        </w:tc>
        <w:tc>
          <w:tcPr>
            <w:tcW w:w="3690" w:type="dxa"/>
            <w:vMerge/>
            <w:hideMark/>
          </w:tcPr>
          <w:p w:rsidR="009C6C4E" w:rsidRPr="002549C0" w:rsidRDefault="009C6C4E" w:rsidP="00DA18C0">
            <w:pPr>
              <w:rPr>
                <w:sz w:val="18"/>
                <w:szCs w:val="18"/>
              </w:rPr>
            </w:pPr>
          </w:p>
        </w:tc>
        <w:tc>
          <w:tcPr>
            <w:tcW w:w="1800" w:type="dxa"/>
            <w:hideMark/>
          </w:tcPr>
          <w:p w:rsidR="009C6C4E" w:rsidRPr="002549C0" w:rsidRDefault="009C6C4E" w:rsidP="00DA18C0">
            <w:pPr>
              <w:rPr>
                <w:sz w:val="18"/>
                <w:szCs w:val="18"/>
              </w:rPr>
            </w:pPr>
            <w:r w:rsidRPr="002549C0">
              <w:rPr>
                <w:sz w:val="18"/>
                <w:szCs w:val="18"/>
              </w:rPr>
              <w:t>Occupational radiation exposures (license renewal term)</w:t>
            </w:r>
          </w:p>
        </w:tc>
        <w:tc>
          <w:tcPr>
            <w:tcW w:w="3510" w:type="dxa"/>
            <w:hideMark/>
          </w:tcPr>
          <w:p w:rsidR="009C6C4E" w:rsidRPr="002549C0" w:rsidRDefault="009C6C4E" w:rsidP="00DA18C0">
            <w:pPr>
              <w:rPr>
                <w:sz w:val="18"/>
                <w:szCs w:val="18"/>
              </w:rPr>
            </w:pPr>
            <w:r w:rsidRPr="002549C0">
              <w:rPr>
                <w:sz w:val="18"/>
                <w:szCs w:val="18"/>
              </w:rPr>
              <w:t>SMALL (Category 1). Projected maximum occupational doses during the license renewal term are within the range of doses experienced during normal operations and normal maintenance outages, and would be well below regulatory limits.</w:t>
            </w:r>
          </w:p>
        </w:tc>
        <w:tc>
          <w:tcPr>
            <w:tcW w:w="1548" w:type="dxa"/>
            <w:vMerge/>
            <w:hideMark/>
          </w:tcPr>
          <w:p w:rsidR="009C6C4E" w:rsidRPr="002549C0" w:rsidRDefault="009C6C4E" w:rsidP="00DA18C0">
            <w:pPr>
              <w:jc w:val="center"/>
              <w:rPr>
                <w:sz w:val="18"/>
                <w:szCs w:val="18"/>
              </w:rPr>
            </w:pPr>
          </w:p>
        </w:tc>
      </w:tr>
      <w:tr w:rsidR="009C6C4E" w:rsidRPr="00D009E1" w:rsidTr="00DA18C0">
        <w:trPr>
          <w:cantSplit/>
          <w:trHeight w:val="2400"/>
        </w:trPr>
        <w:tc>
          <w:tcPr>
            <w:tcW w:w="828" w:type="dxa"/>
            <w:noWrap/>
            <w:hideMark/>
          </w:tcPr>
          <w:p w:rsidR="009C6C4E" w:rsidRPr="002549C0" w:rsidRDefault="009C6C4E" w:rsidP="00DA18C0">
            <w:pPr>
              <w:jc w:val="center"/>
              <w:rPr>
                <w:sz w:val="18"/>
                <w:szCs w:val="18"/>
              </w:rPr>
            </w:pPr>
            <w:r w:rsidRPr="002549C0">
              <w:rPr>
                <w:sz w:val="18"/>
                <w:szCs w:val="18"/>
              </w:rPr>
              <w:t>59</w:t>
            </w:r>
          </w:p>
        </w:tc>
        <w:tc>
          <w:tcPr>
            <w:tcW w:w="1800" w:type="dxa"/>
            <w:hideMark/>
          </w:tcPr>
          <w:p w:rsidR="009C6C4E" w:rsidRPr="002549C0" w:rsidRDefault="009C6C4E" w:rsidP="00DA18C0">
            <w:pPr>
              <w:rPr>
                <w:sz w:val="18"/>
                <w:szCs w:val="18"/>
              </w:rPr>
            </w:pPr>
            <w:r w:rsidRPr="002549C0">
              <w:rPr>
                <w:sz w:val="18"/>
                <w:szCs w:val="18"/>
              </w:rPr>
              <w:t>Human health impact from chemicals</w:t>
            </w:r>
          </w:p>
        </w:tc>
        <w:tc>
          <w:tcPr>
            <w:tcW w:w="3690" w:type="dxa"/>
            <w:hideMark/>
          </w:tcPr>
          <w:p w:rsidR="009C6C4E" w:rsidRPr="002549C0" w:rsidRDefault="009C6C4E" w:rsidP="00DA18C0">
            <w:pPr>
              <w:rPr>
                <w:sz w:val="18"/>
                <w:szCs w:val="18"/>
              </w:rPr>
            </w:pPr>
            <w:r w:rsidRPr="002549C0">
              <w:rPr>
                <w:sz w:val="18"/>
                <w:szCs w:val="18"/>
              </w:rPr>
              <w:t>SMALL (Category 1).  Chemical hazards to plant workers resulting from continued operations and refurbishment associated with license renewal are expected to be minimized by the licensee implementing good industrial hygiene practices as required by permits and Federal and State regulations.  Chemical releases to the environment and the potential for impacts to the public are expected to be minimized by adherence to discharge limitations of NPDES and other permits.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1440"/>
        </w:trPr>
        <w:tc>
          <w:tcPr>
            <w:tcW w:w="828" w:type="dxa"/>
            <w:noWrap/>
            <w:hideMark/>
          </w:tcPr>
          <w:p w:rsidR="009C6C4E" w:rsidRPr="002549C0" w:rsidRDefault="009C6C4E" w:rsidP="00DA18C0">
            <w:pPr>
              <w:jc w:val="center"/>
              <w:rPr>
                <w:sz w:val="18"/>
                <w:szCs w:val="18"/>
              </w:rPr>
            </w:pPr>
            <w:r w:rsidRPr="002549C0">
              <w:rPr>
                <w:sz w:val="18"/>
                <w:szCs w:val="18"/>
              </w:rPr>
              <w:lastRenderedPageBreak/>
              <w:t>63</w:t>
            </w:r>
          </w:p>
        </w:tc>
        <w:tc>
          <w:tcPr>
            <w:tcW w:w="1800" w:type="dxa"/>
            <w:hideMark/>
          </w:tcPr>
          <w:p w:rsidR="009C6C4E" w:rsidRPr="002549C0" w:rsidRDefault="009C6C4E" w:rsidP="00DA18C0">
            <w:pPr>
              <w:rPr>
                <w:sz w:val="18"/>
                <w:szCs w:val="18"/>
              </w:rPr>
            </w:pPr>
            <w:r w:rsidRPr="002549C0">
              <w:rPr>
                <w:sz w:val="18"/>
                <w:szCs w:val="18"/>
              </w:rPr>
              <w:t>Physical occupational hazards</w:t>
            </w:r>
          </w:p>
        </w:tc>
        <w:tc>
          <w:tcPr>
            <w:tcW w:w="3690" w:type="dxa"/>
            <w:hideMark/>
          </w:tcPr>
          <w:p w:rsidR="009C6C4E" w:rsidRPr="002549C0" w:rsidRDefault="009C6C4E" w:rsidP="00DA18C0">
            <w:pPr>
              <w:rPr>
                <w:sz w:val="18"/>
                <w:szCs w:val="18"/>
              </w:rPr>
            </w:pPr>
            <w:r w:rsidRPr="002549C0">
              <w:rPr>
                <w:sz w:val="18"/>
                <w:szCs w:val="18"/>
              </w:rPr>
              <w:t>SMALL (Category 1).  Occupational safety and health hazards are generic to all types of electrical generating stations, including nuclear power plants, and are of small significance if the workers adhere to safety standards and use protective equipment as required by Federal and State regulations.</w:t>
            </w:r>
          </w:p>
        </w:tc>
        <w:tc>
          <w:tcPr>
            <w:tcW w:w="1800" w:type="dxa"/>
            <w:hideMark/>
          </w:tcPr>
          <w:p w:rsidR="009C6C4E" w:rsidRPr="002549C0" w:rsidRDefault="009C6C4E" w:rsidP="00DA18C0">
            <w:pPr>
              <w:rPr>
                <w:sz w:val="18"/>
                <w:szCs w:val="18"/>
              </w:rPr>
            </w:pPr>
            <w:r w:rsidRPr="002549C0">
              <w:rPr>
                <w:sz w:val="18"/>
                <w:szCs w:val="18"/>
              </w:rPr>
              <w:t>Not addressed</w:t>
            </w:r>
          </w:p>
        </w:tc>
        <w:tc>
          <w:tcPr>
            <w:tcW w:w="3510" w:type="dxa"/>
            <w:hideMark/>
          </w:tcPr>
          <w:p w:rsidR="009C6C4E" w:rsidRPr="002549C0" w:rsidRDefault="009C6C4E" w:rsidP="00DA18C0">
            <w:pPr>
              <w:rPr>
                <w:sz w:val="18"/>
                <w:szCs w:val="18"/>
              </w:rPr>
            </w:pPr>
            <w:r w:rsidRPr="002549C0">
              <w:rPr>
                <w:sz w:val="18"/>
                <w:szCs w:val="18"/>
              </w:rPr>
              <w:t>Not addressed</w:t>
            </w:r>
          </w:p>
        </w:tc>
        <w:tc>
          <w:tcPr>
            <w:tcW w:w="1548" w:type="dxa"/>
            <w:hideMark/>
          </w:tcPr>
          <w:p w:rsidR="009C6C4E" w:rsidRDefault="009C6C4E" w:rsidP="00DA18C0">
            <w:pPr>
              <w:jc w:val="center"/>
              <w:rPr>
                <w:sz w:val="18"/>
                <w:szCs w:val="18"/>
              </w:rPr>
            </w:pPr>
            <w:r w:rsidRPr="002549C0">
              <w:rPr>
                <w:sz w:val="18"/>
                <w:szCs w:val="18"/>
              </w:rPr>
              <w:t xml:space="preserve">New </w:t>
            </w:r>
          </w:p>
          <w:p w:rsidR="009C6C4E" w:rsidRPr="002549C0" w:rsidRDefault="009C6C4E" w:rsidP="00DA18C0">
            <w:pPr>
              <w:jc w:val="center"/>
              <w:rPr>
                <w:sz w:val="18"/>
                <w:szCs w:val="18"/>
              </w:rPr>
            </w:pPr>
            <w:r w:rsidRPr="002549C0">
              <w:rPr>
                <w:sz w:val="18"/>
                <w:szCs w:val="18"/>
              </w:rPr>
              <w:t xml:space="preserve">Category 1 </w:t>
            </w:r>
            <w:r>
              <w:rPr>
                <w:sz w:val="18"/>
                <w:szCs w:val="18"/>
              </w:rPr>
              <w:t>issue</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widowControl w:val="0"/>
              <w:rPr>
                <w:b/>
                <w:bCs/>
                <w:sz w:val="18"/>
                <w:szCs w:val="18"/>
              </w:rPr>
            </w:pPr>
            <w:r w:rsidRPr="002549C0">
              <w:rPr>
                <w:b/>
                <w:bCs/>
                <w:sz w:val="18"/>
                <w:szCs w:val="18"/>
              </w:rPr>
              <w:t>Environmental Justice</w:t>
            </w:r>
          </w:p>
        </w:tc>
      </w:tr>
      <w:tr w:rsidR="009C6C4E" w:rsidRPr="00D009E1" w:rsidTr="00DA18C0">
        <w:trPr>
          <w:cantSplit/>
          <w:trHeight w:val="1920"/>
        </w:trPr>
        <w:tc>
          <w:tcPr>
            <w:tcW w:w="828" w:type="dxa"/>
            <w:noWrap/>
            <w:hideMark/>
          </w:tcPr>
          <w:p w:rsidR="009C6C4E" w:rsidRPr="002549C0" w:rsidRDefault="009C6C4E" w:rsidP="00DA18C0">
            <w:pPr>
              <w:widowControl w:val="0"/>
              <w:jc w:val="center"/>
              <w:rPr>
                <w:sz w:val="18"/>
                <w:szCs w:val="18"/>
              </w:rPr>
            </w:pPr>
            <w:r w:rsidRPr="002549C0">
              <w:rPr>
                <w:sz w:val="18"/>
                <w:szCs w:val="18"/>
              </w:rPr>
              <w:t>67</w:t>
            </w:r>
          </w:p>
        </w:tc>
        <w:tc>
          <w:tcPr>
            <w:tcW w:w="1800" w:type="dxa"/>
            <w:hideMark/>
          </w:tcPr>
          <w:p w:rsidR="009C6C4E" w:rsidRPr="002549C0" w:rsidRDefault="009C6C4E" w:rsidP="00DA18C0">
            <w:pPr>
              <w:widowControl w:val="0"/>
              <w:rPr>
                <w:sz w:val="18"/>
                <w:szCs w:val="18"/>
              </w:rPr>
            </w:pPr>
            <w:r w:rsidRPr="002549C0">
              <w:rPr>
                <w:sz w:val="18"/>
                <w:szCs w:val="18"/>
              </w:rPr>
              <w:t>Minority and low-income populations</w:t>
            </w:r>
          </w:p>
        </w:tc>
        <w:tc>
          <w:tcPr>
            <w:tcW w:w="3690" w:type="dxa"/>
            <w:hideMark/>
          </w:tcPr>
          <w:p w:rsidR="009C6C4E" w:rsidRPr="002549C0" w:rsidRDefault="009C6C4E" w:rsidP="00DA18C0">
            <w:pPr>
              <w:widowControl w:val="0"/>
              <w:rPr>
                <w:sz w:val="18"/>
                <w:szCs w:val="18"/>
              </w:rPr>
            </w:pPr>
            <w:r w:rsidRPr="002549C0">
              <w:rPr>
                <w:sz w:val="18"/>
                <w:szCs w:val="18"/>
              </w:rPr>
              <w:t>(Category 2). Impacts to minority and low-income populations and subsistence consumption resulting from continued operations and refurbishment associated with license renewal will be addressed in plant-specific reviews.  See NRC Policy Statement on the Treatment of Environmental Justice Matters in NRC Regulatory and Licensing Actions (69 FR 52040; August 24, 2004).</w:t>
            </w:r>
          </w:p>
        </w:tc>
        <w:tc>
          <w:tcPr>
            <w:tcW w:w="1800" w:type="dxa"/>
            <w:hideMark/>
          </w:tcPr>
          <w:p w:rsidR="009C6C4E" w:rsidRPr="002549C0" w:rsidRDefault="009C6C4E" w:rsidP="00DA18C0">
            <w:pPr>
              <w:widowControl w:val="0"/>
              <w:rPr>
                <w:sz w:val="18"/>
                <w:szCs w:val="18"/>
              </w:rPr>
            </w:pPr>
            <w:r w:rsidRPr="002549C0">
              <w:rPr>
                <w:sz w:val="18"/>
                <w:szCs w:val="18"/>
              </w:rPr>
              <w:t>Environmental justice</w:t>
            </w:r>
          </w:p>
        </w:tc>
        <w:tc>
          <w:tcPr>
            <w:tcW w:w="3510" w:type="dxa"/>
            <w:hideMark/>
          </w:tcPr>
          <w:p w:rsidR="009C6C4E" w:rsidRPr="002549C0" w:rsidRDefault="009C6C4E" w:rsidP="00DA18C0">
            <w:pPr>
              <w:widowControl w:val="0"/>
              <w:rPr>
                <w:sz w:val="18"/>
                <w:szCs w:val="18"/>
              </w:rPr>
            </w:pPr>
            <w:r w:rsidRPr="002549C0">
              <w:rPr>
                <w:sz w:val="18"/>
                <w:szCs w:val="18"/>
              </w:rPr>
              <w:t>None. The need for and the content of an analysis of environmental justice will be addressed in plant-specific reviews.</w:t>
            </w:r>
          </w:p>
        </w:tc>
        <w:tc>
          <w:tcPr>
            <w:tcW w:w="1548" w:type="dxa"/>
            <w:hideMark/>
          </w:tcPr>
          <w:p w:rsidR="009C6C4E" w:rsidRDefault="009C6C4E" w:rsidP="00DA18C0">
            <w:pPr>
              <w:widowControl w:val="0"/>
              <w:jc w:val="center"/>
              <w:rPr>
                <w:sz w:val="18"/>
                <w:szCs w:val="18"/>
              </w:rPr>
            </w:pPr>
            <w:r w:rsidRPr="002549C0">
              <w:rPr>
                <w:sz w:val="18"/>
                <w:szCs w:val="18"/>
              </w:rPr>
              <w:t xml:space="preserve">New </w:t>
            </w:r>
          </w:p>
          <w:p w:rsidR="009C6C4E" w:rsidRPr="002549C0" w:rsidRDefault="009C6C4E" w:rsidP="00DA18C0">
            <w:pPr>
              <w:widowControl w:val="0"/>
              <w:jc w:val="center"/>
              <w:rPr>
                <w:sz w:val="18"/>
                <w:szCs w:val="18"/>
              </w:rPr>
            </w:pPr>
            <w:r w:rsidRPr="002549C0">
              <w:rPr>
                <w:sz w:val="18"/>
                <w:szCs w:val="18"/>
              </w:rPr>
              <w:t xml:space="preserve">Category 2 </w:t>
            </w:r>
            <w:r>
              <w:rPr>
                <w:sz w:val="18"/>
                <w:szCs w:val="18"/>
              </w:rPr>
              <w:t>issue</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keepNext/>
              <w:keepLines/>
              <w:rPr>
                <w:b/>
                <w:bCs/>
                <w:sz w:val="18"/>
                <w:szCs w:val="18"/>
              </w:rPr>
            </w:pPr>
            <w:r w:rsidRPr="002549C0">
              <w:rPr>
                <w:b/>
                <w:bCs/>
                <w:sz w:val="18"/>
                <w:szCs w:val="18"/>
              </w:rPr>
              <w:lastRenderedPageBreak/>
              <w:t>Cumulative impacts</w:t>
            </w:r>
          </w:p>
        </w:tc>
      </w:tr>
      <w:tr w:rsidR="009C6C4E" w:rsidRPr="00D009E1" w:rsidTr="00DA18C0">
        <w:trPr>
          <w:cantSplit/>
          <w:trHeight w:val="1875"/>
        </w:trPr>
        <w:tc>
          <w:tcPr>
            <w:tcW w:w="828" w:type="dxa"/>
            <w:noWrap/>
            <w:hideMark/>
          </w:tcPr>
          <w:p w:rsidR="009C6C4E" w:rsidRPr="002549C0" w:rsidRDefault="009C6C4E" w:rsidP="00DA18C0">
            <w:pPr>
              <w:keepNext/>
              <w:keepLines/>
              <w:jc w:val="center"/>
              <w:rPr>
                <w:sz w:val="18"/>
                <w:szCs w:val="18"/>
              </w:rPr>
            </w:pPr>
            <w:r w:rsidRPr="002549C0">
              <w:rPr>
                <w:sz w:val="18"/>
                <w:szCs w:val="18"/>
              </w:rPr>
              <w:t>73</w:t>
            </w:r>
          </w:p>
        </w:tc>
        <w:tc>
          <w:tcPr>
            <w:tcW w:w="1800" w:type="dxa"/>
            <w:hideMark/>
          </w:tcPr>
          <w:p w:rsidR="009C6C4E" w:rsidRPr="002549C0" w:rsidRDefault="009C6C4E" w:rsidP="00DA18C0">
            <w:pPr>
              <w:keepNext/>
              <w:keepLines/>
              <w:rPr>
                <w:sz w:val="18"/>
                <w:szCs w:val="18"/>
              </w:rPr>
            </w:pPr>
            <w:r w:rsidRPr="002549C0">
              <w:rPr>
                <w:sz w:val="18"/>
                <w:szCs w:val="18"/>
              </w:rPr>
              <w:t>Cumulative impacts</w:t>
            </w:r>
          </w:p>
        </w:tc>
        <w:tc>
          <w:tcPr>
            <w:tcW w:w="3690" w:type="dxa"/>
            <w:hideMark/>
          </w:tcPr>
          <w:p w:rsidR="009C6C4E" w:rsidRPr="002549C0" w:rsidRDefault="009C6C4E" w:rsidP="00DA18C0">
            <w:pPr>
              <w:keepNext/>
              <w:keepLines/>
              <w:rPr>
                <w:sz w:val="18"/>
                <w:szCs w:val="18"/>
              </w:rPr>
            </w:pPr>
            <w:r w:rsidRPr="002549C0">
              <w:rPr>
                <w:sz w:val="18"/>
                <w:szCs w:val="18"/>
              </w:rPr>
              <w:t>(Category 2).  Cumulative impacts of continued operations and refurbishment associated with license renewal must be considered on a plant-specific basis.  Impacts would depend on regional resource characteristics, the resource-specific impacts of license renewal, and the cumulative significance of other factors affecting the resource.</w:t>
            </w:r>
          </w:p>
        </w:tc>
        <w:tc>
          <w:tcPr>
            <w:tcW w:w="1800" w:type="dxa"/>
            <w:hideMark/>
          </w:tcPr>
          <w:p w:rsidR="009C6C4E" w:rsidRPr="002549C0" w:rsidRDefault="009C6C4E" w:rsidP="00DA18C0">
            <w:pPr>
              <w:keepNext/>
              <w:keepLines/>
              <w:rPr>
                <w:sz w:val="18"/>
                <w:szCs w:val="18"/>
              </w:rPr>
            </w:pPr>
            <w:r w:rsidRPr="002549C0">
              <w:rPr>
                <w:sz w:val="18"/>
                <w:szCs w:val="18"/>
              </w:rPr>
              <w:t>Not addressed</w:t>
            </w:r>
          </w:p>
        </w:tc>
        <w:tc>
          <w:tcPr>
            <w:tcW w:w="3510" w:type="dxa"/>
            <w:hideMark/>
          </w:tcPr>
          <w:p w:rsidR="009C6C4E" w:rsidRPr="002549C0" w:rsidRDefault="009C6C4E" w:rsidP="00DA18C0">
            <w:pPr>
              <w:keepNext/>
              <w:keepLines/>
              <w:rPr>
                <w:sz w:val="18"/>
                <w:szCs w:val="18"/>
              </w:rPr>
            </w:pPr>
            <w:r w:rsidRPr="002549C0">
              <w:rPr>
                <w:sz w:val="18"/>
                <w:szCs w:val="18"/>
              </w:rPr>
              <w:t>Not addressed</w:t>
            </w:r>
          </w:p>
        </w:tc>
        <w:tc>
          <w:tcPr>
            <w:tcW w:w="1548" w:type="dxa"/>
            <w:hideMark/>
          </w:tcPr>
          <w:p w:rsidR="009C6C4E" w:rsidRDefault="009C6C4E" w:rsidP="00DA18C0">
            <w:pPr>
              <w:keepNext/>
              <w:keepLines/>
              <w:jc w:val="center"/>
              <w:rPr>
                <w:sz w:val="18"/>
                <w:szCs w:val="18"/>
              </w:rPr>
            </w:pPr>
            <w:r w:rsidRPr="002549C0">
              <w:rPr>
                <w:sz w:val="18"/>
                <w:szCs w:val="18"/>
              </w:rPr>
              <w:t xml:space="preserve">New </w:t>
            </w:r>
          </w:p>
          <w:p w:rsidR="009C6C4E" w:rsidRPr="002549C0" w:rsidRDefault="009C6C4E" w:rsidP="00DA18C0">
            <w:pPr>
              <w:keepNext/>
              <w:keepLines/>
              <w:jc w:val="center"/>
              <w:rPr>
                <w:sz w:val="18"/>
                <w:szCs w:val="18"/>
              </w:rPr>
            </w:pPr>
            <w:r w:rsidRPr="002549C0">
              <w:rPr>
                <w:sz w:val="18"/>
                <w:szCs w:val="18"/>
              </w:rPr>
              <w:t xml:space="preserve">Category 2 </w:t>
            </w:r>
            <w:r>
              <w:rPr>
                <w:sz w:val="18"/>
                <w:szCs w:val="18"/>
              </w:rPr>
              <w:t>issue</w:t>
            </w:r>
          </w:p>
        </w:tc>
      </w:tr>
      <w:tr w:rsidR="009C6C4E" w:rsidRPr="00D009E1" w:rsidTr="00DA18C0">
        <w:trPr>
          <w:cantSplit/>
          <w:trHeight w:val="240"/>
        </w:trPr>
        <w:tc>
          <w:tcPr>
            <w:tcW w:w="13176" w:type="dxa"/>
            <w:gridSpan w:val="6"/>
            <w:shd w:val="clear" w:color="auto" w:fill="D9D9D9" w:themeFill="background1" w:themeFillShade="D9"/>
            <w:noWrap/>
            <w:vAlign w:val="center"/>
            <w:hideMark/>
          </w:tcPr>
          <w:p w:rsidR="009C6C4E" w:rsidRPr="002549C0" w:rsidRDefault="009C6C4E" w:rsidP="00DA18C0">
            <w:pPr>
              <w:keepNext/>
              <w:keepLines/>
              <w:rPr>
                <w:b/>
                <w:bCs/>
                <w:sz w:val="18"/>
                <w:szCs w:val="18"/>
              </w:rPr>
            </w:pPr>
            <w:r w:rsidRPr="002549C0">
              <w:rPr>
                <w:b/>
                <w:bCs/>
                <w:sz w:val="18"/>
                <w:szCs w:val="18"/>
              </w:rPr>
              <w:t>Termination of Nuclear Power Plant Operations and Decommissioning</w:t>
            </w:r>
          </w:p>
        </w:tc>
      </w:tr>
      <w:tr w:rsidR="009C6C4E" w:rsidRPr="00D009E1" w:rsidTr="00DA18C0">
        <w:trPr>
          <w:cantSplit/>
          <w:trHeight w:val="1440"/>
        </w:trPr>
        <w:tc>
          <w:tcPr>
            <w:tcW w:w="828" w:type="dxa"/>
            <w:vMerge w:val="restart"/>
            <w:noWrap/>
            <w:hideMark/>
          </w:tcPr>
          <w:p w:rsidR="009C6C4E" w:rsidRPr="002549C0" w:rsidRDefault="009C6C4E" w:rsidP="00DA18C0">
            <w:pPr>
              <w:keepNext/>
              <w:keepLines/>
              <w:jc w:val="center"/>
              <w:rPr>
                <w:sz w:val="18"/>
                <w:szCs w:val="18"/>
              </w:rPr>
            </w:pPr>
            <w:r w:rsidRPr="002549C0">
              <w:rPr>
                <w:sz w:val="18"/>
                <w:szCs w:val="18"/>
              </w:rPr>
              <w:t>78</w:t>
            </w:r>
          </w:p>
        </w:tc>
        <w:tc>
          <w:tcPr>
            <w:tcW w:w="1800" w:type="dxa"/>
            <w:vMerge w:val="restart"/>
            <w:hideMark/>
          </w:tcPr>
          <w:p w:rsidR="009C6C4E" w:rsidRPr="002549C0" w:rsidRDefault="009C6C4E" w:rsidP="00DA18C0">
            <w:pPr>
              <w:keepNext/>
              <w:keepLines/>
              <w:rPr>
                <w:sz w:val="18"/>
                <w:szCs w:val="18"/>
              </w:rPr>
            </w:pPr>
            <w:r w:rsidRPr="002549C0">
              <w:rPr>
                <w:sz w:val="18"/>
                <w:szCs w:val="18"/>
              </w:rPr>
              <w:t xml:space="preserve">Termination </w:t>
            </w:r>
          </w:p>
          <w:p w:rsidR="009C6C4E" w:rsidRDefault="009C6C4E" w:rsidP="00DA18C0">
            <w:pPr>
              <w:keepNext/>
              <w:keepLines/>
              <w:rPr>
                <w:sz w:val="18"/>
                <w:szCs w:val="18"/>
              </w:rPr>
            </w:pPr>
            <w:r w:rsidRPr="002549C0">
              <w:rPr>
                <w:sz w:val="18"/>
                <w:szCs w:val="18"/>
              </w:rPr>
              <w:t>of plant</w:t>
            </w:r>
          </w:p>
          <w:p w:rsidR="009C6C4E" w:rsidRPr="002549C0" w:rsidRDefault="009C6C4E" w:rsidP="00DA18C0">
            <w:pPr>
              <w:keepNext/>
              <w:keepLines/>
              <w:rPr>
                <w:sz w:val="18"/>
                <w:szCs w:val="18"/>
              </w:rPr>
            </w:pPr>
            <w:r w:rsidRPr="002549C0">
              <w:rPr>
                <w:sz w:val="18"/>
                <w:szCs w:val="18"/>
              </w:rPr>
              <w:t xml:space="preserve"> operations and decommissioning</w:t>
            </w:r>
          </w:p>
        </w:tc>
        <w:tc>
          <w:tcPr>
            <w:tcW w:w="3690" w:type="dxa"/>
            <w:vMerge w:val="restart"/>
            <w:hideMark/>
          </w:tcPr>
          <w:p w:rsidR="009C6C4E" w:rsidRPr="002549C0" w:rsidRDefault="009C6C4E" w:rsidP="00DA18C0">
            <w:pPr>
              <w:keepNext/>
              <w:keepLines/>
              <w:rPr>
                <w:sz w:val="18"/>
                <w:szCs w:val="18"/>
              </w:rPr>
            </w:pPr>
            <w:r w:rsidRPr="002549C0">
              <w:rPr>
                <w:sz w:val="18"/>
                <w:szCs w:val="18"/>
              </w:rPr>
              <w:t>SMALL (Category 1). License renewal is expected to have a negligible effect on the impacts of terminating operations and decommissioning on all resources.</w:t>
            </w:r>
          </w:p>
        </w:tc>
        <w:tc>
          <w:tcPr>
            <w:tcW w:w="1800" w:type="dxa"/>
            <w:hideMark/>
          </w:tcPr>
          <w:p w:rsidR="009C6C4E" w:rsidRPr="002549C0" w:rsidRDefault="009C6C4E" w:rsidP="00DA18C0">
            <w:pPr>
              <w:keepNext/>
              <w:keepLines/>
              <w:rPr>
                <w:sz w:val="18"/>
                <w:szCs w:val="18"/>
              </w:rPr>
            </w:pPr>
            <w:r w:rsidRPr="002549C0">
              <w:rPr>
                <w:sz w:val="18"/>
                <w:szCs w:val="18"/>
              </w:rPr>
              <w:t>Radiation doses</w:t>
            </w:r>
          </w:p>
        </w:tc>
        <w:tc>
          <w:tcPr>
            <w:tcW w:w="3510" w:type="dxa"/>
            <w:hideMark/>
          </w:tcPr>
          <w:p w:rsidR="009C6C4E" w:rsidRPr="002549C0" w:rsidRDefault="009C6C4E" w:rsidP="00DA18C0">
            <w:pPr>
              <w:keepNext/>
              <w:keepLines/>
              <w:rPr>
                <w:sz w:val="18"/>
                <w:szCs w:val="18"/>
              </w:rPr>
            </w:pPr>
            <w:r w:rsidRPr="002549C0">
              <w:rPr>
                <w:sz w:val="18"/>
                <w:szCs w:val="18"/>
              </w:rPr>
              <w:t>SMALL (Category 1). Doses to the public will be well below applicable regulatory standards regardless of which decommissioning method is used. Occupational doses would increase no more than 1 man-rem caused by buildup of long-lived radionuclides during the license renewal term.</w:t>
            </w:r>
          </w:p>
        </w:tc>
        <w:tc>
          <w:tcPr>
            <w:tcW w:w="1548" w:type="dxa"/>
            <w:vMerge w:val="restart"/>
            <w:hideMark/>
          </w:tcPr>
          <w:p w:rsidR="009C6C4E" w:rsidRDefault="009C6C4E" w:rsidP="00DA18C0">
            <w:pPr>
              <w:keepNext/>
              <w:keepLines/>
              <w:jc w:val="center"/>
              <w:rPr>
                <w:sz w:val="18"/>
                <w:szCs w:val="18"/>
              </w:rPr>
            </w:pPr>
            <w:r>
              <w:rPr>
                <w:sz w:val="18"/>
                <w:szCs w:val="18"/>
              </w:rPr>
              <w:t xml:space="preserve">Issue consolidation </w:t>
            </w:r>
          </w:p>
          <w:p w:rsidR="009C6C4E" w:rsidRPr="002549C0" w:rsidRDefault="009C6C4E" w:rsidP="00DA18C0">
            <w:pPr>
              <w:keepNext/>
              <w:keepLines/>
              <w:jc w:val="center"/>
              <w:rPr>
                <w:sz w:val="18"/>
                <w:szCs w:val="18"/>
              </w:rPr>
            </w:pPr>
            <w:r>
              <w:rPr>
                <w:sz w:val="18"/>
                <w:szCs w:val="18"/>
              </w:rPr>
              <w:t>(Category 1)</w:t>
            </w:r>
          </w:p>
        </w:tc>
      </w:tr>
      <w:tr w:rsidR="009C6C4E" w:rsidRPr="00D009E1" w:rsidTr="00DA18C0">
        <w:trPr>
          <w:cantSplit/>
          <w:trHeight w:val="120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Waste management</w:t>
            </w:r>
          </w:p>
        </w:tc>
        <w:tc>
          <w:tcPr>
            <w:tcW w:w="3510" w:type="dxa"/>
            <w:hideMark/>
          </w:tcPr>
          <w:p w:rsidR="009C6C4E" w:rsidRPr="002549C0" w:rsidRDefault="009C6C4E" w:rsidP="00DA18C0">
            <w:pPr>
              <w:keepNext/>
              <w:keepLines/>
              <w:rPr>
                <w:sz w:val="18"/>
                <w:szCs w:val="18"/>
              </w:rPr>
            </w:pPr>
            <w:r w:rsidRPr="002549C0">
              <w:rPr>
                <w:sz w:val="18"/>
                <w:szCs w:val="18"/>
              </w:rPr>
              <w:t>SMALL (Category 1). Decommissioning at the end of a 20-year license renewal period would generate no more solid wastes than at the end of the current license term. No increase in the quantities of Class C or greater than Class C wastes would be expected.</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96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Air quality</w:t>
            </w:r>
          </w:p>
        </w:tc>
        <w:tc>
          <w:tcPr>
            <w:tcW w:w="3510" w:type="dxa"/>
            <w:hideMark/>
          </w:tcPr>
          <w:p w:rsidR="009C6C4E" w:rsidRPr="002549C0" w:rsidRDefault="009C6C4E" w:rsidP="00DA18C0">
            <w:pPr>
              <w:keepNext/>
              <w:keepLines/>
              <w:rPr>
                <w:sz w:val="18"/>
                <w:szCs w:val="18"/>
              </w:rPr>
            </w:pPr>
            <w:r w:rsidRPr="002549C0">
              <w:rPr>
                <w:sz w:val="18"/>
                <w:szCs w:val="18"/>
              </w:rPr>
              <w:t>SMALL (Category 1). Air quality impacts of decommissioning are expected to be negligible either at the end of the current operating term or at the end of the license renewal term.</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144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Water quality</w:t>
            </w:r>
          </w:p>
        </w:tc>
        <w:tc>
          <w:tcPr>
            <w:tcW w:w="3510" w:type="dxa"/>
            <w:hideMark/>
          </w:tcPr>
          <w:p w:rsidR="009C6C4E" w:rsidRPr="002549C0" w:rsidRDefault="009C6C4E" w:rsidP="00DA18C0">
            <w:pPr>
              <w:keepNext/>
              <w:keepLines/>
              <w:rPr>
                <w:sz w:val="18"/>
                <w:szCs w:val="18"/>
              </w:rPr>
            </w:pPr>
            <w:r w:rsidRPr="002549C0">
              <w:rPr>
                <w:sz w:val="18"/>
                <w:szCs w:val="18"/>
              </w:rPr>
              <w:t>SMALL (Category 1).</w:t>
            </w:r>
            <w:r>
              <w:rPr>
                <w:sz w:val="18"/>
                <w:szCs w:val="18"/>
              </w:rPr>
              <w:t xml:space="preserve"> </w:t>
            </w:r>
            <w:r w:rsidRPr="002549C0">
              <w:rPr>
                <w:sz w:val="18"/>
                <w:szCs w:val="18"/>
              </w:rPr>
              <w:t>The potential for significant water quality impacts from erosion or spills is no greater whether decommissioning occurs after a 20-year license renewal period or after the original 40-year operation period, and measures are readily available to avoid such impacts.</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960"/>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Ecological resources</w:t>
            </w:r>
          </w:p>
        </w:tc>
        <w:tc>
          <w:tcPr>
            <w:tcW w:w="3510" w:type="dxa"/>
            <w:hideMark/>
          </w:tcPr>
          <w:p w:rsidR="009C6C4E" w:rsidRPr="002549C0" w:rsidRDefault="009C6C4E" w:rsidP="00DA18C0">
            <w:pPr>
              <w:keepNext/>
              <w:keepLines/>
              <w:rPr>
                <w:sz w:val="18"/>
                <w:szCs w:val="18"/>
              </w:rPr>
            </w:pPr>
            <w:r w:rsidRPr="002549C0">
              <w:rPr>
                <w:sz w:val="18"/>
                <w:szCs w:val="18"/>
              </w:rPr>
              <w:t>SMALL (Category 1).</w:t>
            </w:r>
            <w:r>
              <w:rPr>
                <w:sz w:val="18"/>
                <w:szCs w:val="18"/>
              </w:rPr>
              <w:t xml:space="preserve"> </w:t>
            </w:r>
            <w:r w:rsidRPr="002549C0">
              <w:rPr>
                <w:sz w:val="18"/>
                <w:szCs w:val="18"/>
              </w:rPr>
              <w:t>Decommissioning after either the initial operating period or after a 20-year license renewal period is not expected to have any direct ecological impacts.</w:t>
            </w:r>
          </w:p>
        </w:tc>
        <w:tc>
          <w:tcPr>
            <w:tcW w:w="1548" w:type="dxa"/>
            <w:vMerge/>
            <w:hideMark/>
          </w:tcPr>
          <w:p w:rsidR="009C6C4E" w:rsidRPr="002549C0" w:rsidRDefault="009C6C4E" w:rsidP="00DA18C0">
            <w:pPr>
              <w:keepNext/>
              <w:keepLines/>
              <w:jc w:val="center"/>
              <w:rPr>
                <w:sz w:val="18"/>
                <w:szCs w:val="18"/>
              </w:rPr>
            </w:pPr>
          </w:p>
        </w:tc>
      </w:tr>
      <w:tr w:rsidR="009C6C4E" w:rsidRPr="00D009E1" w:rsidTr="00DA18C0">
        <w:trPr>
          <w:cantSplit/>
          <w:trHeight w:val="1455"/>
        </w:trPr>
        <w:tc>
          <w:tcPr>
            <w:tcW w:w="828" w:type="dxa"/>
            <w:vMerge/>
            <w:hideMark/>
          </w:tcPr>
          <w:p w:rsidR="009C6C4E" w:rsidRPr="002549C0" w:rsidRDefault="009C6C4E" w:rsidP="00DA18C0">
            <w:pPr>
              <w:keepNext/>
              <w:keepLines/>
              <w:jc w:val="center"/>
              <w:rPr>
                <w:sz w:val="18"/>
                <w:szCs w:val="18"/>
              </w:rPr>
            </w:pPr>
          </w:p>
        </w:tc>
        <w:tc>
          <w:tcPr>
            <w:tcW w:w="1800" w:type="dxa"/>
            <w:vMerge/>
            <w:hideMark/>
          </w:tcPr>
          <w:p w:rsidR="009C6C4E" w:rsidRPr="002549C0" w:rsidRDefault="009C6C4E" w:rsidP="00DA18C0">
            <w:pPr>
              <w:keepNext/>
              <w:keepLines/>
              <w:rPr>
                <w:sz w:val="18"/>
                <w:szCs w:val="18"/>
              </w:rPr>
            </w:pPr>
          </w:p>
        </w:tc>
        <w:tc>
          <w:tcPr>
            <w:tcW w:w="3690" w:type="dxa"/>
            <w:vMerge/>
            <w:hideMark/>
          </w:tcPr>
          <w:p w:rsidR="009C6C4E" w:rsidRPr="002549C0" w:rsidRDefault="009C6C4E" w:rsidP="00DA18C0">
            <w:pPr>
              <w:keepNext/>
              <w:keepLines/>
              <w:rPr>
                <w:sz w:val="18"/>
                <w:szCs w:val="18"/>
              </w:rPr>
            </w:pPr>
          </w:p>
        </w:tc>
        <w:tc>
          <w:tcPr>
            <w:tcW w:w="1800" w:type="dxa"/>
            <w:hideMark/>
          </w:tcPr>
          <w:p w:rsidR="009C6C4E" w:rsidRPr="002549C0" w:rsidRDefault="009C6C4E" w:rsidP="00DA18C0">
            <w:pPr>
              <w:keepNext/>
              <w:keepLines/>
              <w:rPr>
                <w:sz w:val="18"/>
                <w:szCs w:val="18"/>
              </w:rPr>
            </w:pPr>
            <w:r w:rsidRPr="002549C0">
              <w:rPr>
                <w:sz w:val="18"/>
                <w:szCs w:val="18"/>
              </w:rPr>
              <w:t>Socioeconomic impacts</w:t>
            </w:r>
          </w:p>
        </w:tc>
        <w:tc>
          <w:tcPr>
            <w:tcW w:w="3510" w:type="dxa"/>
            <w:hideMark/>
          </w:tcPr>
          <w:p w:rsidR="009C6C4E" w:rsidRPr="002549C0" w:rsidRDefault="009C6C4E" w:rsidP="00DA18C0">
            <w:pPr>
              <w:keepNext/>
              <w:keepLines/>
              <w:rPr>
                <w:sz w:val="18"/>
                <w:szCs w:val="18"/>
              </w:rPr>
            </w:pPr>
            <w:r w:rsidRPr="002549C0">
              <w:rPr>
                <w:sz w:val="18"/>
                <w:szCs w:val="18"/>
              </w:rPr>
              <w:t>SMALL (Category 1).</w:t>
            </w:r>
            <w:r>
              <w:rPr>
                <w:sz w:val="18"/>
                <w:szCs w:val="18"/>
              </w:rPr>
              <w:t xml:space="preserve"> </w:t>
            </w:r>
            <w:r w:rsidRPr="002549C0">
              <w:rPr>
                <w:sz w:val="18"/>
                <w:szCs w:val="18"/>
              </w:rPr>
              <w:t>Decommissioning would have some short-term socioeconomic impacts. The impacts would not be increased by delaying decommissioning until the end of a 20-year relicense period, but they might be decreased by population and economic growth.</w:t>
            </w:r>
          </w:p>
        </w:tc>
        <w:tc>
          <w:tcPr>
            <w:tcW w:w="1548" w:type="dxa"/>
            <w:vMerge/>
            <w:hideMark/>
          </w:tcPr>
          <w:p w:rsidR="009C6C4E" w:rsidRPr="002549C0" w:rsidRDefault="009C6C4E" w:rsidP="00DA18C0">
            <w:pPr>
              <w:keepNext/>
              <w:keepLines/>
              <w:jc w:val="center"/>
              <w:rPr>
                <w:sz w:val="18"/>
                <w:szCs w:val="18"/>
              </w:rPr>
            </w:pPr>
          </w:p>
        </w:tc>
      </w:tr>
    </w:tbl>
    <w:p w:rsidR="0098401A" w:rsidRDefault="0098401A">
      <w:pPr>
        <w:rPr>
          <w:b/>
        </w:rPr>
      </w:pPr>
    </w:p>
    <w:sectPr w:rsidR="0098401A" w:rsidSect="009C6C4E">
      <w:pgSz w:w="15840" w:h="12240" w:orient="landscape"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B5" w:rsidRDefault="00455FB5" w:rsidP="00DD1A22">
      <w:pPr>
        <w:spacing w:line="240" w:lineRule="auto"/>
      </w:pPr>
      <w:r>
        <w:separator/>
      </w:r>
    </w:p>
  </w:endnote>
  <w:endnote w:type="continuationSeparator" w:id="0">
    <w:p w:rsidR="00455FB5" w:rsidRDefault="00455FB5" w:rsidP="00DD1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B5" w:rsidRDefault="00455FB5" w:rsidP="00DD1A22">
      <w:pPr>
        <w:spacing w:line="240" w:lineRule="auto"/>
      </w:pPr>
      <w:r>
        <w:separator/>
      </w:r>
    </w:p>
  </w:footnote>
  <w:footnote w:type="continuationSeparator" w:id="0">
    <w:p w:rsidR="00455FB5" w:rsidRDefault="00455FB5" w:rsidP="00DD1A22">
      <w:pPr>
        <w:spacing w:line="240" w:lineRule="auto"/>
      </w:pPr>
      <w:r>
        <w:continuationSeparator/>
      </w:r>
    </w:p>
  </w:footnote>
  <w:footnote w:id="1">
    <w:p w:rsidR="00455FB5" w:rsidRPr="00F039A6" w:rsidRDefault="00455FB5" w:rsidP="00A24E6C">
      <w:pPr>
        <w:pStyle w:val="FootnoteText"/>
      </w:pPr>
      <w:r w:rsidRPr="00F039A6">
        <w:rPr>
          <w:rStyle w:val="FootnoteReference"/>
        </w:rPr>
        <w:footnoteRef/>
      </w:r>
      <w:r w:rsidRPr="00F039A6">
        <w:t xml:space="preserve"> New Category 1 issues also result</w:t>
      </w:r>
      <w:r>
        <w:t>ed</w:t>
      </w:r>
      <w:r w:rsidRPr="00F039A6">
        <w:t xml:space="preserve"> from consolidation of multiple Category 1 issues from the 1996 GEIS</w:t>
      </w:r>
      <w:r>
        <w:t xml:space="preserve"> and </w:t>
      </w:r>
      <w:r w:rsidRPr="00F039A6">
        <w:t>Table </w:t>
      </w:r>
      <w:r>
        <w:t>B-1</w:t>
      </w:r>
      <w:r w:rsidRPr="00F039A6">
        <w:t xml:space="preserve"> of the current rule.  These new Category 1 issues reduce the </w:t>
      </w:r>
      <w:r>
        <w:t>burden associated with</w:t>
      </w:r>
      <w:r w:rsidRPr="00F039A6">
        <w:t xml:space="preserve"> rule compliance by eliminating duplicative data collection and reporting efforts. </w:t>
      </w:r>
    </w:p>
  </w:footnote>
  <w:footnote w:id="2">
    <w:p w:rsidR="00455FB5" w:rsidRDefault="00455FB5" w:rsidP="00A24E6C">
      <w:pPr>
        <w:pStyle w:val="FootnoteText"/>
      </w:pPr>
      <w:r w:rsidRPr="00F039A6">
        <w:rPr>
          <w:rStyle w:val="FootnoteReference"/>
        </w:rPr>
        <w:footnoteRef/>
      </w:r>
      <w:r w:rsidRPr="00F039A6">
        <w:t xml:space="preserve"> New Category 2 issues also result</w:t>
      </w:r>
      <w:r>
        <w:t>ed</w:t>
      </w:r>
      <w:r w:rsidRPr="00F039A6">
        <w:t xml:space="preserve"> from consolidation of multiple Category 2 i</w:t>
      </w:r>
      <w:r>
        <w:t xml:space="preserve">ssues from the 1996 GEIS and </w:t>
      </w:r>
      <w:r w:rsidRPr="00F039A6">
        <w:t>Table </w:t>
      </w:r>
      <w:r>
        <w:t>B-1</w:t>
      </w:r>
      <w:r w:rsidRPr="00F039A6">
        <w:t xml:space="preserve"> of the current rule.  These new </w:t>
      </w:r>
      <w:r>
        <w:t xml:space="preserve">consolidated </w:t>
      </w:r>
      <w:r w:rsidRPr="00F039A6">
        <w:t xml:space="preserve">Category 2 issues reduce the </w:t>
      </w:r>
      <w:r>
        <w:t>burden associated with</w:t>
      </w:r>
      <w:r w:rsidRPr="00F039A6">
        <w:t xml:space="preserve"> rule compliance by eliminating duplicative data collection and reporting efforts.</w:t>
      </w:r>
    </w:p>
  </w:footnote>
  <w:footnote w:id="3">
    <w:p w:rsidR="00455FB5" w:rsidRDefault="00455FB5" w:rsidP="009C6C4E">
      <w:pPr>
        <w:pStyle w:val="FootnoteText"/>
      </w:pPr>
      <w:r>
        <w:rPr>
          <w:rStyle w:val="FootnoteReference"/>
        </w:rPr>
        <w:footnoteRef/>
      </w:r>
      <w:r>
        <w:t xml:space="preserve">  </w:t>
      </w:r>
      <w:r w:rsidRPr="00056B6A">
        <w:t xml:space="preserve">Approximately 50 percent of nuclear power plants have cooling towers.  Therefore, </w:t>
      </w:r>
      <w:r>
        <w:t>this information collection requirement only applies to 50 percent of license renewal applications prepared by industry and reviewed by the NRC.</w:t>
      </w:r>
    </w:p>
  </w:footnote>
  <w:footnote w:id="4">
    <w:p w:rsidR="00455FB5" w:rsidRDefault="00455FB5" w:rsidP="009C6C4E">
      <w:pPr>
        <w:pStyle w:val="FootnoteText"/>
      </w:pPr>
      <w:r>
        <w:rPr>
          <w:rStyle w:val="FootnoteReference"/>
        </w:rPr>
        <w:footnoteRef/>
      </w:r>
      <w:r>
        <w:t xml:space="preserve">  </w:t>
      </w:r>
      <w:r w:rsidRPr="00056B6A">
        <w:t xml:space="preserve">Approximately 50 percent of nuclear power plants use makeup water from a river.  </w:t>
      </w:r>
      <w:r>
        <w:t>Therefore, this information collection requirement only applies to 50 percent of license renewal applications prepared by industry and reviewed by the NRC.</w:t>
      </w:r>
    </w:p>
  </w:footnote>
  <w:footnote w:id="5">
    <w:p w:rsidR="00455FB5" w:rsidRDefault="00455FB5" w:rsidP="009C6C4E">
      <w:pPr>
        <w:pStyle w:val="FootnoteText"/>
      </w:pPr>
      <w:r>
        <w:rPr>
          <w:rStyle w:val="FootnoteReference"/>
        </w:rPr>
        <w:footnoteRef/>
      </w:r>
      <w:r>
        <w:t xml:space="preserve"> </w:t>
      </w:r>
      <w:r w:rsidRPr="001B52E3">
        <w:t xml:space="preserve">Approximately 50 percent of nuclear power plants use once-through cooling systems or cooling ponds.  </w:t>
      </w:r>
      <w:r>
        <w:t>Therefore, this information collection requirement only applies to 50 percent of license renewal applications prepared by industry and reviewed by the NRC.</w:t>
      </w:r>
    </w:p>
  </w:footnote>
  <w:footnote w:id="6">
    <w:p w:rsidR="00455FB5" w:rsidRDefault="00455FB5" w:rsidP="009C6C4E">
      <w:pPr>
        <w:pStyle w:val="FootnoteText"/>
      </w:pPr>
      <w:r>
        <w:rPr>
          <w:rStyle w:val="FootnoteReference"/>
        </w:rPr>
        <w:footnoteRef/>
      </w:r>
      <w:r>
        <w:t xml:space="preserve"> </w:t>
      </w:r>
      <w:r w:rsidRPr="00056B6A">
        <w:t xml:space="preserve">Approximately 50 percent of nuclear power plants have cooling towers.  Therefore, </w:t>
      </w:r>
      <w:r>
        <w:t>this information collection requirement only applies to 50 percent of license renewal applications prepared by industry and reviewed by the NRC.</w:t>
      </w:r>
    </w:p>
  </w:footnote>
  <w:footnote w:id="7">
    <w:p w:rsidR="00455FB5" w:rsidRDefault="00455FB5" w:rsidP="009C6C4E">
      <w:pPr>
        <w:pStyle w:val="FootnoteText"/>
      </w:pPr>
      <w:r>
        <w:rPr>
          <w:rStyle w:val="FootnoteReference"/>
        </w:rPr>
        <w:footnoteRef/>
      </w:r>
      <w:r>
        <w:t xml:space="preserve"> </w:t>
      </w:r>
      <w:r w:rsidRPr="00056B6A">
        <w:t xml:space="preserve">Approximately 50 percent of nuclear power plants use makeup water from a river.  </w:t>
      </w:r>
      <w:r>
        <w:t>Therefore, this information collection requirement only applies to 50 percent of license renewal applications prepared by industry and reviewed by the NRC.</w:t>
      </w:r>
    </w:p>
  </w:footnote>
  <w:footnote w:id="8">
    <w:p w:rsidR="00455FB5" w:rsidRDefault="00455FB5" w:rsidP="009C6C4E">
      <w:pPr>
        <w:pStyle w:val="FootnoteText"/>
      </w:pPr>
      <w:r>
        <w:rPr>
          <w:rStyle w:val="FootnoteReference"/>
        </w:rPr>
        <w:footnoteRef/>
      </w:r>
      <w:r>
        <w:t xml:space="preserve"> </w:t>
      </w:r>
      <w:r w:rsidRPr="00AD2C3A">
        <w:t xml:space="preserve">Approximately 10 percent of nuclear power plants are located in areas in close proximity </w:t>
      </w:r>
      <w:proofErr w:type="gramStart"/>
      <w:r w:rsidRPr="00AD2C3A">
        <w:t>to a commercial fisheries</w:t>
      </w:r>
      <w:proofErr w:type="gramEnd"/>
      <w:r w:rsidRPr="00AD2C3A">
        <w:t xml:space="preserve">.  </w:t>
      </w:r>
      <w:r>
        <w:t>Therefore, this information collection requirement only applies to 10 percent of license renewal applications prepared by industry and reviewed by the NRC</w:t>
      </w:r>
      <w:r w:rsidRPr="00AD2C3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19805"/>
      <w:docPartObj>
        <w:docPartGallery w:val="Page Numbers (Top of Page)"/>
        <w:docPartUnique/>
      </w:docPartObj>
    </w:sdtPr>
    <w:sdtEndPr/>
    <w:sdtContent>
      <w:p w:rsidR="00455FB5" w:rsidRDefault="00455FB5">
        <w:pPr>
          <w:pStyle w:val="Header"/>
          <w:jc w:val="center"/>
        </w:pPr>
        <w:r>
          <w:t xml:space="preserve">- </w:t>
        </w:r>
        <w:r>
          <w:fldChar w:fldCharType="begin"/>
        </w:r>
        <w:r>
          <w:instrText xml:space="preserve"> PAGE   \* MERGEFORMAT </w:instrText>
        </w:r>
        <w:r>
          <w:fldChar w:fldCharType="separate"/>
        </w:r>
        <w:r w:rsidR="00A9001B">
          <w:rPr>
            <w:noProof/>
          </w:rPr>
          <w:t>9</w:t>
        </w:r>
        <w:r>
          <w:rPr>
            <w:noProof/>
          </w:rPr>
          <w:fldChar w:fldCharType="end"/>
        </w:r>
        <w:r>
          <w:t xml:space="preserve"> -</w:t>
        </w:r>
      </w:p>
    </w:sdtContent>
  </w:sdt>
  <w:p w:rsidR="00455FB5" w:rsidRDefault="00455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3943"/>
      <w:docPartObj>
        <w:docPartGallery w:val="Page Numbers (Top of Page)"/>
        <w:docPartUnique/>
      </w:docPartObj>
    </w:sdtPr>
    <w:sdtEndPr/>
    <w:sdtContent>
      <w:p w:rsidR="00455FB5" w:rsidRDefault="00455FB5">
        <w:pPr>
          <w:pStyle w:val="Header"/>
          <w:jc w:val="center"/>
        </w:pPr>
        <w:r>
          <w:t xml:space="preserve">- </w:t>
        </w:r>
        <w:r>
          <w:fldChar w:fldCharType="begin"/>
        </w:r>
        <w:r>
          <w:instrText xml:space="preserve"> PAGE   \* MERGEFORMAT </w:instrText>
        </w:r>
        <w:r>
          <w:fldChar w:fldCharType="separate"/>
        </w:r>
        <w:r w:rsidR="00A9001B">
          <w:rPr>
            <w:noProof/>
          </w:rPr>
          <w:t>14</w:t>
        </w:r>
        <w:r>
          <w:rPr>
            <w:noProof/>
          </w:rPr>
          <w:fldChar w:fldCharType="end"/>
        </w:r>
        <w:r>
          <w:t xml:space="preserve"> -</w:t>
        </w:r>
      </w:p>
    </w:sdtContent>
  </w:sdt>
  <w:p w:rsidR="00455FB5" w:rsidRDefault="00455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6C3"/>
    <w:multiLevelType w:val="hybridMultilevel"/>
    <w:tmpl w:val="6B54F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962D4"/>
    <w:multiLevelType w:val="hybridMultilevel"/>
    <w:tmpl w:val="67BE6C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74547E3"/>
    <w:multiLevelType w:val="hybridMultilevel"/>
    <w:tmpl w:val="0D5CE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E6126"/>
    <w:multiLevelType w:val="hybridMultilevel"/>
    <w:tmpl w:val="89F2A5B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6FB54127"/>
    <w:multiLevelType w:val="hybridMultilevel"/>
    <w:tmpl w:val="F60CC8AA"/>
    <w:lvl w:ilvl="0" w:tplc="BB2E80F8">
      <w:start w:val="1"/>
      <w:numFmt w:val="bullet"/>
      <w:lvlText w:val=""/>
      <w:lvlJc w:val="left"/>
      <w:pPr>
        <w:ind w:left="720" w:hanging="360"/>
      </w:pPr>
      <w:rPr>
        <w:rFonts w:ascii="Symbol" w:hAnsi="Symbol" w:hint="default"/>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1C"/>
    <w:rsid w:val="00001CB0"/>
    <w:rsid w:val="000028F3"/>
    <w:rsid w:val="0000363B"/>
    <w:rsid w:val="00004583"/>
    <w:rsid w:val="0000466C"/>
    <w:rsid w:val="0000475F"/>
    <w:rsid w:val="00006320"/>
    <w:rsid w:val="00006ADF"/>
    <w:rsid w:val="00010948"/>
    <w:rsid w:val="00012B56"/>
    <w:rsid w:val="000172BF"/>
    <w:rsid w:val="00017E3C"/>
    <w:rsid w:val="000201E6"/>
    <w:rsid w:val="00021021"/>
    <w:rsid w:val="00022796"/>
    <w:rsid w:val="000237D1"/>
    <w:rsid w:val="0002391C"/>
    <w:rsid w:val="0002565A"/>
    <w:rsid w:val="00026546"/>
    <w:rsid w:val="000300C1"/>
    <w:rsid w:val="000305A5"/>
    <w:rsid w:val="00030A03"/>
    <w:rsid w:val="000317B0"/>
    <w:rsid w:val="00031BC8"/>
    <w:rsid w:val="00032C0B"/>
    <w:rsid w:val="00032F05"/>
    <w:rsid w:val="000339E5"/>
    <w:rsid w:val="000359B7"/>
    <w:rsid w:val="000360D5"/>
    <w:rsid w:val="00036120"/>
    <w:rsid w:val="000368C4"/>
    <w:rsid w:val="00036AD3"/>
    <w:rsid w:val="00041EC4"/>
    <w:rsid w:val="00043E0C"/>
    <w:rsid w:val="00044839"/>
    <w:rsid w:val="0004732E"/>
    <w:rsid w:val="00050481"/>
    <w:rsid w:val="00053BEC"/>
    <w:rsid w:val="00054500"/>
    <w:rsid w:val="000558D3"/>
    <w:rsid w:val="0005748B"/>
    <w:rsid w:val="00062E65"/>
    <w:rsid w:val="00065141"/>
    <w:rsid w:val="00067FE2"/>
    <w:rsid w:val="00070082"/>
    <w:rsid w:val="00070305"/>
    <w:rsid w:val="000712DC"/>
    <w:rsid w:val="00073347"/>
    <w:rsid w:val="00073AB7"/>
    <w:rsid w:val="00074166"/>
    <w:rsid w:val="0007511C"/>
    <w:rsid w:val="00080557"/>
    <w:rsid w:val="000831DC"/>
    <w:rsid w:val="00083CE0"/>
    <w:rsid w:val="0008487D"/>
    <w:rsid w:val="00087477"/>
    <w:rsid w:val="00090AEC"/>
    <w:rsid w:val="00093FD5"/>
    <w:rsid w:val="00096835"/>
    <w:rsid w:val="00097D9A"/>
    <w:rsid w:val="000A0FAF"/>
    <w:rsid w:val="000A55B3"/>
    <w:rsid w:val="000A576E"/>
    <w:rsid w:val="000A5A89"/>
    <w:rsid w:val="000A7A32"/>
    <w:rsid w:val="000B0756"/>
    <w:rsid w:val="000B2683"/>
    <w:rsid w:val="000B4E25"/>
    <w:rsid w:val="000B602E"/>
    <w:rsid w:val="000C0EEE"/>
    <w:rsid w:val="000C1F8E"/>
    <w:rsid w:val="000C4DD1"/>
    <w:rsid w:val="000C51B6"/>
    <w:rsid w:val="000C7B7B"/>
    <w:rsid w:val="000D248E"/>
    <w:rsid w:val="000D3390"/>
    <w:rsid w:val="000D3B4B"/>
    <w:rsid w:val="000D7AED"/>
    <w:rsid w:val="000E0FAF"/>
    <w:rsid w:val="000E27D5"/>
    <w:rsid w:val="000E4EE2"/>
    <w:rsid w:val="000E53C1"/>
    <w:rsid w:val="000E7A6E"/>
    <w:rsid w:val="000F0DAA"/>
    <w:rsid w:val="000F2400"/>
    <w:rsid w:val="000F4640"/>
    <w:rsid w:val="000F5A89"/>
    <w:rsid w:val="000F7181"/>
    <w:rsid w:val="000F77AF"/>
    <w:rsid w:val="000F78D0"/>
    <w:rsid w:val="001043F0"/>
    <w:rsid w:val="00105AB3"/>
    <w:rsid w:val="00110522"/>
    <w:rsid w:val="001148E3"/>
    <w:rsid w:val="001165AC"/>
    <w:rsid w:val="00117F9E"/>
    <w:rsid w:val="001224B4"/>
    <w:rsid w:val="001228C4"/>
    <w:rsid w:val="00123D60"/>
    <w:rsid w:val="00125757"/>
    <w:rsid w:val="00127A60"/>
    <w:rsid w:val="001324F2"/>
    <w:rsid w:val="001333C7"/>
    <w:rsid w:val="0013667D"/>
    <w:rsid w:val="0013725A"/>
    <w:rsid w:val="001373F7"/>
    <w:rsid w:val="001409BB"/>
    <w:rsid w:val="00144AAC"/>
    <w:rsid w:val="00144E01"/>
    <w:rsid w:val="00145100"/>
    <w:rsid w:val="001470A2"/>
    <w:rsid w:val="00147F68"/>
    <w:rsid w:val="00150D00"/>
    <w:rsid w:val="00153FC7"/>
    <w:rsid w:val="0015511C"/>
    <w:rsid w:val="0015567A"/>
    <w:rsid w:val="001600D3"/>
    <w:rsid w:val="00162880"/>
    <w:rsid w:val="0016499E"/>
    <w:rsid w:val="001719E7"/>
    <w:rsid w:val="001740E1"/>
    <w:rsid w:val="001804D1"/>
    <w:rsid w:val="0018138E"/>
    <w:rsid w:val="0018139B"/>
    <w:rsid w:val="00192FFB"/>
    <w:rsid w:val="00193BFA"/>
    <w:rsid w:val="00193D45"/>
    <w:rsid w:val="001941B1"/>
    <w:rsid w:val="00194977"/>
    <w:rsid w:val="001958D2"/>
    <w:rsid w:val="0019697C"/>
    <w:rsid w:val="00197592"/>
    <w:rsid w:val="001A1E10"/>
    <w:rsid w:val="001A4CB7"/>
    <w:rsid w:val="001A7684"/>
    <w:rsid w:val="001B0854"/>
    <w:rsid w:val="001B1E7B"/>
    <w:rsid w:val="001C2F3A"/>
    <w:rsid w:val="001C42F3"/>
    <w:rsid w:val="001C7C4B"/>
    <w:rsid w:val="001D03F8"/>
    <w:rsid w:val="001D4BDD"/>
    <w:rsid w:val="001D5F84"/>
    <w:rsid w:val="001E0EF8"/>
    <w:rsid w:val="001E7595"/>
    <w:rsid w:val="001F068A"/>
    <w:rsid w:val="001F2790"/>
    <w:rsid w:val="001F4F5E"/>
    <w:rsid w:val="001F5AE5"/>
    <w:rsid w:val="00201EA1"/>
    <w:rsid w:val="00203164"/>
    <w:rsid w:val="00204176"/>
    <w:rsid w:val="0020448C"/>
    <w:rsid w:val="00207645"/>
    <w:rsid w:val="0021277B"/>
    <w:rsid w:val="00214DCE"/>
    <w:rsid w:val="002163AA"/>
    <w:rsid w:val="002172BD"/>
    <w:rsid w:val="00217957"/>
    <w:rsid w:val="0022270A"/>
    <w:rsid w:val="00222E1E"/>
    <w:rsid w:val="0022412F"/>
    <w:rsid w:val="00225CD6"/>
    <w:rsid w:val="00226B10"/>
    <w:rsid w:val="00227365"/>
    <w:rsid w:val="002274C7"/>
    <w:rsid w:val="00232A25"/>
    <w:rsid w:val="00234BEE"/>
    <w:rsid w:val="00234F90"/>
    <w:rsid w:val="002379BE"/>
    <w:rsid w:val="00240488"/>
    <w:rsid w:val="002420B0"/>
    <w:rsid w:val="002458A4"/>
    <w:rsid w:val="00245923"/>
    <w:rsid w:val="002462EE"/>
    <w:rsid w:val="00247F4A"/>
    <w:rsid w:val="00250FED"/>
    <w:rsid w:val="002510D8"/>
    <w:rsid w:val="00251B39"/>
    <w:rsid w:val="00257185"/>
    <w:rsid w:val="00257F6A"/>
    <w:rsid w:val="00261EA9"/>
    <w:rsid w:val="00263DBA"/>
    <w:rsid w:val="00263E14"/>
    <w:rsid w:val="00264C5F"/>
    <w:rsid w:val="00264EED"/>
    <w:rsid w:val="00266EBA"/>
    <w:rsid w:val="0027092F"/>
    <w:rsid w:val="002713CD"/>
    <w:rsid w:val="002730ED"/>
    <w:rsid w:val="002743BF"/>
    <w:rsid w:val="00280574"/>
    <w:rsid w:val="00283700"/>
    <w:rsid w:val="00283F5E"/>
    <w:rsid w:val="00285AA3"/>
    <w:rsid w:val="002904F6"/>
    <w:rsid w:val="002916E4"/>
    <w:rsid w:val="002923C5"/>
    <w:rsid w:val="002926D3"/>
    <w:rsid w:val="00292B3C"/>
    <w:rsid w:val="002A0766"/>
    <w:rsid w:val="002A1C5E"/>
    <w:rsid w:val="002A6C7E"/>
    <w:rsid w:val="002B70AC"/>
    <w:rsid w:val="002C078B"/>
    <w:rsid w:val="002C2110"/>
    <w:rsid w:val="002C32E5"/>
    <w:rsid w:val="002C41D4"/>
    <w:rsid w:val="002C4266"/>
    <w:rsid w:val="002C42F6"/>
    <w:rsid w:val="002C5A87"/>
    <w:rsid w:val="002C6997"/>
    <w:rsid w:val="002D0C3F"/>
    <w:rsid w:val="002D1929"/>
    <w:rsid w:val="002D2E1A"/>
    <w:rsid w:val="002D3E8E"/>
    <w:rsid w:val="002D4AD2"/>
    <w:rsid w:val="002E0054"/>
    <w:rsid w:val="002E02FF"/>
    <w:rsid w:val="002E103B"/>
    <w:rsid w:val="002E1AFE"/>
    <w:rsid w:val="002E7177"/>
    <w:rsid w:val="002E7C4F"/>
    <w:rsid w:val="002F2753"/>
    <w:rsid w:val="002F3214"/>
    <w:rsid w:val="002F4C6F"/>
    <w:rsid w:val="0030060F"/>
    <w:rsid w:val="003009F2"/>
    <w:rsid w:val="00301779"/>
    <w:rsid w:val="003047D3"/>
    <w:rsid w:val="003057DA"/>
    <w:rsid w:val="0030608A"/>
    <w:rsid w:val="0030674E"/>
    <w:rsid w:val="0031057C"/>
    <w:rsid w:val="00312D64"/>
    <w:rsid w:val="00313AE3"/>
    <w:rsid w:val="00316137"/>
    <w:rsid w:val="00316DA4"/>
    <w:rsid w:val="00317249"/>
    <w:rsid w:val="00317C79"/>
    <w:rsid w:val="00320F79"/>
    <w:rsid w:val="00321383"/>
    <w:rsid w:val="00324244"/>
    <w:rsid w:val="00332707"/>
    <w:rsid w:val="003336FF"/>
    <w:rsid w:val="0033740E"/>
    <w:rsid w:val="00342857"/>
    <w:rsid w:val="00347166"/>
    <w:rsid w:val="00347A6A"/>
    <w:rsid w:val="003537CC"/>
    <w:rsid w:val="00355F8C"/>
    <w:rsid w:val="003561E2"/>
    <w:rsid w:val="00357EB5"/>
    <w:rsid w:val="0036714E"/>
    <w:rsid w:val="00367358"/>
    <w:rsid w:val="00371BBD"/>
    <w:rsid w:val="003804A4"/>
    <w:rsid w:val="00381926"/>
    <w:rsid w:val="00385E48"/>
    <w:rsid w:val="0038663F"/>
    <w:rsid w:val="003914DC"/>
    <w:rsid w:val="003946F8"/>
    <w:rsid w:val="003A1591"/>
    <w:rsid w:val="003A2B87"/>
    <w:rsid w:val="003A562E"/>
    <w:rsid w:val="003A6FC5"/>
    <w:rsid w:val="003A7175"/>
    <w:rsid w:val="003B0BF9"/>
    <w:rsid w:val="003B0EC7"/>
    <w:rsid w:val="003B3312"/>
    <w:rsid w:val="003B3A1A"/>
    <w:rsid w:val="003B4A85"/>
    <w:rsid w:val="003B5661"/>
    <w:rsid w:val="003B5D94"/>
    <w:rsid w:val="003B79F1"/>
    <w:rsid w:val="003C0349"/>
    <w:rsid w:val="003C2AA4"/>
    <w:rsid w:val="003D0CE1"/>
    <w:rsid w:val="003D0FAA"/>
    <w:rsid w:val="003D1721"/>
    <w:rsid w:val="003D1B60"/>
    <w:rsid w:val="003D1C3E"/>
    <w:rsid w:val="003D2304"/>
    <w:rsid w:val="003D3FE1"/>
    <w:rsid w:val="003D4A4A"/>
    <w:rsid w:val="003D5CFB"/>
    <w:rsid w:val="003E4BD5"/>
    <w:rsid w:val="003E50D4"/>
    <w:rsid w:val="003E6DFC"/>
    <w:rsid w:val="003E7281"/>
    <w:rsid w:val="003F080D"/>
    <w:rsid w:val="003F0B03"/>
    <w:rsid w:val="003F2789"/>
    <w:rsid w:val="003F2B6B"/>
    <w:rsid w:val="003F3462"/>
    <w:rsid w:val="003F361A"/>
    <w:rsid w:val="003F3977"/>
    <w:rsid w:val="003F5EA0"/>
    <w:rsid w:val="00401D99"/>
    <w:rsid w:val="00401F69"/>
    <w:rsid w:val="004021FA"/>
    <w:rsid w:val="00402A2F"/>
    <w:rsid w:val="004050C1"/>
    <w:rsid w:val="00406162"/>
    <w:rsid w:val="0040707C"/>
    <w:rsid w:val="004120C3"/>
    <w:rsid w:val="00414639"/>
    <w:rsid w:val="00417B5A"/>
    <w:rsid w:val="00417DB1"/>
    <w:rsid w:val="00421861"/>
    <w:rsid w:val="00424016"/>
    <w:rsid w:val="00425BD2"/>
    <w:rsid w:val="004272B9"/>
    <w:rsid w:val="004319FD"/>
    <w:rsid w:val="00443162"/>
    <w:rsid w:val="0044554A"/>
    <w:rsid w:val="004455EE"/>
    <w:rsid w:val="00446E62"/>
    <w:rsid w:val="00447920"/>
    <w:rsid w:val="00450707"/>
    <w:rsid w:val="00451034"/>
    <w:rsid w:val="00451A2B"/>
    <w:rsid w:val="00453607"/>
    <w:rsid w:val="00453900"/>
    <w:rsid w:val="00453CDD"/>
    <w:rsid w:val="00455170"/>
    <w:rsid w:val="00455FB5"/>
    <w:rsid w:val="00456FA9"/>
    <w:rsid w:val="0045721A"/>
    <w:rsid w:val="004605DA"/>
    <w:rsid w:val="00462136"/>
    <w:rsid w:val="00462355"/>
    <w:rsid w:val="00463C82"/>
    <w:rsid w:val="00467041"/>
    <w:rsid w:val="00472534"/>
    <w:rsid w:val="00473C10"/>
    <w:rsid w:val="004741FE"/>
    <w:rsid w:val="00475CA6"/>
    <w:rsid w:val="00476F13"/>
    <w:rsid w:val="00477AB4"/>
    <w:rsid w:val="0048097E"/>
    <w:rsid w:val="00481A9B"/>
    <w:rsid w:val="00482BD4"/>
    <w:rsid w:val="00483583"/>
    <w:rsid w:val="00483EAA"/>
    <w:rsid w:val="004841F9"/>
    <w:rsid w:val="00484DEC"/>
    <w:rsid w:val="00486009"/>
    <w:rsid w:val="004875A2"/>
    <w:rsid w:val="00487C69"/>
    <w:rsid w:val="0049369C"/>
    <w:rsid w:val="004938D7"/>
    <w:rsid w:val="00494EC0"/>
    <w:rsid w:val="00495F67"/>
    <w:rsid w:val="004A07F2"/>
    <w:rsid w:val="004A3F84"/>
    <w:rsid w:val="004A435C"/>
    <w:rsid w:val="004A5462"/>
    <w:rsid w:val="004A5DEE"/>
    <w:rsid w:val="004A6B59"/>
    <w:rsid w:val="004B038E"/>
    <w:rsid w:val="004B5C87"/>
    <w:rsid w:val="004B6984"/>
    <w:rsid w:val="004B7361"/>
    <w:rsid w:val="004B77C9"/>
    <w:rsid w:val="004B7C4C"/>
    <w:rsid w:val="004B7D67"/>
    <w:rsid w:val="004C29A3"/>
    <w:rsid w:val="004C57E2"/>
    <w:rsid w:val="004C64F1"/>
    <w:rsid w:val="004C6B0F"/>
    <w:rsid w:val="004C784F"/>
    <w:rsid w:val="004C7F04"/>
    <w:rsid w:val="004D4EF8"/>
    <w:rsid w:val="004D53F5"/>
    <w:rsid w:val="004D5CBC"/>
    <w:rsid w:val="004D6B9B"/>
    <w:rsid w:val="004E0C81"/>
    <w:rsid w:val="004E357B"/>
    <w:rsid w:val="004E633E"/>
    <w:rsid w:val="004E6E8A"/>
    <w:rsid w:val="004F18DA"/>
    <w:rsid w:val="004F279A"/>
    <w:rsid w:val="004F5D19"/>
    <w:rsid w:val="005025C7"/>
    <w:rsid w:val="00504DD2"/>
    <w:rsid w:val="00521ABD"/>
    <w:rsid w:val="0052369B"/>
    <w:rsid w:val="005264C7"/>
    <w:rsid w:val="005271CF"/>
    <w:rsid w:val="00527D59"/>
    <w:rsid w:val="0053032D"/>
    <w:rsid w:val="0053064D"/>
    <w:rsid w:val="00532BC6"/>
    <w:rsid w:val="00533822"/>
    <w:rsid w:val="00534B49"/>
    <w:rsid w:val="00537DB3"/>
    <w:rsid w:val="005408F5"/>
    <w:rsid w:val="00541D3B"/>
    <w:rsid w:val="00542628"/>
    <w:rsid w:val="00542F02"/>
    <w:rsid w:val="00546EC0"/>
    <w:rsid w:val="00547020"/>
    <w:rsid w:val="00547768"/>
    <w:rsid w:val="0055099F"/>
    <w:rsid w:val="005513A8"/>
    <w:rsid w:val="00556BE2"/>
    <w:rsid w:val="005577EC"/>
    <w:rsid w:val="005638BE"/>
    <w:rsid w:val="00566235"/>
    <w:rsid w:val="00566979"/>
    <w:rsid w:val="005722FC"/>
    <w:rsid w:val="005725D6"/>
    <w:rsid w:val="00575AB6"/>
    <w:rsid w:val="00576CC1"/>
    <w:rsid w:val="00580CAE"/>
    <w:rsid w:val="00585E5B"/>
    <w:rsid w:val="005879F9"/>
    <w:rsid w:val="005921A9"/>
    <w:rsid w:val="00594BD3"/>
    <w:rsid w:val="00596063"/>
    <w:rsid w:val="005A25AA"/>
    <w:rsid w:val="005A37A7"/>
    <w:rsid w:val="005A6133"/>
    <w:rsid w:val="005B0833"/>
    <w:rsid w:val="005B388C"/>
    <w:rsid w:val="005B4A06"/>
    <w:rsid w:val="005B7EC1"/>
    <w:rsid w:val="005C0480"/>
    <w:rsid w:val="005C0DC2"/>
    <w:rsid w:val="005C10E9"/>
    <w:rsid w:val="005C1C37"/>
    <w:rsid w:val="005C204B"/>
    <w:rsid w:val="005C27C9"/>
    <w:rsid w:val="005C2934"/>
    <w:rsid w:val="005C5C5C"/>
    <w:rsid w:val="005C7CC5"/>
    <w:rsid w:val="005C7D1E"/>
    <w:rsid w:val="005D07CA"/>
    <w:rsid w:val="005D37CF"/>
    <w:rsid w:val="005D5282"/>
    <w:rsid w:val="005D69DF"/>
    <w:rsid w:val="005D739D"/>
    <w:rsid w:val="005D75B8"/>
    <w:rsid w:val="005E2709"/>
    <w:rsid w:val="005E2761"/>
    <w:rsid w:val="005E3ADF"/>
    <w:rsid w:val="005E76A0"/>
    <w:rsid w:val="005F022A"/>
    <w:rsid w:val="005F0E45"/>
    <w:rsid w:val="00601ECF"/>
    <w:rsid w:val="006020AC"/>
    <w:rsid w:val="006046CD"/>
    <w:rsid w:val="00612468"/>
    <w:rsid w:val="006176CE"/>
    <w:rsid w:val="00622067"/>
    <w:rsid w:val="00624F83"/>
    <w:rsid w:val="0062543B"/>
    <w:rsid w:val="006266F8"/>
    <w:rsid w:val="0063081B"/>
    <w:rsid w:val="0063169D"/>
    <w:rsid w:val="00631FF3"/>
    <w:rsid w:val="0063315D"/>
    <w:rsid w:val="0063336D"/>
    <w:rsid w:val="006349FF"/>
    <w:rsid w:val="00634C83"/>
    <w:rsid w:val="00636E19"/>
    <w:rsid w:val="00637F24"/>
    <w:rsid w:val="00641DEB"/>
    <w:rsid w:val="0064261A"/>
    <w:rsid w:val="00644DDC"/>
    <w:rsid w:val="00645C7A"/>
    <w:rsid w:val="00645E1C"/>
    <w:rsid w:val="006461ED"/>
    <w:rsid w:val="00650750"/>
    <w:rsid w:val="00650F23"/>
    <w:rsid w:val="00652338"/>
    <w:rsid w:val="006550E8"/>
    <w:rsid w:val="00656838"/>
    <w:rsid w:val="006579D5"/>
    <w:rsid w:val="00660190"/>
    <w:rsid w:val="006603C2"/>
    <w:rsid w:val="006619EB"/>
    <w:rsid w:val="00661B2E"/>
    <w:rsid w:val="00661BAC"/>
    <w:rsid w:val="00662784"/>
    <w:rsid w:val="00664CF1"/>
    <w:rsid w:val="00665860"/>
    <w:rsid w:val="00665A40"/>
    <w:rsid w:val="00666351"/>
    <w:rsid w:val="006679BD"/>
    <w:rsid w:val="00670815"/>
    <w:rsid w:val="00670B98"/>
    <w:rsid w:val="00671726"/>
    <w:rsid w:val="00671F21"/>
    <w:rsid w:val="00675A67"/>
    <w:rsid w:val="006767AA"/>
    <w:rsid w:val="006827DD"/>
    <w:rsid w:val="00682A74"/>
    <w:rsid w:val="0068617A"/>
    <w:rsid w:val="0068739E"/>
    <w:rsid w:val="00694750"/>
    <w:rsid w:val="00694754"/>
    <w:rsid w:val="00697AB8"/>
    <w:rsid w:val="006A0462"/>
    <w:rsid w:val="006A1EC0"/>
    <w:rsid w:val="006A24D8"/>
    <w:rsid w:val="006A2707"/>
    <w:rsid w:val="006A2DB9"/>
    <w:rsid w:val="006A5A58"/>
    <w:rsid w:val="006A620C"/>
    <w:rsid w:val="006B0CFD"/>
    <w:rsid w:val="006B1123"/>
    <w:rsid w:val="006B3CFC"/>
    <w:rsid w:val="006B48FF"/>
    <w:rsid w:val="006B5D5E"/>
    <w:rsid w:val="006B6544"/>
    <w:rsid w:val="006B7D3D"/>
    <w:rsid w:val="006C0655"/>
    <w:rsid w:val="006C6737"/>
    <w:rsid w:val="006D1CAE"/>
    <w:rsid w:val="006D389C"/>
    <w:rsid w:val="006D55F4"/>
    <w:rsid w:val="006D5FB6"/>
    <w:rsid w:val="006D63FD"/>
    <w:rsid w:val="006D7B85"/>
    <w:rsid w:val="006E0054"/>
    <w:rsid w:val="006E14C4"/>
    <w:rsid w:val="006E4B6B"/>
    <w:rsid w:val="006E5A7D"/>
    <w:rsid w:val="006E78D2"/>
    <w:rsid w:val="006F1D6C"/>
    <w:rsid w:val="006F2C95"/>
    <w:rsid w:val="006F3217"/>
    <w:rsid w:val="006F5908"/>
    <w:rsid w:val="006F62A2"/>
    <w:rsid w:val="006F6852"/>
    <w:rsid w:val="006F7FC7"/>
    <w:rsid w:val="007022CB"/>
    <w:rsid w:val="00706661"/>
    <w:rsid w:val="00711B77"/>
    <w:rsid w:val="007130AB"/>
    <w:rsid w:val="00713A54"/>
    <w:rsid w:val="0071429E"/>
    <w:rsid w:val="0071548E"/>
    <w:rsid w:val="0072065E"/>
    <w:rsid w:val="00720B57"/>
    <w:rsid w:val="00721B0E"/>
    <w:rsid w:val="007238A6"/>
    <w:rsid w:val="00723FEB"/>
    <w:rsid w:val="00724C4F"/>
    <w:rsid w:val="00724F77"/>
    <w:rsid w:val="00726D1C"/>
    <w:rsid w:val="00726E3D"/>
    <w:rsid w:val="007361DE"/>
    <w:rsid w:val="007367A9"/>
    <w:rsid w:val="0074136B"/>
    <w:rsid w:val="007428D8"/>
    <w:rsid w:val="00742AF5"/>
    <w:rsid w:val="00742EE4"/>
    <w:rsid w:val="00743E53"/>
    <w:rsid w:val="0074595F"/>
    <w:rsid w:val="00746E70"/>
    <w:rsid w:val="00752DC8"/>
    <w:rsid w:val="007539C5"/>
    <w:rsid w:val="00753AE7"/>
    <w:rsid w:val="00760332"/>
    <w:rsid w:val="007616F6"/>
    <w:rsid w:val="00764135"/>
    <w:rsid w:val="007643B5"/>
    <w:rsid w:val="007667A1"/>
    <w:rsid w:val="00767457"/>
    <w:rsid w:val="0077431B"/>
    <w:rsid w:val="00775418"/>
    <w:rsid w:val="00780530"/>
    <w:rsid w:val="00781393"/>
    <w:rsid w:val="00781D44"/>
    <w:rsid w:val="0078332E"/>
    <w:rsid w:val="007836AA"/>
    <w:rsid w:val="00786676"/>
    <w:rsid w:val="0078678E"/>
    <w:rsid w:val="007874AD"/>
    <w:rsid w:val="00790030"/>
    <w:rsid w:val="00790313"/>
    <w:rsid w:val="0079232F"/>
    <w:rsid w:val="00792B70"/>
    <w:rsid w:val="007930F1"/>
    <w:rsid w:val="00794448"/>
    <w:rsid w:val="00795418"/>
    <w:rsid w:val="00795ADB"/>
    <w:rsid w:val="007960F2"/>
    <w:rsid w:val="007A0A13"/>
    <w:rsid w:val="007A188A"/>
    <w:rsid w:val="007A1B09"/>
    <w:rsid w:val="007B09BB"/>
    <w:rsid w:val="007B467A"/>
    <w:rsid w:val="007B5BB8"/>
    <w:rsid w:val="007B6E4D"/>
    <w:rsid w:val="007B6EAA"/>
    <w:rsid w:val="007B7549"/>
    <w:rsid w:val="007B7CBA"/>
    <w:rsid w:val="007C14E1"/>
    <w:rsid w:val="007C2E65"/>
    <w:rsid w:val="007C7066"/>
    <w:rsid w:val="007C7998"/>
    <w:rsid w:val="007D1FF3"/>
    <w:rsid w:val="007D23D8"/>
    <w:rsid w:val="007D3176"/>
    <w:rsid w:val="007D441E"/>
    <w:rsid w:val="007D4A44"/>
    <w:rsid w:val="007D5156"/>
    <w:rsid w:val="007D5230"/>
    <w:rsid w:val="007D5B91"/>
    <w:rsid w:val="007D5D43"/>
    <w:rsid w:val="007E0C4E"/>
    <w:rsid w:val="007E251E"/>
    <w:rsid w:val="007E26CF"/>
    <w:rsid w:val="007E3B77"/>
    <w:rsid w:val="007E3D20"/>
    <w:rsid w:val="007E45B3"/>
    <w:rsid w:val="007E60EE"/>
    <w:rsid w:val="007E6641"/>
    <w:rsid w:val="007F2C6C"/>
    <w:rsid w:val="007F32F6"/>
    <w:rsid w:val="007F3BF6"/>
    <w:rsid w:val="007F6018"/>
    <w:rsid w:val="007F7871"/>
    <w:rsid w:val="008011F4"/>
    <w:rsid w:val="00803EC1"/>
    <w:rsid w:val="0081307E"/>
    <w:rsid w:val="0081392A"/>
    <w:rsid w:val="008151AE"/>
    <w:rsid w:val="0081782D"/>
    <w:rsid w:val="0082335B"/>
    <w:rsid w:val="00824EFC"/>
    <w:rsid w:val="008312D6"/>
    <w:rsid w:val="00834B35"/>
    <w:rsid w:val="008367FE"/>
    <w:rsid w:val="0084290D"/>
    <w:rsid w:val="00842E55"/>
    <w:rsid w:val="00846619"/>
    <w:rsid w:val="0084711F"/>
    <w:rsid w:val="0084723B"/>
    <w:rsid w:val="00851463"/>
    <w:rsid w:val="00853BBD"/>
    <w:rsid w:val="008540F8"/>
    <w:rsid w:val="00854693"/>
    <w:rsid w:val="00854793"/>
    <w:rsid w:val="00855582"/>
    <w:rsid w:val="008558F8"/>
    <w:rsid w:val="00856378"/>
    <w:rsid w:val="0085749E"/>
    <w:rsid w:val="00860F7A"/>
    <w:rsid w:val="008610F6"/>
    <w:rsid w:val="00861573"/>
    <w:rsid w:val="008625D6"/>
    <w:rsid w:val="0086484D"/>
    <w:rsid w:val="00864A36"/>
    <w:rsid w:val="0086688F"/>
    <w:rsid w:val="00867E84"/>
    <w:rsid w:val="00871C12"/>
    <w:rsid w:val="00872D3E"/>
    <w:rsid w:val="00873900"/>
    <w:rsid w:val="00875866"/>
    <w:rsid w:val="008807ED"/>
    <w:rsid w:val="008807FC"/>
    <w:rsid w:val="008845B0"/>
    <w:rsid w:val="00885F28"/>
    <w:rsid w:val="00886920"/>
    <w:rsid w:val="008879A2"/>
    <w:rsid w:val="008949AE"/>
    <w:rsid w:val="0089726C"/>
    <w:rsid w:val="00897A5F"/>
    <w:rsid w:val="008A089F"/>
    <w:rsid w:val="008A1104"/>
    <w:rsid w:val="008B02C4"/>
    <w:rsid w:val="008B1951"/>
    <w:rsid w:val="008B7C06"/>
    <w:rsid w:val="008C0726"/>
    <w:rsid w:val="008C0F43"/>
    <w:rsid w:val="008C1426"/>
    <w:rsid w:val="008C21F1"/>
    <w:rsid w:val="008C58FD"/>
    <w:rsid w:val="008C61EF"/>
    <w:rsid w:val="008C7D06"/>
    <w:rsid w:val="008D11D6"/>
    <w:rsid w:val="008D226C"/>
    <w:rsid w:val="008D3857"/>
    <w:rsid w:val="008D3CD4"/>
    <w:rsid w:val="008D50D1"/>
    <w:rsid w:val="008E0345"/>
    <w:rsid w:val="008E17D4"/>
    <w:rsid w:val="008E3CEC"/>
    <w:rsid w:val="008E4FCC"/>
    <w:rsid w:val="008E5DED"/>
    <w:rsid w:val="008E766B"/>
    <w:rsid w:val="008E7DD1"/>
    <w:rsid w:val="008F0219"/>
    <w:rsid w:val="008F2B7F"/>
    <w:rsid w:val="008F7D6E"/>
    <w:rsid w:val="00900237"/>
    <w:rsid w:val="00900902"/>
    <w:rsid w:val="009040DC"/>
    <w:rsid w:val="00905869"/>
    <w:rsid w:val="00905BC7"/>
    <w:rsid w:val="00912B3B"/>
    <w:rsid w:val="009168D0"/>
    <w:rsid w:val="0091717F"/>
    <w:rsid w:val="00920D5E"/>
    <w:rsid w:val="00923F41"/>
    <w:rsid w:val="00925CA5"/>
    <w:rsid w:val="0092648E"/>
    <w:rsid w:val="00930481"/>
    <w:rsid w:val="00933B3F"/>
    <w:rsid w:val="00934832"/>
    <w:rsid w:val="009379C0"/>
    <w:rsid w:val="00937C1C"/>
    <w:rsid w:val="00940B35"/>
    <w:rsid w:val="009461AF"/>
    <w:rsid w:val="009461E8"/>
    <w:rsid w:val="009467D8"/>
    <w:rsid w:val="00947DC0"/>
    <w:rsid w:val="00950F61"/>
    <w:rsid w:val="0095263F"/>
    <w:rsid w:val="00954EF4"/>
    <w:rsid w:val="00956659"/>
    <w:rsid w:val="0096406C"/>
    <w:rsid w:val="00964BE7"/>
    <w:rsid w:val="009654C9"/>
    <w:rsid w:val="00965EF3"/>
    <w:rsid w:val="0096733F"/>
    <w:rsid w:val="009700DC"/>
    <w:rsid w:val="00970524"/>
    <w:rsid w:val="00971647"/>
    <w:rsid w:val="0097217C"/>
    <w:rsid w:val="00972261"/>
    <w:rsid w:val="009745EA"/>
    <w:rsid w:val="00974DCA"/>
    <w:rsid w:val="00977984"/>
    <w:rsid w:val="00977F16"/>
    <w:rsid w:val="0098119F"/>
    <w:rsid w:val="00981E82"/>
    <w:rsid w:val="0098401A"/>
    <w:rsid w:val="00986DD0"/>
    <w:rsid w:val="00987825"/>
    <w:rsid w:val="00987E0D"/>
    <w:rsid w:val="00990F20"/>
    <w:rsid w:val="00991C34"/>
    <w:rsid w:val="00991D66"/>
    <w:rsid w:val="00996975"/>
    <w:rsid w:val="00997907"/>
    <w:rsid w:val="00997F26"/>
    <w:rsid w:val="009A2229"/>
    <w:rsid w:val="009A50DB"/>
    <w:rsid w:val="009A522B"/>
    <w:rsid w:val="009B0EED"/>
    <w:rsid w:val="009B1E3E"/>
    <w:rsid w:val="009B21B4"/>
    <w:rsid w:val="009B4EA3"/>
    <w:rsid w:val="009B5487"/>
    <w:rsid w:val="009B5701"/>
    <w:rsid w:val="009B6ECB"/>
    <w:rsid w:val="009B72F4"/>
    <w:rsid w:val="009C3522"/>
    <w:rsid w:val="009C4BED"/>
    <w:rsid w:val="009C6C4E"/>
    <w:rsid w:val="009C76D6"/>
    <w:rsid w:val="009D0224"/>
    <w:rsid w:val="009D065A"/>
    <w:rsid w:val="009D0D98"/>
    <w:rsid w:val="009D7294"/>
    <w:rsid w:val="009E28C7"/>
    <w:rsid w:val="009E305E"/>
    <w:rsid w:val="009E4775"/>
    <w:rsid w:val="009E4EA4"/>
    <w:rsid w:val="009E52B4"/>
    <w:rsid w:val="009E6863"/>
    <w:rsid w:val="009F005D"/>
    <w:rsid w:val="009F474F"/>
    <w:rsid w:val="00A041E1"/>
    <w:rsid w:val="00A04990"/>
    <w:rsid w:val="00A06145"/>
    <w:rsid w:val="00A07BEE"/>
    <w:rsid w:val="00A1279E"/>
    <w:rsid w:val="00A12E67"/>
    <w:rsid w:val="00A13426"/>
    <w:rsid w:val="00A21B6E"/>
    <w:rsid w:val="00A21C46"/>
    <w:rsid w:val="00A22B39"/>
    <w:rsid w:val="00A22EC7"/>
    <w:rsid w:val="00A24E6C"/>
    <w:rsid w:val="00A32347"/>
    <w:rsid w:val="00A331BE"/>
    <w:rsid w:val="00A332EB"/>
    <w:rsid w:val="00A356A8"/>
    <w:rsid w:val="00A37A38"/>
    <w:rsid w:val="00A42ADB"/>
    <w:rsid w:val="00A46171"/>
    <w:rsid w:val="00A5148B"/>
    <w:rsid w:val="00A5166F"/>
    <w:rsid w:val="00A54366"/>
    <w:rsid w:val="00A54F3D"/>
    <w:rsid w:val="00A5703E"/>
    <w:rsid w:val="00A66A68"/>
    <w:rsid w:val="00A70577"/>
    <w:rsid w:val="00A70624"/>
    <w:rsid w:val="00A70CDD"/>
    <w:rsid w:val="00A7259A"/>
    <w:rsid w:val="00A726D6"/>
    <w:rsid w:val="00A83FA3"/>
    <w:rsid w:val="00A85C5F"/>
    <w:rsid w:val="00A87805"/>
    <w:rsid w:val="00A9001B"/>
    <w:rsid w:val="00A900D0"/>
    <w:rsid w:val="00A9043B"/>
    <w:rsid w:val="00A920A0"/>
    <w:rsid w:val="00A93709"/>
    <w:rsid w:val="00A9568C"/>
    <w:rsid w:val="00A96DD5"/>
    <w:rsid w:val="00AA01FF"/>
    <w:rsid w:val="00AA1B66"/>
    <w:rsid w:val="00AA3418"/>
    <w:rsid w:val="00AA4EE1"/>
    <w:rsid w:val="00AA4F22"/>
    <w:rsid w:val="00AA7744"/>
    <w:rsid w:val="00AB1359"/>
    <w:rsid w:val="00AB282C"/>
    <w:rsid w:val="00AB2C50"/>
    <w:rsid w:val="00AB5AC8"/>
    <w:rsid w:val="00AB5F00"/>
    <w:rsid w:val="00AB6DF0"/>
    <w:rsid w:val="00AB7942"/>
    <w:rsid w:val="00AC055E"/>
    <w:rsid w:val="00AC1769"/>
    <w:rsid w:val="00AC1884"/>
    <w:rsid w:val="00AC19C4"/>
    <w:rsid w:val="00AC5DFD"/>
    <w:rsid w:val="00AD4152"/>
    <w:rsid w:val="00AD53D2"/>
    <w:rsid w:val="00AD626C"/>
    <w:rsid w:val="00AD6FC4"/>
    <w:rsid w:val="00AD7720"/>
    <w:rsid w:val="00AE0B70"/>
    <w:rsid w:val="00AE0D17"/>
    <w:rsid w:val="00AE47E2"/>
    <w:rsid w:val="00AE4931"/>
    <w:rsid w:val="00AF0E14"/>
    <w:rsid w:val="00AF1D17"/>
    <w:rsid w:val="00AF3FC2"/>
    <w:rsid w:val="00AF5A77"/>
    <w:rsid w:val="00AF6BCC"/>
    <w:rsid w:val="00B01DBB"/>
    <w:rsid w:val="00B103CE"/>
    <w:rsid w:val="00B125A2"/>
    <w:rsid w:val="00B13158"/>
    <w:rsid w:val="00B1428E"/>
    <w:rsid w:val="00B14B6A"/>
    <w:rsid w:val="00B171CA"/>
    <w:rsid w:val="00B17F7E"/>
    <w:rsid w:val="00B2031A"/>
    <w:rsid w:val="00B2068B"/>
    <w:rsid w:val="00B21421"/>
    <w:rsid w:val="00B2655C"/>
    <w:rsid w:val="00B31071"/>
    <w:rsid w:val="00B32153"/>
    <w:rsid w:val="00B329C8"/>
    <w:rsid w:val="00B3547A"/>
    <w:rsid w:val="00B3690F"/>
    <w:rsid w:val="00B3715E"/>
    <w:rsid w:val="00B41BB7"/>
    <w:rsid w:val="00B42C4F"/>
    <w:rsid w:val="00B4346C"/>
    <w:rsid w:val="00B43ADF"/>
    <w:rsid w:val="00B45A2A"/>
    <w:rsid w:val="00B50C8F"/>
    <w:rsid w:val="00B53DE1"/>
    <w:rsid w:val="00B54368"/>
    <w:rsid w:val="00B551E7"/>
    <w:rsid w:val="00B5727E"/>
    <w:rsid w:val="00B6076B"/>
    <w:rsid w:val="00B60994"/>
    <w:rsid w:val="00B61085"/>
    <w:rsid w:val="00B611A5"/>
    <w:rsid w:val="00B62AF6"/>
    <w:rsid w:val="00B63FE7"/>
    <w:rsid w:val="00B65764"/>
    <w:rsid w:val="00B65D9F"/>
    <w:rsid w:val="00B669FC"/>
    <w:rsid w:val="00B719A8"/>
    <w:rsid w:val="00B719D9"/>
    <w:rsid w:val="00B767F3"/>
    <w:rsid w:val="00B7752D"/>
    <w:rsid w:val="00B8329B"/>
    <w:rsid w:val="00B92E33"/>
    <w:rsid w:val="00B9494C"/>
    <w:rsid w:val="00B97564"/>
    <w:rsid w:val="00BA0A7C"/>
    <w:rsid w:val="00BA1FF6"/>
    <w:rsid w:val="00BA3182"/>
    <w:rsid w:val="00BA4CED"/>
    <w:rsid w:val="00BA62A8"/>
    <w:rsid w:val="00BA6924"/>
    <w:rsid w:val="00BB110E"/>
    <w:rsid w:val="00BB2FCC"/>
    <w:rsid w:val="00BB4BBB"/>
    <w:rsid w:val="00BC1A92"/>
    <w:rsid w:val="00BC1F37"/>
    <w:rsid w:val="00BC25DE"/>
    <w:rsid w:val="00BC3026"/>
    <w:rsid w:val="00BC4155"/>
    <w:rsid w:val="00BD4CE3"/>
    <w:rsid w:val="00BD508B"/>
    <w:rsid w:val="00BE0080"/>
    <w:rsid w:val="00BE1CA8"/>
    <w:rsid w:val="00BE4713"/>
    <w:rsid w:val="00BE4B2A"/>
    <w:rsid w:val="00BE7981"/>
    <w:rsid w:val="00BF05C4"/>
    <w:rsid w:val="00BF28F5"/>
    <w:rsid w:val="00BF31CE"/>
    <w:rsid w:val="00BF3562"/>
    <w:rsid w:val="00BF5ED4"/>
    <w:rsid w:val="00BF7B32"/>
    <w:rsid w:val="00C00817"/>
    <w:rsid w:val="00C016A7"/>
    <w:rsid w:val="00C0360E"/>
    <w:rsid w:val="00C0439B"/>
    <w:rsid w:val="00C049FE"/>
    <w:rsid w:val="00C04D5A"/>
    <w:rsid w:val="00C06925"/>
    <w:rsid w:val="00C06E48"/>
    <w:rsid w:val="00C078C6"/>
    <w:rsid w:val="00C1166B"/>
    <w:rsid w:val="00C141B9"/>
    <w:rsid w:val="00C14660"/>
    <w:rsid w:val="00C15483"/>
    <w:rsid w:val="00C16EE3"/>
    <w:rsid w:val="00C21A7C"/>
    <w:rsid w:val="00C225FC"/>
    <w:rsid w:val="00C278DA"/>
    <w:rsid w:val="00C279F9"/>
    <w:rsid w:val="00C302BF"/>
    <w:rsid w:val="00C30CF0"/>
    <w:rsid w:val="00C31C03"/>
    <w:rsid w:val="00C35533"/>
    <w:rsid w:val="00C35800"/>
    <w:rsid w:val="00C415E0"/>
    <w:rsid w:val="00C41FA9"/>
    <w:rsid w:val="00C4233C"/>
    <w:rsid w:val="00C42EBD"/>
    <w:rsid w:val="00C44B9C"/>
    <w:rsid w:val="00C51878"/>
    <w:rsid w:val="00C520EC"/>
    <w:rsid w:val="00C52AE8"/>
    <w:rsid w:val="00C54EDE"/>
    <w:rsid w:val="00C5782D"/>
    <w:rsid w:val="00C60F3C"/>
    <w:rsid w:val="00C6308C"/>
    <w:rsid w:val="00C6733A"/>
    <w:rsid w:val="00C6798D"/>
    <w:rsid w:val="00C70D90"/>
    <w:rsid w:val="00C715A3"/>
    <w:rsid w:val="00C7665F"/>
    <w:rsid w:val="00C80F19"/>
    <w:rsid w:val="00C815EA"/>
    <w:rsid w:val="00C82A85"/>
    <w:rsid w:val="00C82DDE"/>
    <w:rsid w:val="00C83273"/>
    <w:rsid w:val="00C84361"/>
    <w:rsid w:val="00C86CE9"/>
    <w:rsid w:val="00C90B08"/>
    <w:rsid w:val="00C91E6E"/>
    <w:rsid w:val="00C91E9C"/>
    <w:rsid w:val="00C92A1A"/>
    <w:rsid w:val="00C93AF1"/>
    <w:rsid w:val="00C9536A"/>
    <w:rsid w:val="00CA21CF"/>
    <w:rsid w:val="00CA60AD"/>
    <w:rsid w:val="00CA6453"/>
    <w:rsid w:val="00CA6529"/>
    <w:rsid w:val="00CB1982"/>
    <w:rsid w:val="00CB2F7F"/>
    <w:rsid w:val="00CB4652"/>
    <w:rsid w:val="00CB51D6"/>
    <w:rsid w:val="00CC11DA"/>
    <w:rsid w:val="00CC143A"/>
    <w:rsid w:val="00CC2BED"/>
    <w:rsid w:val="00CC2C32"/>
    <w:rsid w:val="00CC40C0"/>
    <w:rsid w:val="00CC4DA4"/>
    <w:rsid w:val="00CC6CBD"/>
    <w:rsid w:val="00CD1404"/>
    <w:rsid w:val="00CD21F5"/>
    <w:rsid w:val="00CD2C8D"/>
    <w:rsid w:val="00CD2F62"/>
    <w:rsid w:val="00CD30EE"/>
    <w:rsid w:val="00CD5D00"/>
    <w:rsid w:val="00CD774A"/>
    <w:rsid w:val="00CE0B63"/>
    <w:rsid w:val="00CE1463"/>
    <w:rsid w:val="00CE25D9"/>
    <w:rsid w:val="00CE477F"/>
    <w:rsid w:val="00CE66B7"/>
    <w:rsid w:val="00CE7B04"/>
    <w:rsid w:val="00CF139F"/>
    <w:rsid w:val="00CF24D9"/>
    <w:rsid w:val="00CF2DC2"/>
    <w:rsid w:val="00CF41BD"/>
    <w:rsid w:val="00CF60A8"/>
    <w:rsid w:val="00CF7B76"/>
    <w:rsid w:val="00D069DA"/>
    <w:rsid w:val="00D11290"/>
    <w:rsid w:val="00D12DD0"/>
    <w:rsid w:val="00D1515D"/>
    <w:rsid w:val="00D15577"/>
    <w:rsid w:val="00D15A2B"/>
    <w:rsid w:val="00D15BC9"/>
    <w:rsid w:val="00D16B98"/>
    <w:rsid w:val="00D17396"/>
    <w:rsid w:val="00D17C46"/>
    <w:rsid w:val="00D20078"/>
    <w:rsid w:val="00D20817"/>
    <w:rsid w:val="00D237C9"/>
    <w:rsid w:val="00D245D5"/>
    <w:rsid w:val="00D24F81"/>
    <w:rsid w:val="00D251F5"/>
    <w:rsid w:val="00D309C3"/>
    <w:rsid w:val="00D32DAE"/>
    <w:rsid w:val="00D35FDA"/>
    <w:rsid w:val="00D36C7B"/>
    <w:rsid w:val="00D42E3A"/>
    <w:rsid w:val="00D467E6"/>
    <w:rsid w:val="00D55C48"/>
    <w:rsid w:val="00D575EF"/>
    <w:rsid w:val="00D60BF7"/>
    <w:rsid w:val="00D62581"/>
    <w:rsid w:val="00D670A4"/>
    <w:rsid w:val="00D67982"/>
    <w:rsid w:val="00D67D20"/>
    <w:rsid w:val="00D7117C"/>
    <w:rsid w:val="00D71B6E"/>
    <w:rsid w:val="00D71F99"/>
    <w:rsid w:val="00D73C36"/>
    <w:rsid w:val="00D77576"/>
    <w:rsid w:val="00D82021"/>
    <w:rsid w:val="00D8514C"/>
    <w:rsid w:val="00D85DDA"/>
    <w:rsid w:val="00D92245"/>
    <w:rsid w:val="00D9234B"/>
    <w:rsid w:val="00D92A95"/>
    <w:rsid w:val="00D932E1"/>
    <w:rsid w:val="00D94D4C"/>
    <w:rsid w:val="00D970E5"/>
    <w:rsid w:val="00D97199"/>
    <w:rsid w:val="00DA03D9"/>
    <w:rsid w:val="00DA0525"/>
    <w:rsid w:val="00DA0D7F"/>
    <w:rsid w:val="00DA18C0"/>
    <w:rsid w:val="00DA2F64"/>
    <w:rsid w:val="00DA64E6"/>
    <w:rsid w:val="00DA6D31"/>
    <w:rsid w:val="00DA7317"/>
    <w:rsid w:val="00DA7E4C"/>
    <w:rsid w:val="00DB089B"/>
    <w:rsid w:val="00DB1A52"/>
    <w:rsid w:val="00DB2A15"/>
    <w:rsid w:val="00DB2D9C"/>
    <w:rsid w:val="00DB3B9D"/>
    <w:rsid w:val="00DB4E18"/>
    <w:rsid w:val="00DB534F"/>
    <w:rsid w:val="00DB5729"/>
    <w:rsid w:val="00DB67AA"/>
    <w:rsid w:val="00DC7EAF"/>
    <w:rsid w:val="00DD1A22"/>
    <w:rsid w:val="00DD4243"/>
    <w:rsid w:val="00DD5454"/>
    <w:rsid w:val="00DD61A2"/>
    <w:rsid w:val="00DE0C86"/>
    <w:rsid w:val="00DE6A39"/>
    <w:rsid w:val="00DF1852"/>
    <w:rsid w:val="00DF1ABF"/>
    <w:rsid w:val="00DF3496"/>
    <w:rsid w:val="00DF41DD"/>
    <w:rsid w:val="00DF4292"/>
    <w:rsid w:val="00DF5F35"/>
    <w:rsid w:val="00DF72C8"/>
    <w:rsid w:val="00DF7B05"/>
    <w:rsid w:val="00E003F3"/>
    <w:rsid w:val="00E01226"/>
    <w:rsid w:val="00E01A43"/>
    <w:rsid w:val="00E0673F"/>
    <w:rsid w:val="00E076AC"/>
    <w:rsid w:val="00E07767"/>
    <w:rsid w:val="00E1453F"/>
    <w:rsid w:val="00E16931"/>
    <w:rsid w:val="00E20D37"/>
    <w:rsid w:val="00E20DB7"/>
    <w:rsid w:val="00E22B37"/>
    <w:rsid w:val="00E232FD"/>
    <w:rsid w:val="00E253E4"/>
    <w:rsid w:val="00E270B3"/>
    <w:rsid w:val="00E319D5"/>
    <w:rsid w:val="00E329EA"/>
    <w:rsid w:val="00E32A6B"/>
    <w:rsid w:val="00E33A71"/>
    <w:rsid w:val="00E34C2D"/>
    <w:rsid w:val="00E412D1"/>
    <w:rsid w:val="00E432D7"/>
    <w:rsid w:val="00E43F4E"/>
    <w:rsid w:val="00E47BAC"/>
    <w:rsid w:val="00E50AA4"/>
    <w:rsid w:val="00E53ABD"/>
    <w:rsid w:val="00E53C8B"/>
    <w:rsid w:val="00E560C8"/>
    <w:rsid w:val="00E576A5"/>
    <w:rsid w:val="00E63225"/>
    <w:rsid w:val="00E63938"/>
    <w:rsid w:val="00E64965"/>
    <w:rsid w:val="00E65C6D"/>
    <w:rsid w:val="00E73B15"/>
    <w:rsid w:val="00E74F10"/>
    <w:rsid w:val="00E775BD"/>
    <w:rsid w:val="00E83D2D"/>
    <w:rsid w:val="00E84B23"/>
    <w:rsid w:val="00E84EC1"/>
    <w:rsid w:val="00E8506F"/>
    <w:rsid w:val="00E85439"/>
    <w:rsid w:val="00E91209"/>
    <w:rsid w:val="00E9386A"/>
    <w:rsid w:val="00E96080"/>
    <w:rsid w:val="00E9648B"/>
    <w:rsid w:val="00EA5140"/>
    <w:rsid w:val="00EB63FA"/>
    <w:rsid w:val="00EC2AD9"/>
    <w:rsid w:val="00EC3228"/>
    <w:rsid w:val="00EC638F"/>
    <w:rsid w:val="00EC7BC5"/>
    <w:rsid w:val="00ED2A53"/>
    <w:rsid w:val="00ED34B9"/>
    <w:rsid w:val="00ED4446"/>
    <w:rsid w:val="00ED6374"/>
    <w:rsid w:val="00ED7E3F"/>
    <w:rsid w:val="00ED7FFC"/>
    <w:rsid w:val="00EE226F"/>
    <w:rsid w:val="00EE4242"/>
    <w:rsid w:val="00EE7B39"/>
    <w:rsid w:val="00EF0736"/>
    <w:rsid w:val="00EF1C76"/>
    <w:rsid w:val="00EF2699"/>
    <w:rsid w:val="00EF29F3"/>
    <w:rsid w:val="00EF3825"/>
    <w:rsid w:val="00EF6C09"/>
    <w:rsid w:val="00EF6D51"/>
    <w:rsid w:val="00EF7F2E"/>
    <w:rsid w:val="00F0101D"/>
    <w:rsid w:val="00F02326"/>
    <w:rsid w:val="00F03B8E"/>
    <w:rsid w:val="00F03C6D"/>
    <w:rsid w:val="00F07DB8"/>
    <w:rsid w:val="00F15B53"/>
    <w:rsid w:val="00F1799A"/>
    <w:rsid w:val="00F213BD"/>
    <w:rsid w:val="00F253DF"/>
    <w:rsid w:val="00F255A8"/>
    <w:rsid w:val="00F2772A"/>
    <w:rsid w:val="00F32CCB"/>
    <w:rsid w:val="00F351DD"/>
    <w:rsid w:val="00F35C2E"/>
    <w:rsid w:val="00F374C6"/>
    <w:rsid w:val="00F374E8"/>
    <w:rsid w:val="00F4075D"/>
    <w:rsid w:val="00F4680B"/>
    <w:rsid w:val="00F479E1"/>
    <w:rsid w:val="00F54E99"/>
    <w:rsid w:val="00F55F20"/>
    <w:rsid w:val="00F61E6B"/>
    <w:rsid w:val="00F64E03"/>
    <w:rsid w:val="00F65A06"/>
    <w:rsid w:val="00F65A48"/>
    <w:rsid w:val="00F65C01"/>
    <w:rsid w:val="00F66C7B"/>
    <w:rsid w:val="00F67C2A"/>
    <w:rsid w:val="00F7447C"/>
    <w:rsid w:val="00F74C69"/>
    <w:rsid w:val="00F76B00"/>
    <w:rsid w:val="00F76D49"/>
    <w:rsid w:val="00F8115B"/>
    <w:rsid w:val="00F82383"/>
    <w:rsid w:val="00F823FF"/>
    <w:rsid w:val="00F82BEA"/>
    <w:rsid w:val="00F85066"/>
    <w:rsid w:val="00F86BF6"/>
    <w:rsid w:val="00F9111B"/>
    <w:rsid w:val="00F91C20"/>
    <w:rsid w:val="00F91D40"/>
    <w:rsid w:val="00F921C0"/>
    <w:rsid w:val="00F94B37"/>
    <w:rsid w:val="00F97122"/>
    <w:rsid w:val="00FA005A"/>
    <w:rsid w:val="00FA2F9A"/>
    <w:rsid w:val="00FA39F5"/>
    <w:rsid w:val="00FA5DF8"/>
    <w:rsid w:val="00FB039B"/>
    <w:rsid w:val="00FB0E9C"/>
    <w:rsid w:val="00FB275B"/>
    <w:rsid w:val="00FB29B3"/>
    <w:rsid w:val="00FB560F"/>
    <w:rsid w:val="00FB7645"/>
    <w:rsid w:val="00FC0F01"/>
    <w:rsid w:val="00FC23A0"/>
    <w:rsid w:val="00FC3D0F"/>
    <w:rsid w:val="00FC489B"/>
    <w:rsid w:val="00FC5049"/>
    <w:rsid w:val="00FC5084"/>
    <w:rsid w:val="00FC69E9"/>
    <w:rsid w:val="00FD1251"/>
    <w:rsid w:val="00FD2912"/>
    <w:rsid w:val="00FD453E"/>
    <w:rsid w:val="00FD6525"/>
    <w:rsid w:val="00FD6F23"/>
    <w:rsid w:val="00FD7985"/>
    <w:rsid w:val="00FE4FB5"/>
    <w:rsid w:val="00FE736E"/>
    <w:rsid w:val="00FF116A"/>
    <w:rsid w:val="00FF17B9"/>
    <w:rsid w:val="00FF3B87"/>
    <w:rsid w:val="00FF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91C"/>
    <w:pPr>
      <w:autoSpaceDE w:val="0"/>
      <w:autoSpaceDN w:val="0"/>
      <w:adjustRightInd w:val="0"/>
      <w:spacing w:line="240" w:lineRule="auto"/>
    </w:pPr>
    <w:rPr>
      <w:color w:val="000000"/>
      <w:sz w:val="24"/>
      <w:szCs w:val="24"/>
    </w:rPr>
  </w:style>
  <w:style w:type="paragraph" w:customStyle="1" w:styleId="text">
    <w:name w:val="text"/>
    <w:basedOn w:val="Normal"/>
    <w:rsid w:val="006D7B85"/>
    <w:pPr>
      <w:spacing w:after="240" w:line="240" w:lineRule="auto"/>
    </w:pPr>
    <w:rPr>
      <w:rFonts w:eastAsia="Times New Roman"/>
      <w:szCs w:val="20"/>
    </w:rPr>
  </w:style>
  <w:style w:type="paragraph" w:styleId="FootnoteText">
    <w:name w:val="footnote text"/>
    <w:basedOn w:val="Normal"/>
    <w:link w:val="FootnoteTextChar"/>
    <w:semiHidden/>
    <w:unhideWhenUsed/>
    <w:rsid w:val="00DD1A22"/>
    <w:pPr>
      <w:spacing w:line="240" w:lineRule="auto"/>
    </w:pPr>
    <w:rPr>
      <w:sz w:val="20"/>
      <w:szCs w:val="20"/>
    </w:rPr>
  </w:style>
  <w:style w:type="character" w:customStyle="1" w:styleId="FootnoteTextChar">
    <w:name w:val="Footnote Text Char"/>
    <w:basedOn w:val="DefaultParagraphFont"/>
    <w:link w:val="FootnoteText"/>
    <w:semiHidden/>
    <w:rsid w:val="00DD1A22"/>
    <w:rPr>
      <w:sz w:val="20"/>
      <w:szCs w:val="20"/>
    </w:rPr>
  </w:style>
  <w:style w:type="character" w:styleId="FootnoteReference">
    <w:name w:val="footnote reference"/>
    <w:basedOn w:val="DefaultParagraphFont"/>
    <w:semiHidden/>
    <w:unhideWhenUsed/>
    <w:rsid w:val="00DD1A22"/>
    <w:rPr>
      <w:vertAlign w:val="superscript"/>
    </w:rPr>
  </w:style>
  <w:style w:type="paragraph" w:styleId="ListParagraph">
    <w:name w:val="List Paragraph"/>
    <w:basedOn w:val="Normal"/>
    <w:uiPriority w:val="34"/>
    <w:qFormat/>
    <w:rsid w:val="0063336D"/>
    <w:pPr>
      <w:spacing w:line="24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13A54"/>
    <w:pPr>
      <w:tabs>
        <w:tab w:val="center" w:pos="4680"/>
        <w:tab w:val="right" w:pos="9360"/>
      </w:tabs>
      <w:spacing w:line="240" w:lineRule="auto"/>
    </w:pPr>
  </w:style>
  <w:style w:type="character" w:customStyle="1" w:styleId="HeaderChar">
    <w:name w:val="Header Char"/>
    <w:basedOn w:val="DefaultParagraphFont"/>
    <w:link w:val="Header"/>
    <w:uiPriority w:val="99"/>
    <w:rsid w:val="00713A54"/>
  </w:style>
  <w:style w:type="paragraph" w:styleId="Footer">
    <w:name w:val="footer"/>
    <w:basedOn w:val="Normal"/>
    <w:link w:val="FooterChar"/>
    <w:uiPriority w:val="99"/>
    <w:semiHidden/>
    <w:unhideWhenUsed/>
    <w:rsid w:val="00713A5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13A54"/>
  </w:style>
  <w:style w:type="character" w:styleId="CommentReference">
    <w:name w:val="annotation reference"/>
    <w:basedOn w:val="DefaultParagraphFont"/>
    <w:uiPriority w:val="99"/>
    <w:semiHidden/>
    <w:unhideWhenUsed/>
    <w:rsid w:val="00A24E6C"/>
    <w:rPr>
      <w:sz w:val="16"/>
      <w:szCs w:val="16"/>
    </w:rPr>
  </w:style>
  <w:style w:type="paragraph" w:styleId="CommentText">
    <w:name w:val="annotation text"/>
    <w:basedOn w:val="Normal"/>
    <w:link w:val="CommentTextChar"/>
    <w:uiPriority w:val="99"/>
    <w:semiHidden/>
    <w:unhideWhenUsed/>
    <w:rsid w:val="00A24E6C"/>
    <w:pPr>
      <w:spacing w:line="240" w:lineRule="auto"/>
    </w:pPr>
    <w:rPr>
      <w:sz w:val="20"/>
      <w:szCs w:val="20"/>
    </w:rPr>
  </w:style>
  <w:style w:type="character" w:customStyle="1" w:styleId="CommentTextChar">
    <w:name w:val="Comment Text Char"/>
    <w:basedOn w:val="DefaultParagraphFont"/>
    <w:link w:val="CommentText"/>
    <w:uiPriority w:val="99"/>
    <w:semiHidden/>
    <w:rsid w:val="00A24E6C"/>
    <w:rPr>
      <w:sz w:val="20"/>
      <w:szCs w:val="20"/>
    </w:rPr>
  </w:style>
  <w:style w:type="paragraph" w:styleId="CommentSubject">
    <w:name w:val="annotation subject"/>
    <w:basedOn w:val="CommentText"/>
    <w:next w:val="CommentText"/>
    <w:link w:val="CommentSubjectChar"/>
    <w:uiPriority w:val="99"/>
    <w:semiHidden/>
    <w:unhideWhenUsed/>
    <w:rsid w:val="00A24E6C"/>
    <w:rPr>
      <w:b/>
      <w:bCs/>
    </w:rPr>
  </w:style>
  <w:style w:type="character" w:customStyle="1" w:styleId="CommentSubjectChar">
    <w:name w:val="Comment Subject Char"/>
    <w:basedOn w:val="CommentTextChar"/>
    <w:link w:val="CommentSubject"/>
    <w:uiPriority w:val="99"/>
    <w:semiHidden/>
    <w:rsid w:val="00A24E6C"/>
    <w:rPr>
      <w:b/>
      <w:bCs/>
      <w:sz w:val="20"/>
      <w:szCs w:val="20"/>
    </w:rPr>
  </w:style>
  <w:style w:type="paragraph" w:styleId="BalloonText">
    <w:name w:val="Balloon Text"/>
    <w:basedOn w:val="Normal"/>
    <w:link w:val="BalloonTextChar"/>
    <w:uiPriority w:val="99"/>
    <w:semiHidden/>
    <w:unhideWhenUsed/>
    <w:rsid w:val="00A24E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E6C"/>
    <w:rPr>
      <w:rFonts w:ascii="Tahoma" w:hAnsi="Tahoma" w:cs="Tahoma"/>
      <w:sz w:val="16"/>
      <w:szCs w:val="16"/>
    </w:rPr>
  </w:style>
  <w:style w:type="table" w:styleId="TableGrid">
    <w:name w:val="Table Grid"/>
    <w:basedOn w:val="TableNormal"/>
    <w:uiPriority w:val="59"/>
    <w:rsid w:val="00A24E6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F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91C"/>
    <w:pPr>
      <w:autoSpaceDE w:val="0"/>
      <w:autoSpaceDN w:val="0"/>
      <w:adjustRightInd w:val="0"/>
      <w:spacing w:line="240" w:lineRule="auto"/>
    </w:pPr>
    <w:rPr>
      <w:color w:val="000000"/>
      <w:sz w:val="24"/>
      <w:szCs w:val="24"/>
    </w:rPr>
  </w:style>
  <w:style w:type="paragraph" w:customStyle="1" w:styleId="text">
    <w:name w:val="text"/>
    <w:basedOn w:val="Normal"/>
    <w:rsid w:val="006D7B85"/>
    <w:pPr>
      <w:spacing w:after="240" w:line="240" w:lineRule="auto"/>
    </w:pPr>
    <w:rPr>
      <w:rFonts w:eastAsia="Times New Roman"/>
      <w:szCs w:val="20"/>
    </w:rPr>
  </w:style>
  <w:style w:type="paragraph" w:styleId="FootnoteText">
    <w:name w:val="footnote text"/>
    <w:basedOn w:val="Normal"/>
    <w:link w:val="FootnoteTextChar"/>
    <w:semiHidden/>
    <w:unhideWhenUsed/>
    <w:rsid w:val="00DD1A22"/>
    <w:pPr>
      <w:spacing w:line="240" w:lineRule="auto"/>
    </w:pPr>
    <w:rPr>
      <w:sz w:val="20"/>
      <w:szCs w:val="20"/>
    </w:rPr>
  </w:style>
  <w:style w:type="character" w:customStyle="1" w:styleId="FootnoteTextChar">
    <w:name w:val="Footnote Text Char"/>
    <w:basedOn w:val="DefaultParagraphFont"/>
    <w:link w:val="FootnoteText"/>
    <w:semiHidden/>
    <w:rsid w:val="00DD1A22"/>
    <w:rPr>
      <w:sz w:val="20"/>
      <w:szCs w:val="20"/>
    </w:rPr>
  </w:style>
  <w:style w:type="character" w:styleId="FootnoteReference">
    <w:name w:val="footnote reference"/>
    <w:basedOn w:val="DefaultParagraphFont"/>
    <w:semiHidden/>
    <w:unhideWhenUsed/>
    <w:rsid w:val="00DD1A22"/>
    <w:rPr>
      <w:vertAlign w:val="superscript"/>
    </w:rPr>
  </w:style>
  <w:style w:type="paragraph" w:styleId="ListParagraph">
    <w:name w:val="List Paragraph"/>
    <w:basedOn w:val="Normal"/>
    <w:uiPriority w:val="34"/>
    <w:qFormat/>
    <w:rsid w:val="0063336D"/>
    <w:pPr>
      <w:spacing w:line="24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13A54"/>
    <w:pPr>
      <w:tabs>
        <w:tab w:val="center" w:pos="4680"/>
        <w:tab w:val="right" w:pos="9360"/>
      </w:tabs>
      <w:spacing w:line="240" w:lineRule="auto"/>
    </w:pPr>
  </w:style>
  <w:style w:type="character" w:customStyle="1" w:styleId="HeaderChar">
    <w:name w:val="Header Char"/>
    <w:basedOn w:val="DefaultParagraphFont"/>
    <w:link w:val="Header"/>
    <w:uiPriority w:val="99"/>
    <w:rsid w:val="00713A54"/>
  </w:style>
  <w:style w:type="paragraph" w:styleId="Footer">
    <w:name w:val="footer"/>
    <w:basedOn w:val="Normal"/>
    <w:link w:val="FooterChar"/>
    <w:uiPriority w:val="99"/>
    <w:semiHidden/>
    <w:unhideWhenUsed/>
    <w:rsid w:val="00713A5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13A54"/>
  </w:style>
  <w:style w:type="character" w:styleId="CommentReference">
    <w:name w:val="annotation reference"/>
    <w:basedOn w:val="DefaultParagraphFont"/>
    <w:uiPriority w:val="99"/>
    <w:semiHidden/>
    <w:unhideWhenUsed/>
    <w:rsid w:val="00A24E6C"/>
    <w:rPr>
      <w:sz w:val="16"/>
      <w:szCs w:val="16"/>
    </w:rPr>
  </w:style>
  <w:style w:type="paragraph" w:styleId="CommentText">
    <w:name w:val="annotation text"/>
    <w:basedOn w:val="Normal"/>
    <w:link w:val="CommentTextChar"/>
    <w:uiPriority w:val="99"/>
    <w:semiHidden/>
    <w:unhideWhenUsed/>
    <w:rsid w:val="00A24E6C"/>
    <w:pPr>
      <w:spacing w:line="240" w:lineRule="auto"/>
    </w:pPr>
    <w:rPr>
      <w:sz w:val="20"/>
      <w:szCs w:val="20"/>
    </w:rPr>
  </w:style>
  <w:style w:type="character" w:customStyle="1" w:styleId="CommentTextChar">
    <w:name w:val="Comment Text Char"/>
    <w:basedOn w:val="DefaultParagraphFont"/>
    <w:link w:val="CommentText"/>
    <w:uiPriority w:val="99"/>
    <w:semiHidden/>
    <w:rsid w:val="00A24E6C"/>
    <w:rPr>
      <w:sz w:val="20"/>
      <w:szCs w:val="20"/>
    </w:rPr>
  </w:style>
  <w:style w:type="paragraph" w:styleId="CommentSubject">
    <w:name w:val="annotation subject"/>
    <w:basedOn w:val="CommentText"/>
    <w:next w:val="CommentText"/>
    <w:link w:val="CommentSubjectChar"/>
    <w:uiPriority w:val="99"/>
    <w:semiHidden/>
    <w:unhideWhenUsed/>
    <w:rsid w:val="00A24E6C"/>
    <w:rPr>
      <w:b/>
      <w:bCs/>
    </w:rPr>
  </w:style>
  <w:style w:type="character" w:customStyle="1" w:styleId="CommentSubjectChar">
    <w:name w:val="Comment Subject Char"/>
    <w:basedOn w:val="CommentTextChar"/>
    <w:link w:val="CommentSubject"/>
    <w:uiPriority w:val="99"/>
    <w:semiHidden/>
    <w:rsid w:val="00A24E6C"/>
    <w:rPr>
      <w:b/>
      <w:bCs/>
      <w:sz w:val="20"/>
      <w:szCs w:val="20"/>
    </w:rPr>
  </w:style>
  <w:style w:type="paragraph" w:styleId="BalloonText">
    <w:name w:val="Balloon Text"/>
    <w:basedOn w:val="Normal"/>
    <w:link w:val="BalloonTextChar"/>
    <w:uiPriority w:val="99"/>
    <w:semiHidden/>
    <w:unhideWhenUsed/>
    <w:rsid w:val="00A24E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E6C"/>
    <w:rPr>
      <w:rFonts w:ascii="Tahoma" w:hAnsi="Tahoma" w:cs="Tahoma"/>
      <w:sz w:val="16"/>
      <w:szCs w:val="16"/>
    </w:rPr>
  </w:style>
  <w:style w:type="table" w:styleId="TableGrid">
    <w:name w:val="Table Grid"/>
    <w:basedOn w:val="TableNormal"/>
    <w:uiPriority w:val="59"/>
    <w:rsid w:val="00A24E6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F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0AA3-F0F6-49BC-9C9D-D8A69B33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9299</Words>
  <Characters>53005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SXS4</dc:creator>
  <cp:lastModifiedBy>Donnell, Tremaine</cp:lastModifiedBy>
  <cp:revision>2</cp:revision>
  <cp:lastPrinted>2013-02-14T21:38:00Z</cp:lastPrinted>
  <dcterms:created xsi:type="dcterms:W3CDTF">2013-02-22T15:12:00Z</dcterms:created>
  <dcterms:modified xsi:type="dcterms:W3CDTF">2013-02-22T15:12:00Z</dcterms:modified>
</cp:coreProperties>
</file>