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17" w:rsidRPr="0020396D" w:rsidRDefault="00230017" w:rsidP="00230017">
      <w:pPr>
        <w:pStyle w:val="Heading1"/>
        <w:tabs>
          <w:tab w:val="left" w:pos="360"/>
        </w:tabs>
        <w:rPr>
          <w:rStyle w:val="InitialStyle"/>
          <w:rFonts w:ascii="Times New Roman" w:hAnsi="Times New Roman" w:cs="Times New Roman"/>
          <w:sz w:val="24"/>
          <w:szCs w:val="24"/>
        </w:rPr>
      </w:pPr>
      <w:r w:rsidRPr="0020396D">
        <w:rPr>
          <w:rStyle w:val="InitialStyle"/>
          <w:rFonts w:ascii="Times New Roman" w:hAnsi="Times New Roman" w:cs="Times New Roman"/>
          <w:sz w:val="24"/>
          <w:szCs w:val="24"/>
        </w:rPr>
        <w:t>B.</w:t>
      </w:r>
      <w:r w:rsidRPr="0020396D">
        <w:rPr>
          <w:rStyle w:val="InitialStyle"/>
          <w:rFonts w:ascii="Times New Roman" w:hAnsi="Times New Roman" w:cs="Times New Roman"/>
          <w:sz w:val="24"/>
          <w:szCs w:val="24"/>
        </w:rPr>
        <w:tab/>
        <w:t>Collections of Information Employing Statistical Methods</w:t>
      </w:r>
    </w:p>
    <w:p w:rsidR="00230017" w:rsidRPr="0020396D" w:rsidRDefault="00230017" w:rsidP="00230017">
      <w:pPr>
        <w:pStyle w:val="DefaultText"/>
        <w:rPr>
          <w:rStyle w:val="InitialStyle"/>
          <w:b/>
        </w:rPr>
      </w:pPr>
    </w:p>
    <w:p w:rsidR="00230017" w:rsidRPr="0020396D" w:rsidRDefault="00230017" w:rsidP="00230017">
      <w:pPr>
        <w:pStyle w:val="Heading2"/>
        <w:numPr>
          <w:ilvl w:val="0"/>
          <w:numId w:val="19"/>
        </w:numPr>
        <w:tabs>
          <w:tab w:val="clear" w:pos="720"/>
          <w:tab w:val="num" w:pos="360"/>
        </w:tabs>
        <w:ind w:left="360"/>
        <w:rPr>
          <w:rFonts w:ascii="Times New Roman" w:hAnsi="Times New Roman" w:cs="Times New Roman"/>
          <w:sz w:val="24"/>
          <w:szCs w:val="24"/>
        </w:rPr>
      </w:pPr>
      <w:bookmarkStart w:id="0" w:name="_Toc120517344"/>
      <w:bookmarkStart w:id="1" w:name="_Toc121289103"/>
      <w:bookmarkStart w:id="2" w:name="_Toc133308572"/>
      <w:bookmarkStart w:id="3" w:name="_Toc138561648"/>
      <w:r w:rsidRPr="0020396D">
        <w:rPr>
          <w:rFonts w:ascii="Times New Roman" w:hAnsi="Times New Roman" w:cs="Times New Roman"/>
          <w:sz w:val="24"/>
          <w:szCs w:val="24"/>
        </w:rPr>
        <w:t>Describe (including a numerical estimate) the potential respondent universe and any sampling or other respondent selection methods to be used.</w:t>
      </w:r>
      <w:bookmarkEnd w:id="0"/>
      <w:bookmarkEnd w:id="1"/>
      <w:r w:rsidRPr="0020396D">
        <w:rPr>
          <w:rFonts w:ascii="Times New Roman" w:hAnsi="Times New Roman" w:cs="Times New Roman"/>
          <w:sz w:val="24"/>
          <w:szCs w:val="24"/>
        </w:rPr>
        <w:t xml:space="preserve">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2"/>
      <w:bookmarkEnd w:id="3"/>
    </w:p>
    <w:p w:rsidR="00230017" w:rsidRPr="0020396D" w:rsidRDefault="00230017" w:rsidP="00230017"/>
    <w:p w:rsidR="00230017" w:rsidRPr="0020396D" w:rsidRDefault="00230017" w:rsidP="00230017">
      <w:pPr>
        <w:pStyle w:val="BODY11Indent"/>
        <w:ind w:left="0"/>
        <w:rPr>
          <w:sz w:val="24"/>
        </w:rPr>
      </w:pPr>
      <w:r w:rsidRPr="0020396D">
        <w:rPr>
          <w:rStyle w:val="InitialStyle"/>
          <w:sz w:val="24"/>
        </w:rPr>
        <w:t>The potential respondent universe of the Dairy 2014 study is all operations with dairy cows that responded to the 2012 Census of Agriculture, in 17 States.</w:t>
      </w:r>
      <w:r w:rsidRPr="0020396D">
        <w:rPr>
          <w:rStyle w:val="FootnoteReference"/>
          <w:sz w:val="24"/>
        </w:rPr>
        <w:footnoteReference w:id="1"/>
      </w:r>
      <w:r w:rsidRPr="0020396D">
        <w:rPr>
          <w:rStyle w:val="InitialStyle"/>
          <w:sz w:val="24"/>
        </w:rPr>
        <w:t xml:space="preserve"> </w:t>
      </w:r>
      <w:r w:rsidRPr="0020396D">
        <w:rPr>
          <w:sz w:val="24"/>
        </w:rPr>
        <w:t>The preliminary selection of States to be included in the study was done in February 2013, and was based on the 2007 Census of Agriculture and the 2012 milk cow inventory (Appendix C). While NASS continues to publish annual reports on dairy cow inventories by State, NASS no longer publishes an annual report with the number of dairy operations by State. Thus, our estimates on the number of dairy operations were based on the 2007 Census of Agriculture.</w:t>
      </w:r>
    </w:p>
    <w:p w:rsidR="00230017" w:rsidRPr="0020396D" w:rsidRDefault="00230017" w:rsidP="00230017">
      <w:pPr>
        <w:pStyle w:val="BODY11Indent"/>
        <w:ind w:left="0"/>
        <w:rPr>
          <w:sz w:val="24"/>
        </w:rPr>
      </w:pPr>
    </w:p>
    <w:p w:rsidR="00230017" w:rsidRPr="0020396D" w:rsidRDefault="00230017" w:rsidP="00230017">
      <w:pPr>
        <w:pStyle w:val="BODY11Indent"/>
        <w:ind w:left="0"/>
        <w:rPr>
          <w:sz w:val="24"/>
        </w:rPr>
      </w:pPr>
      <w:r w:rsidRPr="0020396D">
        <w:rPr>
          <w:sz w:val="24"/>
        </w:rPr>
        <w:t>The goal of NAHMS national studies is to include States that account for at least 70 percent of the animals and producer population in the United States. The initial review of States identified 17 major dairy States accounting for 81.3 percent of the operations with milk cows (dairy herds) and 81.1 percent of the milk cow inventory. Of the 17 States selected, 16 participated in the Dairy 2007 study. New Mexico participated in the Dairy 2007 study but was not selected for the Dairy 2014 study because of poor response rates in numerous NAHMS studies. Colorado took the place of New Mexico in the Dairy 2014 study. Virginia is not one of the top 17 dairy States but was included in Dairy 2007 because of an expressed desire to participate. Because of its participation in the previous study and continued interest, Virginia was also included in Dairy 2014.</w:t>
      </w:r>
    </w:p>
    <w:p w:rsidR="00230017" w:rsidRPr="0020396D" w:rsidRDefault="00230017" w:rsidP="00230017">
      <w:pPr>
        <w:pStyle w:val="Body11Char"/>
        <w:rPr>
          <w:sz w:val="24"/>
          <w:szCs w:val="24"/>
        </w:rPr>
      </w:pPr>
    </w:p>
    <w:p w:rsidR="00230017" w:rsidRPr="0020396D" w:rsidRDefault="00230017" w:rsidP="00230017">
      <w:pPr>
        <w:pStyle w:val="Body11Char"/>
        <w:rPr>
          <w:sz w:val="24"/>
          <w:szCs w:val="24"/>
        </w:rPr>
      </w:pPr>
      <w:r w:rsidRPr="0020396D">
        <w:rPr>
          <w:sz w:val="24"/>
          <w:szCs w:val="24"/>
        </w:rPr>
        <w:t xml:space="preserve">There will be 2 modes of administration for Phase I of the Dairy 2014 study: farms with 30+ milk cows will be surveyed on farm by NASS field enumerators; farms with 1–29 milk cows will be surveyed by telephone (CATI, computer-assisted telephone interview).  </w:t>
      </w:r>
    </w:p>
    <w:p w:rsidR="00230017" w:rsidRPr="0020396D" w:rsidRDefault="00230017" w:rsidP="00230017">
      <w:pPr>
        <w:pStyle w:val="Body11Char"/>
        <w:rPr>
          <w:sz w:val="24"/>
          <w:szCs w:val="24"/>
        </w:rPr>
      </w:pPr>
    </w:p>
    <w:p w:rsidR="00230017" w:rsidRPr="0020396D" w:rsidRDefault="00230017" w:rsidP="00230017">
      <w:pPr>
        <w:pStyle w:val="DefaultText"/>
        <w:rPr>
          <w:rStyle w:val="InitialStyle"/>
        </w:rPr>
      </w:pPr>
      <w:r w:rsidRPr="0020396D">
        <w:rPr>
          <w:rStyle w:val="InitialStyle"/>
        </w:rPr>
        <w:t xml:space="preserve">Response rates from previous NAHMS dairy studies are shown in Appendix A. Based on data from the Dairy 2007 study, the expected response rate for the NASS on-farm component of the Dairy 2014 study is 59 percent, and the response rate for the CATI portion of the Dairy 2014 study is expected to be 55 percent (Appendix B).  </w:t>
      </w:r>
    </w:p>
    <w:p w:rsidR="00230017" w:rsidRPr="0020396D" w:rsidRDefault="00230017" w:rsidP="00230017">
      <w:pPr>
        <w:pStyle w:val="DefaultText"/>
        <w:rPr>
          <w:rStyle w:val="InitialStyle"/>
        </w:rPr>
      </w:pPr>
    </w:p>
    <w:p w:rsidR="00230017" w:rsidRPr="0020396D" w:rsidRDefault="00230017" w:rsidP="00230017">
      <w:pPr>
        <w:pStyle w:val="DefaultText"/>
        <w:rPr>
          <w:rStyle w:val="InitialStyle"/>
        </w:rPr>
      </w:pPr>
      <w:r w:rsidRPr="0020396D">
        <w:t xml:space="preserve">Farms with 30+ milk cows will be eligible to participate in Phase II of the Dairy 2014 study, which will entail farm visits by APHIS–Veterinary Services personnel. Farms with 1–29 milk cows will not be eligible to participate in Phase II. </w:t>
      </w:r>
      <w:r w:rsidRPr="0020396D">
        <w:rPr>
          <w:rStyle w:val="InitialStyle"/>
        </w:rPr>
        <w:t xml:space="preserve">Criterion for eligibility will be their January 1, 2014, inventory of at least 30 milk cows, as reported on the NASS questionnaire.  </w:t>
      </w:r>
    </w:p>
    <w:p w:rsidR="00230017" w:rsidRPr="0020396D" w:rsidRDefault="00230017" w:rsidP="00230017">
      <w:pPr>
        <w:pStyle w:val="BODY11Indent"/>
        <w:ind w:left="0"/>
        <w:rPr>
          <w:rStyle w:val="InitialStyle"/>
          <w:sz w:val="24"/>
        </w:rPr>
      </w:pPr>
    </w:p>
    <w:p w:rsidR="00230017" w:rsidRPr="0020396D" w:rsidRDefault="00230017" w:rsidP="00230017">
      <w:pPr>
        <w:pStyle w:val="Heading2"/>
        <w:numPr>
          <w:ilvl w:val="0"/>
          <w:numId w:val="19"/>
        </w:numPr>
        <w:tabs>
          <w:tab w:val="clear" w:pos="720"/>
          <w:tab w:val="num" w:pos="360"/>
        </w:tabs>
        <w:ind w:left="360"/>
        <w:rPr>
          <w:rStyle w:val="InitialStyle"/>
          <w:rFonts w:ascii="Times New Roman" w:hAnsi="Times New Roman" w:cs="Times New Roman"/>
          <w:sz w:val="24"/>
          <w:szCs w:val="24"/>
        </w:rPr>
      </w:pPr>
      <w:bookmarkStart w:id="4" w:name="_Toc120517345"/>
      <w:bookmarkStart w:id="5" w:name="_Toc121289104"/>
      <w:bookmarkStart w:id="6" w:name="_Toc133308573"/>
      <w:bookmarkStart w:id="7" w:name="_Toc138561649"/>
      <w:r w:rsidRPr="0020396D">
        <w:rPr>
          <w:rStyle w:val="InitialStyle"/>
          <w:rFonts w:ascii="Times New Roman" w:hAnsi="Times New Roman" w:cs="Times New Roman"/>
          <w:sz w:val="24"/>
          <w:szCs w:val="24"/>
        </w:rPr>
        <w:t>Describe the procedures for the collection of information including:</w:t>
      </w:r>
      <w:bookmarkEnd w:id="4"/>
      <w:bookmarkEnd w:id="5"/>
      <w:bookmarkEnd w:id="6"/>
      <w:bookmarkEnd w:id="7"/>
    </w:p>
    <w:p w:rsidR="00230017" w:rsidRPr="0020396D" w:rsidRDefault="00230017" w:rsidP="00230017">
      <w:pPr>
        <w:pStyle w:val="Heading3"/>
        <w:numPr>
          <w:ilvl w:val="0"/>
          <w:numId w:val="2"/>
        </w:numPr>
        <w:rPr>
          <w:rFonts w:ascii="Times New Roman" w:hAnsi="Times New Roman" w:cs="Times New Roman"/>
          <w:sz w:val="24"/>
          <w:szCs w:val="24"/>
        </w:rPr>
      </w:pPr>
      <w:bookmarkStart w:id="8" w:name="_Toc120517346"/>
      <w:bookmarkStart w:id="9" w:name="_Toc121289105"/>
      <w:bookmarkStart w:id="10" w:name="_Toc133308574"/>
      <w:bookmarkStart w:id="11" w:name="_Toc138561650"/>
      <w:r w:rsidRPr="0020396D">
        <w:rPr>
          <w:rFonts w:ascii="Times New Roman" w:hAnsi="Times New Roman" w:cs="Times New Roman"/>
          <w:sz w:val="24"/>
          <w:szCs w:val="24"/>
        </w:rPr>
        <w:t>Statistical methodology for stratification and sample selection</w:t>
      </w:r>
      <w:bookmarkEnd w:id="8"/>
      <w:bookmarkEnd w:id="9"/>
      <w:bookmarkEnd w:id="10"/>
      <w:bookmarkEnd w:id="11"/>
    </w:p>
    <w:p w:rsidR="00230017" w:rsidRPr="0020396D" w:rsidRDefault="00230017" w:rsidP="00230017">
      <w:pPr>
        <w:pStyle w:val="DefaultText"/>
        <w:ind w:left="720"/>
        <w:rPr>
          <w:rStyle w:val="InitialStyle"/>
        </w:rPr>
      </w:pPr>
      <w:r w:rsidRPr="0020396D">
        <w:rPr>
          <w:rStyle w:val="InitialStyle"/>
        </w:rPr>
        <w:t>Sampling methodology— Dairy 2014 study: The NASS list frame of dairy operations (from the 2012 Ag Census) will initially be divided into 2 groups:  farms with 1-29 milk cows and farms with 30+ milk cows. A sample of 3,000 dairy operations will be selected from the group of operations with 30+ milk cows, and 500 operations will be selected from the group of operations with 1–29 milk cows.  Samples will be selected independently in the two groups.</w:t>
      </w:r>
    </w:p>
    <w:p w:rsidR="00230017" w:rsidRPr="0020396D" w:rsidRDefault="00230017" w:rsidP="00230017">
      <w:pPr>
        <w:pStyle w:val="DefaultText"/>
        <w:ind w:left="720"/>
        <w:rPr>
          <w:rStyle w:val="InitialStyle"/>
        </w:rPr>
      </w:pPr>
    </w:p>
    <w:p w:rsidR="00230017" w:rsidRPr="0020396D" w:rsidRDefault="00230017" w:rsidP="00230017">
      <w:pPr>
        <w:pStyle w:val="DefaultText"/>
        <w:ind w:left="720"/>
      </w:pPr>
      <w:r w:rsidRPr="0020396D">
        <w:rPr>
          <w:rStyle w:val="InitialStyle"/>
        </w:rPr>
        <w:t>For both groups, the list frame will initially be stratified by State. The State-level allocation will be based on a weighted proportion of the number of operations and the cow inventory in the State relative to the total in the 17 States. Preliminary allocation numbers by State appear in Appendix D. The percent</w:t>
      </w:r>
      <w:r w:rsidRPr="0020396D">
        <w:t xml:space="preserve">age of operations in the State will get a weight of 0.4 and the percentage of milk cows will get a weight of 0.6. For example, if California has 23.8 percent of the dairy cows and 3.7 percent of operations in the 17 selected States, it will initially be assigned 15.8 percent (23.8*0.6+3.7*0.4=15.8) of the sample of 3,500. The allocation will be smoothed to reduce the burden on the NASS enumerators in States with large dairy populations. Within States the sample will then be allocated within size strata (for the operations with 30+ milk cows). This allows an oversampling of large operations to capture more of the milk cow inventory. </w:t>
      </w:r>
    </w:p>
    <w:p w:rsidR="00230017" w:rsidRPr="0020396D" w:rsidRDefault="00230017" w:rsidP="00230017">
      <w:pPr>
        <w:pStyle w:val="DefaultText"/>
        <w:ind w:left="720"/>
      </w:pPr>
    </w:p>
    <w:p w:rsidR="00230017" w:rsidRPr="0020396D" w:rsidRDefault="00230017" w:rsidP="00230017">
      <w:pPr>
        <w:pStyle w:val="DefaultText"/>
        <w:ind w:left="720"/>
      </w:pPr>
      <w:r w:rsidRPr="0020396D">
        <w:t>Within each state/size category stratum, a simple random sample is selected by NASS from their list frame.  NAHMS does not have access to the list frame; the final dataset only includes records in the sample.</w:t>
      </w:r>
    </w:p>
    <w:p w:rsidR="00230017" w:rsidRPr="0020396D" w:rsidRDefault="00230017" w:rsidP="00230017">
      <w:pPr>
        <w:pStyle w:val="DefaultText"/>
        <w:ind w:left="720"/>
      </w:pPr>
    </w:p>
    <w:p w:rsidR="00230017" w:rsidRPr="0020396D" w:rsidRDefault="00230017" w:rsidP="00230017">
      <w:pPr>
        <w:pStyle w:val="Heading3"/>
        <w:numPr>
          <w:ilvl w:val="0"/>
          <w:numId w:val="3"/>
        </w:numPr>
        <w:rPr>
          <w:rFonts w:ascii="Times New Roman" w:hAnsi="Times New Roman" w:cs="Times New Roman"/>
          <w:sz w:val="24"/>
          <w:szCs w:val="24"/>
        </w:rPr>
      </w:pPr>
      <w:bookmarkStart w:id="12" w:name="_Toc120517347"/>
      <w:bookmarkStart w:id="13" w:name="_Toc121289106"/>
      <w:bookmarkStart w:id="14" w:name="_Toc133308575"/>
      <w:bookmarkStart w:id="15" w:name="_Toc138561651"/>
      <w:r w:rsidRPr="0020396D">
        <w:rPr>
          <w:rFonts w:ascii="Times New Roman" w:hAnsi="Times New Roman" w:cs="Times New Roman"/>
          <w:sz w:val="24"/>
          <w:szCs w:val="24"/>
        </w:rPr>
        <w:t>Estimation procedure</w:t>
      </w:r>
      <w:bookmarkEnd w:id="12"/>
      <w:bookmarkEnd w:id="13"/>
      <w:bookmarkEnd w:id="14"/>
      <w:bookmarkEnd w:id="15"/>
    </w:p>
    <w:p w:rsidR="00230017" w:rsidRPr="0020396D" w:rsidRDefault="00230017" w:rsidP="00230017">
      <w:pPr>
        <w:pStyle w:val="DefaultText"/>
        <w:ind w:left="720"/>
      </w:pPr>
      <w:r w:rsidRPr="0020396D">
        <w:t>The sampling design is a stratified random sample with unequal probabilities of selection. The statistical estimation will be undertaken using either SAS survey procedures or SUDAAN. Both software packages use a Taylor series expansion to estimate appropriate variances for the stratified, weighted data.</w:t>
      </w:r>
    </w:p>
    <w:p w:rsidR="00230017" w:rsidRPr="0020396D" w:rsidRDefault="00230017" w:rsidP="00230017">
      <w:pPr>
        <w:pStyle w:val="DefaultText"/>
        <w:ind w:left="720"/>
        <w:rPr>
          <w:rStyle w:val="InitialStyle"/>
        </w:rPr>
      </w:pPr>
    </w:p>
    <w:p w:rsidR="00230017" w:rsidRPr="0020396D" w:rsidRDefault="00230017" w:rsidP="00230017">
      <w:pPr>
        <w:pStyle w:val="Heading3"/>
        <w:numPr>
          <w:ilvl w:val="0"/>
          <w:numId w:val="3"/>
        </w:numPr>
        <w:rPr>
          <w:rStyle w:val="InitialStyle"/>
          <w:rFonts w:ascii="Times New Roman" w:hAnsi="Times New Roman" w:cs="Times New Roman"/>
          <w:sz w:val="24"/>
          <w:szCs w:val="24"/>
        </w:rPr>
      </w:pPr>
      <w:bookmarkStart w:id="16" w:name="_Toc120517349"/>
      <w:bookmarkStart w:id="17" w:name="_Toc121289108"/>
      <w:bookmarkStart w:id="18" w:name="_Toc133308576"/>
      <w:bookmarkStart w:id="19" w:name="_Toc138561652"/>
      <w:r w:rsidRPr="0020396D">
        <w:rPr>
          <w:rStyle w:val="InitialStyle"/>
          <w:rFonts w:ascii="Times New Roman" w:hAnsi="Times New Roman" w:cs="Times New Roman"/>
          <w:sz w:val="24"/>
          <w:szCs w:val="24"/>
        </w:rPr>
        <w:t>Degree of accuracy needed for the purpose described in the justification</w:t>
      </w:r>
      <w:bookmarkEnd w:id="16"/>
      <w:bookmarkEnd w:id="17"/>
      <w:bookmarkEnd w:id="18"/>
      <w:bookmarkEnd w:id="19"/>
    </w:p>
    <w:p w:rsidR="00230017" w:rsidRPr="0020396D" w:rsidRDefault="00230017" w:rsidP="00230017">
      <w:pPr>
        <w:ind w:left="720"/>
      </w:pPr>
      <w:r w:rsidRPr="0020396D">
        <w:rPr>
          <w:rStyle w:val="InitialStyle"/>
        </w:rPr>
        <w:t>In order to obtain an estimate of 10% +/- 3.0% with 95% confidence (</w:t>
      </w:r>
      <w:proofErr w:type="gramStart"/>
      <w:r w:rsidRPr="0020396D">
        <w:rPr>
          <w:rStyle w:val="InitialStyle"/>
        </w:rPr>
        <w:t>cv=</w:t>
      </w:r>
      <w:proofErr w:type="gramEnd"/>
      <w:r w:rsidRPr="0020396D">
        <w:rPr>
          <w:rStyle w:val="InitialStyle"/>
        </w:rPr>
        <w:t xml:space="preserve">15.0%) a sample size of 384 is needed when a simple random sample is taken. However, the complex survey design typically will result in variances that are inflated, requiring larger sample sizes than would be needed with an SRS. </w:t>
      </w:r>
      <w:r w:rsidRPr="0020396D">
        <w:t>Design effects for previous NAHMS studies typically ranged from less than one up to three. Assuming a typical design effect of 2.0 and a response rate of 60 percent, a sample size of 1,280 [(384*2)/0.6] would be needed to obtain the desired precision in each of 2 regions when the estimate is 10 percent.</w:t>
      </w:r>
    </w:p>
    <w:p w:rsidR="00230017" w:rsidRPr="0020396D" w:rsidRDefault="00230017" w:rsidP="00230017">
      <w:pPr>
        <w:ind w:left="720"/>
      </w:pPr>
    </w:p>
    <w:p w:rsidR="00230017" w:rsidRPr="0020396D" w:rsidRDefault="00230017" w:rsidP="00230017">
      <w:pPr>
        <w:ind w:left="720"/>
      </w:pPr>
      <w:r w:rsidRPr="0020396D">
        <w:lastRenderedPageBreak/>
        <w:t>The design of the Dairy 2007 study was very similar to the proposed design for the Dairy 2014 study. The initial sample size for the Dairy 2007 NASS component was 3,554. Estimates and standard errors (based on the 2,194 completed questionnaires) indicate that the minimum degree of precision desired was attained in 2007 for the NASS component and for the VS component.</w:t>
      </w:r>
    </w:p>
    <w:p w:rsidR="00230017" w:rsidRPr="0020396D" w:rsidRDefault="00230017" w:rsidP="00230017">
      <w:pPr>
        <w:ind w:left="720"/>
      </w:pPr>
    </w:p>
    <w:p w:rsidR="00230017" w:rsidRPr="0020396D" w:rsidRDefault="00230017" w:rsidP="00230017">
      <w:pPr>
        <w:ind w:left="720"/>
      </w:pPr>
      <w:r w:rsidRPr="0020396D">
        <w:t>It was estimated that a sample of 3,000 for operations with 30+ milk cows would meet the desired accuracy. For operations with 1–29 milk cows, a sample of 500 will yield a cv of about 30%; however, this was considered satisfactory given the need to capture a high percentage of the milk cow inventory and also the need to have an adequate number of farms eligible (30+ milk cows) to participate in Phase II of the Dairy 2014 study.</w:t>
      </w:r>
    </w:p>
    <w:p w:rsidR="00230017" w:rsidRPr="0020396D" w:rsidRDefault="00230017" w:rsidP="00230017">
      <w:pPr>
        <w:ind w:left="720"/>
      </w:pPr>
    </w:p>
    <w:p w:rsidR="00230017" w:rsidRPr="0020396D" w:rsidRDefault="00230017" w:rsidP="00230017">
      <w:pPr>
        <w:pStyle w:val="Heading3"/>
        <w:numPr>
          <w:ilvl w:val="0"/>
          <w:numId w:val="18"/>
        </w:numPr>
        <w:rPr>
          <w:rFonts w:ascii="Times New Roman" w:hAnsi="Times New Roman" w:cs="Times New Roman"/>
          <w:sz w:val="24"/>
          <w:szCs w:val="24"/>
        </w:rPr>
      </w:pPr>
      <w:bookmarkStart w:id="20" w:name="_Toc120517350"/>
      <w:bookmarkStart w:id="21" w:name="_Toc121289109"/>
      <w:bookmarkStart w:id="22" w:name="_Toc133308577"/>
      <w:bookmarkStart w:id="23" w:name="_Toc138561653"/>
      <w:r w:rsidRPr="0020396D">
        <w:rPr>
          <w:rFonts w:ascii="Times New Roman" w:hAnsi="Times New Roman" w:cs="Times New Roman"/>
          <w:sz w:val="24"/>
          <w:szCs w:val="24"/>
        </w:rPr>
        <w:t>Data collection</w:t>
      </w:r>
    </w:p>
    <w:p w:rsidR="00230017" w:rsidRPr="0020396D" w:rsidRDefault="00230017" w:rsidP="00230017">
      <w:pPr>
        <w:pStyle w:val="DefaultText"/>
        <w:ind w:left="720"/>
      </w:pPr>
      <w:r w:rsidRPr="0020396D">
        <w:t xml:space="preserve">For the CATI component (500 operations), NASS will mail a </w:t>
      </w:r>
      <w:proofErr w:type="spellStart"/>
      <w:r w:rsidRPr="0020396D">
        <w:t>presurvey</w:t>
      </w:r>
      <w:proofErr w:type="spellEnd"/>
      <w:r w:rsidRPr="0020396D">
        <w:t xml:space="preserve"> letter announcing the Dairy 2014 study. NAHMS-314 will be mailed to the 500 operations along with a request to complete the questionnaire and return by mail. NASS will contact </w:t>
      </w:r>
      <w:proofErr w:type="spellStart"/>
      <w:r w:rsidRPr="0020396D">
        <w:t>nonrespondents</w:t>
      </w:r>
      <w:proofErr w:type="spellEnd"/>
      <w:r w:rsidRPr="0020396D">
        <w:t xml:space="preserve"> to complete NAHMS-314 via computer-assisted telephone interviews. Data will be validated and edited during the telephone interview and the data file will be provided to NAHMS without identifiers.  </w:t>
      </w:r>
    </w:p>
    <w:p w:rsidR="00230017" w:rsidRPr="0020396D" w:rsidRDefault="00230017" w:rsidP="00230017">
      <w:pPr>
        <w:pStyle w:val="DefaultText"/>
        <w:ind w:left="720"/>
      </w:pPr>
    </w:p>
    <w:p w:rsidR="00230017" w:rsidRPr="0020396D" w:rsidRDefault="00230017" w:rsidP="00230017">
      <w:pPr>
        <w:pStyle w:val="DefaultText"/>
        <w:ind w:left="720"/>
      </w:pPr>
      <w:r w:rsidRPr="0020396D">
        <w:t xml:space="preserve">For the NASS enumerator component (3,000 operations), up to 5 telephone calls will be made by the NASS enumerator to set up a convenient time to introduce and explain the study. If the enumerator cannot contact the producer via phone, the enumerator will drive to the dairy operation to initiate contact and will either complete the interview at that time or establish another time for the interview. If the dairy operation’s location cannot be established, the selected unit will be coded as inaccessible. Once contact is made, the NASS enumerator will administer NAHMS-307. Upon completion of the interview, the respondent will be asked to sign a consent form allowing NASS to turn his/her name over to APHIS for continuation in the study; this will complete Phase I of the study. Approximately </w:t>
      </w:r>
      <w:r w:rsidRPr="0020396D">
        <w:rPr>
          <w:color w:val="000000"/>
        </w:rPr>
        <w:t>two out of three</w:t>
      </w:r>
      <w:r w:rsidRPr="0020396D">
        <w:t xml:space="preserve"> producers are expected to sign the consent form. NASS will provide the list of producers willing to participate in the second phase of the study (additional questionnaires and in some cases, biologic sampling) to NAHMS coordinators in each State immediately following Phase I. Once all the information on NAHMS-307 has been entered and validated, NASS will send a dataset to NAHMS along with completed questionnaires without personal identifiers via mail.  </w:t>
      </w:r>
    </w:p>
    <w:p w:rsidR="00230017" w:rsidRPr="0020396D" w:rsidRDefault="00230017" w:rsidP="00230017">
      <w:pPr>
        <w:pStyle w:val="DefaultText"/>
        <w:ind w:left="720"/>
      </w:pPr>
    </w:p>
    <w:p w:rsidR="00230017" w:rsidRPr="0020396D" w:rsidRDefault="00230017" w:rsidP="00230017">
      <w:pPr>
        <w:pStyle w:val="DefaultText"/>
        <w:ind w:left="720"/>
        <w:rPr>
          <w:rStyle w:val="InitialStyle"/>
        </w:rPr>
      </w:pPr>
      <w:r w:rsidRPr="0020396D">
        <w:t xml:space="preserve">Phase II of the study consists of an on-farm interview administered by a data collector, typically a veterinary medical officer (VMO). The data collector will contact the producer to set up a time to administer the study questionnaires and collect biological samples if indicated. Upon arrival on the premises, the data collector will present NAHMS-313 (Producer Agreement) to the producer which allows the producer to indicate what portion(s) of the Dairy 2014 study he/she agrees to participate in. Once NAHMS-313 is completed and signed, the data collector will administer NAHMS-308 (VS Visit Questionnaire) to the producer. If the producer has consented to allow biologic samples to be taken, these may be collected after completing NAHMS-308. NAHMS </w:t>
      </w:r>
      <w:r w:rsidRPr="0020396D">
        <w:lastRenderedPageBreak/>
        <w:t>forms 305-306 and 309-312 will be completed for the corresponding biologic samples that are collected on the operation. Collection of biologic samples and information corresponding for forms 310-312 will be limited to approximately 425 operations per form number, and collection of samples and information corresponding to forms 305, 306, and 309 will be limited to approximately 300 operations per form number. The data collector may set up separate times to come back to the farm to complete the biological sampling. T</w:t>
      </w:r>
      <w:r w:rsidRPr="0020396D">
        <w:rPr>
          <w:rStyle w:val="InitialStyle"/>
        </w:rPr>
        <w:t xml:space="preserve">he completed questionnaires will be returned to NAHMS via U.S. mail. For approximately 300 operations, samples and assessments from heifer calves will be taken monthly. These data will only be collected on those farms that consent to do so. These data may be collected by a veterinary medical officer or, in some cases, university extension veterinarians or private veterinarians. On the consenting operations, </w:t>
      </w:r>
      <w:proofErr w:type="gramStart"/>
      <w:r w:rsidRPr="0020396D">
        <w:rPr>
          <w:rStyle w:val="InitialStyle"/>
        </w:rPr>
        <w:t>every  month</w:t>
      </w:r>
      <w:proofErr w:type="gramEnd"/>
      <w:r w:rsidRPr="0020396D">
        <w:rPr>
          <w:rStyle w:val="InitialStyle"/>
        </w:rPr>
        <w:t xml:space="preserve"> biologic samples will be taken from two calves per operation and will be submitted to the National Veterinary Services Laboratories, the USDA Agricultural Research Service laboratory in Beltsville, Maryland, or another undetermined laboratory. In addition, at each visit, NAHMS-305 will be completed and then returned to NAHMS via U.S. mail.</w:t>
      </w:r>
    </w:p>
    <w:p w:rsidR="00230017" w:rsidRPr="0020396D" w:rsidRDefault="00230017" w:rsidP="00230017"/>
    <w:p w:rsidR="00230017" w:rsidRPr="0020396D" w:rsidRDefault="00230017" w:rsidP="00230017">
      <w:pPr>
        <w:pStyle w:val="Heading3"/>
        <w:numPr>
          <w:ilvl w:val="0"/>
          <w:numId w:val="18"/>
        </w:numPr>
        <w:rPr>
          <w:rFonts w:ascii="Times New Roman" w:hAnsi="Times New Roman" w:cs="Times New Roman"/>
          <w:sz w:val="24"/>
          <w:szCs w:val="24"/>
        </w:rPr>
      </w:pPr>
      <w:r w:rsidRPr="0020396D">
        <w:rPr>
          <w:rFonts w:ascii="Times New Roman" w:hAnsi="Times New Roman" w:cs="Times New Roman"/>
          <w:sz w:val="24"/>
          <w:szCs w:val="24"/>
        </w:rPr>
        <w:t>Unusual problems requiring specialized sampling procedures</w:t>
      </w:r>
      <w:bookmarkEnd w:id="20"/>
      <w:bookmarkEnd w:id="21"/>
      <w:bookmarkEnd w:id="22"/>
      <w:bookmarkEnd w:id="23"/>
    </w:p>
    <w:p w:rsidR="00230017" w:rsidRPr="0020396D" w:rsidRDefault="00230017" w:rsidP="00230017">
      <w:pPr>
        <w:pStyle w:val="DefaultText"/>
        <w:ind w:left="720"/>
        <w:rPr>
          <w:rStyle w:val="InitialStyle"/>
        </w:rPr>
      </w:pPr>
      <w:r w:rsidRPr="0020396D">
        <w:rPr>
          <w:rStyle w:val="InitialStyle"/>
        </w:rPr>
        <w:t>There are no unusual problems requiring specialized sampling procedures and data collection cycles.</w:t>
      </w:r>
    </w:p>
    <w:p w:rsidR="00230017" w:rsidRPr="0020396D" w:rsidRDefault="00230017" w:rsidP="00230017">
      <w:pPr>
        <w:pStyle w:val="Heading3"/>
        <w:numPr>
          <w:ilvl w:val="0"/>
          <w:numId w:val="20"/>
        </w:numPr>
        <w:tabs>
          <w:tab w:val="clear" w:pos="720"/>
          <w:tab w:val="num" w:pos="0"/>
        </w:tabs>
        <w:ind w:left="360"/>
        <w:rPr>
          <w:rStyle w:val="InitialStyle"/>
          <w:rFonts w:ascii="Times New Roman" w:hAnsi="Times New Roman" w:cs="Times New Roman"/>
          <w:sz w:val="24"/>
          <w:szCs w:val="24"/>
        </w:rPr>
      </w:pPr>
      <w:bookmarkStart w:id="24" w:name="_Toc133308578"/>
      <w:bookmarkStart w:id="25" w:name="_Toc138561654"/>
      <w:r w:rsidRPr="0020396D">
        <w:rPr>
          <w:rStyle w:val="InitialStyle"/>
          <w:rFonts w:ascii="Times New Roman" w:hAnsi="Times New Roman" w:cs="Times New Roman"/>
          <w:sz w:val="24"/>
          <w:szCs w:val="24"/>
        </w:rPr>
        <w:t>Any use of periodic (less frequent than annual) data collection cycles to reduce burden</w:t>
      </w:r>
      <w:bookmarkEnd w:id="24"/>
      <w:bookmarkEnd w:id="25"/>
    </w:p>
    <w:p w:rsidR="00230017" w:rsidRPr="0020396D" w:rsidRDefault="00230017" w:rsidP="00230017">
      <w:pPr>
        <w:pStyle w:val="DefaultText"/>
        <w:ind w:left="720"/>
        <w:rPr>
          <w:rStyle w:val="InitialStyle"/>
        </w:rPr>
      </w:pPr>
      <w:r w:rsidRPr="0020396D">
        <w:rPr>
          <w:rStyle w:val="InitialStyle"/>
        </w:rPr>
        <w:t>There will be no periodic (less frequent than annual) data collection cycles.</w:t>
      </w:r>
    </w:p>
    <w:p w:rsidR="00230017" w:rsidRPr="0020396D" w:rsidRDefault="00230017" w:rsidP="00230017">
      <w:pPr>
        <w:pStyle w:val="DefaultText"/>
        <w:ind w:left="720"/>
        <w:rPr>
          <w:rStyle w:val="InitialStyle"/>
        </w:rPr>
      </w:pPr>
    </w:p>
    <w:p w:rsidR="00230017" w:rsidRPr="0020396D" w:rsidRDefault="00230017" w:rsidP="00230017">
      <w:pPr>
        <w:pStyle w:val="Heading2"/>
        <w:numPr>
          <w:ilvl w:val="0"/>
          <w:numId w:val="19"/>
        </w:numPr>
        <w:tabs>
          <w:tab w:val="clear" w:pos="720"/>
          <w:tab w:val="num" w:pos="360"/>
        </w:tabs>
        <w:ind w:left="360"/>
        <w:rPr>
          <w:rFonts w:ascii="Times New Roman" w:hAnsi="Times New Roman" w:cs="Times New Roman"/>
          <w:sz w:val="24"/>
          <w:szCs w:val="24"/>
        </w:rPr>
      </w:pPr>
      <w:bookmarkStart w:id="26" w:name="_Toc120517351"/>
      <w:bookmarkStart w:id="27" w:name="_Toc121289110"/>
      <w:bookmarkStart w:id="28" w:name="_Toc133308579"/>
      <w:bookmarkStart w:id="29" w:name="_Toc138561655"/>
      <w:r w:rsidRPr="0020396D">
        <w:rPr>
          <w:rFonts w:ascii="Times New Roman" w:hAnsi="Times New Roman" w:cs="Times New Roman"/>
          <w:sz w:val="24"/>
          <w:szCs w:val="24"/>
        </w:rPr>
        <w:t>Describe methods to maximize response rates and to deal with issues of non-response.</w:t>
      </w:r>
      <w:bookmarkEnd w:id="26"/>
      <w:bookmarkEnd w:id="27"/>
      <w:r w:rsidRPr="0020396D">
        <w:rPr>
          <w:rFonts w:ascii="Times New Roman" w:hAnsi="Times New Roman" w:cs="Times New Roman"/>
          <w:sz w:val="24"/>
          <w:szCs w:val="24"/>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28"/>
      <w:bookmarkEnd w:id="29"/>
    </w:p>
    <w:p w:rsidR="00230017" w:rsidRPr="0020396D" w:rsidRDefault="00230017" w:rsidP="00230017">
      <w:pPr>
        <w:pStyle w:val="Heading3"/>
        <w:spacing w:before="0" w:after="0"/>
        <w:rPr>
          <w:rStyle w:val="InitialStyle"/>
          <w:rFonts w:ascii="Times New Roman" w:hAnsi="Times New Roman" w:cs="Times New Roman"/>
          <w:sz w:val="24"/>
          <w:szCs w:val="24"/>
        </w:rPr>
      </w:pPr>
      <w:bookmarkStart w:id="30" w:name="_Toc120517352"/>
      <w:bookmarkStart w:id="31" w:name="_Toc121289111"/>
      <w:bookmarkStart w:id="32" w:name="_Toc133308580"/>
      <w:bookmarkStart w:id="33" w:name="_Toc138561656"/>
    </w:p>
    <w:p w:rsidR="00230017" w:rsidRPr="0020396D" w:rsidRDefault="00230017" w:rsidP="00230017">
      <w:pPr>
        <w:pStyle w:val="Heading3"/>
        <w:spacing w:before="0"/>
        <w:rPr>
          <w:rStyle w:val="InitialStyle"/>
          <w:rFonts w:ascii="Times New Roman" w:hAnsi="Times New Roman" w:cs="Times New Roman"/>
          <w:sz w:val="24"/>
          <w:szCs w:val="24"/>
        </w:rPr>
      </w:pPr>
      <w:r w:rsidRPr="0020396D">
        <w:rPr>
          <w:rStyle w:val="InitialStyle"/>
          <w:rFonts w:ascii="Times New Roman" w:hAnsi="Times New Roman" w:cs="Times New Roman"/>
          <w:sz w:val="24"/>
          <w:szCs w:val="24"/>
        </w:rPr>
        <w:t>Study Design:</w:t>
      </w:r>
      <w:bookmarkEnd w:id="30"/>
      <w:bookmarkEnd w:id="31"/>
      <w:bookmarkEnd w:id="32"/>
      <w:bookmarkEnd w:id="33"/>
    </w:p>
    <w:p w:rsidR="00230017" w:rsidRPr="0020396D" w:rsidRDefault="00230017" w:rsidP="00230017">
      <w:pPr>
        <w:pStyle w:val="DefaultText"/>
        <w:numPr>
          <w:ilvl w:val="0"/>
          <w:numId w:val="4"/>
        </w:numPr>
        <w:ind w:left="720"/>
        <w:rPr>
          <w:rStyle w:val="InitialStyle"/>
        </w:rPr>
      </w:pPr>
      <w:r w:rsidRPr="0020396D">
        <w:rPr>
          <w:rStyle w:val="InitialStyle"/>
        </w:rPr>
        <w:t xml:space="preserve">Many questions have been repeated from previous NAHMS dairy studies conducted in 1991–92, 1996, 2002, and 2007.  </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4"/>
        </w:numPr>
        <w:ind w:left="720"/>
        <w:rPr>
          <w:rStyle w:val="InitialStyle"/>
        </w:rPr>
      </w:pPr>
      <w:r w:rsidRPr="0020396D">
        <w:rPr>
          <w:rStyle w:val="InitialStyle"/>
        </w:rPr>
        <w:t>The study minimizes collection of data to that which is absolutely necessary.</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5"/>
        </w:numPr>
        <w:ind w:left="720"/>
        <w:rPr>
          <w:rStyle w:val="InitialStyle"/>
        </w:rPr>
      </w:pPr>
      <w:r w:rsidRPr="0020396D">
        <w:rPr>
          <w:rStyle w:val="InitialStyle"/>
        </w:rPr>
        <w:t xml:space="preserve">NAHMS will develop training information that NASS can post to an Intranet site for NASS enumerators that explains the purpose of the study and addresses anticipated difficulties with questions, including proper pronunciation of diseases.  </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5"/>
        </w:numPr>
        <w:ind w:left="720"/>
        <w:rPr>
          <w:rStyle w:val="InitialStyle"/>
        </w:rPr>
      </w:pPr>
      <w:r w:rsidRPr="0020396D">
        <w:rPr>
          <w:rStyle w:val="InitialStyle"/>
        </w:rPr>
        <w:t>After participating in a telephone conference call training session with NAHMS staff, each State’s NAHMS coordinator (VMO) will help train NASS enumerators in their respective States.</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5"/>
        </w:numPr>
        <w:ind w:left="720"/>
        <w:rPr>
          <w:rStyle w:val="InitialStyle"/>
        </w:rPr>
      </w:pPr>
      <w:r w:rsidRPr="0020396D">
        <w:rPr>
          <w:rStyle w:val="InitialStyle"/>
        </w:rPr>
        <w:lastRenderedPageBreak/>
        <w:t xml:space="preserve">The NAHMS coordinator conducting training will acquaint the NASS enumerators with NAHMS, their role in the information collection, and the type of information to be reported resulting from the data collected.  </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5"/>
        </w:numPr>
        <w:ind w:left="720"/>
        <w:rPr>
          <w:rStyle w:val="InitialStyle"/>
        </w:rPr>
      </w:pPr>
      <w:r w:rsidRPr="0020396D">
        <w:rPr>
          <w:rStyle w:val="InitialStyle"/>
        </w:rPr>
        <w:t xml:space="preserve">Similarly, for the VMO component, each State NAHMS coordinator will receive up to 3 days of specialized training via NAHMS staff and in return train the APHIS field data collectors in their States.  </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6"/>
        </w:numPr>
        <w:ind w:left="720"/>
        <w:rPr>
          <w:rStyle w:val="InitialStyle"/>
        </w:rPr>
      </w:pPr>
      <w:r w:rsidRPr="0020396D">
        <w:rPr>
          <w:rStyle w:val="InitialStyle"/>
        </w:rPr>
        <w:t xml:space="preserve">The dairy specialist for NAHMS has made numerous contacts and collaborative efforts to identify the information needs of the industry and the best way to ask for that information via questionnaire.  </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10"/>
        </w:numPr>
        <w:ind w:left="720"/>
        <w:rPr>
          <w:rStyle w:val="InitialStyle"/>
        </w:rPr>
      </w:pPr>
      <w:r w:rsidRPr="0020396D">
        <w:rPr>
          <w:rStyle w:val="InitialStyle"/>
        </w:rPr>
        <w:t>A sample of 3,000 operations with at least 30 dairy cows and 500 operations with fewer than 30 dairy cows will be drawn from NASS’ producer list.</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10"/>
        </w:numPr>
        <w:ind w:left="720"/>
        <w:rPr>
          <w:rStyle w:val="InitialStyle"/>
        </w:rPr>
      </w:pPr>
      <w:r w:rsidRPr="0020396D">
        <w:rPr>
          <w:rStyle w:val="InitialStyle"/>
        </w:rPr>
        <w:t xml:space="preserve">A </w:t>
      </w:r>
      <w:proofErr w:type="spellStart"/>
      <w:r w:rsidRPr="0020396D">
        <w:rPr>
          <w:rStyle w:val="InitialStyle"/>
        </w:rPr>
        <w:t>presurvey</w:t>
      </w:r>
      <w:proofErr w:type="spellEnd"/>
      <w:r w:rsidRPr="0020396D">
        <w:rPr>
          <w:rStyle w:val="InitialStyle"/>
        </w:rPr>
        <w:t xml:space="preserve"> letter</w:t>
      </w:r>
      <w:r w:rsidRPr="0020396D">
        <w:rPr>
          <w:rStyle w:val="FootnoteReference"/>
        </w:rPr>
        <w:footnoteReference w:id="2"/>
      </w:r>
      <w:r w:rsidRPr="0020396D">
        <w:rPr>
          <w:rStyle w:val="InitialStyle"/>
        </w:rPr>
        <w:t xml:space="preserve"> will be sent along with the marketing information sheet.</w:t>
      </w:r>
      <w:r w:rsidRPr="0020396D">
        <w:rPr>
          <w:rStyle w:val="FootnoteReference"/>
        </w:rPr>
        <w:footnoteReference w:id="3"/>
      </w:r>
      <w:r w:rsidRPr="0020396D">
        <w:rPr>
          <w:rStyle w:val="InitialStyle"/>
        </w:rPr>
        <w:t xml:space="preserve"> Upon personal contact by the enumerator the marketing information sheet will again be presented so there is a connection back to the </w:t>
      </w:r>
      <w:proofErr w:type="spellStart"/>
      <w:r w:rsidRPr="0020396D">
        <w:rPr>
          <w:rStyle w:val="InitialStyle"/>
        </w:rPr>
        <w:t>presurvey</w:t>
      </w:r>
      <w:proofErr w:type="spellEnd"/>
      <w:r w:rsidRPr="0020396D">
        <w:rPr>
          <w:rStyle w:val="InitialStyle"/>
        </w:rPr>
        <w:t xml:space="preserve"> letter introducing the study. </w:t>
      </w:r>
    </w:p>
    <w:p w:rsidR="00230017" w:rsidRPr="0020396D" w:rsidRDefault="00230017" w:rsidP="00230017">
      <w:pPr>
        <w:pStyle w:val="Heading3"/>
        <w:rPr>
          <w:rStyle w:val="InitialStyle"/>
          <w:rFonts w:ascii="Times New Roman" w:hAnsi="Times New Roman" w:cs="Times New Roman"/>
          <w:sz w:val="24"/>
          <w:szCs w:val="24"/>
        </w:rPr>
      </w:pPr>
      <w:bookmarkStart w:id="34" w:name="_Toc120517353"/>
      <w:bookmarkStart w:id="35" w:name="_Toc121289112"/>
      <w:bookmarkStart w:id="36" w:name="_Toc133308581"/>
      <w:bookmarkStart w:id="37" w:name="_Toc138561657"/>
      <w:r w:rsidRPr="0020396D">
        <w:rPr>
          <w:rStyle w:val="InitialStyle"/>
          <w:rFonts w:ascii="Times New Roman" w:hAnsi="Times New Roman" w:cs="Times New Roman"/>
          <w:sz w:val="24"/>
          <w:szCs w:val="24"/>
        </w:rPr>
        <w:t>Contacting Respondents:</w:t>
      </w:r>
      <w:bookmarkEnd w:id="34"/>
      <w:bookmarkEnd w:id="35"/>
      <w:bookmarkEnd w:id="36"/>
      <w:bookmarkEnd w:id="37"/>
    </w:p>
    <w:p w:rsidR="00230017" w:rsidRPr="0020396D" w:rsidRDefault="00230017" w:rsidP="00230017">
      <w:pPr>
        <w:pStyle w:val="DefaultText"/>
        <w:numPr>
          <w:ilvl w:val="0"/>
          <w:numId w:val="10"/>
        </w:numPr>
        <w:ind w:left="720"/>
        <w:rPr>
          <w:rStyle w:val="InitialStyle"/>
        </w:rPr>
      </w:pPr>
      <w:r w:rsidRPr="0020396D">
        <w:rPr>
          <w:rStyle w:val="InitialStyle"/>
        </w:rPr>
        <w:t>The study has been announced and is supported by the National Milk Producers Federation (NMPF), American Association of Bovine Practitioners (AABP), and the National Mastitis Council.</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10"/>
        </w:numPr>
        <w:ind w:left="720"/>
        <w:rPr>
          <w:rStyle w:val="InitialStyle"/>
        </w:rPr>
      </w:pPr>
      <w:r w:rsidRPr="0020396D">
        <w:rPr>
          <w:rStyle w:val="InitialStyle"/>
        </w:rPr>
        <w:t>Producers with 30 or more dairy cows will be called by the NASS enumerator up to 5 times followed by an on-farm visit before they are listed as a refused or inaccessible operation.</w:t>
      </w:r>
    </w:p>
    <w:p w:rsidR="00230017" w:rsidRPr="0020396D" w:rsidRDefault="00230017" w:rsidP="00230017">
      <w:pPr>
        <w:pStyle w:val="ListParagraph"/>
        <w:rPr>
          <w:rStyle w:val="InitialStyle"/>
        </w:rPr>
      </w:pPr>
    </w:p>
    <w:p w:rsidR="00230017" w:rsidRPr="0020396D" w:rsidRDefault="00230017" w:rsidP="00230017">
      <w:pPr>
        <w:pStyle w:val="DefaultText"/>
        <w:numPr>
          <w:ilvl w:val="0"/>
          <w:numId w:val="10"/>
        </w:numPr>
        <w:ind w:left="720"/>
        <w:rPr>
          <w:rStyle w:val="InitialStyle"/>
        </w:rPr>
      </w:pPr>
      <w:r w:rsidRPr="0020396D">
        <w:rPr>
          <w:rStyle w:val="InitialStyle"/>
        </w:rPr>
        <w:t>Producers with fewer than 30 dairy cows will be called by NASS telephone enumerators up to 5 times before coding the sample inaccessible.</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10"/>
        </w:numPr>
        <w:ind w:left="720"/>
        <w:rPr>
          <w:rStyle w:val="InitialStyle"/>
        </w:rPr>
      </w:pPr>
      <w:r w:rsidRPr="0020396D">
        <w:rPr>
          <w:rStyle w:val="InitialStyle"/>
        </w:rPr>
        <w:t>The APHIS designated data collector will contact farms that have consented to have their names turned over to APHIS and set up a convenient time for the producer to complete the questionnaire and conduct biological sampling.</w:t>
      </w:r>
    </w:p>
    <w:p w:rsidR="00230017" w:rsidRPr="0020396D" w:rsidRDefault="00230017" w:rsidP="00230017">
      <w:pPr>
        <w:pStyle w:val="Heading3"/>
        <w:rPr>
          <w:rStyle w:val="InitialStyle"/>
          <w:rFonts w:ascii="Times New Roman" w:hAnsi="Times New Roman" w:cs="Times New Roman"/>
          <w:sz w:val="24"/>
          <w:szCs w:val="24"/>
        </w:rPr>
      </w:pPr>
      <w:bookmarkStart w:id="38" w:name="_Toc120517354"/>
      <w:bookmarkStart w:id="39" w:name="_Toc121289113"/>
      <w:bookmarkStart w:id="40" w:name="_Toc133308582"/>
      <w:bookmarkStart w:id="41" w:name="_Toc138561658"/>
      <w:r w:rsidRPr="0020396D">
        <w:rPr>
          <w:rStyle w:val="InitialStyle"/>
          <w:rFonts w:ascii="Times New Roman" w:hAnsi="Times New Roman" w:cs="Times New Roman"/>
          <w:sz w:val="24"/>
          <w:szCs w:val="24"/>
        </w:rPr>
        <w:t>Data Collection Steps:</w:t>
      </w:r>
      <w:bookmarkEnd w:id="38"/>
      <w:bookmarkEnd w:id="39"/>
      <w:bookmarkEnd w:id="40"/>
      <w:bookmarkEnd w:id="41"/>
    </w:p>
    <w:p w:rsidR="00230017" w:rsidRPr="0020396D" w:rsidRDefault="00230017" w:rsidP="00230017">
      <w:pPr>
        <w:pStyle w:val="DefaultText"/>
        <w:numPr>
          <w:ilvl w:val="0"/>
          <w:numId w:val="11"/>
        </w:numPr>
        <w:ind w:left="720"/>
        <w:rPr>
          <w:rStyle w:val="InitialStyle"/>
        </w:rPr>
      </w:pPr>
      <w:r w:rsidRPr="0020396D">
        <w:rPr>
          <w:rStyle w:val="InitialStyle"/>
        </w:rPr>
        <w:t>Data collectors will arrive at the premises at the agreed-upon time.</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11"/>
        </w:numPr>
        <w:ind w:left="720"/>
        <w:rPr>
          <w:rStyle w:val="InitialStyle"/>
        </w:rPr>
      </w:pPr>
      <w:r w:rsidRPr="0020396D">
        <w:rPr>
          <w:rStyle w:val="InitialStyle"/>
        </w:rPr>
        <w:t>For operations with at least 30 dairy cows, the NASS enumerators will complete NAHMS-307 and ask eligible producers to sign the consent form.</w:t>
      </w:r>
    </w:p>
    <w:p w:rsidR="00230017" w:rsidRPr="0020396D" w:rsidRDefault="00230017" w:rsidP="00230017">
      <w:pPr>
        <w:pStyle w:val="ListParagraph"/>
        <w:rPr>
          <w:rStyle w:val="InitialStyle"/>
        </w:rPr>
      </w:pPr>
    </w:p>
    <w:p w:rsidR="00230017" w:rsidRPr="0020396D" w:rsidRDefault="00230017" w:rsidP="00230017">
      <w:pPr>
        <w:pStyle w:val="DefaultText"/>
        <w:numPr>
          <w:ilvl w:val="0"/>
          <w:numId w:val="11"/>
        </w:numPr>
        <w:ind w:left="720"/>
        <w:rPr>
          <w:rStyle w:val="InitialStyle"/>
        </w:rPr>
      </w:pPr>
      <w:r w:rsidRPr="0020396D">
        <w:rPr>
          <w:rStyle w:val="InitialStyle"/>
        </w:rPr>
        <w:t xml:space="preserve">Operations with fewer than 30 dairy cows will receive NAHMS-314 by mail and will have the opportunity to complete the form and return via U.S. mail. For producers who </w:t>
      </w:r>
      <w:r w:rsidRPr="0020396D">
        <w:rPr>
          <w:rStyle w:val="InitialStyle"/>
        </w:rPr>
        <w:lastRenderedPageBreak/>
        <w:t xml:space="preserve">do not respond to the mailing, the NASS telephone enumerator, via CATI, will complete NAHMS-314. </w:t>
      </w:r>
    </w:p>
    <w:p w:rsidR="00230017" w:rsidRPr="0020396D" w:rsidRDefault="00230017" w:rsidP="00230017">
      <w:pPr>
        <w:pStyle w:val="DefaultText"/>
        <w:ind w:left="720"/>
        <w:rPr>
          <w:rStyle w:val="InitialStyle"/>
        </w:rPr>
      </w:pPr>
    </w:p>
    <w:p w:rsidR="00230017" w:rsidRPr="0020396D" w:rsidRDefault="00230017" w:rsidP="00230017">
      <w:pPr>
        <w:pStyle w:val="DefaultText"/>
        <w:numPr>
          <w:ilvl w:val="0"/>
          <w:numId w:val="11"/>
        </w:numPr>
        <w:ind w:left="720"/>
        <w:rPr>
          <w:rStyle w:val="InitialStyle"/>
        </w:rPr>
      </w:pPr>
      <w:r w:rsidRPr="0020396D">
        <w:rPr>
          <w:rStyle w:val="InitialStyle"/>
        </w:rPr>
        <w:t>The APHIS data collectors will administer NAHMS forms 305, 306, 308, 309, 310, 311, 312, and 313 to the consenting producers.</w:t>
      </w:r>
    </w:p>
    <w:p w:rsidR="00230017" w:rsidRPr="0020396D" w:rsidRDefault="00230017" w:rsidP="00230017">
      <w:pPr>
        <w:pStyle w:val="DefaultText"/>
        <w:spacing w:before="240" w:after="60"/>
        <w:rPr>
          <w:rStyle w:val="InitialStyle"/>
          <w:b/>
        </w:rPr>
      </w:pPr>
      <w:r w:rsidRPr="0020396D">
        <w:rPr>
          <w:rStyle w:val="InitialStyle"/>
          <w:b/>
        </w:rPr>
        <w:t>Data Analysis Steps:</w:t>
      </w:r>
    </w:p>
    <w:p w:rsidR="00230017" w:rsidRPr="0020396D" w:rsidRDefault="00230017" w:rsidP="00230017">
      <w:pPr>
        <w:pStyle w:val="DefaultText"/>
        <w:rPr>
          <w:rStyle w:val="InitialStyle"/>
        </w:rPr>
      </w:pPr>
      <w:r w:rsidRPr="0020396D">
        <w:rPr>
          <w:rStyle w:val="InitialStyle"/>
        </w:rPr>
        <w:t xml:space="preserve">Response rates, given the methods described above, are expected to be approximately 60 percent. If the number of respondents differs substantially from the number of </w:t>
      </w:r>
      <w:proofErr w:type="spellStart"/>
      <w:r w:rsidRPr="0020396D">
        <w:rPr>
          <w:rStyle w:val="InitialStyle"/>
        </w:rPr>
        <w:t>nonrespondents</w:t>
      </w:r>
      <w:proofErr w:type="spellEnd"/>
      <w:r w:rsidRPr="0020396D">
        <w:rPr>
          <w:rStyle w:val="InitialStyle"/>
        </w:rPr>
        <w:t xml:space="preserve"> there will be the potential for bias. There are two approaches that we will use to examine for potential bias. First, NASS’ control data on its list frame will be available for both respondents and </w:t>
      </w:r>
      <w:proofErr w:type="spellStart"/>
      <w:r w:rsidRPr="0020396D">
        <w:rPr>
          <w:rStyle w:val="InitialStyle"/>
        </w:rPr>
        <w:t>nonrespondents</w:t>
      </w:r>
      <w:proofErr w:type="spellEnd"/>
      <w:r w:rsidRPr="0020396D">
        <w:rPr>
          <w:rStyle w:val="InitialStyle"/>
        </w:rPr>
        <w:t xml:space="preserve"> to allow for examination of potential differences in the types of responding and </w:t>
      </w:r>
      <w:proofErr w:type="spellStart"/>
      <w:r w:rsidRPr="0020396D">
        <w:rPr>
          <w:rStyle w:val="InitialStyle"/>
        </w:rPr>
        <w:t>nonresponding</w:t>
      </w:r>
      <w:proofErr w:type="spellEnd"/>
      <w:r w:rsidRPr="0020396D">
        <w:rPr>
          <w:rStyle w:val="InitialStyle"/>
        </w:rPr>
        <w:t xml:space="preserve"> producers. The information will include number of milk cows for each selected unit. For the VMO phase (Phase II) we will have the survey data from Phase I available for comparing respondents versus </w:t>
      </w:r>
      <w:proofErr w:type="spellStart"/>
      <w:r w:rsidRPr="0020396D">
        <w:rPr>
          <w:rStyle w:val="InitialStyle"/>
        </w:rPr>
        <w:t>nonrespondents</w:t>
      </w:r>
      <w:proofErr w:type="spellEnd"/>
      <w:r w:rsidRPr="0020396D">
        <w:rPr>
          <w:rStyle w:val="InitialStyle"/>
        </w:rPr>
        <w:t xml:space="preserve"> as well as the control data from the NASS list frame. Second, we can compare estimates from the study with available indicators from other sources. For example, although we do not publish estimates of dairy cattle, the survey results will allow us to make estimates that we can use to compare against NASS’ inventory estimates. This study is the fifth dairy study that we have conducted and we can compare current estimates with results from the previous studies (1991–92, 1996, 2002, and 2007).</w:t>
      </w:r>
    </w:p>
    <w:p w:rsidR="00230017" w:rsidRPr="0020396D" w:rsidRDefault="00230017" w:rsidP="00230017">
      <w:pPr>
        <w:pStyle w:val="DefaultText"/>
        <w:rPr>
          <w:rStyle w:val="InitialStyle"/>
        </w:rPr>
      </w:pPr>
    </w:p>
    <w:p w:rsidR="00230017" w:rsidRPr="0020396D" w:rsidRDefault="00230017" w:rsidP="00230017">
      <w:pPr>
        <w:pStyle w:val="DefaultText"/>
        <w:rPr>
          <w:rStyle w:val="InitialStyle"/>
        </w:rPr>
      </w:pPr>
      <w:r w:rsidRPr="0020396D">
        <w:rPr>
          <w:rStyle w:val="InitialStyle"/>
        </w:rPr>
        <w:t xml:space="preserve">The complex sampling design necessitates the use of weights which reflect the initial sample selection probabilities (the inverse of the selection interval).  The initial selection probabilities are provided by NASS.  Weights of </w:t>
      </w:r>
      <w:proofErr w:type="spellStart"/>
      <w:r w:rsidRPr="0020396D">
        <w:rPr>
          <w:rStyle w:val="InitialStyle"/>
        </w:rPr>
        <w:t>nonrespondents</w:t>
      </w:r>
      <w:proofErr w:type="spellEnd"/>
      <w:r w:rsidRPr="0020396D">
        <w:rPr>
          <w:rStyle w:val="InitialStyle"/>
        </w:rPr>
        <w:t xml:space="preserve"> will be transferred to responding operations that are most similar based on available data that are provided by NASS for the sampled operations. The VMO phase weight adjustments will account for nonresponse in Phase II of the Study.  Within categories, the sum of weights of the </w:t>
      </w:r>
      <w:proofErr w:type="spellStart"/>
      <w:r w:rsidRPr="0020396D">
        <w:rPr>
          <w:rStyle w:val="InitialStyle"/>
        </w:rPr>
        <w:t>nonrespondents</w:t>
      </w:r>
      <w:proofErr w:type="spellEnd"/>
      <w:r w:rsidRPr="0020396D">
        <w:rPr>
          <w:rStyle w:val="InitialStyle"/>
        </w:rPr>
        <w:t xml:space="preserve"> and respondents will be divided by the sum of the weights of the respondents only. This factor will be used to adjust the weights of the respondents within the category. All weights for </w:t>
      </w:r>
      <w:proofErr w:type="spellStart"/>
      <w:r w:rsidRPr="0020396D">
        <w:rPr>
          <w:rStyle w:val="InitialStyle"/>
        </w:rPr>
        <w:t>nonrespondents</w:t>
      </w:r>
      <w:proofErr w:type="spellEnd"/>
      <w:r w:rsidRPr="0020396D">
        <w:rPr>
          <w:rStyle w:val="InitialStyle"/>
        </w:rPr>
        <w:t xml:space="preserve"> will be set to zero.</w:t>
      </w:r>
    </w:p>
    <w:p w:rsidR="00230017" w:rsidRPr="0020396D" w:rsidRDefault="00230017" w:rsidP="00230017">
      <w:pPr>
        <w:pStyle w:val="DefaultText"/>
        <w:rPr>
          <w:rStyle w:val="InitialStyle"/>
        </w:rPr>
      </w:pPr>
    </w:p>
    <w:p w:rsidR="00230017" w:rsidRPr="0020396D" w:rsidRDefault="00230017" w:rsidP="00230017">
      <w:pPr>
        <w:pStyle w:val="Heading2"/>
        <w:numPr>
          <w:ilvl w:val="0"/>
          <w:numId w:val="19"/>
        </w:numPr>
        <w:tabs>
          <w:tab w:val="clear" w:pos="720"/>
          <w:tab w:val="num" w:pos="360"/>
        </w:tabs>
        <w:ind w:left="360"/>
        <w:rPr>
          <w:rStyle w:val="InitialStyle"/>
          <w:rFonts w:ascii="Times New Roman" w:hAnsi="Times New Roman" w:cs="Times New Roman"/>
          <w:sz w:val="24"/>
          <w:szCs w:val="24"/>
        </w:rPr>
      </w:pPr>
      <w:bookmarkStart w:id="42" w:name="_Toc120517355"/>
      <w:bookmarkStart w:id="43" w:name="_Toc121289114"/>
      <w:bookmarkStart w:id="44" w:name="_Toc133308583"/>
      <w:bookmarkStart w:id="45" w:name="_Toc138561659"/>
      <w:r w:rsidRPr="0020396D">
        <w:rPr>
          <w:rStyle w:val="InitialStyle"/>
          <w:rFonts w:ascii="Times New Roman" w:hAnsi="Times New Roman" w:cs="Times New Roman"/>
          <w:sz w:val="24"/>
          <w:szCs w:val="24"/>
        </w:rPr>
        <w:t>Describe</w:t>
      </w:r>
      <w:bookmarkEnd w:id="42"/>
      <w:bookmarkEnd w:id="43"/>
      <w:r w:rsidRPr="0020396D">
        <w:rPr>
          <w:rStyle w:val="InitialStyle"/>
          <w:rFonts w:ascii="Times New Roman" w:hAnsi="Times New Roman" w:cs="Times New Roman"/>
          <w:sz w:val="24"/>
          <w:szCs w:val="24"/>
        </w:rPr>
        <w:t xml:space="preserv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44"/>
      <w:bookmarkEnd w:id="45"/>
    </w:p>
    <w:p w:rsidR="00230017" w:rsidRPr="0020396D" w:rsidRDefault="00230017" w:rsidP="00230017">
      <w:pPr>
        <w:pStyle w:val="DefaultText"/>
        <w:rPr>
          <w:rStyle w:val="InitialStyle"/>
        </w:rPr>
      </w:pPr>
    </w:p>
    <w:p w:rsidR="00230017" w:rsidRPr="0020396D" w:rsidRDefault="00230017" w:rsidP="00230017">
      <w:pPr>
        <w:pStyle w:val="DefaultText"/>
        <w:rPr>
          <w:rStyle w:val="InitialStyle"/>
        </w:rPr>
      </w:pPr>
      <w:r w:rsidRPr="0020396D">
        <w:rPr>
          <w:rStyle w:val="InitialStyle"/>
        </w:rPr>
        <w:t>The proposed questionnaires will be tested during the pretest phase involving fewer than 10 respondents. Results of these pretests will be utilized to refine the questionnaires in order to reduce respondent burden and improve the usefulness of the information.</w:t>
      </w:r>
    </w:p>
    <w:p w:rsidR="00230017" w:rsidRPr="0020396D" w:rsidRDefault="00230017" w:rsidP="00230017">
      <w:pPr>
        <w:pStyle w:val="DefaultText"/>
        <w:ind w:left="720" w:hanging="720"/>
        <w:rPr>
          <w:rStyle w:val="InitialStyle"/>
          <w:b/>
        </w:rPr>
      </w:pPr>
    </w:p>
    <w:p w:rsidR="00230017" w:rsidRPr="0020396D" w:rsidRDefault="00230017" w:rsidP="00230017">
      <w:pPr>
        <w:pStyle w:val="Heading2"/>
        <w:numPr>
          <w:ilvl w:val="0"/>
          <w:numId w:val="19"/>
        </w:numPr>
        <w:tabs>
          <w:tab w:val="clear" w:pos="720"/>
          <w:tab w:val="num" w:pos="360"/>
        </w:tabs>
        <w:ind w:left="360"/>
        <w:rPr>
          <w:rStyle w:val="InitialStyle"/>
          <w:rFonts w:ascii="Times New Roman" w:hAnsi="Times New Roman" w:cs="Times New Roman"/>
          <w:sz w:val="24"/>
          <w:szCs w:val="24"/>
        </w:rPr>
      </w:pPr>
      <w:bookmarkStart w:id="46" w:name="_Toc120517356"/>
      <w:bookmarkStart w:id="47" w:name="_Toc121289115"/>
      <w:bookmarkStart w:id="48" w:name="_Toc133308584"/>
      <w:bookmarkStart w:id="49" w:name="_Toc138561660"/>
      <w:r w:rsidRPr="0020396D">
        <w:rPr>
          <w:rStyle w:val="InitialStyle"/>
          <w:rFonts w:ascii="Times New Roman" w:hAnsi="Times New Roman" w:cs="Times New Roman"/>
          <w:sz w:val="24"/>
          <w:szCs w:val="24"/>
        </w:rPr>
        <w:lastRenderedPageBreak/>
        <w:t>Provide the name and telephone number of individuals consulted on statistical aspects of the design and the name of the agency unit, contractor(s), grantee(s), or other person(s) who will actually collect and /or analyze the information for the agency.</w:t>
      </w:r>
      <w:bookmarkEnd w:id="46"/>
      <w:bookmarkEnd w:id="47"/>
      <w:bookmarkEnd w:id="48"/>
      <w:bookmarkEnd w:id="49"/>
    </w:p>
    <w:p w:rsidR="00230017" w:rsidRPr="0020396D" w:rsidRDefault="00230017" w:rsidP="00230017">
      <w:pPr>
        <w:pStyle w:val="DefaultText"/>
        <w:rPr>
          <w:rStyle w:val="InitialStyle"/>
          <w:b/>
        </w:rPr>
      </w:pPr>
    </w:p>
    <w:p w:rsidR="00230017" w:rsidRPr="0020396D" w:rsidRDefault="00230017" w:rsidP="00230017">
      <w:pPr>
        <w:pStyle w:val="DefaultText"/>
        <w:rPr>
          <w:rStyle w:val="InitialStyle"/>
        </w:rPr>
      </w:pPr>
      <w:r w:rsidRPr="0020396D">
        <w:rPr>
          <w:rStyle w:val="InitialStyle"/>
        </w:rPr>
        <w:t xml:space="preserve">The statistical aspects of the design were coordinated by Ms. Christine </w:t>
      </w:r>
      <w:proofErr w:type="spellStart"/>
      <w:r w:rsidRPr="0020396D">
        <w:rPr>
          <w:rStyle w:val="InitialStyle"/>
        </w:rPr>
        <w:t>Kopral</w:t>
      </w:r>
      <w:proofErr w:type="spellEnd"/>
      <w:r w:rsidRPr="0020396D">
        <w:rPr>
          <w:rStyle w:val="InitialStyle"/>
        </w:rPr>
        <w:t xml:space="preserve">, Statistician, USDA–APHIS, Veterinary Services, CEAH, Fort Collins, CO, (970) 494–7125. The actual data collection will be conducted by APHIS-designated data collectors. </w:t>
      </w:r>
    </w:p>
    <w:p w:rsidR="00230017" w:rsidRPr="0020396D" w:rsidRDefault="00230017" w:rsidP="00230017">
      <w:pPr>
        <w:pStyle w:val="DefaultText"/>
        <w:rPr>
          <w:rStyle w:val="InitialStyle"/>
        </w:rPr>
      </w:pPr>
      <w:r w:rsidRPr="0020396D">
        <w:rPr>
          <w:rStyle w:val="InitialStyle"/>
        </w:rPr>
        <w:t>Contact person for data collection is:</w:t>
      </w:r>
    </w:p>
    <w:p w:rsidR="00230017" w:rsidRPr="0020396D" w:rsidRDefault="00230017" w:rsidP="00230017">
      <w:pPr>
        <w:pStyle w:val="DefaultText"/>
        <w:rPr>
          <w:rStyle w:val="InitialStyle"/>
        </w:rPr>
      </w:pPr>
    </w:p>
    <w:p w:rsidR="00230017" w:rsidRPr="0020396D" w:rsidRDefault="00230017" w:rsidP="00230017">
      <w:pPr>
        <w:pStyle w:val="DefaultText"/>
        <w:rPr>
          <w:rStyle w:val="InitialStyle"/>
        </w:rPr>
      </w:pPr>
      <w:proofErr w:type="gramStart"/>
      <w:r w:rsidRPr="0020396D">
        <w:rPr>
          <w:rStyle w:val="InitialStyle"/>
        </w:rPr>
        <w:t>Dr. John Clifford, Deputy Administrator, USDA–APHIS, Veterinary Services, Washington, DC, (202) 447–6835.</w:t>
      </w:r>
      <w:proofErr w:type="gramEnd"/>
    </w:p>
    <w:p w:rsidR="00230017" w:rsidRPr="0020396D" w:rsidRDefault="00230017" w:rsidP="00230017">
      <w:pPr>
        <w:pStyle w:val="DefaultText"/>
        <w:ind w:left="1440"/>
        <w:rPr>
          <w:rStyle w:val="InitialStyle"/>
        </w:rPr>
      </w:pPr>
    </w:p>
    <w:p w:rsidR="00230017" w:rsidRPr="0020396D" w:rsidRDefault="00230017" w:rsidP="00230017">
      <w:pPr>
        <w:pStyle w:val="DefaultText"/>
        <w:rPr>
          <w:rStyle w:val="InitialStyle"/>
        </w:rPr>
      </w:pPr>
      <w:r w:rsidRPr="0020396D">
        <w:rPr>
          <w:rStyle w:val="InitialStyle"/>
        </w:rPr>
        <w:t>Analysis of the data will be accomplished by NAHMS veterinarians, epidemiologists, and statisticians under the direction of:</w:t>
      </w:r>
    </w:p>
    <w:p w:rsidR="00230017" w:rsidRPr="0020396D" w:rsidRDefault="00230017" w:rsidP="00230017">
      <w:pPr>
        <w:pStyle w:val="DefaultText"/>
        <w:rPr>
          <w:rStyle w:val="InitialStyle"/>
        </w:rPr>
      </w:pPr>
    </w:p>
    <w:p w:rsidR="00F2045B" w:rsidRDefault="00230017" w:rsidP="00230017">
      <w:pPr>
        <w:pStyle w:val="DefaultText"/>
        <w:rPr>
          <w:rStyle w:val="InitialStyle"/>
        </w:rPr>
      </w:pPr>
      <w:r w:rsidRPr="0020396D">
        <w:rPr>
          <w:rStyle w:val="InitialStyle"/>
        </w:rPr>
        <w:t xml:space="preserve">Dr. Bruce Wagner, Director, National Animal Health Monitoring System, USDA–APHIS, VS, CEAH, 2150 Centre Avenue, Building B MS2E7, Fort Collins, CO 80526-8117, </w:t>
      </w:r>
    </w:p>
    <w:p w:rsidR="00230017" w:rsidRPr="0020396D" w:rsidRDefault="00230017" w:rsidP="00230017">
      <w:pPr>
        <w:pStyle w:val="DefaultText"/>
        <w:rPr>
          <w:rStyle w:val="InitialStyle"/>
        </w:rPr>
      </w:pPr>
      <w:r w:rsidRPr="0020396D">
        <w:rPr>
          <w:rStyle w:val="InitialStyle"/>
        </w:rPr>
        <w:t>(970) 494–7256.</w:t>
      </w:r>
    </w:p>
    <w:p w:rsidR="00230017" w:rsidRPr="0020396D" w:rsidRDefault="00230017" w:rsidP="00230017">
      <w:pPr>
        <w:pStyle w:val="DefaultText"/>
        <w:rPr>
          <w:rStyle w:val="InitialStyle"/>
        </w:rPr>
      </w:pPr>
    </w:p>
    <w:p w:rsidR="00230017" w:rsidRPr="0020396D" w:rsidRDefault="00230017" w:rsidP="00230017"/>
    <w:p w:rsidR="00230017" w:rsidRPr="0020396D" w:rsidRDefault="00230017" w:rsidP="00230017">
      <w:r w:rsidRPr="0020396D">
        <w:t>Consultants used for the Dairy 2014 study are:</w:t>
      </w:r>
    </w:p>
    <w:p w:rsidR="00230017" w:rsidRPr="0020396D" w:rsidRDefault="00230017" w:rsidP="00230017"/>
    <w:p w:rsidR="00230017" w:rsidRPr="0020396D" w:rsidRDefault="00230017" w:rsidP="00230017">
      <w:r w:rsidRPr="0020396D">
        <w:t xml:space="preserve">Dr. Jamie </w:t>
      </w:r>
      <w:proofErr w:type="spellStart"/>
      <w:r w:rsidRPr="0020396D">
        <w:t>Jonker</w:t>
      </w:r>
      <w:proofErr w:type="spellEnd"/>
      <w:r w:rsidRPr="0020396D">
        <w:t>, Vice President, Scientific &amp; Regulatory Affairs, National Milk Producers Federation, 2101 Wilson Blvd, Suite 400, Arlington, VA 22201, (703) 243–6111 ext. 344</w:t>
      </w:r>
    </w:p>
    <w:p w:rsidR="00230017" w:rsidRPr="0020396D" w:rsidRDefault="00230017" w:rsidP="00230017"/>
    <w:p w:rsidR="00F2045B" w:rsidRDefault="00230017" w:rsidP="00230017">
      <w:r w:rsidRPr="0020396D">
        <w:t xml:space="preserve">Dr. Frank Garry, Integrated Livestock Management, Colorado State University, </w:t>
      </w:r>
    </w:p>
    <w:p w:rsidR="00230017" w:rsidRPr="0020396D" w:rsidRDefault="00230017" w:rsidP="00230017">
      <w:r w:rsidRPr="0020396D">
        <w:t>300 West Drake Rd, Fort Collins, CO 80526, (970) 297–0371</w:t>
      </w:r>
    </w:p>
    <w:p w:rsidR="00230017" w:rsidRPr="0020396D" w:rsidRDefault="00230017" w:rsidP="00230017"/>
    <w:p w:rsidR="00230017" w:rsidRPr="0020396D" w:rsidRDefault="00230017" w:rsidP="00230017">
      <w:pPr>
        <w:rPr>
          <w:rStyle w:val="InitialStyle"/>
        </w:rPr>
      </w:pPr>
      <w:r w:rsidRPr="0020396D">
        <w:rPr>
          <w:color w:val="000000"/>
        </w:rPr>
        <w:t xml:space="preserve">Dr. Jerry Olson, Senior Veterinarian-Dairy, </w:t>
      </w:r>
      <w:proofErr w:type="spellStart"/>
      <w:r w:rsidRPr="0020396D">
        <w:rPr>
          <w:color w:val="000000"/>
        </w:rPr>
        <w:t>Zoetis</w:t>
      </w:r>
      <w:proofErr w:type="spellEnd"/>
      <w:r w:rsidRPr="0020396D">
        <w:rPr>
          <w:color w:val="000000"/>
        </w:rPr>
        <w:t xml:space="preserve"> Animal Health, 1808 Willow Springs Way, Fort Collins, CO 80528, (970) 231–1693</w:t>
      </w:r>
    </w:p>
    <w:p w:rsidR="00230017" w:rsidRPr="0020396D" w:rsidRDefault="00230017" w:rsidP="00230017">
      <w:pPr>
        <w:rPr>
          <w:rStyle w:val="InitialStyle"/>
        </w:rPr>
      </w:pPr>
    </w:p>
    <w:p w:rsidR="00230017" w:rsidRPr="0020396D" w:rsidRDefault="00230017" w:rsidP="00230017">
      <w:pPr>
        <w:rPr>
          <w:rStyle w:val="InitialStyle"/>
        </w:rPr>
      </w:pPr>
      <w:r w:rsidRPr="0020396D">
        <w:rPr>
          <w:rStyle w:val="InitialStyle"/>
        </w:rPr>
        <w:t xml:space="preserve">Dr. Marina von </w:t>
      </w:r>
      <w:proofErr w:type="spellStart"/>
      <w:r w:rsidRPr="0020396D">
        <w:rPr>
          <w:rStyle w:val="InitialStyle"/>
        </w:rPr>
        <w:t>Keyserlingk</w:t>
      </w:r>
      <w:proofErr w:type="spellEnd"/>
      <w:r w:rsidRPr="0020396D">
        <w:rPr>
          <w:rStyle w:val="InitialStyle"/>
        </w:rPr>
        <w:t>, Associate Dean, Graduate Studies; Professor, Animal Welfare, NSERC Industrial Research Chair, University of British Columbia,  MCML 181 - 2357 Main Mall, Vancouver, BC, Canada, V6T 1Z4, (604) 822–4898</w:t>
      </w:r>
    </w:p>
    <w:p w:rsidR="00230017" w:rsidRPr="0020396D" w:rsidRDefault="00230017" w:rsidP="00230017">
      <w:pPr>
        <w:rPr>
          <w:rStyle w:val="InitialStyle"/>
        </w:rPr>
      </w:pPr>
    </w:p>
    <w:p w:rsidR="00230017" w:rsidRPr="0020396D" w:rsidRDefault="00230017" w:rsidP="00230017">
      <w:pPr>
        <w:rPr>
          <w:rStyle w:val="InitialStyle"/>
        </w:rPr>
      </w:pPr>
      <w:r w:rsidRPr="0020396D">
        <w:rPr>
          <w:rStyle w:val="InitialStyle"/>
        </w:rPr>
        <w:t>Dr. Daniel Weary, Associate Dean, Graduate Studies; Professor, Applied Biology; Animal Welfare Program; NSERC Industrial Research Chair in Animal Welfare,  University of British Columbia,  MCML 181 - 2357 Main Mall, Vancouver, BC, Canada, V6T 1Z4, (604) 822–3954</w:t>
      </w:r>
    </w:p>
    <w:p w:rsidR="00230017" w:rsidRPr="0020396D" w:rsidRDefault="00230017" w:rsidP="00230017">
      <w:pPr>
        <w:rPr>
          <w:rStyle w:val="InitialStyle"/>
        </w:rPr>
      </w:pPr>
    </w:p>
    <w:p w:rsidR="00F2045B" w:rsidRDefault="00230017" w:rsidP="00230017">
      <w:pPr>
        <w:rPr>
          <w:rStyle w:val="InitialStyle"/>
        </w:rPr>
      </w:pPr>
      <w:r w:rsidRPr="0020396D">
        <w:rPr>
          <w:rStyle w:val="InitialStyle"/>
        </w:rPr>
        <w:t xml:space="preserve">Dr. Ernest </w:t>
      </w:r>
      <w:proofErr w:type="spellStart"/>
      <w:r w:rsidRPr="0020396D">
        <w:rPr>
          <w:rStyle w:val="InitialStyle"/>
        </w:rPr>
        <w:t>Hovingh</w:t>
      </w:r>
      <w:proofErr w:type="spellEnd"/>
      <w:r w:rsidRPr="0020396D">
        <w:rPr>
          <w:rStyle w:val="InitialStyle"/>
        </w:rPr>
        <w:t xml:space="preserve">, Extension Veterinarian, Pennsylvania State University, </w:t>
      </w:r>
    </w:p>
    <w:p w:rsidR="00230017" w:rsidRPr="0020396D" w:rsidRDefault="00230017" w:rsidP="00230017">
      <w:pPr>
        <w:rPr>
          <w:rStyle w:val="InitialStyle"/>
        </w:rPr>
      </w:pPr>
      <w:r w:rsidRPr="0020396D">
        <w:rPr>
          <w:rStyle w:val="InitialStyle"/>
        </w:rPr>
        <w:t>111 Henning Building, University Park, PA 16802, (814) 863–8526</w:t>
      </w:r>
    </w:p>
    <w:p w:rsidR="00230017" w:rsidRPr="0020396D" w:rsidRDefault="00230017" w:rsidP="00230017">
      <w:pPr>
        <w:rPr>
          <w:rStyle w:val="InitialStyle"/>
        </w:rPr>
      </w:pPr>
    </w:p>
    <w:p w:rsidR="00F2045B" w:rsidRDefault="00230017" w:rsidP="00230017">
      <w:pPr>
        <w:rPr>
          <w:rStyle w:val="InitialStyle"/>
        </w:rPr>
      </w:pPr>
      <w:r w:rsidRPr="0020396D">
        <w:rPr>
          <w:rStyle w:val="InitialStyle"/>
        </w:rPr>
        <w:t xml:space="preserve">Dr. Jennifer Walker, Director, Dairy Stewardship, Dean Foods Company, </w:t>
      </w:r>
    </w:p>
    <w:p w:rsidR="00230017" w:rsidRPr="0020396D" w:rsidRDefault="00230017" w:rsidP="00230017">
      <w:pPr>
        <w:rPr>
          <w:rStyle w:val="InitialStyle"/>
        </w:rPr>
      </w:pPr>
      <w:r w:rsidRPr="0020396D">
        <w:rPr>
          <w:rStyle w:val="InitialStyle"/>
        </w:rPr>
        <w:t>2711 North Haskell Avenue, Suite 3400, Dallas, TX 75204, (214) 721–1323</w:t>
      </w:r>
    </w:p>
    <w:p w:rsidR="00230017" w:rsidRPr="0020396D" w:rsidRDefault="00230017" w:rsidP="00230017">
      <w:pPr>
        <w:rPr>
          <w:rStyle w:val="InitialStyle"/>
        </w:rPr>
      </w:pPr>
    </w:p>
    <w:p w:rsidR="00230017" w:rsidRPr="0020396D" w:rsidRDefault="00230017" w:rsidP="00230017">
      <w:pPr>
        <w:rPr>
          <w:rStyle w:val="InitialStyle"/>
        </w:rPr>
      </w:pPr>
      <w:r w:rsidRPr="0020396D">
        <w:rPr>
          <w:rStyle w:val="InitialStyle"/>
        </w:rPr>
        <w:lastRenderedPageBreak/>
        <w:t>Dr. Dale Moore, Clinical Professor and Director, Veterinary Medicine Extension, Department of Veterinary Clinical Sciences, College of Veterinary Medicine,  Washington State University,  PO Box 646610, Pullman WA 99164, (509) 335–7494</w:t>
      </w:r>
    </w:p>
    <w:p w:rsidR="00230017" w:rsidRPr="0020396D" w:rsidRDefault="00230017" w:rsidP="00230017">
      <w:pPr>
        <w:rPr>
          <w:rStyle w:val="InitialStyle"/>
        </w:rPr>
      </w:pPr>
    </w:p>
    <w:p w:rsidR="00230017" w:rsidRPr="0020396D" w:rsidRDefault="00230017" w:rsidP="00230017">
      <w:pPr>
        <w:rPr>
          <w:rStyle w:val="InitialStyle"/>
        </w:rPr>
      </w:pPr>
      <w:r w:rsidRPr="0020396D">
        <w:rPr>
          <w:rStyle w:val="InitialStyle"/>
        </w:rPr>
        <w:t>Dr. Amy Stanton, Dairy Cattle Wellbeing Specialist, Department of Dairy Science,</w:t>
      </w:r>
    </w:p>
    <w:p w:rsidR="00F2045B" w:rsidRDefault="00230017" w:rsidP="00230017">
      <w:pPr>
        <w:rPr>
          <w:rStyle w:val="InitialStyle"/>
        </w:rPr>
      </w:pPr>
      <w:r w:rsidRPr="0020396D">
        <w:rPr>
          <w:rStyle w:val="InitialStyle"/>
        </w:rPr>
        <w:t>University of Wisconsin – Madison, 1675 Observatory Drive, Madison, WI 53706,</w:t>
      </w:r>
    </w:p>
    <w:p w:rsidR="00230017" w:rsidRPr="0020396D" w:rsidRDefault="00230017" w:rsidP="00230017">
      <w:pPr>
        <w:rPr>
          <w:rStyle w:val="InitialStyle"/>
        </w:rPr>
      </w:pPr>
      <w:r w:rsidRPr="0020396D">
        <w:rPr>
          <w:rStyle w:val="InitialStyle"/>
        </w:rPr>
        <w:t>(608) 890–4781</w:t>
      </w:r>
    </w:p>
    <w:p w:rsidR="00230017" w:rsidRPr="0020396D" w:rsidRDefault="00230017" w:rsidP="00230017">
      <w:pPr>
        <w:rPr>
          <w:rStyle w:val="InitialStyle"/>
        </w:rPr>
      </w:pPr>
    </w:p>
    <w:p w:rsidR="00230017" w:rsidRPr="0020396D" w:rsidRDefault="00230017" w:rsidP="00230017">
      <w:pPr>
        <w:rPr>
          <w:rStyle w:val="InitialStyle"/>
        </w:rPr>
      </w:pPr>
      <w:r w:rsidRPr="0020396D">
        <w:rPr>
          <w:rStyle w:val="InitialStyle"/>
        </w:rPr>
        <w:t xml:space="preserve">Dr. Thomas </w:t>
      </w:r>
      <w:proofErr w:type="spellStart"/>
      <w:r w:rsidRPr="0020396D">
        <w:rPr>
          <w:rStyle w:val="InitialStyle"/>
        </w:rPr>
        <w:t>Earleywine</w:t>
      </w:r>
      <w:proofErr w:type="spellEnd"/>
      <w:r w:rsidRPr="0020396D">
        <w:rPr>
          <w:rStyle w:val="InitialStyle"/>
        </w:rPr>
        <w:t>, Director of Nutritional Services, Land O'Lakes Animal Milk Products, PO Box 64404, MS 5710, St Paul, MN 55164-0404, (651) 494–5009</w:t>
      </w:r>
    </w:p>
    <w:p w:rsidR="00230017" w:rsidRPr="0020396D" w:rsidRDefault="00230017" w:rsidP="00230017">
      <w:pPr>
        <w:rPr>
          <w:rStyle w:val="InitialStyle"/>
        </w:rPr>
      </w:pPr>
    </w:p>
    <w:p w:rsidR="00F2045B" w:rsidRDefault="00230017" w:rsidP="00230017">
      <w:pPr>
        <w:rPr>
          <w:rStyle w:val="InitialStyle"/>
        </w:rPr>
      </w:pPr>
      <w:r w:rsidRPr="0020396D">
        <w:rPr>
          <w:rStyle w:val="InitialStyle"/>
        </w:rPr>
        <w:t xml:space="preserve">Dr. Jud </w:t>
      </w:r>
      <w:proofErr w:type="spellStart"/>
      <w:r w:rsidRPr="0020396D">
        <w:rPr>
          <w:rStyle w:val="InitialStyle"/>
        </w:rPr>
        <w:t>Heinrichs</w:t>
      </w:r>
      <w:proofErr w:type="spellEnd"/>
      <w:r w:rsidRPr="0020396D">
        <w:rPr>
          <w:rStyle w:val="InitialStyle"/>
        </w:rPr>
        <w:t>, Professor of Dairy Science, Pennsylvania State University,</w:t>
      </w:r>
    </w:p>
    <w:p w:rsidR="00230017" w:rsidRPr="0020396D" w:rsidRDefault="00230017" w:rsidP="00230017">
      <w:pPr>
        <w:rPr>
          <w:rStyle w:val="InitialStyle"/>
        </w:rPr>
      </w:pPr>
      <w:bookmarkStart w:id="50" w:name="_GoBack"/>
      <w:bookmarkEnd w:id="50"/>
      <w:r w:rsidRPr="0020396D">
        <w:rPr>
          <w:rStyle w:val="InitialStyle"/>
        </w:rPr>
        <w:t>324 Henning Building, University Park, PA 16802, (814) 863–3916.</w:t>
      </w:r>
    </w:p>
    <w:p w:rsidR="00230017" w:rsidRPr="0020396D" w:rsidRDefault="00230017" w:rsidP="00230017">
      <w:pPr>
        <w:rPr>
          <w:rStyle w:val="InitialStyle"/>
        </w:rPr>
      </w:pPr>
    </w:p>
    <w:p w:rsidR="00230017" w:rsidRPr="0020396D" w:rsidRDefault="00230017" w:rsidP="00230017">
      <w:pPr>
        <w:pStyle w:val="DefaultText"/>
        <w:rPr>
          <w:rStyle w:val="InitialStyle"/>
        </w:rPr>
      </w:pPr>
    </w:p>
    <w:p w:rsidR="00230017" w:rsidRPr="0020396D" w:rsidRDefault="00230017" w:rsidP="00230017">
      <w:pPr>
        <w:pStyle w:val="Heading1"/>
        <w:rPr>
          <w:rFonts w:ascii="Times New Roman" w:hAnsi="Times New Roman" w:cs="Times New Roman"/>
          <w:sz w:val="24"/>
          <w:szCs w:val="24"/>
        </w:rPr>
      </w:pPr>
    </w:p>
    <w:p w:rsidR="00230017" w:rsidRPr="0020396D" w:rsidRDefault="00230017" w:rsidP="00230017">
      <w:pPr>
        <w:pStyle w:val="Heading1"/>
        <w:rPr>
          <w:rFonts w:ascii="Times New Roman" w:hAnsi="Times New Roman" w:cs="Times New Roman"/>
          <w:sz w:val="24"/>
          <w:szCs w:val="24"/>
        </w:rPr>
      </w:pPr>
      <w:r w:rsidRPr="0020396D">
        <w:rPr>
          <w:rFonts w:ascii="Times New Roman" w:hAnsi="Times New Roman" w:cs="Times New Roman"/>
          <w:sz w:val="24"/>
          <w:szCs w:val="24"/>
        </w:rPr>
        <w:br w:type="page"/>
      </w:r>
      <w:bookmarkStart w:id="51" w:name="_Toc138561661"/>
      <w:r w:rsidRPr="0020396D">
        <w:rPr>
          <w:rFonts w:ascii="Times New Roman" w:hAnsi="Times New Roman" w:cs="Times New Roman"/>
          <w:sz w:val="24"/>
          <w:szCs w:val="24"/>
        </w:rPr>
        <w:lastRenderedPageBreak/>
        <w:t>Appendix A: NAHMS Dairy 2007, 2002 and 1996 Review of Response Rates</w:t>
      </w:r>
      <w:bookmarkEnd w:id="51"/>
    </w:p>
    <w:p w:rsidR="00230017" w:rsidRPr="0020396D" w:rsidRDefault="00230017" w:rsidP="00230017">
      <w:pPr>
        <w:pStyle w:val="DefaultText"/>
      </w:pPr>
    </w:p>
    <w:p w:rsidR="00230017" w:rsidRPr="0020396D" w:rsidRDefault="00230017" w:rsidP="00230017">
      <w:pPr>
        <w:pStyle w:val="DefaultText"/>
      </w:pPr>
    </w:p>
    <w:p w:rsidR="00230017" w:rsidRPr="0020396D" w:rsidRDefault="00230017" w:rsidP="00230017">
      <w:pPr>
        <w:pStyle w:val="DefaultText"/>
      </w:pPr>
      <w:r w:rsidRPr="0020396D">
        <w:t>1. General Dairy Management Report (NASS) response rates:</w:t>
      </w:r>
    </w:p>
    <w:p w:rsidR="00230017" w:rsidRPr="0020396D" w:rsidRDefault="00230017" w:rsidP="00230017">
      <w:pPr>
        <w:pStyle w:val="DefaultText"/>
      </w:pPr>
    </w:p>
    <w:tbl>
      <w:tblPr>
        <w:tblW w:w="9576" w:type="dxa"/>
        <w:tblBorders>
          <w:top w:val="single" w:sz="4" w:space="0" w:color="auto"/>
          <w:bottom w:val="single" w:sz="4" w:space="0" w:color="auto"/>
          <w:insideH w:val="single" w:sz="4" w:space="0" w:color="auto"/>
        </w:tblBorders>
        <w:tblLayout w:type="fixed"/>
        <w:tblCellMar>
          <w:left w:w="58" w:type="dxa"/>
          <w:right w:w="58" w:type="dxa"/>
        </w:tblCellMar>
        <w:tblLook w:val="04A0" w:firstRow="1" w:lastRow="0" w:firstColumn="1" w:lastColumn="0" w:noHBand="0" w:noVBand="1"/>
      </w:tblPr>
      <w:tblGrid>
        <w:gridCol w:w="3568"/>
        <w:gridCol w:w="1080"/>
        <w:gridCol w:w="810"/>
        <w:gridCol w:w="1170"/>
        <w:gridCol w:w="900"/>
        <w:gridCol w:w="1170"/>
        <w:gridCol w:w="878"/>
      </w:tblGrid>
      <w:tr w:rsidR="00230017" w:rsidRPr="0020396D" w:rsidTr="00301880">
        <w:tc>
          <w:tcPr>
            <w:tcW w:w="3568" w:type="dxa"/>
            <w:tcBorders>
              <w:top w:val="nil"/>
            </w:tcBorders>
            <w:shd w:val="clear" w:color="auto" w:fill="auto"/>
          </w:tcPr>
          <w:p w:rsidR="00230017" w:rsidRPr="0020396D" w:rsidRDefault="00230017" w:rsidP="00301880">
            <w:pPr>
              <w:pStyle w:val="DefaultText"/>
              <w:rPr>
                <w:b/>
              </w:rPr>
            </w:pPr>
          </w:p>
        </w:tc>
        <w:tc>
          <w:tcPr>
            <w:tcW w:w="1890" w:type="dxa"/>
            <w:gridSpan w:val="2"/>
            <w:tcBorders>
              <w:top w:val="nil"/>
            </w:tcBorders>
            <w:shd w:val="clear" w:color="auto" w:fill="auto"/>
            <w:vAlign w:val="center"/>
          </w:tcPr>
          <w:p w:rsidR="00230017" w:rsidRPr="0020396D" w:rsidRDefault="00230017" w:rsidP="00301880">
            <w:pPr>
              <w:pStyle w:val="DefaultText"/>
              <w:jc w:val="center"/>
              <w:rPr>
                <w:b/>
              </w:rPr>
            </w:pPr>
            <w:r w:rsidRPr="0020396D">
              <w:rPr>
                <w:b/>
              </w:rPr>
              <w:t>Dairy 2007</w:t>
            </w:r>
          </w:p>
        </w:tc>
        <w:tc>
          <w:tcPr>
            <w:tcW w:w="2070" w:type="dxa"/>
            <w:gridSpan w:val="2"/>
            <w:tcBorders>
              <w:top w:val="nil"/>
            </w:tcBorders>
            <w:shd w:val="clear" w:color="auto" w:fill="auto"/>
            <w:vAlign w:val="center"/>
          </w:tcPr>
          <w:p w:rsidR="00230017" w:rsidRPr="0020396D" w:rsidRDefault="00230017" w:rsidP="00301880">
            <w:pPr>
              <w:pStyle w:val="DefaultText"/>
              <w:jc w:val="center"/>
              <w:rPr>
                <w:b/>
              </w:rPr>
            </w:pPr>
            <w:r w:rsidRPr="0020396D">
              <w:rPr>
                <w:b/>
              </w:rPr>
              <w:t>Dairy 2002</w:t>
            </w:r>
          </w:p>
        </w:tc>
        <w:tc>
          <w:tcPr>
            <w:tcW w:w="2048" w:type="dxa"/>
            <w:gridSpan w:val="2"/>
            <w:tcBorders>
              <w:top w:val="nil"/>
            </w:tcBorders>
            <w:shd w:val="clear" w:color="auto" w:fill="auto"/>
            <w:vAlign w:val="center"/>
          </w:tcPr>
          <w:p w:rsidR="00230017" w:rsidRPr="0020396D" w:rsidRDefault="00230017" w:rsidP="00301880">
            <w:pPr>
              <w:pStyle w:val="DefaultText"/>
              <w:jc w:val="center"/>
              <w:rPr>
                <w:b/>
              </w:rPr>
            </w:pPr>
            <w:r w:rsidRPr="0020396D">
              <w:rPr>
                <w:b/>
              </w:rPr>
              <w:t>Dairy 1996</w:t>
            </w:r>
          </w:p>
        </w:tc>
      </w:tr>
      <w:tr w:rsidR="00230017" w:rsidRPr="0020396D" w:rsidTr="00301880">
        <w:tc>
          <w:tcPr>
            <w:tcW w:w="3568" w:type="dxa"/>
            <w:tcBorders>
              <w:bottom w:val="single" w:sz="4" w:space="0" w:color="auto"/>
            </w:tcBorders>
            <w:shd w:val="clear" w:color="auto" w:fill="auto"/>
          </w:tcPr>
          <w:p w:rsidR="00230017" w:rsidRPr="0020396D" w:rsidRDefault="00230017" w:rsidP="00301880">
            <w:pPr>
              <w:pStyle w:val="DefaultText"/>
              <w:rPr>
                <w:b/>
              </w:rPr>
            </w:pPr>
            <w:r w:rsidRPr="0020396D">
              <w:rPr>
                <w:b/>
              </w:rPr>
              <w:t>Response category</w:t>
            </w:r>
          </w:p>
        </w:tc>
        <w:tc>
          <w:tcPr>
            <w:tcW w:w="1080" w:type="dxa"/>
            <w:tcBorders>
              <w:bottom w:val="single" w:sz="4" w:space="0" w:color="auto"/>
            </w:tcBorders>
            <w:shd w:val="clear" w:color="auto" w:fill="auto"/>
            <w:vAlign w:val="center"/>
          </w:tcPr>
          <w:p w:rsidR="00230017" w:rsidRPr="0020396D" w:rsidRDefault="00230017" w:rsidP="00301880">
            <w:pPr>
              <w:pStyle w:val="DefaultText"/>
              <w:jc w:val="right"/>
              <w:rPr>
                <w:b/>
              </w:rPr>
            </w:pPr>
            <w:r w:rsidRPr="0020396D">
              <w:rPr>
                <w:b/>
              </w:rPr>
              <w:t>No. ops.</w:t>
            </w:r>
          </w:p>
        </w:tc>
        <w:tc>
          <w:tcPr>
            <w:tcW w:w="810" w:type="dxa"/>
            <w:tcBorders>
              <w:bottom w:val="single" w:sz="4" w:space="0" w:color="auto"/>
            </w:tcBorders>
            <w:shd w:val="clear" w:color="auto" w:fill="auto"/>
            <w:vAlign w:val="center"/>
          </w:tcPr>
          <w:p w:rsidR="00230017" w:rsidRPr="0020396D" w:rsidRDefault="00230017" w:rsidP="00301880">
            <w:pPr>
              <w:pStyle w:val="DefaultText"/>
              <w:jc w:val="right"/>
              <w:rPr>
                <w:b/>
              </w:rPr>
            </w:pPr>
            <w:r w:rsidRPr="0020396D">
              <w:rPr>
                <w:b/>
              </w:rPr>
              <w:t>%</w:t>
            </w:r>
          </w:p>
        </w:tc>
        <w:tc>
          <w:tcPr>
            <w:tcW w:w="1170" w:type="dxa"/>
            <w:tcBorders>
              <w:bottom w:val="single" w:sz="4" w:space="0" w:color="auto"/>
            </w:tcBorders>
            <w:shd w:val="clear" w:color="auto" w:fill="auto"/>
            <w:vAlign w:val="center"/>
          </w:tcPr>
          <w:p w:rsidR="00230017" w:rsidRPr="0020396D" w:rsidRDefault="00230017" w:rsidP="00301880">
            <w:pPr>
              <w:pStyle w:val="DefaultText"/>
              <w:jc w:val="right"/>
              <w:rPr>
                <w:b/>
              </w:rPr>
            </w:pPr>
            <w:r w:rsidRPr="0020396D">
              <w:rPr>
                <w:b/>
              </w:rPr>
              <w:t>No. ops.</w:t>
            </w:r>
          </w:p>
        </w:tc>
        <w:tc>
          <w:tcPr>
            <w:tcW w:w="900" w:type="dxa"/>
            <w:tcBorders>
              <w:bottom w:val="single" w:sz="4" w:space="0" w:color="auto"/>
            </w:tcBorders>
            <w:shd w:val="clear" w:color="auto" w:fill="auto"/>
            <w:vAlign w:val="center"/>
          </w:tcPr>
          <w:p w:rsidR="00230017" w:rsidRPr="0020396D" w:rsidRDefault="00230017" w:rsidP="00301880">
            <w:pPr>
              <w:pStyle w:val="DefaultText"/>
              <w:jc w:val="right"/>
              <w:rPr>
                <w:b/>
              </w:rPr>
            </w:pPr>
            <w:r w:rsidRPr="0020396D">
              <w:rPr>
                <w:b/>
              </w:rPr>
              <w:t>%</w:t>
            </w:r>
          </w:p>
        </w:tc>
        <w:tc>
          <w:tcPr>
            <w:tcW w:w="1170" w:type="dxa"/>
            <w:tcBorders>
              <w:bottom w:val="single" w:sz="4" w:space="0" w:color="auto"/>
            </w:tcBorders>
            <w:shd w:val="clear" w:color="auto" w:fill="auto"/>
            <w:vAlign w:val="center"/>
          </w:tcPr>
          <w:p w:rsidR="00230017" w:rsidRPr="0020396D" w:rsidRDefault="00230017" w:rsidP="00301880">
            <w:pPr>
              <w:pStyle w:val="DefaultText"/>
              <w:jc w:val="right"/>
              <w:rPr>
                <w:b/>
              </w:rPr>
            </w:pPr>
            <w:r w:rsidRPr="0020396D">
              <w:rPr>
                <w:b/>
              </w:rPr>
              <w:t>No. ops.</w:t>
            </w:r>
          </w:p>
        </w:tc>
        <w:tc>
          <w:tcPr>
            <w:tcW w:w="878" w:type="dxa"/>
            <w:tcBorders>
              <w:bottom w:val="single" w:sz="4" w:space="0" w:color="auto"/>
            </w:tcBorders>
            <w:shd w:val="clear" w:color="auto" w:fill="auto"/>
            <w:vAlign w:val="center"/>
          </w:tcPr>
          <w:p w:rsidR="00230017" w:rsidRPr="0020396D" w:rsidRDefault="00230017" w:rsidP="00301880">
            <w:pPr>
              <w:pStyle w:val="DefaultText"/>
              <w:jc w:val="right"/>
              <w:rPr>
                <w:b/>
              </w:rPr>
            </w:pPr>
            <w:r w:rsidRPr="0020396D">
              <w:rPr>
                <w:b/>
              </w:rPr>
              <w:t>%</w:t>
            </w:r>
          </w:p>
        </w:tc>
      </w:tr>
      <w:tr w:rsidR="00230017" w:rsidRPr="0020396D" w:rsidTr="00301880">
        <w:tc>
          <w:tcPr>
            <w:tcW w:w="3568" w:type="dxa"/>
            <w:tcBorders>
              <w:bottom w:val="nil"/>
            </w:tcBorders>
            <w:shd w:val="clear" w:color="auto" w:fill="auto"/>
          </w:tcPr>
          <w:p w:rsidR="00230017" w:rsidRPr="0020396D" w:rsidRDefault="00230017" w:rsidP="00301880">
            <w:pPr>
              <w:pStyle w:val="DefaultText"/>
            </w:pPr>
            <w:r w:rsidRPr="0020396D">
              <w:t>Complete &amp; VMO consent</w:t>
            </w:r>
          </w:p>
        </w:tc>
        <w:tc>
          <w:tcPr>
            <w:tcW w:w="1080" w:type="dxa"/>
            <w:tcBorders>
              <w:bottom w:val="nil"/>
            </w:tcBorders>
            <w:shd w:val="clear" w:color="auto" w:fill="auto"/>
            <w:vAlign w:val="center"/>
          </w:tcPr>
          <w:p w:rsidR="00230017" w:rsidRPr="0020396D" w:rsidRDefault="00230017" w:rsidP="00301880">
            <w:pPr>
              <w:pStyle w:val="DefaultText"/>
              <w:ind w:right="144"/>
              <w:jc w:val="right"/>
            </w:pPr>
            <w:r w:rsidRPr="0020396D">
              <w:t>1,077</w:t>
            </w:r>
          </w:p>
        </w:tc>
        <w:tc>
          <w:tcPr>
            <w:tcW w:w="810" w:type="dxa"/>
            <w:tcBorders>
              <w:bottom w:val="nil"/>
            </w:tcBorders>
            <w:shd w:val="clear" w:color="auto" w:fill="auto"/>
            <w:vAlign w:val="center"/>
          </w:tcPr>
          <w:p w:rsidR="00230017" w:rsidRPr="0020396D" w:rsidRDefault="00230017" w:rsidP="00301880">
            <w:pPr>
              <w:pStyle w:val="DefaultText"/>
              <w:jc w:val="right"/>
            </w:pPr>
            <w:r w:rsidRPr="0020396D">
              <w:t>30.3</w:t>
            </w:r>
          </w:p>
        </w:tc>
        <w:tc>
          <w:tcPr>
            <w:tcW w:w="1170" w:type="dxa"/>
            <w:tcBorders>
              <w:bottom w:val="nil"/>
            </w:tcBorders>
            <w:shd w:val="clear" w:color="auto" w:fill="auto"/>
            <w:vAlign w:val="center"/>
          </w:tcPr>
          <w:p w:rsidR="00230017" w:rsidRPr="0020396D" w:rsidRDefault="00230017" w:rsidP="00301880">
            <w:pPr>
              <w:pStyle w:val="DefaultText"/>
              <w:ind w:right="158"/>
              <w:jc w:val="right"/>
            </w:pPr>
            <w:r w:rsidRPr="0020396D">
              <w:t>1,438</w:t>
            </w:r>
          </w:p>
        </w:tc>
        <w:tc>
          <w:tcPr>
            <w:tcW w:w="900" w:type="dxa"/>
            <w:tcBorders>
              <w:bottom w:val="nil"/>
            </w:tcBorders>
            <w:shd w:val="clear" w:color="auto" w:fill="auto"/>
            <w:vAlign w:val="center"/>
          </w:tcPr>
          <w:p w:rsidR="00230017" w:rsidRPr="0020396D" w:rsidRDefault="00230017" w:rsidP="00301880">
            <w:pPr>
              <w:pStyle w:val="DefaultText"/>
              <w:jc w:val="right"/>
            </w:pPr>
            <w:r w:rsidRPr="0020396D">
              <w:t>37.1</w:t>
            </w:r>
          </w:p>
        </w:tc>
        <w:tc>
          <w:tcPr>
            <w:tcW w:w="1170" w:type="dxa"/>
            <w:tcBorders>
              <w:bottom w:val="nil"/>
            </w:tcBorders>
            <w:shd w:val="clear" w:color="auto" w:fill="auto"/>
            <w:vAlign w:val="center"/>
          </w:tcPr>
          <w:p w:rsidR="00230017" w:rsidRPr="0020396D" w:rsidRDefault="00230017" w:rsidP="00301880">
            <w:pPr>
              <w:pStyle w:val="DefaultText"/>
              <w:ind w:right="149"/>
              <w:jc w:val="right"/>
            </w:pPr>
            <w:r w:rsidRPr="0020396D">
              <w:t>1,603</w:t>
            </w:r>
          </w:p>
        </w:tc>
        <w:tc>
          <w:tcPr>
            <w:tcW w:w="878" w:type="dxa"/>
            <w:tcBorders>
              <w:bottom w:val="nil"/>
            </w:tcBorders>
            <w:shd w:val="clear" w:color="auto" w:fill="auto"/>
            <w:vAlign w:val="center"/>
          </w:tcPr>
          <w:p w:rsidR="00230017" w:rsidRPr="0020396D" w:rsidRDefault="00230017" w:rsidP="00301880">
            <w:pPr>
              <w:pStyle w:val="DefaultText"/>
              <w:jc w:val="right"/>
            </w:pPr>
            <w:r w:rsidRPr="0020396D">
              <w:t>35.5</w:t>
            </w:r>
          </w:p>
        </w:tc>
      </w:tr>
      <w:tr w:rsidR="00230017" w:rsidRPr="0020396D" w:rsidTr="00301880">
        <w:tc>
          <w:tcPr>
            <w:tcW w:w="3568" w:type="dxa"/>
            <w:tcBorders>
              <w:top w:val="nil"/>
              <w:bottom w:val="nil"/>
            </w:tcBorders>
            <w:shd w:val="clear" w:color="auto" w:fill="auto"/>
          </w:tcPr>
          <w:p w:rsidR="00230017" w:rsidRPr="0020396D" w:rsidRDefault="00230017" w:rsidP="00301880">
            <w:pPr>
              <w:pStyle w:val="DefaultText"/>
            </w:pPr>
            <w:r w:rsidRPr="0020396D">
              <w:t>Complete &amp; refused consent</w:t>
            </w:r>
          </w:p>
        </w:tc>
        <w:tc>
          <w:tcPr>
            <w:tcW w:w="1080" w:type="dxa"/>
            <w:tcBorders>
              <w:top w:val="nil"/>
              <w:bottom w:val="nil"/>
            </w:tcBorders>
            <w:shd w:val="clear" w:color="auto" w:fill="auto"/>
            <w:vAlign w:val="center"/>
          </w:tcPr>
          <w:p w:rsidR="00230017" w:rsidRPr="0020396D" w:rsidRDefault="00230017" w:rsidP="00301880">
            <w:pPr>
              <w:pStyle w:val="DefaultText"/>
              <w:ind w:right="144"/>
              <w:jc w:val="right"/>
            </w:pPr>
            <w:r w:rsidRPr="0020396D">
              <w:t>990</w:t>
            </w:r>
          </w:p>
        </w:tc>
        <w:tc>
          <w:tcPr>
            <w:tcW w:w="810" w:type="dxa"/>
            <w:tcBorders>
              <w:top w:val="nil"/>
              <w:bottom w:val="nil"/>
            </w:tcBorders>
            <w:shd w:val="clear" w:color="auto" w:fill="auto"/>
            <w:vAlign w:val="center"/>
          </w:tcPr>
          <w:p w:rsidR="00230017" w:rsidRPr="0020396D" w:rsidRDefault="00230017" w:rsidP="00301880">
            <w:pPr>
              <w:pStyle w:val="DefaultText"/>
              <w:jc w:val="right"/>
            </w:pPr>
            <w:r w:rsidRPr="0020396D">
              <w:t>27.9</w:t>
            </w:r>
          </w:p>
        </w:tc>
        <w:tc>
          <w:tcPr>
            <w:tcW w:w="1170" w:type="dxa"/>
            <w:tcBorders>
              <w:top w:val="nil"/>
              <w:bottom w:val="nil"/>
            </w:tcBorders>
            <w:shd w:val="clear" w:color="auto" w:fill="auto"/>
            <w:vAlign w:val="center"/>
          </w:tcPr>
          <w:p w:rsidR="00230017" w:rsidRPr="0020396D" w:rsidRDefault="00230017" w:rsidP="00301880">
            <w:pPr>
              <w:pStyle w:val="DefaultText"/>
              <w:ind w:right="158"/>
              <w:jc w:val="right"/>
            </w:pPr>
            <w:r w:rsidRPr="0020396D">
              <w:t>905</w:t>
            </w:r>
          </w:p>
        </w:tc>
        <w:tc>
          <w:tcPr>
            <w:tcW w:w="900" w:type="dxa"/>
            <w:tcBorders>
              <w:top w:val="nil"/>
              <w:bottom w:val="nil"/>
            </w:tcBorders>
            <w:shd w:val="clear" w:color="auto" w:fill="auto"/>
            <w:vAlign w:val="center"/>
          </w:tcPr>
          <w:p w:rsidR="00230017" w:rsidRPr="0020396D" w:rsidRDefault="00230017" w:rsidP="00301880">
            <w:pPr>
              <w:pStyle w:val="DefaultText"/>
              <w:jc w:val="right"/>
            </w:pPr>
            <w:r w:rsidRPr="0020396D">
              <w:t>23.3</w:t>
            </w:r>
          </w:p>
        </w:tc>
        <w:tc>
          <w:tcPr>
            <w:tcW w:w="1170" w:type="dxa"/>
            <w:tcBorders>
              <w:top w:val="nil"/>
              <w:bottom w:val="nil"/>
            </w:tcBorders>
            <w:shd w:val="clear" w:color="auto" w:fill="auto"/>
            <w:vAlign w:val="center"/>
          </w:tcPr>
          <w:p w:rsidR="00230017" w:rsidRPr="0020396D" w:rsidRDefault="00230017" w:rsidP="00301880">
            <w:pPr>
              <w:pStyle w:val="DefaultText"/>
              <w:ind w:right="149"/>
              <w:jc w:val="right"/>
            </w:pPr>
            <w:r w:rsidRPr="0020396D">
              <w:t>791</w:t>
            </w:r>
          </w:p>
        </w:tc>
        <w:tc>
          <w:tcPr>
            <w:tcW w:w="878" w:type="dxa"/>
            <w:tcBorders>
              <w:top w:val="nil"/>
              <w:bottom w:val="nil"/>
            </w:tcBorders>
            <w:shd w:val="clear" w:color="auto" w:fill="auto"/>
            <w:vAlign w:val="center"/>
          </w:tcPr>
          <w:p w:rsidR="00230017" w:rsidRPr="0020396D" w:rsidRDefault="00230017" w:rsidP="00301880">
            <w:pPr>
              <w:pStyle w:val="DefaultText"/>
              <w:jc w:val="right"/>
            </w:pPr>
            <w:r w:rsidRPr="0020396D">
              <w:t>17.5</w:t>
            </w:r>
          </w:p>
        </w:tc>
      </w:tr>
      <w:tr w:rsidR="00230017" w:rsidRPr="0020396D" w:rsidTr="00301880">
        <w:tc>
          <w:tcPr>
            <w:tcW w:w="3568" w:type="dxa"/>
            <w:tcBorders>
              <w:top w:val="nil"/>
              <w:bottom w:val="single" w:sz="4" w:space="0" w:color="auto"/>
            </w:tcBorders>
            <w:shd w:val="clear" w:color="auto" w:fill="auto"/>
          </w:tcPr>
          <w:p w:rsidR="00230017" w:rsidRPr="0020396D" w:rsidRDefault="00230017" w:rsidP="00301880">
            <w:pPr>
              <w:pStyle w:val="DefaultText"/>
            </w:pPr>
            <w:r w:rsidRPr="0020396D">
              <w:t>Complete &amp; ineligible</w:t>
            </w:r>
          </w:p>
        </w:tc>
        <w:tc>
          <w:tcPr>
            <w:tcW w:w="1080" w:type="dxa"/>
            <w:tcBorders>
              <w:top w:val="nil"/>
              <w:bottom w:val="single" w:sz="4" w:space="0" w:color="auto"/>
            </w:tcBorders>
            <w:shd w:val="clear" w:color="auto" w:fill="auto"/>
            <w:vAlign w:val="center"/>
          </w:tcPr>
          <w:p w:rsidR="00230017" w:rsidRPr="0020396D" w:rsidRDefault="00230017" w:rsidP="00301880">
            <w:pPr>
              <w:pStyle w:val="DefaultText"/>
              <w:ind w:right="144"/>
              <w:jc w:val="right"/>
            </w:pPr>
            <w:r w:rsidRPr="0020396D">
              <w:t>127</w:t>
            </w:r>
          </w:p>
        </w:tc>
        <w:tc>
          <w:tcPr>
            <w:tcW w:w="810" w:type="dxa"/>
            <w:tcBorders>
              <w:top w:val="nil"/>
              <w:bottom w:val="single" w:sz="4" w:space="0" w:color="auto"/>
            </w:tcBorders>
            <w:shd w:val="clear" w:color="auto" w:fill="auto"/>
            <w:vAlign w:val="center"/>
          </w:tcPr>
          <w:p w:rsidR="00230017" w:rsidRPr="0020396D" w:rsidRDefault="00230017" w:rsidP="00301880">
            <w:pPr>
              <w:pStyle w:val="DefaultText"/>
              <w:jc w:val="right"/>
            </w:pPr>
            <w:r w:rsidRPr="0020396D">
              <w:t>3.6</w:t>
            </w:r>
          </w:p>
        </w:tc>
        <w:tc>
          <w:tcPr>
            <w:tcW w:w="1170" w:type="dxa"/>
            <w:tcBorders>
              <w:top w:val="nil"/>
              <w:bottom w:val="single" w:sz="4" w:space="0" w:color="auto"/>
            </w:tcBorders>
            <w:shd w:val="clear" w:color="auto" w:fill="auto"/>
            <w:vAlign w:val="center"/>
          </w:tcPr>
          <w:p w:rsidR="00230017" w:rsidRPr="0020396D" w:rsidRDefault="00230017" w:rsidP="00301880">
            <w:pPr>
              <w:pStyle w:val="DefaultText"/>
              <w:ind w:right="158"/>
              <w:jc w:val="right"/>
            </w:pPr>
            <w:r w:rsidRPr="0020396D">
              <w:t>118</w:t>
            </w:r>
          </w:p>
        </w:tc>
        <w:tc>
          <w:tcPr>
            <w:tcW w:w="900" w:type="dxa"/>
            <w:tcBorders>
              <w:top w:val="nil"/>
              <w:bottom w:val="single" w:sz="4" w:space="0" w:color="auto"/>
            </w:tcBorders>
            <w:shd w:val="clear" w:color="auto" w:fill="auto"/>
            <w:vAlign w:val="center"/>
          </w:tcPr>
          <w:p w:rsidR="00230017" w:rsidRPr="0020396D" w:rsidRDefault="00230017" w:rsidP="00301880">
            <w:pPr>
              <w:pStyle w:val="DefaultText"/>
              <w:jc w:val="right"/>
            </w:pPr>
            <w:r w:rsidRPr="0020396D">
              <w:t>3.0</w:t>
            </w:r>
          </w:p>
        </w:tc>
        <w:tc>
          <w:tcPr>
            <w:tcW w:w="1170" w:type="dxa"/>
            <w:tcBorders>
              <w:top w:val="nil"/>
              <w:bottom w:val="single" w:sz="4" w:space="0" w:color="auto"/>
            </w:tcBorders>
            <w:shd w:val="clear" w:color="auto" w:fill="auto"/>
            <w:vAlign w:val="center"/>
          </w:tcPr>
          <w:p w:rsidR="00230017" w:rsidRPr="0020396D" w:rsidRDefault="00230017" w:rsidP="00301880">
            <w:pPr>
              <w:pStyle w:val="DefaultText"/>
              <w:ind w:right="149"/>
              <w:jc w:val="right"/>
            </w:pPr>
            <w:r w:rsidRPr="0020396D">
              <w:t>148</w:t>
            </w:r>
          </w:p>
        </w:tc>
        <w:tc>
          <w:tcPr>
            <w:tcW w:w="878" w:type="dxa"/>
            <w:tcBorders>
              <w:top w:val="nil"/>
              <w:bottom w:val="single" w:sz="4" w:space="0" w:color="auto"/>
            </w:tcBorders>
            <w:shd w:val="clear" w:color="auto" w:fill="auto"/>
            <w:vAlign w:val="center"/>
          </w:tcPr>
          <w:p w:rsidR="00230017" w:rsidRPr="0020396D" w:rsidRDefault="00230017" w:rsidP="00301880">
            <w:pPr>
              <w:pStyle w:val="DefaultText"/>
              <w:jc w:val="right"/>
            </w:pPr>
            <w:r w:rsidRPr="0020396D">
              <w:t>3.3</w:t>
            </w:r>
          </w:p>
        </w:tc>
      </w:tr>
      <w:tr w:rsidR="00230017" w:rsidRPr="0020396D" w:rsidTr="00301880">
        <w:tc>
          <w:tcPr>
            <w:tcW w:w="3568" w:type="dxa"/>
            <w:tcBorders>
              <w:bottom w:val="nil"/>
            </w:tcBorders>
            <w:shd w:val="clear" w:color="auto" w:fill="auto"/>
          </w:tcPr>
          <w:p w:rsidR="00230017" w:rsidRPr="0020396D" w:rsidRDefault="00230017" w:rsidP="00301880">
            <w:pPr>
              <w:pStyle w:val="DefaultText"/>
              <w:ind w:left="720"/>
              <w:rPr>
                <w:i/>
              </w:rPr>
            </w:pPr>
            <w:r w:rsidRPr="0020396D">
              <w:rPr>
                <w:i/>
              </w:rPr>
              <w:t>Subtotal</w:t>
            </w:r>
          </w:p>
        </w:tc>
        <w:tc>
          <w:tcPr>
            <w:tcW w:w="1080" w:type="dxa"/>
            <w:tcBorders>
              <w:bottom w:val="nil"/>
            </w:tcBorders>
            <w:shd w:val="clear" w:color="auto" w:fill="auto"/>
            <w:vAlign w:val="center"/>
          </w:tcPr>
          <w:p w:rsidR="00230017" w:rsidRPr="0020396D" w:rsidRDefault="00230017" w:rsidP="00301880">
            <w:pPr>
              <w:pStyle w:val="DefaultText"/>
              <w:ind w:right="144"/>
              <w:jc w:val="right"/>
              <w:rPr>
                <w:i/>
              </w:rPr>
            </w:pPr>
            <w:r w:rsidRPr="0020396D">
              <w:rPr>
                <w:i/>
              </w:rPr>
              <w:t>2,194</w:t>
            </w:r>
          </w:p>
        </w:tc>
        <w:tc>
          <w:tcPr>
            <w:tcW w:w="810" w:type="dxa"/>
            <w:tcBorders>
              <w:bottom w:val="nil"/>
            </w:tcBorders>
            <w:shd w:val="clear" w:color="auto" w:fill="auto"/>
            <w:vAlign w:val="center"/>
          </w:tcPr>
          <w:p w:rsidR="00230017" w:rsidRPr="0020396D" w:rsidRDefault="00230017" w:rsidP="00301880">
            <w:pPr>
              <w:pStyle w:val="DefaultText"/>
              <w:jc w:val="right"/>
              <w:rPr>
                <w:i/>
              </w:rPr>
            </w:pPr>
            <w:r w:rsidRPr="0020396D">
              <w:rPr>
                <w:i/>
              </w:rPr>
              <w:t>61.9</w:t>
            </w:r>
          </w:p>
        </w:tc>
        <w:tc>
          <w:tcPr>
            <w:tcW w:w="1170" w:type="dxa"/>
            <w:tcBorders>
              <w:bottom w:val="nil"/>
            </w:tcBorders>
            <w:shd w:val="clear" w:color="auto" w:fill="auto"/>
            <w:vAlign w:val="center"/>
          </w:tcPr>
          <w:p w:rsidR="00230017" w:rsidRPr="0020396D" w:rsidRDefault="00230017" w:rsidP="00301880">
            <w:pPr>
              <w:pStyle w:val="DefaultText"/>
              <w:ind w:right="158"/>
              <w:jc w:val="right"/>
              <w:rPr>
                <w:i/>
              </w:rPr>
            </w:pPr>
            <w:r w:rsidRPr="0020396D">
              <w:rPr>
                <w:i/>
              </w:rPr>
              <w:t>2,461</w:t>
            </w:r>
          </w:p>
        </w:tc>
        <w:tc>
          <w:tcPr>
            <w:tcW w:w="900" w:type="dxa"/>
            <w:tcBorders>
              <w:bottom w:val="nil"/>
            </w:tcBorders>
            <w:shd w:val="clear" w:color="auto" w:fill="auto"/>
            <w:vAlign w:val="center"/>
          </w:tcPr>
          <w:p w:rsidR="00230017" w:rsidRPr="0020396D" w:rsidRDefault="00230017" w:rsidP="00301880">
            <w:pPr>
              <w:pStyle w:val="DefaultText"/>
              <w:jc w:val="right"/>
              <w:rPr>
                <w:i/>
              </w:rPr>
            </w:pPr>
            <w:r w:rsidRPr="0020396D">
              <w:rPr>
                <w:i/>
              </w:rPr>
              <w:t>63.4</w:t>
            </w:r>
          </w:p>
        </w:tc>
        <w:tc>
          <w:tcPr>
            <w:tcW w:w="1170" w:type="dxa"/>
            <w:tcBorders>
              <w:bottom w:val="nil"/>
            </w:tcBorders>
            <w:shd w:val="clear" w:color="auto" w:fill="auto"/>
            <w:vAlign w:val="center"/>
          </w:tcPr>
          <w:p w:rsidR="00230017" w:rsidRPr="0020396D" w:rsidRDefault="00230017" w:rsidP="00301880">
            <w:pPr>
              <w:pStyle w:val="DefaultText"/>
              <w:ind w:right="149"/>
              <w:jc w:val="right"/>
              <w:rPr>
                <w:i/>
              </w:rPr>
            </w:pPr>
            <w:r w:rsidRPr="0020396D">
              <w:rPr>
                <w:i/>
              </w:rPr>
              <w:t>2,542</w:t>
            </w:r>
          </w:p>
        </w:tc>
        <w:tc>
          <w:tcPr>
            <w:tcW w:w="878" w:type="dxa"/>
            <w:tcBorders>
              <w:bottom w:val="nil"/>
            </w:tcBorders>
            <w:shd w:val="clear" w:color="auto" w:fill="auto"/>
            <w:vAlign w:val="center"/>
          </w:tcPr>
          <w:p w:rsidR="00230017" w:rsidRPr="0020396D" w:rsidRDefault="00230017" w:rsidP="00301880">
            <w:pPr>
              <w:pStyle w:val="DefaultText"/>
              <w:jc w:val="right"/>
              <w:rPr>
                <w:i/>
              </w:rPr>
            </w:pPr>
            <w:r w:rsidRPr="0020396D">
              <w:rPr>
                <w:i/>
              </w:rPr>
              <w:t>56.3</w:t>
            </w:r>
          </w:p>
        </w:tc>
      </w:tr>
      <w:tr w:rsidR="00230017" w:rsidRPr="0020396D" w:rsidTr="00301880">
        <w:tc>
          <w:tcPr>
            <w:tcW w:w="3568" w:type="dxa"/>
            <w:tcBorders>
              <w:top w:val="nil"/>
              <w:bottom w:val="nil"/>
            </w:tcBorders>
            <w:shd w:val="clear" w:color="auto" w:fill="auto"/>
          </w:tcPr>
          <w:p w:rsidR="00230017" w:rsidRPr="0020396D" w:rsidRDefault="00230017" w:rsidP="00301880">
            <w:pPr>
              <w:pStyle w:val="DefaultText"/>
            </w:pPr>
            <w:r w:rsidRPr="0020396D">
              <w:t xml:space="preserve">No milk cows </w:t>
            </w:r>
          </w:p>
        </w:tc>
        <w:tc>
          <w:tcPr>
            <w:tcW w:w="1080" w:type="dxa"/>
            <w:tcBorders>
              <w:top w:val="nil"/>
              <w:bottom w:val="nil"/>
            </w:tcBorders>
            <w:shd w:val="clear" w:color="auto" w:fill="auto"/>
            <w:vAlign w:val="center"/>
          </w:tcPr>
          <w:p w:rsidR="00230017" w:rsidRPr="0020396D" w:rsidRDefault="00230017" w:rsidP="00301880">
            <w:pPr>
              <w:pStyle w:val="DefaultText"/>
              <w:ind w:right="144"/>
              <w:jc w:val="right"/>
            </w:pPr>
            <w:r w:rsidRPr="0020396D">
              <w:t>214</w:t>
            </w:r>
          </w:p>
        </w:tc>
        <w:tc>
          <w:tcPr>
            <w:tcW w:w="810" w:type="dxa"/>
            <w:tcBorders>
              <w:top w:val="nil"/>
              <w:bottom w:val="nil"/>
            </w:tcBorders>
            <w:shd w:val="clear" w:color="auto" w:fill="auto"/>
            <w:vAlign w:val="center"/>
          </w:tcPr>
          <w:p w:rsidR="00230017" w:rsidRPr="0020396D" w:rsidRDefault="00230017" w:rsidP="00301880">
            <w:pPr>
              <w:pStyle w:val="DefaultText"/>
              <w:jc w:val="right"/>
            </w:pPr>
            <w:r w:rsidRPr="0020396D">
              <w:t>6.0</w:t>
            </w:r>
          </w:p>
        </w:tc>
        <w:tc>
          <w:tcPr>
            <w:tcW w:w="1170" w:type="dxa"/>
            <w:tcBorders>
              <w:top w:val="nil"/>
              <w:bottom w:val="nil"/>
            </w:tcBorders>
            <w:shd w:val="clear" w:color="auto" w:fill="auto"/>
            <w:vAlign w:val="center"/>
          </w:tcPr>
          <w:p w:rsidR="00230017" w:rsidRPr="0020396D" w:rsidRDefault="00230017" w:rsidP="00301880">
            <w:pPr>
              <w:pStyle w:val="DefaultText"/>
              <w:ind w:right="158"/>
              <w:jc w:val="right"/>
            </w:pPr>
            <w:r w:rsidRPr="0020396D">
              <w:t>227</w:t>
            </w:r>
          </w:p>
        </w:tc>
        <w:tc>
          <w:tcPr>
            <w:tcW w:w="900" w:type="dxa"/>
            <w:tcBorders>
              <w:top w:val="nil"/>
              <w:bottom w:val="nil"/>
            </w:tcBorders>
            <w:shd w:val="clear" w:color="auto" w:fill="auto"/>
            <w:vAlign w:val="center"/>
          </w:tcPr>
          <w:p w:rsidR="00230017" w:rsidRPr="0020396D" w:rsidRDefault="00230017" w:rsidP="00301880">
            <w:pPr>
              <w:pStyle w:val="DefaultText"/>
              <w:jc w:val="right"/>
            </w:pPr>
            <w:r w:rsidRPr="0020396D">
              <w:t>5.9</w:t>
            </w:r>
          </w:p>
        </w:tc>
        <w:tc>
          <w:tcPr>
            <w:tcW w:w="1170" w:type="dxa"/>
            <w:tcBorders>
              <w:top w:val="nil"/>
              <w:bottom w:val="nil"/>
            </w:tcBorders>
            <w:shd w:val="clear" w:color="auto" w:fill="auto"/>
            <w:vAlign w:val="center"/>
          </w:tcPr>
          <w:p w:rsidR="00230017" w:rsidRPr="0020396D" w:rsidRDefault="00230017" w:rsidP="00301880">
            <w:pPr>
              <w:pStyle w:val="DefaultText"/>
              <w:ind w:right="149"/>
              <w:jc w:val="right"/>
            </w:pPr>
            <w:r w:rsidRPr="0020396D">
              <w:t>646</w:t>
            </w:r>
          </w:p>
        </w:tc>
        <w:tc>
          <w:tcPr>
            <w:tcW w:w="878" w:type="dxa"/>
            <w:tcBorders>
              <w:top w:val="nil"/>
              <w:bottom w:val="nil"/>
            </w:tcBorders>
            <w:shd w:val="clear" w:color="auto" w:fill="auto"/>
            <w:vAlign w:val="center"/>
          </w:tcPr>
          <w:p w:rsidR="00230017" w:rsidRPr="0020396D" w:rsidRDefault="00230017" w:rsidP="00301880">
            <w:pPr>
              <w:pStyle w:val="DefaultText"/>
              <w:jc w:val="right"/>
            </w:pPr>
            <w:r w:rsidRPr="0020396D">
              <w:t>14.3</w:t>
            </w:r>
          </w:p>
        </w:tc>
      </w:tr>
      <w:tr w:rsidR="00230017" w:rsidRPr="0020396D" w:rsidTr="00301880">
        <w:tc>
          <w:tcPr>
            <w:tcW w:w="3568" w:type="dxa"/>
            <w:tcBorders>
              <w:top w:val="nil"/>
              <w:bottom w:val="nil"/>
            </w:tcBorders>
            <w:shd w:val="clear" w:color="auto" w:fill="auto"/>
          </w:tcPr>
          <w:p w:rsidR="00230017" w:rsidRPr="0020396D" w:rsidRDefault="00230017" w:rsidP="00301880">
            <w:pPr>
              <w:pStyle w:val="DefaultText"/>
            </w:pPr>
            <w:r w:rsidRPr="0020396D">
              <w:t>Out of business</w:t>
            </w:r>
          </w:p>
        </w:tc>
        <w:tc>
          <w:tcPr>
            <w:tcW w:w="1080" w:type="dxa"/>
            <w:tcBorders>
              <w:top w:val="nil"/>
              <w:bottom w:val="nil"/>
            </w:tcBorders>
            <w:shd w:val="clear" w:color="auto" w:fill="auto"/>
            <w:vAlign w:val="center"/>
          </w:tcPr>
          <w:p w:rsidR="00230017" w:rsidRPr="0020396D" w:rsidRDefault="00230017" w:rsidP="00301880">
            <w:pPr>
              <w:pStyle w:val="DefaultText"/>
              <w:ind w:right="144"/>
              <w:jc w:val="right"/>
            </w:pPr>
            <w:r w:rsidRPr="0020396D">
              <w:t>111</w:t>
            </w:r>
          </w:p>
        </w:tc>
        <w:tc>
          <w:tcPr>
            <w:tcW w:w="810" w:type="dxa"/>
            <w:tcBorders>
              <w:top w:val="nil"/>
              <w:bottom w:val="nil"/>
            </w:tcBorders>
            <w:shd w:val="clear" w:color="auto" w:fill="auto"/>
            <w:vAlign w:val="center"/>
          </w:tcPr>
          <w:p w:rsidR="00230017" w:rsidRPr="0020396D" w:rsidRDefault="00230017" w:rsidP="00301880">
            <w:pPr>
              <w:pStyle w:val="DefaultText"/>
              <w:jc w:val="right"/>
            </w:pPr>
            <w:r w:rsidRPr="0020396D">
              <w:t>3.1</w:t>
            </w:r>
          </w:p>
        </w:tc>
        <w:tc>
          <w:tcPr>
            <w:tcW w:w="1170" w:type="dxa"/>
            <w:tcBorders>
              <w:top w:val="nil"/>
              <w:bottom w:val="nil"/>
            </w:tcBorders>
            <w:shd w:val="clear" w:color="auto" w:fill="auto"/>
            <w:vAlign w:val="center"/>
          </w:tcPr>
          <w:p w:rsidR="00230017" w:rsidRPr="0020396D" w:rsidRDefault="00230017" w:rsidP="00301880">
            <w:pPr>
              <w:pStyle w:val="DefaultText"/>
              <w:ind w:right="158"/>
              <w:jc w:val="right"/>
            </w:pPr>
            <w:r w:rsidRPr="0020396D">
              <w:t>183</w:t>
            </w:r>
          </w:p>
        </w:tc>
        <w:tc>
          <w:tcPr>
            <w:tcW w:w="900" w:type="dxa"/>
            <w:tcBorders>
              <w:top w:val="nil"/>
              <w:bottom w:val="nil"/>
            </w:tcBorders>
            <w:shd w:val="clear" w:color="auto" w:fill="auto"/>
            <w:vAlign w:val="center"/>
          </w:tcPr>
          <w:p w:rsidR="00230017" w:rsidRPr="0020396D" w:rsidRDefault="00230017" w:rsidP="00301880">
            <w:pPr>
              <w:pStyle w:val="DefaultText"/>
              <w:jc w:val="right"/>
            </w:pPr>
            <w:r w:rsidRPr="0020396D">
              <w:t>4.7</w:t>
            </w:r>
          </w:p>
        </w:tc>
        <w:tc>
          <w:tcPr>
            <w:tcW w:w="1170" w:type="dxa"/>
            <w:tcBorders>
              <w:top w:val="nil"/>
              <w:bottom w:val="nil"/>
            </w:tcBorders>
            <w:shd w:val="clear" w:color="auto" w:fill="auto"/>
            <w:vAlign w:val="center"/>
          </w:tcPr>
          <w:p w:rsidR="00230017" w:rsidRPr="0020396D" w:rsidRDefault="00230017" w:rsidP="00301880">
            <w:pPr>
              <w:pStyle w:val="DefaultText"/>
              <w:ind w:right="149"/>
              <w:jc w:val="right"/>
            </w:pPr>
            <w:r w:rsidRPr="0020396D">
              <w:t>173</w:t>
            </w:r>
          </w:p>
        </w:tc>
        <w:tc>
          <w:tcPr>
            <w:tcW w:w="878" w:type="dxa"/>
            <w:tcBorders>
              <w:top w:val="nil"/>
              <w:bottom w:val="nil"/>
            </w:tcBorders>
            <w:shd w:val="clear" w:color="auto" w:fill="auto"/>
            <w:vAlign w:val="center"/>
          </w:tcPr>
          <w:p w:rsidR="00230017" w:rsidRPr="0020396D" w:rsidRDefault="00230017" w:rsidP="00301880">
            <w:pPr>
              <w:pStyle w:val="DefaultText"/>
              <w:jc w:val="right"/>
            </w:pPr>
            <w:r w:rsidRPr="0020396D">
              <w:t>3.8</w:t>
            </w:r>
          </w:p>
        </w:tc>
      </w:tr>
      <w:tr w:rsidR="00230017" w:rsidRPr="0020396D" w:rsidTr="00301880">
        <w:tc>
          <w:tcPr>
            <w:tcW w:w="3568" w:type="dxa"/>
            <w:tcBorders>
              <w:top w:val="nil"/>
              <w:bottom w:val="single" w:sz="4" w:space="0" w:color="auto"/>
            </w:tcBorders>
            <w:shd w:val="clear" w:color="auto" w:fill="auto"/>
          </w:tcPr>
          <w:p w:rsidR="00230017" w:rsidRPr="0020396D" w:rsidRDefault="00230017" w:rsidP="00301880">
            <w:pPr>
              <w:pStyle w:val="DefaultText"/>
            </w:pPr>
            <w:r w:rsidRPr="0020396D">
              <w:t>Out of scope</w:t>
            </w:r>
          </w:p>
        </w:tc>
        <w:tc>
          <w:tcPr>
            <w:tcW w:w="1080" w:type="dxa"/>
            <w:tcBorders>
              <w:top w:val="nil"/>
              <w:bottom w:val="single" w:sz="4" w:space="0" w:color="auto"/>
            </w:tcBorders>
            <w:shd w:val="clear" w:color="auto" w:fill="auto"/>
            <w:vAlign w:val="center"/>
          </w:tcPr>
          <w:p w:rsidR="00230017" w:rsidRPr="0020396D" w:rsidRDefault="00230017" w:rsidP="00301880">
            <w:pPr>
              <w:pStyle w:val="DefaultText"/>
              <w:ind w:right="144"/>
              <w:jc w:val="right"/>
            </w:pPr>
            <w:r w:rsidRPr="0020396D">
              <w:t>6</w:t>
            </w:r>
          </w:p>
        </w:tc>
        <w:tc>
          <w:tcPr>
            <w:tcW w:w="810" w:type="dxa"/>
            <w:tcBorders>
              <w:top w:val="nil"/>
              <w:bottom w:val="single" w:sz="4" w:space="0" w:color="auto"/>
            </w:tcBorders>
            <w:shd w:val="clear" w:color="auto" w:fill="auto"/>
            <w:vAlign w:val="center"/>
          </w:tcPr>
          <w:p w:rsidR="00230017" w:rsidRPr="0020396D" w:rsidRDefault="00230017" w:rsidP="00301880">
            <w:pPr>
              <w:pStyle w:val="DefaultText"/>
              <w:jc w:val="right"/>
            </w:pPr>
            <w:r w:rsidRPr="0020396D">
              <w:t>0.2</w:t>
            </w:r>
          </w:p>
        </w:tc>
        <w:tc>
          <w:tcPr>
            <w:tcW w:w="1170" w:type="dxa"/>
            <w:tcBorders>
              <w:top w:val="nil"/>
              <w:bottom w:val="single" w:sz="4" w:space="0" w:color="auto"/>
            </w:tcBorders>
            <w:shd w:val="clear" w:color="auto" w:fill="auto"/>
            <w:vAlign w:val="center"/>
          </w:tcPr>
          <w:p w:rsidR="00230017" w:rsidRPr="0020396D" w:rsidRDefault="00230017" w:rsidP="00301880">
            <w:pPr>
              <w:pStyle w:val="DefaultText"/>
              <w:ind w:right="158"/>
              <w:jc w:val="right"/>
            </w:pPr>
            <w:r w:rsidRPr="0020396D">
              <w:t>45</w:t>
            </w:r>
          </w:p>
        </w:tc>
        <w:tc>
          <w:tcPr>
            <w:tcW w:w="900" w:type="dxa"/>
            <w:tcBorders>
              <w:top w:val="nil"/>
              <w:bottom w:val="single" w:sz="4" w:space="0" w:color="auto"/>
            </w:tcBorders>
            <w:shd w:val="clear" w:color="auto" w:fill="auto"/>
            <w:vAlign w:val="center"/>
          </w:tcPr>
          <w:p w:rsidR="00230017" w:rsidRPr="0020396D" w:rsidRDefault="00230017" w:rsidP="00301880">
            <w:pPr>
              <w:pStyle w:val="DefaultText"/>
              <w:jc w:val="right"/>
            </w:pPr>
            <w:r w:rsidRPr="0020396D">
              <w:t>1.2</w:t>
            </w:r>
          </w:p>
        </w:tc>
        <w:tc>
          <w:tcPr>
            <w:tcW w:w="1170" w:type="dxa"/>
            <w:tcBorders>
              <w:top w:val="nil"/>
              <w:bottom w:val="single" w:sz="4" w:space="0" w:color="auto"/>
            </w:tcBorders>
            <w:shd w:val="clear" w:color="auto" w:fill="auto"/>
            <w:vAlign w:val="center"/>
          </w:tcPr>
          <w:p w:rsidR="00230017" w:rsidRPr="0020396D" w:rsidRDefault="00230017" w:rsidP="00301880">
            <w:pPr>
              <w:pStyle w:val="DefaultText"/>
              <w:ind w:right="149"/>
              <w:jc w:val="right"/>
            </w:pPr>
            <w:r w:rsidRPr="0020396D">
              <w:t>22</w:t>
            </w:r>
          </w:p>
        </w:tc>
        <w:tc>
          <w:tcPr>
            <w:tcW w:w="878" w:type="dxa"/>
            <w:tcBorders>
              <w:top w:val="nil"/>
              <w:bottom w:val="single" w:sz="4" w:space="0" w:color="auto"/>
            </w:tcBorders>
            <w:shd w:val="clear" w:color="auto" w:fill="auto"/>
            <w:vAlign w:val="center"/>
          </w:tcPr>
          <w:p w:rsidR="00230017" w:rsidRPr="0020396D" w:rsidRDefault="00230017" w:rsidP="00301880">
            <w:pPr>
              <w:pStyle w:val="DefaultText"/>
              <w:jc w:val="right"/>
            </w:pPr>
            <w:r w:rsidRPr="0020396D">
              <w:t>0.5</w:t>
            </w:r>
          </w:p>
        </w:tc>
      </w:tr>
      <w:tr w:rsidR="00230017" w:rsidRPr="0020396D" w:rsidTr="00301880">
        <w:tc>
          <w:tcPr>
            <w:tcW w:w="3568" w:type="dxa"/>
            <w:tcBorders>
              <w:bottom w:val="nil"/>
            </w:tcBorders>
            <w:shd w:val="clear" w:color="auto" w:fill="auto"/>
          </w:tcPr>
          <w:p w:rsidR="00230017" w:rsidRPr="0020396D" w:rsidRDefault="00230017" w:rsidP="00301880">
            <w:pPr>
              <w:pStyle w:val="DefaultText"/>
              <w:ind w:left="720"/>
              <w:rPr>
                <w:i/>
              </w:rPr>
            </w:pPr>
            <w:r w:rsidRPr="0020396D">
              <w:rPr>
                <w:i/>
              </w:rPr>
              <w:t>Subtotal</w:t>
            </w:r>
          </w:p>
        </w:tc>
        <w:tc>
          <w:tcPr>
            <w:tcW w:w="1080" w:type="dxa"/>
            <w:tcBorders>
              <w:bottom w:val="nil"/>
            </w:tcBorders>
            <w:shd w:val="clear" w:color="auto" w:fill="auto"/>
            <w:vAlign w:val="center"/>
          </w:tcPr>
          <w:p w:rsidR="00230017" w:rsidRPr="0020396D" w:rsidRDefault="00230017" w:rsidP="00301880">
            <w:pPr>
              <w:pStyle w:val="DefaultText"/>
              <w:ind w:right="144"/>
              <w:jc w:val="right"/>
              <w:rPr>
                <w:i/>
              </w:rPr>
            </w:pPr>
            <w:r w:rsidRPr="0020396D">
              <w:rPr>
                <w:i/>
              </w:rPr>
              <w:t>2,525</w:t>
            </w:r>
          </w:p>
        </w:tc>
        <w:tc>
          <w:tcPr>
            <w:tcW w:w="810" w:type="dxa"/>
            <w:tcBorders>
              <w:bottom w:val="nil"/>
            </w:tcBorders>
            <w:shd w:val="clear" w:color="auto" w:fill="auto"/>
            <w:vAlign w:val="center"/>
          </w:tcPr>
          <w:p w:rsidR="00230017" w:rsidRPr="0020396D" w:rsidRDefault="00230017" w:rsidP="00301880">
            <w:pPr>
              <w:pStyle w:val="DefaultText"/>
              <w:jc w:val="right"/>
              <w:rPr>
                <w:i/>
              </w:rPr>
            </w:pPr>
            <w:r w:rsidRPr="0020396D">
              <w:rPr>
                <w:i/>
              </w:rPr>
              <w:t>71.2</w:t>
            </w:r>
          </w:p>
        </w:tc>
        <w:tc>
          <w:tcPr>
            <w:tcW w:w="1170" w:type="dxa"/>
            <w:tcBorders>
              <w:bottom w:val="nil"/>
            </w:tcBorders>
            <w:shd w:val="clear" w:color="auto" w:fill="auto"/>
            <w:vAlign w:val="center"/>
          </w:tcPr>
          <w:p w:rsidR="00230017" w:rsidRPr="0020396D" w:rsidRDefault="00230017" w:rsidP="00301880">
            <w:pPr>
              <w:pStyle w:val="DefaultText"/>
              <w:ind w:right="158"/>
              <w:jc w:val="right"/>
              <w:rPr>
                <w:i/>
              </w:rPr>
            </w:pPr>
            <w:r w:rsidRPr="0020396D">
              <w:rPr>
                <w:i/>
              </w:rPr>
              <w:t>2,916</w:t>
            </w:r>
          </w:p>
        </w:tc>
        <w:tc>
          <w:tcPr>
            <w:tcW w:w="900" w:type="dxa"/>
            <w:tcBorders>
              <w:bottom w:val="nil"/>
            </w:tcBorders>
            <w:shd w:val="clear" w:color="auto" w:fill="auto"/>
            <w:vAlign w:val="center"/>
          </w:tcPr>
          <w:p w:rsidR="00230017" w:rsidRPr="0020396D" w:rsidRDefault="00230017" w:rsidP="00301880">
            <w:pPr>
              <w:pStyle w:val="DefaultText"/>
              <w:jc w:val="right"/>
              <w:rPr>
                <w:i/>
              </w:rPr>
            </w:pPr>
            <w:r w:rsidRPr="0020396D">
              <w:rPr>
                <w:i/>
              </w:rPr>
              <w:t>75.2</w:t>
            </w:r>
          </w:p>
        </w:tc>
        <w:tc>
          <w:tcPr>
            <w:tcW w:w="1170" w:type="dxa"/>
            <w:tcBorders>
              <w:bottom w:val="nil"/>
            </w:tcBorders>
            <w:shd w:val="clear" w:color="auto" w:fill="auto"/>
            <w:vAlign w:val="center"/>
          </w:tcPr>
          <w:p w:rsidR="00230017" w:rsidRPr="0020396D" w:rsidRDefault="00230017" w:rsidP="00301880">
            <w:pPr>
              <w:pStyle w:val="DefaultText"/>
              <w:ind w:right="149"/>
              <w:jc w:val="right"/>
              <w:rPr>
                <w:i/>
              </w:rPr>
            </w:pPr>
            <w:r w:rsidRPr="0020396D">
              <w:rPr>
                <w:i/>
              </w:rPr>
              <w:t>3,383</w:t>
            </w:r>
          </w:p>
        </w:tc>
        <w:tc>
          <w:tcPr>
            <w:tcW w:w="878" w:type="dxa"/>
            <w:tcBorders>
              <w:bottom w:val="nil"/>
            </w:tcBorders>
            <w:shd w:val="clear" w:color="auto" w:fill="auto"/>
            <w:vAlign w:val="center"/>
          </w:tcPr>
          <w:p w:rsidR="00230017" w:rsidRPr="0020396D" w:rsidRDefault="00230017" w:rsidP="00301880">
            <w:pPr>
              <w:pStyle w:val="DefaultText"/>
              <w:jc w:val="right"/>
              <w:rPr>
                <w:i/>
              </w:rPr>
            </w:pPr>
            <w:r w:rsidRPr="0020396D">
              <w:rPr>
                <w:i/>
              </w:rPr>
              <w:t>74.9</w:t>
            </w:r>
          </w:p>
        </w:tc>
      </w:tr>
      <w:tr w:rsidR="00230017" w:rsidRPr="0020396D" w:rsidTr="00301880">
        <w:tc>
          <w:tcPr>
            <w:tcW w:w="3568" w:type="dxa"/>
            <w:tcBorders>
              <w:top w:val="nil"/>
              <w:bottom w:val="nil"/>
            </w:tcBorders>
            <w:shd w:val="clear" w:color="auto" w:fill="auto"/>
          </w:tcPr>
          <w:p w:rsidR="00230017" w:rsidRPr="0020396D" w:rsidRDefault="00230017" w:rsidP="00301880">
            <w:pPr>
              <w:pStyle w:val="DefaultText"/>
            </w:pPr>
            <w:r w:rsidRPr="0020396D">
              <w:t>Refusal</w:t>
            </w:r>
          </w:p>
        </w:tc>
        <w:tc>
          <w:tcPr>
            <w:tcW w:w="1080" w:type="dxa"/>
            <w:tcBorders>
              <w:top w:val="nil"/>
              <w:bottom w:val="nil"/>
            </w:tcBorders>
            <w:shd w:val="clear" w:color="auto" w:fill="auto"/>
            <w:vAlign w:val="center"/>
          </w:tcPr>
          <w:p w:rsidR="00230017" w:rsidRPr="0020396D" w:rsidRDefault="00230017" w:rsidP="00301880">
            <w:pPr>
              <w:pStyle w:val="DefaultText"/>
              <w:ind w:right="144"/>
              <w:jc w:val="right"/>
            </w:pPr>
            <w:r w:rsidRPr="0020396D">
              <w:t>785</w:t>
            </w:r>
          </w:p>
        </w:tc>
        <w:tc>
          <w:tcPr>
            <w:tcW w:w="810" w:type="dxa"/>
            <w:tcBorders>
              <w:top w:val="nil"/>
              <w:bottom w:val="nil"/>
            </w:tcBorders>
            <w:shd w:val="clear" w:color="auto" w:fill="auto"/>
            <w:vAlign w:val="center"/>
          </w:tcPr>
          <w:p w:rsidR="00230017" w:rsidRPr="0020396D" w:rsidRDefault="00230017" w:rsidP="00301880">
            <w:pPr>
              <w:pStyle w:val="DefaultText"/>
              <w:jc w:val="right"/>
            </w:pPr>
            <w:r w:rsidRPr="0020396D">
              <w:t>22.1</w:t>
            </w:r>
          </w:p>
        </w:tc>
        <w:tc>
          <w:tcPr>
            <w:tcW w:w="1170" w:type="dxa"/>
            <w:tcBorders>
              <w:top w:val="nil"/>
              <w:bottom w:val="nil"/>
            </w:tcBorders>
            <w:shd w:val="clear" w:color="auto" w:fill="auto"/>
            <w:vAlign w:val="center"/>
          </w:tcPr>
          <w:p w:rsidR="00230017" w:rsidRPr="0020396D" w:rsidRDefault="00230017" w:rsidP="00301880">
            <w:pPr>
              <w:pStyle w:val="DefaultText"/>
              <w:ind w:right="158"/>
              <w:jc w:val="right"/>
            </w:pPr>
            <w:r w:rsidRPr="0020396D">
              <w:t>821</w:t>
            </w:r>
          </w:p>
        </w:tc>
        <w:tc>
          <w:tcPr>
            <w:tcW w:w="900" w:type="dxa"/>
            <w:tcBorders>
              <w:top w:val="nil"/>
              <w:bottom w:val="nil"/>
            </w:tcBorders>
            <w:shd w:val="clear" w:color="auto" w:fill="auto"/>
            <w:vAlign w:val="center"/>
          </w:tcPr>
          <w:p w:rsidR="00230017" w:rsidRPr="0020396D" w:rsidRDefault="00230017" w:rsidP="00301880">
            <w:pPr>
              <w:pStyle w:val="DefaultText"/>
              <w:jc w:val="right"/>
            </w:pPr>
            <w:r w:rsidRPr="0020396D">
              <w:t>21.2</w:t>
            </w:r>
          </w:p>
        </w:tc>
        <w:tc>
          <w:tcPr>
            <w:tcW w:w="1170" w:type="dxa"/>
            <w:tcBorders>
              <w:top w:val="nil"/>
              <w:bottom w:val="nil"/>
            </w:tcBorders>
            <w:shd w:val="clear" w:color="auto" w:fill="auto"/>
            <w:vAlign w:val="center"/>
          </w:tcPr>
          <w:p w:rsidR="00230017" w:rsidRPr="0020396D" w:rsidRDefault="00230017" w:rsidP="00301880">
            <w:pPr>
              <w:pStyle w:val="DefaultText"/>
              <w:ind w:right="149"/>
              <w:jc w:val="right"/>
            </w:pPr>
            <w:r w:rsidRPr="0020396D">
              <w:t>969</w:t>
            </w:r>
          </w:p>
        </w:tc>
        <w:tc>
          <w:tcPr>
            <w:tcW w:w="878" w:type="dxa"/>
            <w:tcBorders>
              <w:top w:val="nil"/>
              <w:bottom w:val="nil"/>
            </w:tcBorders>
            <w:shd w:val="clear" w:color="auto" w:fill="auto"/>
            <w:vAlign w:val="center"/>
          </w:tcPr>
          <w:p w:rsidR="00230017" w:rsidRPr="0020396D" w:rsidRDefault="00230017" w:rsidP="00301880">
            <w:pPr>
              <w:pStyle w:val="DefaultText"/>
              <w:jc w:val="right"/>
            </w:pPr>
            <w:r w:rsidRPr="0020396D">
              <w:t>21.5</w:t>
            </w:r>
          </w:p>
        </w:tc>
      </w:tr>
      <w:tr w:rsidR="00230017" w:rsidRPr="0020396D" w:rsidTr="00301880">
        <w:tc>
          <w:tcPr>
            <w:tcW w:w="3568" w:type="dxa"/>
            <w:tcBorders>
              <w:top w:val="nil"/>
              <w:bottom w:val="nil"/>
            </w:tcBorders>
            <w:shd w:val="clear" w:color="auto" w:fill="auto"/>
          </w:tcPr>
          <w:p w:rsidR="00230017" w:rsidRPr="0020396D" w:rsidRDefault="00230017" w:rsidP="00301880">
            <w:pPr>
              <w:pStyle w:val="DefaultText"/>
            </w:pPr>
            <w:r w:rsidRPr="0020396D">
              <w:t>Inaccessible</w:t>
            </w:r>
          </w:p>
        </w:tc>
        <w:tc>
          <w:tcPr>
            <w:tcW w:w="1080" w:type="dxa"/>
            <w:tcBorders>
              <w:top w:val="nil"/>
              <w:bottom w:val="nil"/>
            </w:tcBorders>
            <w:shd w:val="clear" w:color="auto" w:fill="auto"/>
            <w:vAlign w:val="center"/>
          </w:tcPr>
          <w:p w:rsidR="00230017" w:rsidRPr="0020396D" w:rsidRDefault="00230017" w:rsidP="00301880">
            <w:pPr>
              <w:pStyle w:val="DefaultText"/>
              <w:ind w:right="144"/>
              <w:jc w:val="right"/>
            </w:pPr>
            <w:r w:rsidRPr="0020396D">
              <w:t>118</w:t>
            </w:r>
          </w:p>
        </w:tc>
        <w:tc>
          <w:tcPr>
            <w:tcW w:w="810" w:type="dxa"/>
            <w:tcBorders>
              <w:top w:val="nil"/>
              <w:bottom w:val="nil"/>
            </w:tcBorders>
            <w:shd w:val="clear" w:color="auto" w:fill="auto"/>
            <w:vAlign w:val="center"/>
          </w:tcPr>
          <w:p w:rsidR="00230017" w:rsidRPr="0020396D" w:rsidRDefault="00230017" w:rsidP="00301880">
            <w:pPr>
              <w:pStyle w:val="DefaultText"/>
              <w:jc w:val="right"/>
            </w:pPr>
            <w:r w:rsidRPr="0020396D">
              <w:t>3.3</w:t>
            </w:r>
          </w:p>
        </w:tc>
        <w:tc>
          <w:tcPr>
            <w:tcW w:w="1170" w:type="dxa"/>
            <w:tcBorders>
              <w:top w:val="nil"/>
              <w:bottom w:val="nil"/>
            </w:tcBorders>
            <w:shd w:val="clear" w:color="auto" w:fill="auto"/>
            <w:vAlign w:val="center"/>
          </w:tcPr>
          <w:p w:rsidR="00230017" w:rsidRPr="0020396D" w:rsidRDefault="00230017" w:rsidP="00301880">
            <w:pPr>
              <w:pStyle w:val="DefaultText"/>
              <w:ind w:right="158"/>
              <w:jc w:val="right"/>
            </w:pPr>
            <w:r w:rsidRPr="0020396D">
              <w:t>137</w:t>
            </w:r>
          </w:p>
        </w:tc>
        <w:tc>
          <w:tcPr>
            <w:tcW w:w="900" w:type="dxa"/>
            <w:tcBorders>
              <w:top w:val="nil"/>
              <w:bottom w:val="nil"/>
            </w:tcBorders>
            <w:shd w:val="clear" w:color="auto" w:fill="auto"/>
            <w:vAlign w:val="center"/>
          </w:tcPr>
          <w:p w:rsidR="00230017" w:rsidRPr="0020396D" w:rsidRDefault="00230017" w:rsidP="00301880">
            <w:pPr>
              <w:pStyle w:val="DefaultText"/>
              <w:jc w:val="right"/>
            </w:pPr>
            <w:r w:rsidRPr="0020396D">
              <w:t>3.5</w:t>
            </w:r>
          </w:p>
        </w:tc>
        <w:tc>
          <w:tcPr>
            <w:tcW w:w="1170" w:type="dxa"/>
            <w:tcBorders>
              <w:top w:val="nil"/>
              <w:bottom w:val="nil"/>
            </w:tcBorders>
            <w:shd w:val="clear" w:color="auto" w:fill="auto"/>
            <w:vAlign w:val="center"/>
          </w:tcPr>
          <w:p w:rsidR="00230017" w:rsidRPr="0020396D" w:rsidRDefault="00230017" w:rsidP="00301880">
            <w:pPr>
              <w:pStyle w:val="DefaultText"/>
              <w:ind w:right="149"/>
              <w:jc w:val="right"/>
            </w:pPr>
            <w:r w:rsidRPr="0020396D">
              <w:t>164</w:t>
            </w:r>
          </w:p>
        </w:tc>
        <w:tc>
          <w:tcPr>
            <w:tcW w:w="878" w:type="dxa"/>
            <w:tcBorders>
              <w:top w:val="nil"/>
              <w:bottom w:val="nil"/>
            </w:tcBorders>
            <w:shd w:val="clear" w:color="auto" w:fill="auto"/>
            <w:vAlign w:val="center"/>
          </w:tcPr>
          <w:p w:rsidR="00230017" w:rsidRPr="0020396D" w:rsidRDefault="00230017" w:rsidP="00301880">
            <w:pPr>
              <w:pStyle w:val="DefaultText"/>
              <w:jc w:val="right"/>
            </w:pPr>
            <w:r w:rsidRPr="0020396D">
              <w:t>3.6</w:t>
            </w:r>
          </w:p>
        </w:tc>
      </w:tr>
      <w:tr w:rsidR="00230017" w:rsidRPr="0020396D" w:rsidTr="00301880">
        <w:tc>
          <w:tcPr>
            <w:tcW w:w="3568" w:type="dxa"/>
            <w:tcBorders>
              <w:top w:val="nil"/>
              <w:bottom w:val="single" w:sz="4" w:space="0" w:color="auto"/>
            </w:tcBorders>
            <w:shd w:val="clear" w:color="auto" w:fill="auto"/>
          </w:tcPr>
          <w:p w:rsidR="00230017" w:rsidRPr="0020396D" w:rsidRDefault="00230017" w:rsidP="00301880">
            <w:pPr>
              <w:pStyle w:val="DefaultText"/>
            </w:pPr>
            <w:r w:rsidRPr="0020396D">
              <w:t>Other</w:t>
            </w:r>
          </w:p>
        </w:tc>
        <w:tc>
          <w:tcPr>
            <w:tcW w:w="1080" w:type="dxa"/>
            <w:tcBorders>
              <w:top w:val="nil"/>
              <w:bottom w:val="single" w:sz="4" w:space="0" w:color="auto"/>
            </w:tcBorders>
            <w:shd w:val="clear" w:color="auto" w:fill="auto"/>
            <w:vAlign w:val="center"/>
          </w:tcPr>
          <w:p w:rsidR="00230017" w:rsidRPr="0020396D" w:rsidRDefault="00230017" w:rsidP="00301880">
            <w:pPr>
              <w:pStyle w:val="DefaultText"/>
              <w:ind w:right="144"/>
              <w:jc w:val="right"/>
            </w:pPr>
            <w:r w:rsidRPr="0020396D">
              <w:t>126</w:t>
            </w:r>
          </w:p>
        </w:tc>
        <w:tc>
          <w:tcPr>
            <w:tcW w:w="810" w:type="dxa"/>
            <w:tcBorders>
              <w:top w:val="nil"/>
              <w:bottom w:val="single" w:sz="4" w:space="0" w:color="auto"/>
            </w:tcBorders>
            <w:shd w:val="clear" w:color="auto" w:fill="auto"/>
            <w:vAlign w:val="center"/>
          </w:tcPr>
          <w:p w:rsidR="00230017" w:rsidRPr="0020396D" w:rsidRDefault="00230017" w:rsidP="00301880">
            <w:pPr>
              <w:pStyle w:val="DefaultText"/>
              <w:jc w:val="right"/>
            </w:pPr>
            <w:r w:rsidRPr="0020396D">
              <w:t>3.5</w:t>
            </w:r>
          </w:p>
        </w:tc>
        <w:tc>
          <w:tcPr>
            <w:tcW w:w="1170" w:type="dxa"/>
            <w:tcBorders>
              <w:top w:val="nil"/>
              <w:bottom w:val="single" w:sz="4" w:space="0" w:color="auto"/>
            </w:tcBorders>
            <w:shd w:val="clear" w:color="auto" w:fill="auto"/>
            <w:vAlign w:val="center"/>
          </w:tcPr>
          <w:p w:rsidR="00230017" w:rsidRPr="0020396D" w:rsidRDefault="00230017" w:rsidP="00301880">
            <w:pPr>
              <w:pStyle w:val="DefaultText"/>
              <w:ind w:right="158"/>
              <w:jc w:val="right"/>
            </w:pPr>
            <w:r w:rsidRPr="0020396D">
              <w:t>2</w:t>
            </w:r>
          </w:p>
        </w:tc>
        <w:tc>
          <w:tcPr>
            <w:tcW w:w="900" w:type="dxa"/>
            <w:tcBorders>
              <w:top w:val="nil"/>
              <w:bottom w:val="single" w:sz="4" w:space="0" w:color="auto"/>
            </w:tcBorders>
            <w:shd w:val="clear" w:color="auto" w:fill="auto"/>
            <w:vAlign w:val="center"/>
          </w:tcPr>
          <w:p w:rsidR="00230017" w:rsidRPr="0020396D" w:rsidRDefault="00230017" w:rsidP="00301880">
            <w:pPr>
              <w:pStyle w:val="DefaultText"/>
              <w:jc w:val="right"/>
            </w:pPr>
            <w:r w:rsidRPr="0020396D">
              <w:t>0.1</w:t>
            </w:r>
          </w:p>
        </w:tc>
        <w:tc>
          <w:tcPr>
            <w:tcW w:w="1170" w:type="dxa"/>
            <w:tcBorders>
              <w:top w:val="nil"/>
              <w:bottom w:val="single" w:sz="4" w:space="0" w:color="auto"/>
            </w:tcBorders>
            <w:shd w:val="clear" w:color="auto" w:fill="auto"/>
            <w:vAlign w:val="center"/>
          </w:tcPr>
          <w:p w:rsidR="00230017" w:rsidRPr="0020396D" w:rsidRDefault="00230017" w:rsidP="00301880">
            <w:pPr>
              <w:pStyle w:val="DefaultText"/>
              <w:ind w:right="149"/>
              <w:jc w:val="right"/>
            </w:pPr>
            <w:r w:rsidRPr="0020396D">
              <w:t>-</w:t>
            </w:r>
          </w:p>
        </w:tc>
        <w:tc>
          <w:tcPr>
            <w:tcW w:w="878" w:type="dxa"/>
            <w:tcBorders>
              <w:top w:val="nil"/>
              <w:bottom w:val="single" w:sz="4" w:space="0" w:color="auto"/>
            </w:tcBorders>
            <w:shd w:val="clear" w:color="auto" w:fill="auto"/>
            <w:vAlign w:val="center"/>
          </w:tcPr>
          <w:p w:rsidR="00230017" w:rsidRPr="0020396D" w:rsidRDefault="00230017" w:rsidP="00301880">
            <w:pPr>
              <w:pStyle w:val="DefaultText"/>
              <w:jc w:val="right"/>
            </w:pPr>
            <w:r w:rsidRPr="0020396D">
              <w:t>-</w:t>
            </w:r>
          </w:p>
        </w:tc>
      </w:tr>
      <w:tr w:rsidR="00230017" w:rsidRPr="0020396D" w:rsidTr="00301880">
        <w:tc>
          <w:tcPr>
            <w:tcW w:w="3568" w:type="dxa"/>
            <w:tcBorders>
              <w:bottom w:val="nil"/>
            </w:tcBorders>
            <w:shd w:val="clear" w:color="auto" w:fill="auto"/>
          </w:tcPr>
          <w:p w:rsidR="00230017" w:rsidRPr="0020396D" w:rsidRDefault="00230017" w:rsidP="00301880">
            <w:pPr>
              <w:pStyle w:val="DefaultText"/>
              <w:ind w:left="720"/>
              <w:rPr>
                <w:i/>
              </w:rPr>
            </w:pPr>
            <w:r w:rsidRPr="0020396D">
              <w:rPr>
                <w:i/>
              </w:rPr>
              <w:t>Total</w:t>
            </w:r>
          </w:p>
        </w:tc>
        <w:tc>
          <w:tcPr>
            <w:tcW w:w="1080" w:type="dxa"/>
            <w:tcBorders>
              <w:bottom w:val="nil"/>
            </w:tcBorders>
            <w:shd w:val="clear" w:color="auto" w:fill="auto"/>
            <w:vAlign w:val="center"/>
          </w:tcPr>
          <w:p w:rsidR="00230017" w:rsidRPr="0020396D" w:rsidRDefault="00230017" w:rsidP="00301880">
            <w:pPr>
              <w:pStyle w:val="DefaultText"/>
              <w:ind w:right="144"/>
              <w:jc w:val="right"/>
              <w:rPr>
                <w:i/>
              </w:rPr>
            </w:pPr>
            <w:r w:rsidRPr="0020396D">
              <w:rPr>
                <w:i/>
              </w:rPr>
              <w:t>3,554</w:t>
            </w:r>
          </w:p>
        </w:tc>
        <w:tc>
          <w:tcPr>
            <w:tcW w:w="810" w:type="dxa"/>
            <w:tcBorders>
              <w:bottom w:val="nil"/>
            </w:tcBorders>
            <w:shd w:val="clear" w:color="auto" w:fill="auto"/>
            <w:vAlign w:val="center"/>
          </w:tcPr>
          <w:p w:rsidR="00230017" w:rsidRPr="0020396D" w:rsidRDefault="00230017" w:rsidP="00301880">
            <w:pPr>
              <w:pStyle w:val="DefaultText"/>
              <w:jc w:val="right"/>
              <w:rPr>
                <w:i/>
              </w:rPr>
            </w:pPr>
            <w:r w:rsidRPr="0020396D">
              <w:rPr>
                <w:i/>
              </w:rPr>
              <w:t>100.0</w:t>
            </w:r>
          </w:p>
        </w:tc>
        <w:tc>
          <w:tcPr>
            <w:tcW w:w="1170" w:type="dxa"/>
            <w:tcBorders>
              <w:bottom w:val="nil"/>
            </w:tcBorders>
            <w:shd w:val="clear" w:color="auto" w:fill="auto"/>
            <w:vAlign w:val="center"/>
          </w:tcPr>
          <w:p w:rsidR="00230017" w:rsidRPr="0020396D" w:rsidRDefault="00230017" w:rsidP="00301880">
            <w:pPr>
              <w:pStyle w:val="DefaultText"/>
              <w:ind w:right="158"/>
              <w:jc w:val="right"/>
              <w:rPr>
                <w:i/>
              </w:rPr>
            </w:pPr>
            <w:r w:rsidRPr="0020396D">
              <w:rPr>
                <w:i/>
              </w:rPr>
              <w:t>3,876</w:t>
            </w:r>
          </w:p>
        </w:tc>
        <w:tc>
          <w:tcPr>
            <w:tcW w:w="900" w:type="dxa"/>
            <w:tcBorders>
              <w:bottom w:val="nil"/>
            </w:tcBorders>
            <w:shd w:val="clear" w:color="auto" w:fill="auto"/>
            <w:vAlign w:val="center"/>
          </w:tcPr>
          <w:p w:rsidR="00230017" w:rsidRPr="0020396D" w:rsidRDefault="00230017" w:rsidP="00301880">
            <w:pPr>
              <w:pStyle w:val="DefaultText"/>
              <w:jc w:val="right"/>
              <w:rPr>
                <w:i/>
              </w:rPr>
            </w:pPr>
            <w:r w:rsidRPr="0020396D">
              <w:rPr>
                <w:i/>
              </w:rPr>
              <w:t>100.0</w:t>
            </w:r>
          </w:p>
        </w:tc>
        <w:tc>
          <w:tcPr>
            <w:tcW w:w="1170" w:type="dxa"/>
            <w:tcBorders>
              <w:bottom w:val="nil"/>
            </w:tcBorders>
            <w:shd w:val="clear" w:color="auto" w:fill="auto"/>
            <w:vAlign w:val="center"/>
          </w:tcPr>
          <w:p w:rsidR="00230017" w:rsidRPr="0020396D" w:rsidRDefault="00230017" w:rsidP="00301880">
            <w:pPr>
              <w:pStyle w:val="DefaultText"/>
              <w:ind w:right="149"/>
              <w:jc w:val="right"/>
              <w:rPr>
                <w:i/>
              </w:rPr>
            </w:pPr>
            <w:r w:rsidRPr="0020396D">
              <w:rPr>
                <w:i/>
              </w:rPr>
              <w:t>4,516</w:t>
            </w:r>
          </w:p>
        </w:tc>
        <w:tc>
          <w:tcPr>
            <w:tcW w:w="878" w:type="dxa"/>
            <w:tcBorders>
              <w:bottom w:val="nil"/>
            </w:tcBorders>
            <w:shd w:val="clear" w:color="auto" w:fill="auto"/>
            <w:vAlign w:val="center"/>
          </w:tcPr>
          <w:p w:rsidR="00230017" w:rsidRPr="0020396D" w:rsidRDefault="00230017" w:rsidP="00301880">
            <w:pPr>
              <w:pStyle w:val="DefaultText"/>
              <w:jc w:val="right"/>
              <w:rPr>
                <w:i/>
              </w:rPr>
            </w:pPr>
            <w:r w:rsidRPr="0020396D">
              <w:rPr>
                <w:i/>
              </w:rPr>
              <w:t>100.0</w:t>
            </w:r>
          </w:p>
        </w:tc>
      </w:tr>
    </w:tbl>
    <w:p w:rsidR="00230017" w:rsidRPr="0020396D" w:rsidRDefault="00230017" w:rsidP="00230017">
      <w:pPr>
        <w:pStyle w:val="DefaultText"/>
      </w:pPr>
    </w:p>
    <w:p w:rsidR="00230017" w:rsidRPr="0020396D" w:rsidRDefault="00230017" w:rsidP="00230017">
      <w:pPr>
        <w:pStyle w:val="DefaultText"/>
      </w:pPr>
    </w:p>
    <w:p w:rsidR="00230017" w:rsidRPr="0020396D" w:rsidRDefault="00230017" w:rsidP="00230017">
      <w:pPr>
        <w:pStyle w:val="DefaultText"/>
      </w:pPr>
      <w:r w:rsidRPr="0020396D">
        <w:t>2.  VMO initial visit response rates:</w:t>
      </w:r>
    </w:p>
    <w:p w:rsidR="00230017" w:rsidRPr="0020396D" w:rsidRDefault="00230017" w:rsidP="00230017">
      <w:pPr>
        <w:pStyle w:val="DefaultText"/>
      </w:pPr>
    </w:p>
    <w:tbl>
      <w:tblPr>
        <w:tblW w:w="9576" w:type="dxa"/>
        <w:tblBorders>
          <w:top w:val="single" w:sz="4" w:space="0" w:color="auto"/>
          <w:bottom w:val="single" w:sz="4" w:space="0" w:color="auto"/>
          <w:insideH w:val="single" w:sz="4" w:space="0" w:color="auto"/>
        </w:tblBorders>
        <w:tblLayout w:type="fixed"/>
        <w:tblCellMar>
          <w:left w:w="58" w:type="dxa"/>
          <w:right w:w="58" w:type="dxa"/>
        </w:tblCellMar>
        <w:tblLook w:val="04A0" w:firstRow="1" w:lastRow="0" w:firstColumn="1" w:lastColumn="0" w:noHBand="0" w:noVBand="1"/>
      </w:tblPr>
      <w:tblGrid>
        <w:gridCol w:w="2398"/>
        <w:gridCol w:w="1196"/>
        <w:gridCol w:w="1196"/>
        <w:gridCol w:w="1197"/>
        <w:gridCol w:w="1196"/>
        <w:gridCol w:w="1196"/>
        <w:gridCol w:w="1197"/>
      </w:tblGrid>
      <w:tr w:rsidR="00230017" w:rsidRPr="0020396D" w:rsidTr="00301880">
        <w:tc>
          <w:tcPr>
            <w:tcW w:w="2398" w:type="dxa"/>
            <w:tcBorders>
              <w:top w:val="nil"/>
            </w:tcBorders>
            <w:shd w:val="clear" w:color="auto" w:fill="auto"/>
          </w:tcPr>
          <w:p w:rsidR="00230017" w:rsidRPr="0020396D" w:rsidRDefault="00230017" w:rsidP="00301880">
            <w:pPr>
              <w:pStyle w:val="DefaultText"/>
              <w:rPr>
                <w:b/>
              </w:rPr>
            </w:pPr>
          </w:p>
        </w:tc>
        <w:tc>
          <w:tcPr>
            <w:tcW w:w="2392" w:type="dxa"/>
            <w:gridSpan w:val="2"/>
            <w:tcBorders>
              <w:top w:val="nil"/>
            </w:tcBorders>
            <w:shd w:val="clear" w:color="auto" w:fill="auto"/>
            <w:vAlign w:val="center"/>
          </w:tcPr>
          <w:p w:rsidR="00230017" w:rsidRPr="0020396D" w:rsidRDefault="00230017" w:rsidP="00301880">
            <w:pPr>
              <w:pStyle w:val="DefaultText"/>
              <w:jc w:val="center"/>
              <w:rPr>
                <w:b/>
              </w:rPr>
            </w:pPr>
            <w:r w:rsidRPr="0020396D">
              <w:rPr>
                <w:b/>
              </w:rPr>
              <w:t>Dairy 2007</w:t>
            </w:r>
          </w:p>
        </w:tc>
        <w:tc>
          <w:tcPr>
            <w:tcW w:w="2393" w:type="dxa"/>
            <w:gridSpan w:val="2"/>
            <w:tcBorders>
              <w:top w:val="nil"/>
            </w:tcBorders>
            <w:shd w:val="clear" w:color="auto" w:fill="auto"/>
            <w:vAlign w:val="center"/>
          </w:tcPr>
          <w:p w:rsidR="00230017" w:rsidRPr="0020396D" w:rsidRDefault="00230017" w:rsidP="00301880">
            <w:pPr>
              <w:pStyle w:val="DefaultText"/>
              <w:jc w:val="center"/>
              <w:rPr>
                <w:b/>
              </w:rPr>
            </w:pPr>
            <w:r w:rsidRPr="0020396D">
              <w:rPr>
                <w:b/>
              </w:rPr>
              <w:t>Dairy 2002</w:t>
            </w:r>
          </w:p>
        </w:tc>
        <w:tc>
          <w:tcPr>
            <w:tcW w:w="2393" w:type="dxa"/>
            <w:gridSpan w:val="2"/>
            <w:tcBorders>
              <w:top w:val="nil"/>
            </w:tcBorders>
            <w:shd w:val="clear" w:color="auto" w:fill="auto"/>
            <w:vAlign w:val="center"/>
          </w:tcPr>
          <w:p w:rsidR="00230017" w:rsidRPr="0020396D" w:rsidRDefault="00230017" w:rsidP="00301880">
            <w:pPr>
              <w:pStyle w:val="DefaultText"/>
              <w:jc w:val="center"/>
              <w:rPr>
                <w:b/>
              </w:rPr>
            </w:pPr>
            <w:r w:rsidRPr="0020396D">
              <w:rPr>
                <w:b/>
              </w:rPr>
              <w:t>Dairy 1996</w:t>
            </w:r>
          </w:p>
        </w:tc>
      </w:tr>
      <w:tr w:rsidR="00230017" w:rsidRPr="0020396D" w:rsidTr="00301880">
        <w:tc>
          <w:tcPr>
            <w:tcW w:w="2398" w:type="dxa"/>
            <w:tcBorders>
              <w:bottom w:val="single" w:sz="4" w:space="0" w:color="auto"/>
            </w:tcBorders>
            <w:shd w:val="clear" w:color="auto" w:fill="auto"/>
          </w:tcPr>
          <w:p w:rsidR="00230017" w:rsidRPr="0020396D" w:rsidRDefault="00230017" w:rsidP="00301880">
            <w:pPr>
              <w:pStyle w:val="DefaultText"/>
              <w:rPr>
                <w:b/>
              </w:rPr>
            </w:pPr>
            <w:r w:rsidRPr="0020396D">
              <w:rPr>
                <w:b/>
              </w:rPr>
              <w:t>Response category</w:t>
            </w:r>
          </w:p>
        </w:tc>
        <w:tc>
          <w:tcPr>
            <w:tcW w:w="1196" w:type="dxa"/>
            <w:tcBorders>
              <w:bottom w:val="single" w:sz="4" w:space="0" w:color="auto"/>
            </w:tcBorders>
            <w:shd w:val="clear" w:color="auto" w:fill="auto"/>
            <w:vAlign w:val="center"/>
          </w:tcPr>
          <w:p w:rsidR="00230017" w:rsidRPr="0020396D" w:rsidRDefault="00230017" w:rsidP="00301880">
            <w:pPr>
              <w:pStyle w:val="DefaultText"/>
              <w:jc w:val="center"/>
              <w:rPr>
                <w:b/>
              </w:rPr>
            </w:pPr>
            <w:r w:rsidRPr="0020396D">
              <w:rPr>
                <w:b/>
              </w:rPr>
              <w:t>No. ops.</w:t>
            </w:r>
          </w:p>
        </w:tc>
        <w:tc>
          <w:tcPr>
            <w:tcW w:w="1196" w:type="dxa"/>
            <w:tcBorders>
              <w:bottom w:val="single" w:sz="4" w:space="0" w:color="auto"/>
            </w:tcBorders>
            <w:shd w:val="clear" w:color="auto" w:fill="auto"/>
            <w:vAlign w:val="center"/>
          </w:tcPr>
          <w:p w:rsidR="00230017" w:rsidRPr="0020396D" w:rsidRDefault="00230017" w:rsidP="00301880">
            <w:pPr>
              <w:pStyle w:val="DefaultText"/>
              <w:ind w:right="201"/>
              <w:jc w:val="right"/>
              <w:rPr>
                <w:b/>
              </w:rPr>
            </w:pPr>
            <w:r w:rsidRPr="0020396D">
              <w:rPr>
                <w:b/>
              </w:rPr>
              <w:t>%</w:t>
            </w:r>
          </w:p>
        </w:tc>
        <w:tc>
          <w:tcPr>
            <w:tcW w:w="1197" w:type="dxa"/>
            <w:tcBorders>
              <w:bottom w:val="single" w:sz="4" w:space="0" w:color="auto"/>
            </w:tcBorders>
            <w:shd w:val="clear" w:color="auto" w:fill="auto"/>
            <w:vAlign w:val="center"/>
          </w:tcPr>
          <w:p w:rsidR="00230017" w:rsidRPr="0020396D" w:rsidRDefault="00230017" w:rsidP="00301880">
            <w:pPr>
              <w:pStyle w:val="DefaultText"/>
              <w:jc w:val="center"/>
              <w:rPr>
                <w:b/>
              </w:rPr>
            </w:pPr>
            <w:r w:rsidRPr="0020396D">
              <w:rPr>
                <w:b/>
              </w:rPr>
              <w:t>No. ops.</w:t>
            </w:r>
          </w:p>
        </w:tc>
        <w:tc>
          <w:tcPr>
            <w:tcW w:w="1196" w:type="dxa"/>
            <w:tcBorders>
              <w:bottom w:val="single" w:sz="4" w:space="0" w:color="auto"/>
            </w:tcBorders>
            <w:shd w:val="clear" w:color="auto" w:fill="auto"/>
            <w:vAlign w:val="center"/>
          </w:tcPr>
          <w:p w:rsidR="00230017" w:rsidRPr="0020396D" w:rsidRDefault="00230017" w:rsidP="00301880">
            <w:pPr>
              <w:pStyle w:val="DefaultText"/>
              <w:ind w:right="218"/>
              <w:jc w:val="right"/>
              <w:rPr>
                <w:b/>
              </w:rPr>
            </w:pPr>
            <w:r w:rsidRPr="0020396D">
              <w:rPr>
                <w:b/>
              </w:rPr>
              <w:t>%</w:t>
            </w:r>
          </w:p>
        </w:tc>
        <w:tc>
          <w:tcPr>
            <w:tcW w:w="1196" w:type="dxa"/>
            <w:tcBorders>
              <w:bottom w:val="single" w:sz="4" w:space="0" w:color="auto"/>
            </w:tcBorders>
            <w:shd w:val="clear" w:color="auto" w:fill="auto"/>
            <w:vAlign w:val="center"/>
          </w:tcPr>
          <w:p w:rsidR="00230017" w:rsidRPr="0020396D" w:rsidRDefault="00230017" w:rsidP="00301880">
            <w:pPr>
              <w:pStyle w:val="DefaultText"/>
              <w:jc w:val="center"/>
              <w:rPr>
                <w:b/>
              </w:rPr>
            </w:pPr>
            <w:r w:rsidRPr="0020396D">
              <w:rPr>
                <w:b/>
              </w:rPr>
              <w:t>No. ops.</w:t>
            </w:r>
          </w:p>
        </w:tc>
        <w:tc>
          <w:tcPr>
            <w:tcW w:w="1197" w:type="dxa"/>
            <w:tcBorders>
              <w:bottom w:val="single" w:sz="4" w:space="0" w:color="auto"/>
            </w:tcBorders>
            <w:shd w:val="clear" w:color="auto" w:fill="auto"/>
            <w:vAlign w:val="center"/>
          </w:tcPr>
          <w:p w:rsidR="00230017" w:rsidRPr="0020396D" w:rsidRDefault="00230017" w:rsidP="00301880">
            <w:pPr>
              <w:pStyle w:val="DefaultText"/>
              <w:ind w:right="208"/>
              <w:jc w:val="right"/>
              <w:rPr>
                <w:b/>
              </w:rPr>
            </w:pPr>
            <w:r w:rsidRPr="0020396D">
              <w:rPr>
                <w:b/>
              </w:rPr>
              <w:t>%</w:t>
            </w:r>
          </w:p>
        </w:tc>
      </w:tr>
      <w:tr w:rsidR="00230017" w:rsidRPr="0020396D" w:rsidTr="00301880">
        <w:tc>
          <w:tcPr>
            <w:tcW w:w="2398" w:type="dxa"/>
            <w:tcBorders>
              <w:bottom w:val="nil"/>
            </w:tcBorders>
            <w:shd w:val="clear" w:color="auto" w:fill="auto"/>
          </w:tcPr>
          <w:p w:rsidR="00230017" w:rsidRPr="0020396D" w:rsidRDefault="00230017" w:rsidP="00301880">
            <w:pPr>
              <w:pStyle w:val="DefaultText"/>
            </w:pPr>
            <w:r w:rsidRPr="0020396D">
              <w:t>Complete</w:t>
            </w:r>
          </w:p>
        </w:tc>
        <w:tc>
          <w:tcPr>
            <w:tcW w:w="1196" w:type="dxa"/>
            <w:tcBorders>
              <w:bottom w:val="nil"/>
            </w:tcBorders>
            <w:shd w:val="clear" w:color="auto" w:fill="auto"/>
            <w:vAlign w:val="center"/>
          </w:tcPr>
          <w:p w:rsidR="00230017" w:rsidRPr="0020396D" w:rsidRDefault="00230017" w:rsidP="00301880">
            <w:pPr>
              <w:pStyle w:val="DefaultText"/>
              <w:ind w:right="212"/>
              <w:jc w:val="right"/>
            </w:pPr>
            <w:r w:rsidRPr="0020396D">
              <w:t>582</w:t>
            </w:r>
          </w:p>
        </w:tc>
        <w:tc>
          <w:tcPr>
            <w:tcW w:w="1196" w:type="dxa"/>
            <w:tcBorders>
              <w:bottom w:val="nil"/>
            </w:tcBorders>
            <w:shd w:val="clear" w:color="auto" w:fill="auto"/>
            <w:vAlign w:val="center"/>
          </w:tcPr>
          <w:p w:rsidR="00230017" w:rsidRPr="0020396D" w:rsidRDefault="00230017" w:rsidP="00301880">
            <w:pPr>
              <w:pStyle w:val="DefaultText"/>
              <w:ind w:right="201"/>
              <w:jc w:val="right"/>
            </w:pPr>
            <w:r w:rsidRPr="0020396D">
              <w:t>54.0</w:t>
            </w:r>
          </w:p>
        </w:tc>
        <w:tc>
          <w:tcPr>
            <w:tcW w:w="1197" w:type="dxa"/>
            <w:tcBorders>
              <w:bottom w:val="nil"/>
            </w:tcBorders>
            <w:shd w:val="clear" w:color="auto" w:fill="auto"/>
            <w:vAlign w:val="center"/>
          </w:tcPr>
          <w:p w:rsidR="00230017" w:rsidRPr="0020396D" w:rsidRDefault="00230017" w:rsidP="00301880">
            <w:pPr>
              <w:pStyle w:val="DefaultText"/>
              <w:ind w:right="230"/>
              <w:jc w:val="right"/>
            </w:pPr>
            <w:r w:rsidRPr="0020396D">
              <w:t>1,013</w:t>
            </w:r>
          </w:p>
        </w:tc>
        <w:tc>
          <w:tcPr>
            <w:tcW w:w="1196" w:type="dxa"/>
            <w:tcBorders>
              <w:bottom w:val="nil"/>
            </w:tcBorders>
            <w:shd w:val="clear" w:color="auto" w:fill="auto"/>
            <w:vAlign w:val="center"/>
          </w:tcPr>
          <w:p w:rsidR="00230017" w:rsidRPr="0020396D" w:rsidRDefault="00230017" w:rsidP="00301880">
            <w:pPr>
              <w:pStyle w:val="DefaultText"/>
              <w:ind w:right="218"/>
              <w:jc w:val="right"/>
            </w:pPr>
            <w:r w:rsidRPr="0020396D">
              <w:t>70.4</w:t>
            </w:r>
          </w:p>
        </w:tc>
        <w:tc>
          <w:tcPr>
            <w:tcW w:w="1196" w:type="dxa"/>
            <w:tcBorders>
              <w:bottom w:val="nil"/>
            </w:tcBorders>
            <w:shd w:val="clear" w:color="auto" w:fill="auto"/>
            <w:vAlign w:val="center"/>
          </w:tcPr>
          <w:p w:rsidR="00230017" w:rsidRPr="0020396D" w:rsidRDefault="00230017" w:rsidP="00301880">
            <w:pPr>
              <w:pStyle w:val="DefaultText"/>
              <w:ind w:right="230"/>
              <w:jc w:val="right"/>
            </w:pPr>
            <w:r w:rsidRPr="0020396D">
              <w:t>1,219</w:t>
            </w:r>
          </w:p>
        </w:tc>
        <w:tc>
          <w:tcPr>
            <w:tcW w:w="1197" w:type="dxa"/>
            <w:tcBorders>
              <w:bottom w:val="nil"/>
            </w:tcBorders>
            <w:shd w:val="clear" w:color="auto" w:fill="auto"/>
            <w:vAlign w:val="center"/>
          </w:tcPr>
          <w:p w:rsidR="00230017" w:rsidRPr="0020396D" w:rsidRDefault="00230017" w:rsidP="00301880">
            <w:pPr>
              <w:pStyle w:val="DefaultText"/>
              <w:ind w:right="208"/>
              <w:jc w:val="right"/>
            </w:pPr>
            <w:r w:rsidRPr="0020396D">
              <w:t>76.0</w:t>
            </w:r>
          </w:p>
        </w:tc>
      </w:tr>
      <w:tr w:rsidR="00230017" w:rsidRPr="0020396D" w:rsidTr="00301880">
        <w:tc>
          <w:tcPr>
            <w:tcW w:w="2398" w:type="dxa"/>
            <w:tcBorders>
              <w:top w:val="nil"/>
              <w:bottom w:val="nil"/>
            </w:tcBorders>
            <w:shd w:val="clear" w:color="auto" w:fill="auto"/>
          </w:tcPr>
          <w:p w:rsidR="00230017" w:rsidRPr="0020396D" w:rsidRDefault="00230017" w:rsidP="00301880">
            <w:pPr>
              <w:pStyle w:val="DefaultText"/>
            </w:pPr>
            <w:r w:rsidRPr="0020396D">
              <w:t>Refusal</w:t>
            </w:r>
          </w:p>
        </w:tc>
        <w:tc>
          <w:tcPr>
            <w:tcW w:w="1196" w:type="dxa"/>
            <w:tcBorders>
              <w:top w:val="nil"/>
              <w:bottom w:val="nil"/>
            </w:tcBorders>
            <w:shd w:val="clear" w:color="auto" w:fill="auto"/>
            <w:vAlign w:val="center"/>
          </w:tcPr>
          <w:p w:rsidR="00230017" w:rsidRPr="0020396D" w:rsidRDefault="00230017" w:rsidP="00301880">
            <w:pPr>
              <w:pStyle w:val="DefaultText"/>
              <w:ind w:right="212"/>
              <w:jc w:val="right"/>
            </w:pPr>
            <w:r w:rsidRPr="0020396D">
              <w:t>380</w:t>
            </w:r>
          </w:p>
        </w:tc>
        <w:tc>
          <w:tcPr>
            <w:tcW w:w="1196" w:type="dxa"/>
            <w:tcBorders>
              <w:top w:val="nil"/>
              <w:bottom w:val="nil"/>
            </w:tcBorders>
            <w:shd w:val="clear" w:color="auto" w:fill="auto"/>
            <w:vAlign w:val="center"/>
          </w:tcPr>
          <w:p w:rsidR="00230017" w:rsidRPr="0020396D" w:rsidRDefault="00230017" w:rsidP="00301880">
            <w:pPr>
              <w:pStyle w:val="DefaultText"/>
              <w:ind w:right="201"/>
              <w:jc w:val="right"/>
            </w:pPr>
            <w:r w:rsidRPr="0020396D">
              <w:t>35.3</w:t>
            </w:r>
          </w:p>
        </w:tc>
        <w:tc>
          <w:tcPr>
            <w:tcW w:w="1197" w:type="dxa"/>
            <w:tcBorders>
              <w:top w:val="nil"/>
              <w:bottom w:val="nil"/>
            </w:tcBorders>
            <w:shd w:val="clear" w:color="auto" w:fill="auto"/>
            <w:vAlign w:val="center"/>
          </w:tcPr>
          <w:p w:rsidR="00230017" w:rsidRPr="0020396D" w:rsidRDefault="00230017" w:rsidP="00301880">
            <w:pPr>
              <w:pStyle w:val="DefaultText"/>
              <w:ind w:right="230"/>
              <w:jc w:val="right"/>
            </w:pPr>
            <w:r w:rsidRPr="0020396D">
              <w:t>292</w:t>
            </w:r>
          </w:p>
        </w:tc>
        <w:tc>
          <w:tcPr>
            <w:tcW w:w="1196" w:type="dxa"/>
            <w:tcBorders>
              <w:top w:val="nil"/>
              <w:bottom w:val="nil"/>
            </w:tcBorders>
            <w:shd w:val="clear" w:color="auto" w:fill="auto"/>
            <w:vAlign w:val="center"/>
          </w:tcPr>
          <w:p w:rsidR="00230017" w:rsidRPr="0020396D" w:rsidRDefault="00230017" w:rsidP="00301880">
            <w:pPr>
              <w:pStyle w:val="DefaultText"/>
              <w:ind w:right="218"/>
              <w:jc w:val="right"/>
            </w:pPr>
            <w:r w:rsidRPr="0020396D">
              <w:t>23.3</w:t>
            </w:r>
          </w:p>
        </w:tc>
        <w:tc>
          <w:tcPr>
            <w:tcW w:w="1196" w:type="dxa"/>
            <w:tcBorders>
              <w:top w:val="nil"/>
              <w:bottom w:val="nil"/>
            </w:tcBorders>
            <w:shd w:val="clear" w:color="auto" w:fill="auto"/>
            <w:vAlign w:val="center"/>
          </w:tcPr>
          <w:p w:rsidR="00230017" w:rsidRPr="0020396D" w:rsidRDefault="00230017" w:rsidP="00301880">
            <w:pPr>
              <w:pStyle w:val="DefaultText"/>
              <w:ind w:right="230"/>
              <w:jc w:val="right"/>
            </w:pPr>
            <w:r w:rsidRPr="0020396D">
              <w:t>339</w:t>
            </w:r>
          </w:p>
        </w:tc>
        <w:tc>
          <w:tcPr>
            <w:tcW w:w="1197" w:type="dxa"/>
            <w:tcBorders>
              <w:top w:val="nil"/>
              <w:bottom w:val="nil"/>
            </w:tcBorders>
            <w:shd w:val="clear" w:color="auto" w:fill="auto"/>
            <w:vAlign w:val="center"/>
          </w:tcPr>
          <w:p w:rsidR="00230017" w:rsidRPr="0020396D" w:rsidRDefault="00230017" w:rsidP="00301880">
            <w:pPr>
              <w:pStyle w:val="DefaultText"/>
              <w:ind w:right="208"/>
              <w:jc w:val="right"/>
            </w:pPr>
            <w:r w:rsidRPr="0020396D">
              <w:t>21.2</w:t>
            </w:r>
          </w:p>
        </w:tc>
      </w:tr>
      <w:tr w:rsidR="00230017" w:rsidRPr="0020396D" w:rsidTr="00301880">
        <w:tc>
          <w:tcPr>
            <w:tcW w:w="2398" w:type="dxa"/>
            <w:tcBorders>
              <w:top w:val="nil"/>
              <w:bottom w:val="nil"/>
            </w:tcBorders>
            <w:shd w:val="clear" w:color="auto" w:fill="auto"/>
          </w:tcPr>
          <w:p w:rsidR="00230017" w:rsidRPr="0020396D" w:rsidRDefault="00230017" w:rsidP="00301880">
            <w:pPr>
              <w:pStyle w:val="DefaultText"/>
            </w:pPr>
            <w:r w:rsidRPr="0020396D">
              <w:t>Ineligible</w:t>
            </w:r>
          </w:p>
        </w:tc>
        <w:tc>
          <w:tcPr>
            <w:tcW w:w="1196" w:type="dxa"/>
            <w:tcBorders>
              <w:top w:val="nil"/>
              <w:bottom w:val="nil"/>
            </w:tcBorders>
            <w:shd w:val="clear" w:color="auto" w:fill="auto"/>
            <w:vAlign w:val="center"/>
          </w:tcPr>
          <w:p w:rsidR="00230017" w:rsidRPr="0020396D" w:rsidRDefault="00230017" w:rsidP="00301880">
            <w:pPr>
              <w:pStyle w:val="DefaultText"/>
              <w:ind w:right="212"/>
              <w:jc w:val="right"/>
            </w:pPr>
            <w:r w:rsidRPr="0020396D">
              <w:t>111</w:t>
            </w:r>
          </w:p>
        </w:tc>
        <w:tc>
          <w:tcPr>
            <w:tcW w:w="1196" w:type="dxa"/>
            <w:tcBorders>
              <w:top w:val="nil"/>
              <w:bottom w:val="nil"/>
            </w:tcBorders>
            <w:shd w:val="clear" w:color="auto" w:fill="auto"/>
            <w:vAlign w:val="center"/>
          </w:tcPr>
          <w:p w:rsidR="00230017" w:rsidRPr="0020396D" w:rsidRDefault="00230017" w:rsidP="00301880">
            <w:pPr>
              <w:pStyle w:val="DefaultText"/>
              <w:ind w:right="201"/>
              <w:jc w:val="right"/>
            </w:pPr>
            <w:r w:rsidRPr="0020396D">
              <w:t>10.3</w:t>
            </w:r>
          </w:p>
        </w:tc>
        <w:tc>
          <w:tcPr>
            <w:tcW w:w="1197" w:type="dxa"/>
            <w:tcBorders>
              <w:top w:val="nil"/>
              <w:bottom w:val="nil"/>
            </w:tcBorders>
            <w:shd w:val="clear" w:color="auto" w:fill="auto"/>
            <w:vAlign w:val="center"/>
          </w:tcPr>
          <w:p w:rsidR="00230017" w:rsidRPr="0020396D" w:rsidRDefault="00230017" w:rsidP="00301880">
            <w:pPr>
              <w:pStyle w:val="DefaultText"/>
              <w:ind w:right="230"/>
              <w:jc w:val="right"/>
            </w:pPr>
            <w:r w:rsidRPr="0020396D">
              <w:t>14</w:t>
            </w:r>
          </w:p>
        </w:tc>
        <w:tc>
          <w:tcPr>
            <w:tcW w:w="1196" w:type="dxa"/>
            <w:tcBorders>
              <w:top w:val="nil"/>
              <w:bottom w:val="nil"/>
            </w:tcBorders>
            <w:shd w:val="clear" w:color="auto" w:fill="auto"/>
            <w:vAlign w:val="center"/>
          </w:tcPr>
          <w:p w:rsidR="00230017" w:rsidRPr="0020396D" w:rsidRDefault="00230017" w:rsidP="00301880">
            <w:pPr>
              <w:pStyle w:val="DefaultText"/>
              <w:ind w:right="218"/>
              <w:jc w:val="right"/>
            </w:pPr>
            <w:r w:rsidRPr="0020396D">
              <w:t>1.0</w:t>
            </w:r>
          </w:p>
        </w:tc>
        <w:tc>
          <w:tcPr>
            <w:tcW w:w="1196" w:type="dxa"/>
            <w:tcBorders>
              <w:top w:val="nil"/>
              <w:bottom w:val="nil"/>
            </w:tcBorders>
            <w:shd w:val="clear" w:color="auto" w:fill="auto"/>
            <w:vAlign w:val="center"/>
          </w:tcPr>
          <w:p w:rsidR="00230017" w:rsidRPr="0020396D" w:rsidRDefault="00230017" w:rsidP="00301880">
            <w:pPr>
              <w:pStyle w:val="DefaultText"/>
              <w:ind w:right="230"/>
              <w:jc w:val="right"/>
            </w:pPr>
            <w:r w:rsidRPr="0020396D">
              <w:t>29</w:t>
            </w:r>
          </w:p>
        </w:tc>
        <w:tc>
          <w:tcPr>
            <w:tcW w:w="1197" w:type="dxa"/>
            <w:tcBorders>
              <w:top w:val="nil"/>
              <w:bottom w:val="nil"/>
            </w:tcBorders>
            <w:shd w:val="clear" w:color="auto" w:fill="auto"/>
            <w:vAlign w:val="center"/>
          </w:tcPr>
          <w:p w:rsidR="00230017" w:rsidRPr="0020396D" w:rsidRDefault="00230017" w:rsidP="00301880">
            <w:pPr>
              <w:pStyle w:val="DefaultText"/>
              <w:ind w:right="208"/>
              <w:jc w:val="right"/>
            </w:pPr>
            <w:r w:rsidRPr="0020396D">
              <w:t>1.8</w:t>
            </w:r>
          </w:p>
        </w:tc>
      </w:tr>
      <w:tr w:rsidR="00230017" w:rsidRPr="0020396D" w:rsidTr="00301880">
        <w:tc>
          <w:tcPr>
            <w:tcW w:w="2398" w:type="dxa"/>
            <w:tcBorders>
              <w:top w:val="nil"/>
              <w:bottom w:val="single" w:sz="4" w:space="0" w:color="auto"/>
            </w:tcBorders>
            <w:shd w:val="clear" w:color="auto" w:fill="auto"/>
          </w:tcPr>
          <w:p w:rsidR="00230017" w:rsidRPr="0020396D" w:rsidRDefault="00230017" w:rsidP="00301880">
            <w:pPr>
              <w:pStyle w:val="DefaultText"/>
            </w:pPr>
            <w:r w:rsidRPr="0020396D">
              <w:t>Inaccessible</w:t>
            </w:r>
          </w:p>
        </w:tc>
        <w:tc>
          <w:tcPr>
            <w:tcW w:w="1196" w:type="dxa"/>
            <w:tcBorders>
              <w:top w:val="nil"/>
              <w:bottom w:val="single" w:sz="4" w:space="0" w:color="auto"/>
            </w:tcBorders>
            <w:shd w:val="clear" w:color="auto" w:fill="auto"/>
            <w:vAlign w:val="center"/>
          </w:tcPr>
          <w:p w:rsidR="00230017" w:rsidRPr="0020396D" w:rsidRDefault="00230017" w:rsidP="00301880">
            <w:pPr>
              <w:pStyle w:val="DefaultText"/>
              <w:ind w:right="212"/>
              <w:jc w:val="right"/>
            </w:pPr>
            <w:r w:rsidRPr="0020396D">
              <w:t>4</w:t>
            </w:r>
          </w:p>
        </w:tc>
        <w:tc>
          <w:tcPr>
            <w:tcW w:w="1196" w:type="dxa"/>
            <w:tcBorders>
              <w:top w:val="nil"/>
              <w:bottom w:val="single" w:sz="4" w:space="0" w:color="auto"/>
            </w:tcBorders>
            <w:shd w:val="clear" w:color="auto" w:fill="auto"/>
            <w:vAlign w:val="center"/>
          </w:tcPr>
          <w:p w:rsidR="00230017" w:rsidRPr="0020396D" w:rsidRDefault="00230017" w:rsidP="00301880">
            <w:pPr>
              <w:pStyle w:val="DefaultText"/>
              <w:ind w:right="201"/>
              <w:jc w:val="right"/>
            </w:pPr>
            <w:r w:rsidRPr="0020396D">
              <w:t>0.4</w:t>
            </w:r>
          </w:p>
        </w:tc>
        <w:tc>
          <w:tcPr>
            <w:tcW w:w="1197" w:type="dxa"/>
            <w:tcBorders>
              <w:top w:val="nil"/>
              <w:bottom w:val="single" w:sz="4" w:space="0" w:color="auto"/>
            </w:tcBorders>
            <w:shd w:val="clear" w:color="auto" w:fill="auto"/>
            <w:vAlign w:val="center"/>
          </w:tcPr>
          <w:p w:rsidR="00230017" w:rsidRPr="0020396D" w:rsidRDefault="00230017" w:rsidP="00301880">
            <w:pPr>
              <w:pStyle w:val="DefaultText"/>
              <w:ind w:right="230"/>
              <w:jc w:val="right"/>
            </w:pPr>
            <w:r w:rsidRPr="0020396D">
              <w:t>76</w:t>
            </w:r>
          </w:p>
        </w:tc>
        <w:tc>
          <w:tcPr>
            <w:tcW w:w="1196" w:type="dxa"/>
            <w:tcBorders>
              <w:top w:val="nil"/>
              <w:bottom w:val="single" w:sz="4" w:space="0" w:color="auto"/>
            </w:tcBorders>
            <w:shd w:val="clear" w:color="auto" w:fill="auto"/>
            <w:vAlign w:val="center"/>
          </w:tcPr>
          <w:p w:rsidR="00230017" w:rsidRPr="0020396D" w:rsidRDefault="00230017" w:rsidP="00301880">
            <w:pPr>
              <w:pStyle w:val="DefaultText"/>
              <w:ind w:right="218"/>
              <w:jc w:val="right"/>
            </w:pPr>
            <w:r w:rsidRPr="0020396D">
              <w:t>5.3</w:t>
            </w:r>
          </w:p>
        </w:tc>
        <w:tc>
          <w:tcPr>
            <w:tcW w:w="1196" w:type="dxa"/>
            <w:tcBorders>
              <w:top w:val="nil"/>
              <w:bottom w:val="single" w:sz="4" w:space="0" w:color="auto"/>
            </w:tcBorders>
            <w:shd w:val="clear" w:color="auto" w:fill="auto"/>
            <w:vAlign w:val="center"/>
          </w:tcPr>
          <w:p w:rsidR="00230017" w:rsidRPr="0020396D" w:rsidRDefault="00230017" w:rsidP="00301880">
            <w:pPr>
              <w:pStyle w:val="DefaultText"/>
              <w:ind w:right="230"/>
              <w:jc w:val="right"/>
            </w:pPr>
            <w:r w:rsidRPr="0020396D">
              <w:t>16</w:t>
            </w:r>
          </w:p>
        </w:tc>
        <w:tc>
          <w:tcPr>
            <w:tcW w:w="1197" w:type="dxa"/>
            <w:tcBorders>
              <w:top w:val="nil"/>
              <w:bottom w:val="single" w:sz="4" w:space="0" w:color="auto"/>
            </w:tcBorders>
            <w:shd w:val="clear" w:color="auto" w:fill="auto"/>
            <w:vAlign w:val="center"/>
          </w:tcPr>
          <w:p w:rsidR="00230017" w:rsidRPr="0020396D" w:rsidRDefault="00230017" w:rsidP="00301880">
            <w:pPr>
              <w:pStyle w:val="DefaultText"/>
              <w:ind w:right="208"/>
              <w:jc w:val="right"/>
            </w:pPr>
            <w:r w:rsidRPr="0020396D">
              <w:t>1.0</w:t>
            </w:r>
          </w:p>
        </w:tc>
      </w:tr>
      <w:tr w:rsidR="00230017" w:rsidRPr="0020396D" w:rsidTr="00301880">
        <w:tc>
          <w:tcPr>
            <w:tcW w:w="2398" w:type="dxa"/>
            <w:tcBorders>
              <w:bottom w:val="nil"/>
            </w:tcBorders>
            <w:shd w:val="clear" w:color="auto" w:fill="auto"/>
          </w:tcPr>
          <w:p w:rsidR="00230017" w:rsidRPr="0020396D" w:rsidRDefault="00230017" w:rsidP="00301880">
            <w:pPr>
              <w:pStyle w:val="DefaultText"/>
              <w:ind w:left="720"/>
              <w:rPr>
                <w:i/>
              </w:rPr>
            </w:pPr>
            <w:r w:rsidRPr="0020396D">
              <w:rPr>
                <w:i/>
              </w:rPr>
              <w:t>Total</w:t>
            </w:r>
          </w:p>
        </w:tc>
        <w:tc>
          <w:tcPr>
            <w:tcW w:w="1196" w:type="dxa"/>
            <w:tcBorders>
              <w:bottom w:val="nil"/>
            </w:tcBorders>
            <w:shd w:val="clear" w:color="auto" w:fill="auto"/>
            <w:vAlign w:val="center"/>
          </w:tcPr>
          <w:p w:rsidR="00230017" w:rsidRPr="0020396D" w:rsidRDefault="00230017" w:rsidP="00301880">
            <w:pPr>
              <w:pStyle w:val="DefaultText"/>
              <w:ind w:right="212"/>
              <w:jc w:val="right"/>
              <w:rPr>
                <w:i/>
              </w:rPr>
            </w:pPr>
            <w:r w:rsidRPr="0020396D">
              <w:rPr>
                <w:i/>
              </w:rPr>
              <w:t>1,077</w:t>
            </w:r>
          </w:p>
        </w:tc>
        <w:tc>
          <w:tcPr>
            <w:tcW w:w="1196" w:type="dxa"/>
            <w:tcBorders>
              <w:bottom w:val="nil"/>
            </w:tcBorders>
            <w:shd w:val="clear" w:color="auto" w:fill="auto"/>
            <w:vAlign w:val="center"/>
          </w:tcPr>
          <w:p w:rsidR="00230017" w:rsidRPr="0020396D" w:rsidRDefault="00230017" w:rsidP="00301880">
            <w:pPr>
              <w:pStyle w:val="DefaultText"/>
              <w:ind w:right="201"/>
              <w:jc w:val="right"/>
              <w:rPr>
                <w:i/>
              </w:rPr>
            </w:pPr>
            <w:r w:rsidRPr="0020396D">
              <w:rPr>
                <w:i/>
              </w:rPr>
              <w:t>100.0</w:t>
            </w:r>
          </w:p>
        </w:tc>
        <w:tc>
          <w:tcPr>
            <w:tcW w:w="1197" w:type="dxa"/>
            <w:tcBorders>
              <w:bottom w:val="nil"/>
            </w:tcBorders>
            <w:shd w:val="clear" w:color="auto" w:fill="auto"/>
            <w:vAlign w:val="center"/>
          </w:tcPr>
          <w:p w:rsidR="00230017" w:rsidRPr="0020396D" w:rsidRDefault="00230017" w:rsidP="00301880">
            <w:pPr>
              <w:pStyle w:val="DefaultText"/>
              <w:ind w:right="230"/>
              <w:jc w:val="right"/>
              <w:rPr>
                <w:i/>
              </w:rPr>
            </w:pPr>
            <w:r w:rsidRPr="0020396D">
              <w:rPr>
                <w:i/>
              </w:rPr>
              <w:t>1,438</w:t>
            </w:r>
          </w:p>
        </w:tc>
        <w:tc>
          <w:tcPr>
            <w:tcW w:w="1196" w:type="dxa"/>
            <w:tcBorders>
              <w:bottom w:val="nil"/>
            </w:tcBorders>
            <w:shd w:val="clear" w:color="auto" w:fill="auto"/>
            <w:vAlign w:val="center"/>
          </w:tcPr>
          <w:p w:rsidR="00230017" w:rsidRPr="0020396D" w:rsidRDefault="00230017" w:rsidP="00301880">
            <w:pPr>
              <w:pStyle w:val="DefaultText"/>
              <w:ind w:right="218"/>
              <w:jc w:val="right"/>
              <w:rPr>
                <w:i/>
              </w:rPr>
            </w:pPr>
            <w:r w:rsidRPr="0020396D">
              <w:rPr>
                <w:i/>
              </w:rPr>
              <w:t>100.0</w:t>
            </w:r>
          </w:p>
        </w:tc>
        <w:tc>
          <w:tcPr>
            <w:tcW w:w="1196" w:type="dxa"/>
            <w:tcBorders>
              <w:bottom w:val="nil"/>
            </w:tcBorders>
            <w:shd w:val="clear" w:color="auto" w:fill="auto"/>
            <w:vAlign w:val="center"/>
          </w:tcPr>
          <w:p w:rsidR="00230017" w:rsidRPr="0020396D" w:rsidRDefault="00230017" w:rsidP="00301880">
            <w:pPr>
              <w:pStyle w:val="DefaultText"/>
              <w:ind w:right="230"/>
              <w:jc w:val="right"/>
              <w:rPr>
                <w:i/>
              </w:rPr>
            </w:pPr>
            <w:r w:rsidRPr="0020396D">
              <w:rPr>
                <w:i/>
              </w:rPr>
              <w:t>1,603</w:t>
            </w:r>
          </w:p>
        </w:tc>
        <w:tc>
          <w:tcPr>
            <w:tcW w:w="1197" w:type="dxa"/>
            <w:tcBorders>
              <w:bottom w:val="nil"/>
            </w:tcBorders>
            <w:shd w:val="clear" w:color="auto" w:fill="auto"/>
            <w:vAlign w:val="center"/>
          </w:tcPr>
          <w:p w:rsidR="00230017" w:rsidRPr="0020396D" w:rsidRDefault="00230017" w:rsidP="00301880">
            <w:pPr>
              <w:pStyle w:val="DefaultText"/>
              <w:ind w:right="208"/>
              <w:jc w:val="right"/>
              <w:rPr>
                <w:i/>
              </w:rPr>
            </w:pPr>
            <w:r w:rsidRPr="0020396D">
              <w:rPr>
                <w:i/>
              </w:rPr>
              <w:t>100.0</w:t>
            </w:r>
          </w:p>
        </w:tc>
      </w:tr>
    </w:tbl>
    <w:p w:rsidR="00230017" w:rsidRPr="0020396D" w:rsidRDefault="00230017" w:rsidP="00230017">
      <w:pPr>
        <w:pStyle w:val="Heading1"/>
        <w:rPr>
          <w:rFonts w:ascii="Times New Roman" w:hAnsi="Times New Roman" w:cs="Times New Roman"/>
          <w:sz w:val="24"/>
          <w:szCs w:val="24"/>
        </w:rPr>
      </w:pPr>
      <w:r w:rsidRPr="0020396D">
        <w:rPr>
          <w:rFonts w:ascii="Times New Roman" w:hAnsi="Times New Roman" w:cs="Times New Roman"/>
          <w:sz w:val="24"/>
          <w:szCs w:val="24"/>
        </w:rPr>
        <w:br w:type="page"/>
      </w:r>
      <w:r w:rsidRPr="0020396D">
        <w:rPr>
          <w:rFonts w:ascii="Times New Roman" w:hAnsi="Times New Roman" w:cs="Times New Roman"/>
          <w:sz w:val="24"/>
          <w:szCs w:val="24"/>
        </w:rPr>
        <w:lastRenderedPageBreak/>
        <w:t>Appendix B: NAHMS Dairy 2014 Estimated Response Rates</w:t>
      </w:r>
    </w:p>
    <w:p w:rsidR="00230017" w:rsidRPr="0020396D" w:rsidRDefault="00230017" w:rsidP="0023001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394"/>
        <w:gridCol w:w="2524"/>
        <w:gridCol w:w="2520"/>
        <w:gridCol w:w="2138"/>
      </w:tblGrid>
      <w:tr w:rsidR="00230017" w:rsidRPr="0020396D" w:rsidTr="00301880">
        <w:tc>
          <w:tcPr>
            <w:tcW w:w="2394" w:type="dxa"/>
            <w:shd w:val="clear" w:color="auto" w:fill="auto"/>
          </w:tcPr>
          <w:p w:rsidR="00230017" w:rsidRPr="0020396D" w:rsidRDefault="00230017" w:rsidP="00301880">
            <w:pPr>
              <w:rPr>
                <w:b/>
              </w:rPr>
            </w:pPr>
            <w:r w:rsidRPr="0020396D">
              <w:rPr>
                <w:b/>
              </w:rPr>
              <w:t>Phase</w:t>
            </w:r>
          </w:p>
        </w:tc>
        <w:tc>
          <w:tcPr>
            <w:tcW w:w="2524" w:type="dxa"/>
            <w:shd w:val="clear" w:color="auto" w:fill="auto"/>
          </w:tcPr>
          <w:p w:rsidR="00230017" w:rsidRPr="0020396D" w:rsidRDefault="00230017" w:rsidP="00301880">
            <w:pPr>
              <w:rPr>
                <w:b/>
              </w:rPr>
            </w:pPr>
            <w:r w:rsidRPr="0020396D">
              <w:rPr>
                <w:b/>
              </w:rPr>
              <w:t>Response category</w:t>
            </w:r>
          </w:p>
        </w:tc>
        <w:tc>
          <w:tcPr>
            <w:tcW w:w="2520" w:type="dxa"/>
            <w:shd w:val="clear" w:color="auto" w:fill="auto"/>
          </w:tcPr>
          <w:p w:rsidR="00230017" w:rsidRPr="0020396D" w:rsidRDefault="00230017" w:rsidP="00301880">
            <w:pPr>
              <w:rPr>
                <w:b/>
              </w:rPr>
            </w:pPr>
            <w:r w:rsidRPr="0020396D">
              <w:rPr>
                <w:b/>
              </w:rPr>
              <w:t>Percentage in phase</w:t>
            </w:r>
          </w:p>
        </w:tc>
        <w:tc>
          <w:tcPr>
            <w:tcW w:w="2138" w:type="dxa"/>
            <w:shd w:val="clear" w:color="auto" w:fill="auto"/>
          </w:tcPr>
          <w:p w:rsidR="00230017" w:rsidRPr="0020396D" w:rsidRDefault="00230017" w:rsidP="00301880">
            <w:pPr>
              <w:rPr>
                <w:b/>
              </w:rPr>
            </w:pPr>
            <w:r w:rsidRPr="0020396D">
              <w:rPr>
                <w:b/>
              </w:rPr>
              <w:t>Expected counts</w:t>
            </w:r>
          </w:p>
        </w:tc>
      </w:tr>
      <w:tr w:rsidR="00230017" w:rsidRPr="0020396D" w:rsidTr="00301880">
        <w:tc>
          <w:tcPr>
            <w:tcW w:w="2394" w:type="dxa"/>
            <w:shd w:val="clear" w:color="auto" w:fill="auto"/>
          </w:tcPr>
          <w:p w:rsidR="00230017" w:rsidRPr="0020396D" w:rsidRDefault="00230017" w:rsidP="00301880">
            <w:r w:rsidRPr="0020396D">
              <w:t>Phase I CATI</w:t>
            </w:r>
          </w:p>
        </w:tc>
        <w:tc>
          <w:tcPr>
            <w:tcW w:w="2524" w:type="dxa"/>
            <w:shd w:val="clear" w:color="auto" w:fill="auto"/>
          </w:tcPr>
          <w:p w:rsidR="00230017" w:rsidRPr="0020396D" w:rsidRDefault="00230017" w:rsidP="00301880"/>
        </w:tc>
        <w:tc>
          <w:tcPr>
            <w:tcW w:w="2520" w:type="dxa"/>
            <w:shd w:val="clear" w:color="auto" w:fill="auto"/>
          </w:tcPr>
          <w:p w:rsidR="00230017" w:rsidRPr="0020396D" w:rsidRDefault="00230017" w:rsidP="00301880"/>
        </w:tc>
        <w:tc>
          <w:tcPr>
            <w:tcW w:w="2138" w:type="dxa"/>
            <w:shd w:val="clear" w:color="auto" w:fill="auto"/>
          </w:tcPr>
          <w:p w:rsidR="00230017" w:rsidRPr="0020396D" w:rsidRDefault="00230017" w:rsidP="00301880"/>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Zero on hand</w:t>
            </w:r>
          </w:p>
        </w:tc>
        <w:tc>
          <w:tcPr>
            <w:tcW w:w="2520" w:type="dxa"/>
            <w:shd w:val="clear" w:color="auto" w:fill="auto"/>
          </w:tcPr>
          <w:p w:rsidR="00230017" w:rsidRPr="0020396D" w:rsidRDefault="00230017" w:rsidP="00301880">
            <w:pPr>
              <w:ind w:right="869"/>
              <w:jc w:val="right"/>
            </w:pPr>
            <w:r w:rsidRPr="0020396D">
              <w:t>20.0</w:t>
            </w:r>
          </w:p>
        </w:tc>
        <w:tc>
          <w:tcPr>
            <w:tcW w:w="2138" w:type="dxa"/>
            <w:shd w:val="clear" w:color="auto" w:fill="auto"/>
          </w:tcPr>
          <w:p w:rsidR="00230017" w:rsidRPr="0020396D" w:rsidRDefault="00230017" w:rsidP="00301880">
            <w:pPr>
              <w:ind w:right="667"/>
              <w:jc w:val="right"/>
            </w:pPr>
            <w:r w:rsidRPr="0020396D">
              <w:t>100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Complete</w:t>
            </w:r>
          </w:p>
        </w:tc>
        <w:tc>
          <w:tcPr>
            <w:tcW w:w="2520" w:type="dxa"/>
            <w:shd w:val="clear" w:color="auto" w:fill="auto"/>
          </w:tcPr>
          <w:p w:rsidR="00230017" w:rsidRPr="0020396D" w:rsidRDefault="00230017" w:rsidP="00301880">
            <w:pPr>
              <w:ind w:right="869"/>
              <w:jc w:val="right"/>
            </w:pPr>
            <w:r w:rsidRPr="0020396D">
              <w:t>55.0</w:t>
            </w:r>
          </w:p>
        </w:tc>
        <w:tc>
          <w:tcPr>
            <w:tcW w:w="2138" w:type="dxa"/>
            <w:shd w:val="clear" w:color="auto" w:fill="auto"/>
          </w:tcPr>
          <w:p w:rsidR="00230017" w:rsidRPr="0020396D" w:rsidRDefault="00230017" w:rsidP="00301880">
            <w:pPr>
              <w:ind w:right="667"/>
              <w:jc w:val="right"/>
            </w:pPr>
            <w:r w:rsidRPr="0020396D">
              <w:t>275</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Refusal</w:t>
            </w:r>
          </w:p>
        </w:tc>
        <w:tc>
          <w:tcPr>
            <w:tcW w:w="2520" w:type="dxa"/>
            <w:shd w:val="clear" w:color="auto" w:fill="auto"/>
          </w:tcPr>
          <w:p w:rsidR="00230017" w:rsidRPr="0020396D" w:rsidRDefault="00230017" w:rsidP="00301880">
            <w:pPr>
              <w:ind w:right="869"/>
              <w:jc w:val="right"/>
            </w:pPr>
            <w:r w:rsidRPr="0020396D">
              <w:t>25.0</w:t>
            </w:r>
          </w:p>
        </w:tc>
        <w:tc>
          <w:tcPr>
            <w:tcW w:w="2138" w:type="dxa"/>
            <w:shd w:val="clear" w:color="auto" w:fill="auto"/>
          </w:tcPr>
          <w:p w:rsidR="00230017" w:rsidRPr="0020396D" w:rsidRDefault="00230017" w:rsidP="00301880">
            <w:pPr>
              <w:ind w:right="667"/>
              <w:jc w:val="right"/>
            </w:pPr>
            <w:r w:rsidRPr="0020396D">
              <w:t>125</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Total</w:t>
            </w:r>
          </w:p>
        </w:tc>
        <w:tc>
          <w:tcPr>
            <w:tcW w:w="2520" w:type="dxa"/>
            <w:shd w:val="clear" w:color="auto" w:fill="auto"/>
          </w:tcPr>
          <w:p w:rsidR="00230017" w:rsidRPr="0020396D" w:rsidRDefault="00230017" w:rsidP="00301880">
            <w:pPr>
              <w:ind w:right="869"/>
              <w:jc w:val="right"/>
            </w:pPr>
            <w:r w:rsidRPr="0020396D">
              <w:t>100.0</w:t>
            </w:r>
          </w:p>
        </w:tc>
        <w:tc>
          <w:tcPr>
            <w:tcW w:w="2138" w:type="dxa"/>
            <w:shd w:val="clear" w:color="auto" w:fill="auto"/>
          </w:tcPr>
          <w:p w:rsidR="00230017" w:rsidRPr="0020396D" w:rsidRDefault="00230017" w:rsidP="00301880">
            <w:pPr>
              <w:ind w:right="667"/>
              <w:jc w:val="right"/>
            </w:pPr>
            <w:r w:rsidRPr="0020396D">
              <w:t>500</w:t>
            </w:r>
          </w:p>
        </w:tc>
      </w:tr>
      <w:tr w:rsidR="00230017" w:rsidRPr="0020396D" w:rsidTr="00301880">
        <w:tc>
          <w:tcPr>
            <w:tcW w:w="2394" w:type="dxa"/>
            <w:shd w:val="clear" w:color="auto" w:fill="auto"/>
          </w:tcPr>
          <w:p w:rsidR="00230017" w:rsidRPr="0020396D" w:rsidRDefault="00230017" w:rsidP="00301880">
            <w:r w:rsidRPr="0020396D">
              <w:t>Phase I Enumerator</w:t>
            </w:r>
          </w:p>
        </w:tc>
        <w:tc>
          <w:tcPr>
            <w:tcW w:w="2524" w:type="dxa"/>
            <w:shd w:val="clear" w:color="auto" w:fill="auto"/>
          </w:tcPr>
          <w:p w:rsidR="00230017" w:rsidRPr="0020396D" w:rsidRDefault="00230017" w:rsidP="00301880"/>
        </w:tc>
        <w:tc>
          <w:tcPr>
            <w:tcW w:w="2520" w:type="dxa"/>
            <w:shd w:val="clear" w:color="auto" w:fill="auto"/>
          </w:tcPr>
          <w:p w:rsidR="00230017" w:rsidRPr="0020396D" w:rsidRDefault="00230017" w:rsidP="00301880">
            <w:pPr>
              <w:ind w:right="869"/>
              <w:jc w:val="right"/>
            </w:pPr>
          </w:p>
        </w:tc>
        <w:tc>
          <w:tcPr>
            <w:tcW w:w="2138" w:type="dxa"/>
            <w:shd w:val="clear" w:color="auto" w:fill="auto"/>
          </w:tcPr>
          <w:p w:rsidR="00230017" w:rsidRPr="0020396D" w:rsidRDefault="00230017" w:rsidP="00301880">
            <w:pPr>
              <w:ind w:right="667"/>
              <w:jc w:val="right"/>
            </w:pP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 xml:space="preserve">Complete and </w:t>
            </w:r>
          </w:p>
          <w:p w:rsidR="00230017" w:rsidRPr="0020396D" w:rsidRDefault="00230017" w:rsidP="00301880">
            <w:r w:rsidRPr="0020396D">
              <w:t>agree to continue</w:t>
            </w:r>
          </w:p>
        </w:tc>
        <w:tc>
          <w:tcPr>
            <w:tcW w:w="2520" w:type="dxa"/>
            <w:shd w:val="clear" w:color="auto" w:fill="auto"/>
          </w:tcPr>
          <w:p w:rsidR="00230017" w:rsidRPr="0020396D" w:rsidRDefault="00230017" w:rsidP="00301880">
            <w:pPr>
              <w:ind w:right="869"/>
              <w:jc w:val="right"/>
            </w:pPr>
            <w:r w:rsidRPr="0020396D">
              <w:t>33.3</w:t>
            </w:r>
          </w:p>
        </w:tc>
        <w:tc>
          <w:tcPr>
            <w:tcW w:w="2138" w:type="dxa"/>
            <w:shd w:val="clear" w:color="auto" w:fill="auto"/>
          </w:tcPr>
          <w:p w:rsidR="00230017" w:rsidRPr="0020396D" w:rsidRDefault="00230017" w:rsidP="00301880">
            <w:pPr>
              <w:ind w:right="667"/>
              <w:jc w:val="right"/>
            </w:pPr>
            <w:r w:rsidRPr="0020396D">
              <w:t>1,000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Complete and do not agree to continue</w:t>
            </w:r>
          </w:p>
        </w:tc>
        <w:tc>
          <w:tcPr>
            <w:tcW w:w="2520" w:type="dxa"/>
            <w:shd w:val="clear" w:color="auto" w:fill="auto"/>
          </w:tcPr>
          <w:p w:rsidR="00230017" w:rsidRPr="0020396D" w:rsidRDefault="00230017" w:rsidP="00301880">
            <w:pPr>
              <w:ind w:right="869"/>
              <w:jc w:val="right"/>
            </w:pPr>
            <w:r w:rsidRPr="0020396D">
              <w:t>25.7</w:t>
            </w:r>
          </w:p>
          <w:p w:rsidR="00230017" w:rsidRPr="0020396D" w:rsidRDefault="00230017" w:rsidP="00301880">
            <w:pPr>
              <w:ind w:right="869"/>
              <w:jc w:val="right"/>
            </w:pPr>
          </w:p>
        </w:tc>
        <w:tc>
          <w:tcPr>
            <w:tcW w:w="2138" w:type="dxa"/>
            <w:shd w:val="clear" w:color="auto" w:fill="auto"/>
          </w:tcPr>
          <w:p w:rsidR="00230017" w:rsidRPr="0020396D" w:rsidRDefault="00230017" w:rsidP="00301880">
            <w:pPr>
              <w:ind w:right="667"/>
              <w:jc w:val="right"/>
            </w:pPr>
            <w:r w:rsidRPr="0020396D">
              <w:t>770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Complete Phase I enumerator</w:t>
            </w:r>
          </w:p>
        </w:tc>
        <w:tc>
          <w:tcPr>
            <w:tcW w:w="2520" w:type="dxa"/>
            <w:shd w:val="clear" w:color="auto" w:fill="auto"/>
          </w:tcPr>
          <w:p w:rsidR="00230017" w:rsidRPr="0020396D" w:rsidRDefault="00230017" w:rsidP="00301880">
            <w:pPr>
              <w:ind w:right="869"/>
              <w:jc w:val="right"/>
            </w:pPr>
            <w:r w:rsidRPr="0020396D">
              <w:t>59.0</w:t>
            </w:r>
          </w:p>
        </w:tc>
        <w:tc>
          <w:tcPr>
            <w:tcW w:w="2138" w:type="dxa"/>
            <w:shd w:val="clear" w:color="auto" w:fill="auto"/>
          </w:tcPr>
          <w:p w:rsidR="00230017" w:rsidRPr="0020396D" w:rsidRDefault="00230017" w:rsidP="00301880">
            <w:pPr>
              <w:ind w:right="667"/>
              <w:jc w:val="right"/>
            </w:pPr>
            <w:r w:rsidRPr="0020396D">
              <w:t>1,770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 xml:space="preserve">Zero on hand or </w:t>
            </w:r>
          </w:p>
          <w:p w:rsidR="00230017" w:rsidRPr="0020396D" w:rsidRDefault="00230017" w:rsidP="00301880">
            <w:r w:rsidRPr="0020396D">
              <w:t>out of business</w:t>
            </w:r>
          </w:p>
        </w:tc>
        <w:tc>
          <w:tcPr>
            <w:tcW w:w="2520" w:type="dxa"/>
            <w:shd w:val="clear" w:color="auto" w:fill="auto"/>
          </w:tcPr>
          <w:p w:rsidR="00230017" w:rsidRPr="0020396D" w:rsidRDefault="00230017" w:rsidP="00301880">
            <w:pPr>
              <w:ind w:right="869"/>
              <w:jc w:val="right"/>
            </w:pPr>
            <w:r w:rsidRPr="0020396D">
              <w:t>10</w:t>
            </w:r>
          </w:p>
        </w:tc>
        <w:tc>
          <w:tcPr>
            <w:tcW w:w="2138" w:type="dxa"/>
            <w:shd w:val="clear" w:color="auto" w:fill="auto"/>
          </w:tcPr>
          <w:p w:rsidR="00230017" w:rsidRPr="0020396D" w:rsidRDefault="00230017" w:rsidP="00301880">
            <w:pPr>
              <w:ind w:right="667"/>
              <w:jc w:val="right"/>
            </w:pPr>
            <w:r w:rsidRPr="0020396D">
              <w:t>300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Out of scope</w:t>
            </w:r>
          </w:p>
        </w:tc>
        <w:tc>
          <w:tcPr>
            <w:tcW w:w="2520" w:type="dxa"/>
            <w:shd w:val="clear" w:color="auto" w:fill="auto"/>
          </w:tcPr>
          <w:p w:rsidR="00230017" w:rsidRPr="0020396D" w:rsidRDefault="00230017" w:rsidP="00301880">
            <w:pPr>
              <w:ind w:right="869"/>
              <w:jc w:val="right"/>
            </w:pPr>
            <w:r w:rsidRPr="0020396D">
              <w:t>1.0</w:t>
            </w:r>
          </w:p>
        </w:tc>
        <w:tc>
          <w:tcPr>
            <w:tcW w:w="2138" w:type="dxa"/>
            <w:shd w:val="clear" w:color="auto" w:fill="auto"/>
          </w:tcPr>
          <w:p w:rsidR="00230017" w:rsidRPr="0020396D" w:rsidRDefault="00230017" w:rsidP="00301880">
            <w:pPr>
              <w:ind w:right="667"/>
              <w:jc w:val="right"/>
            </w:pPr>
            <w:r w:rsidRPr="0020396D">
              <w:t>30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Refusal</w:t>
            </w:r>
          </w:p>
        </w:tc>
        <w:tc>
          <w:tcPr>
            <w:tcW w:w="2520" w:type="dxa"/>
            <w:shd w:val="clear" w:color="auto" w:fill="auto"/>
          </w:tcPr>
          <w:p w:rsidR="00230017" w:rsidRPr="0020396D" w:rsidRDefault="00230017" w:rsidP="00301880">
            <w:pPr>
              <w:ind w:right="869"/>
              <w:jc w:val="right"/>
            </w:pPr>
            <w:r w:rsidRPr="0020396D">
              <w:t>30.0</w:t>
            </w:r>
          </w:p>
        </w:tc>
        <w:tc>
          <w:tcPr>
            <w:tcW w:w="2138" w:type="dxa"/>
            <w:shd w:val="clear" w:color="auto" w:fill="auto"/>
          </w:tcPr>
          <w:p w:rsidR="00230017" w:rsidRPr="0020396D" w:rsidRDefault="00230017" w:rsidP="00301880">
            <w:pPr>
              <w:ind w:right="667"/>
              <w:jc w:val="right"/>
            </w:pPr>
            <w:r w:rsidRPr="0020396D">
              <w:t>900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Total</w:t>
            </w:r>
          </w:p>
        </w:tc>
        <w:tc>
          <w:tcPr>
            <w:tcW w:w="2520" w:type="dxa"/>
            <w:shd w:val="clear" w:color="auto" w:fill="auto"/>
          </w:tcPr>
          <w:p w:rsidR="00230017" w:rsidRPr="0020396D" w:rsidRDefault="00230017" w:rsidP="00301880">
            <w:pPr>
              <w:ind w:right="869"/>
              <w:jc w:val="right"/>
            </w:pPr>
            <w:r w:rsidRPr="0020396D">
              <w:t>100.0</w:t>
            </w:r>
          </w:p>
        </w:tc>
        <w:tc>
          <w:tcPr>
            <w:tcW w:w="2138" w:type="dxa"/>
            <w:shd w:val="clear" w:color="auto" w:fill="auto"/>
          </w:tcPr>
          <w:p w:rsidR="00230017" w:rsidRPr="0020396D" w:rsidRDefault="00230017" w:rsidP="00301880">
            <w:pPr>
              <w:ind w:right="667"/>
              <w:jc w:val="right"/>
            </w:pPr>
            <w:r w:rsidRPr="0020396D">
              <w:t>3,000</w:t>
            </w:r>
          </w:p>
        </w:tc>
      </w:tr>
      <w:tr w:rsidR="00230017" w:rsidRPr="0020396D" w:rsidTr="00301880">
        <w:tc>
          <w:tcPr>
            <w:tcW w:w="2394" w:type="dxa"/>
            <w:shd w:val="clear" w:color="auto" w:fill="auto"/>
          </w:tcPr>
          <w:p w:rsidR="00230017" w:rsidRPr="0020396D" w:rsidRDefault="00230017" w:rsidP="00301880">
            <w:r w:rsidRPr="0020396D">
              <w:t>Phase II VMO</w:t>
            </w:r>
          </w:p>
        </w:tc>
        <w:tc>
          <w:tcPr>
            <w:tcW w:w="2524" w:type="dxa"/>
            <w:shd w:val="clear" w:color="auto" w:fill="auto"/>
          </w:tcPr>
          <w:p w:rsidR="00230017" w:rsidRPr="0020396D" w:rsidRDefault="00230017" w:rsidP="00301880"/>
        </w:tc>
        <w:tc>
          <w:tcPr>
            <w:tcW w:w="2520" w:type="dxa"/>
            <w:shd w:val="clear" w:color="auto" w:fill="auto"/>
          </w:tcPr>
          <w:p w:rsidR="00230017" w:rsidRPr="0020396D" w:rsidRDefault="00230017" w:rsidP="00301880">
            <w:pPr>
              <w:ind w:right="869"/>
              <w:jc w:val="right"/>
            </w:pPr>
          </w:p>
        </w:tc>
        <w:tc>
          <w:tcPr>
            <w:tcW w:w="2138" w:type="dxa"/>
            <w:shd w:val="clear" w:color="auto" w:fill="auto"/>
          </w:tcPr>
          <w:p w:rsidR="00230017" w:rsidRPr="0020396D" w:rsidRDefault="00230017" w:rsidP="00301880">
            <w:pPr>
              <w:ind w:right="667"/>
              <w:jc w:val="right"/>
            </w:pP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Complete</w:t>
            </w:r>
          </w:p>
        </w:tc>
        <w:tc>
          <w:tcPr>
            <w:tcW w:w="2520" w:type="dxa"/>
            <w:shd w:val="clear" w:color="auto" w:fill="auto"/>
          </w:tcPr>
          <w:p w:rsidR="00230017" w:rsidRPr="0020396D" w:rsidRDefault="00230017" w:rsidP="00301880">
            <w:pPr>
              <w:ind w:right="869"/>
              <w:jc w:val="right"/>
            </w:pPr>
            <w:r w:rsidRPr="0020396D">
              <w:t>55.0</w:t>
            </w:r>
          </w:p>
        </w:tc>
        <w:tc>
          <w:tcPr>
            <w:tcW w:w="2138" w:type="dxa"/>
            <w:shd w:val="clear" w:color="auto" w:fill="auto"/>
          </w:tcPr>
          <w:p w:rsidR="00230017" w:rsidRPr="0020396D" w:rsidRDefault="00230017" w:rsidP="00301880">
            <w:pPr>
              <w:ind w:right="667"/>
              <w:jc w:val="right"/>
            </w:pPr>
            <w:r w:rsidRPr="0020396D">
              <w:t>550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Refusal</w:t>
            </w:r>
          </w:p>
        </w:tc>
        <w:tc>
          <w:tcPr>
            <w:tcW w:w="2520" w:type="dxa"/>
            <w:shd w:val="clear" w:color="auto" w:fill="auto"/>
          </w:tcPr>
          <w:p w:rsidR="00230017" w:rsidRPr="0020396D" w:rsidRDefault="00230017" w:rsidP="00301880">
            <w:pPr>
              <w:ind w:right="869"/>
              <w:jc w:val="right"/>
            </w:pPr>
            <w:r w:rsidRPr="0020396D">
              <w:t>35.0</w:t>
            </w:r>
          </w:p>
        </w:tc>
        <w:tc>
          <w:tcPr>
            <w:tcW w:w="2138" w:type="dxa"/>
            <w:shd w:val="clear" w:color="auto" w:fill="auto"/>
          </w:tcPr>
          <w:p w:rsidR="00230017" w:rsidRPr="0020396D" w:rsidRDefault="00230017" w:rsidP="00301880">
            <w:pPr>
              <w:ind w:right="667"/>
              <w:jc w:val="right"/>
            </w:pPr>
            <w:r w:rsidRPr="0020396D">
              <w:t>350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Ineligible/inaccessible</w:t>
            </w:r>
          </w:p>
        </w:tc>
        <w:tc>
          <w:tcPr>
            <w:tcW w:w="2520" w:type="dxa"/>
            <w:shd w:val="clear" w:color="auto" w:fill="auto"/>
          </w:tcPr>
          <w:p w:rsidR="00230017" w:rsidRPr="0020396D" w:rsidRDefault="00230017" w:rsidP="00301880">
            <w:pPr>
              <w:ind w:right="869"/>
              <w:jc w:val="right"/>
            </w:pPr>
            <w:r w:rsidRPr="0020396D">
              <w:t>10.0</w:t>
            </w:r>
          </w:p>
        </w:tc>
        <w:tc>
          <w:tcPr>
            <w:tcW w:w="2138" w:type="dxa"/>
            <w:shd w:val="clear" w:color="auto" w:fill="auto"/>
          </w:tcPr>
          <w:p w:rsidR="00230017" w:rsidRPr="0020396D" w:rsidRDefault="00230017" w:rsidP="00301880">
            <w:pPr>
              <w:ind w:right="667"/>
              <w:jc w:val="right"/>
            </w:pPr>
            <w:r w:rsidRPr="0020396D">
              <w:t>100</w:t>
            </w:r>
          </w:p>
        </w:tc>
      </w:tr>
      <w:tr w:rsidR="00230017" w:rsidRPr="0020396D" w:rsidTr="00301880">
        <w:tc>
          <w:tcPr>
            <w:tcW w:w="2394" w:type="dxa"/>
            <w:shd w:val="clear" w:color="auto" w:fill="auto"/>
          </w:tcPr>
          <w:p w:rsidR="00230017" w:rsidRPr="0020396D" w:rsidRDefault="00230017" w:rsidP="00301880"/>
        </w:tc>
        <w:tc>
          <w:tcPr>
            <w:tcW w:w="2524" w:type="dxa"/>
            <w:shd w:val="clear" w:color="auto" w:fill="auto"/>
          </w:tcPr>
          <w:p w:rsidR="00230017" w:rsidRPr="0020396D" w:rsidRDefault="00230017" w:rsidP="00301880">
            <w:r w:rsidRPr="0020396D">
              <w:t>Total</w:t>
            </w:r>
          </w:p>
        </w:tc>
        <w:tc>
          <w:tcPr>
            <w:tcW w:w="2520" w:type="dxa"/>
            <w:shd w:val="clear" w:color="auto" w:fill="auto"/>
          </w:tcPr>
          <w:p w:rsidR="00230017" w:rsidRPr="0020396D" w:rsidRDefault="00230017" w:rsidP="00301880">
            <w:pPr>
              <w:ind w:right="869"/>
              <w:jc w:val="right"/>
            </w:pPr>
            <w:r w:rsidRPr="0020396D">
              <w:t>100.0</w:t>
            </w:r>
          </w:p>
        </w:tc>
        <w:tc>
          <w:tcPr>
            <w:tcW w:w="2138" w:type="dxa"/>
            <w:shd w:val="clear" w:color="auto" w:fill="auto"/>
          </w:tcPr>
          <w:p w:rsidR="00230017" w:rsidRPr="0020396D" w:rsidRDefault="00230017" w:rsidP="00301880">
            <w:pPr>
              <w:ind w:right="667"/>
              <w:jc w:val="right"/>
            </w:pPr>
            <w:r w:rsidRPr="0020396D">
              <w:t>1,000</w:t>
            </w:r>
          </w:p>
        </w:tc>
      </w:tr>
    </w:tbl>
    <w:p w:rsidR="00230017" w:rsidRPr="0020396D" w:rsidRDefault="00230017" w:rsidP="00230017"/>
    <w:p w:rsidR="00230017" w:rsidRPr="0020396D" w:rsidRDefault="00230017" w:rsidP="00230017"/>
    <w:p w:rsidR="00230017" w:rsidRPr="0020396D" w:rsidRDefault="00230017" w:rsidP="00230017"/>
    <w:p w:rsidR="00230017" w:rsidRPr="0020396D" w:rsidRDefault="00230017" w:rsidP="00230017">
      <w:pPr>
        <w:pStyle w:val="Heading1"/>
        <w:rPr>
          <w:rFonts w:ascii="Times New Roman" w:hAnsi="Times New Roman" w:cs="Times New Roman"/>
          <w:sz w:val="24"/>
          <w:szCs w:val="24"/>
        </w:rPr>
      </w:pPr>
      <w:r w:rsidRPr="0020396D">
        <w:rPr>
          <w:rFonts w:ascii="Times New Roman" w:hAnsi="Times New Roman" w:cs="Times New Roman"/>
          <w:sz w:val="24"/>
          <w:szCs w:val="24"/>
        </w:rPr>
        <w:br w:type="page"/>
      </w:r>
      <w:r w:rsidRPr="0020396D">
        <w:rPr>
          <w:rFonts w:ascii="Times New Roman" w:hAnsi="Times New Roman" w:cs="Times New Roman"/>
          <w:sz w:val="24"/>
          <w:szCs w:val="24"/>
        </w:rPr>
        <w:lastRenderedPageBreak/>
        <w:t>Appendix C: Total U.S. Dairy Operations* and Dairy Cow Inventory** by State</w:t>
      </w:r>
    </w:p>
    <w:p w:rsidR="00230017" w:rsidRPr="0020396D" w:rsidRDefault="00230017" w:rsidP="00230017"/>
    <w:p w:rsidR="00230017" w:rsidRPr="0020396D" w:rsidRDefault="00230017" w:rsidP="0023001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18"/>
        <w:gridCol w:w="1418"/>
        <w:gridCol w:w="1368"/>
        <w:gridCol w:w="1368"/>
        <w:gridCol w:w="1368"/>
        <w:gridCol w:w="1368"/>
        <w:gridCol w:w="1368"/>
      </w:tblGrid>
      <w:tr w:rsidR="00230017" w:rsidRPr="0020396D" w:rsidTr="00301880">
        <w:trPr>
          <w:tblHeader/>
        </w:trPr>
        <w:tc>
          <w:tcPr>
            <w:tcW w:w="1318" w:type="dxa"/>
            <w:tcBorders>
              <w:top w:val="nil"/>
              <w:left w:val="nil"/>
              <w:bottom w:val="single" w:sz="4" w:space="0" w:color="auto"/>
              <w:right w:val="nil"/>
            </w:tcBorders>
            <w:shd w:val="clear" w:color="auto" w:fill="auto"/>
            <w:vAlign w:val="bottom"/>
          </w:tcPr>
          <w:p w:rsidR="00230017" w:rsidRPr="0020396D" w:rsidRDefault="00230017" w:rsidP="00301880">
            <w:pPr>
              <w:rPr>
                <w:b/>
              </w:rPr>
            </w:pPr>
            <w:r w:rsidRPr="0020396D">
              <w:rPr>
                <w:b/>
              </w:rPr>
              <w:t>State</w:t>
            </w:r>
          </w:p>
        </w:tc>
        <w:tc>
          <w:tcPr>
            <w:tcW w:w="1418" w:type="dxa"/>
            <w:tcBorders>
              <w:top w:val="nil"/>
              <w:left w:val="nil"/>
              <w:bottom w:val="single" w:sz="4" w:space="0" w:color="auto"/>
              <w:right w:val="nil"/>
            </w:tcBorders>
            <w:shd w:val="clear" w:color="auto" w:fill="auto"/>
          </w:tcPr>
          <w:p w:rsidR="00230017" w:rsidRPr="0020396D" w:rsidRDefault="00230017" w:rsidP="00301880">
            <w:pPr>
              <w:jc w:val="center"/>
              <w:rPr>
                <w:b/>
              </w:rPr>
            </w:pPr>
            <w:r w:rsidRPr="0020396D">
              <w:rPr>
                <w:b/>
              </w:rPr>
              <w:t>Total operations</w:t>
            </w:r>
          </w:p>
        </w:tc>
        <w:tc>
          <w:tcPr>
            <w:tcW w:w="1368" w:type="dxa"/>
            <w:tcBorders>
              <w:top w:val="nil"/>
              <w:left w:val="nil"/>
              <w:bottom w:val="single" w:sz="4" w:space="0" w:color="auto"/>
              <w:right w:val="nil"/>
            </w:tcBorders>
            <w:shd w:val="clear" w:color="auto" w:fill="auto"/>
          </w:tcPr>
          <w:p w:rsidR="00230017" w:rsidRPr="0020396D" w:rsidRDefault="00230017" w:rsidP="00301880">
            <w:pPr>
              <w:jc w:val="center"/>
              <w:rPr>
                <w:b/>
              </w:rPr>
            </w:pPr>
            <w:r w:rsidRPr="0020396D">
              <w:rPr>
                <w:b/>
              </w:rPr>
              <w:t>Percent of U.S. total</w:t>
            </w:r>
          </w:p>
        </w:tc>
        <w:tc>
          <w:tcPr>
            <w:tcW w:w="1368" w:type="dxa"/>
            <w:tcBorders>
              <w:top w:val="nil"/>
              <w:left w:val="nil"/>
              <w:bottom w:val="single" w:sz="4" w:space="0" w:color="auto"/>
              <w:right w:val="nil"/>
            </w:tcBorders>
            <w:shd w:val="clear" w:color="auto" w:fill="auto"/>
          </w:tcPr>
          <w:p w:rsidR="00230017" w:rsidRPr="0020396D" w:rsidRDefault="00230017" w:rsidP="00301880">
            <w:pPr>
              <w:jc w:val="center"/>
              <w:rPr>
                <w:b/>
              </w:rPr>
            </w:pPr>
            <w:r w:rsidRPr="0020396D">
              <w:rPr>
                <w:b/>
              </w:rPr>
              <w:t>Percent of 17 States</w:t>
            </w:r>
          </w:p>
        </w:tc>
        <w:tc>
          <w:tcPr>
            <w:tcW w:w="1368" w:type="dxa"/>
            <w:tcBorders>
              <w:top w:val="nil"/>
              <w:left w:val="nil"/>
              <w:bottom w:val="single" w:sz="4" w:space="0" w:color="auto"/>
              <w:right w:val="nil"/>
            </w:tcBorders>
            <w:shd w:val="clear" w:color="auto" w:fill="auto"/>
          </w:tcPr>
          <w:p w:rsidR="00230017" w:rsidRPr="0020396D" w:rsidRDefault="00230017" w:rsidP="00301880">
            <w:pPr>
              <w:jc w:val="center"/>
              <w:rPr>
                <w:b/>
              </w:rPr>
            </w:pPr>
            <w:r w:rsidRPr="0020396D">
              <w:rPr>
                <w:b/>
              </w:rPr>
              <w:t>Cow inventory</w:t>
            </w:r>
          </w:p>
        </w:tc>
        <w:tc>
          <w:tcPr>
            <w:tcW w:w="1368" w:type="dxa"/>
            <w:tcBorders>
              <w:top w:val="nil"/>
              <w:left w:val="nil"/>
              <w:bottom w:val="single" w:sz="4" w:space="0" w:color="auto"/>
              <w:right w:val="nil"/>
            </w:tcBorders>
            <w:shd w:val="clear" w:color="auto" w:fill="auto"/>
          </w:tcPr>
          <w:p w:rsidR="00230017" w:rsidRPr="0020396D" w:rsidRDefault="00230017" w:rsidP="00301880">
            <w:pPr>
              <w:jc w:val="center"/>
              <w:rPr>
                <w:b/>
              </w:rPr>
            </w:pPr>
            <w:r w:rsidRPr="0020396D">
              <w:rPr>
                <w:b/>
              </w:rPr>
              <w:t>Percent of U.S. total</w:t>
            </w:r>
          </w:p>
        </w:tc>
        <w:tc>
          <w:tcPr>
            <w:tcW w:w="1368" w:type="dxa"/>
            <w:tcBorders>
              <w:top w:val="nil"/>
              <w:left w:val="nil"/>
              <w:bottom w:val="single" w:sz="4" w:space="0" w:color="auto"/>
              <w:right w:val="nil"/>
            </w:tcBorders>
            <w:shd w:val="clear" w:color="auto" w:fill="auto"/>
          </w:tcPr>
          <w:p w:rsidR="00230017" w:rsidRPr="0020396D" w:rsidRDefault="00230017" w:rsidP="00301880">
            <w:pPr>
              <w:jc w:val="center"/>
              <w:rPr>
                <w:b/>
              </w:rPr>
            </w:pPr>
            <w:r w:rsidRPr="0020396D">
              <w:rPr>
                <w:b/>
              </w:rPr>
              <w:t>Percent of 17 States</w:t>
            </w:r>
          </w:p>
        </w:tc>
      </w:tr>
      <w:tr w:rsidR="00230017" w:rsidRPr="0020396D" w:rsidTr="00301880">
        <w:tc>
          <w:tcPr>
            <w:tcW w:w="1318" w:type="dxa"/>
            <w:tcBorders>
              <w:left w:val="nil"/>
              <w:bottom w:val="nil"/>
              <w:right w:val="nil"/>
            </w:tcBorders>
            <w:shd w:val="clear" w:color="auto" w:fill="auto"/>
          </w:tcPr>
          <w:p w:rsidR="00230017" w:rsidRPr="0020396D" w:rsidRDefault="00230017" w:rsidP="00301880">
            <w:r w:rsidRPr="0020396D">
              <w:t>AL</w:t>
            </w:r>
          </w:p>
        </w:tc>
        <w:tc>
          <w:tcPr>
            <w:tcW w:w="1418" w:type="dxa"/>
            <w:tcBorders>
              <w:left w:val="nil"/>
              <w:bottom w:val="nil"/>
              <w:right w:val="nil"/>
            </w:tcBorders>
            <w:shd w:val="clear" w:color="auto" w:fill="auto"/>
            <w:vAlign w:val="center"/>
          </w:tcPr>
          <w:p w:rsidR="00230017" w:rsidRPr="0020396D" w:rsidRDefault="00230017" w:rsidP="00301880">
            <w:pPr>
              <w:ind w:right="181"/>
              <w:jc w:val="right"/>
            </w:pPr>
            <w:r w:rsidRPr="0020396D">
              <w:t>157</w:t>
            </w:r>
          </w:p>
        </w:tc>
        <w:tc>
          <w:tcPr>
            <w:tcW w:w="1368" w:type="dxa"/>
            <w:tcBorders>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0.22</w:t>
            </w:r>
          </w:p>
        </w:tc>
        <w:tc>
          <w:tcPr>
            <w:tcW w:w="1368" w:type="dxa"/>
            <w:tcBorders>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10,000</w:t>
            </w:r>
          </w:p>
        </w:tc>
        <w:tc>
          <w:tcPr>
            <w:tcW w:w="1368" w:type="dxa"/>
            <w:tcBorders>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0.11</w:t>
            </w:r>
          </w:p>
        </w:tc>
        <w:tc>
          <w:tcPr>
            <w:tcW w:w="1368" w:type="dxa"/>
            <w:tcBorders>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AK</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28</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0.04</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500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0.01</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AZ</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182</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0.26</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190,000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2.06</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AR</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339</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0.49</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11,000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0.12</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CA***</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2,165</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3.10</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3.81</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1,780,000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19.29</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23.77</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CO***</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449</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0.64</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0.79</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131,000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1.42</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1.75</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CT</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269</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0.38</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18,500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0.20</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DE</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83</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0.12</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5,000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0.05</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FL</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422</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0.60</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120,000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1.30</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GA</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639</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0.91</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78,000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0.85</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HI</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15</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0.02</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1,900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0.02</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ID***</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811</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1.16</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1.43</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581,000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6.30</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7.76</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IL</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1,217</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1.74</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99,000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1.07</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IN***</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2,023</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2.89</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3.56</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175,000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1.90</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2.34</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IA***</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2,390</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3.42</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4.20</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205,000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2.22</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2.74</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KS</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776</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1.11</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123,000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1.33</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KY***</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2,277</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3.26</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4.01</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75,000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0.81</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1.00</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LA</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298</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0.43</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18,000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0.20</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ME</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479</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0.69</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32,000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0.35</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MD</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663</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0.95</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52,000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0.56</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MA</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310</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0.44</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12,000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0.13</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MI***</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2,647</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3.79</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4.66</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371,000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4.02</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4.95</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MN***</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5,148</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7.37</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9.06</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465,000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5.04</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6.21</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MS</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177</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0.25</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14,000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0.15</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MO***</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2,621</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3.75</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4.61</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93,000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1.01</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1.24</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MT</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385</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0.55</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14,000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0.15</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NE</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493</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0.71</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56,000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0.61</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NV</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56</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0.08</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29,000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0.31</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NH</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225</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0.32</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14,000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0.15</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NJ</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152</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0.22</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7,500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0.08</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NM</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272</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0.39</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335,000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3.63</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NY***</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5,683</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8.13</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10.00</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610,000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6.61</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8.15</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NC</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463</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0.66</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45,000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0.49</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ND</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402</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0.58</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18,000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0.20</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OH***</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3,650</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5.22</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6.42</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270,000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2.93</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3.61</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OK</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981</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1.40</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52,000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0.56</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OR</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596</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0.85</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123,000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1.33</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PA***</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8,333</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11.92</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14.66</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540,000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5.85</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7.21</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RI</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39</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0.06</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1,100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0.01</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SC</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106</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0.15</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16,000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0.17</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lastRenderedPageBreak/>
              <w:t>SD</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656</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0.94</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90,000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0.98</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TN</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1,230</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1.76</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50,000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0.54</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TX***</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1,293</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1.85</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2.27</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435,000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4.71</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5.81</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UT</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450</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0.64</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90,000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0.98</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VT***</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1,219</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1.74</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2.14</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133,000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1.44</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1.78</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VA***</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1,154</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1.65</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2.03</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96,000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1.04</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1.28</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WA***</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817</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1.17</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1.44</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263,000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2.85</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3.51</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WV</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370</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0.53</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10,000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0.11</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WI***</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14,158</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20.26</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24.91</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1,265,000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13.71</w:t>
            </w:r>
          </w:p>
        </w:tc>
        <w:tc>
          <w:tcPr>
            <w:tcW w:w="1368" w:type="dxa"/>
            <w:tcBorders>
              <w:top w:val="nil"/>
              <w:left w:val="nil"/>
              <w:bottom w:val="nil"/>
              <w:right w:val="nil"/>
            </w:tcBorders>
            <w:shd w:val="clear" w:color="auto" w:fill="auto"/>
            <w:vAlign w:val="bottom"/>
          </w:tcPr>
          <w:p w:rsidR="00230017" w:rsidRPr="0020396D" w:rsidRDefault="00230017" w:rsidP="00301880">
            <w:pPr>
              <w:ind w:right="226"/>
              <w:jc w:val="right"/>
              <w:rPr>
                <w:color w:val="000000"/>
              </w:rPr>
            </w:pPr>
            <w:r w:rsidRPr="0020396D">
              <w:rPr>
                <w:color w:val="000000"/>
              </w:rPr>
              <w:t>16.89</w:t>
            </w:r>
          </w:p>
        </w:tc>
      </w:tr>
      <w:tr w:rsidR="00230017" w:rsidRPr="0020396D" w:rsidTr="00301880">
        <w:tc>
          <w:tcPr>
            <w:tcW w:w="1318" w:type="dxa"/>
            <w:tcBorders>
              <w:top w:val="nil"/>
              <w:left w:val="nil"/>
              <w:bottom w:val="nil"/>
              <w:right w:val="nil"/>
            </w:tcBorders>
            <w:shd w:val="clear" w:color="auto" w:fill="auto"/>
          </w:tcPr>
          <w:p w:rsidR="00230017" w:rsidRPr="0020396D" w:rsidRDefault="00230017" w:rsidP="00301880">
            <w:r w:rsidRPr="0020396D">
              <w:t>WY</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122</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0.17</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6,000</w:t>
            </w:r>
          </w:p>
        </w:tc>
        <w:tc>
          <w:tcPr>
            <w:tcW w:w="1368" w:type="dxa"/>
            <w:tcBorders>
              <w:top w:val="nil"/>
              <w:left w:val="nil"/>
              <w:bottom w:val="nil"/>
              <w:right w:val="nil"/>
            </w:tcBorders>
            <w:shd w:val="clear" w:color="auto" w:fill="auto"/>
            <w:vAlign w:val="bottom"/>
          </w:tcPr>
          <w:p w:rsidR="00230017" w:rsidRPr="0020396D" w:rsidRDefault="00230017" w:rsidP="00301880">
            <w:pPr>
              <w:ind w:right="244"/>
              <w:jc w:val="right"/>
              <w:rPr>
                <w:color w:val="000000"/>
              </w:rPr>
            </w:pPr>
            <w:r w:rsidRPr="0020396D">
              <w:rPr>
                <w:color w:val="000000"/>
              </w:rPr>
              <w:t>0.07</w:t>
            </w:r>
          </w:p>
        </w:tc>
        <w:tc>
          <w:tcPr>
            <w:tcW w:w="1368" w:type="dxa"/>
            <w:tcBorders>
              <w:top w:val="nil"/>
              <w:left w:val="nil"/>
              <w:bottom w:val="nil"/>
              <w:right w:val="nil"/>
            </w:tcBorders>
            <w:shd w:val="clear" w:color="auto" w:fill="auto"/>
            <w:vAlign w:val="bottom"/>
          </w:tcPr>
          <w:p w:rsidR="00230017" w:rsidRPr="0020396D" w:rsidRDefault="00230017" w:rsidP="00301880">
            <w:pPr>
              <w:ind w:right="226"/>
              <w:rPr>
                <w:color w:val="000000"/>
              </w:rPr>
            </w:pPr>
          </w:p>
        </w:tc>
      </w:tr>
      <w:tr w:rsidR="00230017" w:rsidRPr="0020396D" w:rsidTr="00301880">
        <w:trPr>
          <w:trHeight w:val="567"/>
        </w:trPr>
        <w:tc>
          <w:tcPr>
            <w:tcW w:w="1318" w:type="dxa"/>
            <w:tcBorders>
              <w:top w:val="nil"/>
              <w:left w:val="nil"/>
              <w:bottom w:val="nil"/>
              <w:right w:val="nil"/>
            </w:tcBorders>
            <w:shd w:val="clear" w:color="auto" w:fill="auto"/>
            <w:vAlign w:val="center"/>
          </w:tcPr>
          <w:p w:rsidR="00230017" w:rsidRPr="0020396D" w:rsidRDefault="00230017" w:rsidP="00301880">
            <w:r w:rsidRPr="0020396D">
              <w:t>17 States</w:t>
            </w:r>
          </w:p>
        </w:tc>
        <w:tc>
          <w:tcPr>
            <w:tcW w:w="1418" w:type="dxa"/>
            <w:tcBorders>
              <w:top w:val="nil"/>
              <w:left w:val="nil"/>
              <w:bottom w:val="nil"/>
              <w:right w:val="nil"/>
            </w:tcBorders>
            <w:shd w:val="clear" w:color="auto" w:fill="auto"/>
            <w:vAlign w:val="center"/>
          </w:tcPr>
          <w:p w:rsidR="00230017" w:rsidRPr="0020396D" w:rsidRDefault="00230017" w:rsidP="00301880">
            <w:pPr>
              <w:ind w:right="181"/>
              <w:jc w:val="right"/>
            </w:pPr>
            <w:r w:rsidRPr="0020396D">
              <w:t>56,838</w:t>
            </w:r>
          </w:p>
        </w:tc>
        <w:tc>
          <w:tcPr>
            <w:tcW w:w="1368" w:type="dxa"/>
            <w:tcBorders>
              <w:top w:val="nil"/>
              <w:left w:val="nil"/>
              <w:bottom w:val="nil"/>
              <w:right w:val="nil"/>
            </w:tcBorders>
            <w:shd w:val="clear" w:color="auto" w:fill="auto"/>
            <w:vAlign w:val="center"/>
          </w:tcPr>
          <w:p w:rsidR="00230017" w:rsidRPr="0020396D" w:rsidRDefault="00230017" w:rsidP="00301880">
            <w:pPr>
              <w:ind w:right="262"/>
              <w:jc w:val="right"/>
              <w:rPr>
                <w:color w:val="000000"/>
              </w:rPr>
            </w:pPr>
            <w:r w:rsidRPr="0020396D">
              <w:rPr>
                <w:color w:val="000000"/>
              </w:rPr>
              <w:t>81.32</w:t>
            </w:r>
          </w:p>
        </w:tc>
        <w:tc>
          <w:tcPr>
            <w:tcW w:w="1368" w:type="dxa"/>
            <w:tcBorders>
              <w:top w:val="nil"/>
              <w:left w:val="nil"/>
              <w:bottom w:val="nil"/>
              <w:right w:val="nil"/>
            </w:tcBorders>
            <w:shd w:val="clear" w:color="auto" w:fill="auto"/>
            <w:vAlign w:val="center"/>
          </w:tcPr>
          <w:p w:rsidR="00230017" w:rsidRPr="0020396D" w:rsidRDefault="00230017" w:rsidP="00301880">
            <w:pPr>
              <w:ind w:right="217"/>
              <w:jc w:val="right"/>
              <w:rPr>
                <w:color w:val="000000"/>
              </w:rPr>
            </w:pPr>
            <w:r w:rsidRPr="0020396D">
              <w:rPr>
                <w:color w:val="000000"/>
              </w:rPr>
              <w:t>100.00</w:t>
            </w:r>
          </w:p>
        </w:tc>
        <w:tc>
          <w:tcPr>
            <w:tcW w:w="1368" w:type="dxa"/>
            <w:tcBorders>
              <w:top w:val="nil"/>
              <w:left w:val="nil"/>
              <w:bottom w:val="nil"/>
              <w:right w:val="nil"/>
            </w:tcBorders>
            <w:shd w:val="clear" w:color="auto" w:fill="auto"/>
            <w:vAlign w:val="center"/>
          </w:tcPr>
          <w:p w:rsidR="00230017" w:rsidRPr="0020396D" w:rsidRDefault="00230017" w:rsidP="00301880">
            <w:pPr>
              <w:jc w:val="right"/>
              <w:rPr>
                <w:color w:val="000000"/>
              </w:rPr>
            </w:pPr>
            <w:r w:rsidRPr="0020396D">
              <w:rPr>
                <w:color w:val="000000"/>
              </w:rPr>
              <w:t>7,488,000</w:t>
            </w:r>
          </w:p>
        </w:tc>
        <w:tc>
          <w:tcPr>
            <w:tcW w:w="1368" w:type="dxa"/>
            <w:tcBorders>
              <w:top w:val="nil"/>
              <w:left w:val="nil"/>
              <w:bottom w:val="nil"/>
              <w:right w:val="nil"/>
            </w:tcBorders>
            <w:shd w:val="clear" w:color="auto" w:fill="auto"/>
            <w:vAlign w:val="center"/>
          </w:tcPr>
          <w:p w:rsidR="00230017" w:rsidRPr="0020396D" w:rsidRDefault="00230017" w:rsidP="00301880">
            <w:pPr>
              <w:ind w:right="244"/>
              <w:jc w:val="right"/>
              <w:rPr>
                <w:color w:val="000000"/>
              </w:rPr>
            </w:pPr>
            <w:r w:rsidRPr="0020396D">
              <w:rPr>
                <w:color w:val="000000"/>
              </w:rPr>
              <w:t>81.13</w:t>
            </w:r>
          </w:p>
        </w:tc>
        <w:tc>
          <w:tcPr>
            <w:tcW w:w="1368" w:type="dxa"/>
            <w:tcBorders>
              <w:top w:val="nil"/>
              <w:left w:val="nil"/>
              <w:bottom w:val="nil"/>
              <w:right w:val="nil"/>
            </w:tcBorders>
            <w:shd w:val="clear" w:color="auto" w:fill="auto"/>
            <w:vAlign w:val="center"/>
          </w:tcPr>
          <w:p w:rsidR="00230017" w:rsidRPr="0020396D" w:rsidRDefault="00230017" w:rsidP="00301880">
            <w:pPr>
              <w:ind w:right="226"/>
              <w:jc w:val="right"/>
              <w:rPr>
                <w:color w:val="000000"/>
              </w:rPr>
            </w:pPr>
            <w:r w:rsidRPr="0020396D">
              <w:rPr>
                <w:color w:val="000000"/>
              </w:rPr>
              <w:t>100.00</w:t>
            </w:r>
          </w:p>
        </w:tc>
      </w:tr>
      <w:tr w:rsidR="00230017" w:rsidRPr="0020396D" w:rsidTr="00301880">
        <w:trPr>
          <w:trHeight w:val="477"/>
        </w:trPr>
        <w:tc>
          <w:tcPr>
            <w:tcW w:w="1318" w:type="dxa"/>
            <w:tcBorders>
              <w:top w:val="nil"/>
              <w:left w:val="nil"/>
              <w:bottom w:val="single" w:sz="4" w:space="0" w:color="auto"/>
              <w:right w:val="nil"/>
            </w:tcBorders>
            <w:shd w:val="clear" w:color="auto" w:fill="auto"/>
            <w:vAlign w:val="center"/>
          </w:tcPr>
          <w:p w:rsidR="00230017" w:rsidRPr="0020396D" w:rsidRDefault="00230017" w:rsidP="00301880">
            <w:r w:rsidRPr="0020396D">
              <w:t>U.S. Total</w:t>
            </w:r>
          </w:p>
        </w:tc>
        <w:tc>
          <w:tcPr>
            <w:tcW w:w="1418" w:type="dxa"/>
            <w:tcBorders>
              <w:top w:val="nil"/>
              <w:left w:val="nil"/>
              <w:bottom w:val="single" w:sz="4" w:space="0" w:color="auto"/>
              <w:right w:val="nil"/>
            </w:tcBorders>
            <w:shd w:val="clear" w:color="auto" w:fill="auto"/>
            <w:vAlign w:val="center"/>
          </w:tcPr>
          <w:p w:rsidR="00230017" w:rsidRPr="0020396D" w:rsidRDefault="00230017" w:rsidP="00301880">
            <w:pPr>
              <w:ind w:right="181"/>
              <w:jc w:val="right"/>
            </w:pPr>
            <w:r w:rsidRPr="0020396D">
              <w:t>69,890</w:t>
            </w:r>
          </w:p>
        </w:tc>
        <w:tc>
          <w:tcPr>
            <w:tcW w:w="1368" w:type="dxa"/>
            <w:tcBorders>
              <w:top w:val="nil"/>
              <w:left w:val="nil"/>
              <w:bottom w:val="single" w:sz="4" w:space="0" w:color="auto"/>
              <w:right w:val="nil"/>
            </w:tcBorders>
            <w:shd w:val="clear" w:color="auto" w:fill="auto"/>
            <w:vAlign w:val="center"/>
          </w:tcPr>
          <w:p w:rsidR="00230017" w:rsidRPr="0020396D" w:rsidRDefault="00230017" w:rsidP="00301880">
            <w:pPr>
              <w:ind w:right="262"/>
              <w:jc w:val="right"/>
            </w:pPr>
            <w:r w:rsidRPr="0020396D">
              <w:t>100.00</w:t>
            </w:r>
          </w:p>
        </w:tc>
        <w:tc>
          <w:tcPr>
            <w:tcW w:w="1368" w:type="dxa"/>
            <w:tcBorders>
              <w:top w:val="nil"/>
              <w:left w:val="nil"/>
              <w:bottom w:val="single" w:sz="4" w:space="0" w:color="auto"/>
              <w:right w:val="nil"/>
            </w:tcBorders>
            <w:shd w:val="clear" w:color="auto" w:fill="auto"/>
            <w:vAlign w:val="center"/>
          </w:tcPr>
          <w:p w:rsidR="00230017" w:rsidRPr="0020396D" w:rsidRDefault="00230017" w:rsidP="00301880">
            <w:pPr>
              <w:jc w:val="right"/>
              <w:rPr>
                <w:color w:val="000000"/>
              </w:rPr>
            </w:pPr>
          </w:p>
        </w:tc>
        <w:tc>
          <w:tcPr>
            <w:tcW w:w="1368" w:type="dxa"/>
            <w:tcBorders>
              <w:top w:val="nil"/>
              <w:left w:val="nil"/>
              <w:bottom w:val="single" w:sz="4" w:space="0" w:color="auto"/>
              <w:right w:val="nil"/>
            </w:tcBorders>
            <w:shd w:val="clear" w:color="auto" w:fill="auto"/>
            <w:vAlign w:val="center"/>
          </w:tcPr>
          <w:p w:rsidR="00230017" w:rsidRPr="0020396D" w:rsidRDefault="00230017" w:rsidP="00301880">
            <w:pPr>
              <w:jc w:val="right"/>
              <w:rPr>
                <w:color w:val="000000"/>
              </w:rPr>
            </w:pPr>
            <w:r w:rsidRPr="0020396D">
              <w:rPr>
                <w:color w:val="000000"/>
              </w:rPr>
              <w:t>9,229,500</w:t>
            </w:r>
          </w:p>
        </w:tc>
        <w:tc>
          <w:tcPr>
            <w:tcW w:w="1368" w:type="dxa"/>
            <w:tcBorders>
              <w:top w:val="nil"/>
              <w:left w:val="nil"/>
              <w:bottom w:val="single" w:sz="4" w:space="0" w:color="auto"/>
              <w:right w:val="nil"/>
            </w:tcBorders>
            <w:shd w:val="clear" w:color="auto" w:fill="auto"/>
            <w:vAlign w:val="center"/>
          </w:tcPr>
          <w:p w:rsidR="00230017" w:rsidRPr="0020396D" w:rsidRDefault="00230017" w:rsidP="00301880">
            <w:pPr>
              <w:ind w:right="244"/>
              <w:jc w:val="right"/>
              <w:rPr>
                <w:color w:val="000000"/>
              </w:rPr>
            </w:pPr>
            <w:r w:rsidRPr="0020396D">
              <w:rPr>
                <w:color w:val="000000"/>
              </w:rPr>
              <w:t>100.00</w:t>
            </w:r>
          </w:p>
        </w:tc>
        <w:tc>
          <w:tcPr>
            <w:tcW w:w="1368" w:type="dxa"/>
            <w:tcBorders>
              <w:top w:val="nil"/>
              <w:left w:val="nil"/>
              <w:bottom w:val="single" w:sz="4" w:space="0" w:color="auto"/>
              <w:right w:val="nil"/>
            </w:tcBorders>
            <w:shd w:val="clear" w:color="auto" w:fill="auto"/>
            <w:vAlign w:val="center"/>
          </w:tcPr>
          <w:p w:rsidR="00230017" w:rsidRPr="0020396D" w:rsidRDefault="00230017" w:rsidP="00301880">
            <w:pPr>
              <w:jc w:val="right"/>
            </w:pPr>
          </w:p>
        </w:tc>
      </w:tr>
      <w:tr w:rsidR="00230017" w:rsidRPr="0020396D" w:rsidTr="00301880">
        <w:trPr>
          <w:trHeight w:val="360"/>
        </w:trPr>
        <w:tc>
          <w:tcPr>
            <w:tcW w:w="9576" w:type="dxa"/>
            <w:gridSpan w:val="7"/>
            <w:tcBorders>
              <w:top w:val="single" w:sz="4" w:space="0" w:color="auto"/>
              <w:left w:val="nil"/>
              <w:bottom w:val="nil"/>
              <w:right w:val="nil"/>
            </w:tcBorders>
            <w:shd w:val="clear" w:color="auto" w:fill="auto"/>
          </w:tcPr>
          <w:p w:rsidR="00230017" w:rsidRPr="0020396D" w:rsidRDefault="00230017" w:rsidP="00301880">
            <w:r w:rsidRPr="0020396D">
              <w:t xml:space="preserve">* NASS 2007 Census of Agriculture </w:t>
            </w:r>
          </w:p>
        </w:tc>
      </w:tr>
      <w:tr w:rsidR="00230017" w:rsidRPr="0020396D" w:rsidTr="00301880">
        <w:trPr>
          <w:trHeight w:val="360"/>
        </w:trPr>
        <w:tc>
          <w:tcPr>
            <w:tcW w:w="9576" w:type="dxa"/>
            <w:gridSpan w:val="7"/>
            <w:tcBorders>
              <w:top w:val="nil"/>
              <w:left w:val="nil"/>
              <w:bottom w:val="nil"/>
              <w:right w:val="nil"/>
            </w:tcBorders>
            <w:shd w:val="clear" w:color="auto" w:fill="auto"/>
          </w:tcPr>
          <w:p w:rsidR="00230017" w:rsidRPr="0020396D" w:rsidRDefault="00230017" w:rsidP="00301880">
            <w:r w:rsidRPr="0020396D">
              <w:t>** NASS 2012 Inventory from Cattle Report, February 2013</w:t>
            </w:r>
          </w:p>
        </w:tc>
      </w:tr>
      <w:tr w:rsidR="00230017" w:rsidRPr="0020396D" w:rsidTr="00301880">
        <w:trPr>
          <w:trHeight w:val="360"/>
        </w:trPr>
        <w:tc>
          <w:tcPr>
            <w:tcW w:w="9576" w:type="dxa"/>
            <w:gridSpan w:val="7"/>
            <w:tcBorders>
              <w:top w:val="nil"/>
              <w:left w:val="nil"/>
              <w:bottom w:val="nil"/>
              <w:right w:val="nil"/>
            </w:tcBorders>
            <w:shd w:val="clear" w:color="auto" w:fill="auto"/>
          </w:tcPr>
          <w:p w:rsidR="00230017" w:rsidRPr="0020396D" w:rsidRDefault="00230017" w:rsidP="00301880">
            <w:r w:rsidRPr="0020396D">
              <w:t>*** 17 States selected for Dairy 2014 study</w:t>
            </w:r>
          </w:p>
        </w:tc>
      </w:tr>
    </w:tbl>
    <w:p w:rsidR="00230017" w:rsidRPr="0020396D" w:rsidRDefault="00230017" w:rsidP="00230017"/>
    <w:p w:rsidR="00230017" w:rsidRPr="0020396D" w:rsidRDefault="00230017" w:rsidP="00230017"/>
    <w:p w:rsidR="00230017" w:rsidRPr="0020396D" w:rsidRDefault="00230017" w:rsidP="00230017">
      <w:pPr>
        <w:pStyle w:val="Heading1"/>
        <w:rPr>
          <w:rFonts w:ascii="Times New Roman" w:hAnsi="Times New Roman" w:cs="Times New Roman"/>
          <w:sz w:val="24"/>
          <w:szCs w:val="24"/>
        </w:rPr>
      </w:pPr>
      <w:r w:rsidRPr="0020396D">
        <w:rPr>
          <w:rFonts w:ascii="Times New Roman" w:hAnsi="Times New Roman" w:cs="Times New Roman"/>
          <w:sz w:val="24"/>
          <w:szCs w:val="24"/>
        </w:rPr>
        <w:t xml:space="preserve">Appendix D: Allocation of Dairy Farms </w:t>
      </w:r>
      <w:proofErr w:type="gramStart"/>
      <w:r w:rsidRPr="0020396D">
        <w:rPr>
          <w:rFonts w:ascii="Times New Roman" w:hAnsi="Times New Roman" w:cs="Times New Roman"/>
          <w:sz w:val="24"/>
          <w:szCs w:val="24"/>
        </w:rPr>
        <w:t>To</w:t>
      </w:r>
      <w:proofErr w:type="gramEnd"/>
      <w:r w:rsidRPr="0020396D">
        <w:rPr>
          <w:rFonts w:ascii="Times New Roman" w:hAnsi="Times New Roman" w:cs="Times New Roman"/>
          <w:sz w:val="24"/>
          <w:szCs w:val="24"/>
        </w:rPr>
        <w:t xml:space="preserve"> Be Selected by State</w:t>
      </w:r>
    </w:p>
    <w:p w:rsidR="00230017" w:rsidRPr="0020396D" w:rsidRDefault="00230017" w:rsidP="002300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330"/>
        <w:gridCol w:w="3528"/>
      </w:tblGrid>
      <w:tr w:rsidR="00230017" w:rsidRPr="0020396D" w:rsidTr="00301880">
        <w:tc>
          <w:tcPr>
            <w:tcW w:w="2718" w:type="dxa"/>
            <w:tcBorders>
              <w:top w:val="nil"/>
              <w:left w:val="nil"/>
              <w:bottom w:val="single" w:sz="4" w:space="0" w:color="auto"/>
              <w:right w:val="nil"/>
            </w:tcBorders>
            <w:shd w:val="clear" w:color="auto" w:fill="auto"/>
            <w:vAlign w:val="bottom"/>
          </w:tcPr>
          <w:p w:rsidR="00230017" w:rsidRPr="0020396D" w:rsidRDefault="00230017" w:rsidP="00301880">
            <w:pPr>
              <w:rPr>
                <w:b/>
              </w:rPr>
            </w:pPr>
            <w:r w:rsidRPr="0020396D">
              <w:rPr>
                <w:b/>
              </w:rPr>
              <w:t>State</w:t>
            </w:r>
          </w:p>
        </w:tc>
        <w:tc>
          <w:tcPr>
            <w:tcW w:w="3330" w:type="dxa"/>
            <w:tcBorders>
              <w:top w:val="nil"/>
              <w:left w:val="nil"/>
              <w:bottom w:val="single" w:sz="4" w:space="0" w:color="auto"/>
              <w:right w:val="nil"/>
            </w:tcBorders>
            <w:shd w:val="clear" w:color="auto" w:fill="auto"/>
          </w:tcPr>
          <w:p w:rsidR="00230017" w:rsidRPr="0020396D" w:rsidRDefault="00230017" w:rsidP="00301880">
            <w:pPr>
              <w:jc w:val="center"/>
              <w:rPr>
                <w:b/>
              </w:rPr>
            </w:pPr>
            <w:r w:rsidRPr="0020396D">
              <w:rPr>
                <w:b/>
              </w:rPr>
              <w:t>Number of farms with fewer than 30 cows</w:t>
            </w:r>
          </w:p>
        </w:tc>
        <w:tc>
          <w:tcPr>
            <w:tcW w:w="3528" w:type="dxa"/>
            <w:tcBorders>
              <w:top w:val="nil"/>
              <w:left w:val="nil"/>
              <w:bottom w:val="single" w:sz="4" w:space="0" w:color="auto"/>
              <w:right w:val="nil"/>
            </w:tcBorders>
            <w:shd w:val="clear" w:color="auto" w:fill="auto"/>
          </w:tcPr>
          <w:p w:rsidR="00230017" w:rsidRPr="0020396D" w:rsidRDefault="00230017" w:rsidP="00301880">
            <w:pPr>
              <w:jc w:val="center"/>
              <w:rPr>
                <w:b/>
              </w:rPr>
            </w:pPr>
            <w:r w:rsidRPr="0020396D">
              <w:rPr>
                <w:b/>
              </w:rPr>
              <w:t>Number of farms with 30 or more cows</w:t>
            </w:r>
          </w:p>
        </w:tc>
      </w:tr>
      <w:tr w:rsidR="00230017" w:rsidRPr="0020396D" w:rsidTr="00301880">
        <w:tc>
          <w:tcPr>
            <w:tcW w:w="2718" w:type="dxa"/>
            <w:tcBorders>
              <w:left w:val="nil"/>
              <w:bottom w:val="nil"/>
              <w:right w:val="nil"/>
            </w:tcBorders>
            <w:shd w:val="clear" w:color="auto" w:fill="auto"/>
          </w:tcPr>
          <w:p w:rsidR="00230017" w:rsidRPr="0020396D" w:rsidRDefault="00230017" w:rsidP="00301880">
            <w:r w:rsidRPr="0020396D">
              <w:t>California</w:t>
            </w:r>
          </w:p>
        </w:tc>
        <w:tc>
          <w:tcPr>
            <w:tcW w:w="3330" w:type="dxa"/>
            <w:tcBorders>
              <w:left w:val="nil"/>
              <w:bottom w:val="nil"/>
              <w:right w:val="nil"/>
            </w:tcBorders>
            <w:shd w:val="clear" w:color="auto" w:fill="auto"/>
            <w:vAlign w:val="center"/>
          </w:tcPr>
          <w:p w:rsidR="00230017" w:rsidRPr="0020396D" w:rsidRDefault="00230017" w:rsidP="00301880">
            <w:pPr>
              <w:ind w:right="1440"/>
              <w:jc w:val="right"/>
            </w:pPr>
            <w:r w:rsidRPr="0020396D">
              <w:t>15</w:t>
            </w:r>
          </w:p>
        </w:tc>
        <w:tc>
          <w:tcPr>
            <w:tcW w:w="3528" w:type="dxa"/>
            <w:tcBorders>
              <w:left w:val="nil"/>
              <w:bottom w:val="nil"/>
              <w:right w:val="nil"/>
            </w:tcBorders>
            <w:shd w:val="clear" w:color="auto" w:fill="auto"/>
            <w:vAlign w:val="center"/>
          </w:tcPr>
          <w:p w:rsidR="00230017" w:rsidRPr="0020396D" w:rsidRDefault="00230017" w:rsidP="00301880">
            <w:pPr>
              <w:ind w:right="1440"/>
              <w:jc w:val="right"/>
            </w:pPr>
            <w:r w:rsidRPr="0020396D">
              <w:t>393</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Colorado</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12</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49</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Idaho</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9</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154</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Indiana</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31</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97</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Iowa</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28</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125</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Kentucky</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39</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68</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Michigan</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36</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156</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Minnesota</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28</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241</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Missouri</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47</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78</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New York</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41</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281</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Ohio</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40</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158</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Pennsylvania</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48</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299</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Texas</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21</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128</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Vermont</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11</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84</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Virginia</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16</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63</w:t>
            </w:r>
          </w:p>
        </w:tc>
      </w:tr>
      <w:tr w:rsidR="00230017" w:rsidRPr="0020396D" w:rsidTr="00301880">
        <w:tc>
          <w:tcPr>
            <w:tcW w:w="2718" w:type="dxa"/>
            <w:tcBorders>
              <w:top w:val="nil"/>
              <w:left w:val="nil"/>
              <w:bottom w:val="nil"/>
              <w:right w:val="nil"/>
            </w:tcBorders>
            <w:shd w:val="clear" w:color="auto" w:fill="auto"/>
          </w:tcPr>
          <w:p w:rsidR="00230017" w:rsidRPr="0020396D" w:rsidRDefault="00230017" w:rsidP="00301880">
            <w:r w:rsidRPr="0020396D">
              <w:t>Washington</w:t>
            </w:r>
          </w:p>
        </w:tc>
        <w:tc>
          <w:tcPr>
            <w:tcW w:w="3330"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13</w:t>
            </w:r>
          </w:p>
        </w:tc>
        <w:tc>
          <w:tcPr>
            <w:tcW w:w="3528" w:type="dxa"/>
            <w:tcBorders>
              <w:top w:val="nil"/>
              <w:left w:val="nil"/>
              <w:bottom w:val="nil"/>
              <w:right w:val="nil"/>
            </w:tcBorders>
            <w:shd w:val="clear" w:color="auto" w:fill="auto"/>
            <w:vAlign w:val="center"/>
          </w:tcPr>
          <w:p w:rsidR="00230017" w:rsidRPr="0020396D" w:rsidRDefault="00230017" w:rsidP="00301880">
            <w:pPr>
              <w:ind w:right="1440"/>
              <w:jc w:val="right"/>
            </w:pPr>
            <w:r w:rsidRPr="0020396D">
              <w:t>90</w:t>
            </w:r>
          </w:p>
        </w:tc>
      </w:tr>
      <w:tr w:rsidR="00230017" w:rsidRPr="0020396D" w:rsidTr="00301880">
        <w:tc>
          <w:tcPr>
            <w:tcW w:w="2718" w:type="dxa"/>
            <w:tcBorders>
              <w:top w:val="nil"/>
              <w:left w:val="nil"/>
              <w:bottom w:val="single" w:sz="4" w:space="0" w:color="auto"/>
              <w:right w:val="nil"/>
            </w:tcBorders>
            <w:shd w:val="clear" w:color="auto" w:fill="auto"/>
          </w:tcPr>
          <w:p w:rsidR="00230017" w:rsidRPr="0020396D" w:rsidRDefault="00230017" w:rsidP="00301880">
            <w:r w:rsidRPr="0020396D">
              <w:t>Wisconsin</w:t>
            </w:r>
          </w:p>
        </w:tc>
        <w:tc>
          <w:tcPr>
            <w:tcW w:w="3330" w:type="dxa"/>
            <w:tcBorders>
              <w:top w:val="nil"/>
              <w:left w:val="nil"/>
              <w:bottom w:val="single" w:sz="4" w:space="0" w:color="auto"/>
              <w:right w:val="nil"/>
            </w:tcBorders>
            <w:shd w:val="clear" w:color="auto" w:fill="auto"/>
            <w:vAlign w:val="center"/>
          </w:tcPr>
          <w:p w:rsidR="00230017" w:rsidRPr="0020396D" w:rsidRDefault="00230017" w:rsidP="00301880">
            <w:pPr>
              <w:ind w:right="1440"/>
              <w:jc w:val="right"/>
            </w:pPr>
            <w:r w:rsidRPr="0020396D">
              <w:t>67</w:t>
            </w:r>
          </w:p>
        </w:tc>
        <w:tc>
          <w:tcPr>
            <w:tcW w:w="3528" w:type="dxa"/>
            <w:tcBorders>
              <w:top w:val="nil"/>
              <w:left w:val="nil"/>
              <w:bottom w:val="single" w:sz="4" w:space="0" w:color="auto"/>
              <w:right w:val="nil"/>
            </w:tcBorders>
            <w:shd w:val="clear" w:color="auto" w:fill="auto"/>
            <w:vAlign w:val="center"/>
          </w:tcPr>
          <w:p w:rsidR="00230017" w:rsidRPr="0020396D" w:rsidRDefault="00230017" w:rsidP="00301880">
            <w:pPr>
              <w:ind w:right="1440"/>
              <w:jc w:val="right"/>
            </w:pPr>
            <w:r w:rsidRPr="0020396D">
              <w:t>537</w:t>
            </w:r>
          </w:p>
        </w:tc>
      </w:tr>
      <w:tr w:rsidR="00230017" w:rsidRPr="0020396D" w:rsidTr="00301880">
        <w:tc>
          <w:tcPr>
            <w:tcW w:w="2718" w:type="dxa"/>
            <w:tcBorders>
              <w:left w:val="nil"/>
              <w:bottom w:val="nil"/>
              <w:right w:val="nil"/>
            </w:tcBorders>
            <w:shd w:val="clear" w:color="auto" w:fill="auto"/>
          </w:tcPr>
          <w:p w:rsidR="00230017" w:rsidRPr="0020396D" w:rsidRDefault="00230017" w:rsidP="00301880">
            <w:pPr>
              <w:rPr>
                <w:b/>
              </w:rPr>
            </w:pPr>
            <w:r w:rsidRPr="0020396D">
              <w:rPr>
                <w:b/>
              </w:rPr>
              <w:t>Total</w:t>
            </w:r>
          </w:p>
        </w:tc>
        <w:tc>
          <w:tcPr>
            <w:tcW w:w="3330" w:type="dxa"/>
            <w:tcBorders>
              <w:left w:val="nil"/>
              <w:bottom w:val="nil"/>
              <w:right w:val="nil"/>
            </w:tcBorders>
            <w:shd w:val="clear" w:color="auto" w:fill="auto"/>
            <w:vAlign w:val="center"/>
          </w:tcPr>
          <w:p w:rsidR="00230017" w:rsidRPr="0020396D" w:rsidRDefault="00230017" w:rsidP="00301880">
            <w:pPr>
              <w:ind w:right="1440"/>
              <w:jc w:val="right"/>
              <w:rPr>
                <w:b/>
              </w:rPr>
            </w:pPr>
            <w:r w:rsidRPr="0020396D">
              <w:rPr>
                <w:b/>
              </w:rPr>
              <w:t>502</w:t>
            </w:r>
          </w:p>
        </w:tc>
        <w:tc>
          <w:tcPr>
            <w:tcW w:w="3528" w:type="dxa"/>
            <w:tcBorders>
              <w:left w:val="nil"/>
              <w:bottom w:val="nil"/>
              <w:right w:val="nil"/>
            </w:tcBorders>
            <w:shd w:val="clear" w:color="auto" w:fill="auto"/>
            <w:vAlign w:val="center"/>
          </w:tcPr>
          <w:p w:rsidR="00230017" w:rsidRPr="0020396D" w:rsidRDefault="00230017" w:rsidP="00301880">
            <w:pPr>
              <w:ind w:right="1440"/>
              <w:jc w:val="right"/>
              <w:rPr>
                <w:b/>
              </w:rPr>
            </w:pPr>
            <w:r w:rsidRPr="0020396D">
              <w:rPr>
                <w:b/>
              </w:rPr>
              <w:t>3,001</w:t>
            </w:r>
          </w:p>
        </w:tc>
      </w:tr>
    </w:tbl>
    <w:p w:rsidR="00230017" w:rsidRPr="0020396D" w:rsidRDefault="00230017" w:rsidP="00230017"/>
    <w:p w:rsidR="00230017" w:rsidRPr="0020396D" w:rsidRDefault="00230017" w:rsidP="00230017"/>
    <w:p w:rsidR="00F53C05" w:rsidRDefault="00F53C05"/>
    <w:sectPr w:rsidR="00F53C05" w:rsidSect="008113A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17" w:rsidRDefault="00230017" w:rsidP="00230017">
      <w:r>
        <w:separator/>
      </w:r>
    </w:p>
  </w:endnote>
  <w:endnote w:type="continuationSeparator" w:id="0">
    <w:p w:rsidR="00230017" w:rsidRDefault="00230017" w:rsidP="0023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733" w:rsidRDefault="00230017" w:rsidP="008C39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733" w:rsidRDefault="00F204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733" w:rsidRPr="003D3EA9" w:rsidRDefault="00230017">
    <w:pPr>
      <w:pStyle w:val="Footer"/>
      <w:rPr>
        <w:rFonts w:ascii="Arial" w:hAnsi="Arial" w:cs="Arial"/>
        <w:sz w:val="20"/>
      </w:rPr>
    </w:pPr>
    <w:r>
      <w:tab/>
    </w:r>
    <w:r w:rsidRPr="003D3EA9">
      <w:rPr>
        <w:rFonts w:ascii="Arial" w:hAnsi="Arial" w:cs="Arial"/>
        <w:sz w:val="20"/>
      </w:rPr>
      <w:t xml:space="preserve">Page </w:t>
    </w:r>
    <w:r w:rsidRPr="003D3EA9">
      <w:rPr>
        <w:rFonts w:ascii="Arial" w:hAnsi="Arial" w:cs="Arial"/>
        <w:sz w:val="20"/>
      </w:rPr>
      <w:fldChar w:fldCharType="begin"/>
    </w:r>
    <w:r w:rsidRPr="003D3EA9">
      <w:rPr>
        <w:rFonts w:ascii="Arial" w:hAnsi="Arial" w:cs="Arial"/>
        <w:sz w:val="20"/>
      </w:rPr>
      <w:instrText xml:space="preserve"> PAGE </w:instrText>
    </w:r>
    <w:r w:rsidRPr="003D3EA9">
      <w:rPr>
        <w:rFonts w:ascii="Arial" w:hAnsi="Arial" w:cs="Arial"/>
        <w:sz w:val="20"/>
      </w:rPr>
      <w:fldChar w:fldCharType="separate"/>
    </w:r>
    <w:r w:rsidR="00F2045B">
      <w:rPr>
        <w:rFonts w:ascii="Arial" w:hAnsi="Arial" w:cs="Arial"/>
        <w:noProof/>
        <w:sz w:val="20"/>
      </w:rPr>
      <w:t>9</w:t>
    </w:r>
    <w:r w:rsidRPr="003D3EA9">
      <w:rPr>
        <w:rFonts w:ascii="Arial" w:hAnsi="Arial" w:cs="Arial"/>
        <w:sz w:val="20"/>
      </w:rPr>
      <w:fldChar w:fldCharType="end"/>
    </w:r>
    <w:r>
      <w:tab/>
    </w:r>
    <w:r w:rsidRPr="003D3EA9">
      <w:rPr>
        <w:rFonts w:ascii="Arial" w:hAnsi="Arial" w:cs="Arial"/>
        <w:sz w:val="20"/>
      </w:rPr>
      <w:fldChar w:fldCharType="begin"/>
    </w:r>
    <w:r w:rsidRPr="003D3EA9">
      <w:rPr>
        <w:rFonts w:ascii="Arial" w:hAnsi="Arial" w:cs="Arial"/>
        <w:sz w:val="20"/>
      </w:rPr>
      <w:instrText xml:space="preserve"> DATE \@ "M/d/yyyy" </w:instrText>
    </w:r>
    <w:r w:rsidRPr="003D3EA9">
      <w:rPr>
        <w:rFonts w:ascii="Arial" w:hAnsi="Arial" w:cs="Arial"/>
        <w:sz w:val="20"/>
      </w:rPr>
      <w:fldChar w:fldCharType="separate"/>
    </w:r>
    <w:r w:rsidR="00F2045B">
      <w:rPr>
        <w:rFonts w:ascii="Arial" w:hAnsi="Arial" w:cs="Arial"/>
        <w:noProof/>
        <w:sz w:val="20"/>
      </w:rPr>
      <w:t>7/2/2013</w:t>
    </w:r>
    <w:r w:rsidRPr="003D3EA9">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17" w:rsidRDefault="00230017" w:rsidP="00230017">
      <w:r>
        <w:separator/>
      </w:r>
    </w:p>
  </w:footnote>
  <w:footnote w:type="continuationSeparator" w:id="0">
    <w:p w:rsidR="00230017" w:rsidRDefault="00230017" w:rsidP="00230017">
      <w:r>
        <w:continuationSeparator/>
      </w:r>
    </w:p>
  </w:footnote>
  <w:footnote w:id="1">
    <w:p w:rsidR="00230017" w:rsidRPr="003D3EA9" w:rsidRDefault="00230017" w:rsidP="00230017">
      <w:pPr>
        <w:pStyle w:val="FootnoteText"/>
        <w:rPr>
          <w:rFonts w:ascii="Arial" w:hAnsi="Arial" w:cs="Arial"/>
        </w:rPr>
      </w:pPr>
      <w:r w:rsidRPr="003D3EA9">
        <w:rPr>
          <w:rStyle w:val="FootnoteReference"/>
        </w:rPr>
        <w:footnoteRef/>
      </w:r>
      <w:r w:rsidRPr="003D3EA9">
        <w:rPr>
          <w:rFonts w:ascii="Arial" w:hAnsi="Arial" w:cs="Arial"/>
        </w:rPr>
        <w:t xml:space="preserve"> California, Colorado, Idaho, Indiana, Iowa, Kentucky, Michigan, Minnesota, Missouri, New York, Ohio, Pennsylvania,  Texas, Vermont, Virginia, Washington, Wisconsin.</w:t>
      </w:r>
    </w:p>
  </w:footnote>
  <w:footnote w:id="2">
    <w:p w:rsidR="00230017" w:rsidRPr="0026386B" w:rsidRDefault="00230017" w:rsidP="00230017">
      <w:pPr>
        <w:pStyle w:val="FootnoteText"/>
        <w:rPr>
          <w:rFonts w:ascii="Arial" w:hAnsi="Arial" w:cs="Arial"/>
        </w:rPr>
      </w:pPr>
      <w:r w:rsidRPr="0026386B">
        <w:rPr>
          <w:rStyle w:val="FootnoteReference"/>
        </w:rPr>
        <w:footnoteRef/>
      </w:r>
      <w:r w:rsidRPr="0026386B">
        <w:rPr>
          <w:rFonts w:ascii="Arial" w:hAnsi="Arial" w:cs="Arial"/>
        </w:rPr>
        <w:t xml:space="preserve"> Sample of pre-survey letter is attached.</w:t>
      </w:r>
    </w:p>
  </w:footnote>
  <w:footnote w:id="3">
    <w:p w:rsidR="00230017" w:rsidRDefault="00230017" w:rsidP="00230017">
      <w:pPr>
        <w:pStyle w:val="FootnoteText"/>
      </w:pPr>
      <w:r w:rsidRPr="0026386B">
        <w:rPr>
          <w:rStyle w:val="FootnoteReference"/>
        </w:rPr>
        <w:footnoteRef/>
      </w:r>
      <w:r w:rsidRPr="0026386B">
        <w:rPr>
          <w:rFonts w:ascii="Arial" w:hAnsi="Arial" w:cs="Arial"/>
        </w:rPr>
        <w:t xml:space="preserve"> Marketing information sheet is attached.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F4D"/>
    <w:multiLevelType w:val="hybridMultilevel"/>
    <w:tmpl w:val="00ECC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2344C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
    <w:nsid w:val="107F1396"/>
    <w:multiLevelType w:val="hybridMultilevel"/>
    <w:tmpl w:val="3970D89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B7340A9"/>
    <w:multiLevelType w:val="hybridMultilevel"/>
    <w:tmpl w:val="9732EBB2"/>
    <w:lvl w:ilvl="0" w:tplc="AACCD0E8">
      <w:start w:val="1"/>
      <w:numFmt w:val="lowerLetter"/>
      <w:lvlText w:val="%1)"/>
      <w:lvlJc w:val="left"/>
      <w:pPr>
        <w:tabs>
          <w:tab w:val="num" w:pos="2160"/>
        </w:tabs>
        <w:ind w:left="2160" w:hanging="360"/>
      </w:pPr>
      <w:rPr>
        <w:color w:val="auto"/>
      </w:rPr>
    </w:lvl>
    <w:lvl w:ilvl="1" w:tplc="9C62FA14">
      <w:start w:val="4"/>
      <w:numFmt w:val="decimal"/>
      <w:lvlText w:val="%2)"/>
      <w:lvlJc w:val="left"/>
      <w:pPr>
        <w:tabs>
          <w:tab w:val="num" w:pos="2880"/>
        </w:tabs>
        <w:ind w:left="2880" w:hanging="360"/>
      </w:pPr>
      <w:rPr>
        <w:rFonts w:hint="default"/>
        <w:color w:val="auto"/>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26913FC8"/>
    <w:multiLevelType w:val="hybridMultilevel"/>
    <w:tmpl w:val="3744B66E"/>
    <w:lvl w:ilvl="0" w:tplc="201AFCAA">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563424"/>
    <w:multiLevelType w:val="hybridMultilevel"/>
    <w:tmpl w:val="2E6070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9">
    <w:nsid w:val="303A6566"/>
    <w:multiLevelType w:val="hybridMultilevel"/>
    <w:tmpl w:val="B42EB60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0770AFA"/>
    <w:multiLevelType w:val="hybridMultilevel"/>
    <w:tmpl w:val="C14876E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4BB2819"/>
    <w:multiLevelType w:val="hybridMultilevel"/>
    <w:tmpl w:val="DE1C55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8A972E9"/>
    <w:multiLevelType w:val="hybridMultilevel"/>
    <w:tmpl w:val="2C3C436C"/>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ECD01D5"/>
    <w:multiLevelType w:val="multilevel"/>
    <w:tmpl w:val="A0FED76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455D4225"/>
    <w:multiLevelType w:val="hybridMultilevel"/>
    <w:tmpl w:val="92A2C57A"/>
    <w:lvl w:ilvl="0" w:tplc="A7923206">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782344"/>
    <w:multiLevelType w:val="hybridMultilevel"/>
    <w:tmpl w:val="70D87BA4"/>
    <w:lvl w:ilvl="0" w:tplc="26F25A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861CC9"/>
    <w:multiLevelType w:val="hybridMultilevel"/>
    <w:tmpl w:val="B376621C"/>
    <w:lvl w:ilvl="0" w:tplc="3438B048">
      <w:start w:val="12"/>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3422296"/>
    <w:multiLevelType w:val="hybridMultilevel"/>
    <w:tmpl w:val="3A880072"/>
    <w:lvl w:ilvl="0" w:tplc="662ADF62">
      <w:numFmt w:val="none"/>
      <w:lvlText w:val=""/>
      <w:lvlJc w:val="left"/>
      <w:pPr>
        <w:tabs>
          <w:tab w:val="num" w:pos="0"/>
        </w:tabs>
        <w:ind w:left="360" w:hanging="360"/>
      </w:pPr>
      <w:rPr>
        <w:rFonts w:ascii="Wingdings" w:hAnsi="Wingdings" w:hint="default"/>
        <w:sz w:val="24"/>
      </w:rPr>
    </w:lvl>
    <w:lvl w:ilvl="1" w:tplc="53D2FF96">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6E6CA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2">
    <w:nsid w:val="6F991689"/>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3">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4">
    <w:nsid w:val="743B4E2A"/>
    <w:multiLevelType w:val="hybridMultilevel"/>
    <w:tmpl w:val="CDDC18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0D63C6"/>
    <w:multiLevelType w:val="hybridMultilevel"/>
    <w:tmpl w:val="415861E2"/>
    <w:lvl w:ilvl="0" w:tplc="04CEC4AE">
      <w:numFmt w:val="none"/>
      <w:lvlText w:val=""/>
      <w:lvlJc w:val="left"/>
      <w:pPr>
        <w:tabs>
          <w:tab w:val="num" w:pos="360"/>
        </w:tabs>
        <w:ind w:left="720" w:hanging="360"/>
      </w:pPr>
      <w:rPr>
        <w:rFonts w:ascii="Symbol" w:hAnsi="Symbol"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8AF1B3A"/>
    <w:multiLevelType w:val="hybridMultilevel"/>
    <w:tmpl w:val="BFF21714"/>
    <w:lvl w:ilvl="0" w:tplc="987C5FD2">
      <w:start w:val="1"/>
      <w:numFmt w:val="decimal"/>
      <w:lvlText w:val="%1."/>
      <w:lvlJc w:val="left"/>
      <w:pPr>
        <w:tabs>
          <w:tab w:val="num" w:pos="450"/>
        </w:tabs>
        <w:ind w:left="450" w:hanging="360"/>
      </w:pPr>
      <w:rPr>
        <w:rFonts w:hint="default"/>
        <w:b/>
        <w:i/>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BC7BA0"/>
    <w:multiLevelType w:val="hybridMultilevel"/>
    <w:tmpl w:val="C6D8F3FC"/>
    <w:lvl w:ilvl="0" w:tplc="662ADF62">
      <w:numFmt w:val="none"/>
      <w:lvlText w:val=""/>
      <w:lvlJc w:val="left"/>
      <w:pPr>
        <w:tabs>
          <w:tab w:val="num" w:pos="0"/>
        </w:tabs>
        <w:ind w:left="360" w:hanging="360"/>
      </w:pPr>
      <w:rPr>
        <w:rFonts w:ascii="Wingdings" w:hAnsi="Wingdings" w:hint="default"/>
        <w:sz w:val="24"/>
      </w:rPr>
    </w:lvl>
    <w:lvl w:ilvl="1" w:tplc="CAF6D3A0">
      <w:start w:val="1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222B15"/>
    <w:multiLevelType w:val="hybridMultilevel"/>
    <w:tmpl w:val="F81C10E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3921C0"/>
    <w:multiLevelType w:val="hybridMultilevel"/>
    <w:tmpl w:val="CAEC732E"/>
    <w:lvl w:ilvl="0" w:tplc="34786AF0">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6BE67CE">
      <w:start w:val="13"/>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2"/>
  </w:num>
  <w:num w:numId="3">
    <w:abstractNumId w:val="2"/>
  </w:num>
  <w:num w:numId="4">
    <w:abstractNumId w:val="23"/>
  </w:num>
  <w:num w:numId="5">
    <w:abstractNumId w:val="21"/>
  </w:num>
  <w:num w:numId="6">
    <w:abstractNumId w:val="8"/>
  </w:num>
  <w:num w:numId="7">
    <w:abstractNumId w:val="1"/>
  </w:num>
  <w:num w:numId="8">
    <w:abstractNumId w:val="19"/>
  </w:num>
  <w:num w:numId="9">
    <w:abstractNumId w:val="4"/>
  </w:num>
  <w:num w:numId="10">
    <w:abstractNumId w:val="17"/>
  </w:num>
  <w:num w:numId="11">
    <w:abstractNumId w:val="15"/>
  </w:num>
  <w:num w:numId="12">
    <w:abstractNumId w:val="27"/>
  </w:num>
  <w:num w:numId="13">
    <w:abstractNumId w:val="20"/>
  </w:num>
  <w:num w:numId="14">
    <w:abstractNumId w:val="16"/>
  </w:num>
  <w:num w:numId="15">
    <w:abstractNumId w:val="26"/>
  </w:num>
  <w:num w:numId="16">
    <w:abstractNumId w:val="14"/>
  </w:num>
  <w:num w:numId="17">
    <w:abstractNumId w:val="25"/>
  </w:num>
  <w:num w:numId="18">
    <w:abstractNumId w:val="0"/>
  </w:num>
  <w:num w:numId="19">
    <w:abstractNumId w:val="3"/>
  </w:num>
  <w:num w:numId="20">
    <w:abstractNumId w:val="12"/>
  </w:num>
  <w:num w:numId="21">
    <w:abstractNumId w:val="18"/>
  </w:num>
  <w:num w:numId="22">
    <w:abstractNumId w:val="6"/>
  </w:num>
  <w:num w:numId="23">
    <w:abstractNumId w:val="11"/>
  </w:num>
  <w:num w:numId="24">
    <w:abstractNumId w:val="9"/>
  </w:num>
  <w:num w:numId="25">
    <w:abstractNumId w:val="13"/>
  </w:num>
  <w:num w:numId="26">
    <w:abstractNumId w:val="7"/>
  </w:num>
  <w:num w:numId="27">
    <w:abstractNumId w:val="10"/>
  </w:num>
  <w:num w:numId="28">
    <w:abstractNumId w:val="28"/>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17"/>
    <w:rsid w:val="00230017"/>
    <w:rsid w:val="00F2045B"/>
    <w:rsid w:val="00F5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001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3001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001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017"/>
    <w:rPr>
      <w:rFonts w:ascii="Arial" w:eastAsia="Times New Roman" w:hAnsi="Arial" w:cs="Arial"/>
      <w:b/>
      <w:bCs/>
      <w:kern w:val="32"/>
      <w:sz w:val="32"/>
      <w:szCs w:val="32"/>
    </w:rPr>
  </w:style>
  <w:style w:type="character" w:customStyle="1" w:styleId="Heading2Char">
    <w:name w:val="Heading 2 Char"/>
    <w:basedOn w:val="DefaultParagraphFont"/>
    <w:link w:val="Heading2"/>
    <w:rsid w:val="00230017"/>
    <w:rPr>
      <w:rFonts w:ascii="Arial" w:eastAsia="Times New Roman" w:hAnsi="Arial" w:cs="Arial"/>
      <w:b/>
      <w:bCs/>
      <w:i/>
      <w:iCs/>
      <w:sz w:val="28"/>
      <w:szCs w:val="28"/>
    </w:rPr>
  </w:style>
  <w:style w:type="character" w:customStyle="1" w:styleId="Heading3Char">
    <w:name w:val="Heading 3 Char"/>
    <w:basedOn w:val="DefaultParagraphFont"/>
    <w:link w:val="Heading3"/>
    <w:rsid w:val="00230017"/>
    <w:rPr>
      <w:rFonts w:ascii="Arial" w:eastAsia="Times New Roman" w:hAnsi="Arial" w:cs="Arial"/>
      <w:b/>
      <w:bCs/>
      <w:sz w:val="26"/>
      <w:szCs w:val="26"/>
    </w:rPr>
  </w:style>
  <w:style w:type="paragraph" w:styleId="FootnoteText">
    <w:name w:val="footnote text"/>
    <w:basedOn w:val="Normal"/>
    <w:link w:val="FootnoteTextChar"/>
    <w:semiHidden/>
    <w:rsid w:val="00230017"/>
    <w:rPr>
      <w:sz w:val="20"/>
      <w:szCs w:val="20"/>
    </w:rPr>
  </w:style>
  <w:style w:type="character" w:customStyle="1" w:styleId="FootnoteTextChar">
    <w:name w:val="Footnote Text Char"/>
    <w:basedOn w:val="DefaultParagraphFont"/>
    <w:link w:val="FootnoteText"/>
    <w:semiHidden/>
    <w:rsid w:val="00230017"/>
    <w:rPr>
      <w:rFonts w:ascii="Times New Roman" w:eastAsia="Times New Roman" w:hAnsi="Times New Roman" w:cs="Times New Roman"/>
      <w:sz w:val="20"/>
      <w:szCs w:val="20"/>
    </w:rPr>
  </w:style>
  <w:style w:type="character" w:styleId="FootnoteReference">
    <w:name w:val="footnote reference"/>
    <w:semiHidden/>
    <w:rsid w:val="00230017"/>
    <w:rPr>
      <w:vertAlign w:val="superscript"/>
    </w:rPr>
  </w:style>
  <w:style w:type="paragraph" w:styleId="Footer">
    <w:name w:val="footer"/>
    <w:basedOn w:val="Normal"/>
    <w:link w:val="FooterChar"/>
    <w:rsid w:val="00230017"/>
    <w:pPr>
      <w:tabs>
        <w:tab w:val="center" w:pos="4320"/>
        <w:tab w:val="right" w:pos="8640"/>
      </w:tabs>
    </w:pPr>
  </w:style>
  <w:style w:type="character" w:customStyle="1" w:styleId="FooterChar">
    <w:name w:val="Footer Char"/>
    <w:basedOn w:val="DefaultParagraphFont"/>
    <w:link w:val="Footer"/>
    <w:rsid w:val="00230017"/>
    <w:rPr>
      <w:rFonts w:ascii="Times New Roman" w:eastAsia="Times New Roman" w:hAnsi="Times New Roman" w:cs="Times New Roman"/>
      <w:sz w:val="24"/>
      <w:szCs w:val="24"/>
    </w:rPr>
  </w:style>
  <w:style w:type="character" w:styleId="PageNumber">
    <w:name w:val="page number"/>
    <w:basedOn w:val="DefaultParagraphFont"/>
    <w:rsid w:val="00230017"/>
  </w:style>
  <w:style w:type="paragraph" w:customStyle="1" w:styleId="DefaultText">
    <w:name w:val="Default Text"/>
    <w:basedOn w:val="Normal"/>
    <w:link w:val="DefaultTextChar"/>
    <w:uiPriority w:val="99"/>
    <w:rsid w:val="00230017"/>
    <w:pPr>
      <w:autoSpaceDE w:val="0"/>
      <w:autoSpaceDN w:val="0"/>
      <w:adjustRightInd w:val="0"/>
    </w:pPr>
  </w:style>
  <w:style w:type="character" w:customStyle="1" w:styleId="InitialStyle">
    <w:name w:val="InitialStyle"/>
    <w:rsid w:val="00230017"/>
  </w:style>
  <w:style w:type="paragraph" w:customStyle="1" w:styleId="a">
    <w:name w:val="&quot;"/>
    <w:basedOn w:val="Normal"/>
    <w:rsid w:val="00230017"/>
    <w:pPr>
      <w:autoSpaceDE w:val="0"/>
      <w:autoSpaceDN w:val="0"/>
      <w:adjustRightInd w:val="0"/>
      <w:ind w:left="720" w:hanging="720"/>
    </w:pPr>
  </w:style>
  <w:style w:type="paragraph" w:styleId="Header">
    <w:name w:val="header"/>
    <w:basedOn w:val="Normal"/>
    <w:link w:val="HeaderChar"/>
    <w:rsid w:val="00230017"/>
    <w:pPr>
      <w:tabs>
        <w:tab w:val="center" w:pos="4320"/>
        <w:tab w:val="right" w:pos="8640"/>
      </w:tabs>
    </w:pPr>
  </w:style>
  <w:style w:type="character" w:customStyle="1" w:styleId="HeaderChar">
    <w:name w:val="Header Char"/>
    <w:basedOn w:val="DefaultParagraphFont"/>
    <w:link w:val="Header"/>
    <w:rsid w:val="00230017"/>
    <w:rPr>
      <w:rFonts w:ascii="Times New Roman" w:eastAsia="Times New Roman" w:hAnsi="Times New Roman" w:cs="Times New Roman"/>
      <w:sz w:val="24"/>
      <w:szCs w:val="24"/>
    </w:rPr>
  </w:style>
  <w:style w:type="character" w:styleId="Hyperlink">
    <w:name w:val="Hyperlink"/>
    <w:rsid w:val="00230017"/>
    <w:rPr>
      <w:color w:val="0000FF"/>
      <w:u w:val="single"/>
    </w:rPr>
  </w:style>
  <w:style w:type="paragraph" w:styleId="BalloonText">
    <w:name w:val="Balloon Text"/>
    <w:basedOn w:val="Normal"/>
    <w:link w:val="BalloonTextChar"/>
    <w:semiHidden/>
    <w:rsid w:val="00230017"/>
    <w:rPr>
      <w:rFonts w:ascii="Tahoma" w:hAnsi="Tahoma" w:cs="Tahoma"/>
      <w:sz w:val="16"/>
      <w:szCs w:val="16"/>
    </w:rPr>
  </w:style>
  <w:style w:type="character" w:customStyle="1" w:styleId="BalloonTextChar">
    <w:name w:val="Balloon Text Char"/>
    <w:basedOn w:val="DefaultParagraphFont"/>
    <w:link w:val="BalloonText"/>
    <w:semiHidden/>
    <w:rsid w:val="00230017"/>
    <w:rPr>
      <w:rFonts w:ascii="Tahoma" w:eastAsia="Times New Roman" w:hAnsi="Tahoma" w:cs="Tahoma"/>
      <w:sz w:val="16"/>
      <w:szCs w:val="16"/>
    </w:rPr>
  </w:style>
  <w:style w:type="paragraph" w:customStyle="1" w:styleId="300">
    <w:name w:val="300"/>
    <w:basedOn w:val="Normal"/>
    <w:rsid w:val="00230017"/>
    <w:pPr>
      <w:overflowPunct w:val="0"/>
      <w:autoSpaceDE w:val="0"/>
      <w:autoSpaceDN w:val="0"/>
      <w:adjustRightInd w:val="0"/>
      <w:textAlignment w:val="baseline"/>
    </w:pPr>
    <w:rPr>
      <w:sz w:val="20"/>
      <w:szCs w:val="20"/>
    </w:rPr>
  </w:style>
  <w:style w:type="character" w:styleId="FollowedHyperlink">
    <w:name w:val="FollowedHyperlink"/>
    <w:rsid w:val="00230017"/>
    <w:rPr>
      <w:color w:val="800080"/>
      <w:u w:val="single"/>
    </w:rPr>
  </w:style>
  <w:style w:type="character" w:styleId="CommentReference">
    <w:name w:val="annotation reference"/>
    <w:semiHidden/>
    <w:rsid w:val="00230017"/>
    <w:rPr>
      <w:sz w:val="16"/>
      <w:szCs w:val="16"/>
    </w:rPr>
  </w:style>
  <w:style w:type="paragraph" w:styleId="CommentText">
    <w:name w:val="annotation text"/>
    <w:basedOn w:val="Normal"/>
    <w:link w:val="CommentTextChar"/>
    <w:semiHidden/>
    <w:rsid w:val="00230017"/>
    <w:rPr>
      <w:sz w:val="20"/>
      <w:szCs w:val="20"/>
    </w:rPr>
  </w:style>
  <w:style w:type="character" w:customStyle="1" w:styleId="CommentTextChar">
    <w:name w:val="Comment Text Char"/>
    <w:basedOn w:val="DefaultParagraphFont"/>
    <w:link w:val="CommentText"/>
    <w:semiHidden/>
    <w:rsid w:val="00230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30017"/>
    <w:rPr>
      <w:b/>
      <w:bCs/>
    </w:rPr>
  </w:style>
  <w:style w:type="character" w:customStyle="1" w:styleId="CommentSubjectChar">
    <w:name w:val="Comment Subject Char"/>
    <w:basedOn w:val="CommentTextChar"/>
    <w:link w:val="CommentSubject"/>
    <w:semiHidden/>
    <w:rsid w:val="00230017"/>
    <w:rPr>
      <w:rFonts w:ascii="Times New Roman" w:eastAsia="Times New Roman" w:hAnsi="Times New Roman" w:cs="Times New Roman"/>
      <w:b/>
      <w:bCs/>
      <w:sz w:val="20"/>
      <w:szCs w:val="20"/>
    </w:rPr>
  </w:style>
  <w:style w:type="table" w:styleId="TableGrid">
    <w:name w:val="Table Grid"/>
    <w:basedOn w:val="TableNormal"/>
    <w:rsid w:val="002300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230017"/>
  </w:style>
  <w:style w:type="paragraph" w:styleId="TOC2">
    <w:name w:val="toc 2"/>
    <w:basedOn w:val="Normal"/>
    <w:next w:val="Normal"/>
    <w:autoRedefine/>
    <w:semiHidden/>
    <w:rsid w:val="00230017"/>
    <w:pPr>
      <w:ind w:left="240"/>
    </w:pPr>
  </w:style>
  <w:style w:type="paragraph" w:styleId="TOC3">
    <w:name w:val="toc 3"/>
    <w:basedOn w:val="Normal"/>
    <w:next w:val="Normal"/>
    <w:autoRedefine/>
    <w:semiHidden/>
    <w:rsid w:val="00230017"/>
    <w:pPr>
      <w:ind w:left="480"/>
    </w:pPr>
  </w:style>
  <w:style w:type="character" w:customStyle="1" w:styleId="DefaultTextChar">
    <w:name w:val="Default Text Char"/>
    <w:link w:val="DefaultText"/>
    <w:uiPriority w:val="99"/>
    <w:rsid w:val="00230017"/>
    <w:rPr>
      <w:rFonts w:ascii="Times New Roman" w:eastAsia="Times New Roman" w:hAnsi="Times New Roman" w:cs="Times New Roman"/>
      <w:sz w:val="24"/>
      <w:szCs w:val="24"/>
    </w:rPr>
  </w:style>
  <w:style w:type="paragraph" w:customStyle="1" w:styleId="NumberList">
    <w:name w:val="Number List"/>
    <w:basedOn w:val="Normal"/>
    <w:rsid w:val="00230017"/>
    <w:pPr>
      <w:overflowPunct w:val="0"/>
      <w:autoSpaceDE w:val="0"/>
      <w:autoSpaceDN w:val="0"/>
      <w:adjustRightInd w:val="0"/>
      <w:textAlignment w:val="baseline"/>
    </w:pPr>
    <w:rPr>
      <w:szCs w:val="20"/>
    </w:rPr>
  </w:style>
  <w:style w:type="paragraph" w:customStyle="1" w:styleId="Cover">
    <w:name w:val="Cover"/>
    <w:basedOn w:val="Normal"/>
    <w:rsid w:val="00230017"/>
    <w:pPr>
      <w:shd w:val="pct15" w:color="auto" w:fill="auto"/>
      <w:jc w:val="center"/>
    </w:pPr>
    <w:rPr>
      <w:b/>
      <w:bCs/>
      <w:sz w:val="56"/>
      <w:szCs w:val="20"/>
    </w:rPr>
  </w:style>
  <w:style w:type="paragraph" w:customStyle="1" w:styleId="Body11Char">
    <w:name w:val="Body 11 Char"/>
    <w:basedOn w:val="Normal"/>
    <w:link w:val="Body11CharChar"/>
    <w:rsid w:val="00230017"/>
    <w:rPr>
      <w:bCs/>
      <w:sz w:val="22"/>
      <w:szCs w:val="20"/>
    </w:rPr>
  </w:style>
  <w:style w:type="paragraph" w:customStyle="1" w:styleId="BODY11Indent">
    <w:name w:val="BODY 11 Indent"/>
    <w:basedOn w:val="Normal"/>
    <w:rsid w:val="00230017"/>
    <w:pPr>
      <w:ind w:left="720"/>
    </w:pPr>
    <w:rPr>
      <w:bCs/>
      <w:sz w:val="22"/>
    </w:rPr>
  </w:style>
  <w:style w:type="character" w:customStyle="1" w:styleId="Body11CharChar">
    <w:name w:val="Body 11 Char Char"/>
    <w:link w:val="Body11Char"/>
    <w:rsid w:val="00230017"/>
    <w:rPr>
      <w:rFonts w:ascii="Times New Roman" w:eastAsia="Times New Roman" w:hAnsi="Times New Roman" w:cs="Times New Roman"/>
      <w:bCs/>
      <w:szCs w:val="20"/>
    </w:rPr>
  </w:style>
  <w:style w:type="paragraph" w:styleId="ListParagraph">
    <w:name w:val="List Paragraph"/>
    <w:basedOn w:val="Normal"/>
    <w:uiPriority w:val="34"/>
    <w:qFormat/>
    <w:rsid w:val="00230017"/>
    <w:pPr>
      <w:ind w:left="720"/>
    </w:pPr>
  </w:style>
  <w:style w:type="paragraph" w:styleId="Revision">
    <w:name w:val="Revision"/>
    <w:hidden/>
    <w:uiPriority w:val="99"/>
    <w:semiHidden/>
    <w:rsid w:val="0023001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001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3001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001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017"/>
    <w:rPr>
      <w:rFonts w:ascii="Arial" w:eastAsia="Times New Roman" w:hAnsi="Arial" w:cs="Arial"/>
      <w:b/>
      <w:bCs/>
      <w:kern w:val="32"/>
      <w:sz w:val="32"/>
      <w:szCs w:val="32"/>
    </w:rPr>
  </w:style>
  <w:style w:type="character" w:customStyle="1" w:styleId="Heading2Char">
    <w:name w:val="Heading 2 Char"/>
    <w:basedOn w:val="DefaultParagraphFont"/>
    <w:link w:val="Heading2"/>
    <w:rsid w:val="00230017"/>
    <w:rPr>
      <w:rFonts w:ascii="Arial" w:eastAsia="Times New Roman" w:hAnsi="Arial" w:cs="Arial"/>
      <w:b/>
      <w:bCs/>
      <w:i/>
      <w:iCs/>
      <w:sz w:val="28"/>
      <w:szCs w:val="28"/>
    </w:rPr>
  </w:style>
  <w:style w:type="character" w:customStyle="1" w:styleId="Heading3Char">
    <w:name w:val="Heading 3 Char"/>
    <w:basedOn w:val="DefaultParagraphFont"/>
    <w:link w:val="Heading3"/>
    <w:rsid w:val="00230017"/>
    <w:rPr>
      <w:rFonts w:ascii="Arial" w:eastAsia="Times New Roman" w:hAnsi="Arial" w:cs="Arial"/>
      <w:b/>
      <w:bCs/>
      <w:sz w:val="26"/>
      <w:szCs w:val="26"/>
    </w:rPr>
  </w:style>
  <w:style w:type="paragraph" w:styleId="FootnoteText">
    <w:name w:val="footnote text"/>
    <w:basedOn w:val="Normal"/>
    <w:link w:val="FootnoteTextChar"/>
    <w:semiHidden/>
    <w:rsid w:val="00230017"/>
    <w:rPr>
      <w:sz w:val="20"/>
      <w:szCs w:val="20"/>
    </w:rPr>
  </w:style>
  <w:style w:type="character" w:customStyle="1" w:styleId="FootnoteTextChar">
    <w:name w:val="Footnote Text Char"/>
    <w:basedOn w:val="DefaultParagraphFont"/>
    <w:link w:val="FootnoteText"/>
    <w:semiHidden/>
    <w:rsid w:val="00230017"/>
    <w:rPr>
      <w:rFonts w:ascii="Times New Roman" w:eastAsia="Times New Roman" w:hAnsi="Times New Roman" w:cs="Times New Roman"/>
      <w:sz w:val="20"/>
      <w:szCs w:val="20"/>
    </w:rPr>
  </w:style>
  <w:style w:type="character" w:styleId="FootnoteReference">
    <w:name w:val="footnote reference"/>
    <w:semiHidden/>
    <w:rsid w:val="00230017"/>
    <w:rPr>
      <w:vertAlign w:val="superscript"/>
    </w:rPr>
  </w:style>
  <w:style w:type="paragraph" w:styleId="Footer">
    <w:name w:val="footer"/>
    <w:basedOn w:val="Normal"/>
    <w:link w:val="FooterChar"/>
    <w:rsid w:val="00230017"/>
    <w:pPr>
      <w:tabs>
        <w:tab w:val="center" w:pos="4320"/>
        <w:tab w:val="right" w:pos="8640"/>
      </w:tabs>
    </w:pPr>
  </w:style>
  <w:style w:type="character" w:customStyle="1" w:styleId="FooterChar">
    <w:name w:val="Footer Char"/>
    <w:basedOn w:val="DefaultParagraphFont"/>
    <w:link w:val="Footer"/>
    <w:rsid w:val="00230017"/>
    <w:rPr>
      <w:rFonts w:ascii="Times New Roman" w:eastAsia="Times New Roman" w:hAnsi="Times New Roman" w:cs="Times New Roman"/>
      <w:sz w:val="24"/>
      <w:szCs w:val="24"/>
    </w:rPr>
  </w:style>
  <w:style w:type="character" w:styleId="PageNumber">
    <w:name w:val="page number"/>
    <w:basedOn w:val="DefaultParagraphFont"/>
    <w:rsid w:val="00230017"/>
  </w:style>
  <w:style w:type="paragraph" w:customStyle="1" w:styleId="DefaultText">
    <w:name w:val="Default Text"/>
    <w:basedOn w:val="Normal"/>
    <w:link w:val="DefaultTextChar"/>
    <w:uiPriority w:val="99"/>
    <w:rsid w:val="00230017"/>
    <w:pPr>
      <w:autoSpaceDE w:val="0"/>
      <w:autoSpaceDN w:val="0"/>
      <w:adjustRightInd w:val="0"/>
    </w:pPr>
  </w:style>
  <w:style w:type="character" w:customStyle="1" w:styleId="InitialStyle">
    <w:name w:val="InitialStyle"/>
    <w:rsid w:val="00230017"/>
  </w:style>
  <w:style w:type="paragraph" w:customStyle="1" w:styleId="a">
    <w:name w:val="&quot;"/>
    <w:basedOn w:val="Normal"/>
    <w:rsid w:val="00230017"/>
    <w:pPr>
      <w:autoSpaceDE w:val="0"/>
      <w:autoSpaceDN w:val="0"/>
      <w:adjustRightInd w:val="0"/>
      <w:ind w:left="720" w:hanging="720"/>
    </w:pPr>
  </w:style>
  <w:style w:type="paragraph" w:styleId="Header">
    <w:name w:val="header"/>
    <w:basedOn w:val="Normal"/>
    <w:link w:val="HeaderChar"/>
    <w:rsid w:val="00230017"/>
    <w:pPr>
      <w:tabs>
        <w:tab w:val="center" w:pos="4320"/>
        <w:tab w:val="right" w:pos="8640"/>
      </w:tabs>
    </w:pPr>
  </w:style>
  <w:style w:type="character" w:customStyle="1" w:styleId="HeaderChar">
    <w:name w:val="Header Char"/>
    <w:basedOn w:val="DefaultParagraphFont"/>
    <w:link w:val="Header"/>
    <w:rsid w:val="00230017"/>
    <w:rPr>
      <w:rFonts w:ascii="Times New Roman" w:eastAsia="Times New Roman" w:hAnsi="Times New Roman" w:cs="Times New Roman"/>
      <w:sz w:val="24"/>
      <w:szCs w:val="24"/>
    </w:rPr>
  </w:style>
  <w:style w:type="character" w:styleId="Hyperlink">
    <w:name w:val="Hyperlink"/>
    <w:rsid w:val="00230017"/>
    <w:rPr>
      <w:color w:val="0000FF"/>
      <w:u w:val="single"/>
    </w:rPr>
  </w:style>
  <w:style w:type="paragraph" w:styleId="BalloonText">
    <w:name w:val="Balloon Text"/>
    <w:basedOn w:val="Normal"/>
    <w:link w:val="BalloonTextChar"/>
    <w:semiHidden/>
    <w:rsid w:val="00230017"/>
    <w:rPr>
      <w:rFonts w:ascii="Tahoma" w:hAnsi="Tahoma" w:cs="Tahoma"/>
      <w:sz w:val="16"/>
      <w:szCs w:val="16"/>
    </w:rPr>
  </w:style>
  <w:style w:type="character" w:customStyle="1" w:styleId="BalloonTextChar">
    <w:name w:val="Balloon Text Char"/>
    <w:basedOn w:val="DefaultParagraphFont"/>
    <w:link w:val="BalloonText"/>
    <w:semiHidden/>
    <w:rsid w:val="00230017"/>
    <w:rPr>
      <w:rFonts w:ascii="Tahoma" w:eastAsia="Times New Roman" w:hAnsi="Tahoma" w:cs="Tahoma"/>
      <w:sz w:val="16"/>
      <w:szCs w:val="16"/>
    </w:rPr>
  </w:style>
  <w:style w:type="paragraph" w:customStyle="1" w:styleId="300">
    <w:name w:val="300"/>
    <w:basedOn w:val="Normal"/>
    <w:rsid w:val="00230017"/>
    <w:pPr>
      <w:overflowPunct w:val="0"/>
      <w:autoSpaceDE w:val="0"/>
      <w:autoSpaceDN w:val="0"/>
      <w:adjustRightInd w:val="0"/>
      <w:textAlignment w:val="baseline"/>
    </w:pPr>
    <w:rPr>
      <w:sz w:val="20"/>
      <w:szCs w:val="20"/>
    </w:rPr>
  </w:style>
  <w:style w:type="character" w:styleId="FollowedHyperlink">
    <w:name w:val="FollowedHyperlink"/>
    <w:rsid w:val="00230017"/>
    <w:rPr>
      <w:color w:val="800080"/>
      <w:u w:val="single"/>
    </w:rPr>
  </w:style>
  <w:style w:type="character" w:styleId="CommentReference">
    <w:name w:val="annotation reference"/>
    <w:semiHidden/>
    <w:rsid w:val="00230017"/>
    <w:rPr>
      <w:sz w:val="16"/>
      <w:szCs w:val="16"/>
    </w:rPr>
  </w:style>
  <w:style w:type="paragraph" w:styleId="CommentText">
    <w:name w:val="annotation text"/>
    <w:basedOn w:val="Normal"/>
    <w:link w:val="CommentTextChar"/>
    <w:semiHidden/>
    <w:rsid w:val="00230017"/>
    <w:rPr>
      <w:sz w:val="20"/>
      <w:szCs w:val="20"/>
    </w:rPr>
  </w:style>
  <w:style w:type="character" w:customStyle="1" w:styleId="CommentTextChar">
    <w:name w:val="Comment Text Char"/>
    <w:basedOn w:val="DefaultParagraphFont"/>
    <w:link w:val="CommentText"/>
    <w:semiHidden/>
    <w:rsid w:val="00230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30017"/>
    <w:rPr>
      <w:b/>
      <w:bCs/>
    </w:rPr>
  </w:style>
  <w:style w:type="character" w:customStyle="1" w:styleId="CommentSubjectChar">
    <w:name w:val="Comment Subject Char"/>
    <w:basedOn w:val="CommentTextChar"/>
    <w:link w:val="CommentSubject"/>
    <w:semiHidden/>
    <w:rsid w:val="00230017"/>
    <w:rPr>
      <w:rFonts w:ascii="Times New Roman" w:eastAsia="Times New Roman" w:hAnsi="Times New Roman" w:cs="Times New Roman"/>
      <w:b/>
      <w:bCs/>
      <w:sz w:val="20"/>
      <w:szCs w:val="20"/>
    </w:rPr>
  </w:style>
  <w:style w:type="table" w:styleId="TableGrid">
    <w:name w:val="Table Grid"/>
    <w:basedOn w:val="TableNormal"/>
    <w:rsid w:val="002300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230017"/>
  </w:style>
  <w:style w:type="paragraph" w:styleId="TOC2">
    <w:name w:val="toc 2"/>
    <w:basedOn w:val="Normal"/>
    <w:next w:val="Normal"/>
    <w:autoRedefine/>
    <w:semiHidden/>
    <w:rsid w:val="00230017"/>
    <w:pPr>
      <w:ind w:left="240"/>
    </w:pPr>
  </w:style>
  <w:style w:type="paragraph" w:styleId="TOC3">
    <w:name w:val="toc 3"/>
    <w:basedOn w:val="Normal"/>
    <w:next w:val="Normal"/>
    <w:autoRedefine/>
    <w:semiHidden/>
    <w:rsid w:val="00230017"/>
    <w:pPr>
      <w:ind w:left="480"/>
    </w:pPr>
  </w:style>
  <w:style w:type="character" w:customStyle="1" w:styleId="DefaultTextChar">
    <w:name w:val="Default Text Char"/>
    <w:link w:val="DefaultText"/>
    <w:uiPriority w:val="99"/>
    <w:rsid w:val="00230017"/>
    <w:rPr>
      <w:rFonts w:ascii="Times New Roman" w:eastAsia="Times New Roman" w:hAnsi="Times New Roman" w:cs="Times New Roman"/>
      <w:sz w:val="24"/>
      <w:szCs w:val="24"/>
    </w:rPr>
  </w:style>
  <w:style w:type="paragraph" w:customStyle="1" w:styleId="NumberList">
    <w:name w:val="Number List"/>
    <w:basedOn w:val="Normal"/>
    <w:rsid w:val="00230017"/>
    <w:pPr>
      <w:overflowPunct w:val="0"/>
      <w:autoSpaceDE w:val="0"/>
      <w:autoSpaceDN w:val="0"/>
      <w:adjustRightInd w:val="0"/>
      <w:textAlignment w:val="baseline"/>
    </w:pPr>
    <w:rPr>
      <w:szCs w:val="20"/>
    </w:rPr>
  </w:style>
  <w:style w:type="paragraph" w:customStyle="1" w:styleId="Cover">
    <w:name w:val="Cover"/>
    <w:basedOn w:val="Normal"/>
    <w:rsid w:val="00230017"/>
    <w:pPr>
      <w:shd w:val="pct15" w:color="auto" w:fill="auto"/>
      <w:jc w:val="center"/>
    </w:pPr>
    <w:rPr>
      <w:b/>
      <w:bCs/>
      <w:sz w:val="56"/>
      <w:szCs w:val="20"/>
    </w:rPr>
  </w:style>
  <w:style w:type="paragraph" w:customStyle="1" w:styleId="Body11Char">
    <w:name w:val="Body 11 Char"/>
    <w:basedOn w:val="Normal"/>
    <w:link w:val="Body11CharChar"/>
    <w:rsid w:val="00230017"/>
    <w:rPr>
      <w:bCs/>
      <w:sz w:val="22"/>
      <w:szCs w:val="20"/>
    </w:rPr>
  </w:style>
  <w:style w:type="paragraph" w:customStyle="1" w:styleId="BODY11Indent">
    <w:name w:val="BODY 11 Indent"/>
    <w:basedOn w:val="Normal"/>
    <w:rsid w:val="00230017"/>
    <w:pPr>
      <w:ind w:left="720"/>
    </w:pPr>
    <w:rPr>
      <w:bCs/>
      <w:sz w:val="22"/>
    </w:rPr>
  </w:style>
  <w:style w:type="character" w:customStyle="1" w:styleId="Body11CharChar">
    <w:name w:val="Body 11 Char Char"/>
    <w:link w:val="Body11Char"/>
    <w:rsid w:val="00230017"/>
    <w:rPr>
      <w:rFonts w:ascii="Times New Roman" w:eastAsia="Times New Roman" w:hAnsi="Times New Roman" w:cs="Times New Roman"/>
      <w:bCs/>
      <w:szCs w:val="20"/>
    </w:rPr>
  </w:style>
  <w:style w:type="paragraph" w:styleId="ListParagraph">
    <w:name w:val="List Paragraph"/>
    <w:basedOn w:val="Normal"/>
    <w:uiPriority w:val="34"/>
    <w:qFormat/>
    <w:rsid w:val="00230017"/>
    <w:pPr>
      <w:ind w:left="720"/>
    </w:pPr>
  </w:style>
  <w:style w:type="paragraph" w:styleId="Revision">
    <w:name w:val="Revision"/>
    <w:hidden/>
    <w:uiPriority w:val="99"/>
    <w:semiHidden/>
    <w:rsid w:val="0023001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3567</Words>
  <Characters>20334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cbsickles</cp:lastModifiedBy>
  <cp:revision>2</cp:revision>
  <dcterms:created xsi:type="dcterms:W3CDTF">2013-07-01T15:05:00Z</dcterms:created>
  <dcterms:modified xsi:type="dcterms:W3CDTF">2013-07-02T15:40:00Z</dcterms:modified>
</cp:coreProperties>
</file>