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8D2" w:rsidRPr="009D78D2" w:rsidRDefault="009D78D2" w:rsidP="009D78D2">
      <w:pPr>
        <w:spacing w:after="75" w:line="480" w:lineRule="atLeast"/>
        <w:outlineLvl w:val="3"/>
        <w:rPr>
          <w:rFonts w:ascii="Trebuchet MS" w:eastAsia="Times New Roman" w:hAnsi="Trebuchet MS" w:cs="Times New Roman"/>
          <w:color w:val="0066CC"/>
          <w:spacing w:val="7"/>
          <w:sz w:val="26"/>
          <w:szCs w:val="26"/>
        </w:rPr>
      </w:pPr>
      <w:r w:rsidRPr="009D78D2">
        <w:rPr>
          <w:rFonts w:ascii="Trebuchet MS" w:eastAsia="Times New Roman" w:hAnsi="Trebuchet MS" w:cs="Times New Roman"/>
          <w:color w:val="0066CC"/>
          <w:spacing w:val="7"/>
          <w:sz w:val="26"/>
          <w:szCs w:val="26"/>
        </w:rPr>
        <w:t>Defense Finance and Accounting Service</w:t>
      </w:r>
    </w:p>
    <w:p w:rsidR="009D78D2" w:rsidRPr="009D78D2" w:rsidRDefault="009D78D2" w:rsidP="009D78D2">
      <w:pPr>
        <w:spacing w:after="0" w:line="480" w:lineRule="atLeast"/>
        <w:rPr>
          <w:rFonts w:ascii="Trebuchet MS" w:eastAsia="Times New Roman" w:hAnsi="Trebuchet MS" w:cs="Times New Roman"/>
          <w:spacing w:val="7"/>
          <w:sz w:val="24"/>
          <w:szCs w:val="24"/>
        </w:rPr>
      </w:pPr>
      <w:r w:rsidRPr="009D78D2">
        <w:rPr>
          <w:rFonts w:ascii="Trebuchet MS" w:eastAsia="Times New Roman" w:hAnsi="Trebuchet MS" w:cs="Times New Roman"/>
          <w:spacing w:val="7"/>
          <w:sz w:val="24"/>
          <w:szCs w:val="24"/>
        </w:rPr>
        <w:t>T7320</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SYSTEM NAME:</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Corporate Electronic Funds Transfer (EFT) Records </w:t>
      </w:r>
      <w:proofErr w:type="gramStart"/>
      <w:r w:rsidRPr="009D78D2">
        <w:rPr>
          <w:rFonts w:ascii="Trebuchet MS" w:eastAsia="Times New Roman" w:hAnsi="Trebuchet MS" w:cs="Times New Roman"/>
          <w:spacing w:val="7"/>
          <w:sz w:val="20"/>
          <w:szCs w:val="20"/>
        </w:rPr>
        <w:t>( January</w:t>
      </w:r>
      <w:proofErr w:type="gramEnd"/>
      <w:r w:rsidRPr="009D78D2">
        <w:rPr>
          <w:rFonts w:ascii="Trebuchet MS" w:eastAsia="Times New Roman" w:hAnsi="Trebuchet MS" w:cs="Times New Roman"/>
          <w:spacing w:val="7"/>
          <w:sz w:val="20"/>
          <w:szCs w:val="20"/>
        </w:rPr>
        <w:t xml:space="preserve"> 14, 2010, 75 FR 2115)</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SYSTEM LOCATION:</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proofErr w:type="gramStart"/>
      <w:r w:rsidRPr="009D78D2">
        <w:rPr>
          <w:rFonts w:ascii="Trebuchet MS" w:eastAsia="Times New Roman" w:hAnsi="Trebuchet MS" w:cs="Times New Roman"/>
          <w:spacing w:val="7"/>
          <w:sz w:val="20"/>
          <w:szCs w:val="20"/>
        </w:rPr>
        <w:t xml:space="preserve">Defense Information Systems Agency (DISA), Defense Enterprise Computing Center (DECC) Ogden, Building 981, Southwest Dock, 7879 </w:t>
      </w:r>
      <w:proofErr w:type="spellStart"/>
      <w:r w:rsidRPr="009D78D2">
        <w:rPr>
          <w:rFonts w:ascii="Trebuchet MS" w:eastAsia="Times New Roman" w:hAnsi="Trebuchet MS" w:cs="Times New Roman"/>
          <w:spacing w:val="7"/>
          <w:sz w:val="20"/>
          <w:szCs w:val="20"/>
        </w:rPr>
        <w:t>Wardleigh</w:t>
      </w:r>
      <w:proofErr w:type="spellEnd"/>
      <w:r w:rsidRPr="009D78D2">
        <w:rPr>
          <w:rFonts w:ascii="Trebuchet MS" w:eastAsia="Times New Roman" w:hAnsi="Trebuchet MS" w:cs="Times New Roman"/>
          <w:spacing w:val="7"/>
          <w:sz w:val="20"/>
          <w:szCs w:val="20"/>
        </w:rPr>
        <w:t xml:space="preserve"> Road, Hill AFB, UT 84056-5997.</w:t>
      </w:r>
      <w:proofErr w:type="gramEnd"/>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proofErr w:type="gramStart"/>
      <w:r w:rsidRPr="009D78D2">
        <w:rPr>
          <w:rFonts w:ascii="Trebuchet MS" w:eastAsia="Times New Roman" w:hAnsi="Trebuchet MS" w:cs="Times New Roman"/>
          <w:spacing w:val="7"/>
          <w:sz w:val="20"/>
          <w:szCs w:val="20"/>
        </w:rPr>
        <w:t xml:space="preserve">Defense Information Systems Agency (DISA), Defense Enterprise Computing Center (DECC) Mechanicsburg - </w:t>
      </w:r>
      <w:proofErr w:type="spellStart"/>
      <w:r w:rsidRPr="009D78D2">
        <w:rPr>
          <w:rFonts w:ascii="Trebuchet MS" w:eastAsia="Times New Roman" w:hAnsi="Trebuchet MS" w:cs="Times New Roman"/>
          <w:spacing w:val="7"/>
          <w:sz w:val="20"/>
          <w:szCs w:val="20"/>
        </w:rPr>
        <w:t>Bldg</w:t>
      </w:r>
      <w:proofErr w:type="spellEnd"/>
      <w:r w:rsidRPr="009D78D2">
        <w:rPr>
          <w:rFonts w:ascii="Trebuchet MS" w:eastAsia="Times New Roman" w:hAnsi="Trebuchet MS" w:cs="Times New Roman"/>
          <w:spacing w:val="7"/>
          <w:sz w:val="20"/>
          <w:szCs w:val="20"/>
        </w:rPr>
        <w:t xml:space="preserve"> 308, Naval Support Activity (NSA), 5450 Carlisle Pike, Mechanicsburg, PA 17050-2411.</w:t>
      </w:r>
      <w:proofErr w:type="gramEnd"/>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proofErr w:type="gramStart"/>
      <w:r w:rsidRPr="009D78D2">
        <w:rPr>
          <w:rFonts w:ascii="Trebuchet MS" w:eastAsia="Times New Roman" w:hAnsi="Trebuchet MS" w:cs="Times New Roman"/>
          <w:spacing w:val="7"/>
          <w:sz w:val="20"/>
          <w:szCs w:val="20"/>
        </w:rPr>
        <w:t>Defense Finance and Accounting Service, Columbus, P.O. Box 182317 Columbus, OH 43218-2317.</w:t>
      </w:r>
      <w:proofErr w:type="gramEnd"/>
      <w:r w:rsidRPr="009D78D2">
        <w:rPr>
          <w:rFonts w:ascii="Trebuchet MS" w:eastAsia="Times New Roman" w:hAnsi="Trebuchet MS" w:cs="Times New Roman"/>
          <w:spacing w:val="7"/>
          <w:sz w:val="20"/>
          <w:szCs w:val="20"/>
        </w:rPr>
        <w:t xml:space="preserve">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Defense Finance and Accounting Service, Cleveland, 1240 E. 9</w:t>
      </w:r>
      <w:r w:rsidRPr="009D78D2">
        <w:rPr>
          <w:rFonts w:ascii="Trebuchet MS" w:eastAsia="Times New Roman" w:hAnsi="Trebuchet MS" w:cs="Times New Roman"/>
          <w:spacing w:val="7"/>
          <w:sz w:val="20"/>
          <w:szCs w:val="20"/>
          <w:vertAlign w:val="superscript"/>
        </w:rPr>
        <w:t>th</w:t>
      </w:r>
      <w:r w:rsidRPr="009D78D2">
        <w:rPr>
          <w:rFonts w:ascii="Trebuchet MS" w:eastAsia="Times New Roman" w:hAnsi="Trebuchet MS" w:cs="Times New Roman"/>
          <w:spacing w:val="7"/>
          <w:sz w:val="20"/>
          <w:szCs w:val="20"/>
        </w:rPr>
        <w:t xml:space="preserve"> Street, Cleveland, OH 44199-8002.</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Defense Finance and Accounting Service, Indianapolis, 8899 E. 56</w:t>
      </w:r>
      <w:r w:rsidRPr="009D78D2">
        <w:rPr>
          <w:rFonts w:ascii="Trebuchet MS" w:eastAsia="Times New Roman" w:hAnsi="Trebuchet MS" w:cs="Times New Roman"/>
          <w:spacing w:val="7"/>
          <w:sz w:val="20"/>
          <w:szCs w:val="20"/>
          <w:vertAlign w:val="superscript"/>
        </w:rPr>
        <w:t>th</w:t>
      </w:r>
      <w:r w:rsidRPr="009D78D2">
        <w:rPr>
          <w:rFonts w:ascii="Trebuchet MS" w:eastAsia="Times New Roman" w:hAnsi="Trebuchet MS" w:cs="Times New Roman"/>
          <w:spacing w:val="7"/>
          <w:sz w:val="20"/>
          <w:szCs w:val="20"/>
        </w:rPr>
        <w:t xml:space="preserve"> St., Indianapolis, IN 46249-0100.</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proofErr w:type="gramStart"/>
      <w:r w:rsidRPr="009D78D2">
        <w:rPr>
          <w:rFonts w:ascii="Trebuchet MS" w:eastAsia="Times New Roman" w:hAnsi="Trebuchet MS" w:cs="Times New Roman"/>
          <w:spacing w:val="7"/>
          <w:sz w:val="20"/>
          <w:szCs w:val="20"/>
        </w:rPr>
        <w:t>Defense Finance and Accounting Service, 325 Brooks Road, Rome, NY 13441-4527.</w:t>
      </w:r>
      <w:proofErr w:type="gramEnd"/>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proofErr w:type="gramStart"/>
      <w:r w:rsidRPr="009D78D2">
        <w:rPr>
          <w:rFonts w:ascii="Trebuchet MS" w:eastAsia="Times New Roman" w:hAnsi="Trebuchet MS" w:cs="Times New Roman"/>
          <w:spacing w:val="7"/>
          <w:sz w:val="20"/>
          <w:szCs w:val="20"/>
        </w:rPr>
        <w:t>Defense Finance and Accounting Service, 27 Arkansas Road, Limestone, ME 04751-6216.</w:t>
      </w:r>
      <w:proofErr w:type="gramEnd"/>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CATEGORIES OF INDIVIDUALS COVERED BY THE SYSTEM:</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Department of Defense (DoD) civilian personnel, and other U.S. government employees paid by DFAS; active military, former, and retired military members; annuitants; Reserve and National Guard personnel; academy nominees, applicants, and cadets; dependents of military personnel; foreign nationals residing in the United States, vendors/contractors and all in receipt of payments from DFAS. </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CATEGORIES OF RECORDS IN THE SYSTEM:</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Name, Social Security Number, home address, financial institution account number, account type, financial institution name, American Banking Association routing and transmittal number, lock box number, electronic funds transfer payment method, electronic funds transfer waiver, Commercial and Government Entity (CAGE), Dun and Bradstreet, Data Universal Numbering System (DUNS) numbers, and Tax Identification Numbers (TINs).</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AUTHORITY FOR MAINTENANCE OF THE SYSTEM:</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proofErr w:type="gramStart"/>
      <w:r w:rsidRPr="009D78D2">
        <w:rPr>
          <w:rFonts w:ascii="Trebuchet MS" w:eastAsia="Times New Roman" w:hAnsi="Trebuchet MS" w:cs="Times New Roman"/>
          <w:spacing w:val="7"/>
          <w:sz w:val="20"/>
          <w:szCs w:val="20"/>
        </w:rPr>
        <w:t xml:space="preserve">5 U.S.C. 301, Departmental Regulations; </w:t>
      </w:r>
      <w:proofErr w:type="spellStart"/>
      <w:r w:rsidRPr="009D78D2">
        <w:rPr>
          <w:rFonts w:ascii="Trebuchet MS" w:eastAsia="Times New Roman" w:hAnsi="Trebuchet MS" w:cs="Times New Roman"/>
          <w:spacing w:val="7"/>
          <w:sz w:val="20"/>
          <w:szCs w:val="20"/>
        </w:rPr>
        <w:t>Pub.L</w:t>
      </w:r>
      <w:proofErr w:type="spellEnd"/>
      <w:r w:rsidRPr="009D78D2">
        <w:rPr>
          <w:rFonts w:ascii="Trebuchet MS" w:eastAsia="Times New Roman" w:hAnsi="Trebuchet MS" w:cs="Times New Roman"/>
          <w:spacing w:val="7"/>
          <w:sz w:val="20"/>
          <w:szCs w:val="20"/>
        </w:rPr>
        <w:t>.</w:t>
      </w:r>
      <w:proofErr w:type="gramEnd"/>
      <w:r w:rsidRPr="009D78D2">
        <w:rPr>
          <w:rFonts w:ascii="Trebuchet MS" w:eastAsia="Times New Roman" w:hAnsi="Trebuchet MS" w:cs="Times New Roman"/>
          <w:spacing w:val="7"/>
          <w:sz w:val="20"/>
          <w:szCs w:val="20"/>
        </w:rPr>
        <w:t xml:space="preserve"> 104-134, Debt Collection Improvement Act of 1996; DoD Financial Management Regulation 7000.14-R, Volumes 7B, 7C, 8, Military Pay Policy and Procedures Retired Pay, Military Pay Policy and Procedures Active Duty and Reserve Pay, Civilian Pay Policy and Procedures; and E. O. 9397 (SSN), as amended.</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PURPOSE(S):</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The Electronic Funds Transfer Database will provide DoD with a central repository for Active Duty, Reserve, Guard, separated or retired military members, annuitants, academy nominees, applicants, cadets, dependents of military personnel, DoD civilian employees, other government employees paid by DFAS, foreign nationals residing in the United States, and vendor/contractor remittance information, which will be used to verify the validity of payee and financial institution accounts prior to issuing an electronic payment.</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In addition to those disclosures generally permitted under 5 U.S.C. 552a(b) of the Privacy Act of 1974, as amended, these records or information contained therein may specifically be disclosed outside the Department of Defense as a routine use pursuant to 5 U.S.C. 552a(b)(3) as follows: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To the U.S. Treasury Department to provide information on check issues and electronic funds transfers.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To the Internal Revenue Service to report taxable earnings and taxes withheld, accounting, and tax audits, and to compute or resolve tax liability or tax levies.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To the Social Security Administration to report earned wages by members for the Federal Insurance Contribution Act, accounting or tax audits, and death notices.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To the Department of Veterans Affairs to report compensation, waivers, and audits, life insurance accounting, disbursement and benefit determinations, and death notices.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To the American Red Cross and military relief societies to assist military personnel, and their dependents in determining the status of monthly pay, dependents' allotments, loans, and related financial transactions, and to perform other relief-related duties as requested by the service member.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To Federal Reserve banks to distribute payments made through the direct deposit system to financial organizations or their processing agents authorized by individuals to receive and deposit payments in their accounts.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To State Guard Units for the purposes of making electronic payments to guard members who are on State duty during times of emergency.</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The </w:t>
      </w:r>
      <w:proofErr w:type="gramStart"/>
      <w:r w:rsidRPr="009D78D2">
        <w:rPr>
          <w:rFonts w:ascii="Trebuchet MS" w:eastAsia="Times New Roman" w:hAnsi="Trebuchet MS" w:cs="Times New Roman"/>
          <w:spacing w:val="7"/>
          <w:sz w:val="20"/>
          <w:szCs w:val="20"/>
        </w:rPr>
        <w:t>DoD</w:t>
      </w:r>
      <w:proofErr w:type="gramEnd"/>
      <w:r w:rsidRPr="009D78D2">
        <w:rPr>
          <w:rFonts w:ascii="Trebuchet MS" w:eastAsia="Times New Roman" w:hAnsi="Trebuchet MS" w:cs="Times New Roman"/>
          <w:spacing w:val="7"/>
          <w:sz w:val="20"/>
          <w:szCs w:val="20"/>
        </w:rPr>
        <w:t xml:space="preserve"> `Blanket Routine Uses' published at the beginning of the Defense Finance and Accounting Service compilation of systems of records notices also apply to this system.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Disclosure to consumer reporting agencies:</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Disclosures pursuant to 5 U.S.C. 552a(b)(12) may be made from this system to `consumer reporting agencies' as defined in the Fair Credit Reporting Act, (15 U.S.C. 1681a(f)) or the Federal Claims Collection Act of 1966, (31 U.S.C. 3701(a)(3)). The purpose of this disclosure is to aid in the collection of outstanding debts owed to the Federal government; typically to provide an incentive for debtors to repay delinquent Federal government debts by making these debts part of their credit records.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The disclosure is limited to information necessary to establish the identity of the individual, including name, address, and taxpayer identification number (Social Security Number for individuals); the amount, status, and history of the claim; and the agency or program under which the claim arose for the sole purpose of allowing the consumer reporting agency to prepare a commercial credit report. </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9D78D2" w:rsidRPr="009D78D2" w:rsidRDefault="009D78D2" w:rsidP="009D78D2">
      <w:pPr>
        <w:spacing w:before="300" w:after="75" w:line="480" w:lineRule="atLeast"/>
        <w:outlineLvl w:val="5"/>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STORAGE:</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 xml:space="preserve">The records are maintained in computers and computer output products; electronic storage media, and hard copy documents. </w:t>
      </w:r>
    </w:p>
    <w:p w:rsidR="009D78D2" w:rsidRPr="009D78D2" w:rsidRDefault="009D78D2" w:rsidP="009D78D2">
      <w:pPr>
        <w:spacing w:before="300" w:after="75" w:line="480" w:lineRule="atLeast"/>
        <w:outlineLvl w:val="5"/>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RETRIEVABILITY:</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proofErr w:type="gramStart"/>
      <w:r w:rsidRPr="009D78D2">
        <w:rPr>
          <w:rFonts w:ascii="Trebuchet MS" w:eastAsia="Times New Roman" w:hAnsi="Trebuchet MS" w:cs="Times New Roman"/>
          <w:spacing w:val="7"/>
          <w:sz w:val="20"/>
          <w:szCs w:val="20"/>
        </w:rPr>
        <w:t>Retrieved by name, Social Security Number (SSN) or taxpayer identification number.</w:t>
      </w:r>
      <w:proofErr w:type="gramEnd"/>
    </w:p>
    <w:p w:rsidR="009D78D2" w:rsidRPr="009D78D2" w:rsidRDefault="009D78D2" w:rsidP="009D78D2">
      <w:pPr>
        <w:spacing w:before="300" w:after="75" w:line="480" w:lineRule="atLeast"/>
        <w:outlineLvl w:val="5"/>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Safeguards:</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Records are stored in office buildings protected by guards, controlled screening, visitor registers are used, electronic access, and/or locks. Access to records is limited to individuals who are properly screened and cleared on a need-to-know basis in the performance of their official duties. Passwords and digital signatures are used to control access to the systems data, and procedures are in place to deter and detect browsing and unauthorized access. Physical and electronic access are limited to persons responsible for servicing and authorized to use the record system.</w:t>
      </w:r>
    </w:p>
    <w:p w:rsidR="009D78D2" w:rsidRPr="009D78D2" w:rsidRDefault="009D78D2" w:rsidP="009D78D2">
      <w:pPr>
        <w:spacing w:before="300" w:after="75" w:line="480" w:lineRule="atLeast"/>
        <w:outlineLvl w:val="5"/>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RETENTION AND DISPOSAL:</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Records in this system are maintained for 6 years and 3 months after date of cutoff. Records are disposed of by burning, shredding, or degaussing electronic media.</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System Manager(s) and Address:</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proofErr w:type="gramStart"/>
      <w:r w:rsidRPr="009D78D2">
        <w:rPr>
          <w:rFonts w:ascii="Trebuchet MS" w:eastAsia="Times New Roman" w:hAnsi="Trebuchet MS" w:cs="Times New Roman"/>
          <w:spacing w:val="7"/>
          <w:sz w:val="20"/>
          <w:szCs w:val="20"/>
        </w:rPr>
        <w:t>Director, Strategic Business Office, Defense Finance and Accounting Service, Columbus, P.O. Box 182317 Columbus, OH 43218-2317.</w:t>
      </w:r>
      <w:proofErr w:type="gramEnd"/>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Notification Procedure:</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Individuals seeking to determine whether information about themselves is contained in this system of records should address written inquiries to the Defense Finance and Accounting Service, Corporate Communications and Legislative Liaison, Freedom of Information Act/Privacy Act Program Manager, DFAS-HAC/IN, 8899 E. 56</w:t>
      </w:r>
      <w:r w:rsidRPr="009D78D2">
        <w:rPr>
          <w:rFonts w:ascii="Trebuchet MS" w:eastAsia="Times New Roman" w:hAnsi="Trebuchet MS" w:cs="Times New Roman"/>
          <w:spacing w:val="7"/>
          <w:sz w:val="20"/>
          <w:szCs w:val="20"/>
          <w:vertAlign w:val="superscript"/>
        </w:rPr>
        <w:t>th</w:t>
      </w:r>
      <w:r w:rsidRPr="009D78D2">
        <w:rPr>
          <w:rFonts w:ascii="Trebuchet MS" w:eastAsia="Times New Roman" w:hAnsi="Trebuchet MS" w:cs="Times New Roman"/>
          <w:spacing w:val="7"/>
          <w:sz w:val="20"/>
          <w:szCs w:val="20"/>
        </w:rPr>
        <w:t xml:space="preserve"> Street, Indianapolis, IN 46249-0150.</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Individual should provide their full name, Social Security Number (SSN), current address and telephone number.</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Record Access Procedures:</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Individuals seeking access to information about them contained in this system of records should address written inquiries to the Defense Finance and Accounting Service, Corporate Communications and Legislative Liaison, Freedom of Information Act/Privacy Act Program Manager, DFAS-HAC/IN, 8899 E. 56</w:t>
      </w:r>
      <w:r w:rsidRPr="009D78D2">
        <w:rPr>
          <w:rFonts w:ascii="Trebuchet MS" w:eastAsia="Times New Roman" w:hAnsi="Trebuchet MS" w:cs="Times New Roman"/>
          <w:spacing w:val="7"/>
          <w:sz w:val="20"/>
          <w:szCs w:val="20"/>
          <w:vertAlign w:val="superscript"/>
        </w:rPr>
        <w:t>th</w:t>
      </w:r>
      <w:r w:rsidRPr="009D78D2">
        <w:rPr>
          <w:rFonts w:ascii="Trebuchet MS" w:eastAsia="Times New Roman" w:hAnsi="Trebuchet MS" w:cs="Times New Roman"/>
          <w:spacing w:val="7"/>
          <w:sz w:val="20"/>
          <w:szCs w:val="20"/>
        </w:rPr>
        <w:t xml:space="preserve"> Street, Indianapolis, IN 46249-0150. </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Individual should provide their full name, Social Security Number (SSN), current address and telephone number.</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Contesting Record Procedures:</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The DFAS rules for accessing records, for contesting contents and appealing initial agency determinations are published in DFAS Regulation 5400.11-R; 32 CFR part 324; or may be obtained from the Defense Finance and Accounting Service, Corporate Communications and Legislative Liaison, Freedom of Information Act/Privacy Act Program Manager, DFAS-HAC/IN, 8899 E. 56</w:t>
      </w:r>
      <w:r w:rsidRPr="009D78D2">
        <w:rPr>
          <w:rFonts w:ascii="Trebuchet MS" w:eastAsia="Times New Roman" w:hAnsi="Trebuchet MS" w:cs="Times New Roman"/>
          <w:spacing w:val="7"/>
          <w:sz w:val="20"/>
          <w:szCs w:val="20"/>
          <w:vertAlign w:val="superscript"/>
        </w:rPr>
        <w:t>th</w:t>
      </w:r>
      <w:r w:rsidRPr="009D78D2">
        <w:rPr>
          <w:rFonts w:ascii="Trebuchet MS" w:eastAsia="Times New Roman" w:hAnsi="Trebuchet MS" w:cs="Times New Roman"/>
          <w:spacing w:val="7"/>
          <w:sz w:val="20"/>
          <w:szCs w:val="20"/>
        </w:rPr>
        <w:t xml:space="preserve"> Street, Indianapolis, IN 46249-0150. </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Record Source Categories:</w:t>
      </w:r>
    </w:p>
    <w:p w:rsidR="009D78D2" w:rsidRPr="009D78D2" w:rsidRDefault="009D78D2" w:rsidP="009D78D2">
      <w:pPr>
        <w:spacing w:before="75" w:after="240" w:line="432" w:lineRule="atLeast"/>
        <w:rPr>
          <w:rFonts w:ascii="Trebuchet MS" w:eastAsia="Times New Roman" w:hAnsi="Trebuchet MS" w:cs="Times New Roman"/>
          <w:spacing w:val="7"/>
          <w:sz w:val="20"/>
          <w:szCs w:val="20"/>
        </w:rPr>
      </w:pPr>
      <w:r w:rsidRPr="009D78D2">
        <w:rPr>
          <w:rFonts w:ascii="Trebuchet MS" w:eastAsia="Times New Roman" w:hAnsi="Trebuchet MS" w:cs="Times New Roman"/>
          <w:spacing w:val="7"/>
          <w:sz w:val="20"/>
          <w:szCs w:val="20"/>
        </w:rPr>
        <w:t>Information is obtained from the Active Duty, Reserve, Guard, separated or retired military members, annuitants, academy nominees, applicants, cadets, dependents of military personnel, DoD civilian employees, other government employees paid by DFAS, foreign nationals residing in the United States, and vendors/contractors.</w:t>
      </w:r>
    </w:p>
    <w:p w:rsidR="009D78D2" w:rsidRPr="009D78D2" w:rsidRDefault="009D78D2" w:rsidP="009D78D2">
      <w:pPr>
        <w:spacing w:before="300" w:after="75" w:line="480" w:lineRule="atLeast"/>
        <w:outlineLvl w:val="4"/>
        <w:rPr>
          <w:rFonts w:ascii="Trebuchet MS" w:eastAsia="Times New Roman" w:hAnsi="Trebuchet MS" w:cs="Times New Roman"/>
          <w:b/>
          <w:bCs/>
          <w:caps/>
          <w:spacing w:val="7"/>
          <w:sz w:val="25"/>
          <w:szCs w:val="25"/>
        </w:rPr>
      </w:pPr>
      <w:r w:rsidRPr="009D78D2">
        <w:rPr>
          <w:rFonts w:ascii="Trebuchet MS" w:eastAsia="Times New Roman" w:hAnsi="Trebuchet MS" w:cs="Times New Roman"/>
          <w:b/>
          <w:bCs/>
          <w:caps/>
          <w:spacing w:val="7"/>
          <w:sz w:val="25"/>
          <w:szCs w:val="25"/>
        </w:rPr>
        <w:t>Exemptions Claimed for the System:</w:t>
      </w:r>
    </w:p>
    <w:p w:rsidR="009D78D2" w:rsidRPr="009D78D2" w:rsidRDefault="009D78D2" w:rsidP="009D78D2">
      <w:pPr>
        <w:spacing w:before="75" w:line="432" w:lineRule="atLeast"/>
        <w:rPr>
          <w:rFonts w:ascii="Trebuchet MS" w:eastAsia="Times New Roman" w:hAnsi="Trebuchet MS" w:cs="Times New Roman"/>
          <w:spacing w:val="7"/>
          <w:sz w:val="20"/>
          <w:szCs w:val="20"/>
        </w:rPr>
      </w:pPr>
      <w:proofErr w:type="gramStart"/>
      <w:r w:rsidRPr="009D78D2">
        <w:rPr>
          <w:rFonts w:ascii="Trebuchet MS" w:eastAsia="Times New Roman" w:hAnsi="Trebuchet MS" w:cs="Times New Roman"/>
          <w:spacing w:val="7"/>
          <w:sz w:val="20"/>
          <w:szCs w:val="20"/>
        </w:rPr>
        <w:t>None.</w:t>
      </w:r>
      <w:proofErr w:type="gramEnd"/>
      <w:r w:rsidRPr="009D78D2">
        <w:rPr>
          <w:rFonts w:ascii="Trebuchet MS" w:eastAsia="Times New Roman" w:hAnsi="Trebuchet MS" w:cs="Times New Roman"/>
          <w:spacing w:val="7"/>
          <w:sz w:val="20"/>
          <w:szCs w:val="20"/>
        </w:rPr>
        <w:t xml:space="preserve"> </w:t>
      </w:r>
    </w:p>
    <w:p w:rsidR="00432C78" w:rsidRPr="009D78D2" w:rsidRDefault="00432C78" w:rsidP="009D78D2">
      <w:bookmarkStart w:id="0" w:name="_GoBack"/>
      <w:bookmarkEnd w:id="0"/>
    </w:p>
    <w:sectPr w:rsidR="00432C78" w:rsidRPr="009D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5B"/>
    <w:rsid w:val="00136539"/>
    <w:rsid w:val="003D04DA"/>
    <w:rsid w:val="00432C78"/>
    <w:rsid w:val="00617E5B"/>
    <w:rsid w:val="009D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7704">
      <w:bodyDiv w:val="1"/>
      <w:marLeft w:val="0"/>
      <w:marRight w:val="0"/>
      <w:marTop w:val="0"/>
      <w:marBottom w:val="0"/>
      <w:divBdr>
        <w:top w:val="none" w:sz="0" w:space="0" w:color="auto"/>
        <w:left w:val="none" w:sz="0" w:space="0" w:color="auto"/>
        <w:bottom w:val="none" w:sz="0" w:space="0" w:color="auto"/>
        <w:right w:val="none" w:sz="0" w:space="0" w:color="auto"/>
      </w:divBdr>
      <w:divsChild>
        <w:div w:id="360865886">
          <w:marLeft w:val="0"/>
          <w:marRight w:val="0"/>
          <w:marTop w:val="300"/>
          <w:marBottom w:val="0"/>
          <w:divBdr>
            <w:top w:val="none" w:sz="0" w:space="0" w:color="auto"/>
            <w:left w:val="none" w:sz="0" w:space="0" w:color="auto"/>
            <w:bottom w:val="none" w:sz="0" w:space="0" w:color="auto"/>
            <w:right w:val="none" w:sz="0" w:space="0" w:color="auto"/>
          </w:divBdr>
          <w:divsChild>
            <w:div w:id="1683168682">
              <w:marLeft w:val="150"/>
              <w:marRight w:val="150"/>
              <w:marTop w:val="0"/>
              <w:marBottom w:val="300"/>
              <w:divBdr>
                <w:top w:val="none" w:sz="0" w:space="0" w:color="auto"/>
                <w:left w:val="none" w:sz="0" w:space="0" w:color="auto"/>
                <w:bottom w:val="none" w:sz="0" w:space="0" w:color="auto"/>
                <w:right w:val="none" w:sz="0" w:space="0" w:color="auto"/>
              </w:divBdr>
              <w:divsChild>
                <w:div w:id="1445077080">
                  <w:marLeft w:val="150"/>
                  <w:marRight w:val="375"/>
                  <w:marTop w:val="0"/>
                  <w:marBottom w:val="0"/>
                  <w:divBdr>
                    <w:top w:val="none" w:sz="0" w:space="0" w:color="auto"/>
                    <w:left w:val="none" w:sz="0" w:space="0" w:color="auto"/>
                    <w:bottom w:val="none" w:sz="0" w:space="0" w:color="auto"/>
                    <w:right w:val="none" w:sz="0" w:space="0" w:color="auto"/>
                  </w:divBdr>
                  <w:divsChild>
                    <w:div w:id="1691031309">
                      <w:marLeft w:val="150"/>
                      <w:marRight w:val="300"/>
                      <w:marTop w:val="450"/>
                      <w:marBottom w:val="300"/>
                      <w:divBdr>
                        <w:top w:val="none" w:sz="0" w:space="0" w:color="auto"/>
                        <w:left w:val="none" w:sz="0" w:space="0" w:color="auto"/>
                        <w:bottom w:val="none" w:sz="0" w:space="0" w:color="auto"/>
                        <w:right w:val="none" w:sz="0" w:space="0" w:color="auto"/>
                      </w:divBdr>
                      <w:divsChild>
                        <w:div w:id="2709435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75052">
      <w:bodyDiv w:val="1"/>
      <w:marLeft w:val="0"/>
      <w:marRight w:val="0"/>
      <w:marTop w:val="0"/>
      <w:marBottom w:val="0"/>
      <w:divBdr>
        <w:top w:val="none" w:sz="0" w:space="0" w:color="auto"/>
        <w:left w:val="none" w:sz="0" w:space="0" w:color="auto"/>
        <w:bottom w:val="none" w:sz="0" w:space="0" w:color="auto"/>
        <w:right w:val="none" w:sz="0" w:space="0" w:color="auto"/>
      </w:divBdr>
      <w:divsChild>
        <w:div w:id="197664070">
          <w:marLeft w:val="0"/>
          <w:marRight w:val="0"/>
          <w:marTop w:val="300"/>
          <w:marBottom w:val="0"/>
          <w:divBdr>
            <w:top w:val="none" w:sz="0" w:space="0" w:color="auto"/>
            <w:left w:val="none" w:sz="0" w:space="0" w:color="auto"/>
            <w:bottom w:val="none" w:sz="0" w:space="0" w:color="auto"/>
            <w:right w:val="none" w:sz="0" w:space="0" w:color="auto"/>
          </w:divBdr>
          <w:divsChild>
            <w:div w:id="1330791843">
              <w:marLeft w:val="150"/>
              <w:marRight w:val="150"/>
              <w:marTop w:val="0"/>
              <w:marBottom w:val="300"/>
              <w:divBdr>
                <w:top w:val="none" w:sz="0" w:space="0" w:color="auto"/>
                <w:left w:val="none" w:sz="0" w:space="0" w:color="auto"/>
                <w:bottom w:val="none" w:sz="0" w:space="0" w:color="auto"/>
                <w:right w:val="none" w:sz="0" w:space="0" w:color="auto"/>
              </w:divBdr>
              <w:divsChild>
                <w:div w:id="853346547">
                  <w:marLeft w:val="150"/>
                  <w:marRight w:val="375"/>
                  <w:marTop w:val="0"/>
                  <w:marBottom w:val="0"/>
                  <w:divBdr>
                    <w:top w:val="none" w:sz="0" w:space="0" w:color="auto"/>
                    <w:left w:val="none" w:sz="0" w:space="0" w:color="auto"/>
                    <w:bottom w:val="none" w:sz="0" w:space="0" w:color="auto"/>
                    <w:right w:val="none" w:sz="0" w:space="0" w:color="auto"/>
                  </w:divBdr>
                  <w:divsChild>
                    <w:div w:id="831062674">
                      <w:marLeft w:val="150"/>
                      <w:marRight w:val="300"/>
                      <w:marTop w:val="450"/>
                      <w:marBottom w:val="300"/>
                      <w:divBdr>
                        <w:top w:val="none" w:sz="0" w:space="0" w:color="auto"/>
                        <w:left w:val="none" w:sz="0" w:space="0" w:color="auto"/>
                        <w:bottom w:val="none" w:sz="0" w:space="0" w:color="auto"/>
                        <w:right w:val="none" w:sz="0" w:space="0" w:color="auto"/>
                      </w:divBdr>
                      <w:divsChild>
                        <w:div w:id="14447632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454">
      <w:bodyDiv w:val="1"/>
      <w:marLeft w:val="0"/>
      <w:marRight w:val="0"/>
      <w:marTop w:val="0"/>
      <w:marBottom w:val="0"/>
      <w:divBdr>
        <w:top w:val="none" w:sz="0" w:space="0" w:color="auto"/>
        <w:left w:val="none" w:sz="0" w:space="0" w:color="auto"/>
        <w:bottom w:val="none" w:sz="0" w:space="0" w:color="auto"/>
        <w:right w:val="none" w:sz="0" w:space="0" w:color="auto"/>
      </w:divBdr>
      <w:divsChild>
        <w:div w:id="642808575">
          <w:marLeft w:val="0"/>
          <w:marRight w:val="0"/>
          <w:marTop w:val="300"/>
          <w:marBottom w:val="0"/>
          <w:divBdr>
            <w:top w:val="none" w:sz="0" w:space="0" w:color="auto"/>
            <w:left w:val="none" w:sz="0" w:space="0" w:color="auto"/>
            <w:bottom w:val="none" w:sz="0" w:space="0" w:color="auto"/>
            <w:right w:val="none" w:sz="0" w:space="0" w:color="auto"/>
          </w:divBdr>
          <w:divsChild>
            <w:div w:id="821965188">
              <w:marLeft w:val="150"/>
              <w:marRight w:val="150"/>
              <w:marTop w:val="0"/>
              <w:marBottom w:val="300"/>
              <w:divBdr>
                <w:top w:val="none" w:sz="0" w:space="0" w:color="auto"/>
                <w:left w:val="none" w:sz="0" w:space="0" w:color="auto"/>
                <w:bottom w:val="none" w:sz="0" w:space="0" w:color="auto"/>
                <w:right w:val="none" w:sz="0" w:space="0" w:color="auto"/>
              </w:divBdr>
              <w:divsChild>
                <w:div w:id="1254515573">
                  <w:marLeft w:val="150"/>
                  <w:marRight w:val="375"/>
                  <w:marTop w:val="0"/>
                  <w:marBottom w:val="0"/>
                  <w:divBdr>
                    <w:top w:val="none" w:sz="0" w:space="0" w:color="auto"/>
                    <w:left w:val="none" w:sz="0" w:space="0" w:color="auto"/>
                    <w:bottom w:val="none" w:sz="0" w:space="0" w:color="auto"/>
                    <w:right w:val="none" w:sz="0" w:space="0" w:color="auto"/>
                  </w:divBdr>
                  <w:divsChild>
                    <w:div w:id="1542592852">
                      <w:marLeft w:val="150"/>
                      <w:marRight w:val="300"/>
                      <w:marTop w:val="450"/>
                      <w:marBottom w:val="300"/>
                      <w:divBdr>
                        <w:top w:val="none" w:sz="0" w:space="0" w:color="auto"/>
                        <w:left w:val="none" w:sz="0" w:space="0" w:color="auto"/>
                        <w:bottom w:val="none" w:sz="0" w:space="0" w:color="auto"/>
                        <w:right w:val="none" w:sz="0" w:space="0" w:color="auto"/>
                      </w:divBdr>
                      <w:divsChild>
                        <w:div w:id="12921348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56592">
      <w:bodyDiv w:val="1"/>
      <w:marLeft w:val="0"/>
      <w:marRight w:val="0"/>
      <w:marTop w:val="0"/>
      <w:marBottom w:val="0"/>
      <w:divBdr>
        <w:top w:val="none" w:sz="0" w:space="0" w:color="auto"/>
        <w:left w:val="none" w:sz="0" w:space="0" w:color="auto"/>
        <w:bottom w:val="none" w:sz="0" w:space="0" w:color="auto"/>
        <w:right w:val="none" w:sz="0" w:space="0" w:color="auto"/>
      </w:divBdr>
      <w:divsChild>
        <w:div w:id="640157485">
          <w:marLeft w:val="0"/>
          <w:marRight w:val="0"/>
          <w:marTop w:val="300"/>
          <w:marBottom w:val="0"/>
          <w:divBdr>
            <w:top w:val="none" w:sz="0" w:space="0" w:color="auto"/>
            <w:left w:val="none" w:sz="0" w:space="0" w:color="auto"/>
            <w:bottom w:val="none" w:sz="0" w:space="0" w:color="auto"/>
            <w:right w:val="none" w:sz="0" w:space="0" w:color="auto"/>
          </w:divBdr>
          <w:divsChild>
            <w:div w:id="1652296669">
              <w:marLeft w:val="150"/>
              <w:marRight w:val="150"/>
              <w:marTop w:val="0"/>
              <w:marBottom w:val="300"/>
              <w:divBdr>
                <w:top w:val="none" w:sz="0" w:space="0" w:color="auto"/>
                <w:left w:val="none" w:sz="0" w:space="0" w:color="auto"/>
                <w:bottom w:val="none" w:sz="0" w:space="0" w:color="auto"/>
                <w:right w:val="none" w:sz="0" w:space="0" w:color="auto"/>
              </w:divBdr>
              <w:divsChild>
                <w:div w:id="820998198">
                  <w:marLeft w:val="150"/>
                  <w:marRight w:val="375"/>
                  <w:marTop w:val="0"/>
                  <w:marBottom w:val="0"/>
                  <w:divBdr>
                    <w:top w:val="none" w:sz="0" w:space="0" w:color="auto"/>
                    <w:left w:val="none" w:sz="0" w:space="0" w:color="auto"/>
                    <w:bottom w:val="none" w:sz="0" w:space="0" w:color="auto"/>
                    <w:right w:val="none" w:sz="0" w:space="0" w:color="auto"/>
                  </w:divBdr>
                  <w:divsChild>
                    <w:div w:id="1777553765">
                      <w:marLeft w:val="150"/>
                      <w:marRight w:val="300"/>
                      <w:marTop w:val="450"/>
                      <w:marBottom w:val="300"/>
                      <w:divBdr>
                        <w:top w:val="none" w:sz="0" w:space="0" w:color="auto"/>
                        <w:left w:val="none" w:sz="0" w:space="0" w:color="auto"/>
                        <w:bottom w:val="none" w:sz="0" w:space="0" w:color="auto"/>
                        <w:right w:val="none" w:sz="0" w:space="0" w:color="auto"/>
                      </w:divBdr>
                      <w:divsChild>
                        <w:div w:id="10398640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EITSD</cp:lastModifiedBy>
  <cp:revision>2</cp:revision>
  <dcterms:created xsi:type="dcterms:W3CDTF">2013-07-29T13:34:00Z</dcterms:created>
  <dcterms:modified xsi:type="dcterms:W3CDTF">2013-07-29T13:34:00Z</dcterms:modified>
</cp:coreProperties>
</file>