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AD7" w:rsidRDefault="002B2AD7" w:rsidP="00040639">
      <w:pPr>
        <w:pStyle w:val="Title"/>
      </w:pPr>
    </w:p>
    <w:p w:rsidR="002B2AD7" w:rsidRDefault="002B2AD7" w:rsidP="00040639">
      <w:pPr>
        <w:pStyle w:val="Title"/>
      </w:pPr>
    </w:p>
    <w:p w:rsidR="002B2AD7" w:rsidRPr="00F878BF" w:rsidRDefault="002B2AD7" w:rsidP="00040639">
      <w:pPr>
        <w:pStyle w:val="Title"/>
      </w:pPr>
      <w:r w:rsidRPr="00F878BF">
        <w:t xml:space="preserve">Supporting Statement </w:t>
      </w:r>
      <w:r>
        <w:t>B</w:t>
      </w:r>
      <w:r w:rsidRPr="00F878BF">
        <w:t xml:space="preserve"> For:</w:t>
      </w:r>
    </w:p>
    <w:p w:rsidR="002B2AD7" w:rsidRDefault="002B2AD7" w:rsidP="00040639"/>
    <w:p w:rsidR="002B2AD7" w:rsidRPr="00ED78C5" w:rsidRDefault="002B2AD7" w:rsidP="00040639"/>
    <w:p w:rsidR="002B2AD7" w:rsidRDefault="002B2AD7" w:rsidP="00040639"/>
    <w:p w:rsidR="002B2AD7" w:rsidRDefault="002B2AD7" w:rsidP="00040639">
      <w:pPr>
        <w:pStyle w:val="Subtitle"/>
      </w:pPr>
    </w:p>
    <w:p w:rsidR="002B2AD7" w:rsidRPr="00FC5235" w:rsidRDefault="002B2AD7" w:rsidP="00071364">
      <w:pPr>
        <w:pStyle w:val="Subtitle"/>
        <w:jc w:val="center"/>
        <w:rPr>
          <w:sz w:val="36"/>
        </w:rPr>
      </w:pPr>
      <w:r w:rsidRPr="00FC5235">
        <w:rPr>
          <w:sz w:val="36"/>
        </w:rPr>
        <w:t xml:space="preserve">Financial Sustainability of Human Tissue </w:t>
      </w:r>
      <w:proofErr w:type="spellStart"/>
      <w:r w:rsidRPr="00FC5235">
        <w:rPr>
          <w:sz w:val="36"/>
        </w:rPr>
        <w:t>Biobanking</w:t>
      </w:r>
      <w:proofErr w:type="spellEnd"/>
      <w:r w:rsidRPr="00FC5235">
        <w:rPr>
          <w:sz w:val="36"/>
        </w:rPr>
        <w:t xml:space="preserve"> (</w:t>
      </w:r>
      <w:smartTag w:uri="urn:schemas-microsoft-com:office:smarttags" w:element="stockticker">
        <w:r w:rsidRPr="00FC5235">
          <w:rPr>
            <w:sz w:val="36"/>
          </w:rPr>
          <w:t>NCI</w:t>
        </w:r>
      </w:smartTag>
      <w:r w:rsidRPr="00FC5235">
        <w:rPr>
          <w:sz w:val="36"/>
        </w:rPr>
        <w:t>)</w:t>
      </w:r>
    </w:p>
    <w:p w:rsidR="002B2AD7" w:rsidRDefault="002B2AD7" w:rsidP="00071364">
      <w:pPr>
        <w:jc w:val="center"/>
      </w:pPr>
    </w:p>
    <w:p w:rsidR="002B2AD7" w:rsidRDefault="002B2AD7" w:rsidP="00071364">
      <w:pPr>
        <w:jc w:val="center"/>
      </w:pPr>
    </w:p>
    <w:p w:rsidR="002B2AD7" w:rsidRDefault="002B2AD7" w:rsidP="00071364">
      <w:pPr>
        <w:jc w:val="center"/>
      </w:pPr>
    </w:p>
    <w:p w:rsidR="00763FAA" w:rsidRPr="00091880" w:rsidRDefault="00763FAA" w:rsidP="00763FAA">
      <w:pPr>
        <w:jc w:val="center"/>
        <w:rPr>
          <w:sz w:val="28"/>
        </w:rPr>
      </w:pPr>
      <w:r>
        <w:rPr>
          <w:sz w:val="28"/>
        </w:rPr>
        <w:t>May 23,</w:t>
      </w:r>
      <w:r w:rsidRPr="00091880">
        <w:rPr>
          <w:sz w:val="28"/>
        </w:rPr>
        <w:t xml:space="preserve"> 2013</w:t>
      </w:r>
    </w:p>
    <w:p w:rsidR="00763FAA" w:rsidRPr="007E7417" w:rsidRDefault="00763FAA" w:rsidP="00763FAA"/>
    <w:p w:rsidR="00763FAA" w:rsidRDefault="00763FAA" w:rsidP="00763FAA"/>
    <w:p w:rsidR="00763FAA" w:rsidRPr="007E7417" w:rsidRDefault="00763FAA" w:rsidP="00763FAA"/>
    <w:p w:rsidR="00763FAA" w:rsidRPr="00071ED2" w:rsidRDefault="00763FAA" w:rsidP="00763FAA">
      <w:pPr>
        <w:jc w:val="center"/>
        <w:rPr>
          <w:sz w:val="24"/>
        </w:rPr>
      </w:pPr>
      <w:r>
        <w:rPr>
          <w:sz w:val="24"/>
        </w:rPr>
        <w:t>Jim Vaught, Chief</w:t>
      </w:r>
    </w:p>
    <w:p w:rsidR="00763FAA" w:rsidRPr="00071ED2" w:rsidRDefault="00763FAA" w:rsidP="00763FAA">
      <w:pPr>
        <w:jc w:val="center"/>
        <w:rPr>
          <w:sz w:val="24"/>
        </w:rPr>
      </w:pPr>
      <w:proofErr w:type="spellStart"/>
      <w:r w:rsidRPr="00071ED2">
        <w:rPr>
          <w:sz w:val="24"/>
        </w:rPr>
        <w:t>Biorepositories</w:t>
      </w:r>
      <w:proofErr w:type="spellEnd"/>
      <w:r w:rsidRPr="00071ED2">
        <w:rPr>
          <w:sz w:val="24"/>
        </w:rPr>
        <w:t xml:space="preserve"> and Biospecimens Research Branch</w:t>
      </w:r>
    </w:p>
    <w:p w:rsidR="00763FAA" w:rsidRPr="00071ED2" w:rsidRDefault="00763FAA" w:rsidP="00763FAA">
      <w:pPr>
        <w:jc w:val="center"/>
        <w:rPr>
          <w:sz w:val="24"/>
        </w:rPr>
      </w:pPr>
      <w:r w:rsidRPr="00071ED2">
        <w:rPr>
          <w:sz w:val="24"/>
        </w:rPr>
        <w:t>Cancer Diagnosis Program</w:t>
      </w:r>
    </w:p>
    <w:p w:rsidR="00763FAA" w:rsidRPr="00071ED2" w:rsidRDefault="00763FAA" w:rsidP="00763FAA">
      <w:pPr>
        <w:jc w:val="center"/>
        <w:rPr>
          <w:sz w:val="24"/>
        </w:rPr>
      </w:pPr>
      <w:r w:rsidRPr="00071ED2">
        <w:rPr>
          <w:sz w:val="24"/>
        </w:rPr>
        <w:t>Division of Cancer Treatment and Diagnosis</w:t>
      </w:r>
    </w:p>
    <w:p w:rsidR="00763FAA" w:rsidRPr="00071ED2" w:rsidRDefault="00763FAA" w:rsidP="00763FAA">
      <w:pPr>
        <w:jc w:val="center"/>
        <w:rPr>
          <w:sz w:val="24"/>
        </w:rPr>
      </w:pPr>
      <w:r w:rsidRPr="00071ED2">
        <w:rPr>
          <w:sz w:val="24"/>
        </w:rPr>
        <w:t>National Cancer Institute</w:t>
      </w:r>
    </w:p>
    <w:p w:rsidR="00763FAA" w:rsidRPr="00071ED2" w:rsidRDefault="00763FAA" w:rsidP="00763FAA">
      <w:pPr>
        <w:jc w:val="center"/>
        <w:rPr>
          <w:sz w:val="24"/>
        </w:rPr>
      </w:pPr>
    </w:p>
    <w:p w:rsidR="00763FAA" w:rsidRPr="00071ED2" w:rsidRDefault="00763FAA" w:rsidP="00763FAA">
      <w:pPr>
        <w:jc w:val="center"/>
        <w:rPr>
          <w:sz w:val="24"/>
        </w:rPr>
      </w:pPr>
      <w:r w:rsidRPr="00071ED2">
        <w:rPr>
          <w:sz w:val="24"/>
        </w:rPr>
        <w:t>9609 Medical Center Drive</w:t>
      </w:r>
    </w:p>
    <w:p w:rsidR="00763FAA" w:rsidRPr="00071ED2" w:rsidRDefault="00763FAA" w:rsidP="00763FAA">
      <w:pPr>
        <w:jc w:val="center"/>
        <w:rPr>
          <w:sz w:val="24"/>
        </w:rPr>
      </w:pPr>
      <w:r w:rsidRPr="00071ED2">
        <w:rPr>
          <w:sz w:val="24"/>
        </w:rPr>
        <w:t>Rockville, MD 20892</w:t>
      </w:r>
    </w:p>
    <w:p w:rsidR="00763FAA" w:rsidRPr="00071ED2" w:rsidRDefault="00763FAA" w:rsidP="00763FAA">
      <w:pPr>
        <w:jc w:val="center"/>
        <w:rPr>
          <w:sz w:val="24"/>
        </w:rPr>
      </w:pPr>
    </w:p>
    <w:p w:rsidR="00763FAA" w:rsidRPr="00071ED2" w:rsidRDefault="00763FAA" w:rsidP="00763FAA">
      <w:pPr>
        <w:jc w:val="center"/>
        <w:rPr>
          <w:sz w:val="24"/>
        </w:rPr>
      </w:pPr>
      <w:r w:rsidRPr="00071ED2">
        <w:rPr>
          <w:sz w:val="24"/>
        </w:rPr>
        <w:t>Telephone:  240-276-571</w:t>
      </w:r>
      <w:r>
        <w:rPr>
          <w:sz w:val="24"/>
        </w:rPr>
        <w:t>6</w:t>
      </w:r>
    </w:p>
    <w:p w:rsidR="00763FAA" w:rsidRPr="00071ED2" w:rsidRDefault="00763FAA" w:rsidP="00763FAA">
      <w:pPr>
        <w:jc w:val="center"/>
        <w:rPr>
          <w:color w:val="FF0000"/>
          <w:sz w:val="24"/>
        </w:rPr>
      </w:pPr>
      <w:r w:rsidRPr="00071ED2">
        <w:rPr>
          <w:sz w:val="24"/>
        </w:rPr>
        <w:t>E-mail:</w:t>
      </w:r>
      <w:r w:rsidRPr="00071ED2">
        <w:rPr>
          <w:color w:val="FF0000"/>
          <w:sz w:val="24"/>
        </w:rPr>
        <w:t xml:space="preserve">  </w:t>
      </w:r>
      <w:r>
        <w:rPr>
          <w:sz w:val="24"/>
        </w:rPr>
        <w:t>vaughtj</w:t>
      </w:r>
      <w:r w:rsidRPr="00FD675B">
        <w:rPr>
          <w:sz w:val="24"/>
        </w:rPr>
        <w:t>@</w:t>
      </w:r>
      <w:r>
        <w:rPr>
          <w:sz w:val="24"/>
        </w:rPr>
        <w:t>mail.</w:t>
      </w:r>
      <w:r w:rsidRPr="00FD675B">
        <w:rPr>
          <w:sz w:val="24"/>
        </w:rPr>
        <w:t>nih.gov</w:t>
      </w:r>
    </w:p>
    <w:p w:rsidR="002B2AD7" w:rsidRPr="00A05862" w:rsidRDefault="002B2AD7" w:rsidP="00040639"/>
    <w:p w:rsidR="002B2AD7" w:rsidRDefault="002B2AD7" w:rsidP="00040639">
      <w:pPr>
        <w:pStyle w:val="Footer"/>
      </w:pPr>
    </w:p>
    <w:p w:rsidR="00B9657C" w:rsidRPr="00A05862" w:rsidRDefault="00B9657C" w:rsidP="00040639"/>
    <w:p w:rsidR="00B9657C" w:rsidRDefault="00B9657C" w:rsidP="00040639">
      <w:pPr>
        <w:pStyle w:val="Footer"/>
      </w:pPr>
    </w:p>
    <w:p w:rsidR="000962BB" w:rsidRPr="0060178F" w:rsidRDefault="00B9657C" w:rsidP="0060178F">
      <w:pPr>
        <w:jc w:val="center"/>
        <w:rPr>
          <w:b/>
        </w:rPr>
      </w:pPr>
      <w:r>
        <w:br w:type="page"/>
      </w:r>
      <w:r w:rsidR="000962BB" w:rsidRPr="0060178F">
        <w:rPr>
          <w:b/>
          <w:sz w:val="28"/>
        </w:rPr>
        <w:lastRenderedPageBreak/>
        <w:t xml:space="preserve">Table of </w:t>
      </w:r>
      <w:r w:rsidR="00226916" w:rsidRPr="0060178F">
        <w:rPr>
          <w:b/>
          <w:sz w:val="28"/>
        </w:rPr>
        <w:t>C</w:t>
      </w:r>
      <w:r w:rsidR="000962BB" w:rsidRPr="0060178F">
        <w:rPr>
          <w:b/>
          <w:sz w:val="28"/>
        </w:rPr>
        <w:t>ontents</w:t>
      </w:r>
    </w:p>
    <w:p w:rsidR="004B7555" w:rsidRDefault="00A677C2">
      <w:pPr>
        <w:pStyle w:val="TOC1"/>
        <w:rPr>
          <w:rFonts w:asciiTheme="minorHAnsi" w:eastAsiaTheme="minorEastAsia" w:hAnsiTheme="minorHAnsi" w:cstheme="minorBidi"/>
          <w:b w:val="0"/>
          <w:caps w:val="0"/>
          <w:sz w:val="22"/>
          <w:szCs w:val="22"/>
        </w:rPr>
      </w:pPr>
      <w:r w:rsidRPr="005B6C76">
        <w:rPr>
          <w:caps w:val="0"/>
          <w:smallCaps/>
          <w:noProof w:val="0"/>
          <w:szCs w:val="20"/>
        </w:rPr>
        <w:fldChar w:fldCharType="begin"/>
      </w:r>
      <w:r w:rsidR="00226916" w:rsidRPr="005B6C76">
        <w:instrText xml:space="preserve"> TOC \o "1-2" \u </w:instrText>
      </w:r>
      <w:r w:rsidRPr="005B6C76">
        <w:rPr>
          <w:caps w:val="0"/>
          <w:smallCaps/>
          <w:noProof w:val="0"/>
          <w:szCs w:val="20"/>
        </w:rPr>
        <w:fldChar w:fldCharType="separate"/>
      </w:r>
      <w:r w:rsidR="004B7555">
        <w:t>B.</w:t>
      </w:r>
      <w:r w:rsidR="004B7555">
        <w:rPr>
          <w:rFonts w:asciiTheme="minorHAnsi" w:eastAsiaTheme="minorEastAsia" w:hAnsiTheme="minorHAnsi" w:cstheme="minorBidi"/>
          <w:b w:val="0"/>
          <w:caps w:val="0"/>
          <w:sz w:val="22"/>
          <w:szCs w:val="22"/>
        </w:rPr>
        <w:tab/>
      </w:r>
      <w:r w:rsidR="004B7555">
        <w:t>STATISTICAL METHODS</w:t>
      </w:r>
      <w:r w:rsidR="004B7555">
        <w:tab/>
      </w:r>
      <w:r>
        <w:fldChar w:fldCharType="begin"/>
      </w:r>
      <w:r w:rsidR="004B7555">
        <w:instrText xml:space="preserve"> PAGEREF _Toc351973179 \h </w:instrText>
      </w:r>
      <w:r>
        <w:fldChar w:fldCharType="separate"/>
      </w:r>
      <w:r w:rsidR="004B7555">
        <w:t>1</w:t>
      </w:r>
      <w:r>
        <w:fldChar w:fldCharType="end"/>
      </w:r>
    </w:p>
    <w:p w:rsidR="004B7555" w:rsidRDefault="004B7555" w:rsidP="00236D1E">
      <w:pPr>
        <w:pStyle w:val="TOC2"/>
        <w:spacing w:before="288" w:after="288"/>
        <w:rPr>
          <w:rFonts w:asciiTheme="minorHAnsi" w:eastAsiaTheme="minorEastAsia" w:hAnsiTheme="minorHAnsi" w:cstheme="minorBidi"/>
          <w:b w:val="0"/>
          <w:smallCaps w:val="0"/>
          <w:noProof/>
          <w:sz w:val="22"/>
          <w:szCs w:val="22"/>
        </w:rPr>
      </w:pPr>
      <w:r>
        <w:rPr>
          <w:noProof/>
        </w:rPr>
        <w:t>B.1</w:t>
      </w:r>
      <w:r>
        <w:rPr>
          <w:rFonts w:asciiTheme="minorHAnsi" w:eastAsiaTheme="minorEastAsia" w:hAnsiTheme="minorHAnsi" w:cstheme="minorBidi"/>
          <w:b w:val="0"/>
          <w:smallCaps w:val="0"/>
          <w:noProof/>
          <w:sz w:val="22"/>
          <w:szCs w:val="22"/>
        </w:rPr>
        <w:tab/>
      </w:r>
      <w:r>
        <w:rPr>
          <w:noProof/>
        </w:rPr>
        <w:t>Respondent Universe and Sampling Methods</w:t>
      </w:r>
      <w:r>
        <w:rPr>
          <w:noProof/>
        </w:rPr>
        <w:tab/>
      </w:r>
      <w:r w:rsidR="00A677C2">
        <w:rPr>
          <w:noProof/>
        </w:rPr>
        <w:fldChar w:fldCharType="begin"/>
      </w:r>
      <w:r>
        <w:rPr>
          <w:noProof/>
        </w:rPr>
        <w:instrText xml:space="preserve"> PAGEREF _Toc351973180 \h </w:instrText>
      </w:r>
      <w:r w:rsidR="00A677C2">
        <w:rPr>
          <w:noProof/>
        </w:rPr>
      </w:r>
      <w:r w:rsidR="00A677C2">
        <w:rPr>
          <w:noProof/>
        </w:rPr>
        <w:fldChar w:fldCharType="separate"/>
      </w:r>
      <w:r>
        <w:rPr>
          <w:noProof/>
        </w:rPr>
        <w:t>1</w:t>
      </w:r>
      <w:r w:rsidR="00A677C2">
        <w:rPr>
          <w:noProof/>
        </w:rPr>
        <w:fldChar w:fldCharType="end"/>
      </w:r>
    </w:p>
    <w:p w:rsidR="004B7555" w:rsidRDefault="004B7555" w:rsidP="00236D1E">
      <w:pPr>
        <w:pStyle w:val="TOC2"/>
        <w:spacing w:before="288" w:after="288"/>
        <w:rPr>
          <w:rFonts w:asciiTheme="minorHAnsi" w:eastAsiaTheme="minorEastAsia" w:hAnsiTheme="minorHAnsi" w:cstheme="minorBidi"/>
          <w:b w:val="0"/>
          <w:smallCaps w:val="0"/>
          <w:noProof/>
          <w:sz w:val="22"/>
          <w:szCs w:val="22"/>
        </w:rPr>
      </w:pPr>
      <w:r>
        <w:rPr>
          <w:noProof/>
        </w:rPr>
        <w:t>B.2</w:t>
      </w:r>
      <w:r>
        <w:rPr>
          <w:rFonts w:asciiTheme="minorHAnsi" w:eastAsiaTheme="minorEastAsia" w:hAnsiTheme="minorHAnsi" w:cstheme="minorBidi"/>
          <w:b w:val="0"/>
          <w:smallCaps w:val="0"/>
          <w:noProof/>
          <w:sz w:val="22"/>
          <w:szCs w:val="22"/>
        </w:rPr>
        <w:tab/>
      </w:r>
      <w:r>
        <w:rPr>
          <w:noProof/>
        </w:rPr>
        <w:t>Procedures for the Collection of Information</w:t>
      </w:r>
      <w:r>
        <w:rPr>
          <w:noProof/>
        </w:rPr>
        <w:tab/>
      </w:r>
      <w:r w:rsidR="00A677C2">
        <w:rPr>
          <w:noProof/>
        </w:rPr>
        <w:fldChar w:fldCharType="begin"/>
      </w:r>
      <w:r>
        <w:rPr>
          <w:noProof/>
        </w:rPr>
        <w:instrText xml:space="preserve"> PAGEREF _Toc351973181 \h </w:instrText>
      </w:r>
      <w:r w:rsidR="00A677C2">
        <w:rPr>
          <w:noProof/>
        </w:rPr>
      </w:r>
      <w:r w:rsidR="00A677C2">
        <w:rPr>
          <w:noProof/>
        </w:rPr>
        <w:fldChar w:fldCharType="separate"/>
      </w:r>
      <w:r>
        <w:rPr>
          <w:noProof/>
        </w:rPr>
        <w:t>1</w:t>
      </w:r>
      <w:r w:rsidR="00A677C2">
        <w:rPr>
          <w:noProof/>
        </w:rPr>
        <w:fldChar w:fldCharType="end"/>
      </w:r>
    </w:p>
    <w:p w:rsidR="004B7555" w:rsidRDefault="004B7555" w:rsidP="00236D1E">
      <w:pPr>
        <w:pStyle w:val="TOC2"/>
        <w:spacing w:before="288" w:after="288"/>
        <w:rPr>
          <w:rFonts w:asciiTheme="minorHAnsi" w:eastAsiaTheme="minorEastAsia" w:hAnsiTheme="minorHAnsi" w:cstheme="minorBidi"/>
          <w:b w:val="0"/>
          <w:smallCaps w:val="0"/>
          <w:noProof/>
          <w:sz w:val="22"/>
          <w:szCs w:val="22"/>
        </w:rPr>
      </w:pPr>
      <w:r>
        <w:rPr>
          <w:noProof/>
        </w:rPr>
        <w:t>B.3</w:t>
      </w:r>
      <w:r>
        <w:rPr>
          <w:rFonts w:asciiTheme="minorHAnsi" w:eastAsiaTheme="minorEastAsia" w:hAnsiTheme="minorHAnsi" w:cstheme="minorBidi"/>
          <w:b w:val="0"/>
          <w:smallCaps w:val="0"/>
          <w:noProof/>
          <w:sz w:val="22"/>
          <w:szCs w:val="22"/>
        </w:rPr>
        <w:tab/>
      </w:r>
      <w:r>
        <w:rPr>
          <w:noProof/>
        </w:rPr>
        <w:t>Methods to Maximize Response Rates and Deal with Nonresponse</w:t>
      </w:r>
      <w:r>
        <w:rPr>
          <w:noProof/>
        </w:rPr>
        <w:tab/>
      </w:r>
      <w:r w:rsidR="00A677C2">
        <w:rPr>
          <w:noProof/>
        </w:rPr>
        <w:fldChar w:fldCharType="begin"/>
      </w:r>
      <w:r>
        <w:rPr>
          <w:noProof/>
        </w:rPr>
        <w:instrText xml:space="preserve"> PAGEREF _Toc351973182 \h </w:instrText>
      </w:r>
      <w:r w:rsidR="00A677C2">
        <w:rPr>
          <w:noProof/>
        </w:rPr>
      </w:r>
      <w:r w:rsidR="00A677C2">
        <w:rPr>
          <w:noProof/>
        </w:rPr>
        <w:fldChar w:fldCharType="separate"/>
      </w:r>
      <w:r>
        <w:rPr>
          <w:noProof/>
        </w:rPr>
        <w:t>2</w:t>
      </w:r>
      <w:r w:rsidR="00A677C2">
        <w:rPr>
          <w:noProof/>
        </w:rPr>
        <w:fldChar w:fldCharType="end"/>
      </w:r>
    </w:p>
    <w:p w:rsidR="004B7555" w:rsidRDefault="004B7555" w:rsidP="00236D1E">
      <w:pPr>
        <w:pStyle w:val="TOC2"/>
        <w:spacing w:before="288" w:after="288"/>
        <w:rPr>
          <w:rFonts w:asciiTheme="minorHAnsi" w:eastAsiaTheme="minorEastAsia" w:hAnsiTheme="minorHAnsi" w:cstheme="minorBidi"/>
          <w:b w:val="0"/>
          <w:smallCaps w:val="0"/>
          <w:noProof/>
          <w:sz w:val="22"/>
          <w:szCs w:val="22"/>
        </w:rPr>
      </w:pPr>
      <w:r>
        <w:rPr>
          <w:noProof/>
        </w:rPr>
        <w:t>B.4</w:t>
      </w:r>
      <w:r>
        <w:rPr>
          <w:rFonts w:asciiTheme="minorHAnsi" w:eastAsiaTheme="minorEastAsia" w:hAnsiTheme="minorHAnsi" w:cstheme="minorBidi"/>
          <w:b w:val="0"/>
          <w:smallCaps w:val="0"/>
          <w:noProof/>
          <w:sz w:val="22"/>
          <w:szCs w:val="22"/>
        </w:rPr>
        <w:tab/>
      </w:r>
      <w:r>
        <w:rPr>
          <w:noProof/>
        </w:rPr>
        <w:t>Test of Procedures or Methods to be Undertaken</w:t>
      </w:r>
      <w:r>
        <w:rPr>
          <w:noProof/>
        </w:rPr>
        <w:tab/>
      </w:r>
      <w:r w:rsidR="00295C52">
        <w:rPr>
          <w:noProof/>
        </w:rPr>
        <w:t>3</w:t>
      </w:r>
    </w:p>
    <w:p w:rsidR="004B7555" w:rsidRDefault="004B7555" w:rsidP="00236D1E">
      <w:pPr>
        <w:pStyle w:val="TOC2"/>
        <w:spacing w:before="288" w:after="288"/>
        <w:rPr>
          <w:rFonts w:asciiTheme="minorHAnsi" w:eastAsiaTheme="minorEastAsia" w:hAnsiTheme="minorHAnsi" w:cstheme="minorBidi"/>
          <w:b w:val="0"/>
          <w:smallCaps w:val="0"/>
          <w:noProof/>
          <w:sz w:val="22"/>
          <w:szCs w:val="22"/>
        </w:rPr>
      </w:pPr>
      <w:r>
        <w:rPr>
          <w:noProof/>
        </w:rPr>
        <w:t>B.5</w:t>
      </w:r>
      <w:r>
        <w:rPr>
          <w:rFonts w:asciiTheme="minorHAnsi" w:eastAsiaTheme="minorEastAsia" w:hAnsiTheme="minorHAnsi" w:cstheme="minorBidi"/>
          <w:b w:val="0"/>
          <w:smallCaps w:val="0"/>
          <w:noProof/>
          <w:sz w:val="22"/>
          <w:szCs w:val="22"/>
        </w:rPr>
        <w:tab/>
      </w:r>
      <w:r>
        <w:rPr>
          <w:noProof/>
        </w:rPr>
        <w:t>Individuals Consulted on Statistical Aspects and Individuals Collecting and/or Analyzing Data</w:t>
      </w:r>
      <w:r>
        <w:rPr>
          <w:noProof/>
        </w:rPr>
        <w:tab/>
      </w:r>
      <w:r w:rsidR="00295C52">
        <w:rPr>
          <w:noProof/>
        </w:rPr>
        <w:t>3</w:t>
      </w:r>
    </w:p>
    <w:p w:rsidR="00B9657C" w:rsidRPr="004359F8" w:rsidRDefault="00A677C2" w:rsidP="002C1FCF">
      <w:pPr>
        <w:pStyle w:val="P1-StandPara"/>
        <w:ind w:right="-216" w:firstLine="0"/>
        <w:jc w:val="center"/>
        <w:rPr>
          <w:color w:val="000000"/>
          <w:sz w:val="24"/>
          <w:szCs w:val="24"/>
        </w:rPr>
      </w:pPr>
      <w:r w:rsidRPr="005B6C76">
        <w:rPr>
          <w:caps/>
          <w:noProof/>
          <w:sz w:val="24"/>
          <w:szCs w:val="24"/>
        </w:rPr>
        <w:fldChar w:fldCharType="end"/>
      </w:r>
      <w:r w:rsidR="000164DD">
        <w:rPr>
          <w:smallCaps/>
          <w:noProof/>
          <w:sz w:val="24"/>
          <w:szCs w:val="24"/>
        </w:rPr>
        <w:t xml:space="preserve"> </w:t>
      </w:r>
      <w:r w:rsidR="00E41609">
        <w:rPr>
          <w:smallCaps/>
          <w:noProof/>
          <w:sz w:val="24"/>
          <w:szCs w:val="24"/>
        </w:rPr>
        <w:br w:type="page"/>
      </w:r>
      <w:r w:rsidR="00B9657C" w:rsidRPr="004359F8">
        <w:rPr>
          <w:b/>
          <w:caps/>
          <w:noProof/>
          <w:color w:val="000000"/>
          <w:sz w:val="24"/>
          <w:szCs w:val="24"/>
        </w:rPr>
        <w:lastRenderedPageBreak/>
        <w:t>List of Attachments</w:t>
      </w:r>
    </w:p>
    <w:p w:rsidR="002C1FCF" w:rsidRDefault="002C1FCF" w:rsidP="002C1FCF">
      <w:pPr>
        <w:pStyle w:val="P1-StandPara"/>
        <w:spacing w:line="240" w:lineRule="auto"/>
        <w:ind w:right="-216" w:firstLine="0"/>
        <w:rPr>
          <w:sz w:val="24"/>
          <w:szCs w:val="24"/>
        </w:rPr>
      </w:pPr>
      <w:r>
        <w:rPr>
          <w:sz w:val="24"/>
          <w:szCs w:val="24"/>
        </w:rPr>
        <w:t>Attach</w:t>
      </w:r>
      <w:r w:rsidRPr="00B86ED8">
        <w:rPr>
          <w:sz w:val="24"/>
          <w:szCs w:val="24"/>
        </w:rPr>
        <w:t>ment 1</w:t>
      </w:r>
      <w:r>
        <w:rPr>
          <w:sz w:val="24"/>
          <w:szCs w:val="24"/>
        </w:rPr>
        <w:t xml:space="preserve"> – Survey Questionnaire Screen Shots</w:t>
      </w:r>
    </w:p>
    <w:p w:rsidR="002C1FCF" w:rsidRDefault="002C1FCF" w:rsidP="002C1FCF">
      <w:pPr>
        <w:pStyle w:val="P1-StandPara"/>
        <w:spacing w:line="240" w:lineRule="auto"/>
        <w:ind w:right="-216" w:firstLine="0"/>
        <w:rPr>
          <w:sz w:val="24"/>
          <w:szCs w:val="24"/>
        </w:rPr>
      </w:pPr>
    </w:p>
    <w:p w:rsidR="002C1FCF" w:rsidRDefault="002C1FCF" w:rsidP="002C1FCF">
      <w:pPr>
        <w:pStyle w:val="P1-StandPara"/>
        <w:spacing w:line="240" w:lineRule="auto"/>
        <w:ind w:right="-216" w:firstLine="0"/>
        <w:rPr>
          <w:sz w:val="24"/>
          <w:szCs w:val="24"/>
        </w:rPr>
      </w:pPr>
      <w:r>
        <w:rPr>
          <w:sz w:val="24"/>
          <w:szCs w:val="24"/>
        </w:rPr>
        <w:t>Attachment 2 – Invitation Letter</w:t>
      </w:r>
    </w:p>
    <w:p w:rsidR="002C1FCF" w:rsidRDefault="002C1FCF" w:rsidP="002C1FCF">
      <w:pPr>
        <w:pStyle w:val="P1-StandPara"/>
        <w:spacing w:line="240" w:lineRule="auto"/>
        <w:ind w:right="-216" w:firstLine="0"/>
        <w:rPr>
          <w:sz w:val="24"/>
          <w:szCs w:val="24"/>
        </w:rPr>
      </w:pPr>
    </w:p>
    <w:p w:rsidR="002C1FCF" w:rsidRDefault="002C1FCF" w:rsidP="002C1FCF">
      <w:pPr>
        <w:pStyle w:val="P1-StandPara"/>
        <w:spacing w:line="240" w:lineRule="auto"/>
        <w:ind w:right="-216" w:firstLine="0"/>
        <w:rPr>
          <w:sz w:val="24"/>
          <w:szCs w:val="24"/>
        </w:rPr>
      </w:pPr>
      <w:r>
        <w:rPr>
          <w:sz w:val="24"/>
          <w:szCs w:val="24"/>
        </w:rPr>
        <w:t>Attachment 3 – List of all Survey questions</w:t>
      </w:r>
    </w:p>
    <w:p w:rsidR="002F7DF9" w:rsidRPr="00B86ED8" w:rsidRDefault="002F7DF9" w:rsidP="002C1FCF">
      <w:pPr>
        <w:pStyle w:val="P1-StandPara"/>
        <w:spacing w:line="240" w:lineRule="auto"/>
        <w:ind w:right="-216" w:firstLine="0"/>
        <w:rPr>
          <w:sz w:val="24"/>
          <w:szCs w:val="24"/>
        </w:rPr>
      </w:pPr>
    </w:p>
    <w:p w:rsidR="00AB215C" w:rsidRPr="002F7DF9" w:rsidRDefault="00AB215C" w:rsidP="00AB215C">
      <w:pPr>
        <w:spacing w:line="240" w:lineRule="auto"/>
        <w:ind w:right="-216"/>
        <w:jc w:val="left"/>
        <w:rPr>
          <w:sz w:val="24"/>
          <w:szCs w:val="24"/>
        </w:rPr>
      </w:pPr>
      <w:r w:rsidRPr="002F7DF9">
        <w:rPr>
          <w:sz w:val="24"/>
          <w:szCs w:val="24"/>
        </w:rPr>
        <w:t xml:space="preserve">Attachment </w:t>
      </w:r>
      <w:r>
        <w:rPr>
          <w:sz w:val="24"/>
          <w:szCs w:val="24"/>
        </w:rPr>
        <w:t>4</w:t>
      </w:r>
      <w:r w:rsidRPr="002F7DF9">
        <w:rPr>
          <w:sz w:val="24"/>
          <w:szCs w:val="24"/>
        </w:rPr>
        <w:t xml:space="preserve"> </w:t>
      </w:r>
      <w:r w:rsidR="004E211A">
        <w:rPr>
          <w:sz w:val="24"/>
          <w:szCs w:val="24"/>
        </w:rPr>
        <w:t>– Office of Human Subjects Protection Exemption</w:t>
      </w:r>
    </w:p>
    <w:p w:rsidR="00AB215C" w:rsidRDefault="00AB215C" w:rsidP="002F7DF9">
      <w:pPr>
        <w:spacing w:line="240" w:lineRule="auto"/>
        <w:ind w:right="-216"/>
        <w:jc w:val="left"/>
        <w:rPr>
          <w:sz w:val="24"/>
          <w:szCs w:val="24"/>
        </w:rPr>
      </w:pPr>
    </w:p>
    <w:p w:rsidR="002F7DF9" w:rsidRPr="002F7DF9" w:rsidRDefault="00AB215C" w:rsidP="002F7DF9">
      <w:pPr>
        <w:spacing w:line="240" w:lineRule="auto"/>
        <w:ind w:right="-216"/>
        <w:jc w:val="left"/>
        <w:rPr>
          <w:sz w:val="24"/>
          <w:szCs w:val="24"/>
        </w:rPr>
      </w:pPr>
      <w:r>
        <w:rPr>
          <w:sz w:val="24"/>
          <w:szCs w:val="24"/>
        </w:rPr>
        <w:t>Attachment 5</w:t>
      </w:r>
      <w:r w:rsidR="002F7DF9" w:rsidRPr="002F7DF9">
        <w:rPr>
          <w:sz w:val="24"/>
          <w:szCs w:val="24"/>
        </w:rPr>
        <w:t xml:space="preserve"> – Privacy Act Memo</w:t>
      </w:r>
    </w:p>
    <w:p w:rsidR="002F7DF9" w:rsidRPr="002F7DF9" w:rsidRDefault="002F7DF9" w:rsidP="002F7DF9">
      <w:pPr>
        <w:spacing w:line="240" w:lineRule="auto"/>
        <w:ind w:right="-216"/>
        <w:jc w:val="left"/>
        <w:rPr>
          <w:sz w:val="24"/>
          <w:szCs w:val="24"/>
        </w:rPr>
      </w:pPr>
    </w:p>
    <w:p w:rsidR="002F7DF9" w:rsidRPr="002F7DF9" w:rsidRDefault="002F7DF9" w:rsidP="002F7DF9">
      <w:pPr>
        <w:spacing w:line="240" w:lineRule="auto"/>
        <w:ind w:right="-216"/>
        <w:jc w:val="left"/>
        <w:rPr>
          <w:sz w:val="24"/>
          <w:szCs w:val="24"/>
        </w:rPr>
      </w:pPr>
    </w:p>
    <w:p w:rsidR="002F7DF9" w:rsidRPr="002F7DF9" w:rsidRDefault="002F7DF9" w:rsidP="002F7DF9">
      <w:pPr>
        <w:spacing w:line="240" w:lineRule="auto"/>
        <w:ind w:right="-216"/>
        <w:jc w:val="left"/>
        <w:rPr>
          <w:sz w:val="24"/>
          <w:szCs w:val="24"/>
        </w:rPr>
      </w:pPr>
    </w:p>
    <w:p w:rsidR="000117FF" w:rsidRDefault="000117FF" w:rsidP="00040639"/>
    <w:p w:rsidR="000117FF" w:rsidRDefault="000117FF" w:rsidP="00040639">
      <w:r>
        <w:br w:type="page"/>
      </w:r>
    </w:p>
    <w:p w:rsidR="004216D4" w:rsidRDefault="004216D4" w:rsidP="00DA140C">
      <w:pPr>
        <w:pStyle w:val="P1-StandPara"/>
        <w:tabs>
          <w:tab w:val="num" w:pos="360"/>
        </w:tabs>
        <w:spacing w:line="240" w:lineRule="auto"/>
        <w:ind w:left="360" w:right="-216" w:firstLine="0"/>
        <w:rPr>
          <w:sz w:val="24"/>
        </w:rPr>
        <w:sectPr w:rsidR="004216D4" w:rsidSect="004216D4">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p>
    <w:p w:rsidR="00321EEB" w:rsidRPr="00615F34" w:rsidRDefault="00A677C2" w:rsidP="008925CA">
      <w:pPr>
        <w:pStyle w:val="Heading1"/>
        <w:tabs>
          <w:tab w:val="clear" w:pos="1152"/>
          <w:tab w:val="left" w:pos="630"/>
        </w:tabs>
        <w:rPr>
          <w:sz w:val="24"/>
          <w:szCs w:val="24"/>
        </w:rPr>
      </w:pPr>
      <w:bookmarkStart w:id="0" w:name="_Toc443881762"/>
      <w:bookmarkStart w:id="1" w:name="_Toc451592249"/>
      <w:bookmarkStart w:id="2" w:name="_Toc5610290"/>
      <w:bookmarkStart w:id="3" w:name="_Toc99178796"/>
      <w:bookmarkStart w:id="4" w:name="_Toc351973179"/>
      <w:r w:rsidRPr="00A677C2">
        <w:rPr>
          <w:sz w:val="24"/>
          <w:szCs w:val="24"/>
        </w:rPr>
        <w:lastRenderedPageBreak/>
        <w:t>B.</w:t>
      </w:r>
      <w:r w:rsidRPr="00A677C2">
        <w:rPr>
          <w:sz w:val="24"/>
          <w:szCs w:val="24"/>
        </w:rPr>
        <w:tab/>
        <w:t>STATISTICAL METHODS</w:t>
      </w:r>
      <w:bookmarkEnd w:id="0"/>
      <w:bookmarkEnd w:id="1"/>
      <w:bookmarkEnd w:id="2"/>
      <w:bookmarkEnd w:id="3"/>
      <w:bookmarkEnd w:id="4"/>
    </w:p>
    <w:p w:rsidR="000962BB" w:rsidRPr="00615F34" w:rsidRDefault="00A677C2" w:rsidP="00040639">
      <w:pPr>
        <w:pStyle w:val="Heading2"/>
        <w:rPr>
          <w:sz w:val="24"/>
          <w:szCs w:val="24"/>
        </w:rPr>
      </w:pPr>
      <w:bookmarkStart w:id="5" w:name="_Toc443881763"/>
      <w:bookmarkStart w:id="6" w:name="_Toc451592250"/>
      <w:bookmarkStart w:id="7" w:name="_Toc5610291"/>
      <w:bookmarkStart w:id="8" w:name="_Toc99178797"/>
      <w:bookmarkStart w:id="9" w:name="_Toc351973180"/>
      <w:r w:rsidRPr="00A677C2">
        <w:rPr>
          <w:sz w:val="24"/>
          <w:szCs w:val="24"/>
        </w:rPr>
        <w:t>B.1</w:t>
      </w:r>
      <w:r w:rsidRPr="00A677C2">
        <w:rPr>
          <w:sz w:val="24"/>
          <w:szCs w:val="24"/>
        </w:rPr>
        <w:tab/>
        <w:t>Respondent Universe and Sampling Methods</w:t>
      </w:r>
      <w:bookmarkEnd w:id="5"/>
      <w:bookmarkEnd w:id="6"/>
      <w:bookmarkEnd w:id="7"/>
      <w:bookmarkEnd w:id="8"/>
      <w:bookmarkEnd w:id="9"/>
    </w:p>
    <w:p w:rsidR="00A908C5" w:rsidRPr="00615F34" w:rsidRDefault="00A677C2" w:rsidP="006A7585">
      <w:pPr>
        <w:pStyle w:val="P1-StandPara"/>
        <w:ind w:firstLine="0"/>
        <w:rPr>
          <w:sz w:val="24"/>
          <w:szCs w:val="24"/>
        </w:rPr>
      </w:pPr>
      <w:r w:rsidRPr="00A677C2">
        <w:rPr>
          <w:sz w:val="24"/>
          <w:szCs w:val="24"/>
        </w:rPr>
        <w:t xml:space="preserve">A total of 548 </w:t>
      </w:r>
      <w:proofErr w:type="spellStart"/>
      <w:r w:rsidRPr="00A677C2">
        <w:rPr>
          <w:sz w:val="24"/>
          <w:szCs w:val="24"/>
        </w:rPr>
        <w:t>biobank</w:t>
      </w:r>
      <w:proofErr w:type="spellEnd"/>
      <w:r w:rsidRPr="00A677C2">
        <w:rPr>
          <w:sz w:val="24"/>
          <w:szCs w:val="24"/>
        </w:rPr>
        <w:t xml:space="preserve"> representatives will be invited to </w:t>
      </w:r>
      <w:proofErr w:type="gramStart"/>
      <w:r w:rsidRPr="00A677C2">
        <w:rPr>
          <w:sz w:val="24"/>
          <w:szCs w:val="24"/>
        </w:rPr>
        <w:t>participate  in</w:t>
      </w:r>
      <w:proofErr w:type="gramEnd"/>
      <w:r w:rsidRPr="00A677C2">
        <w:rPr>
          <w:sz w:val="24"/>
          <w:szCs w:val="24"/>
        </w:rPr>
        <w:t xml:space="preserve"> the Financial Sustainability of Human Tissue </w:t>
      </w:r>
      <w:proofErr w:type="spellStart"/>
      <w:r w:rsidRPr="00A677C2">
        <w:rPr>
          <w:sz w:val="24"/>
          <w:szCs w:val="24"/>
        </w:rPr>
        <w:t>Biobanking</w:t>
      </w:r>
      <w:proofErr w:type="spellEnd"/>
      <w:r w:rsidRPr="00A677C2">
        <w:rPr>
          <w:sz w:val="24"/>
          <w:szCs w:val="24"/>
        </w:rPr>
        <w:t xml:space="preserve"> survey.  These potential participants have been identified through public information sources.  Participants will be divided into two study groups, distributed among </w:t>
      </w:r>
      <w:proofErr w:type="spellStart"/>
      <w:r w:rsidRPr="00A677C2">
        <w:rPr>
          <w:sz w:val="24"/>
          <w:szCs w:val="24"/>
        </w:rPr>
        <w:t>biobank</w:t>
      </w:r>
      <w:proofErr w:type="spellEnd"/>
      <w:r w:rsidRPr="00A677C2">
        <w:rPr>
          <w:sz w:val="24"/>
          <w:szCs w:val="24"/>
        </w:rPr>
        <w:t xml:space="preserve"> type as shown in Table B.1. </w:t>
      </w:r>
      <w:r w:rsidR="00615F34">
        <w:rPr>
          <w:sz w:val="24"/>
          <w:szCs w:val="24"/>
        </w:rPr>
        <w:t xml:space="preserve"> The different types of </w:t>
      </w:r>
      <w:proofErr w:type="spellStart"/>
      <w:r w:rsidR="00615F34">
        <w:rPr>
          <w:sz w:val="24"/>
          <w:szCs w:val="24"/>
        </w:rPr>
        <w:t>biobanks</w:t>
      </w:r>
      <w:proofErr w:type="spellEnd"/>
      <w:r w:rsidR="00615F34">
        <w:rPr>
          <w:sz w:val="24"/>
          <w:szCs w:val="24"/>
        </w:rPr>
        <w:t xml:space="preserve"> </w:t>
      </w:r>
      <w:r w:rsidR="008A555B">
        <w:rPr>
          <w:sz w:val="24"/>
          <w:szCs w:val="24"/>
        </w:rPr>
        <w:t xml:space="preserve">represent the spectrum of types found internationally and domestically.  An accredited tissue bank has some type of internationally recognized standards, a study is for a particular use, and a networked </w:t>
      </w:r>
      <w:proofErr w:type="spellStart"/>
      <w:r w:rsidR="008A555B">
        <w:rPr>
          <w:sz w:val="24"/>
          <w:szCs w:val="24"/>
        </w:rPr>
        <w:t>biobank</w:t>
      </w:r>
      <w:proofErr w:type="spellEnd"/>
      <w:r w:rsidR="008A555B">
        <w:rPr>
          <w:sz w:val="24"/>
          <w:szCs w:val="24"/>
        </w:rPr>
        <w:t xml:space="preserve"> is part of a system of </w:t>
      </w:r>
      <w:proofErr w:type="spellStart"/>
      <w:r w:rsidR="008A555B">
        <w:rPr>
          <w:sz w:val="24"/>
          <w:szCs w:val="24"/>
        </w:rPr>
        <w:t>biobanks</w:t>
      </w:r>
      <w:proofErr w:type="spellEnd"/>
      <w:r w:rsidR="00295C52">
        <w:rPr>
          <w:sz w:val="24"/>
          <w:szCs w:val="24"/>
        </w:rPr>
        <w:t>.</w:t>
      </w:r>
      <w:r w:rsidR="00615F34">
        <w:rPr>
          <w:sz w:val="24"/>
          <w:szCs w:val="24"/>
        </w:rPr>
        <w:t xml:space="preserve">  </w:t>
      </w:r>
    </w:p>
    <w:p w:rsidR="006A7585" w:rsidRPr="00615F34" w:rsidRDefault="00A677C2" w:rsidP="006A7585">
      <w:pPr>
        <w:pStyle w:val="P1-StandPara"/>
        <w:ind w:firstLine="0"/>
        <w:rPr>
          <w:b/>
          <w:sz w:val="24"/>
          <w:szCs w:val="24"/>
        </w:rPr>
      </w:pPr>
      <w:r w:rsidRPr="00A677C2">
        <w:rPr>
          <w:sz w:val="24"/>
          <w:szCs w:val="24"/>
        </w:rPr>
        <w:tab/>
      </w:r>
      <w:r w:rsidRPr="00A677C2">
        <w:rPr>
          <w:b/>
          <w:sz w:val="24"/>
          <w:szCs w:val="24"/>
        </w:rPr>
        <w:t>Table B.1 Expected number of participants by type and geographic location</w:t>
      </w:r>
    </w:p>
    <w:tbl>
      <w:tblPr>
        <w:tblStyle w:val="TableGrid"/>
        <w:tblW w:w="0" w:type="auto"/>
        <w:tblInd w:w="108" w:type="dxa"/>
        <w:tblLook w:val="04A0" w:firstRow="1" w:lastRow="0" w:firstColumn="1" w:lastColumn="0" w:noHBand="0" w:noVBand="1"/>
      </w:tblPr>
      <w:tblGrid>
        <w:gridCol w:w="1443"/>
        <w:gridCol w:w="2787"/>
        <w:gridCol w:w="1126"/>
        <w:gridCol w:w="817"/>
        <w:gridCol w:w="1110"/>
        <w:gridCol w:w="990"/>
        <w:gridCol w:w="1057"/>
      </w:tblGrid>
      <w:tr w:rsidR="009B2CED" w:rsidRPr="00615F34" w:rsidTr="007E5191">
        <w:trPr>
          <w:trHeight w:val="422"/>
        </w:trPr>
        <w:tc>
          <w:tcPr>
            <w:tcW w:w="1443" w:type="dxa"/>
            <w:shd w:val="clear" w:color="auto" w:fill="auto"/>
            <w:vAlign w:val="center"/>
          </w:tcPr>
          <w:p w:rsidR="009B2CED" w:rsidRPr="00615F34" w:rsidRDefault="009B2CED" w:rsidP="007E5191">
            <w:pPr>
              <w:pStyle w:val="P1-StandPara"/>
              <w:spacing w:line="360" w:lineRule="auto"/>
              <w:ind w:firstLine="0"/>
              <w:jc w:val="center"/>
              <w:rPr>
                <w:b/>
                <w:sz w:val="24"/>
                <w:szCs w:val="24"/>
              </w:rPr>
            </w:pPr>
          </w:p>
        </w:tc>
        <w:tc>
          <w:tcPr>
            <w:tcW w:w="6830" w:type="dxa"/>
            <w:gridSpan w:val="5"/>
            <w:shd w:val="clear" w:color="auto" w:fill="auto"/>
            <w:vAlign w:val="center"/>
          </w:tcPr>
          <w:p w:rsidR="009B2CED" w:rsidRPr="00615F34" w:rsidRDefault="00A677C2" w:rsidP="007E5191">
            <w:pPr>
              <w:pStyle w:val="P1-StandPara"/>
              <w:spacing w:line="360" w:lineRule="auto"/>
              <w:ind w:firstLine="0"/>
              <w:jc w:val="center"/>
              <w:rPr>
                <w:b/>
                <w:sz w:val="24"/>
                <w:szCs w:val="24"/>
              </w:rPr>
            </w:pPr>
            <w:proofErr w:type="spellStart"/>
            <w:r w:rsidRPr="00A677C2">
              <w:rPr>
                <w:b/>
                <w:sz w:val="24"/>
                <w:szCs w:val="24"/>
              </w:rPr>
              <w:t>Biobank</w:t>
            </w:r>
            <w:proofErr w:type="spellEnd"/>
            <w:r w:rsidRPr="00A677C2">
              <w:rPr>
                <w:b/>
                <w:sz w:val="24"/>
                <w:szCs w:val="24"/>
              </w:rPr>
              <w:t xml:space="preserve"> Type</w:t>
            </w:r>
          </w:p>
        </w:tc>
        <w:tc>
          <w:tcPr>
            <w:tcW w:w="1057" w:type="dxa"/>
            <w:vMerge w:val="restart"/>
            <w:shd w:val="clear" w:color="auto" w:fill="auto"/>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TOTAL</w:t>
            </w:r>
          </w:p>
        </w:tc>
      </w:tr>
      <w:tr w:rsidR="009B2CED" w:rsidRPr="00615F34" w:rsidTr="007E5191">
        <w:tc>
          <w:tcPr>
            <w:tcW w:w="1443" w:type="dxa"/>
            <w:vAlign w:val="center"/>
          </w:tcPr>
          <w:p w:rsidR="009B2CED" w:rsidRPr="00615F34" w:rsidRDefault="009B2CED" w:rsidP="007E5191">
            <w:pPr>
              <w:pStyle w:val="P1-StandPara"/>
              <w:spacing w:line="360" w:lineRule="auto"/>
              <w:ind w:firstLine="0"/>
              <w:jc w:val="center"/>
              <w:rPr>
                <w:sz w:val="24"/>
                <w:szCs w:val="24"/>
              </w:rPr>
            </w:pPr>
          </w:p>
        </w:tc>
        <w:tc>
          <w:tcPr>
            <w:tcW w:w="2787" w:type="dxa"/>
            <w:shd w:val="clear" w:color="auto" w:fill="auto"/>
            <w:vAlign w:val="center"/>
          </w:tcPr>
          <w:p w:rsidR="004174F0" w:rsidRDefault="00A677C2" w:rsidP="007E5191">
            <w:pPr>
              <w:jc w:val="center"/>
              <w:rPr>
                <w:b/>
                <w:sz w:val="24"/>
                <w:szCs w:val="24"/>
              </w:rPr>
            </w:pPr>
            <w:r w:rsidRPr="00A677C2">
              <w:rPr>
                <w:b/>
                <w:sz w:val="24"/>
                <w:szCs w:val="24"/>
              </w:rPr>
              <w:t>Accredited Tissue Bank</w:t>
            </w:r>
          </w:p>
        </w:tc>
        <w:tc>
          <w:tcPr>
            <w:tcW w:w="1126" w:type="dxa"/>
            <w:vAlign w:val="center"/>
          </w:tcPr>
          <w:p w:rsidR="004174F0" w:rsidRDefault="00A677C2" w:rsidP="007E5191">
            <w:pPr>
              <w:pStyle w:val="P1-StandPara"/>
              <w:spacing w:line="360" w:lineRule="auto"/>
              <w:ind w:firstLine="0"/>
              <w:jc w:val="center"/>
              <w:rPr>
                <w:b/>
                <w:sz w:val="24"/>
                <w:szCs w:val="24"/>
              </w:rPr>
            </w:pPr>
            <w:proofErr w:type="spellStart"/>
            <w:r w:rsidRPr="00A677C2">
              <w:rPr>
                <w:b/>
                <w:sz w:val="24"/>
                <w:szCs w:val="24"/>
              </w:rPr>
              <w:t>Biobank</w:t>
            </w:r>
            <w:proofErr w:type="spellEnd"/>
          </w:p>
        </w:tc>
        <w:tc>
          <w:tcPr>
            <w:tcW w:w="817" w:type="dxa"/>
            <w:vAlign w:val="center"/>
          </w:tcPr>
          <w:p w:rsidR="004174F0" w:rsidRDefault="00A677C2" w:rsidP="007E5191">
            <w:pPr>
              <w:pStyle w:val="P1-StandPara"/>
              <w:spacing w:line="360" w:lineRule="auto"/>
              <w:ind w:firstLine="0"/>
              <w:jc w:val="center"/>
              <w:rPr>
                <w:b/>
                <w:sz w:val="24"/>
                <w:szCs w:val="24"/>
              </w:rPr>
            </w:pPr>
            <w:r w:rsidRPr="00A677C2">
              <w:rPr>
                <w:b/>
                <w:sz w:val="24"/>
                <w:szCs w:val="24"/>
              </w:rPr>
              <w:t>Study</w:t>
            </w:r>
          </w:p>
        </w:tc>
        <w:tc>
          <w:tcPr>
            <w:tcW w:w="1110" w:type="dxa"/>
            <w:vAlign w:val="center"/>
          </w:tcPr>
          <w:p w:rsidR="004174F0" w:rsidRDefault="00A677C2" w:rsidP="007E5191">
            <w:pPr>
              <w:pStyle w:val="P1-StandPara"/>
              <w:spacing w:line="360" w:lineRule="auto"/>
              <w:ind w:firstLine="0"/>
              <w:jc w:val="center"/>
              <w:rPr>
                <w:b/>
                <w:sz w:val="24"/>
                <w:szCs w:val="24"/>
              </w:rPr>
            </w:pPr>
            <w:r w:rsidRPr="00A677C2">
              <w:rPr>
                <w:b/>
                <w:sz w:val="24"/>
                <w:szCs w:val="24"/>
              </w:rPr>
              <w:t>Network</w:t>
            </w:r>
          </w:p>
        </w:tc>
        <w:tc>
          <w:tcPr>
            <w:tcW w:w="990" w:type="dxa"/>
            <w:vAlign w:val="center"/>
          </w:tcPr>
          <w:p w:rsidR="004174F0" w:rsidRDefault="00A677C2" w:rsidP="007E5191">
            <w:pPr>
              <w:pStyle w:val="P1-StandPara"/>
              <w:spacing w:line="360" w:lineRule="auto"/>
              <w:ind w:firstLine="0"/>
              <w:jc w:val="center"/>
              <w:rPr>
                <w:b/>
                <w:sz w:val="24"/>
                <w:szCs w:val="24"/>
              </w:rPr>
            </w:pPr>
            <w:r w:rsidRPr="00A677C2">
              <w:rPr>
                <w:b/>
                <w:sz w:val="24"/>
                <w:szCs w:val="24"/>
              </w:rPr>
              <w:t>Other</w:t>
            </w:r>
          </w:p>
        </w:tc>
        <w:tc>
          <w:tcPr>
            <w:tcW w:w="1057" w:type="dxa"/>
            <w:vMerge/>
            <w:vAlign w:val="center"/>
          </w:tcPr>
          <w:p w:rsidR="009B2CED" w:rsidRPr="00615F34" w:rsidRDefault="009B2CED" w:rsidP="007E5191">
            <w:pPr>
              <w:pStyle w:val="P1-StandPara"/>
              <w:spacing w:line="360" w:lineRule="auto"/>
              <w:ind w:firstLine="0"/>
              <w:jc w:val="center"/>
              <w:rPr>
                <w:b/>
                <w:sz w:val="24"/>
                <w:szCs w:val="24"/>
              </w:rPr>
            </w:pPr>
          </w:p>
        </w:tc>
      </w:tr>
      <w:tr w:rsidR="009B2CED" w:rsidRPr="00615F34" w:rsidTr="007E5191">
        <w:trPr>
          <w:trHeight w:val="386"/>
        </w:trPr>
        <w:tc>
          <w:tcPr>
            <w:tcW w:w="1443" w:type="dxa"/>
            <w:vAlign w:val="center"/>
          </w:tcPr>
          <w:p w:rsidR="004174F0" w:rsidRDefault="00A677C2" w:rsidP="007E5191">
            <w:pPr>
              <w:pStyle w:val="P1-StandPara"/>
              <w:spacing w:line="360" w:lineRule="auto"/>
              <w:ind w:firstLine="0"/>
              <w:jc w:val="center"/>
              <w:rPr>
                <w:sz w:val="24"/>
                <w:szCs w:val="24"/>
              </w:rPr>
            </w:pPr>
            <w:r w:rsidRPr="00A677C2">
              <w:rPr>
                <w:sz w:val="24"/>
                <w:szCs w:val="24"/>
              </w:rPr>
              <w:t>Domestic</w:t>
            </w:r>
          </w:p>
        </w:tc>
        <w:tc>
          <w:tcPr>
            <w:tcW w:w="2787"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116</w:t>
            </w:r>
          </w:p>
        </w:tc>
        <w:tc>
          <w:tcPr>
            <w:tcW w:w="1126"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32</w:t>
            </w:r>
          </w:p>
        </w:tc>
        <w:tc>
          <w:tcPr>
            <w:tcW w:w="817"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51</w:t>
            </w:r>
          </w:p>
        </w:tc>
        <w:tc>
          <w:tcPr>
            <w:tcW w:w="1110"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3</w:t>
            </w:r>
          </w:p>
        </w:tc>
        <w:tc>
          <w:tcPr>
            <w:tcW w:w="990"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149</w:t>
            </w:r>
          </w:p>
        </w:tc>
        <w:tc>
          <w:tcPr>
            <w:tcW w:w="1057"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351</w:t>
            </w:r>
          </w:p>
        </w:tc>
      </w:tr>
      <w:tr w:rsidR="009B2CED" w:rsidRPr="00615F34" w:rsidTr="007E5191">
        <w:tc>
          <w:tcPr>
            <w:tcW w:w="1443" w:type="dxa"/>
            <w:vAlign w:val="center"/>
          </w:tcPr>
          <w:p w:rsidR="004174F0" w:rsidRDefault="00A677C2" w:rsidP="007E5191">
            <w:pPr>
              <w:pStyle w:val="P1-StandPara"/>
              <w:spacing w:line="360" w:lineRule="auto"/>
              <w:ind w:firstLine="0"/>
              <w:jc w:val="center"/>
              <w:rPr>
                <w:sz w:val="24"/>
                <w:szCs w:val="24"/>
              </w:rPr>
            </w:pPr>
            <w:r w:rsidRPr="00A677C2">
              <w:rPr>
                <w:sz w:val="24"/>
                <w:szCs w:val="24"/>
              </w:rPr>
              <w:t>International</w:t>
            </w:r>
          </w:p>
        </w:tc>
        <w:tc>
          <w:tcPr>
            <w:tcW w:w="2787"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0</w:t>
            </w:r>
          </w:p>
        </w:tc>
        <w:tc>
          <w:tcPr>
            <w:tcW w:w="1126"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15</w:t>
            </w:r>
          </w:p>
        </w:tc>
        <w:tc>
          <w:tcPr>
            <w:tcW w:w="817"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126</w:t>
            </w:r>
          </w:p>
        </w:tc>
        <w:tc>
          <w:tcPr>
            <w:tcW w:w="1110"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7</w:t>
            </w:r>
          </w:p>
        </w:tc>
        <w:tc>
          <w:tcPr>
            <w:tcW w:w="990" w:type="dxa"/>
            <w:vAlign w:val="center"/>
          </w:tcPr>
          <w:p w:rsidR="009B2CED" w:rsidRPr="00615F34" w:rsidRDefault="00A677C2" w:rsidP="007E5191">
            <w:pPr>
              <w:pStyle w:val="P1-StandPara"/>
              <w:spacing w:line="360" w:lineRule="auto"/>
              <w:ind w:firstLine="0"/>
              <w:jc w:val="center"/>
              <w:rPr>
                <w:sz w:val="24"/>
                <w:szCs w:val="24"/>
              </w:rPr>
            </w:pPr>
            <w:r w:rsidRPr="00A677C2">
              <w:rPr>
                <w:sz w:val="24"/>
                <w:szCs w:val="24"/>
              </w:rPr>
              <w:t>49</w:t>
            </w:r>
          </w:p>
        </w:tc>
        <w:tc>
          <w:tcPr>
            <w:tcW w:w="1057"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197</w:t>
            </w:r>
          </w:p>
        </w:tc>
      </w:tr>
      <w:tr w:rsidR="009B2CED" w:rsidRPr="00615F34" w:rsidTr="007E5191">
        <w:tc>
          <w:tcPr>
            <w:tcW w:w="1443" w:type="dxa"/>
            <w:vAlign w:val="center"/>
          </w:tcPr>
          <w:p w:rsidR="004174F0" w:rsidRDefault="00A677C2" w:rsidP="007E5191">
            <w:pPr>
              <w:pStyle w:val="P1-StandPara"/>
              <w:spacing w:line="360" w:lineRule="auto"/>
              <w:ind w:firstLine="0"/>
              <w:jc w:val="center"/>
              <w:rPr>
                <w:b/>
                <w:sz w:val="24"/>
                <w:szCs w:val="24"/>
              </w:rPr>
            </w:pPr>
            <w:r w:rsidRPr="00A677C2">
              <w:rPr>
                <w:b/>
                <w:sz w:val="24"/>
                <w:szCs w:val="24"/>
              </w:rPr>
              <w:t>TOTAL</w:t>
            </w:r>
          </w:p>
        </w:tc>
        <w:tc>
          <w:tcPr>
            <w:tcW w:w="2787"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116</w:t>
            </w:r>
          </w:p>
        </w:tc>
        <w:tc>
          <w:tcPr>
            <w:tcW w:w="1126"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47</w:t>
            </w:r>
          </w:p>
        </w:tc>
        <w:tc>
          <w:tcPr>
            <w:tcW w:w="817"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177</w:t>
            </w:r>
          </w:p>
        </w:tc>
        <w:tc>
          <w:tcPr>
            <w:tcW w:w="1110"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10</w:t>
            </w:r>
          </w:p>
        </w:tc>
        <w:tc>
          <w:tcPr>
            <w:tcW w:w="990"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198</w:t>
            </w:r>
            <w:bookmarkStart w:id="10" w:name="_GoBack"/>
            <w:bookmarkEnd w:id="10"/>
          </w:p>
        </w:tc>
        <w:tc>
          <w:tcPr>
            <w:tcW w:w="1057" w:type="dxa"/>
            <w:vAlign w:val="center"/>
          </w:tcPr>
          <w:p w:rsidR="009B2CED" w:rsidRPr="00615F34" w:rsidRDefault="00A677C2" w:rsidP="007E5191">
            <w:pPr>
              <w:pStyle w:val="P1-StandPara"/>
              <w:spacing w:line="360" w:lineRule="auto"/>
              <w:ind w:firstLine="0"/>
              <w:jc w:val="center"/>
              <w:rPr>
                <w:b/>
                <w:sz w:val="24"/>
                <w:szCs w:val="24"/>
              </w:rPr>
            </w:pPr>
            <w:r w:rsidRPr="00A677C2">
              <w:rPr>
                <w:b/>
                <w:sz w:val="24"/>
                <w:szCs w:val="24"/>
              </w:rPr>
              <w:t>548</w:t>
            </w:r>
          </w:p>
        </w:tc>
      </w:tr>
    </w:tbl>
    <w:p w:rsidR="003A3890" w:rsidRPr="00615F34" w:rsidRDefault="003A3890" w:rsidP="003A3890">
      <w:pPr>
        <w:rPr>
          <w:sz w:val="24"/>
          <w:szCs w:val="24"/>
        </w:rPr>
      </w:pPr>
    </w:p>
    <w:p w:rsidR="009861F2" w:rsidRPr="007F6F9A" w:rsidRDefault="009861F2" w:rsidP="009861F2">
      <w:pPr>
        <w:spacing w:line="480" w:lineRule="auto"/>
        <w:rPr>
          <w:sz w:val="24"/>
          <w:szCs w:val="24"/>
        </w:rPr>
      </w:pPr>
      <w:r w:rsidRPr="007F6F9A">
        <w:rPr>
          <w:sz w:val="24"/>
          <w:szCs w:val="24"/>
        </w:rPr>
        <w:t xml:space="preserve">Out of the 548 </w:t>
      </w:r>
      <w:proofErr w:type="spellStart"/>
      <w:r w:rsidRPr="007F6F9A">
        <w:rPr>
          <w:sz w:val="24"/>
          <w:szCs w:val="24"/>
        </w:rPr>
        <w:t>biobank</w:t>
      </w:r>
      <w:proofErr w:type="spellEnd"/>
      <w:r w:rsidRPr="007F6F9A">
        <w:rPr>
          <w:sz w:val="24"/>
          <w:szCs w:val="24"/>
        </w:rPr>
        <w:t xml:space="preserve"> representatives invited to participate in the study we expect 500 (350 domestic, 150 international) to agree to participate.  The overall response rate is expected to be </w:t>
      </w:r>
      <w:r w:rsidR="00D37A12">
        <w:rPr>
          <w:sz w:val="24"/>
          <w:szCs w:val="24"/>
        </w:rPr>
        <w:t>approximately 80</w:t>
      </w:r>
      <w:r w:rsidRPr="007F6F9A">
        <w:rPr>
          <w:sz w:val="24"/>
          <w:szCs w:val="24"/>
        </w:rPr>
        <w:t>% (5</w:t>
      </w:r>
      <w:r w:rsidR="00F420A5">
        <w:rPr>
          <w:sz w:val="24"/>
          <w:szCs w:val="24"/>
        </w:rPr>
        <w:t>48</w:t>
      </w:r>
      <w:r w:rsidRPr="007F6F9A">
        <w:rPr>
          <w:sz w:val="24"/>
          <w:szCs w:val="24"/>
        </w:rPr>
        <w:t>/</w:t>
      </w:r>
      <w:r w:rsidR="00D37A12">
        <w:rPr>
          <w:sz w:val="24"/>
          <w:szCs w:val="24"/>
        </w:rPr>
        <w:t>438</w:t>
      </w:r>
      <w:r w:rsidRPr="007F6F9A">
        <w:rPr>
          <w:sz w:val="24"/>
          <w:szCs w:val="24"/>
        </w:rPr>
        <w:t>).</w:t>
      </w:r>
      <w:r w:rsidRPr="007F6F9A">
        <w:rPr>
          <w:sz w:val="24"/>
          <w:szCs w:val="24"/>
        </w:rPr>
        <w:tab/>
      </w:r>
    </w:p>
    <w:p w:rsidR="00D37A12" w:rsidRDefault="00D37A12" w:rsidP="00615F34">
      <w:pPr>
        <w:spacing w:line="480" w:lineRule="auto"/>
        <w:rPr>
          <w:sz w:val="24"/>
          <w:szCs w:val="24"/>
        </w:rPr>
      </w:pPr>
    </w:p>
    <w:p w:rsidR="006A7585" w:rsidRPr="00615F34" w:rsidRDefault="00615F34" w:rsidP="00615F34">
      <w:pPr>
        <w:spacing w:line="480" w:lineRule="auto"/>
        <w:rPr>
          <w:sz w:val="24"/>
          <w:szCs w:val="24"/>
        </w:rPr>
      </w:pPr>
      <w:r w:rsidRPr="00F9004B">
        <w:rPr>
          <w:sz w:val="24"/>
          <w:szCs w:val="24"/>
        </w:rPr>
        <w:t>The subcontractor will recruit participants and send out invitation emails</w:t>
      </w:r>
      <w:r>
        <w:rPr>
          <w:sz w:val="24"/>
          <w:szCs w:val="24"/>
        </w:rPr>
        <w:t xml:space="preserve"> (</w:t>
      </w:r>
      <w:r w:rsidRPr="00F9004B">
        <w:rPr>
          <w:b/>
          <w:sz w:val="24"/>
          <w:szCs w:val="24"/>
        </w:rPr>
        <w:t>Attachment 2</w:t>
      </w:r>
      <w:r>
        <w:rPr>
          <w:sz w:val="24"/>
          <w:szCs w:val="24"/>
        </w:rPr>
        <w:t>)</w:t>
      </w:r>
      <w:r w:rsidRPr="00F9004B">
        <w:rPr>
          <w:sz w:val="24"/>
          <w:szCs w:val="24"/>
        </w:rPr>
        <w:t xml:space="preserve">. Invitees who choose to participate will log onto the web-based survey </w:t>
      </w:r>
      <w:r>
        <w:rPr>
          <w:sz w:val="24"/>
          <w:szCs w:val="24"/>
        </w:rPr>
        <w:t xml:space="preserve">at </w:t>
      </w:r>
      <w:hyperlink r:id="rId12" w:history="1">
        <w:r w:rsidRPr="009861F2">
          <w:rPr>
            <w:rStyle w:val="Hyperlink"/>
            <w:sz w:val="24"/>
            <w:szCs w:val="24"/>
          </w:rPr>
          <w:t>http://biobank-survey.healthcit.com</w:t>
        </w:r>
      </w:hyperlink>
      <w:r>
        <w:rPr>
          <w:sz w:val="24"/>
          <w:szCs w:val="24"/>
        </w:rPr>
        <w:t xml:space="preserve"> </w:t>
      </w:r>
      <w:r w:rsidR="009861F2" w:rsidRPr="009861F2">
        <w:rPr>
          <w:sz w:val="24"/>
          <w:szCs w:val="24"/>
        </w:rPr>
        <w:t>to</w:t>
      </w:r>
      <w:r w:rsidRPr="009861F2">
        <w:rPr>
          <w:sz w:val="24"/>
          <w:szCs w:val="24"/>
        </w:rPr>
        <w:t xml:space="preserve"> create an a</w:t>
      </w:r>
      <w:r w:rsidRPr="00F9004B">
        <w:rPr>
          <w:sz w:val="24"/>
          <w:szCs w:val="24"/>
        </w:rPr>
        <w:t xml:space="preserve">ccount and complete the survey.  </w:t>
      </w:r>
      <w:r w:rsidR="00A677C2" w:rsidRPr="00A677C2">
        <w:rPr>
          <w:sz w:val="24"/>
          <w:szCs w:val="24"/>
        </w:rPr>
        <w:t xml:space="preserve">By allowing open participation and self-selection, we expect to receive data from </w:t>
      </w:r>
      <w:proofErr w:type="spellStart"/>
      <w:r w:rsidR="00A677C2" w:rsidRPr="00A677C2">
        <w:rPr>
          <w:sz w:val="24"/>
          <w:szCs w:val="24"/>
        </w:rPr>
        <w:t>biobanks</w:t>
      </w:r>
      <w:proofErr w:type="spellEnd"/>
      <w:r w:rsidR="00A677C2" w:rsidRPr="00A677C2">
        <w:rPr>
          <w:sz w:val="24"/>
          <w:szCs w:val="24"/>
        </w:rPr>
        <w:t xml:space="preserve"> that are aware of financial sustainability challenges and who are concerned about overcoming such challenges.  This self-selection process is being used instead of a </w:t>
      </w:r>
      <w:r w:rsidR="00A677C2" w:rsidRPr="00A677C2">
        <w:rPr>
          <w:sz w:val="24"/>
          <w:szCs w:val="24"/>
        </w:rPr>
        <w:lastRenderedPageBreak/>
        <w:t xml:space="preserve">statistical sampling method.  Industry subject matter experts and our focus group participants agree that this process is best aligned with the study objectives.  </w:t>
      </w:r>
    </w:p>
    <w:p w:rsidR="004174F0" w:rsidRDefault="004174F0">
      <w:pPr>
        <w:pStyle w:val="Heading2"/>
        <w:spacing w:after="0" w:line="480" w:lineRule="auto"/>
        <w:rPr>
          <w:sz w:val="24"/>
          <w:szCs w:val="24"/>
        </w:rPr>
      </w:pPr>
      <w:bookmarkStart w:id="11" w:name="_Toc443881764"/>
      <w:bookmarkStart w:id="12" w:name="_Toc451592251"/>
      <w:bookmarkStart w:id="13" w:name="_Toc5610292"/>
      <w:bookmarkStart w:id="14" w:name="_Toc99178798"/>
      <w:bookmarkStart w:id="15" w:name="_Toc351973181"/>
    </w:p>
    <w:p w:rsidR="004174F0" w:rsidRDefault="00A677C2">
      <w:pPr>
        <w:pStyle w:val="Heading2"/>
        <w:spacing w:after="0" w:line="480" w:lineRule="auto"/>
        <w:rPr>
          <w:sz w:val="24"/>
          <w:szCs w:val="24"/>
        </w:rPr>
      </w:pPr>
      <w:r w:rsidRPr="00A677C2">
        <w:rPr>
          <w:sz w:val="24"/>
          <w:szCs w:val="24"/>
        </w:rPr>
        <w:t>B.2</w:t>
      </w:r>
      <w:r w:rsidRPr="00A677C2">
        <w:rPr>
          <w:sz w:val="24"/>
          <w:szCs w:val="24"/>
        </w:rPr>
        <w:tab/>
        <w:t>Procedures for the Collection of Information</w:t>
      </w:r>
      <w:bookmarkEnd w:id="11"/>
      <w:bookmarkEnd w:id="12"/>
      <w:bookmarkEnd w:id="13"/>
      <w:bookmarkEnd w:id="14"/>
      <w:bookmarkEnd w:id="15"/>
    </w:p>
    <w:p w:rsidR="004174F0" w:rsidRDefault="00A677C2">
      <w:pPr>
        <w:spacing w:line="480" w:lineRule="auto"/>
        <w:rPr>
          <w:sz w:val="24"/>
          <w:szCs w:val="24"/>
        </w:rPr>
      </w:pPr>
      <w:r w:rsidRPr="00A677C2">
        <w:rPr>
          <w:sz w:val="24"/>
          <w:szCs w:val="24"/>
        </w:rPr>
        <w:t>All potential participants will receive an invitation by email (</w:t>
      </w:r>
      <w:r w:rsidRPr="00A677C2">
        <w:rPr>
          <w:b/>
          <w:sz w:val="24"/>
          <w:szCs w:val="24"/>
        </w:rPr>
        <w:t>Attachment 2</w:t>
      </w:r>
      <w:r w:rsidRPr="00A677C2">
        <w:rPr>
          <w:sz w:val="24"/>
          <w:szCs w:val="24"/>
        </w:rPr>
        <w:t>) giving information about the survey and inviting participation. The email will include a link directing interested members to the survey site.  The survey site will include links that will explain the survey, respondent privacy and security of the website, and registration procedures. All materials will be written in plain and clear language. Once members register online, an email alert will be sent to the subcontractor.  The subcontractor will monitor and track registrations. Registered participants will be asked to complete brief online questionnaires regarding topics such as demographics, operations, funding sources, cost information and challenges (</w:t>
      </w:r>
      <w:r w:rsidRPr="00A677C2">
        <w:rPr>
          <w:b/>
          <w:sz w:val="24"/>
          <w:szCs w:val="24"/>
        </w:rPr>
        <w:t>Attachment 3</w:t>
      </w:r>
      <w:r w:rsidRPr="00A677C2">
        <w:rPr>
          <w:sz w:val="24"/>
          <w:szCs w:val="24"/>
        </w:rPr>
        <w:t xml:space="preserve">).  </w:t>
      </w:r>
    </w:p>
    <w:p w:rsidR="004174F0" w:rsidRDefault="004174F0">
      <w:pPr>
        <w:spacing w:line="480" w:lineRule="auto"/>
        <w:rPr>
          <w:sz w:val="24"/>
          <w:szCs w:val="24"/>
        </w:rPr>
      </w:pPr>
    </w:p>
    <w:p w:rsidR="004174F0" w:rsidRDefault="00A677C2">
      <w:pPr>
        <w:spacing w:line="480" w:lineRule="auto"/>
        <w:rPr>
          <w:b/>
          <w:sz w:val="24"/>
          <w:szCs w:val="24"/>
        </w:rPr>
      </w:pPr>
      <w:r w:rsidRPr="00A677C2">
        <w:rPr>
          <w:b/>
          <w:sz w:val="24"/>
          <w:szCs w:val="24"/>
        </w:rPr>
        <w:t>B.2.1. Quality Control</w:t>
      </w:r>
    </w:p>
    <w:p w:rsidR="004174F0" w:rsidRDefault="00A677C2">
      <w:pPr>
        <w:spacing w:line="480" w:lineRule="auto"/>
        <w:rPr>
          <w:sz w:val="24"/>
          <w:szCs w:val="24"/>
        </w:rPr>
      </w:pPr>
      <w:r w:rsidRPr="00A677C2">
        <w:rPr>
          <w:sz w:val="24"/>
          <w:szCs w:val="24"/>
        </w:rPr>
        <w:t>The contractor for this study will establish and maintain quality control procedures to ensure standardization, and high standards of data collection and data processing.  The contractor will maintain a log of all decisions that affect sample enrollment and data collection.  The contractor will monitor response rates and completeness of acquired data.</w:t>
      </w:r>
    </w:p>
    <w:p w:rsidR="00113E23" w:rsidRPr="00615F34" w:rsidRDefault="00113E23" w:rsidP="00615F34">
      <w:pPr>
        <w:pStyle w:val="P1-StandPara"/>
        <w:rPr>
          <w:color w:val="FF0000"/>
          <w:sz w:val="24"/>
          <w:szCs w:val="24"/>
        </w:rPr>
      </w:pPr>
    </w:p>
    <w:p w:rsidR="004174F0" w:rsidRDefault="00A677C2">
      <w:pPr>
        <w:pStyle w:val="Heading2"/>
        <w:spacing w:after="0" w:line="480" w:lineRule="auto"/>
        <w:rPr>
          <w:sz w:val="24"/>
          <w:szCs w:val="24"/>
        </w:rPr>
      </w:pPr>
      <w:bookmarkStart w:id="16" w:name="_Toc443881765"/>
      <w:bookmarkStart w:id="17" w:name="_Toc451592252"/>
      <w:bookmarkStart w:id="18" w:name="_Toc5610293"/>
      <w:bookmarkStart w:id="19" w:name="_Toc99178799"/>
      <w:bookmarkStart w:id="20" w:name="_Toc351973182"/>
      <w:r w:rsidRPr="00A677C2">
        <w:rPr>
          <w:sz w:val="24"/>
          <w:szCs w:val="24"/>
        </w:rPr>
        <w:t>B.3</w:t>
      </w:r>
      <w:r w:rsidRPr="00A677C2">
        <w:rPr>
          <w:sz w:val="24"/>
          <w:szCs w:val="24"/>
        </w:rPr>
        <w:tab/>
        <w:t>Methods to Maximize Response Rates and Deal with Nonresponse</w:t>
      </w:r>
      <w:bookmarkEnd w:id="16"/>
      <w:bookmarkEnd w:id="17"/>
      <w:bookmarkEnd w:id="18"/>
      <w:bookmarkEnd w:id="19"/>
      <w:bookmarkEnd w:id="20"/>
    </w:p>
    <w:p w:rsidR="004174F0" w:rsidRDefault="00A677C2">
      <w:pPr>
        <w:spacing w:line="480" w:lineRule="auto"/>
        <w:rPr>
          <w:sz w:val="24"/>
          <w:szCs w:val="24"/>
        </w:rPr>
      </w:pPr>
      <w:r w:rsidRPr="00A677C2">
        <w:rPr>
          <w:sz w:val="24"/>
          <w:szCs w:val="24"/>
        </w:rPr>
        <w:t xml:space="preserve">The Financial Sustainability of Human Tissue </w:t>
      </w:r>
      <w:proofErr w:type="spellStart"/>
      <w:r w:rsidRPr="00A677C2">
        <w:rPr>
          <w:sz w:val="24"/>
          <w:szCs w:val="24"/>
        </w:rPr>
        <w:t>Biobanking</w:t>
      </w:r>
      <w:proofErr w:type="spellEnd"/>
      <w:r w:rsidRPr="00A677C2">
        <w:rPr>
          <w:sz w:val="24"/>
          <w:szCs w:val="24"/>
        </w:rPr>
        <w:t xml:space="preserve"> survey expects to achieve a response rate of 80%, determined by the actual number of respondents divided by the total number expected.</w:t>
      </w:r>
    </w:p>
    <w:p w:rsidR="004174F0" w:rsidRDefault="004174F0">
      <w:pPr>
        <w:spacing w:line="480" w:lineRule="auto"/>
        <w:rPr>
          <w:sz w:val="24"/>
          <w:szCs w:val="24"/>
        </w:rPr>
      </w:pPr>
    </w:p>
    <w:p w:rsidR="004174F0" w:rsidRDefault="00A677C2">
      <w:pPr>
        <w:spacing w:line="480" w:lineRule="auto"/>
        <w:rPr>
          <w:sz w:val="24"/>
          <w:szCs w:val="24"/>
        </w:rPr>
      </w:pPr>
      <w:r w:rsidRPr="00A677C2">
        <w:rPr>
          <w:sz w:val="24"/>
          <w:szCs w:val="24"/>
        </w:rPr>
        <w:lastRenderedPageBreak/>
        <w:t>We will follow up non-response to the initial contact (defined as within 10 days of mail-out) with a second emailed invitation.</w:t>
      </w:r>
    </w:p>
    <w:p w:rsidR="004174F0" w:rsidRDefault="004174F0">
      <w:pPr>
        <w:pStyle w:val="ListParagraph"/>
        <w:spacing w:line="480" w:lineRule="auto"/>
        <w:ind w:left="360"/>
        <w:rPr>
          <w:i/>
          <w:sz w:val="24"/>
          <w:szCs w:val="24"/>
        </w:rPr>
      </w:pPr>
    </w:p>
    <w:p w:rsidR="004174F0" w:rsidRDefault="00A677C2">
      <w:pPr>
        <w:pStyle w:val="Heading2"/>
        <w:spacing w:after="0" w:line="480" w:lineRule="auto"/>
        <w:rPr>
          <w:sz w:val="24"/>
          <w:szCs w:val="24"/>
        </w:rPr>
      </w:pPr>
      <w:bookmarkStart w:id="21" w:name="_Toc443881766"/>
      <w:bookmarkStart w:id="22" w:name="_Toc451592253"/>
      <w:bookmarkStart w:id="23" w:name="_Toc5610294"/>
      <w:bookmarkStart w:id="24" w:name="_Toc99178800"/>
      <w:bookmarkStart w:id="25" w:name="_Toc351973183"/>
      <w:r w:rsidRPr="00A677C2">
        <w:rPr>
          <w:sz w:val="24"/>
          <w:szCs w:val="24"/>
        </w:rPr>
        <w:t>B.4</w:t>
      </w:r>
      <w:r w:rsidRPr="00A677C2">
        <w:rPr>
          <w:sz w:val="24"/>
          <w:szCs w:val="24"/>
        </w:rPr>
        <w:tab/>
        <w:t xml:space="preserve">Test of Procedures or Methods to be </w:t>
      </w:r>
      <w:proofErr w:type="gramStart"/>
      <w:r w:rsidRPr="00A677C2">
        <w:rPr>
          <w:sz w:val="24"/>
          <w:szCs w:val="24"/>
        </w:rPr>
        <w:t>Undertaken</w:t>
      </w:r>
      <w:bookmarkEnd w:id="21"/>
      <w:bookmarkEnd w:id="22"/>
      <w:bookmarkEnd w:id="23"/>
      <w:bookmarkEnd w:id="24"/>
      <w:bookmarkEnd w:id="25"/>
      <w:proofErr w:type="gramEnd"/>
    </w:p>
    <w:p w:rsidR="004174F0" w:rsidRDefault="00A677C2">
      <w:pPr>
        <w:spacing w:line="480" w:lineRule="auto"/>
        <w:rPr>
          <w:sz w:val="24"/>
          <w:szCs w:val="24"/>
        </w:rPr>
      </w:pPr>
      <w:r w:rsidRPr="00A677C2">
        <w:rPr>
          <w:sz w:val="24"/>
          <w:szCs w:val="24"/>
        </w:rPr>
        <w:t xml:space="preserve">A small focus group was held in November 2012 (refer to </w:t>
      </w:r>
      <w:r w:rsidR="00012A5D">
        <w:rPr>
          <w:sz w:val="24"/>
          <w:szCs w:val="24"/>
        </w:rPr>
        <w:t xml:space="preserve">OMB No. </w:t>
      </w:r>
      <w:r w:rsidRPr="00A677C2">
        <w:rPr>
          <w:sz w:val="24"/>
          <w:szCs w:val="24"/>
        </w:rPr>
        <w:t>#0925-0642-16</w:t>
      </w:r>
      <w:proofErr w:type="gramStart"/>
      <w:r w:rsidR="00295C52">
        <w:rPr>
          <w:sz w:val="24"/>
          <w:szCs w:val="24"/>
        </w:rPr>
        <w:t>,</w:t>
      </w:r>
      <w:r w:rsidRPr="00A677C2">
        <w:rPr>
          <w:sz w:val="24"/>
          <w:szCs w:val="24"/>
        </w:rPr>
        <w:t>Fast</w:t>
      </w:r>
      <w:proofErr w:type="gramEnd"/>
      <w:r w:rsidRPr="00A677C2">
        <w:rPr>
          <w:sz w:val="24"/>
          <w:szCs w:val="24"/>
        </w:rPr>
        <w:t xml:space="preserve"> Track </w:t>
      </w:r>
      <w:r w:rsidR="00295C52">
        <w:rPr>
          <w:sz w:val="24"/>
          <w:szCs w:val="24"/>
        </w:rPr>
        <w:t>NCI</w:t>
      </w:r>
      <w:r w:rsidRPr="00A677C2">
        <w:rPr>
          <w:sz w:val="24"/>
          <w:szCs w:val="24"/>
        </w:rPr>
        <w:t>) with potential respondents. The main goal of the focus group was to validate the appropriateness of the survey questions. We wanted to ensure that the respondents were able to provide the data without considerable burden and that the sample questions were understandable.  The intent and purpose of the survey was also discussed with the group.</w:t>
      </w:r>
    </w:p>
    <w:p w:rsidR="004174F0" w:rsidRDefault="004174F0">
      <w:pPr>
        <w:spacing w:line="480" w:lineRule="auto"/>
        <w:rPr>
          <w:sz w:val="24"/>
          <w:szCs w:val="24"/>
        </w:rPr>
      </w:pPr>
    </w:p>
    <w:p w:rsidR="004174F0" w:rsidRDefault="00A677C2">
      <w:pPr>
        <w:spacing w:line="480" w:lineRule="auto"/>
        <w:rPr>
          <w:sz w:val="24"/>
          <w:szCs w:val="24"/>
        </w:rPr>
      </w:pPr>
      <w:r w:rsidRPr="00A677C2">
        <w:rPr>
          <w:sz w:val="24"/>
          <w:szCs w:val="24"/>
        </w:rPr>
        <w:t xml:space="preserve">Focus group participants provided favorable feedback after reviewing the survey questions.  Participant suggestions to improve clarity were incorporated into the survey design. </w:t>
      </w:r>
    </w:p>
    <w:p w:rsidR="004174F0" w:rsidRDefault="004174F0">
      <w:pPr>
        <w:pStyle w:val="ListParagraph"/>
        <w:spacing w:line="480" w:lineRule="auto"/>
        <w:rPr>
          <w:sz w:val="24"/>
          <w:szCs w:val="24"/>
        </w:rPr>
      </w:pPr>
    </w:p>
    <w:p w:rsidR="004174F0" w:rsidRDefault="00A677C2">
      <w:pPr>
        <w:pStyle w:val="Heading2"/>
        <w:spacing w:after="0" w:line="480" w:lineRule="auto"/>
        <w:rPr>
          <w:sz w:val="24"/>
          <w:szCs w:val="24"/>
        </w:rPr>
      </w:pPr>
      <w:bookmarkStart w:id="26" w:name="_Toc443881767"/>
      <w:bookmarkStart w:id="27" w:name="_Toc451592254"/>
      <w:bookmarkStart w:id="28" w:name="_Toc5610295"/>
      <w:bookmarkStart w:id="29" w:name="_Toc99178801"/>
      <w:bookmarkStart w:id="30" w:name="_Toc351973184"/>
      <w:r w:rsidRPr="00A677C2">
        <w:rPr>
          <w:sz w:val="24"/>
          <w:szCs w:val="24"/>
        </w:rPr>
        <w:t>B.5</w:t>
      </w:r>
      <w:r w:rsidRPr="00A677C2">
        <w:rPr>
          <w:sz w:val="24"/>
          <w:szCs w:val="24"/>
        </w:rPr>
        <w:tab/>
        <w:t>Individuals Consulted on Statistical Aspects and Individuals Collecting and/or Analyzing Data</w:t>
      </w:r>
      <w:bookmarkEnd w:id="26"/>
      <w:bookmarkEnd w:id="27"/>
      <w:bookmarkEnd w:id="28"/>
      <w:bookmarkEnd w:id="29"/>
      <w:bookmarkEnd w:id="30"/>
    </w:p>
    <w:p w:rsidR="004174F0" w:rsidRDefault="00A677C2">
      <w:pPr>
        <w:spacing w:line="480" w:lineRule="auto"/>
        <w:rPr>
          <w:color w:val="FF0000"/>
          <w:sz w:val="24"/>
          <w:szCs w:val="24"/>
        </w:rPr>
      </w:pPr>
      <w:r w:rsidRPr="00A677C2">
        <w:rPr>
          <w:sz w:val="24"/>
          <w:szCs w:val="24"/>
        </w:rPr>
        <w:t xml:space="preserve">The following individuals were critical in developing the research plan, the conceptual framework, survey questions, and sampling strategies underlying evaluation of the survey.  Many of the same individuals will be involved with analysis once the data are collected.  </w:t>
      </w:r>
    </w:p>
    <w:p w:rsidR="006A1120" w:rsidRPr="00615F34" w:rsidRDefault="006A1120" w:rsidP="004662C0">
      <w:pPr>
        <w:pStyle w:val="P1-StandPara"/>
        <w:rPr>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662C0" w:rsidRPr="00615F34" w:rsidTr="005D1B11">
        <w:tc>
          <w:tcPr>
            <w:tcW w:w="4788" w:type="dxa"/>
          </w:tcPr>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Bill Tulskie</w:t>
            </w:r>
          </w:p>
          <w:p w:rsidR="00043C21" w:rsidRPr="00615F34" w:rsidRDefault="00A677C2" w:rsidP="00043C21">
            <w:pPr>
              <w:pStyle w:val="PlainText"/>
              <w:rPr>
                <w:rFonts w:ascii="Times New Roman" w:hAnsi="Times New Roman"/>
                <w:sz w:val="24"/>
                <w:szCs w:val="24"/>
              </w:rPr>
            </w:pPr>
            <w:r w:rsidRPr="00A677C2">
              <w:rPr>
                <w:rFonts w:ascii="Times New Roman" w:hAnsi="Times New Roman"/>
                <w:sz w:val="24"/>
                <w:szCs w:val="24"/>
              </w:rPr>
              <w:t>HealthCare IT, Inc.</w:t>
            </w:r>
          </w:p>
          <w:p w:rsidR="00043C21" w:rsidRPr="00615F34" w:rsidRDefault="00A677C2" w:rsidP="00043C21">
            <w:pPr>
              <w:pStyle w:val="PlainText"/>
              <w:rPr>
                <w:rFonts w:ascii="Times New Roman" w:hAnsi="Times New Roman"/>
                <w:sz w:val="24"/>
                <w:szCs w:val="24"/>
              </w:rPr>
            </w:pPr>
            <w:r w:rsidRPr="00A677C2">
              <w:rPr>
                <w:rFonts w:ascii="Times New Roman" w:hAnsi="Times New Roman"/>
                <w:sz w:val="24"/>
                <w:szCs w:val="24"/>
              </w:rPr>
              <w:t>9210 Corporate Blvd.</w:t>
            </w:r>
          </w:p>
          <w:p w:rsidR="00043C21" w:rsidRPr="00615F34" w:rsidRDefault="00A677C2" w:rsidP="00043C21">
            <w:pPr>
              <w:pStyle w:val="PlainText"/>
              <w:rPr>
                <w:rFonts w:ascii="Times New Roman" w:hAnsi="Times New Roman"/>
                <w:sz w:val="24"/>
                <w:szCs w:val="24"/>
              </w:rPr>
            </w:pPr>
            <w:r w:rsidRPr="00A677C2">
              <w:rPr>
                <w:rFonts w:ascii="Times New Roman" w:hAnsi="Times New Roman"/>
                <w:sz w:val="24"/>
                <w:szCs w:val="24"/>
              </w:rPr>
              <w:t>Suite 400</w:t>
            </w:r>
          </w:p>
          <w:p w:rsidR="00043C21" w:rsidRPr="00615F34" w:rsidRDefault="00A677C2" w:rsidP="00043C21">
            <w:pPr>
              <w:pStyle w:val="PlainText"/>
              <w:rPr>
                <w:rFonts w:ascii="Times New Roman" w:hAnsi="Times New Roman"/>
                <w:sz w:val="24"/>
                <w:szCs w:val="24"/>
              </w:rPr>
            </w:pPr>
            <w:r w:rsidRPr="00A677C2">
              <w:rPr>
                <w:rFonts w:ascii="Times New Roman" w:hAnsi="Times New Roman"/>
                <w:sz w:val="24"/>
                <w:szCs w:val="24"/>
              </w:rPr>
              <w:t>Rockville, MD 20850</w:t>
            </w:r>
          </w:p>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Phone: 240-813-7233</w:t>
            </w:r>
          </w:p>
          <w:p w:rsidR="004662C0" w:rsidRPr="00615F34" w:rsidRDefault="00A677C2" w:rsidP="00DC7630">
            <w:pPr>
              <w:pStyle w:val="PlainText"/>
              <w:rPr>
                <w:rFonts w:ascii="Times New Roman" w:hAnsi="Times New Roman"/>
                <w:color w:val="FF0000"/>
                <w:sz w:val="24"/>
                <w:szCs w:val="24"/>
              </w:rPr>
            </w:pPr>
            <w:r w:rsidRPr="00A677C2">
              <w:rPr>
                <w:rFonts w:ascii="Times New Roman" w:hAnsi="Times New Roman"/>
                <w:sz w:val="24"/>
                <w:szCs w:val="24"/>
              </w:rPr>
              <w:t xml:space="preserve">Email: </w:t>
            </w:r>
            <w:hyperlink r:id="rId13" w:history="1">
              <w:r w:rsidRPr="00A677C2">
                <w:rPr>
                  <w:rStyle w:val="Hyperlink"/>
                  <w:rFonts w:ascii="Times New Roman" w:hAnsi="Times New Roman"/>
                  <w:sz w:val="24"/>
                  <w:szCs w:val="24"/>
                </w:rPr>
                <w:t>wtulskie@healthcit.com</w:t>
              </w:r>
            </w:hyperlink>
            <w:r w:rsidRPr="00A677C2">
              <w:rPr>
                <w:rFonts w:ascii="Times New Roman" w:hAnsi="Times New Roman"/>
                <w:color w:val="FF0000"/>
                <w:sz w:val="24"/>
                <w:szCs w:val="24"/>
              </w:rPr>
              <w:t xml:space="preserve">  </w:t>
            </w:r>
          </w:p>
        </w:tc>
        <w:tc>
          <w:tcPr>
            <w:tcW w:w="4788" w:type="dxa"/>
          </w:tcPr>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Dorie Olson, PMP,EVP</w:t>
            </w:r>
          </w:p>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HealthCare IT, Inc.</w:t>
            </w:r>
          </w:p>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9210 Corporate Blvd.</w:t>
            </w:r>
          </w:p>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Suite 400</w:t>
            </w:r>
          </w:p>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Rockville, MD 20850</w:t>
            </w:r>
          </w:p>
          <w:p w:rsidR="004662C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Phone:  240-813-7231</w:t>
            </w:r>
          </w:p>
          <w:p w:rsidR="004662C0" w:rsidRPr="00615F34" w:rsidRDefault="00A677C2" w:rsidP="00DC7630">
            <w:pPr>
              <w:pStyle w:val="PlainText"/>
              <w:rPr>
                <w:rFonts w:ascii="Times New Roman" w:hAnsi="Times New Roman"/>
                <w:color w:val="FF0000"/>
                <w:sz w:val="24"/>
                <w:szCs w:val="24"/>
              </w:rPr>
            </w:pPr>
            <w:r w:rsidRPr="00A677C2">
              <w:rPr>
                <w:rFonts w:ascii="Times New Roman" w:hAnsi="Times New Roman"/>
                <w:sz w:val="24"/>
                <w:szCs w:val="24"/>
              </w:rPr>
              <w:t xml:space="preserve">Email: </w:t>
            </w:r>
            <w:hyperlink r:id="rId14" w:history="1">
              <w:r w:rsidRPr="00A677C2">
                <w:rPr>
                  <w:rStyle w:val="Hyperlink"/>
                  <w:rFonts w:ascii="Times New Roman" w:hAnsi="Times New Roman"/>
                  <w:sz w:val="24"/>
                  <w:szCs w:val="24"/>
                </w:rPr>
                <w:t>dolson@healthcit.com</w:t>
              </w:r>
            </w:hyperlink>
          </w:p>
        </w:tc>
      </w:tr>
      <w:tr w:rsidR="00DC7630" w:rsidRPr="00615F34" w:rsidTr="005D1B11">
        <w:tc>
          <w:tcPr>
            <w:tcW w:w="4788" w:type="dxa"/>
          </w:tcPr>
          <w:p w:rsidR="006A1120" w:rsidRPr="00615F34" w:rsidRDefault="00A677C2" w:rsidP="006A1120">
            <w:pPr>
              <w:pStyle w:val="PlainText"/>
              <w:rPr>
                <w:rFonts w:ascii="Times New Roman" w:hAnsi="Times New Roman"/>
                <w:sz w:val="24"/>
                <w:szCs w:val="24"/>
              </w:rPr>
            </w:pPr>
            <w:r w:rsidRPr="00A677C2">
              <w:rPr>
                <w:rFonts w:ascii="Times New Roman" w:hAnsi="Times New Roman"/>
                <w:sz w:val="24"/>
                <w:szCs w:val="24"/>
              </w:rPr>
              <w:t>Chana Rabiner, Ph.D.</w:t>
            </w:r>
          </w:p>
          <w:p w:rsidR="006A1120" w:rsidRPr="00615F34" w:rsidRDefault="00A677C2" w:rsidP="006A1120">
            <w:pPr>
              <w:pStyle w:val="PlainText"/>
              <w:rPr>
                <w:rFonts w:ascii="Times New Roman" w:hAnsi="Times New Roman"/>
                <w:sz w:val="24"/>
                <w:szCs w:val="24"/>
              </w:rPr>
            </w:pPr>
            <w:r w:rsidRPr="00A677C2">
              <w:rPr>
                <w:rFonts w:ascii="Times New Roman" w:hAnsi="Times New Roman"/>
                <w:sz w:val="24"/>
                <w:szCs w:val="24"/>
              </w:rPr>
              <w:t>Cancer Diagnosis Program</w:t>
            </w:r>
          </w:p>
          <w:p w:rsidR="006A1120" w:rsidRPr="00615F34" w:rsidRDefault="00A677C2" w:rsidP="006A1120">
            <w:pPr>
              <w:pStyle w:val="PlainText"/>
              <w:rPr>
                <w:rFonts w:ascii="Times New Roman" w:hAnsi="Times New Roman"/>
                <w:sz w:val="24"/>
                <w:szCs w:val="24"/>
              </w:rPr>
            </w:pPr>
            <w:r w:rsidRPr="00A677C2">
              <w:rPr>
                <w:rFonts w:ascii="Times New Roman" w:hAnsi="Times New Roman"/>
                <w:sz w:val="24"/>
                <w:szCs w:val="24"/>
              </w:rPr>
              <w:lastRenderedPageBreak/>
              <w:t>Division of Cancer Treatment and Diagnosis</w:t>
            </w:r>
          </w:p>
          <w:p w:rsidR="006A1120" w:rsidRPr="00615F34" w:rsidRDefault="00A677C2" w:rsidP="006A1120">
            <w:pPr>
              <w:pStyle w:val="PlainText"/>
              <w:rPr>
                <w:rFonts w:ascii="Times New Roman" w:hAnsi="Times New Roman"/>
                <w:sz w:val="24"/>
                <w:szCs w:val="24"/>
              </w:rPr>
            </w:pPr>
            <w:r w:rsidRPr="00A677C2">
              <w:rPr>
                <w:rFonts w:ascii="Times New Roman" w:hAnsi="Times New Roman"/>
                <w:sz w:val="24"/>
                <w:szCs w:val="24"/>
              </w:rPr>
              <w:t>National Cancer Institute</w:t>
            </w:r>
          </w:p>
          <w:p w:rsidR="006A1120" w:rsidRPr="00615F34" w:rsidRDefault="00A677C2" w:rsidP="006A1120">
            <w:pPr>
              <w:pStyle w:val="PlainText"/>
              <w:rPr>
                <w:rFonts w:ascii="Times New Roman" w:hAnsi="Times New Roman"/>
                <w:sz w:val="24"/>
                <w:szCs w:val="24"/>
              </w:rPr>
            </w:pPr>
            <w:r w:rsidRPr="00A677C2">
              <w:rPr>
                <w:rFonts w:ascii="Times New Roman" w:hAnsi="Times New Roman"/>
                <w:sz w:val="24"/>
                <w:szCs w:val="24"/>
              </w:rPr>
              <w:t>9609 Medical Center Drive</w:t>
            </w:r>
          </w:p>
          <w:p w:rsidR="006A1120" w:rsidRPr="00615F34" w:rsidRDefault="00A677C2" w:rsidP="006A1120">
            <w:pPr>
              <w:pStyle w:val="PlainText"/>
              <w:rPr>
                <w:rFonts w:ascii="Times New Roman" w:hAnsi="Times New Roman"/>
                <w:sz w:val="24"/>
                <w:szCs w:val="24"/>
              </w:rPr>
            </w:pPr>
            <w:r w:rsidRPr="00A677C2">
              <w:rPr>
                <w:rFonts w:ascii="Times New Roman" w:hAnsi="Times New Roman"/>
                <w:sz w:val="24"/>
                <w:szCs w:val="24"/>
              </w:rPr>
              <w:t>Rockville, MD 20892</w:t>
            </w:r>
          </w:p>
          <w:p w:rsidR="006A112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t xml:space="preserve">Email:  </w:t>
            </w:r>
            <w:hyperlink r:id="rId15" w:history="1">
              <w:r w:rsidRPr="00A677C2">
                <w:rPr>
                  <w:rFonts w:ascii="Times New Roman" w:hAnsi="Times New Roman"/>
                  <w:sz w:val="24"/>
                  <w:szCs w:val="24"/>
                </w:rPr>
                <w:t>chana.rabiner@nih.gov</w:t>
              </w:r>
            </w:hyperlink>
          </w:p>
        </w:tc>
        <w:tc>
          <w:tcPr>
            <w:tcW w:w="4788" w:type="dxa"/>
          </w:tcPr>
          <w:p w:rsidR="00DC7630" w:rsidRPr="00615F34" w:rsidRDefault="00A677C2" w:rsidP="00040639">
            <w:pPr>
              <w:pStyle w:val="PlainText"/>
              <w:rPr>
                <w:rFonts w:ascii="Times New Roman" w:hAnsi="Times New Roman"/>
                <w:sz w:val="24"/>
                <w:szCs w:val="24"/>
              </w:rPr>
            </w:pPr>
            <w:r w:rsidRPr="00A677C2">
              <w:rPr>
                <w:rFonts w:ascii="Times New Roman" w:hAnsi="Times New Roman"/>
                <w:sz w:val="24"/>
                <w:szCs w:val="24"/>
              </w:rPr>
              <w:lastRenderedPageBreak/>
              <w:t>Jim Vaught</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Cancer Diagnosis Program</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lastRenderedPageBreak/>
              <w:t>Division of Cancer Treatment and Diagnosis</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National Cancer Institute</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9609 Medical Center Drive</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Rockville, MD 20892</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 xml:space="preserve">Email:  </w:t>
            </w:r>
            <w:hyperlink r:id="rId16" w:history="1">
              <w:r w:rsidRPr="00A677C2">
                <w:rPr>
                  <w:rStyle w:val="Hyperlink"/>
                  <w:rFonts w:ascii="Times New Roman" w:hAnsi="Times New Roman"/>
                  <w:sz w:val="24"/>
                  <w:szCs w:val="24"/>
                </w:rPr>
                <w:t>vaughtj@mail.nih.gov</w:t>
              </w:r>
            </w:hyperlink>
          </w:p>
        </w:tc>
      </w:tr>
      <w:tr w:rsidR="002E6D09" w:rsidRPr="00615F34" w:rsidTr="005D1B11">
        <w:tc>
          <w:tcPr>
            <w:tcW w:w="4788" w:type="dxa"/>
          </w:tcPr>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lastRenderedPageBreak/>
              <w:t>Nancy V. Roche, Ph.D.</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Director of Scientific Programs, OBBR Support</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Applied Biomedical Science and Informatics Program</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SAIC-Frederick, Inc.</w:t>
            </w:r>
          </w:p>
          <w:p w:rsidR="002E6D0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Frederick National Laboratory for Cancer Research (FNLCR)</w:t>
            </w:r>
          </w:p>
          <w:p w:rsidR="00000A19" w:rsidRPr="00615F34" w:rsidRDefault="00A677C2" w:rsidP="00000A19">
            <w:pPr>
              <w:pStyle w:val="PlainText"/>
              <w:rPr>
                <w:rFonts w:ascii="Times New Roman" w:hAnsi="Times New Roman"/>
                <w:sz w:val="24"/>
                <w:szCs w:val="24"/>
              </w:rPr>
            </w:pPr>
            <w:r w:rsidRPr="00A677C2">
              <w:rPr>
                <w:rFonts w:ascii="Times New Roman" w:hAnsi="Times New Roman"/>
                <w:sz w:val="24"/>
                <w:szCs w:val="24"/>
              </w:rPr>
              <w:t>9609 Medical Center Drive</w:t>
            </w:r>
          </w:p>
          <w:p w:rsidR="00000A19" w:rsidRPr="00615F34" w:rsidRDefault="00A677C2" w:rsidP="00000A19">
            <w:pPr>
              <w:pStyle w:val="PlainText"/>
              <w:rPr>
                <w:rFonts w:ascii="Times New Roman" w:hAnsi="Times New Roman"/>
                <w:sz w:val="24"/>
                <w:szCs w:val="24"/>
              </w:rPr>
            </w:pPr>
            <w:r w:rsidRPr="00A677C2">
              <w:rPr>
                <w:rFonts w:ascii="Times New Roman" w:hAnsi="Times New Roman"/>
                <w:sz w:val="24"/>
                <w:szCs w:val="24"/>
              </w:rPr>
              <w:t>Rockville, MD 20892</w:t>
            </w:r>
          </w:p>
          <w:p w:rsidR="00000A19" w:rsidRPr="00615F34" w:rsidRDefault="00A677C2" w:rsidP="002E6D09">
            <w:pPr>
              <w:pStyle w:val="PlainText"/>
              <w:rPr>
                <w:rFonts w:ascii="Times New Roman" w:hAnsi="Times New Roman"/>
                <w:sz w:val="24"/>
                <w:szCs w:val="24"/>
              </w:rPr>
            </w:pPr>
            <w:r w:rsidRPr="00A677C2">
              <w:rPr>
                <w:rFonts w:ascii="Times New Roman" w:hAnsi="Times New Roman"/>
                <w:sz w:val="24"/>
                <w:szCs w:val="24"/>
              </w:rPr>
              <w:t xml:space="preserve">Email: </w:t>
            </w:r>
            <w:hyperlink r:id="rId17" w:history="1">
              <w:r w:rsidRPr="00A677C2">
                <w:rPr>
                  <w:rStyle w:val="Hyperlink"/>
                  <w:rFonts w:ascii="Times New Roman" w:hAnsi="Times New Roman"/>
                  <w:sz w:val="24"/>
                  <w:szCs w:val="24"/>
                </w:rPr>
                <w:t>rochenv@mail.nih.gov</w:t>
              </w:r>
            </w:hyperlink>
          </w:p>
        </w:tc>
        <w:tc>
          <w:tcPr>
            <w:tcW w:w="4788" w:type="dxa"/>
          </w:tcPr>
          <w:p w:rsidR="002E6D09" w:rsidRPr="00615F34" w:rsidRDefault="002E6D09" w:rsidP="00040639">
            <w:pPr>
              <w:pStyle w:val="PlainText"/>
              <w:rPr>
                <w:rFonts w:ascii="Times New Roman" w:hAnsi="Times New Roman"/>
                <w:sz w:val="24"/>
                <w:szCs w:val="24"/>
              </w:rPr>
            </w:pPr>
          </w:p>
        </w:tc>
      </w:tr>
    </w:tbl>
    <w:p w:rsidR="006E5D58" w:rsidRPr="00615F34" w:rsidRDefault="006E5D58" w:rsidP="00AF3458">
      <w:pPr>
        <w:pStyle w:val="P1-StandPara"/>
        <w:rPr>
          <w:sz w:val="24"/>
          <w:szCs w:val="24"/>
        </w:rPr>
      </w:pPr>
    </w:p>
    <w:sectPr w:rsidR="006E5D58" w:rsidRPr="00615F34" w:rsidSect="00556289">
      <w:pgSz w:w="12240" w:h="15840" w:code="1"/>
      <w:pgMar w:top="1296" w:right="1152" w:bottom="1296" w:left="1152"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CC" w:rsidRDefault="007579CC" w:rsidP="00040639">
      <w:r>
        <w:separator/>
      </w:r>
    </w:p>
  </w:endnote>
  <w:endnote w:type="continuationSeparator" w:id="0">
    <w:p w:rsidR="007579CC" w:rsidRDefault="007579CC" w:rsidP="000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C" w:rsidRDefault="00A677C2" w:rsidP="00040639">
    <w:pPr>
      <w:pStyle w:val="Footer"/>
      <w:rPr>
        <w:rStyle w:val="PageNumber"/>
      </w:rPr>
    </w:pPr>
    <w:r>
      <w:rPr>
        <w:rStyle w:val="PageNumber"/>
      </w:rPr>
      <w:fldChar w:fldCharType="begin"/>
    </w:r>
    <w:r w:rsidR="00DA140C">
      <w:rPr>
        <w:rStyle w:val="PageNumber"/>
      </w:rPr>
      <w:instrText xml:space="preserve">PAGE  </w:instrText>
    </w:r>
    <w:r>
      <w:rPr>
        <w:rStyle w:val="PageNumber"/>
      </w:rPr>
      <w:fldChar w:fldCharType="end"/>
    </w:r>
  </w:p>
  <w:p w:rsidR="00DA140C" w:rsidRDefault="00DA140C" w:rsidP="00040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C" w:rsidRPr="00556289" w:rsidRDefault="00A677C2" w:rsidP="00556289">
    <w:pPr>
      <w:pStyle w:val="Footer"/>
      <w:jc w:val="right"/>
      <w:rPr>
        <w:color w:val="FF0000"/>
        <w:sz w:val="18"/>
        <w:szCs w:val="18"/>
      </w:rPr>
    </w:pPr>
    <w:r w:rsidRPr="00556289">
      <w:rPr>
        <w:rStyle w:val="PageNumber"/>
        <w:sz w:val="18"/>
        <w:szCs w:val="18"/>
      </w:rPr>
      <w:fldChar w:fldCharType="begin"/>
    </w:r>
    <w:r w:rsidR="00DA140C" w:rsidRPr="00556289">
      <w:rPr>
        <w:rStyle w:val="PageNumber"/>
        <w:sz w:val="18"/>
        <w:szCs w:val="18"/>
      </w:rPr>
      <w:instrText xml:space="preserve"> PAGE </w:instrText>
    </w:r>
    <w:r w:rsidRPr="00556289">
      <w:rPr>
        <w:rStyle w:val="PageNumber"/>
        <w:sz w:val="18"/>
        <w:szCs w:val="18"/>
      </w:rPr>
      <w:fldChar w:fldCharType="separate"/>
    </w:r>
    <w:r w:rsidR="007E5191">
      <w:rPr>
        <w:rStyle w:val="PageNumber"/>
        <w:noProof/>
        <w:sz w:val="18"/>
        <w:szCs w:val="18"/>
      </w:rPr>
      <w:t>1</w:t>
    </w:r>
    <w:r w:rsidRPr="00556289">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C" w:rsidRPr="001A132D" w:rsidRDefault="00DA140C" w:rsidP="00040639">
    <w:pPr>
      <w:pStyle w:val="Footer"/>
    </w:pPr>
    <w:smartTag w:uri="urn:schemas-microsoft-com:office:smarttags" w:element="stockticker">
      <w:r w:rsidRPr="001A132D">
        <w:t>NCI</w:t>
      </w:r>
    </w:smartTag>
    <w:r w:rsidRPr="001A132D">
      <w:t>’s Office of Management Analysis and Assessment (OMAA)</w:t>
    </w:r>
  </w:p>
  <w:p w:rsidR="00DA140C" w:rsidRDefault="00DA140C" w:rsidP="00040639">
    <w:pPr>
      <w:pStyle w:val="Foo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DA140C" w:rsidRPr="00A35B8F" w:rsidRDefault="00DA140C" w:rsidP="00040639">
    <w:pPr>
      <w:pStyle w:val="Footer"/>
    </w:pPr>
    <w:r>
      <w:t>Last Upd</w:t>
    </w:r>
    <w:r w:rsidRPr="001A132D">
      <w:t xml:space="preserve">ated </w:t>
    </w:r>
    <w:smartTag w:uri="urn:schemas-microsoft-com:office:smarttags" w:element="date">
      <w:smartTagPr>
        <w:attr w:name="Year" w:val="2008"/>
        <w:attr w:name="Day" w:val="7"/>
        <w:attr w:name="Month" w:val="7"/>
      </w:smartTagPr>
      <w:r>
        <w:t>7-7</w:t>
      </w:r>
      <w:r w:rsidRPr="001A132D">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CC" w:rsidRDefault="007579CC" w:rsidP="00040639">
      <w:r>
        <w:separator/>
      </w:r>
    </w:p>
  </w:footnote>
  <w:footnote w:type="continuationSeparator" w:id="0">
    <w:p w:rsidR="007579CC" w:rsidRDefault="007579CC" w:rsidP="0004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271A"/>
    <w:rsid w:val="00000A19"/>
    <w:rsid w:val="0000485E"/>
    <w:rsid w:val="00007CA4"/>
    <w:rsid w:val="0001163D"/>
    <w:rsid w:val="000117FF"/>
    <w:rsid w:val="000123B1"/>
    <w:rsid w:val="00012A5D"/>
    <w:rsid w:val="00012B52"/>
    <w:rsid w:val="00012C2D"/>
    <w:rsid w:val="000164DD"/>
    <w:rsid w:val="00021732"/>
    <w:rsid w:val="00021DEA"/>
    <w:rsid w:val="00024D78"/>
    <w:rsid w:val="00025BCF"/>
    <w:rsid w:val="00030615"/>
    <w:rsid w:val="000326BF"/>
    <w:rsid w:val="00034658"/>
    <w:rsid w:val="0003571F"/>
    <w:rsid w:val="000403A5"/>
    <w:rsid w:val="00040639"/>
    <w:rsid w:val="0004184D"/>
    <w:rsid w:val="00042D7A"/>
    <w:rsid w:val="00043C21"/>
    <w:rsid w:val="00050343"/>
    <w:rsid w:val="00050963"/>
    <w:rsid w:val="00050A76"/>
    <w:rsid w:val="00051AA2"/>
    <w:rsid w:val="00055962"/>
    <w:rsid w:val="00057024"/>
    <w:rsid w:val="00057592"/>
    <w:rsid w:val="00060A0E"/>
    <w:rsid w:val="00061D4D"/>
    <w:rsid w:val="00065E07"/>
    <w:rsid w:val="00071364"/>
    <w:rsid w:val="00072CF4"/>
    <w:rsid w:val="00080FF0"/>
    <w:rsid w:val="00082E9D"/>
    <w:rsid w:val="00085BD0"/>
    <w:rsid w:val="000872F1"/>
    <w:rsid w:val="00093A1E"/>
    <w:rsid w:val="00093F1D"/>
    <w:rsid w:val="0009593F"/>
    <w:rsid w:val="000962BB"/>
    <w:rsid w:val="000A0208"/>
    <w:rsid w:val="000A0F5A"/>
    <w:rsid w:val="000A3FD5"/>
    <w:rsid w:val="000B0BFB"/>
    <w:rsid w:val="000B22C1"/>
    <w:rsid w:val="000B2376"/>
    <w:rsid w:val="000B4A20"/>
    <w:rsid w:val="000B57D5"/>
    <w:rsid w:val="000C0603"/>
    <w:rsid w:val="000C2334"/>
    <w:rsid w:val="000C4E01"/>
    <w:rsid w:val="000C62B2"/>
    <w:rsid w:val="000D1FAE"/>
    <w:rsid w:val="000D3827"/>
    <w:rsid w:val="000E2DA2"/>
    <w:rsid w:val="000E2F5A"/>
    <w:rsid w:val="000E3149"/>
    <w:rsid w:val="000E32A7"/>
    <w:rsid w:val="000E4FA8"/>
    <w:rsid w:val="000E671A"/>
    <w:rsid w:val="000E77AB"/>
    <w:rsid w:val="000F014A"/>
    <w:rsid w:val="000F44FE"/>
    <w:rsid w:val="0010655B"/>
    <w:rsid w:val="00107489"/>
    <w:rsid w:val="001102A3"/>
    <w:rsid w:val="00113664"/>
    <w:rsid w:val="00113E23"/>
    <w:rsid w:val="001228F5"/>
    <w:rsid w:val="00126AA4"/>
    <w:rsid w:val="00126DE6"/>
    <w:rsid w:val="0013061F"/>
    <w:rsid w:val="00131E43"/>
    <w:rsid w:val="001329A5"/>
    <w:rsid w:val="00136238"/>
    <w:rsid w:val="001421B7"/>
    <w:rsid w:val="00144B27"/>
    <w:rsid w:val="0014654D"/>
    <w:rsid w:val="00151979"/>
    <w:rsid w:val="00151D20"/>
    <w:rsid w:val="001566CB"/>
    <w:rsid w:val="001639FC"/>
    <w:rsid w:val="0016464B"/>
    <w:rsid w:val="0016566A"/>
    <w:rsid w:val="00166A2B"/>
    <w:rsid w:val="0016788C"/>
    <w:rsid w:val="00173F86"/>
    <w:rsid w:val="00174240"/>
    <w:rsid w:val="00175022"/>
    <w:rsid w:val="001758BA"/>
    <w:rsid w:val="00176515"/>
    <w:rsid w:val="00182CDE"/>
    <w:rsid w:val="00190815"/>
    <w:rsid w:val="00191D79"/>
    <w:rsid w:val="00192B2A"/>
    <w:rsid w:val="00192CC4"/>
    <w:rsid w:val="00196479"/>
    <w:rsid w:val="00196E71"/>
    <w:rsid w:val="001A3258"/>
    <w:rsid w:val="001B1A9D"/>
    <w:rsid w:val="001B1E35"/>
    <w:rsid w:val="001C0969"/>
    <w:rsid w:val="001C170D"/>
    <w:rsid w:val="001C1D33"/>
    <w:rsid w:val="001C2452"/>
    <w:rsid w:val="001C3AB0"/>
    <w:rsid w:val="001C66F6"/>
    <w:rsid w:val="001D22EB"/>
    <w:rsid w:val="001D677B"/>
    <w:rsid w:val="001D7CD8"/>
    <w:rsid w:val="001E2BF6"/>
    <w:rsid w:val="001E40B3"/>
    <w:rsid w:val="001E4E1E"/>
    <w:rsid w:val="001F4053"/>
    <w:rsid w:val="001F46E2"/>
    <w:rsid w:val="001F6A42"/>
    <w:rsid w:val="00201A10"/>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505DA"/>
    <w:rsid w:val="002524FA"/>
    <w:rsid w:val="002572F7"/>
    <w:rsid w:val="002609D1"/>
    <w:rsid w:val="00265C88"/>
    <w:rsid w:val="002664B4"/>
    <w:rsid w:val="002738AC"/>
    <w:rsid w:val="00273ACD"/>
    <w:rsid w:val="00274CAA"/>
    <w:rsid w:val="00280A5E"/>
    <w:rsid w:val="002855C2"/>
    <w:rsid w:val="00293E14"/>
    <w:rsid w:val="00295C52"/>
    <w:rsid w:val="002A1F4A"/>
    <w:rsid w:val="002A27ED"/>
    <w:rsid w:val="002A468E"/>
    <w:rsid w:val="002B2AD7"/>
    <w:rsid w:val="002B56E0"/>
    <w:rsid w:val="002B7481"/>
    <w:rsid w:val="002B7D57"/>
    <w:rsid w:val="002C1FCF"/>
    <w:rsid w:val="002C38FB"/>
    <w:rsid w:val="002C6B08"/>
    <w:rsid w:val="002D2F64"/>
    <w:rsid w:val="002E0034"/>
    <w:rsid w:val="002E6D09"/>
    <w:rsid w:val="002E7F14"/>
    <w:rsid w:val="002F2BAB"/>
    <w:rsid w:val="002F7DF9"/>
    <w:rsid w:val="00302C88"/>
    <w:rsid w:val="0030393C"/>
    <w:rsid w:val="00304D02"/>
    <w:rsid w:val="003117A3"/>
    <w:rsid w:val="00313488"/>
    <w:rsid w:val="00314DC8"/>
    <w:rsid w:val="0031557E"/>
    <w:rsid w:val="003165FC"/>
    <w:rsid w:val="003216B5"/>
    <w:rsid w:val="00321EEB"/>
    <w:rsid w:val="00323DBB"/>
    <w:rsid w:val="00332ED8"/>
    <w:rsid w:val="00335C36"/>
    <w:rsid w:val="00336508"/>
    <w:rsid w:val="00341780"/>
    <w:rsid w:val="00350E31"/>
    <w:rsid w:val="003515B1"/>
    <w:rsid w:val="00352C28"/>
    <w:rsid w:val="00361B78"/>
    <w:rsid w:val="00361FF7"/>
    <w:rsid w:val="00365783"/>
    <w:rsid w:val="003667C0"/>
    <w:rsid w:val="00367CA9"/>
    <w:rsid w:val="00372D10"/>
    <w:rsid w:val="00382830"/>
    <w:rsid w:val="003837CC"/>
    <w:rsid w:val="00384416"/>
    <w:rsid w:val="0039241E"/>
    <w:rsid w:val="003A0609"/>
    <w:rsid w:val="003A2B38"/>
    <w:rsid w:val="003A3890"/>
    <w:rsid w:val="003A48CD"/>
    <w:rsid w:val="003B1A8C"/>
    <w:rsid w:val="003B1FA6"/>
    <w:rsid w:val="003B254D"/>
    <w:rsid w:val="003B2D2B"/>
    <w:rsid w:val="003B300E"/>
    <w:rsid w:val="003B4591"/>
    <w:rsid w:val="003B62C7"/>
    <w:rsid w:val="003C122E"/>
    <w:rsid w:val="003C1CC8"/>
    <w:rsid w:val="003C50D4"/>
    <w:rsid w:val="003C51B9"/>
    <w:rsid w:val="003C5DB0"/>
    <w:rsid w:val="003C6CE5"/>
    <w:rsid w:val="003D3A1B"/>
    <w:rsid w:val="003D43FE"/>
    <w:rsid w:val="003D6F2A"/>
    <w:rsid w:val="003D7068"/>
    <w:rsid w:val="003E215E"/>
    <w:rsid w:val="003E2CFF"/>
    <w:rsid w:val="003E3864"/>
    <w:rsid w:val="003F249F"/>
    <w:rsid w:val="003F320D"/>
    <w:rsid w:val="003F533D"/>
    <w:rsid w:val="003F74DE"/>
    <w:rsid w:val="004019D3"/>
    <w:rsid w:val="004104C1"/>
    <w:rsid w:val="00412D21"/>
    <w:rsid w:val="0041707B"/>
    <w:rsid w:val="004174F0"/>
    <w:rsid w:val="00417E1C"/>
    <w:rsid w:val="004216D4"/>
    <w:rsid w:val="0042351E"/>
    <w:rsid w:val="004239FD"/>
    <w:rsid w:val="00435130"/>
    <w:rsid w:val="00435409"/>
    <w:rsid w:val="0043758A"/>
    <w:rsid w:val="004428F8"/>
    <w:rsid w:val="0045078C"/>
    <w:rsid w:val="00450B53"/>
    <w:rsid w:val="00454AD7"/>
    <w:rsid w:val="0045688D"/>
    <w:rsid w:val="00456DC1"/>
    <w:rsid w:val="00457096"/>
    <w:rsid w:val="00462082"/>
    <w:rsid w:val="0046455C"/>
    <w:rsid w:val="00464594"/>
    <w:rsid w:val="00464BAA"/>
    <w:rsid w:val="004662C0"/>
    <w:rsid w:val="00474822"/>
    <w:rsid w:val="00477FAE"/>
    <w:rsid w:val="004872C8"/>
    <w:rsid w:val="00487A75"/>
    <w:rsid w:val="00490492"/>
    <w:rsid w:val="00490EDB"/>
    <w:rsid w:val="0049779D"/>
    <w:rsid w:val="004A047B"/>
    <w:rsid w:val="004A62BE"/>
    <w:rsid w:val="004B2456"/>
    <w:rsid w:val="004B307E"/>
    <w:rsid w:val="004B60BC"/>
    <w:rsid w:val="004B7555"/>
    <w:rsid w:val="004D21B8"/>
    <w:rsid w:val="004D37E3"/>
    <w:rsid w:val="004E0D6B"/>
    <w:rsid w:val="004E211A"/>
    <w:rsid w:val="004E60EB"/>
    <w:rsid w:val="004F23B1"/>
    <w:rsid w:val="004F2451"/>
    <w:rsid w:val="004F659A"/>
    <w:rsid w:val="004F7434"/>
    <w:rsid w:val="00501AA2"/>
    <w:rsid w:val="00506972"/>
    <w:rsid w:val="00514F96"/>
    <w:rsid w:val="005156C0"/>
    <w:rsid w:val="0051748D"/>
    <w:rsid w:val="005230D1"/>
    <w:rsid w:val="0053452B"/>
    <w:rsid w:val="00534B19"/>
    <w:rsid w:val="00542AA6"/>
    <w:rsid w:val="00543FA2"/>
    <w:rsid w:val="00544AA0"/>
    <w:rsid w:val="00545320"/>
    <w:rsid w:val="00547A9E"/>
    <w:rsid w:val="00551B43"/>
    <w:rsid w:val="00556289"/>
    <w:rsid w:val="00556A12"/>
    <w:rsid w:val="00564A1E"/>
    <w:rsid w:val="00572297"/>
    <w:rsid w:val="0057533F"/>
    <w:rsid w:val="0057594E"/>
    <w:rsid w:val="00577186"/>
    <w:rsid w:val="0057736B"/>
    <w:rsid w:val="00581B65"/>
    <w:rsid w:val="00592061"/>
    <w:rsid w:val="005923DA"/>
    <w:rsid w:val="00595BE8"/>
    <w:rsid w:val="005969B4"/>
    <w:rsid w:val="00597E48"/>
    <w:rsid w:val="005A269C"/>
    <w:rsid w:val="005A4E54"/>
    <w:rsid w:val="005A4E64"/>
    <w:rsid w:val="005A6322"/>
    <w:rsid w:val="005B12E8"/>
    <w:rsid w:val="005C01B9"/>
    <w:rsid w:val="005C0B35"/>
    <w:rsid w:val="005C1A8C"/>
    <w:rsid w:val="005C1F7E"/>
    <w:rsid w:val="005C58E9"/>
    <w:rsid w:val="005C631B"/>
    <w:rsid w:val="005D0639"/>
    <w:rsid w:val="005D1B11"/>
    <w:rsid w:val="005D2BF6"/>
    <w:rsid w:val="005D78D8"/>
    <w:rsid w:val="005E0753"/>
    <w:rsid w:val="005E6E3B"/>
    <w:rsid w:val="0060178F"/>
    <w:rsid w:val="006019D5"/>
    <w:rsid w:val="00601B5C"/>
    <w:rsid w:val="006049A2"/>
    <w:rsid w:val="00606CB9"/>
    <w:rsid w:val="00607F2B"/>
    <w:rsid w:val="00610C5F"/>
    <w:rsid w:val="00611E46"/>
    <w:rsid w:val="00613585"/>
    <w:rsid w:val="00615F34"/>
    <w:rsid w:val="00622742"/>
    <w:rsid w:val="00622CBB"/>
    <w:rsid w:val="00623409"/>
    <w:rsid w:val="00623E1B"/>
    <w:rsid w:val="00624CBC"/>
    <w:rsid w:val="006305C5"/>
    <w:rsid w:val="00630B97"/>
    <w:rsid w:val="00632869"/>
    <w:rsid w:val="00633228"/>
    <w:rsid w:val="00634957"/>
    <w:rsid w:val="00637B56"/>
    <w:rsid w:val="00641466"/>
    <w:rsid w:val="00647764"/>
    <w:rsid w:val="006502C2"/>
    <w:rsid w:val="00650729"/>
    <w:rsid w:val="00653641"/>
    <w:rsid w:val="00656EEF"/>
    <w:rsid w:val="0066035D"/>
    <w:rsid w:val="0066321D"/>
    <w:rsid w:val="006638B2"/>
    <w:rsid w:val="006642D6"/>
    <w:rsid w:val="00666DB3"/>
    <w:rsid w:val="00667330"/>
    <w:rsid w:val="00676CB6"/>
    <w:rsid w:val="006814D0"/>
    <w:rsid w:val="00685E28"/>
    <w:rsid w:val="006914ED"/>
    <w:rsid w:val="00695A58"/>
    <w:rsid w:val="006A1120"/>
    <w:rsid w:val="006A5B36"/>
    <w:rsid w:val="006A6EA7"/>
    <w:rsid w:val="006A7585"/>
    <w:rsid w:val="006B2141"/>
    <w:rsid w:val="006B67BE"/>
    <w:rsid w:val="006B741D"/>
    <w:rsid w:val="006C10E0"/>
    <w:rsid w:val="006C4C98"/>
    <w:rsid w:val="006C50AF"/>
    <w:rsid w:val="006C5D86"/>
    <w:rsid w:val="006D2A80"/>
    <w:rsid w:val="006D414E"/>
    <w:rsid w:val="006D5561"/>
    <w:rsid w:val="006D60D3"/>
    <w:rsid w:val="006D631E"/>
    <w:rsid w:val="006E5D58"/>
    <w:rsid w:val="006E6D75"/>
    <w:rsid w:val="006E7A75"/>
    <w:rsid w:val="006F14A2"/>
    <w:rsid w:val="006F17D8"/>
    <w:rsid w:val="006F1AAA"/>
    <w:rsid w:val="006F2429"/>
    <w:rsid w:val="006F2553"/>
    <w:rsid w:val="006F6D4A"/>
    <w:rsid w:val="007066F1"/>
    <w:rsid w:val="007073D7"/>
    <w:rsid w:val="0071420D"/>
    <w:rsid w:val="00717A3B"/>
    <w:rsid w:val="00721271"/>
    <w:rsid w:val="00726857"/>
    <w:rsid w:val="00730479"/>
    <w:rsid w:val="007313A2"/>
    <w:rsid w:val="00731600"/>
    <w:rsid w:val="00733778"/>
    <w:rsid w:val="0073532E"/>
    <w:rsid w:val="00743122"/>
    <w:rsid w:val="0074711C"/>
    <w:rsid w:val="00752EE6"/>
    <w:rsid w:val="007579CC"/>
    <w:rsid w:val="00762B89"/>
    <w:rsid w:val="007638F5"/>
    <w:rsid w:val="00763FAA"/>
    <w:rsid w:val="00764902"/>
    <w:rsid w:val="007709E8"/>
    <w:rsid w:val="00773A5D"/>
    <w:rsid w:val="00780582"/>
    <w:rsid w:val="00783276"/>
    <w:rsid w:val="00783642"/>
    <w:rsid w:val="00786263"/>
    <w:rsid w:val="007913FA"/>
    <w:rsid w:val="00794B72"/>
    <w:rsid w:val="00794DD3"/>
    <w:rsid w:val="0079525F"/>
    <w:rsid w:val="007952EC"/>
    <w:rsid w:val="007A05AC"/>
    <w:rsid w:val="007A4089"/>
    <w:rsid w:val="007B0685"/>
    <w:rsid w:val="007B0738"/>
    <w:rsid w:val="007B0E95"/>
    <w:rsid w:val="007B753A"/>
    <w:rsid w:val="007C0865"/>
    <w:rsid w:val="007C3864"/>
    <w:rsid w:val="007C3991"/>
    <w:rsid w:val="007C3AD3"/>
    <w:rsid w:val="007D13AC"/>
    <w:rsid w:val="007D4F37"/>
    <w:rsid w:val="007E5191"/>
    <w:rsid w:val="007E6B73"/>
    <w:rsid w:val="007F247A"/>
    <w:rsid w:val="007F4546"/>
    <w:rsid w:val="007F717C"/>
    <w:rsid w:val="007F7579"/>
    <w:rsid w:val="00803856"/>
    <w:rsid w:val="008066FD"/>
    <w:rsid w:val="0081051C"/>
    <w:rsid w:val="008170A9"/>
    <w:rsid w:val="008201A8"/>
    <w:rsid w:val="00820666"/>
    <w:rsid w:val="00823489"/>
    <w:rsid w:val="00823726"/>
    <w:rsid w:val="00824AA1"/>
    <w:rsid w:val="00825815"/>
    <w:rsid w:val="0083563A"/>
    <w:rsid w:val="008360EB"/>
    <w:rsid w:val="008410DD"/>
    <w:rsid w:val="00841B04"/>
    <w:rsid w:val="00846F64"/>
    <w:rsid w:val="008663BA"/>
    <w:rsid w:val="008675F2"/>
    <w:rsid w:val="00873228"/>
    <w:rsid w:val="00875D95"/>
    <w:rsid w:val="008766BC"/>
    <w:rsid w:val="00877F3F"/>
    <w:rsid w:val="008806E8"/>
    <w:rsid w:val="00882387"/>
    <w:rsid w:val="00891C30"/>
    <w:rsid w:val="00892002"/>
    <w:rsid w:val="008925CA"/>
    <w:rsid w:val="00892F37"/>
    <w:rsid w:val="008944FE"/>
    <w:rsid w:val="00896E5C"/>
    <w:rsid w:val="008A2C4E"/>
    <w:rsid w:val="008A3BC2"/>
    <w:rsid w:val="008A5551"/>
    <w:rsid w:val="008A555B"/>
    <w:rsid w:val="008A7FB0"/>
    <w:rsid w:val="008B2CBA"/>
    <w:rsid w:val="008B4C55"/>
    <w:rsid w:val="008B5013"/>
    <w:rsid w:val="008C0217"/>
    <w:rsid w:val="008C310C"/>
    <w:rsid w:val="008C52B9"/>
    <w:rsid w:val="008D21F0"/>
    <w:rsid w:val="008D2562"/>
    <w:rsid w:val="008E3EBD"/>
    <w:rsid w:val="008E4D22"/>
    <w:rsid w:val="008E4DDE"/>
    <w:rsid w:val="008E5C10"/>
    <w:rsid w:val="008F4234"/>
    <w:rsid w:val="008F518F"/>
    <w:rsid w:val="00901219"/>
    <w:rsid w:val="009061BA"/>
    <w:rsid w:val="009076AA"/>
    <w:rsid w:val="00907B5C"/>
    <w:rsid w:val="009104A9"/>
    <w:rsid w:val="009150EC"/>
    <w:rsid w:val="0091530A"/>
    <w:rsid w:val="00915495"/>
    <w:rsid w:val="00917E5C"/>
    <w:rsid w:val="009253BF"/>
    <w:rsid w:val="00926572"/>
    <w:rsid w:val="009267DE"/>
    <w:rsid w:val="00935966"/>
    <w:rsid w:val="00941322"/>
    <w:rsid w:val="00941622"/>
    <w:rsid w:val="00941ECF"/>
    <w:rsid w:val="0095107B"/>
    <w:rsid w:val="00955C09"/>
    <w:rsid w:val="00963F6C"/>
    <w:rsid w:val="00964ABC"/>
    <w:rsid w:val="00965932"/>
    <w:rsid w:val="00966B01"/>
    <w:rsid w:val="00967D42"/>
    <w:rsid w:val="00967F67"/>
    <w:rsid w:val="009761E7"/>
    <w:rsid w:val="0097741A"/>
    <w:rsid w:val="00983215"/>
    <w:rsid w:val="00983F70"/>
    <w:rsid w:val="009861F2"/>
    <w:rsid w:val="009869C8"/>
    <w:rsid w:val="00990838"/>
    <w:rsid w:val="0099143F"/>
    <w:rsid w:val="00991742"/>
    <w:rsid w:val="009A4A77"/>
    <w:rsid w:val="009A557A"/>
    <w:rsid w:val="009A5612"/>
    <w:rsid w:val="009A77EF"/>
    <w:rsid w:val="009B2CED"/>
    <w:rsid w:val="009B4572"/>
    <w:rsid w:val="009D1B15"/>
    <w:rsid w:val="009D1EEA"/>
    <w:rsid w:val="009D271A"/>
    <w:rsid w:val="009D2B3B"/>
    <w:rsid w:val="009D3BE0"/>
    <w:rsid w:val="009D68B2"/>
    <w:rsid w:val="009E345B"/>
    <w:rsid w:val="009E742E"/>
    <w:rsid w:val="00A0202C"/>
    <w:rsid w:val="00A027C8"/>
    <w:rsid w:val="00A101EF"/>
    <w:rsid w:val="00A11596"/>
    <w:rsid w:val="00A1269E"/>
    <w:rsid w:val="00A126B1"/>
    <w:rsid w:val="00A126DB"/>
    <w:rsid w:val="00A1320A"/>
    <w:rsid w:val="00A14736"/>
    <w:rsid w:val="00A21B37"/>
    <w:rsid w:val="00A24FFF"/>
    <w:rsid w:val="00A31596"/>
    <w:rsid w:val="00A3178F"/>
    <w:rsid w:val="00A35B8F"/>
    <w:rsid w:val="00A40D98"/>
    <w:rsid w:val="00A463DC"/>
    <w:rsid w:val="00A47F28"/>
    <w:rsid w:val="00A61FBF"/>
    <w:rsid w:val="00A621AE"/>
    <w:rsid w:val="00A6437D"/>
    <w:rsid w:val="00A663BD"/>
    <w:rsid w:val="00A674BB"/>
    <w:rsid w:val="00A677C2"/>
    <w:rsid w:val="00A76177"/>
    <w:rsid w:val="00A77049"/>
    <w:rsid w:val="00A80844"/>
    <w:rsid w:val="00A80959"/>
    <w:rsid w:val="00A82719"/>
    <w:rsid w:val="00A82E69"/>
    <w:rsid w:val="00A908C5"/>
    <w:rsid w:val="00A9133D"/>
    <w:rsid w:val="00A95B00"/>
    <w:rsid w:val="00A9695F"/>
    <w:rsid w:val="00AA6D09"/>
    <w:rsid w:val="00AB065F"/>
    <w:rsid w:val="00AB215C"/>
    <w:rsid w:val="00AB21A5"/>
    <w:rsid w:val="00AB76E3"/>
    <w:rsid w:val="00AB7DC7"/>
    <w:rsid w:val="00AC3DC3"/>
    <w:rsid w:val="00AC537B"/>
    <w:rsid w:val="00AD00A2"/>
    <w:rsid w:val="00AD6A87"/>
    <w:rsid w:val="00AE1BC2"/>
    <w:rsid w:val="00AE40BD"/>
    <w:rsid w:val="00AF16CA"/>
    <w:rsid w:val="00AF3458"/>
    <w:rsid w:val="00AF5AE9"/>
    <w:rsid w:val="00AF61D9"/>
    <w:rsid w:val="00B0066E"/>
    <w:rsid w:val="00B01857"/>
    <w:rsid w:val="00B14C82"/>
    <w:rsid w:val="00B15F00"/>
    <w:rsid w:val="00B203EB"/>
    <w:rsid w:val="00B2186A"/>
    <w:rsid w:val="00B22BA2"/>
    <w:rsid w:val="00B305B8"/>
    <w:rsid w:val="00B36457"/>
    <w:rsid w:val="00B373EB"/>
    <w:rsid w:val="00B40F08"/>
    <w:rsid w:val="00B435A1"/>
    <w:rsid w:val="00B4793E"/>
    <w:rsid w:val="00B53631"/>
    <w:rsid w:val="00B62568"/>
    <w:rsid w:val="00B71500"/>
    <w:rsid w:val="00B72055"/>
    <w:rsid w:val="00B7510A"/>
    <w:rsid w:val="00B90EF0"/>
    <w:rsid w:val="00B93878"/>
    <w:rsid w:val="00B9657C"/>
    <w:rsid w:val="00B97A5D"/>
    <w:rsid w:val="00BA0CC5"/>
    <w:rsid w:val="00BA2E66"/>
    <w:rsid w:val="00BA4E72"/>
    <w:rsid w:val="00BB115F"/>
    <w:rsid w:val="00BB1191"/>
    <w:rsid w:val="00BB5B2A"/>
    <w:rsid w:val="00BC0604"/>
    <w:rsid w:val="00BC279D"/>
    <w:rsid w:val="00BC5A83"/>
    <w:rsid w:val="00BC7DE2"/>
    <w:rsid w:val="00BD0165"/>
    <w:rsid w:val="00BD0764"/>
    <w:rsid w:val="00BD29D1"/>
    <w:rsid w:val="00BD542B"/>
    <w:rsid w:val="00BD765D"/>
    <w:rsid w:val="00BE26B1"/>
    <w:rsid w:val="00BF04FE"/>
    <w:rsid w:val="00BF18B3"/>
    <w:rsid w:val="00BF3397"/>
    <w:rsid w:val="00BF3C6F"/>
    <w:rsid w:val="00BF42AF"/>
    <w:rsid w:val="00BF59A5"/>
    <w:rsid w:val="00BF7AA4"/>
    <w:rsid w:val="00C02F4F"/>
    <w:rsid w:val="00C10316"/>
    <w:rsid w:val="00C10D88"/>
    <w:rsid w:val="00C223C8"/>
    <w:rsid w:val="00C243D2"/>
    <w:rsid w:val="00C25302"/>
    <w:rsid w:val="00C26947"/>
    <w:rsid w:val="00C2744C"/>
    <w:rsid w:val="00C30ABF"/>
    <w:rsid w:val="00C35E83"/>
    <w:rsid w:val="00C36EF2"/>
    <w:rsid w:val="00C42ECB"/>
    <w:rsid w:val="00C44DF8"/>
    <w:rsid w:val="00C51767"/>
    <w:rsid w:val="00C557F4"/>
    <w:rsid w:val="00C57768"/>
    <w:rsid w:val="00C6004D"/>
    <w:rsid w:val="00C6113B"/>
    <w:rsid w:val="00C61717"/>
    <w:rsid w:val="00C64461"/>
    <w:rsid w:val="00C748AF"/>
    <w:rsid w:val="00C8446F"/>
    <w:rsid w:val="00C85FC0"/>
    <w:rsid w:val="00C860B9"/>
    <w:rsid w:val="00C8752A"/>
    <w:rsid w:val="00C902B9"/>
    <w:rsid w:val="00C97752"/>
    <w:rsid w:val="00C97FC1"/>
    <w:rsid w:val="00CA5C77"/>
    <w:rsid w:val="00CB0454"/>
    <w:rsid w:val="00CB4918"/>
    <w:rsid w:val="00CC19BF"/>
    <w:rsid w:val="00CC35DD"/>
    <w:rsid w:val="00CE1A6E"/>
    <w:rsid w:val="00CE1DC5"/>
    <w:rsid w:val="00CE1E66"/>
    <w:rsid w:val="00CE40A1"/>
    <w:rsid w:val="00CE563D"/>
    <w:rsid w:val="00CE62B4"/>
    <w:rsid w:val="00D0260C"/>
    <w:rsid w:val="00D123B5"/>
    <w:rsid w:val="00D16EBC"/>
    <w:rsid w:val="00D20FEB"/>
    <w:rsid w:val="00D23E62"/>
    <w:rsid w:val="00D25531"/>
    <w:rsid w:val="00D25B5D"/>
    <w:rsid w:val="00D25D3A"/>
    <w:rsid w:val="00D31EC3"/>
    <w:rsid w:val="00D32E4F"/>
    <w:rsid w:val="00D36E6A"/>
    <w:rsid w:val="00D37A12"/>
    <w:rsid w:val="00D40066"/>
    <w:rsid w:val="00D405A6"/>
    <w:rsid w:val="00D4199F"/>
    <w:rsid w:val="00D46BF3"/>
    <w:rsid w:val="00D47147"/>
    <w:rsid w:val="00D510C1"/>
    <w:rsid w:val="00D57B20"/>
    <w:rsid w:val="00D66183"/>
    <w:rsid w:val="00D66336"/>
    <w:rsid w:val="00D67FCB"/>
    <w:rsid w:val="00D7511D"/>
    <w:rsid w:val="00D80254"/>
    <w:rsid w:val="00D82965"/>
    <w:rsid w:val="00D90607"/>
    <w:rsid w:val="00D90C92"/>
    <w:rsid w:val="00D9544D"/>
    <w:rsid w:val="00DA0C2B"/>
    <w:rsid w:val="00DA140C"/>
    <w:rsid w:val="00DA199F"/>
    <w:rsid w:val="00DA3C1C"/>
    <w:rsid w:val="00DA5A1B"/>
    <w:rsid w:val="00DA6E2B"/>
    <w:rsid w:val="00DB1DDC"/>
    <w:rsid w:val="00DB441D"/>
    <w:rsid w:val="00DB6703"/>
    <w:rsid w:val="00DC12BB"/>
    <w:rsid w:val="00DC4485"/>
    <w:rsid w:val="00DC4CAD"/>
    <w:rsid w:val="00DC6B26"/>
    <w:rsid w:val="00DC73AF"/>
    <w:rsid w:val="00DC7630"/>
    <w:rsid w:val="00DC7C6E"/>
    <w:rsid w:val="00DD23EC"/>
    <w:rsid w:val="00DD42B1"/>
    <w:rsid w:val="00DD688C"/>
    <w:rsid w:val="00DE022E"/>
    <w:rsid w:val="00DE2DFB"/>
    <w:rsid w:val="00DE4C9E"/>
    <w:rsid w:val="00DF1383"/>
    <w:rsid w:val="00DF189E"/>
    <w:rsid w:val="00DF3329"/>
    <w:rsid w:val="00DF7C33"/>
    <w:rsid w:val="00E00362"/>
    <w:rsid w:val="00E011B9"/>
    <w:rsid w:val="00E11818"/>
    <w:rsid w:val="00E20436"/>
    <w:rsid w:val="00E227A1"/>
    <w:rsid w:val="00E27128"/>
    <w:rsid w:val="00E33288"/>
    <w:rsid w:val="00E41609"/>
    <w:rsid w:val="00E417A6"/>
    <w:rsid w:val="00E514E5"/>
    <w:rsid w:val="00E65A1C"/>
    <w:rsid w:val="00E6704B"/>
    <w:rsid w:val="00E74580"/>
    <w:rsid w:val="00E7463C"/>
    <w:rsid w:val="00E75435"/>
    <w:rsid w:val="00E75EAD"/>
    <w:rsid w:val="00E80BC5"/>
    <w:rsid w:val="00E859B9"/>
    <w:rsid w:val="00E9102C"/>
    <w:rsid w:val="00E97328"/>
    <w:rsid w:val="00E973F1"/>
    <w:rsid w:val="00EA0AB9"/>
    <w:rsid w:val="00EA6573"/>
    <w:rsid w:val="00EB02D4"/>
    <w:rsid w:val="00EB0417"/>
    <w:rsid w:val="00EB6FA1"/>
    <w:rsid w:val="00EC0585"/>
    <w:rsid w:val="00EC5E32"/>
    <w:rsid w:val="00EC63B2"/>
    <w:rsid w:val="00ED11DC"/>
    <w:rsid w:val="00ED1D5B"/>
    <w:rsid w:val="00ED6A15"/>
    <w:rsid w:val="00EE06FA"/>
    <w:rsid w:val="00EE1BEB"/>
    <w:rsid w:val="00EE4537"/>
    <w:rsid w:val="00EE48E1"/>
    <w:rsid w:val="00EF2FC2"/>
    <w:rsid w:val="00EF65EB"/>
    <w:rsid w:val="00F010A8"/>
    <w:rsid w:val="00F043FA"/>
    <w:rsid w:val="00F128BF"/>
    <w:rsid w:val="00F173B4"/>
    <w:rsid w:val="00F31635"/>
    <w:rsid w:val="00F31822"/>
    <w:rsid w:val="00F31B4D"/>
    <w:rsid w:val="00F33AEE"/>
    <w:rsid w:val="00F33CB1"/>
    <w:rsid w:val="00F37918"/>
    <w:rsid w:val="00F420A5"/>
    <w:rsid w:val="00F42EAB"/>
    <w:rsid w:val="00F4413A"/>
    <w:rsid w:val="00F504D0"/>
    <w:rsid w:val="00F52C49"/>
    <w:rsid w:val="00F56FF1"/>
    <w:rsid w:val="00F64652"/>
    <w:rsid w:val="00F74067"/>
    <w:rsid w:val="00F8417B"/>
    <w:rsid w:val="00F84A57"/>
    <w:rsid w:val="00F851AC"/>
    <w:rsid w:val="00F85916"/>
    <w:rsid w:val="00F86A17"/>
    <w:rsid w:val="00F91B23"/>
    <w:rsid w:val="00F95F11"/>
    <w:rsid w:val="00FA0424"/>
    <w:rsid w:val="00FA288C"/>
    <w:rsid w:val="00FA3232"/>
    <w:rsid w:val="00FB1BEB"/>
    <w:rsid w:val="00FB5EBE"/>
    <w:rsid w:val="00FC134D"/>
    <w:rsid w:val="00FC4D57"/>
    <w:rsid w:val="00FC5235"/>
    <w:rsid w:val="00FC5F4D"/>
    <w:rsid w:val="00FD24A2"/>
    <w:rsid w:val="00FD2DFF"/>
    <w:rsid w:val="00FD5660"/>
    <w:rsid w:val="00FD58F1"/>
    <w:rsid w:val="00FD60DA"/>
    <w:rsid w:val="00FD6D9B"/>
    <w:rsid w:val="00FD7844"/>
    <w:rsid w:val="00FE09F8"/>
    <w:rsid w:val="00FE3212"/>
    <w:rsid w:val="00FF12A5"/>
    <w:rsid w:val="00FF1E9F"/>
    <w:rsid w:val="00FF2BA3"/>
    <w:rsid w:val="00FF3027"/>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tulskie@healthci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obank-survey.healthcit.com" TargetMode="External"/><Relationship Id="rId17" Type="http://schemas.openxmlformats.org/officeDocument/2006/relationships/hyperlink" Target="mailto:rochenv@mail.nih.gov" TargetMode="External"/><Relationship Id="rId2" Type="http://schemas.openxmlformats.org/officeDocument/2006/relationships/numbering" Target="numbering.xml"/><Relationship Id="rId16" Type="http://schemas.openxmlformats.org/officeDocument/2006/relationships/hyperlink" Target="mailto:vaughtj@mail.nih.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chana.rabiner@nih.gov"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dolson@healthci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83E9-FA42-4968-B1F4-2FEFE8C1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898</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6744</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 Vivian Horovitch-Kelley</cp:lastModifiedBy>
  <cp:revision>3</cp:revision>
  <cp:lastPrinted>2013-03-25T12:56:00Z</cp:lastPrinted>
  <dcterms:created xsi:type="dcterms:W3CDTF">2013-05-23T17:20:00Z</dcterms:created>
  <dcterms:modified xsi:type="dcterms:W3CDTF">2013-07-16T16:40:00Z</dcterms:modified>
</cp:coreProperties>
</file>