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C8501" w14:textId="445113ED"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250820">
        <w:t>067</w:t>
      </w:r>
      <w:r w:rsidR="00887320">
        <w:t>8</w:t>
      </w:r>
      <w:r w:rsidR="00686301">
        <w:t xml:space="preserve"> Exp</w:t>
      </w:r>
      <w:r w:rsidR="00250820">
        <w:t>Date</w:t>
      </w:r>
      <w:proofErr w:type="gramStart"/>
      <w:r w:rsidR="00250820">
        <w:t>:08</w:t>
      </w:r>
      <w:proofErr w:type="gramEnd"/>
      <w:r w:rsidR="00887320">
        <w:t>/201</w:t>
      </w:r>
      <w:r w:rsidR="00250820">
        <w:t>6</w:t>
      </w:r>
      <w:r>
        <w:rPr>
          <w:sz w:val="28"/>
        </w:rPr>
        <w:t>)</w:t>
      </w:r>
    </w:p>
    <w:p w14:paraId="10A775C5" w14:textId="21D151EF" w:rsidR="00E50293" w:rsidRPr="009239AA" w:rsidRDefault="00DC25FB" w:rsidP="00434E33">
      <w:pPr>
        <w:rPr>
          <w:b/>
        </w:rPr>
      </w:pPr>
      <w:r>
        <w:rPr>
          <w:b/>
          <w:noProof/>
        </w:rPr>
        <mc:AlternateContent>
          <mc:Choice Requires="wps">
            <w:drawing>
              <wp:anchor distT="0" distB="0" distL="114300" distR="114300" simplePos="0" relativeHeight="251657216" behindDoc="0" locked="0" layoutInCell="0" allowOverlap="1" wp14:anchorId="6F993FAA" wp14:editId="652C3F70">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2CD2F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4491F" w:rsidRPr="00C4491F">
        <w:rPr>
          <w:b/>
          <w:bCs/>
        </w:rPr>
        <w:t>NINDS Common Data Elements (CDE) Survey</w:t>
      </w:r>
    </w:p>
    <w:p w14:paraId="035DCA88" w14:textId="77777777" w:rsidR="005E714A" w:rsidRDefault="005E714A"/>
    <w:p w14:paraId="402F6D37" w14:textId="77777777" w:rsidR="001B0AAA" w:rsidRDefault="00F15956">
      <w:r>
        <w:rPr>
          <w:b/>
        </w:rPr>
        <w:t>PURPOSE</w:t>
      </w:r>
      <w:r w:rsidRPr="009239AA">
        <w:rPr>
          <w:b/>
        </w:rPr>
        <w:t>:</w:t>
      </w:r>
      <w:r w:rsidR="00C14CC4" w:rsidRPr="009239AA">
        <w:rPr>
          <w:b/>
        </w:rPr>
        <w:t xml:space="preserve">  </w:t>
      </w:r>
    </w:p>
    <w:p w14:paraId="767DBE74" w14:textId="77777777" w:rsidR="001B0AAA" w:rsidRDefault="001B0AAA"/>
    <w:p w14:paraId="5100626C" w14:textId="69DEC42A" w:rsidR="00F80948" w:rsidRDefault="00F80948" w:rsidP="00F80948">
      <w:r>
        <w:t xml:space="preserve">The proposed information collection is a survey of </w:t>
      </w:r>
      <w:r w:rsidR="000C2230">
        <w:t xml:space="preserve">individual </w:t>
      </w:r>
      <w:r>
        <w:t xml:space="preserve">investigators who have used, developed, or may wish to use the National Institute of Neurological Disorders and Stroke (NINDS) Common Data Elements (CDEs). The purpose of this survey is to assess user satisfaction with the availability, accessibility, and utility of the NINDS CDEs that have been developed thus far. The survey will also assess how well known the NINDS CDEs are to the target research communities, which will provide feedback for ongoing outreach efforts. </w:t>
      </w:r>
    </w:p>
    <w:p w14:paraId="16CCB3DC" w14:textId="77777777" w:rsidR="00F80948" w:rsidRDefault="00F80948" w:rsidP="00F80948"/>
    <w:p w14:paraId="461CC49B" w14:textId="7B3DB9B7" w:rsidR="00F80948" w:rsidRDefault="00F80948" w:rsidP="00F80948">
      <w:r>
        <w:t>The NINDS CDE Project began in 2005 with the primary goal to develop data standards for clinical research involving neurological disorders so that data are captured consistently across different studies. This harmonization effort helps increase data quality and efficiency of clinical research by enabling more effective data collection, analysis, and sharing. Broad use of the CDEs is crucial to the overall goal of facilitating meta-analysis and comparison of data from different studies. NINDS strongly encourages researchers to incorporate CDEs in all applicable NINDS-funded studies via specific language in F</w:t>
      </w:r>
      <w:r w:rsidR="007D3B80">
        <w:t>unding Opportunity Announcement</w:t>
      </w:r>
      <w:r>
        <w:t xml:space="preserve">s and in the Terms of Award for large epidemiology studies and Phase III clinical trials. For easy access and use by investigators, all of the technical information and forms needed for utilization of the CDEs are publicly available on the CDE website. </w:t>
      </w:r>
    </w:p>
    <w:p w14:paraId="58AF454D" w14:textId="77777777" w:rsidR="00F80948" w:rsidRDefault="00F80948" w:rsidP="00F80948"/>
    <w:p w14:paraId="57027064" w14:textId="77777777" w:rsidR="00C8488C" w:rsidRDefault="00F80948" w:rsidP="00F80948">
      <w:r>
        <w:t>The results of this survey will be used to identify strengths and weaknesses of current services and will directly inform program improvements.</w:t>
      </w:r>
    </w:p>
    <w:p w14:paraId="139E88DE" w14:textId="77777777" w:rsidR="00C8488C" w:rsidRDefault="00C8488C" w:rsidP="00434E33">
      <w:pPr>
        <w:pStyle w:val="Header"/>
        <w:tabs>
          <w:tab w:val="clear" w:pos="4320"/>
          <w:tab w:val="clear" w:pos="8640"/>
        </w:tabs>
        <w:rPr>
          <w:b/>
        </w:rPr>
      </w:pPr>
    </w:p>
    <w:p w14:paraId="395587B3"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2143B9BE" w14:textId="77777777" w:rsidR="00F15956" w:rsidRDefault="00F15956"/>
    <w:p w14:paraId="59859412" w14:textId="0609F96F" w:rsidR="0025682F" w:rsidRDefault="0025682F" w:rsidP="0025682F">
      <w:r w:rsidRPr="00F80948">
        <w:t>The survey target population is anyone who has, or may, use NINDS CDEs now or in the near future, including individuals who participated in developing the current sets of CDEs. These individuals include researchers working in academia, industry, and government</w:t>
      </w:r>
      <w:r w:rsidR="00C651C3">
        <w:t xml:space="preserve"> or non-government</w:t>
      </w:r>
      <w:r w:rsidRPr="00F80948">
        <w:t xml:space="preserve"> organizations in the U.S. and abroad.</w:t>
      </w:r>
    </w:p>
    <w:p w14:paraId="3C412772" w14:textId="77777777" w:rsidR="00E26329" w:rsidRDefault="00E26329">
      <w:pPr>
        <w:rPr>
          <w:b/>
        </w:rPr>
      </w:pPr>
    </w:p>
    <w:p w14:paraId="680CC52A" w14:textId="77777777" w:rsidR="00F06866" w:rsidRPr="00F06866" w:rsidRDefault="00F06866">
      <w:pPr>
        <w:rPr>
          <w:b/>
        </w:rPr>
      </w:pPr>
      <w:r>
        <w:rPr>
          <w:b/>
        </w:rPr>
        <w:t>TYPE OF COLLECTION:</w:t>
      </w:r>
      <w:r w:rsidRPr="00F06866">
        <w:t xml:space="preserve"> (Check one)</w:t>
      </w:r>
    </w:p>
    <w:p w14:paraId="4CF4BE30" w14:textId="77777777" w:rsidR="00441434" w:rsidRPr="00434E33" w:rsidRDefault="00441434" w:rsidP="0096108F">
      <w:pPr>
        <w:pStyle w:val="BodyTextIndent"/>
        <w:tabs>
          <w:tab w:val="left" w:pos="360"/>
        </w:tabs>
        <w:ind w:left="0"/>
        <w:rPr>
          <w:bCs/>
          <w:sz w:val="16"/>
          <w:szCs w:val="16"/>
        </w:rPr>
      </w:pPr>
    </w:p>
    <w:p w14:paraId="643120C9" w14:textId="2C6EF5FC"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595A36">
        <w:rPr>
          <w:bCs/>
          <w:sz w:val="24"/>
        </w:rPr>
        <w:t xml:space="preserve"> </w:t>
      </w:r>
      <w:r w:rsidR="00595A36">
        <w:rPr>
          <w:bCs/>
          <w:sz w:val="24"/>
        </w:rPr>
        <w:tab/>
        <w:t>[</w:t>
      </w:r>
      <w:r w:rsidR="00F80948">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BC3A7B2"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C0527FD"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CDBE3F5" w14:textId="77777777" w:rsidR="00434E33" w:rsidRDefault="00434E33">
      <w:pPr>
        <w:pStyle w:val="Header"/>
        <w:tabs>
          <w:tab w:val="clear" w:pos="4320"/>
          <w:tab w:val="clear" w:pos="8640"/>
        </w:tabs>
      </w:pPr>
    </w:p>
    <w:p w14:paraId="7AC5200B" w14:textId="77777777" w:rsidR="00CA2650" w:rsidRDefault="00441434">
      <w:pPr>
        <w:rPr>
          <w:b/>
        </w:rPr>
      </w:pPr>
      <w:r>
        <w:rPr>
          <w:b/>
        </w:rPr>
        <w:t>C</w:t>
      </w:r>
      <w:r w:rsidR="009C13B9">
        <w:rPr>
          <w:b/>
        </w:rPr>
        <w:t>ERTIFICATION:</w:t>
      </w:r>
    </w:p>
    <w:p w14:paraId="776B315E" w14:textId="77777777" w:rsidR="00441434" w:rsidRDefault="00441434">
      <w:pPr>
        <w:rPr>
          <w:sz w:val="16"/>
          <w:szCs w:val="16"/>
        </w:rPr>
      </w:pPr>
    </w:p>
    <w:p w14:paraId="6651C83A" w14:textId="77777777" w:rsidR="008101A5" w:rsidRPr="009C13B9" w:rsidRDefault="008101A5" w:rsidP="008101A5">
      <w:r>
        <w:t xml:space="preserve">I certify the following to be true: </w:t>
      </w:r>
    </w:p>
    <w:p w14:paraId="6A7B3441" w14:textId="77777777" w:rsidR="008101A5" w:rsidRDefault="008101A5" w:rsidP="008101A5">
      <w:pPr>
        <w:pStyle w:val="ListParagraph"/>
        <w:numPr>
          <w:ilvl w:val="0"/>
          <w:numId w:val="14"/>
        </w:numPr>
      </w:pPr>
      <w:r>
        <w:t>The collection is voluntary.</w:t>
      </w:r>
      <w:r w:rsidRPr="00C14CC4">
        <w:t xml:space="preserve"> </w:t>
      </w:r>
    </w:p>
    <w:p w14:paraId="1390A3FE"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EEFFCD9"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7C3E5CD" w14:textId="77777777"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153C29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55BE70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1BAD3C7" w14:textId="77777777" w:rsidR="009C13B9" w:rsidRDefault="009C13B9" w:rsidP="009C13B9"/>
    <w:p w14:paraId="275B6A23" w14:textId="77777777" w:rsidR="009C13B9" w:rsidRDefault="009C13B9" w:rsidP="009C13B9">
      <w:r>
        <w:t>Name</w:t>
      </w:r>
      <w:proofErr w:type="gramStart"/>
      <w:r>
        <w:t>:_</w:t>
      </w:r>
      <w:proofErr w:type="gramEnd"/>
      <w:r>
        <w:t>_____________</w:t>
      </w:r>
      <w:r w:rsidR="008235EC" w:rsidRPr="008235EC">
        <w:t xml:space="preserve"> Katie Pahigiannis </w:t>
      </w:r>
      <w:r>
        <w:t>________________________</w:t>
      </w:r>
    </w:p>
    <w:p w14:paraId="79038978" w14:textId="77777777" w:rsidR="009C13B9" w:rsidRDefault="009C13B9" w:rsidP="009C13B9">
      <w:pPr>
        <w:pStyle w:val="ListParagraph"/>
        <w:ind w:left="360"/>
      </w:pPr>
    </w:p>
    <w:p w14:paraId="17BDA8BF" w14:textId="77777777" w:rsidR="009C13B9" w:rsidRDefault="009C13B9" w:rsidP="009C13B9">
      <w:r>
        <w:t>To assist review, please provide answers to the following question:</w:t>
      </w:r>
    </w:p>
    <w:p w14:paraId="61FF6D71" w14:textId="77777777" w:rsidR="009C13B9" w:rsidRDefault="009C13B9" w:rsidP="009C13B9">
      <w:pPr>
        <w:pStyle w:val="ListParagraph"/>
        <w:ind w:left="360"/>
      </w:pPr>
    </w:p>
    <w:p w14:paraId="1F1681E3" w14:textId="77777777" w:rsidR="009C13B9" w:rsidRPr="00C86E91" w:rsidRDefault="00C86E91" w:rsidP="00C86E91">
      <w:pPr>
        <w:rPr>
          <w:b/>
        </w:rPr>
      </w:pPr>
      <w:r w:rsidRPr="00C86E91">
        <w:rPr>
          <w:b/>
        </w:rPr>
        <w:t>Personally Identifiable Information:</w:t>
      </w:r>
    </w:p>
    <w:p w14:paraId="3D81A247"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235EC">
        <w:t>X</w:t>
      </w:r>
      <w:r w:rsidR="009239AA">
        <w:t xml:space="preserve"> ]  No </w:t>
      </w:r>
    </w:p>
    <w:p w14:paraId="313B5C34"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14:paraId="4D4D0BA2" w14:textId="77777777" w:rsidR="00C86E91" w:rsidRDefault="00C86E91" w:rsidP="00C86E91">
      <w:pPr>
        <w:pStyle w:val="ListParagraph"/>
        <w:numPr>
          <w:ilvl w:val="0"/>
          <w:numId w:val="18"/>
        </w:numPr>
      </w:pPr>
      <w:r>
        <w:t>If Applicable, has a System or Records Notice been published?  [  ] Yes  [  ] No</w:t>
      </w:r>
    </w:p>
    <w:p w14:paraId="1FC43067" w14:textId="77777777" w:rsidR="00633F74" w:rsidRDefault="00633F74" w:rsidP="00633F74">
      <w:pPr>
        <w:pStyle w:val="ListParagraph"/>
        <w:ind w:left="360"/>
      </w:pPr>
    </w:p>
    <w:p w14:paraId="44819E22" w14:textId="77777777" w:rsidR="00C86E91" w:rsidRPr="00C86E91" w:rsidRDefault="00CB1078" w:rsidP="00C86E91">
      <w:pPr>
        <w:pStyle w:val="ListParagraph"/>
        <w:ind w:left="0"/>
        <w:rPr>
          <w:b/>
        </w:rPr>
      </w:pPr>
      <w:r>
        <w:rPr>
          <w:b/>
        </w:rPr>
        <w:t>Gifts or Payments</w:t>
      </w:r>
      <w:r w:rsidR="00C86E91">
        <w:rPr>
          <w:b/>
        </w:rPr>
        <w:t>:</w:t>
      </w:r>
    </w:p>
    <w:p w14:paraId="3B9C5977" w14:textId="01D9DA12" w:rsidR="00C86E91" w:rsidRDefault="00C86E91" w:rsidP="00C86E91">
      <w:r>
        <w:t>Is an incentive (e.g., money or reimbursement of expenses, token of appreciation) provid</w:t>
      </w:r>
      <w:r w:rsidR="00595A36">
        <w:t>ed to participants?  [  ] Yes [</w:t>
      </w:r>
      <w:r w:rsidR="008235EC">
        <w:t>X</w:t>
      </w:r>
      <w:r>
        <w:t xml:space="preserve">] No  </w:t>
      </w:r>
    </w:p>
    <w:p w14:paraId="7820FF45" w14:textId="77777777" w:rsidR="004D6E14" w:rsidRDefault="004D6E14">
      <w:pPr>
        <w:rPr>
          <w:b/>
        </w:rPr>
      </w:pPr>
    </w:p>
    <w:p w14:paraId="24EE007D" w14:textId="77777777" w:rsidR="00F24CFC" w:rsidRDefault="00F24CFC">
      <w:pPr>
        <w:rPr>
          <w:b/>
        </w:rPr>
      </w:pPr>
    </w:p>
    <w:p w14:paraId="59959027"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9C812B7" w14:textId="77777777" w:rsidR="006832D9" w:rsidRPr="006832D9" w:rsidRDefault="006832D9" w:rsidP="00F3170F">
      <w:pPr>
        <w:keepNext/>
        <w:keepLines/>
        <w:rPr>
          <w:b/>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057"/>
      </w:tblGrid>
      <w:tr w:rsidR="003668D6" w14:paraId="19474C69" w14:textId="77777777" w:rsidTr="00595A36">
        <w:trPr>
          <w:trHeight w:val="274"/>
        </w:trPr>
        <w:tc>
          <w:tcPr>
            <w:tcW w:w="2790" w:type="dxa"/>
          </w:tcPr>
          <w:p w14:paraId="6B82DB8E" w14:textId="77777777" w:rsidR="003668D6" w:rsidRPr="002D26E2" w:rsidRDefault="003668D6" w:rsidP="00C8488C">
            <w:pPr>
              <w:rPr>
                <w:b/>
              </w:rPr>
            </w:pPr>
            <w:r w:rsidRPr="002D26E2">
              <w:rPr>
                <w:b/>
              </w:rPr>
              <w:t xml:space="preserve">Category of Respondent </w:t>
            </w:r>
          </w:p>
        </w:tc>
        <w:tc>
          <w:tcPr>
            <w:tcW w:w="2250" w:type="dxa"/>
          </w:tcPr>
          <w:p w14:paraId="162DD811" w14:textId="77777777" w:rsidR="003668D6" w:rsidRPr="002D26E2" w:rsidRDefault="003668D6" w:rsidP="00843796">
            <w:pPr>
              <w:rPr>
                <w:b/>
              </w:rPr>
            </w:pPr>
            <w:r w:rsidRPr="002D26E2">
              <w:rPr>
                <w:b/>
              </w:rPr>
              <w:t>No. of Respondents</w:t>
            </w:r>
          </w:p>
        </w:tc>
        <w:tc>
          <w:tcPr>
            <w:tcW w:w="2520" w:type="dxa"/>
          </w:tcPr>
          <w:p w14:paraId="77C6B2DA" w14:textId="77777777" w:rsidR="003668D6" w:rsidRPr="002D26E2" w:rsidRDefault="003668D6" w:rsidP="00843796">
            <w:pPr>
              <w:rPr>
                <w:b/>
              </w:rPr>
            </w:pPr>
            <w:r>
              <w:rPr>
                <w:b/>
              </w:rPr>
              <w:t xml:space="preserve">No. of Responses per Respondent </w:t>
            </w:r>
          </w:p>
        </w:tc>
        <w:tc>
          <w:tcPr>
            <w:tcW w:w="1620" w:type="dxa"/>
          </w:tcPr>
          <w:p w14:paraId="1CC85B9F" w14:textId="77777777" w:rsidR="003668D6" w:rsidRDefault="003668D6" w:rsidP="00843796">
            <w:pPr>
              <w:rPr>
                <w:b/>
              </w:rPr>
            </w:pPr>
            <w:r>
              <w:rPr>
                <w:b/>
              </w:rPr>
              <w:t xml:space="preserve">Time per </w:t>
            </w:r>
          </w:p>
          <w:p w14:paraId="4D6F9124" w14:textId="77777777" w:rsidR="003668D6" w:rsidRDefault="003668D6" w:rsidP="00843796">
            <w:pPr>
              <w:rPr>
                <w:b/>
              </w:rPr>
            </w:pPr>
            <w:r>
              <w:rPr>
                <w:b/>
              </w:rPr>
              <w:t xml:space="preserve">Response </w:t>
            </w:r>
          </w:p>
          <w:p w14:paraId="4C1FFCA0" w14:textId="77777777" w:rsidR="003668D6" w:rsidRPr="002D26E2" w:rsidRDefault="003668D6" w:rsidP="00843796">
            <w:pPr>
              <w:rPr>
                <w:b/>
              </w:rPr>
            </w:pPr>
            <w:r>
              <w:rPr>
                <w:b/>
              </w:rPr>
              <w:t xml:space="preserve">(in hours) </w:t>
            </w:r>
          </w:p>
        </w:tc>
        <w:tc>
          <w:tcPr>
            <w:tcW w:w="1057" w:type="dxa"/>
          </w:tcPr>
          <w:p w14:paraId="022B6B35" w14:textId="77777777" w:rsidR="003668D6" w:rsidRDefault="003668D6" w:rsidP="00843796">
            <w:pPr>
              <w:rPr>
                <w:b/>
              </w:rPr>
            </w:pPr>
            <w:r>
              <w:rPr>
                <w:b/>
              </w:rPr>
              <w:t xml:space="preserve">Total </w:t>
            </w:r>
            <w:r w:rsidRPr="002D26E2">
              <w:rPr>
                <w:b/>
              </w:rPr>
              <w:t>Burden</w:t>
            </w:r>
          </w:p>
          <w:p w14:paraId="56BC8501" w14:textId="77777777" w:rsidR="003668D6" w:rsidRPr="002D26E2" w:rsidRDefault="003668D6" w:rsidP="00843796">
            <w:pPr>
              <w:rPr>
                <w:b/>
              </w:rPr>
            </w:pPr>
            <w:r>
              <w:rPr>
                <w:b/>
              </w:rPr>
              <w:t xml:space="preserve">Hours </w:t>
            </w:r>
          </w:p>
        </w:tc>
      </w:tr>
      <w:tr w:rsidR="003668D6" w14:paraId="433A68B7" w14:textId="77777777" w:rsidTr="003331D1">
        <w:trPr>
          <w:trHeight w:val="260"/>
        </w:trPr>
        <w:tc>
          <w:tcPr>
            <w:tcW w:w="2790" w:type="dxa"/>
          </w:tcPr>
          <w:p w14:paraId="5F4B28D7" w14:textId="3C3B2CE1" w:rsidR="003668D6" w:rsidRDefault="00595A36" w:rsidP="006A31F7">
            <w:r>
              <w:t xml:space="preserve">Individuals </w:t>
            </w:r>
            <w:r w:rsidR="00550B2E">
              <w:t>or households</w:t>
            </w:r>
          </w:p>
        </w:tc>
        <w:tc>
          <w:tcPr>
            <w:tcW w:w="2250" w:type="dxa"/>
            <w:shd w:val="clear" w:color="auto" w:fill="auto"/>
          </w:tcPr>
          <w:p w14:paraId="616AB1FF" w14:textId="0A93721C" w:rsidR="003668D6" w:rsidRPr="003331D1" w:rsidRDefault="00977EBC" w:rsidP="00571F8A">
            <w:r>
              <w:t>544</w:t>
            </w:r>
          </w:p>
        </w:tc>
        <w:tc>
          <w:tcPr>
            <w:tcW w:w="2520" w:type="dxa"/>
            <w:shd w:val="clear" w:color="auto" w:fill="auto"/>
          </w:tcPr>
          <w:p w14:paraId="553B6112" w14:textId="2829B962" w:rsidR="003668D6" w:rsidRPr="003331D1" w:rsidRDefault="006A31F7" w:rsidP="00843796">
            <w:r w:rsidRPr="003331D1">
              <w:t>1</w:t>
            </w:r>
          </w:p>
        </w:tc>
        <w:tc>
          <w:tcPr>
            <w:tcW w:w="1620" w:type="dxa"/>
            <w:shd w:val="clear" w:color="auto" w:fill="auto"/>
          </w:tcPr>
          <w:p w14:paraId="6207DCC8" w14:textId="40CDE362" w:rsidR="003668D6" w:rsidRPr="003331D1" w:rsidRDefault="003331D1" w:rsidP="004D28B7">
            <w:r>
              <w:t>1</w:t>
            </w:r>
            <w:r w:rsidR="00F61BF0">
              <w:t>0</w:t>
            </w:r>
            <w:r>
              <w:t>/6</w:t>
            </w:r>
            <w:r w:rsidR="00F61BF0">
              <w:t>0</w:t>
            </w:r>
            <w:r>
              <w:t xml:space="preserve"> </w:t>
            </w:r>
          </w:p>
        </w:tc>
        <w:tc>
          <w:tcPr>
            <w:tcW w:w="1057" w:type="dxa"/>
            <w:shd w:val="clear" w:color="auto" w:fill="auto"/>
          </w:tcPr>
          <w:p w14:paraId="62ADDE6A" w14:textId="27AE7691" w:rsidR="003668D6" w:rsidRPr="003331D1" w:rsidRDefault="00977EBC" w:rsidP="00843796">
            <w:r>
              <w:t>91</w:t>
            </w:r>
          </w:p>
        </w:tc>
      </w:tr>
      <w:tr w:rsidR="003668D6" w14:paraId="7CD629F4" w14:textId="77777777" w:rsidTr="00F61BF0">
        <w:trPr>
          <w:trHeight w:val="242"/>
        </w:trPr>
        <w:tc>
          <w:tcPr>
            <w:tcW w:w="2790" w:type="dxa"/>
          </w:tcPr>
          <w:p w14:paraId="32D01703" w14:textId="77777777" w:rsidR="003668D6" w:rsidRDefault="003668D6" w:rsidP="00843796"/>
        </w:tc>
        <w:tc>
          <w:tcPr>
            <w:tcW w:w="2250" w:type="dxa"/>
          </w:tcPr>
          <w:p w14:paraId="740FA275" w14:textId="77777777" w:rsidR="003668D6" w:rsidRDefault="003668D6" w:rsidP="00843796"/>
        </w:tc>
        <w:tc>
          <w:tcPr>
            <w:tcW w:w="2520" w:type="dxa"/>
          </w:tcPr>
          <w:p w14:paraId="16D85094" w14:textId="77777777" w:rsidR="003668D6" w:rsidRDefault="003668D6" w:rsidP="00843796"/>
        </w:tc>
        <w:tc>
          <w:tcPr>
            <w:tcW w:w="1620" w:type="dxa"/>
          </w:tcPr>
          <w:p w14:paraId="0397EACD" w14:textId="77777777" w:rsidR="003668D6" w:rsidRDefault="003668D6" w:rsidP="00843796"/>
        </w:tc>
        <w:tc>
          <w:tcPr>
            <w:tcW w:w="1057" w:type="dxa"/>
          </w:tcPr>
          <w:p w14:paraId="76177450" w14:textId="77777777" w:rsidR="003668D6" w:rsidRDefault="003668D6" w:rsidP="00843796"/>
        </w:tc>
      </w:tr>
      <w:tr w:rsidR="003668D6" w14:paraId="6485B414" w14:textId="77777777" w:rsidTr="00595A36">
        <w:trPr>
          <w:trHeight w:val="289"/>
        </w:trPr>
        <w:tc>
          <w:tcPr>
            <w:tcW w:w="2790" w:type="dxa"/>
          </w:tcPr>
          <w:p w14:paraId="3F147073" w14:textId="77777777" w:rsidR="003668D6" w:rsidRPr="002D26E2" w:rsidRDefault="003668D6" w:rsidP="00843796">
            <w:pPr>
              <w:rPr>
                <w:b/>
              </w:rPr>
            </w:pPr>
            <w:r w:rsidRPr="002D26E2">
              <w:rPr>
                <w:b/>
              </w:rPr>
              <w:t>Totals</w:t>
            </w:r>
          </w:p>
        </w:tc>
        <w:tc>
          <w:tcPr>
            <w:tcW w:w="2250" w:type="dxa"/>
          </w:tcPr>
          <w:p w14:paraId="0E2ABA88" w14:textId="1570DE45" w:rsidR="003668D6" w:rsidRPr="002D26E2" w:rsidRDefault="00977EBC" w:rsidP="00843796">
            <w:pPr>
              <w:rPr>
                <w:b/>
              </w:rPr>
            </w:pPr>
            <w:r>
              <w:rPr>
                <w:b/>
              </w:rPr>
              <w:t>544</w:t>
            </w:r>
          </w:p>
        </w:tc>
        <w:tc>
          <w:tcPr>
            <w:tcW w:w="2520" w:type="dxa"/>
          </w:tcPr>
          <w:p w14:paraId="1842A337" w14:textId="77777777" w:rsidR="003668D6" w:rsidRDefault="003668D6" w:rsidP="00843796"/>
        </w:tc>
        <w:tc>
          <w:tcPr>
            <w:tcW w:w="1620" w:type="dxa"/>
          </w:tcPr>
          <w:p w14:paraId="4F7C241C" w14:textId="77777777" w:rsidR="003668D6" w:rsidRDefault="003668D6" w:rsidP="00843796"/>
        </w:tc>
        <w:tc>
          <w:tcPr>
            <w:tcW w:w="1057" w:type="dxa"/>
          </w:tcPr>
          <w:p w14:paraId="688229AD" w14:textId="2A2D0E69" w:rsidR="003668D6" w:rsidRPr="002D26E2" w:rsidRDefault="00977EBC" w:rsidP="00843796">
            <w:pPr>
              <w:rPr>
                <w:b/>
              </w:rPr>
            </w:pPr>
            <w:r>
              <w:rPr>
                <w:b/>
              </w:rPr>
              <w:t>91</w:t>
            </w:r>
          </w:p>
        </w:tc>
      </w:tr>
    </w:tbl>
    <w:p w14:paraId="39A79DD1"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2121DF04" w14:textId="77777777" w:rsidTr="00CA2010">
        <w:trPr>
          <w:trHeight w:val="274"/>
        </w:trPr>
        <w:tc>
          <w:tcPr>
            <w:tcW w:w="2790" w:type="dxa"/>
          </w:tcPr>
          <w:p w14:paraId="6E5E2CD2" w14:textId="77777777" w:rsidR="00CA2010" w:rsidRPr="009A036B" w:rsidRDefault="00CA2010" w:rsidP="00CA2010">
            <w:pPr>
              <w:rPr>
                <w:b/>
              </w:rPr>
            </w:pPr>
            <w:r w:rsidRPr="009A036B">
              <w:rPr>
                <w:b/>
              </w:rPr>
              <w:t xml:space="preserve"> </w:t>
            </w:r>
            <w:r w:rsidRPr="00CA2010">
              <w:rPr>
                <w:b/>
              </w:rPr>
              <w:t>Category of Respondent</w:t>
            </w:r>
          </w:p>
          <w:p w14:paraId="2DEA6296" w14:textId="77777777" w:rsidR="00CA2010" w:rsidRPr="009A036B" w:rsidRDefault="00CA2010" w:rsidP="00CA2010">
            <w:pPr>
              <w:rPr>
                <w:b/>
              </w:rPr>
            </w:pPr>
          </w:p>
        </w:tc>
        <w:tc>
          <w:tcPr>
            <w:tcW w:w="2250" w:type="dxa"/>
          </w:tcPr>
          <w:p w14:paraId="13D4D65B" w14:textId="77777777" w:rsidR="00CA2010" w:rsidRPr="00CA2010" w:rsidRDefault="00CA2010" w:rsidP="00CA2010">
            <w:pPr>
              <w:rPr>
                <w:b/>
              </w:rPr>
            </w:pPr>
            <w:r w:rsidRPr="00CA2010">
              <w:rPr>
                <w:b/>
              </w:rPr>
              <w:t>Total Burden</w:t>
            </w:r>
          </w:p>
          <w:p w14:paraId="67302DEF" w14:textId="77777777" w:rsidR="00CA2010" w:rsidRPr="009A036B" w:rsidRDefault="00CA2010" w:rsidP="00CA2010">
            <w:pPr>
              <w:rPr>
                <w:b/>
              </w:rPr>
            </w:pPr>
            <w:r w:rsidRPr="00CA2010">
              <w:rPr>
                <w:b/>
              </w:rPr>
              <w:t>Hours</w:t>
            </w:r>
          </w:p>
        </w:tc>
        <w:tc>
          <w:tcPr>
            <w:tcW w:w="2520" w:type="dxa"/>
          </w:tcPr>
          <w:p w14:paraId="3E5F119A" w14:textId="2AAC11D4" w:rsidR="00CA2010" w:rsidRPr="009A036B" w:rsidRDefault="00F94D8C" w:rsidP="009A036B">
            <w:pPr>
              <w:rPr>
                <w:b/>
              </w:rPr>
            </w:pPr>
            <w:r>
              <w:rPr>
                <w:b/>
              </w:rPr>
              <w:t xml:space="preserve">Hourly </w:t>
            </w:r>
            <w:r w:rsidR="00CA2010">
              <w:rPr>
                <w:b/>
              </w:rPr>
              <w:t>Wage Rate</w:t>
            </w:r>
          </w:p>
        </w:tc>
        <w:tc>
          <w:tcPr>
            <w:tcW w:w="1620" w:type="dxa"/>
          </w:tcPr>
          <w:p w14:paraId="60330A60" w14:textId="77777777" w:rsidR="00CA2010" w:rsidRPr="009A036B" w:rsidRDefault="00CA2010" w:rsidP="009A036B">
            <w:pPr>
              <w:rPr>
                <w:b/>
              </w:rPr>
            </w:pPr>
            <w:r>
              <w:rPr>
                <w:b/>
              </w:rPr>
              <w:t>Total Burden Cost</w:t>
            </w:r>
            <w:r w:rsidRPr="009A036B">
              <w:rPr>
                <w:b/>
              </w:rPr>
              <w:t xml:space="preserve"> </w:t>
            </w:r>
          </w:p>
        </w:tc>
      </w:tr>
      <w:tr w:rsidR="00CA2010" w:rsidRPr="009A036B" w14:paraId="6240940C" w14:textId="77777777" w:rsidTr="003331D1">
        <w:trPr>
          <w:trHeight w:val="260"/>
        </w:trPr>
        <w:tc>
          <w:tcPr>
            <w:tcW w:w="2790" w:type="dxa"/>
          </w:tcPr>
          <w:p w14:paraId="2B7563A3" w14:textId="25EB0072" w:rsidR="00CA2010" w:rsidRPr="009A036B" w:rsidRDefault="00595A36" w:rsidP="009A036B">
            <w:r>
              <w:t>Individuals or households</w:t>
            </w:r>
          </w:p>
        </w:tc>
        <w:tc>
          <w:tcPr>
            <w:tcW w:w="2250" w:type="dxa"/>
            <w:shd w:val="clear" w:color="auto" w:fill="auto"/>
          </w:tcPr>
          <w:p w14:paraId="517C2D1F" w14:textId="02C8127C" w:rsidR="00CA2010" w:rsidRPr="009A036B" w:rsidRDefault="00977EBC" w:rsidP="009A036B">
            <w:r>
              <w:t>91</w:t>
            </w:r>
          </w:p>
        </w:tc>
        <w:tc>
          <w:tcPr>
            <w:tcW w:w="2520" w:type="dxa"/>
            <w:shd w:val="clear" w:color="auto" w:fill="auto"/>
          </w:tcPr>
          <w:p w14:paraId="23DBCDFD" w14:textId="60FED130" w:rsidR="00CA2010" w:rsidRPr="009A036B" w:rsidRDefault="005A6B20" w:rsidP="009A036B">
            <w:r>
              <w:t>39.1</w:t>
            </w:r>
          </w:p>
        </w:tc>
        <w:tc>
          <w:tcPr>
            <w:tcW w:w="1620" w:type="dxa"/>
            <w:shd w:val="clear" w:color="auto" w:fill="auto"/>
          </w:tcPr>
          <w:p w14:paraId="427A2094" w14:textId="6D462813" w:rsidR="00CA2010" w:rsidRPr="009A036B" w:rsidRDefault="00500AA5" w:rsidP="00977EBC">
            <w:r>
              <w:t>$</w:t>
            </w:r>
            <w:r w:rsidR="0025682F">
              <w:t>3,</w:t>
            </w:r>
            <w:r w:rsidR="00977EBC">
              <w:t>546</w:t>
            </w:r>
          </w:p>
        </w:tc>
      </w:tr>
      <w:tr w:rsidR="00CA2010" w:rsidRPr="009A036B" w14:paraId="4464BCEB" w14:textId="77777777" w:rsidTr="003331D1">
        <w:trPr>
          <w:trHeight w:val="274"/>
        </w:trPr>
        <w:tc>
          <w:tcPr>
            <w:tcW w:w="2790" w:type="dxa"/>
          </w:tcPr>
          <w:p w14:paraId="627C78BC" w14:textId="77777777" w:rsidR="00CA2010" w:rsidRPr="009A036B" w:rsidRDefault="00CA2010" w:rsidP="009A036B"/>
        </w:tc>
        <w:tc>
          <w:tcPr>
            <w:tcW w:w="2250" w:type="dxa"/>
            <w:shd w:val="clear" w:color="auto" w:fill="auto"/>
          </w:tcPr>
          <w:p w14:paraId="5C309F1C" w14:textId="77777777" w:rsidR="00CA2010" w:rsidRPr="009A036B" w:rsidRDefault="00CA2010" w:rsidP="009A036B"/>
        </w:tc>
        <w:tc>
          <w:tcPr>
            <w:tcW w:w="2520" w:type="dxa"/>
            <w:shd w:val="clear" w:color="auto" w:fill="auto"/>
          </w:tcPr>
          <w:p w14:paraId="5054D4B4" w14:textId="77777777" w:rsidR="00CA2010" w:rsidRPr="009A036B" w:rsidRDefault="00CA2010" w:rsidP="009A036B"/>
        </w:tc>
        <w:tc>
          <w:tcPr>
            <w:tcW w:w="1620" w:type="dxa"/>
            <w:shd w:val="clear" w:color="auto" w:fill="auto"/>
          </w:tcPr>
          <w:p w14:paraId="6170EDEE" w14:textId="77777777" w:rsidR="00CA2010" w:rsidRPr="009A036B" w:rsidRDefault="00CA2010" w:rsidP="009A036B"/>
        </w:tc>
      </w:tr>
      <w:tr w:rsidR="00CA2010" w:rsidRPr="009A036B" w14:paraId="61F42B9F" w14:textId="77777777" w:rsidTr="00CA2010">
        <w:trPr>
          <w:trHeight w:val="289"/>
        </w:trPr>
        <w:tc>
          <w:tcPr>
            <w:tcW w:w="2790" w:type="dxa"/>
          </w:tcPr>
          <w:p w14:paraId="67B06E11" w14:textId="77777777" w:rsidR="00CA2010" w:rsidRPr="009A036B" w:rsidRDefault="00CA2010" w:rsidP="009A036B">
            <w:pPr>
              <w:rPr>
                <w:b/>
              </w:rPr>
            </w:pPr>
            <w:r w:rsidRPr="009A036B">
              <w:rPr>
                <w:b/>
              </w:rPr>
              <w:t>Totals</w:t>
            </w:r>
          </w:p>
        </w:tc>
        <w:tc>
          <w:tcPr>
            <w:tcW w:w="2250" w:type="dxa"/>
          </w:tcPr>
          <w:p w14:paraId="767B7530" w14:textId="6275C77F" w:rsidR="00CA2010" w:rsidRPr="009A036B" w:rsidRDefault="00977EBC" w:rsidP="009A036B">
            <w:pPr>
              <w:rPr>
                <w:b/>
              </w:rPr>
            </w:pPr>
            <w:r>
              <w:rPr>
                <w:b/>
              </w:rPr>
              <w:t>91</w:t>
            </w:r>
          </w:p>
        </w:tc>
        <w:tc>
          <w:tcPr>
            <w:tcW w:w="2520" w:type="dxa"/>
          </w:tcPr>
          <w:p w14:paraId="794BABAB" w14:textId="77777777" w:rsidR="00CA2010" w:rsidRPr="009A036B" w:rsidRDefault="00CA2010" w:rsidP="009A036B"/>
        </w:tc>
        <w:tc>
          <w:tcPr>
            <w:tcW w:w="1620" w:type="dxa"/>
          </w:tcPr>
          <w:p w14:paraId="6705BB6D" w14:textId="61E3EC25" w:rsidR="00CA2010" w:rsidRPr="009A036B" w:rsidRDefault="00443806" w:rsidP="00977EBC">
            <w:r>
              <w:t>$</w:t>
            </w:r>
            <w:r w:rsidR="0025682F">
              <w:t>3,</w:t>
            </w:r>
            <w:r w:rsidR="00977EBC">
              <w:t>546</w:t>
            </w:r>
          </w:p>
        </w:tc>
      </w:tr>
    </w:tbl>
    <w:p w14:paraId="6F3A6998" w14:textId="77777777" w:rsidR="009A036B" w:rsidRPr="009A036B" w:rsidRDefault="009A036B" w:rsidP="009A036B"/>
    <w:p w14:paraId="276ACC1E" w14:textId="4659735D"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w:t>
      </w:r>
      <w:r w:rsidR="003331D1">
        <w:t>$1834.06</w:t>
      </w:r>
      <w:r w:rsidR="00C86E91">
        <w:t>___</w:t>
      </w:r>
    </w:p>
    <w:p w14:paraId="47256C92" w14:textId="77777777" w:rsidR="009A036B" w:rsidRPr="009A036B" w:rsidRDefault="009A036B" w:rsidP="009A036B">
      <w:r>
        <w:rPr>
          <w:b/>
        </w:rPr>
        <w:t xml:space="preserve">                         </w:t>
      </w:r>
    </w:p>
    <w:p w14:paraId="01C2F66F"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5DA3B96B"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F74A830"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9650532" w14:textId="77777777" w:rsidR="009A036B" w:rsidRPr="009A036B" w:rsidRDefault="009A036B" w:rsidP="009A036B">
            <w:pPr>
              <w:rPr>
                <w:b/>
                <w:bCs/>
              </w:rPr>
            </w:pPr>
          </w:p>
          <w:p w14:paraId="23850BC8"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221CF79"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6212A4D"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6160A18A"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5322159B" w14:textId="77777777" w:rsidR="009A036B" w:rsidRPr="009A036B" w:rsidRDefault="009A036B" w:rsidP="009A036B">
            <w:pPr>
              <w:rPr>
                <w:b/>
                <w:bCs/>
              </w:rPr>
            </w:pPr>
            <w:r w:rsidRPr="009A036B">
              <w:rPr>
                <w:b/>
                <w:bCs/>
              </w:rPr>
              <w:t>Total Cost to Gov’t</w:t>
            </w:r>
          </w:p>
        </w:tc>
      </w:tr>
      <w:tr w:rsidR="009A036B" w:rsidRPr="009A036B" w14:paraId="7A03F2E0" w14:textId="77777777" w:rsidTr="004F271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D0D1D1A"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shd w:val="clear" w:color="auto" w:fill="auto"/>
          </w:tcPr>
          <w:p w14:paraId="2B22697B" w14:textId="6F3A28FA" w:rsidR="009A036B" w:rsidRPr="009A036B" w:rsidRDefault="004F2719" w:rsidP="009A036B">
            <w:r>
              <w:t>14/5</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235510C" w14:textId="2542F44F" w:rsidR="009A036B" w:rsidRPr="009A036B" w:rsidRDefault="004F2719" w:rsidP="009A036B">
            <w:r>
              <w:t>123,406</w:t>
            </w: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273307F" w14:textId="40899ED5" w:rsidR="009A036B" w:rsidRPr="009A036B" w:rsidRDefault="004F2719" w:rsidP="009A036B">
            <w:r>
              <w:t>1.0</w:t>
            </w:r>
          </w:p>
        </w:tc>
        <w:tc>
          <w:tcPr>
            <w:tcW w:w="1363" w:type="dxa"/>
            <w:tcBorders>
              <w:top w:val="nil"/>
              <w:left w:val="nil"/>
              <w:bottom w:val="single" w:sz="8" w:space="0" w:color="auto"/>
              <w:right w:val="single" w:sz="8" w:space="0" w:color="auto"/>
            </w:tcBorders>
            <w:shd w:val="clear" w:color="auto" w:fill="BFBFBF"/>
          </w:tcPr>
          <w:p w14:paraId="08184AA3"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uto"/>
          </w:tcPr>
          <w:p w14:paraId="26F4022B" w14:textId="7A9F15EF" w:rsidR="009A036B" w:rsidRPr="009A036B" w:rsidRDefault="004F2719" w:rsidP="009A036B">
            <w:r>
              <w:t>1234.06</w:t>
            </w:r>
          </w:p>
        </w:tc>
      </w:tr>
      <w:tr w:rsidR="009A036B" w:rsidRPr="009A036B" w14:paraId="14910AF9"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89719E" w14:textId="77777777" w:rsidR="009A036B" w:rsidRPr="009A036B" w:rsidRDefault="009A036B" w:rsidP="009A036B"/>
        </w:tc>
        <w:tc>
          <w:tcPr>
            <w:tcW w:w="1440" w:type="dxa"/>
            <w:tcBorders>
              <w:top w:val="nil"/>
              <w:left w:val="nil"/>
              <w:bottom w:val="single" w:sz="8" w:space="0" w:color="auto"/>
              <w:right w:val="single" w:sz="8" w:space="0" w:color="auto"/>
            </w:tcBorders>
          </w:tcPr>
          <w:p w14:paraId="27D85FCA" w14:textId="1327B60E" w:rsidR="009A036B" w:rsidRPr="009A036B" w:rsidRDefault="003331D1" w:rsidP="009A036B">
            <w:r>
              <w:t>N/A (AD-0401-00)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DF945C" w14:textId="66C5EF22" w:rsidR="009A036B" w:rsidRPr="009A036B" w:rsidRDefault="003331D1" w:rsidP="009A036B">
            <w:r>
              <w:t>60,000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4B6E4E" w14:textId="441979BF" w:rsidR="009A036B" w:rsidRPr="009A036B" w:rsidRDefault="004F2719" w:rsidP="009A036B">
            <w:r>
              <w:t>1.0</w:t>
            </w:r>
          </w:p>
        </w:tc>
        <w:tc>
          <w:tcPr>
            <w:tcW w:w="1363" w:type="dxa"/>
            <w:tcBorders>
              <w:top w:val="nil"/>
              <w:left w:val="nil"/>
              <w:bottom w:val="single" w:sz="8" w:space="0" w:color="auto"/>
              <w:right w:val="single" w:sz="8" w:space="0" w:color="auto"/>
            </w:tcBorders>
            <w:shd w:val="clear" w:color="auto" w:fill="BFBFBF"/>
          </w:tcPr>
          <w:p w14:paraId="56D37ADB" w14:textId="77777777" w:rsidR="009A036B" w:rsidRPr="009A036B" w:rsidRDefault="009A036B" w:rsidP="009A036B"/>
        </w:tc>
        <w:tc>
          <w:tcPr>
            <w:tcW w:w="1363" w:type="dxa"/>
            <w:tcBorders>
              <w:top w:val="nil"/>
              <w:left w:val="nil"/>
              <w:bottom w:val="single" w:sz="8" w:space="0" w:color="auto"/>
              <w:right w:val="single" w:sz="8" w:space="0" w:color="auto"/>
            </w:tcBorders>
          </w:tcPr>
          <w:p w14:paraId="0A1CF935" w14:textId="371F864D" w:rsidR="009A036B" w:rsidRPr="009A036B" w:rsidRDefault="003331D1" w:rsidP="009A036B">
            <w:r>
              <w:t>600.00</w:t>
            </w:r>
          </w:p>
        </w:tc>
      </w:tr>
      <w:tr w:rsidR="009A036B" w:rsidRPr="009A036B" w14:paraId="5E37ECE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B5EA616" w14:textId="77777777" w:rsidR="009A036B" w:rsidRPr="009A036B" w:rsidRDefault="009A036B" w:rsidP="009A036B"/>
        </w:tc>
        <w:tc>
          <w:tcPr>
            <w:tcW w:w="1440" w:type="dxa"/>
            <w:tcBorders>
              <w:top w:val="nil"/>
              <w:left w:val="nil"/>
              <w:bottom w:val="single" w:sz="8" w:space="0" w:color="auto"/>
              <w:right w:val="single" w:sz="8" w:space="0" w:color="auto"/>
            </w:tcBorders>
          </w:tcPr>
          <w:p w14:paraId="1916533D"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841C50"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3ED1AC"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37FE9E8F" w14:textId="77777777" w:rsidR="009A036B" w:rsidRPr="009A036B" w:rsidRDefault="009A036B" w:rsidP="009A036B"/>
        </w:tc>
        <w:tc>
          <w:tcPr>
            <w:tcW w:w="1363" w:type="dxa"/>
            <w:tcBorders>
              <w:top w:val="nil"/>
              <w:left w:val="nil"/>
              <w:bottom w:val="single" w:sz="8" w:space="0" w:color="auto"/>
              <w:right w:val="single" w:sz="8" w:space="0" w:color="auto"/>
            </w:tcBorders>
          </w:tcPr>
          <w:p w14:paraId="3E159D14" w14:textId="77777777" w:rsidR="009A036B" w:rsidRPr="009A036B" w:rsidRDefault="009A036B" w:rsidP="009A036B"/>
        </w:tc>
      </w:tr>
      <w:tr w:rsidR="009A036B" w:rsidRPr="009A036B" w14:paraId="6C9D538C"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87E4DC" w14:textId="77777777" w:rsidR="009A036B" w:rsidRPr="009A036B" w:rsidRDefault="009A036B" w:rsidP="009A036B"/>
        </w:tc>
        <w:tc>
          <w:tcPr>
            <w:tcW w:w="1440" w:type="dxa"/>
            <w:tcBorders>
              <w:top w:val="nil"/>
              <w:left w:val="nil"/>
              <w:bottom w:val="single" w:sz="8" w:space="0" w:color="auto"/>
              <w:right w:val="single" w:sz="8" w:space="0" w:color="auto"/>
            </w:tcBorders>
          </w:tcPr>
          <w:p w14:paraId="52639354"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17DB53"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45E8E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6403BE87" w14:textId="77777777" w:rsidR="009A036B" w:rsidRPr="009A036B" w:rsidRDefault="009A036B" w:rsidP="009A036B"/>
        </w:tc>
        <w:tc>
          <w:tcPr>
            <w:tcW w:w="1363" w:type="dxa"/>
            <w:tcBorders>
              <w:top w:val="nil"/>
              <w:left w:val="nil"/>
              <w:bottom w:val="single" w:sz="8" w:space="0" w:color="auto"/>
              <w:right w:val="single" w:sz="8" w:space="0" w:color="auto"/>
            </w:tcBorders>
          </w:tcPr>
          <w:p w14:paraId="7EB1231F" w14:textId="77777777" w:rsidR="009A036B" w:rsidRPr="009A036B" w:rsidRDefault="009A036B" w:rsidP="009A036B"/>
        </w:tc>
      </w:tr>
      <w:tr w:rsidR="009A036B" w:rsidRPr="009A036B" w14:paraId="00FE5D3B"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9B024A" w14:textId="77777777" w:rsidR="009A036B" w:rsidRPr="009A036B" w:rsidRDefault="009A036B" w:rsidP="009A036B">
            <w:pPr>
              <w:rPr>
                <w:b/>
              </w:rPr>
            </w:pPr>
            <w:r w:rsidRPr="009A036B">
              <w:rPr>
                <w:b/>
              </w:rPr>
              <w:lastRenderedPageBreak/>
              <w:t>Contractor Cost</w:t>
            </w:r>
          </w:p>
        </w:tc>
        <w:tc>
          <w:tcPr>
            <w:tcW w:w="1440" w:type="dxa"/>
            <w:tcBorders>
              <w:top w:val="nil"/>
              <w:left w:val="nil"/>
              <w:bottom w:val="single" w:sz="8" w:space="0" w:color="auto"/>
              <w:right w:val="single" w:sz="8" w:space="0" w:color="auto"/>
            </w:tcBorders>
            <w:shd w:val="clear" w:color="auto" w:fill="BFBFBF"/>
          </w:tcPr>
          <w:p w14:paraId="57B3C864"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1B99AB"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8E2F9D4" w14:textId="77777777" w:rsidR="009A036B" w:rsidRPr="009A036B" w:rsidRDefault="009A036B" w:rsidP="009A036B"/>
        </w:tc>
        <w:tc>
          <w:tcPr>
            <w:tcW w:w="1363" w:type="dxa"/>
            <w:tcBorders>
              <w:top w:val="nil"/>
              <w:left w:val="nil"/>
              <w:bottom w:val="single" w:sz="8" w:space="0" w:color="auto"/>
              <w:right w:val="single" w:sz="8" w:space="0" w:color="auto"/>
            </w:tcBorders>
          </w:tcPr>
          <w:p w14:paraId="66972982" w14:textId="77777777" w:rsidR="009A036B" w:rsidRPr="009A036B" w:rsidRDefault="009A036B" w:rsidP="009A036B"/>
        </w:tc>
        <w:tc>
          <w:tcPr>
            <w:tcW w:w="1363" w:type="dxa"/>
            <w:tcBorders>
              <w:top w:val="nil"/>
              <w:left w:val="nil"/>
              <w:bottom w:val="single" w:sz="8" w:space="0" w:color="auto"/>
              <w:right w:val="single" w:sz="8" w:space="0" w:color="auto"/>
            </w:tcBorders>
          </w:tcPr>
          <w:p w14:paraId="502044DB" w14:textId="77777777" w:rsidR="009A036B" w:rsidRPr="009A036B" w:rsidRDefault="009A036B" w:rsidP="009A036B"/>
        </w:tc>
      </w:tr>
      <w:tr w:rsidR="009A036B" w:rsidRPr="009A036B" w14:paraId="6C989B7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4B417A" w14:textId="77777777" w:rsidR="009A036B" w:rsidRPr="009A036B" w:rsidRDefault="009A036B" w:rsidP="009A036B"/>
        </w:tc>
        <w:tc>
          <w:tcPr>
            <w:tcW w:w="1440" w:type="dxa"/>
            <w:tcBorders>
              <w:top w:val="nil"/>
              <w:left w:val="nil"/>
              <w:bottom w:val="single" w:sz="8" w:space="0" w:color="auto"/>
              <w:right w:val="single" w:sz="8" w:space="0" w:color="auto"/>
            </w:tcBorders>
          </w:tcPr>
          <w:p w14:paraId="171BC322"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19BE2E"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9A1A17C" w14:textId="77777777" w:rsidR="009A036B" w:rsidRPr="009A036B" w:rsidRDefault="009A036B" w:rsidP="009A036B"/>
        </w:tc>
        <w:tc>
          <w:tcPr>
            <w:tcW w:w="1363" w:type="dxa"/>
            <w:tcBorders>
              <w:top w:val="nil"/>
              <w:left w:val="nil"/>
              <w:bottom w:val="single" w:sz="8" w:space="0" w:color="auto"/>
              <w:right w:val="single" w:sz="8" w:space="0" w:color="auto"/>
            </w:tcBorders>
          </w:tcPr>
          <w:p w14:paraId="08BCE36C" w14:textId="77777777" w:rsidR="009A036B" w:rsidRPr="009A036B" w:rsidRDefault="009A036B" w:rsidP="009A036B"/>
        </w:tc>
        <w:tc>
          <w:tcPr>
            <w:tcW w:w="1363" w:type="dxa"/>
            <w:tcBorders>
              <w:top w:val="nil"/>
              <w:left w:val="nil"/>
              <w:bottom w:val="single" w:sz="8" w:space="0" w:color="auto"/>
              <w:right w:val="single" w:sz="8" w:space="0" w:color="auto"/>
            </w:tcBorders>
          </w:tcPr>
          <w:p w14:paraId="516D63C0" w14:textId="77777777" w:rsidR="009A036B" w:rsidRPr="009A036B" w:rsidRDefault="009A036B" w:rsidP="009A036B"/>
        </w:tc>
      </w:tr>
      <w:tr w:rsidR="009A036B" w:rsidRPr="009A036B" w14:paraId="2ACE4BB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90C81F"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0E5A2767"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3A6619A"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0FB19D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C1B8FEC" w14:textId="77777777" w:rsidR="009A036B" w:rsidRPr="009A036B" w:rsidRDefault="009A036B" w:rsidP="009A036B"/>
        </w:tc>
        <w:tc>
          <w:tcPr>
            <w:tcW w:w="1363" w:type="dxa"/>
            <w:tcBorders>
              <w:top w:val="nil"/>
              <w:left w:val="nil"/>
              <w:bottom w:val="single" w:sz="8" w:space="0" w:color="auto"/>
              <w:right w:val="single" w:sz="8" w:space="0" w:color="auto"/>
            </w:tcBorders>
          </w:tcPr>
          <w:p w14:paraId="186D0E67" w14:textId="77777777" w:rsidR="009A036B" w:rsidRPr="009A036B" w:rsidRDefault="009A036B" w:rsidP="009A036B"/>
        </w:tc>
      </w:tr>
      <w:tr w:rsidR="009A036B" w:rsidRPr="009A036B" w14:paraId="38480EE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73AFA67"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3CA51C3B"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538E2F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2680E47"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3CF86687" w14:textId="77777777" w:rsidR="009A036B" w:rsidRPr="009A036B" w:rsidRDefault="009A036B" w:rsidP="009A036B"/>
        </w:tc>
        <w:tc>
          <w:tcPr>
            <w:tcW w:w="1363" w:type="dxa"/>
            <w:tcBorders>
              <w:top w:val="nil"/>
              <w:left w:val="nil"/>
              <w:bottom w:val="single" w:sz="8" w:space="0" w:color="auto"/>
              <w:right w:val="single" w:sz="8" w:space="0" w:color="auto"/>
            </w:tcBorders>
          </w:tcPr>
          <w:p w14:paraId="20820D61" w14:textId="77777777" w:rsidR="009A036B" w:rsidRPr="009A036B" w:rsidRDefault="009A036B" w:rsidP="009A036B"/>
        </w:tc>
      </w:tr>
      <w:tr w:rsidR="009A036B" w:rsidRPr="009A036B" w14:paraId="5BC3845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7013B3"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49B08FD2"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158A444F"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46B3614"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5006A3FC"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29CDEB2A" w14:textId="77777777" w:rsidR="009A036B" w:rsidRPr="009A036B" w:rsidRDefault="009A036B" w:rsidP="009A036B">
            <w:pPr>
              <w:rPr>
                <w:b/>
              </w:rPr>
            </w:pPr>
          </w:p>
        </w:tc>
      </w:tr>
      <w:tr w:rsidR="009A036B" w:rsidRPr="009A036B" w14:paraId="01F9950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B8245D" w14:textId="77777777" w:rsidR="009A036B" w:rsidRPr="009A036B" w:rsidRDefault="009A036B" w:rsidP="009A036B"/>
        </w:tc>
        <w:tc>
          <w:tcPr>
            <w:tcW w:w="1440" w:type="dxa"/>
            <w:tcBorders>
              <w:top w:val="nil"/>
              <w:left w:val="nil"/>
              <w:bottom w:val="single" w:sz="8" w:space="0" w:color="auto"/>
              <w:right w:val="single" w:sz="8" w:space="0" w:color="auto"/>
            </w:tcBorders>
          </w:tcPr>
          <w:p w14:paraId="1157F72E"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B248B2"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9BBC37" w14:textId="77777777" w:rsidR="009A036B" w:rsidRPr="009A036B" w:rsidRDefault="009A036B" w:rsidP="009A036B"/>
        </w:tc>
        <w:tc>
          <w:tcPr>
            <w:tcW w:w="1363" w:type="dxa"/>
            <w:tcBorders>
              <w:top w:val="nil"/>
              <w:left w:val="nil"/>
              <w:bottom w:val="single" w:sz="8" w:space="0" w:color="auto"/>
              <w:right w:val="single" w:sz="8" w:space="0" w:color="auto"/>
            </w:tcBorders>
          </w:tcPr>
          <w:p w14:paraId="61906504" w14:textId="77777777" w:rsidR="009A036B" w:rsidRPr="009A036B" w:rsidRDefault="009A036B" w:rsidP="009A036B"/>
        </w:tc>
        <w:tc>
          <w:tcPr>
            <w:tcW w:w="1363" w:type="dxa"/>
            <w:tcBorders>
              <w:top w:val="nil"/>
              <w:left w:val="nil"/>
              <w:bottom w:val="single" w:sz="8" w:space="0" w:color="auto"/>
              <w:right w:val="single" w:sz="8" w:space="0" w:color="auto"/>
            </w:tcBorders>
          </w:tcPr>
          <w:p w14:paraId="7B803EE3" w14:textId="77777777" w:rsidR="009A036B" w:rsidRPr="009A036B" w:rsidRDefault="009A036B" w:rsidP="009A036B"/>
        </w:tc>
      </w:tr>
    </w:tbl>
    <w:p w14:paraId="5ED64205" w14:textId="77777777" w:rsidR="009A036B" w:rsidRPr="009A036B" w:rsidRDefault="009A036B" w:rsidP="009A036B"/>
    <w:p w14:paraId="58BD45D0" w14:textId="77777777" w:rsidR="00ED6492" w:rsidRDefault="00ED6492">
      <w:pPr>
        <w:rPr>
          <w:b/>
          <w:bCs/>
          <w:u w:val="single"/>
        </w:rPr>
      </w:pPr>
    </w:p>
    <w:p w14:paraId="702C32B9" w14:textId="0CCD075F"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6AA2CE34" w14:textId="77777777" w:rsidR="0069403B" w:rsidRDefault="0069403B" w:rsidP="00F06866">
      <w:pPr>
        <w:rPr>
          <w:b/>
        </w:rPr>
      </w:pPr>
    </w:p>
    <w:p w14:paraId="02CD896B" w14:textId="77777777" w:rsidR="00F06866" w:rsidRDefault="00636621" w:rsidP="00F06866">
      <w:pPr>
        <w:rPr>
          <w:b/>
        </w:rPr>
      </w:pPr>
      <w:r>
        <w:rPr>
          <w:b/>
        </w:rPr>
        <w:t>The</w:t>
      </w:r>
      <w:r w:rsidR="0069403B">
        <w:rPr>
          <w:b/>
        </w:rPr>
        <w:t xml:space="preserve"> select</w:t>
      </w:r>
      <w:r>
        <w:rPr>
          <w:b/>
        </w:rPr>
        <w:t>ion of your targeted respondents</w:t>
      </w:r>
    </w:p>
    <w:p w14:paraId="221D9042" w14:textId="1A6F6CFF"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235EC">
        <w:t>X</w:t>
      </w:r>
      <w:r>
        <w:t>] Yes</w:t>
      </w:r>
      <w:r>
        <w:tab/>
        <w:t>[ ] No</w:t>
      </w:r>
    </w:p>
    <w:p w14:paraId="63340B45" w14:textId="77777777" w:rsidR="00636621" w:rsidRDefault="00636621" w:rsidP="00636621">
      <w:pPr>
        <w:pStyle w:val="ListParagraph"/>
      </w:pPr>
    </w:p>
    <w:p w14:paraId="5EA137F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9EE1AFC" w14:textId="77777777" w:rsidR="008235EC" w:rsidRDefault="008235EC" w:rsidP="00A403BB">
      <w:pPr>
        <w:pStyle w:val="ListParagraph"/>
      </w:pPr>
    </w:p>
    <w:p w14:paraId="5DCFA458" w14:textId="6FFB1D2D" w:rsidR="0025682F" w:rsidRDefault="0025682F" w:rsidP="0025682F">
      <w:r>
        <w:t xml:space="preserve">The survey is targeted to NINDS grantees </w:t>
      </w:r>
      <w:proofErr w:type="gramStart"/>
      <w:r>
        <w:t>who</w:t>
      </w:r>
      <w:proofErr w:type="gramEnd"/>
      <w:r>
        <w:t xml:space="preserve"> have used or developed CDEs, as well as other investigators who may or may not have any experience with or be aware of the CDEs. </w:t>
      </w:r>
      <w:r w:rsidRPr="008235EC">
        <w:t xml:space="preserve">  </w:t>
      </w:r>
      <w:r w:rsidRPr="00F80948">
        <w:t xml:space="preserve">Individual </w:t>
      </w:r>
      <w:r>
        <w:t>researchers</w:t>
      </w:r>
      <w:r w:rsidRPr="00F80948">
        <w:t xml:space="preserve"> </w:t>
      </w:r>
      <w:r>
        <w:t xml:space="preserve">with a history of funding from NINDS in the past 5 years </w:t>
      </w:r>
      <w:r w:rsidRPr="00F80948">
        <w:t xml:space="preserve">involved in neurological research </w:t>
      </w:r>
      <w:r>
        <w:t xml:space="preserve">using human subjects (n=1114) will be asked to respond. We will also ask individuals who have served on one of the committees </w:t>
      </w:r>
      <w:r w:rsidR="00C651C3">
        <w:t>that</w:t>
      </w:r>
      <w:r>
        <w:t xml:space="preserve"> helped develop the CDEs to respond (n=</w:t>
      </w:r>
      <w:r w:rsidR="00977EBC">
        <w:t>700</w:t>
      </w:r>
      <w:r>
        <w:t>). We anticipate a response rate of approximately 30%, given the semi-targeted nature of our survey.</w:t>
      </w:r>
    </w:p>
    <w:p w14:paraId="01E0B3C4" w14:textId="77777777" w:rsidR="0025682F" w:rsidRDefault="0025682F" w:rsidP="00A403BB">
      <w:pPr>
        <w:pStyle w:val="ListParagraph"/>
      </w:pPr>
    </w:p>
    <w:p w14:paraId="390D9EF5" w14:textId="77777777" w:rsidR="00A403BB" w:rsidRDefault="00A403BB" w:rsidP="00A403BB">
      <w:pPr>
        <w:rPr>
          <w:b/>
        </w:rPr>
      </w:pPr>
      <w:r>
        <w:rPr>
          <w:b/>
        </w:rPr>
        <w:t>Administration of the Instrument</w:t>
      </w:r>
    </w:p>
    <w:p w14:paraId="5A97E8AE" w14:textId="77777777" w:rsidR="00A403BB" w:rsidRDefault="001B0AAA" w:rsidP="00A403BB">
      <w:pPr>
        <w:pStyle w:val="ListParagraph"/>
        <w:numPr>
          <w:ilvl w:val="0"/>
          <w:numId w:val="17"/>
        </w:numPr>
      </w:pPr>
      <w:r>
        <w:t>H</w:t>
      </w:r>
      <w:r w:rsidR="00A403BB">
        <w:t>ow will you collect the information? (Check all that apply)</w:t>
      </w:r>
    </w:p>
    <w:p w14:paraId="10C64696" w14:textId="0148833D" w:rsidR="001B0AAA" w:rsidRDefault="00595A36" w:rsidP="001B0AAA">
      <w:pPr>
        <w:ind w:left="720"/>
      </w:pPr>
      <w:r>
        <w:t>[</w:t>
      </w:r>
      <w:r w:rsidR="002E059E">
        <w:t>X</w:t>
      </w:r>
      <w:r w:rsidR="00A403BB">
        <w:t>] Web-based</w:t>
      </w:r>
      <w:r w:rsidR="001B0AAA">
        <w:t xml:space="preserve"> or other forms of Social Media </w:t>
      </w:r>
    </w:p>
    <w:p w14:paraId="218EA722" w14:textId="77777777" w:rsidR="001B0AAA" w:rsidRDefault="00A403BB" w:rsidP="001B0AAA">
      <w:pPr>
        <w:ind w:left="720"/>
      </w:pPr>
      <w:r>
        <w:t xml:space="preserve">[ </w:t>
      </w:r>
      <w:r w:rsidR="001B0AAA">
        <w:t xml:space="preserve"> </w:t>
      </w:r>
      <w:r>
        <w:t>] Telephone</w:t>
      </w:r>
      <w:r>
        <w:tab/>
      </w:r>
    </w:p>
    <w:p w14:paraId="78AE977E" w14:textId="77777777" w:rsidR="001B0AAA" w:rsidRDefault="00A403BB" w:rsidP="001B0AAA">
      <w:pPr>
        <w:ind w:left="720"/>
      </w:pPr>
      <w:r>
        <w:t>[</w:t>
      </w:r>
      <w:r w:rsidR="001B0AAA">
        <w:t xml:space="preserve"> </w:t>
      </w:r>
      <w:r>
        <w:t xml:space="preserve"> ] In-person</w:t>
      </w:r>
      <w:r>
        <w:tab/>
      </w:r>
    </w:p>
    <w:p w14:paraId="5CF6BC4D" w14:textId="77777777" w:rsidR="001B0AAA" w:rsidRDefault="00A403BB" w:rsidP="001B0AAA">
      <w:pPr>
        <w:ind w:left="720"/>
      </w:pPr>
      <w:r>
        <w:t xml:space="preserve">[ </w:t>
      </w:r>
      <w:r w:rsidR="001B0AAA">
        <w:t xml:space="preserve"> </w:t>
      </w:r>
      <w:r>
        <w:t>] Mail</w:t>
      </w:r>
      <w:r w:rsidR="001B0AAA">
        <w:t xml:space="preserve"> </w:t>
      </w:r>
    </w:p>
    <w:p w14:paraId="00A2B5CF" w14:textId="77777777" w:rsidR="001B0AAA" w:rsidRDefault="00A403BB" w:rsidP="001B0AAA">
      <w:pPr>
        <w:ind w:left="720"/>
      </w:pPr>
      <w:r>
        <w:t xml:space="preserve">[ </w:t>
      </w:r>
      <w:r w:rsidR="001B0AAA">
        <w:t xml:space="preserve"> </w:t>
      </w:r>
      <w:r>
        <w:t>] Other, Explain</w:t>
      </w:r>
    </w:p>
    <w:p w14:paraId="7D2585E3" w14:textId="43FC9B3F" w:rsidR="00F24CFC" w:rsidRDefault="00F24CFC" w:rsidP="00F24CFC">
      <w:pPr>
        <w:pStyle w:val="ListParagraph"/>
        <w:numPr>
          <w:ilvl w:val="0"/>
          <w:numId w:val="17"/>
        </w:numPr>
      </w:pPr>
      <w:r>
        <w:t>Will interviewers or fa</w:t>
      </w:r>
      <w:r w:rsidR="00595A36">
        <w:t>cilitators be used?  [  ] Yes [</w:t>
      </w:r>
      <w:r w:rsidR="002E059E">
        <w:t>X</w:t>
      </w:r>
      <w:r>
        <w:t>] No</w:t>
      </w:r>
    </w:p>
    <w:p w14:paraId="238E3E71" w14:textId="77777777" w:rsidR="00F24CFC" w:rsidRDefault="00F24CFC" w:rsidP="00F24CFC">
      <w:pPr>
        <w:pStyle w:val="ListParagraph"/>
        <w:ind w:left="360"/>
      </w:pPr>
      <w:r>
        <w:t xml:space="preserve"> </w:t>
      </w:r>
    </w:p>
    <w:p w14:paraId="210C7E23" w14:textId="1F83ADFE" w:rsidR="00AE14B1" w:rsidRPr="00E168C5" w:rsidRDefault="00F24CFC" w:rsidP="00AE14B1">
      <w:pPr>
        <w:rPr>
          <w:b/>
        </w:rPr>
      </w:pPr>
      <w:r w:rsidRPr="00F24CFC">
        <w:rPr>
          <w:b/>
        </w:rPr>
        <w:t>Please make sure that all instruments, instructions, and scripts are submitted with the request.</w:t>
      </w:r>
    </w:p>
    <w:sectPr w:rsidR="00AE14B1" w:rsidRPr="00E168C5"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AE410" w14:textId="77777777" w:rsidR="005F1C55" w:rsidRDefault="005F1C55">
      <w:r>
        <w:separator/>
      </w:r>
    </w:p>
  </w:endnote>
  <w:endnote w:type="continuationSeparator" w:id="0">
    <w:p w14:paraId="2B9194B2" w14:textId="77777777" w:rsidR="005F1C55" w:rsidRDefault="005F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48E8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D417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B6FFA" w14:textId="77777777" w:rsidR="005F1C55" w:rsidRDefault="005F1C55">
      <w:r>
        <w:separator/>
      </w:r>
    </w:p>
  </w:footnote>
  <w:footnote w:type="continuationSeparator" w:id="0">
    <w:p w14:paraId="2E9D6773" w14:textId="77777777" w:rsidR="005F1C55" w:rsidRDefault="005F1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BAEFA"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22CE"/>
    <w:rsid w:val="000913EC"/>
    <w:rsid w:val="000B2838"/>
    <w:rsid w:val="000C2230"/>
    <w:rsid w:val="000D44CA"/>
    <w:rsid w:val="000E200B"/>
    <w:rsid w:val="000F68BE"/>
    <w:rsid w:val="00162F83"/>
    <w:rsid w:val="001638D8"/>
    <w:rsid w:val="00177F2E"/>
    <w:rsid w:val="001855D1"/>
    <w:rsid w:val="001927A4"/>
    <w:rsid w:val="00194AC6"/>
    <w:rsid w:val="001960C2"/>
    <w:rsid w:val="001A23B0"/>
    <w:rsid w:val="001A25CC"/>
    <w:rsid w:val="001B0AAA"/>
    <w:rsid w:val="001C39F7"/>
    <w:rsid w:val="00237B48"/>
    <w:rsid w:val="0024521E"/>
    <w:rsid w:val="00250820"/>
    <w:rsid w:val="0025682F"/>
    <w:rsid w:val="00263C3D"/>
    <w:rsid w:val="00274D0B"/>
    <w:rsid w:val="00284110"/>
    <w:rsid w:val="002B3C95"/>
    <w:rsid w:val="002D0B92"/>
    <w:rsid w:val="002D26E2"/>
    <w:rsid w:val="002E059E"/>
    <w:rsid w:val="003331D1"/>
    <w:rsid w:val="003668D6"/>
    <w:rsid w:val="003A7074"/>
    <w:rsid w:val="003D5BBE"/>
    <w:rsid w:val="003E3C61"/>
    <w:rsid w:val="003F1C5B"/>
    <w:rsid w:val="00420E91"/>
    <w:rsid w:val="00431EB1"/>
    <w:rsid w:val="00434E33"/>
    <w:rsid w:val="00441434"/>
    <w:rsid w:val="00443806"/>
    <w:rsid w:val="0045264C"/>
    <w:rsid w:val="004657B9"/>
    <w:rsid w:val="004876EC"/>
    <w:rsid w:val="004D28B7"/>
    <w:rsid w:val="004D6E14"/>
    <w:rsid w:val="004F2719"/>
    <w:rsid w:val="005009B0"/>
    <w:rsid w:val="00500AA5"/>
    <w:rsid w:val="00513F24"/>
    <w:rsid w:val="00550B2E"/>
    <w:rsid w:val="00571F8A"/>
    <w:rsid w:val="00595A36"/>
    <w:rsid w:val="005A1006"/>
    <w:rsid w:val="005A6B20"/>
    <w:rsid w:val="005A772A"/>
    <w:rsid w:val="005E714A"/>
    <w:rsid w:val="005F1C55"/>
    <w:rsid w:val="006140A0"/>
    <w:rsid w:val="00633F74"/>
    <w:rsid w:val="00636621"/>
    <w:rsid w:val="00642B49"/>
    <w:rsid w:val="006832D9"/>
    <w:rsid w:val="00686301"/>
    <w:rsid w:val="0069403B"/>
    <w:rsid w:val="006A31F7"/>
    <w:rsid w:val="006B4074"/>
    <w:rsid w:val="006D5F47"/>
    <w:rsid w:val="006F3DDE"/>
    <w:rsid w:val="00704678"/>
    <w:rsid w:val="007425E7"/>
    <w:rsid w:val="00766D95"/>
    <w:rsid w:val="0077703F"/>
    <w:rsid w:val="007806F7"/>
    <w:rsid w:val="007D3B80"/>
    <w:rsid w:val="00802607"/>
    <w:rsid w:val="008101A5"/>
    <w:rsid w:val="00822664"/>
    <w:rsid w:val="008235EC"/>
    <w:rsid w:val="00843796"/>
    <w:rsid w:val="00887320"/>
    <w:rsid w:val="00895229"/>
    <w:rsid w:val="008D4174"/>
    <w:rsid w:val="008F0203"/>
    <w:rsid w:val="008F50D4"/>
    <w:rsid w:val="009239AA"/>
    <w:rsid w:val="00935ADA"/>
    <w:rsid w:val="00946B6C"/>
    <w:rsid w:val="00955A71"/>
    <w:rsid w:val="0096108F"/>
    <w:rsid w:val="009779E4"/>
    <w:rsid w:val="00977EBC"/>
    <w:rsid w:val="009A036B"/>
    <w:rsid w:val="009C13B9"/>
    <w:rsid w:val="009D01A2"/>
    <w:rsid w:val="009F5923"/>
    <w:rsid w:val="00A229F1"/>
    <w:rsid w:val="00A35E1E"/>
    <w:rsid w:val="00A403BB"/>
    <w:rsid w:val="00A674DF"/>
    <w:rsid w:val="00A83AA6"/>
    <w:rsid w:val="00AC60E8"/>
    <w:rsid w:val="00AE14B1"/>
    <w:rsid w:val="00AE1809"/>
    <w:rsid w:val="00B80D76"/>
    <w:rsid w:val="00BA2105"/>
    <w:rsid w:val="00BA7E06"/>
    <w:rsid w:val="00BB43B5"/>
    <w:rsid w:val="00BB6219"/>
    <w:rsid w:val="00BC676D"/>
    <w:rsid w:val="00BD290F"/>
    <w:rsid w:val="00C14CC4"/>
    <w:rsid w:val="00C33C52"/>
    <w:rsid w:val="00C40D8B"/>
    <w:rsid w:val="00C4491F"/>
    <w:rsid w:val="00C651B2"/>
    <w:rsid w:val="00C651C3"/>
    <w:rsid w:val="00C8407A"/>
    <w:rsid w:val="00C8488C"/>
    <w:rsid w:val="00C86E91"/>
    <w:rsid w:val="00CA19A3"/>
    <w:rsid w:val="00CA2010"/>
    <w:rsid w:val="00CA2650"/>
    <w:rsid w:val="00CB1078"/>
    <w:rsid w:val="00CC6FAF"/>
    <w:rsid w:val="00D24698"/>
    <w:rsid w:val="00D6383F"/>
    <w:rsid w:val="00DB4A58"/>
    <w:rsid w:val="00DB59D0"/>
    <w:rsid w:val="00DC25FB"/>
    <w:rsid w:val="00DC33D3"/>
    <w:rsid w:val="00E168C5"/>
    <w:rsid w:val="00E22C40"/>
    <w:rsid w:val="00E26329"/>
    <w:rsid w:val="00E40B50"/>
    <w:rsid w:val="00E50293"/>
    <w:rsid w:val="00E65FFC"/>
    <w:rsid w:val="00E670E2"/>
    <w:rsid w:val="00E80951"/>
    <w:rsid w:val="00E86CC6"/>
    <w:rsid w:val="00EB56B3"/>
    <w:rsid w:val="00ED6492"/>
    <w:rsid w:val="00EF2095"/>
    <w:rsid w:val="00F06866"/>
    <w:rsid w:val="00F15956"/>
    <w:rsid w:val="00F24CFC"/>
    <w:rsid w:val="00F3170F"/>
    <w:rsid w:val="00F61BF0"/>
    <w:rsid w:val="00F80948"/>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E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7A6F-EA25-49DB-B3AC-D924306B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(NIH/NCI) [E]</cp:lastModifiedBy>
  <cp:revision>3</cp:revision>
  <cp:lastPrinted>2010-10-04T17:59:00Z</cp:lastPrinted>
  <dcterms:created xsi:type="dcterms:W3CDTF">2016-04-15T14:55:00Z</dcterms:created>
  <dcterms:modified xsi:type="dcterms:W3CDTF">2016-04-15T14:55:00Z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