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7D" w:rsidRDefault="004C5B09">
      <w:bookmarkStart w:id="0" w:name="_GoBack"/>
      <w:bookmarkEnd w:id="0"/>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Tourangeau, 2013; Yancy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00731009" w:rsidRPr="00B77976">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Shamdasani,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lastRenderedPageBreak/>
        <w:t xml:space="preserve">Massey D and Tourangeau R (2013). New challenges to social measurement.  </w:t>
      </w:r>
      <w:r>
        <w:rPr>
          <w:b/>
          <w:i/>
          <w:iCs/>
        </w:rPr>
        <w:t>Ann Am Acad Pol Soc Sci,</w:t>
      </w:r>
      <w:r w:rsidRPr="002A06E5">
        <w:t xml:space="preserve"> 645(1): 6–22.</w:t>
      </w:r>
    </w:p>
    <w:p w:rsid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RDefault="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RDefault="003D4E28" w:rsidP="002A06E5">
      <w:r>
        <w:t xml:space="preserve">Yancey AK, Ortega AN, and Kumanyika SK (2006).  Effective recruitment and retention of minority research participants.  </w:t>
      </w:r>
      <w:r w:rsidRPr="003D4E28">
        <w:rPr>
          <w:b/>
        </w:rPr>
        <w:t>Ann Rev Public Health</w:t>
      </w:r>
      <w:r>
        <w:t>, 27, 1-28.</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2A06E5"/>
    <w:rsid w:val="00326439"/>
    <w:rsid w:val="0033711F"/>
    <w:rsid w:val="003D4E28"/>
    <w:rsid w:val="004C5B09"/>
    <w:rsid w:val="005D405D"/>
    <w:rsid w:val="006B51D9"/>
    <w:rsid w:val="00716809"/>
    <w:rsid w:val="00731009"/>
    <w:rsid w:val="00732EA9"/>
    <w:rsid w:val="008161BE"/>
    <w:rsid w:val="008207B0"/>
    <w:rsid w:val="00835FF4"/>
    <w:rsid w:val="0088729F"/>
    <w:rsid w:val="008A5EBD"/>
    <w:rsid w:val="00983603"/>
    <w:rsid w:val="009B5B8A"/>
    <w:rsid w:val="00A720D6"/>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A3ECD-6A3B-4727-92A6-8A24F141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FRANK FUNDERBURK</cp:lastModifiedBy>
  <cp:revision>2</cp:revision>
  <dcterms:created xsi:type="dcterms:W3CDTF">2016-11-07T20:17:00Z</dcterms:created>
  <dcterms:modified xsi:type="dcterms:W3CDTF">2016-11-07T20:17:00Z</dcterms:modified>
</cp:coreProperties>
</file>