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6F" w:rsidRDefault="00E2226F" w:rsidP="00E2226F">
      <w:pPr>
        <w:jc w:val="center"/>
        <w:rPr>
          <w:rFonts w:ascii="Arial" w:hAnsi="Arial"/>
          <w:b/>
          <w:sz w:val="24"/>
        </w:rPr>
      </w:pPr>
      <w:r>
        <w:rPr>
          <w:rFonts w:ascii="Arial" w:hAnsi="Arial"/>
          <w:b/>
          <w:sz w:val="24"/>
        </w:rPr>
        <w:t xml:space="preserve">SUPPORTING STATEMENT </w:t>
      </w:r>
    </w:p>
    <w:p w:rsidR="00E2226F" w:rsidRDefault="00E2226F" w:rsidP="00E2226F">
      <w:pPr>
        <w:jc w:val="center"/>
        <w:rPr>
          <w:rFonts w:ascii="Arial" w:hAnsi="Arial"/>
          <w:b/>
          <w:sz w:val="24"/>
        </w:rPr>
      </w:pPr>
      <w:r>
        <w:rPr>
          <w:rFonts w:ascii="Arial" w:hAnsi="Arial"/>
          <w:b/>
          <w:sz w:val="24"/>
        </w:rPr>
        <w:t>For Extension Request:  Benefits, Timeliness and Quality (BTQ)</w:t>
      </w:r>
    </w:p>
    <w:p w:rsidR="00E2226F" w:rsidRDefault="00E2226F" w:rsidP="00E2226F">
      <w:pPr>
        <w:jc w:val="center"/>
        <w:rPr>
          <w:rFonts w:ascii="Arial" w:hAnsi="Arial"/>
          <w:sz w:val="24"/>
        </w:rPr>
      </w:pPr>
      <w:r>
        <w:rPr>
          <w:rFonts w:ascii="Arial" w:hAnsi="Arial"/>
          <w:b/>
          <w:sz w:val="24"/>
        </w:rPr>
        <w:t>Review System (OMB1205-0359), Part B</w:t>
      </w:r>
    </w:p>
    <w:p w:rsidR="00E2226F" w:rsidRPr="00E2226F" w:rsidRDefault="00E2226F" w:rsidP="00E2226F"/>
    <w:p w:rsidR="00E2226F" w:rsidRDefault="00E2226F" w:rsidP="00E2226F">
      <w:pPr>
        <w:pStyle w:val="Heading1"/>
        <w:numPr>
          <w:ilvl w:val="0"/>
          <w:numId w:val="0"/>
        </w:numPr>
        <w:ind w:left="360"/>
      </w:pPr>
    </w:p>
    <w:p w:rsidR="000466CF" w:rsidRDefault="00E2226F" w:rsidP="00E2226F">
      <w:pPr>
        <w:pStyle w:val="Heading1"/>
        <w:numPr>
          <w:ilvl w:val="0"/>
          <w:numId w:val="5"/>
        </w:numPr>
      </w:pPr>
      <w:r>
        <w:t xml:space="preserve"> </w:t>
      </w:r>
      <w:r w:rsidR="000466CF">
        <w:t>COLLECTIONS OF INFORMATION EMPLOYING STATISTICAL METHODS</w:t>
      </w:r>
    </w:p>
    <w:p w:rsidR="000466CF" w:rsidRDefault="000466CF" w:rsidP="000466CF"/>
    <w:p w:rsidR="000466CF" w:rsidRDefault="000466CF" w:rsidP="000466CF">
      <w:pPr>
        <w:pStyle w:val="Heading4"/>
        <w:numPr>
          <w:ilvl w:val="0"/>
          <w:numId w:val="3"/>
        </w:numPr>
      </w:pPr>
      <w:r>
        <w:t>Respondent Universe and Sampling</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76588" w:rsidP="000466CF">
      <w:pPr>
        <w:pStyle w:val="BodyTextIndent"/>
        <w:tabs>
          <w:tab w:val="right" w:pos="9360"/>
        </w:tabs>
        <w:ind w:firstLine="0"/>
      </w:pPr>
      <w:r>
        <w:t>State Workforce Agencies (SWAs) use data collected through required U</w:t>
      </w:r>
      <w:r w:rsidR="004D6593">
        <w:t>ne</w:t>
      </w:r>
      <w:r>
        <w:t xml:space="preserve">mployment Insurance (UI) reports to measure </w:t>
      </w:r>
      <w:r w:rsidR="004D6593">
        <w:t xml:space="preserve">and </w:t>
      </w:r>
      <w:r w:rsidR="000466CF">
        <w:t>evaluate performance primarily through analys</w:t>
      </w:r>
      <w:r>
        <w:t>e</w:t>
      </w:r>
      <w:r w:rsidR="000466CF">
        <w:t xml:space="preserve">s of universes </w:t>
      </w:r>
      <w:r>
        <w:t>of UI workload and timeliness data</w:t>
      </w:r>
      <w:r w:rsidR="000466CF">
        <w:t>.  There are three areas, however, where it is necessary to select random samples to assess performance:</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r>
        <w:rPr>
          <w:rFonts w:ascii="Arial" w:hAnsi="Arial"/>
          <w:sz w:val="24"/>
        </w:rPr>
        <w:t>adjudication quality reviews of separation issues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r>
        <w:rPr>
          <w:rFonts w:ascii="Arial" w:hAnsi="Arial"/>
          <w:sz w:val="24"/>
        </w:rPr>
        <w:t xml:space="preserve">adjudication quality reviews of </w:t>
      </w:r>
      <w:proofErr w:type="spellStart"/>
      <w:r>
        <w:rPr>
          <w:rFonts w:ascii="Arial" w:hAnsi="Arial"/>
          <w:sz w:val="24"/>
        </w:rPr>
        <w:t>nonseparation</w:t>
      </w:r>
      <w:proofErr w:type="spellEnd"/>
      <w:r>
        <w:rPr>
          <w:rFonts w:ascii="Arial" w:hAnsi="Arial"/>
          <w:sz w:val="24"/>
        </w:rPr>
        <w:t xml:space="preserve"> issues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proofErr w:type="gramStart"/>
      <w:r>
        <w:rPr>
          <w:rFonts w:ascii="Arial" w:hAnsi="Arial"/>
          <w:sz w:val="24"/>
        </w:rPr>
        <w:t>lower</w:t>
      </w:r>
      <w:proofErr w:type="gramEnd"/>
      <w:r>
        <w:rPr>
          <w:rFonts w:ascii="Arial" w:hAnsi="Arial"/>
          <w:sz w:val="24"/>
        </w:rPr>
        <w:t xml:space="preserve"> authority appeals quality reviews.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pStyle w:val="BodyTextIndent2"/>
        <w:tabs>
          <w:tab w:val="right" w:pos="9360"/>
        </w:tabs>
      </w:pPr>
      <w:r>
        <w:t xml:space="preserve">The BTQ collection of information is based solely on review of existing working SWA agency records and does not involve surveying individuals, administering questionnaires or any other form of survey research.  Samples are selected quarterly from records reported on the ETA 9052 and ETA 9054 reports, which are censuses of nonmonetary determinations and lower </w:t>
      </w:r>
      <w:proofErr w:type="gramStart"/>
      <w:r>
        <w:t>authority</w:t>
      </w:r>
      <w:proofErr w:type="gramEnd"/>
      <w:r>
        <w:t xml:space="preserve"> appeals, respectively.</w:t>
      </w:r>
    </w:p>
    <w:p w:rsidR="00A70809" w:rsidRDefault="00A70809" w:rsidP="000466CF">
      <w:pPr>
        <w:pStyle w:val="BodyTextIndent2"/>
        <w:tabs>
          <w:tab w:val="right" w:pos="9360"/>
        </w:tabs>
      </w:pPr>
    </w:p>
    <w:p w:rsidR="00ED6134" w:rsidRDefault="00A517AE" w:rsidP="00ED6134">
      <w:pPr>
        <w:pStyle w:val="BodyTextIndent2"/>
        <w:tabs>
          <w:tab w:val="right" w:pos="9360"/>
        </w:tabs>
      </w:pPr>
      <w:r>
        <w:t xml:space="preserve">State samples are stratified by the type of adjudication, with equal numbers of separation issues and non-separation issues selected.  </w:t>
      </w:r>
      <w:r w:rsidR="00991F59">
        <w:t>The size of s</w:t>
      </w:r>
      <w:r w:rsidR="00A70809">
        <w:t xml:space="preserve">amples </w:t>
      </w:r>
      <w:r w:rsidR="00991F59">
        <w:t xml:space="preserve">that states use </w:t>
      </w:r>
      <w:r w:rsidR="00A70809">
        <w:t xml:space="preserve">to assess the quality of nonmonetary adjudications </w:t>
      </w:r>
      <w:r w:rsidR="00430193">
        <w:t>is</w:t>
      </w:r>
      <w:r w:rsidR="00A70809">
        <w:t xml:space="preserve"> </w:t>
      </w:r>
      <w:r>
        <w:t xml:space="preserve">dependent on the total number of adjudications that the state processes.  </w:t>
      </w:r>
      <w:r w:rsidR="00A70809">
        <w:t>States with fewer than 100,000 annual nonmonetary determinations are classified as small states,</w:t>
      </w:r>
      <w:r w:rsidR="00ED6134">
        <w:t xml:space="preserve"> </w:t>
      </w:r>
      <w:r w:rsidR="00A70809">
        <w:t xml:space="preserve">and the </w:t>
      </w:r>
      <w:r w:rsidR="00ED6134">
        <w:t xml:space="preserve">resulting annual </w:t>
      </w:r>
      <w:r w:rsidR="00A70809">
        <w:t>sample size</w:t>
      </w:r>
      <w:r w:rsidR="00ED6134">
        <w:t>s</w:t>
      </w:r>
      <w:r w:rsidR="00A70809">
        <w:t xml:space="preserve"> for both </w:t>
      </w:r>
      <w:r w:rsidR="00ED6134">
        <w:t>separation issues and non-separation issues are 240. S</w:t>
      </w:r>
      <w:r w:rsidR="00A70809">
        <w:t>tates with 100,000 or more annual nonmonetary determinations are classified as large states</w:t>
      </w:r>
      <w:r w:rsidR="00ED6134">
        <w:t xml:space="preserve">, and the resulting annual sample sizes for both separation issues and non-separation issues are 400. </w:t>
      </w:r>
      <w:r w:rsidR="00991F59">
        <w:t xml:space="preserve"> </w:t>
      </w:r>
    </w:p>
    <w:p w:rsidR="00E41B81" w:rsidRDefault="00E41B81" w:rsidP="00A70809">
      <w:pPr>
        <w:pStyle w:val="BodyTextIndent2"/>
        <w:tabs>
          <w:tab w:val="right" w:pos="9360"/>
        </w:tabs>
      </w:pPr>
    </w:p>
    <w:p w:rsidR="00ED6134" w:rsidRDefault="00E41B81" w:rsidP="00A70809">
      <w:pPr>
        <w:pStyle w:val="BodyTextIndent2"/>
        <w:tabs>
          <w:tab w:val="right" w:pos="9360"/>
        </w:tabs>
      </w:pPr>
      <w:r>
        <w:t xml:space="preserve">It should be noted that the classification of </w:t>
      </w:r>
      <w:r w:rsidR="00430193">
        <w:t>state</w:t>
      </w:r>
      <w:r>
        <w:t>s</w:t>
      </w:r>
      <w:r w:rsidR="00430193">
        <w:t xml:space="preserve"> as “large” or “small” only impacts the number of cases sampled</w:t>
      </w:r>
      <w:r>
        <w:t xml:space="preserve"> -- “large” states will sample more cases than “small” states --</w:t>
      </w:r>
      <w:r w:rsidR="00430193">
        <w:t xml:space="preserve"> and does not produce separate strata.  </w:t>
      </w:r>
      <w:r w:rsidRPr="00A67A1F">
        <w:rPr>
          <w:u w:val="single"/>
        </w:rPr>
        <w:t>W</w:t>
      </w:r>
      <w:r w:rsidR="00430193" w:rsidRPr="00A67A1F">
        <w:rPr>
          <w:u w:val="single"/>
        </w:rPr>
        <w:t xml:space="preserve">ithin </w:t>
      </w:r>
      <w:r w:rsidRPr="00A67A1F">
        <w:rPr>
          <w:u w:val="single"/>
        </w:rPr>
        <w:t xml:space="preserve">each </w:t>
      </w:r>
      <w:r w:rsidR="00430193" w:rsidRPr="00A67A1F">
        <w:rPr>
          <w:u w:val="single"/>
        </w:rPr>
        <w:t>state</w:t>
      </w:r>
      <w:r w:rsidR="00430193">
        <w:t xml:space="preserve">, </w:t>
      </w:r>
      <w:r>
        <w:t xml:space="preserve">however, </w:t>
      </w:r>
      <w:r w:rsidR="00430193">
        <w:t xml:space="preserve">the sample is stratified on separation issues and non-separation issues.  </w:t>
      </w:r>
    </w:p>
    <w:p w:rsidR="00E41B81" w:rsidRDefault="00E41B81" w:rsidP="00A70809">
      <w:pPr>
        <w:pStyle w:val="BodyTextIndent2"/>
        <w:tabs>
          <w:tab w:val="right" w:pos="9360"/>
        </w:tabs>
      </w:pPr>
    </w:p>
    <w:p w:rsidR="00E41B81" w:rsidRPr="00E41B81" w:rsidRDefault="00376F42" w:rsidP="00E41B81">
      <w:pPr>
        <w:pStyle w:val="BodyTextIndent2"/>
        <w:tabs>
          <w:tab w:val="right" w:pos="9360"/>
        </w:tabs>
      </w:pPr>
      <w:r>
        <w:t xml:space="preserve">The size of </w:t>
      </w:r>
      <w:r w:rsidR="007706B8">
        <w:t xml:space="preserve">the </w:t>
      </w:r>
      <w:r>
        <w:t>sample</w:t>
      </w:r>
      <w:r w:rsidR="00B66E8E">
        <w:t>s</w:t>
      </w:r>
      <w:r>
        <w:t xml:space="preserve"> that states use to assess the quality of appeals </w:t>
      </w:r>
      <w:r w:rsidR="007706B8">
        <w:t xml:space="preserve">is </w:t>
      </w:r>
      <w:r>
        <w:t xml:space="preserve">determined </w:t>
      </w:r>
      <w:r w:rsidR="007706B8">
        <w:t xml:space="preserve">only by </w:t>
      </w:r>
      <w:r>
        <w:t xml:space="preserve">the total number of appeals that the state processes.  </w:t>
      </w:r>
      <w:r w:rsidR="00A70809">
        <w:t>States with fewer than 40,000 annual lower authority appeals are classified as small states</w:t>
      </w:r>
      <w:r w:rsidR="00E41B81">
        <w:t xml:space="preserve"> and </w:t>
      </w:r>
      <w:r w:rsidR="00E41B81" w:rsidRPr="00E41B81">
        <w:t>will sample 80 cases per year</w:t>
      </w:r>
      <w:r w:rsidR="00E41B81">
        <w:t>.</w:t>
      </w:r>
      <w:r w:rsidR="00A70809">
        <w:t xml:space="preserve"> </w:t>
      </w:r>
      <w:r w:rsidR="00E41B81">
        <w:t xml:space="preserve"> S</w:t>
      </w:r>
      <w:r w:rsidR="00A70809">
        <w:t>tates with 40,000 or more annual lower authority appeals are classified as large states</w:t>
      </w:r>
      <w:r w:rsidR="00E41B81">
        <w:t xml:space="preserve"> and </w:t>
      </w:r>
      <w:r w:rsidR="00E41B81" w:rsidRPr="00E41B81">
        <w:t>will use a sample of 160 cases per year</w:t>
      </w:r>
      <w:r w:rsidR="00A70809">
        <w:t xml:space="preserve">.  </w:t>
      </w:r>
      <w:r w:rsidR="00E41B81">
        <w:t>A</w:t>
      </w:r>
      <w:r w:rsidR="00E41B81" w:rsidRPr="00E41B81">
        <w:t xml:space="preserve">ppeals </w:t>
      </w:r>
      <w:r w:rsidR="008C221D">
        <w:t xml:space="preserve">samples </w:t>
      </w:r>
      <w:r w:rsidR="00E41B81" w:rsidRPr="00E41B81">
        <w:t xml:space="preserve">are not stratified.  </w:t>
      </w:r>
    </w:p>
    <w:p w:rsidR="00E41B81" w:rsidRDefault="00E41B81" w:rsidP="00A70809">
      <w:pPr>
        <w:pStyle w:val="BodyTextIndent2"/>
        <w:tabs>
          <w:tab w:val="right" w:pos="9360"/>
        </w:tabs>
      </w:pPr>
    </w:p>
    <w:p w:rsidR="000466CF" w:rsidRDefault="00A70809"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r>
        <w:rPr>
          <w:rFonts w:ascii="Arial" w:hAnsi="Arial"/>
          <w:b/>
          <w:sz w:val="24"/>
        </w:rPr>
        <w:t xml:space="preserve">Table showing </w:t>
      </w:r>
      <w:r w:rsidR="000466CF">
        <w:rPr>
          <w:rFonts w:ascii="Arial" w:hAnsi="Arial"/>
          <w:b/>
          <w:sz w:val="24"/>
        </w:rPr>
        <w:t xml:space="preserve">Quality Review Universes and Samples </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r>
        <w:rPr>
          <w:rFonts w:ascii="Arial" w:hAnsi="Arial"/>
          <w:b/>
          <w:sz w:val="24"/>
        </w:rPr>
        <w:t>Universe Sizes from CY 20</w:t>
      </w:r>
      <w:r w:rsidR="00D419A6">
        <w:rPr>
          <w:rFonts w:ascii="Arial" w:hAnsi="Arial"/>
          <w:b/>
          <w:sz w:val="24"/>
        </w:rPr>
        <w:t>12</w:t>
      </w:r>
      <w:r>
        <w:rPr>
          <w:rFonts w:ascii="Arial" w:hAnsi="Arial"/>
          <w:b/>
          <w:sz w:val="24"/>
        </w:rPr>
        <w:t xml:space="preserve"> </w:t>
      </w:r>
    </w:p>
    <w:p w:rsidR="001D409C" w:rsidRPr="00E961BC" w:rsidRDefault="001D409C" w:rsidP="001D409C"/>
    <w:tbl>
      <w:tblPr>
        <w:tblW w:w="96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80"/>
        <w:gridCol w:w="2160"/>
        <w:gridCol w:w="1296"/>
        <w:gridCol w:w="2016"/>
        <w:gridCol w:w="1296"/>
      </w:tblGrid>
      <w:tr w:rsidR="001D409C" w:rsidRPr="00E961BC" w:rsidTr="00B43D21">
        <w:trPr>
          <w:tblHeader/>
        </w:trPr>
        <w:tc>
          <w:tcPr>
            <w:tcW w:w="2880"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rPr>
                <w:b/>
              </w:rPr>
            </w:pPr>
            <w:r w:rsidRPr="00E961BC">
              <w:rPr>
                <w:b/>
              </w:rPr>
              <w:t>Items to Be Reviewed</w:t>
            </w:r>
          </w:p>
        </w:tc>
        <w:tc>
          <w:tcPr>
            <w:tcW w:w="2160"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rPr>
                <w:b/>
              </w:rPr>
            </w:pPr>
            <w:smartTag w:uri="urn:schemas-microsoft-com:office:smarttags" w:element="place">
              <w:smartTag w:uri="urn:schemas-microsoft-com:office:smarttags" w:element="PlaceType">
                <w:r w:rsidRPr="00E961BC">
                  <w:rPr>
                    <w:b/>
                  </w:rPr>
                  <w:t>Range</w:t>
                </w:r>
              </w:smartTag>
              <w:r w:rsidRPr="00E961BC">
                <w:rPr>
                  <w:b/>
                </w:rPr>
                <w:t xml:space="preserve"> of </w:t>
              </w:r>
              <w:smartTag w:uri="urn:schemas-microsoft-com:office:smarttags" w:element="PlaceName">
                <w:r w:rsidRPr="00E961BC">
                  <w:rPr>
                    <w:b/>
                  </w:rPr>
                  <w:t>Annual</w:t>
                </w:r>
              </w:smartTag>
            </w:smartTag>
            <w:r w:rsidRPr="00E961BC">
              <w:rPr>
                <w:b/>
              </w:rPr>
              <w:t xml:space="preserve"> Universe*</w:t>
            </w:r>
          </w:p>
        </w:tc>
        <w:tc>
          <w:tcPr>
            <w:tcW w:w="129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jc w:val="center"/>
              <w:rPr>
                <w:b/>
              </w:rPr>
            </w:pPr>
            <w:r w:rsidRPr="00E961BC">
              <w:rPr>
                <w:b/>
              </w:rPr>
              <w:t>Annual Sample Size</w:t>
            </w:r>
          </w:p>
        </w:tc>
        <w:tc>
          <w:tcPr>
            <w:tcW w:w="201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rPr>
                <w:b/>
              </w:rPr>
            </w:pPr>
            <w:r w:rsidRPr="00E961BC">
              <w:rPr>
                <w:b/>
              </w:rPr>
              <w:t>Range of Quarterly Universe*</w:t>
            </w:r>
          </w:p>
        </w:tc>
        <w:tc>
          <w:tcPr>
            <w:tcW w:w="1296" w:type="dxa"/>
            <w:tcBorders>
              <w:top w:val="single" w:sz="4" w:space="0" w:color="auto"/>
              <w:left w:val="single" w:sz="4" w:space="0" w:color="auto"/>
              <w:bottom w:val="single" w:sz="4" w:space="0" w:color="auto"/>
              <w:right w:val="single" w:sz="4" w:space="0" w:color="auto"/>
            </w:tcBorders>
          </w:tcPr>
          <w:p w:rsidR="001D409C" w:rsidRDefault="001D409C" w:rsidP="00B43D21">
            <w:pPr>
              <w:jc w:val="center"/>
              <w:rPr>
                <w:b/>
              </w:rPr>
            </w:pPr>
            <w:r w:rsidRPr="00E961BC">
              <w:rPr>
                <w:b/>
              </w:rPr>
              <w:t>Quarterly</w:t>
            </w:r>
          </w:p>
          <w:p w:rsidR="001D409C" w:rsidRPr="00E961BC" w:rsidRDefault="001D409C" w:rsidP="00B43D21">
            <w:pPr>
              <w:jc w:val="center"/>
              <w:rPr>
                <w:b/>
              </w:rPr>
            </w:pPr>
            <w:r w:rsidRPr="00E961BC">
              <w:rPr>
                <w:b/>
              </w:rPr>
              <w:t>Sample Size</w:t>
            </w:r>
          </w:p>
        </w:tc>
      </w:tr>
      <w:tr w:rsidR="001D409C" w:rsidRPr="00E961BC" w:rsidTr="00B43D21">
        <w:tc>
          <w:tcPr>
            <w:tcW w:w="288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 xml:space="preserve">Nonmonetary </w:t>
            </w:r>
            <w:r w:rsidRPr="00E961BC">
              <w:t>Adjudications (27 Small States)</w:t>
            </w:r>
          </w:p>
        </w:tc>
        <w:tc>
          <w:tcPr>
            <w:tcW w:w="216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rsidRPr="00E961BC">
              <w:t>15,590 – 97,052</w:t>
            </w:r>
          </w:p>
        </w:tc>
        <w:tc>
          <w:tcPr>
            <w:tcW w:w="1296" w:type="dxa"/>
            <w:tcBorders>
              <w:top w:val="single" w:sz="4" w:space="0" w:color="auto"/>
              <w:left w:val="single" w:sz="4" w:space="0" w:color="auto"/>
              <w:bottom w:val="single" w:sz="4" w:space="0" w:color="auto"/>
              <w:right w:val="single" w:sz="4" w:space="0" w:color="auto"/>
            </w:tcBorders>
          </w:tcPr>
          <w:p w:rsidR="001D409C" w:rsidRDefault="001D409C" w:rsidP="00B43D21">
            <w:pPr>
              <w:jc w:val="center"/>
            </w:pPr>
            <w:r>
              <w:t>2</w:t>
            </w:r>
            <w:r w:rsidRPr="00E961BC">
              <w:t>40</w:t>
            </w:r>
          </w:p>
          <w:p w:rsidR="001D409C" w:rsidRPr="00DA7CD4" w:rsidRDefault="001D409C" w:rsidP="00B43D21">
            <w:pPr>
              <w:jc w:val="center"/>
            </w:pPr>
            <w:r w:rsidRPr="00DA7CD4">
              <w:t>(</w:t>
            </w:r>
            <w:r>
              <w:t>See n</w:t>
            </w:r>
            <w:r w:rsidRPr="00DA7CD4">
              <w:t>ote 1)</w:t>
            </w:r>
          </w:p>
        </w:tc>
        <w:tc>
          <w:tcPr>
            <w:tcW w:w="2016"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3,679 – 26,072</w:t>
            </w:r>
          </w:p>
        </w:tc>
        <w:tc>
          <w:tcPr>
            <w:tcW w:w="1296" w:type="dxa"/>
            <w:tcBorders>
              <w:top w:val="single" w:sz="4" w:space="0" w:color="auto"/>
              <w:left w:val="single" w:sz="4" w:space="0" w:color="auto"/>
              <w:bottom w:val="single" w:sz="4" w:space="0" w:color="auto"/>
              <w:right w:val="single" w:sz="4" w:space="0" w:color="auto"/>
            </w:tcBorders>
          </w:tcPr>
          <w:p w:rsidR="001D409C" w:rsidRDefault="001D409C" w:rsidP="00B43D21">
            <w:pPr>
              <w:jc w:val="center"/>
            </w:pPr>
            <w:r>
              <w:t>60</w:t>
            </w:r>
          </w:p>
          <w:p w:rsidR="001D409C" w:rsidRPr="00E961BC" w:rsidRDefault="001D409C" w:rsidP="00B43D21">
            <w:pPr>
              <w:jc w:val="center"/>
            </w:pPr>
            <w:r w:rsidRPr="00DA7CD4">
              <w:t>(</w:t>
            </w:r>
            <w:r>
              <w:t>See n</w:t>
            </w:r>
            <w:r w:rsidRPr="00DA7CD4">
              <w:t xml:space="preserve">ote </w:t>
            </w:r>
            <w:r>
              <w:t>2</w:t>
            </w:r>
            <w:r w:rsidRPr="00DA7CD4">
              <w:t>)</w:t>
            </w:r>
          </w:p>
        </w:tc>
      </w:tr>
      <w:tr w:rsidR="001D409C" w:rsidRPr="00E961BC" w:rsidTr="00B43D21">
        <w:tc>
          <w:tcPr>
            <w:tcW w:w="288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 xml:space="preserve">Nonmonetary </w:t>
            </w:r>
            <w:r w:rsidRPr="00E961BC">
              <w:t>Adjudications (26 Large States)</w:t>
            </w:r>
          </w:p>
        </w:tc>
        <w:tc>
          <w:tcPr>
            <w:tcW w:w="216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rsidRPr="00E961BC">
              <w:t>107,091 – 1,016,233</w:t>
            </w:r>
          </w:p>
        </w:tc>
        <w:tc>
          <w:tcPr>
            <w:tcW w:w="1296" w:type="dxa"/>
            <w:tcBorders>
              <w:top w:val="single" w:sz="4" w:space="0" w:color="auto"/>
              <w:left w:val="single" w:sz="4" w:space="0" w:color="auto"/>
              <w:bottom w:val="single" w:sz="4" w:space="0" w:color="auto"/>
              <w:right w:val="single" w:sz="4" w:space="0" w:color="auto"/>
            </w:tcBorders>
          </w:tcPr>
          <w:p w:rsidR="001D409C" w:rsidRDefault="001D409C" w:rsidP="00B43D21">
            <w:pPr>
              <w:jc w:val="center"/>
            </w:pPr>
            <w:r w:rsidRPr="00E961BC">
              <w:t>400</w:t>
            </w:r>
          </w:p>
          <w:p w:rsidR="001D409C" w:rsidRPr="00E961BC" w:rsidRDefault="001D409C" w:rsidP="00B43D21">
            <w:pPr>
              <w:jc w:val="center"/>
            </w:pPr>
            <w:r w:rsidRPr="00DA7CD4">
              <w:t>(</w:t>
            </w:r>
            <w:r>
              <w:t>See note 3</w:t>
            </w:r>
            <w:r w:rsidRPr="00DA7CD4">
              <w:t>)</w:t>
            </w:r>
          </w:p>
        </w:tc>
        <w:tc>
          <w:tcPr>
            <w:tcW w:w="2016"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21,580 – 275,149</w:t>
            </w:r>
          </w:p>
        </w:tc>
        <w:tc>
          <w:tcPr>
            <w:tcW w:w="1296" w:type="dxa"/>
            <w:tcBorders>
              <w:top w:val="single" w:sz="4" w:space="0" w:color="auto"/>
              <w:left w:val="single" w:sz="4" w:space="0" w:color="auto"/>
              <w:bottom w:val="single" w:sz="4" w:space="0" w:color="auto"/>
              <w:right w:val="single" w:sz="4" w:space="0" w:color="auto"/>
            </w:tcBorders>
          </w:tcPr>
          <w:p w:rsidR="001D409C" w:rsidRDefault="001D409C" w:rsidP="00B43D21">
            <w:pPr>
              <w:jc w:val="center"/>
            </w:pPr>
            <w:r>
              <w:t>100</w:t>
            </w:r>
          </w:p>
          <w:p w:rsidR="001D409C" w:rsidRPr="00E961BC" w:rsidRDefault="001D409C" w:rsidP="00B43D21">
            <w:pPr>
              <w:jc w:val="center"/>
            </w:pPr>
            <w:r w:rsidRPr="00DA7CD4">
              <w:t>(</w:t>
            </w:r>
            <w:r>
              <w:t>See note 4</w:t>
            </w:r>
            <w:r w:rsidRPr="00DA7CD4">
              <w:t>)</w:t>
            </w:r>
          </w:p>
        </w:tc>
      </w:tr>
      <w:tr w:rsidR="001D409C" w:rsidRPr="00E961BC" w:rsidTr="00B43D21">
        <w:tc>
          <w:tcPr>
            <w:tcW w:w="2880" w:type="dxa"/>
            <w:tcBorders>
              <w:top w:val="single" w:sz="4" w:space="0" w:color="auto"/>
              <w:left w:val="single" w:sz="4" w:space="0" w:color="auto"/>
              <w:bottom w:val="single" w:sz="4" w:space="0" w:color="auto"/>
              <w:right w:val="single" w:sz="4" w:space="0" w:color="auto"/>
            </w:tcBorders>
          </w:tcPr>
          <w:p w:rsidR="001D409C" w:rsidRDefault="001D409C" w:rsidP="00B43D21">
            <w:r w:rsidRPr="00E961BC">
              <w:t>Lower Authority Appeals</w:t>
            </w:r>
          </w:p>
          <w:p w:rsidR="001D409C" w:rsidRPr="00E961BC" w:rsidRDefault="001D409C" w:rsidP="00B43D21">
            <w:r w:rsidRPr="00E961BC">
              <w:t>(44 small states)</w:t>
            </w:r>
          </w:p>
        </w:tc>
        <w:tc>
          <w:tcPr>
            <w:tcW w:w="216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rsidRPr="00E961BC">
              <w:t>917 – 39,634</w:t>
            </w:r>
          </w:p>
        </w:tc>
        <w:tc>
          <w:tcPr>
            <w:tcW w:w="129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jc w:val="center"/>
            </w:pPr>
            <w:r w:rsidRPr="00E961BC">
              <w:t>80</w:t>
            </w:r>
          </w:p>
        </w:tc>
        <w:tc>
          <w:tcPr>
            <w:tcW w:w="2016"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196 – 10,708</w:t>
            </w:r>
          </w:p>
        </w:tc>
        <w:tc>
          <w:tcPr>
            <w:tcW w:w="129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jc w:val="center"/>
            </w:pPr>
            <w:r>
              <w:t>20</w:t>
            </w:r>
          </w:p>
        </w:tc>
      </w:tr>
      <w:tr w:rsidR="001D409C" w:rsidRPr="00E961BC" w:rsidTr="00B43D21">
        <w:tc>
          <w:tcPr>
            <w:tcW w:w="2880" w:type="dxa"/>
            <w:tcBorders>
              <w:top w:val="single" w:sz="4" w:space="0" w:color="auto"/>
              <w:left w:val="single" w:sz="4" w:space="0" w:color="auto"/>
              <w:bottom w:val="single" w:sz="4" w:space="0" w:color="auto"/>
              <w:right w:val="single" w:sz="4" w:space="0" w:color="auto"/>
            </w:tcBorders>
          </w:tcPr>
          <w:p w:rsidR="001D409C" w:rsidRDefault="001D409C" w:rsidP="00B43D21">
            <w:r w:rsidRPr="00E961BC">
              <w:t>Lower Authority Appeals</w:t>
            </w:r>
          </w:p>
          <w:p w:rsidR="001D409C" w:rsidRPr="00E961BC" w:rsidRDefault="001D409C" w:rsidP="00B43D21">
            <w:r w:rsidRPr="00E961BC">
              <w:t>(9 large states)</w:t>
            </w:r>
          </w:p>
        </w:tc>
        <w:tc>
          <w:tcPr>
            <w:tcW w:w="2160"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rsidRPr="00E961BC">
              <w:t>41,662 – 304,148</w:t>
            </w:r>
          </w:p>
        </w:tc>
        <w:tc>
          <w:tcPr>
            <w:tcW w:w="129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jc w:val="center"/>
            </w:pPr>
            <w:r w:rsidRPr="00E961BC">
              <w:t>160</w:t>
            </w:r>
          </w:p>
        </w:tc>
        <w:tc>
          <w:tcPr>
            <w:tcW w:w="2016" w:type="dxa"/>
            <w:tcBorders>
              <w:top w:val="single" w:sz="4" w:space="0" w:color="auto"/>
              <w:left w:val="single" w:sz="4" w:space="0" w:color="auto"/>
              <w:bottom w:val="single" w:sz="4" w:space="0" w:color="auto"/>
              <w:right w:val="single" w:sz="4" w:space="0" w:color="auto"/>
            </w:tcBorders>
          </w:tcPr>
          <w:p w:rsidR="001D409C" w:rsidRPr="00E961BC" w:rsidRDefault="001D409C" w:rsidP="00B43D21">
            <w:r>
              <w:t>8,041 – 84,684</w:t>
            </w:r>
          </w:p>
        </w:tc>
        <w:tc>
          <w:tcPr>
            <w:tcW w:w="1296" w:type="dxa"/>
            <w:tcBorders>
              <w:top w:val="single" w:sz="4" w:space="0" w:color="auto"/>
              <w:left w:val="single" w:sz="4" w:space="0" w:color="auto"/>
              <w:bottom w:val="single" w:sz="4" w:space="0" w:color="auto"/>
              <w:right w:val="single" w:sz="4" w:space="0" w:color="auto"/>
            </w:tcBorders>
          </w:tcPr>
          <w:p w:rsidR="001D409C" w:rsidRPr="00E961BC" w:rsidRDefault="001D409C" w:rsidP="00B43D21">
            <w:pPr>
              <w:jc w:val="center"/>
            </w:pPr>
            <w:r>
              <w:t>40</w:t>
            </w:r>
          </w:p>
        </w:tc>
      </w:tr>
    </w:tbl>
    <w:p w:rsidR="001D409C" w:rsidRPr="00E961BC" w:rsidRDefault="001D409C" w:rsidP="001D409C"/>
    <w:p w:rsidR="001D409C" w:rsidRDefault="001D409C" w:rsidP="001D409C">
      <w:r>
        <w:t xml:space="preserve">Notes: </w:t>
      </w:r>
    </w:p>
    <w:p w:rsidR="00991F59" w:rsidRDefault="00A70809" w:rsidP="001D409C">
      <w:r w:rsidDel="00A70809">
        <w:t xml:space="preserve"> </w:t>
      </w:r>
      <w:r w:rsidR="00991F59" w:rsidRPr="00991F59">
        <w:t xml:space="preserve">* Excluding Virgin Islands.  Source for nonmonetary (separation and </w:t>
      </w:r>
      <w:proofErr w:type="spellStart"/>
      <w:r w:rsidR="00991F59" w:rsidRPr="00991F59">
        <w:t>nonseparation</w:t>
      </w:r>
      <w:proofErr w:type="spellEnd"/>
      <w:r w:rsidR="00991F59" w:rsidRPr="00991F59">
        <w:t>) adjudications is the ETA 9052 report.  Source for lower authority appeals is the ETA 9054 report.</w:t>
      </w:r>
    </w:p>
    <w:p w:rsidR="001D409C" w:rsidRPr="00E961BC" w:rsidRDefault="001D409C" w:rsidP="001D409C">
      <w:r>
        <w:t xml:space="preserve">(1) Annual nonmonetary samples are stratified by separation (120 cases) and </w:t>
      </w:r>
      <w:proofErr w:type="spellStart"/>
      <w:r>
        <w:t>nonseparation</w:t>
      </w:r>
      <w:proofErr w:type="spellEnd"/>
      <w:r>
        <w:t xml:space="preserve"> (120 cases).</w:t>
      </w:r>
    </w:p>
    <w:p w:rsidR="001D409C" w:rsidRPr="00E961BC" w:rsidRDefault="001D409C" w:rsidP="001D409C">
      <w:r>
        <w:t xml:space="preserve">(2) Quarterly nonmonetary samples are stratified by separation (30 cases) and </w:t>
      </w:r>
      <w:proofErr w:type="spellStart"/>
      <w:r>
        <w:t>nonseparation</w:t>
      </w:r>
      <w:proofErr w:type="spellEnd"/>
      <w:r>
        <w:t xml:space="preserve"> (30 cases).</w:t>
      </w:r>
    </w:p>
    <w:p w:rsidR="001D409C" w:rsidRPr="00E961BC" w:rsidRDefault="001D409C" w:rsidP="001D409C">
      <w:r>
        <w:t xml:space="preserve">(3) Annual nonmonetary samples are stratified by separation (200 cases) and </w:t>
      </w:r>
      <w:proofErr w:type="spellStart"/>
      <w:r>
        <w:t>nonseparation</w:t>
      </w:r>
      <w:proofErr w:type="spellEnd"/>
      <w:r>
        <w:t xml:space="preserve"> (200 cases).</w:t>
      </w:r>
    </w:p>
    <w:p w:rsidR="001D409C" w:rsidRPr="00E961BC" w:rsidRDefault="001D409C" w:rsidP="001D409C">
      <w:r>
        <w:t xml:space="preserve">(4) Quarterly nonmonetary samples are stratified by separation (50 cases) and </w:t>
      </w:r>
      <w:proofErr w:type="spellStart"/>
      <w:r>
        <w:t>nonseparation</w:t>
      </w:r>
      <w:proofErr w:type="spellEnd"/>
      <w:r>
        <w:t xml:space="preserve"> (50 cases).</w:t>
      </w:r>
    </w:p>
    <w:p w:rsidR="001D409C" w:rsidRDefault="001D409C" w:rsidP="001D409C"/>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pStyle w:val="BodyTextIndent"/>
        <w:tabs>
          <w:tab w:val="clear" w:pos="1296"/>
          <w:tab w:val="decimal" w:pos="1080"/>
          <w:tab w:val="right" w:pos="9360"/>
        </w:tabs>
        <w:ind w:firstLine="0"/>
      </w:pPr>
      <w:r>
        <w:t xml:space="preserve">Both the adjudications and appeals quality measures have been designated as UI Performs Core Measures.  Core Measures have </w:t>
      </w:r>
      <w:r w:rsidR="000A3DA7">
        <w:t>n</w:t>
      </w:r>
      <w:r>
        <w:t>ational minimum performance criteria established, as opposed to individual SWA-negotiated criteria.  Accurate estimates of quality are thus extremely important, but must be balanced with the costs of conducting the reviews.  For this reason, BTQ has implemented varying sample sizes for both adjudications and appeals quality reviews based on the size of activity in each SWA.</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0466CF" w:rsidRDefault="000466CF" w:rsidP="000466CF">
      <w:pPr>
        <w:pStyle w:val="BodyTextIndent"/>
        <w:tabs>
          <w:tab w:val="clear" w:pos="1296"/>
          <w:tab w:val="decimal" w:pos="1080"/>
          <w:tab w:val="right" w:pos="9360"/>
        </w:tabs>
        <w:ind w:firstLine="0"/>
      </w:pPr>
      <w:r>
        <w:tab/>
        <w:t xml:space="preserve">Adjudication quality samples are stratified into separation and </w:t>
      </w:r>
      <w:proofErr w:type="spellStart"/>
      <w:r>
        <w:t>nonseparation</w:t>
      </w:r>
      <w:proofErr w:type="spellEnd"/>
      <w:r>
        <w:t xml:space="preserve"> issues to allow for separate estimates of quality.  For SWAs where the total population of nonmonetary adjudications reported on the ETA 9052 report equaled or exceeded 100,000 in the prior CY, the quarterly sample size is 50 separation issues and 50 </w:t>
      </w:r>
      <w:proofErr w:type="spellStart"/>
      <w:r>
        <w:t>nonseparation</w:t>
      </w:r>
      <w:proofErr w:type="spellEnd"/>
      <w:r>
        <w:t xml:space="preserve"> issues.  For SWAs where the population was less than 100,000, the quarterly sample size is 30 separation issues and 30 </w:t>
      </w:r>
      <w:proofErr w:type="spellStart"/>
      <w:r>
        <w:t>nonseparation</w:t>
      </w:r>
      <w:proofErr w:type="spellEnd"/>
      <w:r>
        <w:t xml:space="preserve"> issues.</w:t>
      </w:r>
    </w:p>
    <w:p w:rsidR="000466CF" w:rsidRDefault="000466CF" w:rsidP="000466CF">
      <w:pPr>
        <w:pStyle w:val="BodyTextIndent"/>
        <w:tabs>
          <w:tab w:val="clear" w:pos="1296"/>
          <w:tab w:val="decimal" w:pos="1080"/>
          <w:tab w:val="right" w:pos="9360"/>
        </w:tabs>
        <w:ind w:firstLine="0"/>
      </w:pPr>
    </w:p>
    <w:p w:rsidR="000466CF" w:rsidRPr="00404F95" w:rsidRDefault="000466CF" w:rsidP="000466CF">
      <w:pPr>
        <w:pStyle w:val="BodyTextIndent"/>
        <w:tabs>
          <w:tab w:val="clear" w:pos="1296"/>
          <w:tab w:val="decimal" w:pos="1080"/>
          <w:tab w:val="right" w:pos="9360"/>
        </w:tabs>
        <w:ind w:firstLine="0"/>
      </w:pPr>
      <w:r>
        <w:t xml:space="preserve">Lower Authority Appeals quality samples are not stratified.  </w:t>
      </w:r>
      <w:r w:rsidRPr="009C6592">
        <w:rPr>
          <w:rFonts w:cs="Arial"/>
          <w:szCs w:val="24"/>
        </w:rPr>
        <w:t xml:space="preserve">The quality sample pool for the </w:t>
      </w:r>
      <w:r>
        <w:rPr>
          <w:rFonts w:cs="Arial"/>
          <w:szCs w:val="24"/>
        </w:rPr>
        <w:t xml:space="preserve">ETA 9057 report </w:t>
      </w:r>
      <w:r w:rsidRPr="009C6592">
        <w:rPr>
          <w:rFonts w:cs="Arial"/>
          <w:szCs w:val="24"/>
        </w:rPr>
        <w:t>include</w:t>
      </w:r>
      <w:r>
        <w:rPr>
          <w:rFonts w:cs="Arial"/>
          <w:szCs w:val="24"/>
        </w:rPr>
        <w:t>s</w:t>
      </w:r>
      <w:r w:rsidRPr="009C6592">
        <w:rPr>
          <w:rFonts w:cs="Arial"/>
          <w:szCs w:val="24"/>
        </w:rPr>
        <w:t xml:space="preserve"> single and two party appeal hearings.  The quality sample pool</w:t>
      </w:r>
      <w:r>
        <w:rPr>
          <w:rFonts w:cs="Arial"/>
          <w:szCs w:val="24"/>
        </w:rPr>
        <w:t xml:space="preserve"> </w:t>
      </w:r>
      <w:r w:rsidRPr="009C6592">
        <w:rPr>
          <w:rFonts w:cs="Arial"/>
          <w:szCs w:val="24"/>
        </w:rPr>
        <w:t>exclude</w:t>
      </w:r>
      <w:r>
        <w:rPr>
          <w:rFonts w:cs="Arial"/>
          <w:szCs w:val="24"/>
        </w:rPr>
        <w:t>s</w:t>
      </w:r>
      <w:r w:rsidRPr="009C6592">
        <w:rPr>
          <w:rFonts w:cs="Arial"/>
          <w:szCs w:val="24"/>
        </w:rPr>
        <w:t xml:space="preserve"> redeterminations, withdrawals, dismissals, decisions with no hearings held, and episodic claims programs such as Extended Benefits, Emergency Unemployment Compensation, Disaster Unemployment Assistance, Trade Adjustment Assistance, and Trade Readjustment Allowances.  </w:t>
      </w:r>
      <w:r w:rsidRPr="00404F95">
        <w:t xml:space="preserve">For SWAs where the total population of </w:t>
      </w:r>
      <w:r>
        <w:t xml:space="preserve">lower authority appeals reported on the ETA 9054 report equaled or </w:t>
      </w:r>
      <w:r w:rsidRPr="00404F95">
        <w:t>exceed</w:t>
      </w:r>
      <w:r>
        <w:t>ed</w:t>
      </w:r>
      <w:r w:rsidRPr="00404F95">
        <w:t xml:space="preserve"> </w:t>
      </w:r>
      <w:r>
        <w:t>4</w:t>
      </w:r>
      <w:r w:rsidRPr="00404F95">
        <w:t xml:space="preserve">0,000 in the prior </w:t>
      </w:r>
      <w:r>
        <w:t>calendar year,</w:t>
      </w:r>
      <w:r w:rsidRPr="00404F95">
        <w:t xml:space="preserve"> the quarterly sample size is </w:t>
      </w:r>
      <w:r>
        <w:t>4</w:t>
      </w:r>
      <w:r w:rsidRPr="00404F95">
        <w:t xml:space="preserve">0 </w:t>
      </w:r>
      <w:r>
        <w:t>appeals decisions</w:t>
      </w:r>
      <w:r w:rsidRPr="00404F95">
        <w:t>.  For SWAs where</w:t>
      </w:r>
      <w:r>
        <w:t xml:space="preserve"> the population was less than 4</w:t>
      </w:r>
      <w:r w:rsidRPr="00404F95">
        <w:t>0,000, the quarterly sample size is</w:t>
      </w:r>
      <w:r>
        <w:t xml:space="preserve"> 2</w:t>
      </w:r>
      <w:r w:rsidRPr="00404F95">
        <w:t xml:space="preserve">0 </w:t>
      </w:r>
      <w:r>
        <w:t>appeals decisions</w:t>
      </w:r>
      <w:r w:rsidRPr="00404F95">
        <w:t>.</w:t>
      </w:r>
    </w:p>
    <w:p w:rsidR="000466CF" w:rsidRDefault="000466CF" w:rsidP="000466CF">
      <w:pPr>
        <w:pStyle w:val="BodyTextIndent"/>
        <w:tabs>
          <w:tab w:val="clear" w:pos="1296"/>
          <w:tab w:val="decimal" w:pos="1080"/>
          <w:tab w:val="right" w:pos="9360"/>
        </w:tabs>
        <w:ind w:firstLine="0"/>
      </w:pPr>
    </w:p>
    <w:p w:rsidR="000466CF" w:rsidRDefault="000466CF" w:rsidP="000466CF">
      <w:pPr>
        <w:pStyle w:val="BodyTextIndent"/>
        <w:tabs>
          <w:tab w:val="clear" w:pos="1296"/>
          <w:tab w:val="decimal" w:pos="1080"/>
          <w:tab w:val="right" w:pos="9360"/>
        </w:tabs>
        <w:ind w:firstLine="0"/>
      </w:pPr>
      <w:r>
        <w:lastRenderedPageBreak/>
        <w:tab/>
        <w:t>SWAs can draw more than the minimum required quality review samples for adjudications, in order to obtain more precise information about how operational decisions impact quality.</w:t>
      </w:r>
    </w:p>
    <w:p w:rsidR="000466CF" w:rsidRDefault="000466CF" w:rsidP="000466CF">
      <w:pPr>
        <w:pStyle w:val="BodyTextIndent"/>
        <w:tabs>
          <w:tab w:val="right" w:pos="9360"/>
        </w:tabs>
        <w:ind w:left="1260" w:firstLine="0"/>
      </w:pPr>
    </w:p>
    <w:p w:rsidR="000466CF" w:rsidRDefault="000466CF" w:rsidP="000466CF">
      <w:pPr>
        <w:pStyle w:val="BodyTextIndent"/>
        <w:tabs>
          <w:tab w:val="clear" w:pos="1296"/>
          <w:tab w:val="decimal" w:pos="1080"/>
          <w:tab w:val="right" w:pos="9360"/>
        </w:tabs>
        <w:ind w:firstLine="0"/>
      </w:pPr>
      <w:r>
        <w:t>Because these samples are drawn from universes of records maintained by SWAs, the response rates are 100% except for cases of lost documents.  In CY 20</w:t>
      </w:r>
      <w:r w:rsidR="000A3DA7">
        <w:t>12</w:t>
      </w:r>
      <w:r>
        <w:t xml:space="preserve">, </w:t>
      </w:r>
      <w:r w:rsidR="004618C1">
        <w:t>37</w:t>
      </w:r>
      <w:r>
        <w:t xml:space="preserve"> SWAs reported no nonmonetary adjudications with missing documentation.  For the </w:t>
      </w:r>
      <w:r w:rsidR="004618C1">
        <w:t>15</w:t>
      </w:r>
      <w:r>
        <w:t xml:space="preserve"> SWAs reporting missing documentation, the number of adjudications missing documentation, among both separation and non-separation cases, ranged from 1 to 6.  No state had higher than a </w:t>
      </w:r>
      <w:r w:rsidR="002B541E">
        <w:t>2.4</w:t>
      </w:r>
      <w:r>
        <w:t>% missing documentation rate.  A table with detailed information on the incidence of missing information by state is provided in Section B-3.</w:t>
      </w:r>
    </w:p>
    <w:p w:rsidR="000466CF" w:rsidRDefault="000466CF" w:rsidP="000466CF">
      <w:pPr>
        <w:pStyle w:val="BodyTextIndent"/>
        <w:tabs>
          <w:tab w:val="right" w:pos="9360"/>
        </w:tabs>
        <w:ind w:left="0" w:firstLine="0"/>
      </w:pPr>
    </w:p>
    <w:p w:rsidR="000466CF" w:rsidRDefault="000466CF" w:rsidP="000466CF">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Information Collection Procedures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RDefault="000466CF" w:rsidP="000466CF">
      <w:pPr>
        <w:pStyle w:val="BodyTextIndent"/>
        <w:tabs>
          <w:tab w:val="right" w:pos="9360"/>
        </w:tabs>
        <w:ind w:firstLine="0"/>
      </w:pPr>
      <w:r>
        <w:tab/>
        <w:t xml:space="preserve">All SWAs are expected to maintain computer files containing all adjudications.  Stratifying the samples by separation and </w:t>
      </w:r>
      <w:proofErr w:type="spellStart"/>
      <w:r>
        <w:t>nonseparation</w:t>
      </w:r>
      <w:proofErr w:type="spellEnd"/>
      <w:r>
        <w:t xml:space="preserve"> issues is done on the basis of the adjudication issue code, which is stored with every adjudication record.  It is thus straightforward for SWAs to extract two files containing all separation and </w:t>
      </w:r>
      <w:proofErr w:type="spellStart"/>
      <w:r>
        <w:t>nonseparation</w:t>
      </w:r>
      <w:proofErr w:type="spellEnd"/>
      <w:r>
        <w:t xml:space="preserve"> adjudications where the notice date falls within the quarter being sampled.  SWAs then either 1) randomize the file using a computer program and select the first </w:t>
      </w:r>
      <w:r w:rsidRPr="00142BD2">
        <w:rPr>
          <w:i/>
        </w:rPr>
        <w:t>n</w:t>
      </w:r>
      <w:r>
        <w:t xml:space="preserve"> records, with </w:t>
      </w:r>
      <w:r w:rsidRPr="00142BD2">
        <w:rPr>
          <w:i/>
        </w:rPr>
        <w:t>n</w:t>
      </w:r>
      <w:r>
        <w:t xml:space="preserve"> equal to the quarterly sample of nonmonetary adjudications or lower authority appeals, as discussed in the previous section; or 2) draw a systematic sample by calculating a sampling (skip) interval (universe divided by desired sample size), selecting a random number between 1 and the interval number for the initial selection and then selecting every </w:t>
      </w:r>
      <w:r w:rsidRPr="00142BD2">
        <w:rPr>
          <w:i/>
        </w:rPr>
        <w:t>n</w:t>
      </w:r>
      <w:r>
        <w:t>th record to produce a systematic a random sample.</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RDefault="000466CF" w:rsidP="000466CF">
      <w:pPr>
        <w:pStyle w:val="BodyTextIndent"/>
        <w:tabs>
          <w:tab w:val="right" w:pos="9360"/>
        </w:tabs>
        <w:ind w:firstLine="0"/>
      </w:pPr>
      <w:r>
        <w:tab/>
        <w:t>Not all SWAs have computerized records of Lower Authority Appeals decisions.  SWAs that maintain automated records of appeals decisions draw the quarterly sample using the procedures (random file or systematic sampling method) described above.  SWAs that do not maintain automated records of appeals decisions must use a manual systematic sampling approach by counting the total number of appeals decisions for the quarter, calculating the sampling interval and manually selecting the appropriate appeals decisions for review.</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jc w:val="center"/>
        <w:rPr>
          <w:rFonts w:ascii="Arial" w:hAnsi="Arial"/>
          <w:sz w:val="24"/>
        </w:rPr>
      </w:pPr>
    </w:p>
    <w:p w:rsidR="000466CF" w:rsidRDefault="000466CF" w:rsidP="000466CF">
      <w:pPr>
        <w:pStyle w:val="BodyTextIndent"/>
        <w:tabs>
          <w:tab w:val="right" w:pos="9360"/>
        </w:tabs>
        <w:ind w:firstLine="0"/>
      </w:pPr>
      <w:r>
        <w:tab/>
        <w:t xml:space="preserve">Minimum performance criteria for UI Performs Core Measures were published in UIPL 14-05, issued </w:t>
      </w:r>
      <w:smartTag w:uri="urn:schemas-microsoft-com:office:smarttags" w:element="date">
        <w:smartTagPr>
          <w:attr w:name="Year" w:val="2005"/>
          <w:attr w:name="Day" w:val="18"/>
          <w:attr w:name="Month" w:val="2"/>
        </w:smartTagPr>
        <w:r>
          <w:t>February 18, 2005</w:t>
        </w:r>
      </w:smartTag>
      <w:r>
        <w:t>.  The nonmonetary quality standards are set at 75% of cases scoring 95 or more points.  The lower authority appeals quality Core Measure minimum performance criterion is 80% of the cases scoring at least 85% of the potential points.  Given the sample sizes and the target scores, the confidence intervals for the estimates of annual performance are as follows: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rPr>
      </w:pPr>
      <w:r>
        <w:rPr>
          <w:rFonts w:ascii="Arial" w:hAnsi="Arial"/>
          <w:b/>
          <w:sz w:val="24"/>
        </w:rPr>
        <w:t>95 Percent Confidence Intervals for Estimated Percentages</w:t>
      </w:r>
    </w:p>
    <w:p w:rsidR="000466CF" w:rsidRDefault="004D6593"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rPr>
      </w:pPr>
      <w:r>
        <w:rPr>
          <w:rFonts w:ascii="Arial" w:hAnsi="Arial"/>
          <w:b/>
          <w:sz w:val="24"/>
        </w:rPr>
        <w:t>Of</w:t>
      </w:r>
      <w:r w:rsidR="000466CF">
        <w:rPr>
          <w:rFonts w:ascii="Arial" w:hAnsi="Arial"/>
          <w:b/>
          <w:sz w:val="24"/>
        </w:rPr>
        <w:t xml:space="preserve"> Adjudications or Appeals Passing Quality Reviews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20"/>
        <w:gridCol w:w="3120"/>
        <w:gridCol w:w="3120"/>
      </w:tblGrid>
      <w:tr w:rsidR="000466CF" w:rsidTr="000466CF">
        <w:trPr>
          <w:jc w:val="center"/>
        </w:trPr>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Measurement</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Small States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(Quarterly / Annual)</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Large States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(Quarterly / Annual)</w:t>
            </w:r>
          </w:p>
        </w:tc>
      </w:tr>
      <w:tr w:rsidR="000466CF" w:rsidTr="000466CF">
        <w:trPr>
          <w:jc w:val="center"/>
        </w:trPr>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lastRenderedPageBreak/>
              <w:t>Adjudications: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 xml:space="preserve"> Separation Issues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 xml:space="preserve"> </w:t>
            </w:r>
            <w:proofErr w:type="spellStart"/>
            <w:r>
              <w:rPr>
                <w:rFonts w:ascii="Arial" w:hAnsi="Arial"/>
              </w:rPr>
              <w:t>Nonseparation</w:t>
            </w:r>
            <w:proofErr w:type="spellEnd"/>
            <w:r>
              <w:rPr>
                <w:rFonts w:ascii="Arial" w:hAnsi="Arial"/>
              </w:rPr>
              <w:t xml:space="preserve"> Issues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Universe of All Adjudications</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15.8 / </w:t>
            </w:r>
            <w:r>
              <w:rPr>
                <w:rFonts w:ascii="Arial" w:hAnsi="Arial"/>
                <w:u w:val="single"/>
              </w:rPr>
              <w:t>+</w:t>
            </w:r>
            <w:r>
              <w:rPr>
                <w:rFonts w:ascii="Arial" w:hAnsi="Arial"/>
              </w:rPr>
              <w:t xml:space="preserve"> 7.8</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15.8 / </w:t>
            </w:r>
            <w:r>
              <w:rPr>
                <w:rFonts w:ascii="Arial" w:hAnsi="Arial"/>
                <w:u w:val="single"/>
              </w:rPr>
              <w:t>+</w:t>
            </w:r>
            <w:r>
              <w:rPr>
                <w:rFonts w:ascii="Arial" w:hAnsi="Arial"/>
              </w:rPr>
              <w:t xml:space="preserve"> 7.8</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RDefault="000466CF" w:rsidP="0005015B">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11.</w:t>
            </w:r>
            <w:r w:rsidR="0005015B">
              <w:rPr>
                <w:rFonts w:ascii="Arial" w:hAnsi="Arial"/>
              </w:rPr>
              <w:t>0</w:t>
            </w:r>
            <w:r>
              <w:rPr>
                <w:rFonts w:ascii="Arial" w:hAnsi="Arial"/>
              </w:rPr>
              <w:t xml:space="preserve"> / </w:t>
            </w:r>
            <w:r>
              <w:rPr>
                <w:rFonts w:ascii="Arial" w:hAnsi="Arial"/>
                <w:u w:val="single"/>
              </w:rPr>
              <w:t>+</w:t>
            </w:r>
            <w:r>
              <w:rPr>
                <w:rFonts w:ascii="Arial" w:hAnsi="Arial"/>
              </w:rPr>
              <w:t xml:space="preserve"> 5.5</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Pr>
                <w:rFonts w:ascii="Arial" w:hAnsi="Arial"/>
              </w:rPr>
              <w:t xml:space="preserve"> 12.1 / </w:t>
            </w:r>
            <w:r>
              <w:rPr>
                <w:rFonts w:ascii="Arial" w:hAnsi="Arial"/>
                <w:u w:val="single"/>
              </w:rPr>
              <w:t>+</w:t>
            </w:r>
            <w:r>
              <w:rPr>
                <w:rFonts w:ascii="Arial" w:hAnsi="Arial"/>
              </w:rPr>
              <w:t xml:space="preserve"> 6.0</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Pr>
                <w:rFonts w:ascii="Arial" w:hAnsi="Arial"/>
              </w:rPr>
              <w:t xml:space="preserve"> 12.1 / </w:t>
            </w:r>
            <w:r>
              <w:rPr>
                <w:rFonts w:ascii="Arial" w:hAnsi="Arial"/>
                <w:u w:val="single"/>
              </w:rPr>
              <w:t>+</w:t>
            </w:r>
            <w:r>
              <w:rPr>
                <w:rFonts w:ascii="Arial" w:hAnsi="Arial"/>
              </w:rPr>
              <w:t xml:space="preserve"> 6.0</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RDefault="000466CF" w:rsidP="0005015B">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 8.5 / </w:t>
            </w:r>
            <w:r>
              <w:rPr>
                <w:rFonts w:ascii="Arial" w:hAnsi="Arial"/>
                <w:u w:val="single"/>
              </w:rPr>
              <w:t>+</w:t>
            </w:r>
            <w:r w:rsidRPr="008F1B09">
              <w:rPr>
                <w:rFonts w:ascii="Arial" w:hAnsi="Arial"/>
              </w:rPr>
              <w:t xml:space="preserve"> </w:t>
            </w:r>
            <w:r>
              <w:rPr>
                <w:rFonts w:ascii="Arial" w:hAnsi="Arial"/>
              </w:rPr>
              <w:t>4.</w:t>
            </w:r>
            <w:r w:rsidR="0005015B">
              <w:rPr>
                <w:rFonts w:ascii="Arial" w:hAnsi="Arial"/>
              </w:rPr>
              <w:t>2</w:t>
            </w:r>
          </w:p>
        </w:tc>
      </w:tr>
      <w:tr w:rsidR="000466CF" w:rsidTr="000466CF">
        <w:trPr>
          <w:jc w:val="center"/>
        </w:trPr>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Lower Authority Appeals</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u w:val="single"/>
              </w:rPr>
            </w:pPr>
          </w:p>
          <w:p w:rsidR="000466CF" w:rsidRDefault="000466CF" w:rsidP="00C2230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8</w:t>
            </w:r>
            <w:r w:rsidR="00C22307">
              <w:rPr>
                <w:rFonts w:ascii="Arial" w:hAnsi="Arial"/>
              </w:rPr>
              <w:t>0</w:t>
            </w:r>
            <w:r w:rsidRPr="008F1B09">
              <w:rPr>
                <w:rFonts w:ascii="Arial" w:hAnsi="Arial"/>
              </w:rPr>
              <w:t xml:space="preserve">% </w:t>
            </w:r>
            <w:r>
              <w:rPr>
                <w:rFonts w:ascii="Arial" w:hAnsi="Arial"/>
                <w:u w:val="single"/>
              </w:rPr>
              <w:t>+</w:t>
            </w:r>
            <w:r w:rsidRPr="008F1B09">
              <w:rPr>
                <w:rFonts w:ascii="Arial" w:hAnsi="Arial"/>
              </w:rPr>
              <w:t xml:space="preserve"> </w:t>
            </w:r>
            <w:r>
              <w:rPr>
                <w:rFonts w:ascii="Arial" w:hAnsi="Arial"/>
              </w:rPr>
              <w:t xml:space="preserve">18.0 / </w:t>
            </w:r>
            <w:r>
              <w:rPr>
                <w:rFonts w:ascii="Arial" w:hAnsi="Arial"/>
                <w:u w:val="single"/>
              </w:rPr>
              <w:t>+</w:t>
            </w:r>
            <w:r>
              <w:rPr>
                <w:rFonts w:ascii="Arial" w:hAnsi="Arial"/>
              </w:rPr>
              <w:t xml:space="preserve"> 8.8</w:t>
            </w:r>
          </w:p>
        </w:tc>
        <w:tc>
          <w:tcPr>
            <w:tcW w:w="3120" w:type="dxa"/>
            <w:tcBorders>
              <w:top w:val="single" w:sz="4" w:space="0" w:color="auto"/>
              <w:left w:val="single" w:sz="4" w:space="0" w:color="auto"/>
              <w:bottom w:val="single" w:sz="4" w:space="0" w:color="auto"/>
              <w:right w:val="single" w:sz="4" w:space="0" w:color="auto"/>
            </w:tcBorders>
          </w:tcPr>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u w:val="single"/>
              </w:rPr>
            </w:pPr>
          </w:p>
          <w:p w:rsidR="000466CF" w:rsidRDefault="000466CF" w:rsidP="00C2230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8</w:t>
            </w:r>
            <w:r w:rsidR="00C22307">
              <w:rPr>
                <w:rFonts w:ascii="Arial" w:hAnsi="Arial"/>
              </w:rPr>
              <w:t>0</w:t>
            </w:r>
            <w:r w:rsidRPr="008F1B09">
              <w:rPr>
                <w:rFonts w:ascii="Arial" w:hAnsi="Arial"/>
              </w:rPr>
              <w:t xml:space="preserve">% </w:t>
            </w:r>
            <w:r>
              <w:rPr>
                <w:rFonts w:ascii="Arial" w:hAnsi="Arial"/>
                <w:u w:val="single"/>
              </w:rPr>
              <w:t>+</w:t>
            </w:r>
            <w:r w:rsidRPr="008F1B09">
              <w:rPr>
                <w:rFonts w:ascii="Arial" w:hAnsi="Arial"/>
              </w:rPr>
              <w:t xml:space="preserve"> </w:t>
            </w:r>
            <w:r>
              <w:rPr>
                <w:rFonts w:ascii="Arial" w:hAnsi="Arial"/>
              </w:rPr>
              <w:t xml:space="preserve">12.6 / </w:t>
            </w:r>
            <w:r>
              <w:rPr>
                <w:rFonts w:ascii="Arial" w:hAnsi="Arial"/>
                <w:u w:val="single"/>
              </w:rPr>
              <w:t>+</w:t>
            </w:r>
            <w:r>
              <w:rPr>
                <w:rFonts w:ascii="Arial" w:hAnsi="Arial"/>
              </w:rPr>
              <w:t xml:space="preserve"> 6.2</w:t>
            </w:r>
          </w:p>
        </w:tc>
      </w:tr>
    </w:tbl>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r>
        <w:rPr>
          <w:rFonts w:ascii="Arial" w:hAnsi="Arial"/>
          <w:sz w:val="24"/>
        </w:rPr>
        <w:tab/>
        <w:t xml:space="preserve">Note: The confidence intervals for nonmonetary adjudications assume simple random samples are selected and that 75 percent of the sample determinations receive passing scores (&gt;= 95 points).  The confidence intervals for lower authority appeals assume simple random samples are selected and that 80 percent of the sample determinations receive passing scores (&gt;= 85 percent of the potential points).  The 75 percent and 80 percent values are the minimum performance criteria established for these measures under UI Performs.  Confidence intervals are expressed as </w:t>
      </w:r>
      <w:r>
        <w:rPr>
          <w:rFonts w:ascii="Arial" w:hAnsi="Arial"/>
          <w:u w:val="single"/>
        </w:rPr>
        <w:t>+</w:t>
      </w:r>
      <w:r>
        <w:rPr>
          <w:rFonts w:ascii="Arial" w:hAnsi="Arial"/>
          <w:sz w:val="24"/>
        </w:rPr>
        <w:t xml:space="preserve"> percentage points.  </w:t>
      </w:r>
      <w:r w:rsidRPr="00DC57B3">
        <w:rPr>
          <w:rFonts w:ascii="Arial" w:hAnsi="Arial"/>
          <w:b/>
          <w:sz w:val="24"/>
        </w:rPr>
        <w:t xml:space="preserve">See Appendix B-1 for the statistical formulas used to estimate </w:t>
      </w:r>
      <w:r>
        <w:rPr>
          <w:rFonts w:ascii="Arial" w:hAnsi="Arial"/>
          <w:b/>
          <w:sz w:val="24"/>
        </w:rPr>
        <w:t xml:space="preserve">annual </w:t>
      </w:r>
      <w:r w:rsidRPr="00DC57B3">
        <w:rPr>
          <w:rFonts w:ascii="Arial" w:hAnsi="Arial"/>
          <w:b/>
          <w:sz w:val="24"/>
        </w:rPr>
        <w:t>population parameters and sampling variability.</w:t>
      </w:r>
    </w:p>
    <w:p w:rsidR="000466CF"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 xml:space="preserve">Example:  </w:t>
      </w:r>
      <w:r>
        <w:rPr>
          <w:rFonts w:ascii="Arial" w:hAnsi="Arial"/>
          <w:sz w:val="24"/>
        </w:rPr>
        <w:t>For a s</w:t>
      </w:r>
      <w:r w:rsidRPr="005752DB">
        <w:rPr>
          <w:rFonts w:ascii="Arial" w:hAnsi="Arial"/>
          <w:sz w:val="24"/>
        </w:rPr>
        <w:t>mall state sample (30 cases) of separation adjudications</w:t>
      </w:r>
      <w:r>
        <w:rPr>
          <w:rFonts w:ascii="Arial" w:hAnsi="Arial"/>
          <w:sz w:val="24"/>
        </w:rPr>
        <w:t>, l</w:t>
      </w:r>
      <w:r w:rsidRPr="005752DB">
        <w:rPr>
          <w:rFonts w:ascii="Arial" w:hAnsi="Arial"/>
          <w:sz w:val="24"/>
        </w:rPr>
        <w:t>et</w:t>
      </w:r>
      <w:r>
        <w:rPr>
          <w:rFonts w:ascii="Arial" w:hAnsi="Arial"/>
          <w:sz w:val="24"/>
        </w:rPr>
        <w:t>:</w:t>
      </w:r>
    </w:p>
    <w:p w:rsidR="000466CF"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n = </w:t>
      </w:r>
      <w:r w:rsidRPr="005752DB">
        <w:rPr>
          <w:rFonts w:ascii="Arial" w:hAnsi="Arial"/>
          <w:sz w:val="24"/>
        </w:rPr>
        <w:t xml:space="preserve">the number of </w:t>
      </w:r>
      <w:r>
        <w:rPr>
          <w:rFonts w:ascii="Arial" w:hAnsi="Arial"/>
          <w:sz w:val="24"/>
        </w:rPr>
        <w:t xml:space="preserve">separation </w:t>
      </w:r>
      <w:r w:rsidRPr="005752DB">
        <w:rPr>
          <w:rFonts w:ascii="Arial" w:hAnsi="Arial"/>
          <w:sz w:val="24"/>
        </w:rPr>
        <w:t>adjudications sample</w:t>
      </w:r>
      <w:r>
        <w:rPr>
          <w:rFonts w:ascii="Arial" w:hAnsi="Arial"/>
          <w:sz w:val="24"/>
        </w:rPr>
        <w:t>d</w:t>
      </w:r>
      <w:r w:rsidRPr="005752DB">
        <w:rPr>
          <w:rFonts w:ascii="Arial" w:hAnsi="Arial"/>
          <w:sz w:val="24"/>
        </w:rPr>
        <w:t xml:space="preserve"> for </w:t>
      </w:r>
      <w:r>
        <w:rPr>
          <w:rFonts w:ascii="Arial" w:hAnsi="Arial"/>
          <w:sz w:val="24"/>
        </w:rPr>
        <w:t>the</w:t>
      </w:r>
      <w:r w:rsidRPr="005752DB">
        <w:rPr>
          <w:rFonts w:ascii="Arial" w:hAnsi="Arial"/>
          <w:sz w:val="24"/>
        </w:rPr>
        <w:t xml:space="preserve"> quarter</w:t>
      </w:r>
      <w:r>
        <w:rPr>
          <w:rFonts w:ascii="Arial" w:hAnsi="Arial"/>
          <w:sz w:val="24"/>
        </w:rPr>
        <w:t>.</w:t>
      </w: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ab/>
      </w:r>
      <w:r>
        <w:rPr>
          <w:rFonts w:ascii="Arial" w:hAnsi="Arial"/>
          <w:sz w:val="24"/>
        </w:rPr>
        <w:t xml:space="preserve">m </w:t>
      </w:r>
      <w:r w:rsidRPr="005752DB">
        <w:rPr>
          <w:rFonts w:ascii="Arial" w:hAnsi="Arial"/>
          <w:sz w:val="24"/>
        </w:rPr>
        <w:t>=</w:t>
      </w:r>
      <w:r w:rsidRPr="005752DB">
        <w:rPr>
          <w:rFonts w:ascii="Arial" w:hAnsi="Arial"/>
          <w:sz w:val="24"/>
        </w:rPr>
        <w:tab/>
      </w:r>
      <w:r>
        <w:rPr>
          <w:rFonts w:ascii="Arial" w:hAnsi="Arial"/>
          <w:sz w:val="24"/>
        </w:rPr>
        <w:t xml:space="preserve"> </w:t>
      </w:r>
      <w:r w:rsidRPr="005752DB">
        <w:rPr>
          <w:rFonts w:ascii="Arial" w:hAnsi="Arial"/>
          <w:sz w:val="24"/>
        </w:rPr>
        <w:t xml:space="preserve">the number of </w:t>
      </w:r>
      <w:r w:rsidRPr="00A67A1F">
        <w:rPr>
          <w:rFonts w:ascii="Arial" w:hAnsi="Arial"/>
          <w:sz w:val="24"/>
          <w:u w:val="single"/>
        </w:rPr>
        <w:t>completed</w:t>
      </w:r>
      <w:r>
        <w:rPr>
          <w:rFonts w:ascii="Arial" w:hAnsi="Arial"/>
          <w:sz w:val="24"/>
        </w:rPr>
        <w:t xml:space="preserve"> </w:t>
      </w:r>
      <w:r w:rsidRPr="005752DB">
        <w:rPr>
          <w:rFonts w:ascii="Arial" w:hAnsi="Arial"/>
          <w:sz w:val="24"/>
        </w:rPr>
        <w:t xml:space="preserve">sample </w:t>
      </w:r>
      <w:r>
        <w:rPr>
          <w:rFonts w:ascii="Arial" w:hAnsi="Arial"/>
          <w:sz w:val="24"/>
        </w:rPr>
        <w:t xml:space="preserve">separation </w:t>
      </w:r>
      <w:r w:rsidRPr="005752DB">
        <w:rPr>
          <w:rFonts w:ascii="Arial" w:hAnsi="Arial"/>
          <w:sz w:val="24"/>
        </w:rPr>
        <w:t xml:space="preserve">adjudications for </w:t>
      </w:r>
      <w:r>
        <w:rPr>
          <w:rFonts w:ascii="Arial" w:hAnsi="Arial"/>
          <w:sz w:val="24"/>
        </w:rPr>
        <w:t>the</w:t>
      </w:r>
      <w:r w:rsidRPr="005752DB">
        <w:rPr>
          <w:rFonts w:ascii="Arial" w:hAnsi="Arial"/>
          <w:sz w:val="24"/>
        </w:rPr>
        <w:t xml:space="preserve"> quarter</w:t>
      </w:r>
      <w:r>
        <w:rPr>
          <w:rFonts w:ascii="Arial" w:hAnsi="Arial"/>
          <w:sz w:val="24"/>
        </w:rPr>
        <w:t>.</w:t>
      </w: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x</w:t>
      </w:r>
      <w:r>
        <w:rPr>
          <w:rFonts w:ascii="Arial" w:hAnsi="Arial"/>
          <w:sz w:val="24"/>
        </w:rPr>
        <w:t xml:space="preserve"> </w:t>
      </w:r>
      <w:r w:rsidRPr="005752DB">
        <w:rPr>
          <w:rFonts w:ascii="Arial" w:hAnsi="Arial"/>
          <w:sz w:val="24"/>
          <w:vertAlign w:val="subscript"/>
        </w:rPr>
        <w:tab/>
      </w:r>
      <w:r w:rsidRPr="005752DB">
        <w:rPr>
          <w:rFonts w:ascii="Arial" w:hAnsi="Arial"/>
          <w:sz w:val="24"/>
        </w:rPr>
        <w:t>=</w:t>
      </w:r>
      <w:r>
        <w:rPr>
          <w:rFonts w:ascii="Arial" w:hAnsi="Arial"/>
          <w:sz w:val="24"/>
        </w:rPr>
        <w:t xml:space="preserve"> </w:t>
      </w:r>
      <w:r w:rsidRPr="005752DB">
        <w:rPr>
          <w:rFonts w:ascii="Arial" w:hAnsi="Arial"/>
          <w:sz w:val="24"/>
        </w:rPr>
        <w:tab/>
        <w:t xml:space="preserve">the number of </w:t>
      </w:r>
      <w:r>
        <w:rPr>
          <w:rFonts w:ascii="Arial" w:hAnsi="Arial"/>
          <w:sz w:val="24"/>
        </w:rPr>
        <w:t xml:space="preserve">separation </w:t>
      </w:r>
      <w:r w:rsidRPr="005752DB">
        <w:rPr>
          <w:rFonts w:ascii="Arial" w:hAnsi="Arial"/>
          <w:sz w:val="24"/>
        </w:rPr>
        <w:t xml:space="preserve">adjudications in </w:t>
      </w:r>
      <w:r>
        <w:rPr>
          <w:rFonts w:ascii="Arial" w:hAnsi="Arial"/>
          <w:sz w:val="24"/>
        </w:rPr>
        <w:t xml:space="preserve">the </w:t>
      </w:r>
      <w:r w:rsidRPr="005752DB">
        <w:rPr>
          <w:rFonts w:ascii="Arial" w:hAnsi="Arial"/>
          <w:sz w:val="24"/>
        </w:rPr>
        <w:t xml:space="preserve">quarter </w:t>
      </w:r>
      <w:r>
        <w:rPr>
          <w:rFonts w:ascii="Arial" w:hAnsi="Arial"/>
          <w:sz w:val="24"/>
        </w:rPr>
        <w:t>that</w:t>
      </w:r>
      <w:r w:rsidRPr="005752DB">
        <w:rPr>
          <w:rFonts w:ascii="Arial" w:hAnsi="Arial"/>
          <w:sz w:val="24"/>
        </w:rPr>
        <w:t xml:space="preserve"> </w:t>
      </w:r>
      <w:r>
        <w:rPr>
          <w:rFonts w:ascii="Arial" w:hAnsi="Arial"/>
          <w:sz w:val="24"/>
        </w:rPr>
        <w:t>meet the quality criterion of &gt;= 95 points.</w:t>
      </w: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0E6749">
        <w:rPr>
          <w:rFonts w:ascii="Arial" w:hAnsi="Arial"/>
          <w:position w:val="-14"/>
          <w:sz w:val="24"/>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3" ShapeID="_x0000_i1025" DrawAspect="Content" ObjectID="_1445423674" r:id="rId10"/>
        </w:object>
      </w:r>
      <w:r>
        <w:rPr>
          <w:rFonts w:ascii="Arial" w:hAnsi="Arial"/>
          <w:sz w:val="24"/>
        </w:rPr>
        <w:tab/>
      </w:r>
      <w:proofErr w:type="gramStart"/>
      <w:r>
        <w:rPr>
          <w:rFonts w:ascii="Arial" w:hAnsi="Arial"/>
          <w:sz w:val="24"/>
        </w:rPr>
        <w:t>the</w:t>
      </w:r>
      <w:proofErr w:type="gramEnd"/>
      <w:r>
        <w:rPr>
          <w:rFonts w:ascii="Arial" w:hAnsi="Arial"/>
          <w:sz w:val="24"/>
        </w:rPr>
        <w:t xml:space="preserve"> </w:t>
      </w:r>
      <w:r w:rsidRPr="005752DB">
        <w:rPr>
          <w:rFonts w:ascii="Arial" w:hAnsi="Arial"/>
          <w:sz w:val="24"/>
        </w:rPr>
        <w:t xml:space="preserve">proportion of </w:t>
      </w:r>
      <w:r>
        <w:rPr>
          <w:rFonts w:ascii="Arial" w:hAnsi="Arial"/>
          <w:sz w:val="24"/>
        </w:rPr>
        <w:t xml:space="preserve">separation </w:t>
      </w:r>
      <w:r w:rsidRPr="005752DB">
        <w:rPr>
          <w:rFonts w:ascii="Arial" w:hAnsi="Arial"/>
          <w:sz w:val="24"/>
        </w:rPr>
        <w:t xml:space="preserve">adjudications in </w:t>
      </w:r>
      <w:r>
        <w:rPr>
          <w:rFonts w:ascii="Arial" w:hAnsi="Arial"/>
          <w:sz w:val="24"/>
        </w:rPr>
        <w:t xml:space="preserve">the </w:t>
      </w:r>
      <w:r w:rsidRPr="005752DB">
        <w:rPr>
          <w:rFonts w:ascii="Arial" w:hAnsi="Arial"/>
          <w:sz w:val="24"/>
        </w:rPr>
        <w:t xml:space="preserve">quarter </w:t>
      </w:r>
      <w:r>
        <w:rPr>
          <w:rFonts w:ascii="Arial" w:hAnsi="Arial"/>
          <w:sz w:val="24"/>
        </w:rPr>
        <w:t>that</w:t>
      </w:r>
      <w:r w:rsidRPr="005752DB">
        <w:rPr>
          <w:rFonts w:ascii="Arial" w:hAnsi="Arial"/>
          <w:sz w:val="24"/>
        </w:rPr>
        <w:t xml:space="preserve"> meet quality criteri</w:t>
      </w:r>
      <w:r>
        <w:rPr>
          <w:rFonts w:ascii="Arial" w:hAnsi="Arial"/>
          <w:sz w:val="24"/>
        </w:rPr>
        <w:t>on</w:t>
      </w:r>
      <w:r w:rsidRPr="005752DB">
        <w:rPr>
          <w:rFonts w:ascii="Arial" w:hAnsi="Arial"/>
          <w:sz w:val="24"/>
        </w:rPr>
        <w:t>.</w:t>
      </w: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 xml:space="preserve">Assuming that the sampling fraction, f = n / N is negligible </w:t>
      </w:r>
      <w:r>
        <w:rPr>
          <w:rFonts w:ascii="Arial" w:hAnsi="Arial"/>
          <w:sz w:val="24"/>
        </w:rPr>
        <w:t xml:space="preserve">and that all sample cases were evaluated (that is, m = n -- no cases could not be evaluated due to missing documentation and no cases failed to meet the definition for inclusion in the population), </w:t>
      </w:r>
      <w:r w:rsidRPr="005752DB">
        <w:rPr>
          <w:rFonts w:ascii="Arial" w:hAnsi="Arial"/>
          <w:sz w:val="24"/>
        </w:rPr>
        <w:t>then</w:t>
      </w:r>
      <w:r>
        <w:rPr>
          <w:rFonts w:ascii="Arial" w:hAnsi="Arial"/>
          <w:sz w:val="24"/>
        </w:rPr>
        <w:t>:</w:t>
      </w:r>
      <w:r w:rsidRPr="005752DB">
        <w:rPr>
          <w:rFonts w:ascii="Arial" w:hAnsi="Arial"/>
          <w:sz w:val="24"/>
        </w:rPr>
        <w:t xml:space="preserve"> </w:t>
      </w:r>
    </w:p>
    <w:p w:rsidR="000466CF" w:rsidRPr="005752DB"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DC57B3" w:rsidRDefault="000466CF" w:rsidP="000466CF">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r w:rsidRPr="000E6749">
        <w:rPr>
          <w:rFonts w:ascii="Arial" w:hAnsi="Arial"/>
          <w:position w:val="-28"/>
          <w:sz w:val="22"/>
          <w:szCs w:val="22"/>
        </w:rPr>
        <w:object w:dxaOrig="1960" w:dyaOrig="720">
          <v:shape id="_x0000_i1026" type="#_x0000_t75" style="width:97.5pt;height:36pt" o:ole="">
            <v:imagedata r:id="rId11" o:title=""/>
          </v:shape>
          <o:OLEObject Type="Embed" ProgID="Equation.3" ShapeID="_x0000_i1026" DrawAspect="Content" ObjectID="_1445423675" r:id="rId12"/>
        </w:objec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xml:space="preserve"> = (.75 * .25) / 29</w:t>
      </w: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.1875 / 29</w:t>
      </w: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.006466</w:t>
      </w: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p>
    <w:p w:rsidR="000466CF" w:rsidRPr="003B427E" w:rsidRDefault="000466CF" w:rsidP="000466CF">
      <w:pPr>
        <w:ind w:left="1080"/>
        <w:rPr>
          <w:rFonts w:ascii="Arial" w:hAnsi="Arial"/>
          <w:sz w:val="22"/>
          <w:szCs w:val="22"/>
        </w:rPr>
      </w:pPr>
      <w:r w:rsidRPr="003B427E">
        <w:rPr>
          <w:rFonts w:ascii="Arial" w:hAnsi="Arial"/>
          <w:sz w:val="22"/>
          <w:szCs w:val="22"/>
        </w:rPr>
        <w:t xml:space="preserve">The 95% confidence interval </w:t>
      </w:r>
      <w:r>
        <w:rPr>
          <w:rFonts w:ascii="Arial" w:hAnsi="Arial"/>
          <w:sz w:val="22"/>
          <w:szCs w:val="22"/>
        </w:rPr>
        <w:t>is</w:t>
      </w:r>
      <w:r w:rsidRPr="003B427E">
        <w:rPr>
          <w:rFonts w:ascii="Arial" w:hAnsi="Arial"/>
          <w:sz w:val="22"/>
          <w:szCs w:val="22"/>
        </w:rPr>
        <w:t>:</w:t>
      </w:r>
    </w:p>
    <w:p w:rsidR="000466CF" w:rsidRPr="003B427E" w:rsidRDefault="000466CF" w:rsidP="000466CF">
      <w:pPr>
        <w:ind w:left="1080"/>
        <w:rPr>
          <w:rFonts w:ascii="Arial" w:hAnsi="Arial"/>
          <w:sz w:val="22"/>
          <w:szCs w:val="22"/>
        </w:rPr>
      </w:pPr>
    </w:p>
    <w:p w:rsidR="000466CF" w:rsidRDefault="000466CF" w:rsidP="000466CF">
      <w:pPr>
        <w:ind w:left="1080"/>
        <w:rPr>
          <w:rFonts w:ascii="Arial" w:hAnsi="Arial"/>
          <w:sz w:val="22"/>
          <w:szCs w:val="22"/>
        </w:rPr>
      </w:pPr>
      <w:r w:rsidRPr="003B427E">
        <w:rPr>
          <w:rFonts w:ascii="Arial" w:hAnsi="Arial"/>
          <w:position w:val="-12"/>
          <w:sz w:val="22"/>
          <w:szCs w:val="22"/>
        </w:rPr>
        <w:object w:dxaOrig="2020" w:dyaOrig="460">
          <v:shape id="_x0000_i1027" type="#_x0000_t75" style="width:100.5pt;height:22.5pt" o:ole="">
            <v:imagedata r:id="rId13" o:title=""/>
          </v:shape>
          <o:OLEObject Type="Embed" ProgID="Equation.3" ShapeID="_x0000_i1027" DrawAspect="Content" ObjectID="_1445423676" r:id="rId14"/>
        </w:object>
      </w:r>
    </w:p>
    <w:p w:rsidR="000466CF" w:rsidRPr="003B427E" w:rsidRDefault="000466CF" w:rsidP="000466CF">
      <w:pPr>
        <w:ind w:left="1080"/>
        <w:rPr>
          <w:rFonts w:ascii="Arial" w:hAnsi="Arial"/>
          <w:sz w:val="22"/>
          <w:szCs w:val="22"/>
        </w:rPr>
      </w:pP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1.96 * .0804</w:t>
      </w: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.1576 or 15.8 percentage points.</w:t>
      </w:r>
    </w:p>
    <w:p w:rsidR="000466CF" w:rsidRDefault="000466CF" w:rsidP="000466CF">
      <w:pPr>
        <w:tabs>
          <w:tab w:val="left" w:pos="1710"/>
          <w:tab w:val="decimal" w:pos="3456"/>
          <w:tab w:val="decimal" w:pos="4176"/>
          <w:tab w:val="decimal" w:pos="4896"/>
          <w:tab w:val="decimal" w:pos="5616"/>
          <w:tab w:val="right" w:pos="9360"/>
        </w:tabs>
        <w:rPr>
          <w:rFonts w:ascii="Arial" w:hAnsi="Arial"/>
          <w:sz w:val="24"/>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Operational definitions of the populations of nonmonetary determinations are provided in ETA Handbook 301, 5th ed., chapter II, and sampling instructions are provided in Appendix A of the handbook.  Operational definitions of the populations of lower authority appeals and sampling instructions are provided in ETA Handbook 382, 2nd ed., section II.  </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Sampling frames are validated as part of UI Data Validation to insure that they include all of the records meeting the nonmonetary determinations and lower authority appeals operational definitions.  The BTQ validation procedures are documented in the UI </w:t>
      </w:r>
      <w:r w:rsidRPr="00AF2875">
        <w:rPr>
          <w:rFonts w:ascii="Arial" w:hAnsi="Arial"/>
          <w:sz w:val="24"/>
        </w:rPr>
        <w:t>D</w:t>
      </w:r>
      <w:r>
        <w:rPr>
          <w:rFonts w:ascii="Arial" w:hAnsi="Arial"/>
          <w:sz w:val="24"/>
        </w:rPr>
        <w:t xml:space="preserve">ata </w:t>
      </w:r>
      <w:r w:rsidRPr="00AF2875">
        <w:rPr>
          <w:rFonts w:ascii="Arial" w:hAnsi="Arial"/>
          <w:sz w:val="24"/>
        </w:rPr>
        <w:t>V</w:t>
      </w:r>
      <w:r>
        <w:rPr>
          <w:rFonts w:ascii="Arial" w:hAnsi="Arial"/>
          <w:sz w:val="24"/>
        </w:rPr>
        <w:t>alidation</w:t>
      </w:r>
      <w:r w:rsidRPr="00AF2875">
        <w:rPr>
          <w:rFonts w:ascii="Arial" w:hAnsi="Arial"/>
          <w:sz w:val="24"/>
        </w:rPr>
        <w:t xml:space="preserve"> Benefits Handbook, </w:t>
      </w:r>
      <w:r>
        <w:rPr>
          <w:rFonts w:ascii="Arial" w:hAnsi="Arial"/>
          <w:sz w:val="24"/>
        </w:rPr>
        <w:t xml:space="preserve">ET </w:t>
      </w:r>
      <w:r w:rsidRPr="00AF2875">
        <w:rPr>
          <w:rFonts w:ascii="Arial" w:hAnsi="Arial"/>
          <w:sz w:val="24"/>
        </w:rPr>
        <w:t>H</w:t>
      </w:r>
      <w:r>
        <w:rPr>
          <w:rFonts w:ascii="Arial" w:hAnsi="Arial"/>
          <w:sz w:val="24"/>
        </w:rPr>
        <w:t>and</w:t>
      </w:r>
      <w:r w:rsidRPr="00AF2875">
        <w:rPr>
          <w:rFonts w:ascii="Arial" w:hAnsi="Arial"/>
          <w:sz w:val="24"/>
        </w:rPr>
        <w:t>b</w:t>
      </w:r>
      <w:r>
        <w:rPr>
          <w:rFonts w:ascii="Arial" w:hAnsi="Arial"/>
          <w:sz w:val="24"/>
        </w:rPr>
        <w:t>oo</w:t>
      </w:r>
      <w:r w:rsidRPr="00AF2875">
        <w:rPr>
          <w:rFonts w:ascii="Arial" w:hAnsi="Arial"/>
          <w:sz w:val="24"/>
        </w:rPr>
        <w:t>k 361, Module 4</w:t>
      </w:r>
      <w:r>
        <w:rPr>
          <w:rFonts w:ascii="Arial" w:hAnsi="Arial"/>
          <w:sz w:val="24"/>
        </w:rPr>
        <w:t>.</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800" w:hanging="1800"/>
        <w:rPr>
          <w:rFonts w:ascii="Arial" w:hAnsi="Arial"/>
          <w:sz w:val="24"/>
        </w:rPr>
      </w:pPr>
    </w:p>
    <w:p w:rsidR="000466CF" w:rsidRDefault="000466CF" w:rsidP="000466CF">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Methods to Maximize Response Rates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DF1AC2" w:rsidRDefault="000466CF" w:rsidP="000466CF">
      <w:pPr>
        <w:pStyle w:val="BodyTextIndent"/>
        <w:tabs>
          <w:tab w:val="right" w:pos="9360"/>
        </w:tabs>
        <w:ind w:firstLine="0"/>
      </w:pPr>
      <w:r>
        <w:tab/>
        <w:t xml:space="preserve">The Department is aware of missing administrative records </w:t>
      </w:r>
      <w:r w:rsidR="007706B8">
        <w:t xml:space="preserve">that could impact the effectiveness of </w:t>
      </w:r>
      <w:r>
        <w:t xml:space="preserve">BTQ </w:t>
      </w:r>
      <w:r w:rsidR="007D4074">
        <w:t xml:space="preserve">and </w:t>
      </w:r>
      <w:proofErr w:type="gramStart"/>
      <w:r w:rsidR="007D4074">
        <w:t xml:space="preserve">Appeals  </w:t>
      </w:r>
      <w:r>
        <w:t>sampling</w:t>
      </w:r>
      <w:proofErr w:type="gramEnd"/>
      <w:r>
        <w:t xml:space="preserve">.  The data collection instruments record the incidence of missing records.  </w:t>
      </w:r>
      <w:r w:rsidR="00DF1AC2">
        <w:t>For nonmonetary adjudications s</w:t>
      </w:r>
      <w:r>
        <w:t>tates</w:t>
      </w:r>
      <w:r w:rsidR="00967109">
        <w:t xml:space="preserve"> </w:t>
      </w:r>
      <w:r>
        <w:t xml:space="preserve">must select additional sample cases in the subsequent quarter to make up for the cases that could not be scored because the case materials could not be found.  For example, if during the review of a state’s 50 separation cases, 3 were identified as “case material not found” and therefore could not be evaluated for quality, the separation sample selected for the following quarter would be 53 cases.  If 2 of the 50 </w:t>
      </w:r>
      <w:proofErr w:type="spellStart"/>
      <w:r>
        <w:t>nonseparation</w:t>
      </w:r>
      <w:proofErr w:type="spellEnd"/>
      <w:r>
        <w:t xml:space="preserve"> cases were identified as “case material not found” and not be evaluated for quality, the </w:t>
      </w:r>
      <w:proofErr w:type="spellStart"/>
      <w:r>
        <w:t>nonseparation</w:t>
      </w:r>
      <w:proofErr w:type="spellEnd"/>
      <w:r>
        <w:t xml:space="preserve"> sample selected for the following quarter would be 52 cases.  </w:t>
      </w:r>
      <w:bookmarkStart w:id="0" w:name="_GoBack"/>
      <w:bookmarkEnd w:id="0"/>
    </w:p>
    <w:p w:rsidR="00DF1AC2" w:rsidRDefault="00DF1AC2" w:rsidP="000466CF">
      <w:pPr>
        <w:pStyle w:val="BodyTextIndent"/>
        <w:tabs>
          <w:tab w:val="right" w:pos="9360"/>
        </w:tabs>
        <w:ind w:firstLine="0"/>
      </w:pPr>
    </w:p>
    <w:p w:rsidR="000466CF" w:rsidRDefault="000466CF" w:rsidP="000466CF">
      <w:pPr>
        <w:pStyle w:val="BodyTextIndent"/>
        <w:tabs>
          <w:tab w:val="right" w:pos="9360"/>
        </w:tabs>
        <w:ind w:firstLine="0"/>
        <w:rPr>
          <w:rFonts w:cs="Arial"/>
          <w:szCs w:val="24"/>
        </w:rPr>
      </w:pPr>
      <w:r>
        <w:rPr>
          <w:rFonts w:cs="Arial"/>
          <w:szCs w:val="24"/>
        </w:rPr>
        <w:t xml:space="preserve">When a state enters its results to the database, a message will be generated stating that the scores for the quarter are inconclusive if either of two conditions is met: </w:t>
      </w:r>
    </w:p>
    <w:p w:rsidR="000466CF" w:rsidRDefault="000466CF" w:rsidP="000466CF">
      <w:pPr>
        <w:autoSpaceDE w:val="0"/>
        <w:autoSpaceDN w:val="0"/>
        <w:adjustRightInd w:val="0"/>
        <w:ind w:left="1080"/>
        <w:rPr>
          <w:rFonts w:ascii="Arial" w:hAnsi="Arial" w:cs="Arial"/>
          <w:sz w:val="24"/>
          <w:szCs w:val="24"/>
        </w:rPr>
      </w:pPr>
    </w:p>
    <w:p w:rsidR="000466CF" w:rsidRDefault="000466CF" w:rsidP="000466CF">
      <w:pPr>
        <w:autoSpaceDE w:val="0"/>
        <w:autoSpaceDN w:val="0"/>
        <w:adjustRightInd w:val="0"/>
        <w:ind w:left="1080"/>
        <w:rPr>
          <w:rFonts w:ascii="Arial" w:hAnsi="Arial" w:cs="Arial"/>
          <w:sz w:val="24"/>
          <w:szCs w:val="24"/>
        </w:rPr>
      </w:pPr>
      <w:r>
        <w:rPr>
          <w:rFonts w:ascii="Arial" w:hAnsi="Arial" w:cs="Arial"/>
          <w:sz w:val="24"/>
          <w:szCs w:val="24"/>
        </w:rPr>
        <w:t xml:space="preserve">1. If the total number of separation cases and/or the total number of </w:t>
      </w:r>
      <w:proofErr w:type="spellStart"/>
      <w:r>
        <w:rPr>
          <w:rFonts w:ascii="Arial" w:hAnsi="Arial" w:cs="Arial"/>
          <w:sz w:val="24"/>
          <w:szCs w:val="24"/>
        </w:rPr>
        <w:t>nonseparation</w:t>
      </w:r>
      <w:proofErr w:type="spellEnd"/>
      <w:r>
        <w:rPr>
          <w:rFonts w:ascii="Arial" w:hAnsi="Arial" w:cs="Arial"/>
          <w:sz w:val="24"/>
          <w:szCs w:val="24"/>
        </w:rPr>
        <w:t xml:space="preserve"> cases that are not scored because the case material cannot be found, or because they are outside the scope of this review, or because there is “no issue” exceeds 16.7% of either sample (separation or </w:t>
      </w:r>
      <w:proofErr w:type="spellStart"/>
      <w:r>
        <w:rPr>
          <w:rFonts w:ascii="Arial" w:hAnsi="Arial" w:cs="Arial"/>
          <w:sz w:val="24"/>
          <w:szCs w:val="24"/>
        </w:rPr>
        <w:t>nonseparation</w:t>
      </w:r>
      <w:proofErr w:type="spellEnd"/>
      <w:r>
        <w:rPr>
          <w:rFonts w:ascii="Arial" w:hAnsi="Arial" w:cs="Arial"/>
          <w:sz w:val="24"/>
          <w:szCs w:val="24"/>
        </w:rPr>
        <w:t xml:space="preserve">) for small states and 25% of either sample (separation or </w:t>
      </w:r>
      <w:proofErr w:type="spellStart"/>
      <w:r>
        <w:rPr>
          <w:rFonts w:ascii="Arial" w:hAnsi="Arial" w:cs="Arial"/>
          <w:sz w:val="24"/>
          <w:szCs w:val="24"/>
        </w:rPr>
        <w:t>nonseparation</w:t>
      </w:r>
      <w:proofErr w:type="spellEnd"/>
      <w:r>
        <w:rPr>
          <w:rFonts w:ascii="Arial" w:hAnsi="Arial" w:cs="Arial"/>
          <w:sz w:val="24"/>
          <w:szCs w:val="24"/>
        </w:rPr>
        <w:t xml:space="preserve">) for large states. </w:t>
      </w:r>
    </w:p>
    <w:p w:rsidR="000466CF" w:rsidRDefault="000466CF" w:rsidP="000466CF">
      <w:pPr>
        <w:autoSpaceDE w:val="0"/>
        <w:autoSpaceDN w:val="0"/>
        <w:adjustRightInd w:val="0"/>
        <w:ind w:left="1080"/>
        <w:rPr>
          <w:rFonts w:ascii="Arial" w:hAnsi="Arial" w:cs="Arial"/>
          <w:sz w:val="24"/>
          <w:szCs w:val="24"/>
        </w:rPr>
      </w:pPr>
    </w:p>
    <w:p w:rsidR="000466CF" w:rsidRDefault="000466CF" w:rsidP="000466CF">
      <w:pPr>
        <w:autoSpaceDE w:val="0"/>
        <w:autoSpaceDN w:val="0"/>
        <w:adjustRightInd w:val="0"/>
        <w:ind w:left="1080"/>
        <w:rPr>
          <w:rFonts w:ascii="Arial" w:hAnsi="Arial" w:cs="Arial"/>
          <w:sz w:val="24"/>
          <w:szCs w:val="24"/>
        </w:rPr>
      </w:pPr>
      <w:r>
        <w:rPr>
          <w:rFonts w:ascii="Arial" w:hAnsi="Arial" w:cs="Arial"/>
          <w:sz w:val="24"/>
          <w:szCs w:val="24"/>
        </w:rPr>
        <w:t xml:space="preserve">2. If the number of separation cases and/or the number of </w:t>
      </w:r>
      <w:proofErr w:type="spellStart"/>
      <w:r>
        <w:rPr>
          <w:rFonts w:ascii="Arial" w:hAnsi="Arial" w:cs="Arial"/>
          <w:sz w:val="24"/>
          <w:szCs w:val="24"/>
        </w:rPr>
        <w:t>nonseparation</w:t>
      </w:r>
      <w:proofErr w:type="spellEnd"/>
      <w:r>
        <w:rPr>
          <w:rFonts w:ascii="Arial" w:hAnsi="Arial" w:cs="Arial"/>
          <w:sz w:val="24"/>
          <w:szCs w:val="24"/>
        </w:rPr>
        <w:t xml:space="preserve"> cases that are not scored because the case material cannot be found exceeds 10% of the sample (separation or </w:t>
      </w:r>
      <w:proofErr w:type="spellStart"/>
      <w:r>
        <w:rPr>
          <w:rFonts w:ascii="Arial" w:hAnsi="Arial" w:cs="Arial"/>
          <w:sz w:val="24"/>
          <w:szCs w:val="24"/>
        </w:rPr>
        <w:t>nonseparation</w:t>
      </w:r>
      <w:proofErr w:type="spellEnd"/>
      <w:r>
        <w:rPr>
          <w:rFonts w:ascii="Arial" w:hAnsi="Arial" w:cs="Arial"/>
          <w:sz w:val="24"/>
          <w:szCs w:val="24"/>
        </w:rPr>
        <w:t xml:space="preserve">). This 10% threshold for cases that are not scored because the case material cannot be found applies separately from the 16.7% / 25% thresholds for all </w:t>
      </w:r>
      <w:proofErr w:type="spellStart"/>
      <w:r>
        <w:rPr>
          <w:rFonts w:ascii="Arial" w:hAnsi="Arial" w:cs="Arial"/>
          <w:sz w:val="24"/>
          <w:szCs w:val="24"/>
        </w:rPr>
        <w:t>nonscored</w:t>
      </w:r>
      <w:proofErr w:type="spellEnd"/>
      <w:r>
        <w:rPr>
          <w:rFonts w:ascii="Arial" w:hAnsi="Arial" w:cs="Arial"/>
          <w:sz w:val="24"/>
          <w:szCs w:val="24"/>
        </w:rPr>
        <w:t xml:space="preserve"> cases.</w:t>
      </w:r>
    </w:p>
    <w:p w:rsidR="000466CF" w:rsidRDefault="000466CF" w:rsidP="000466CF">
      <w:pPr>
        <w:autoSpaceDE w:val="0"/>
        <w:autoSpaceDN w:val="0"/>
        <w:adjustRightInd w:val="0"/>
        <w:ind w:left="1080"/>
        <w:rPr>
          <w:rFonts w:ascii="Arial" w:hAnsi="Arial" w:cs="Arial"/>
          <w:sz w:val="24"/>
          <w:szCs w:val="24"/>
        </w:rPr>
      </w:pPr>
    </w:p>
    <w:p w:rsidR="000466CF" w:rsidRDefault="000466CF" w:rsidP="000466CF">
      <w:pPr>
        <w:autoSpaceDE w:val="0"/>
        <w:autoSpaceDN w:val="0"/>
        <w:adjustRightInd w:val="0"/>
        <w:ind w:left="1080"/>
        <w:rPr>
          <w:rFonts w:ascii="Arial" w:hAnsi="Arial" w:cs="Arial"/>
          <w:sz w:val="24"/>
          <w:szCs w:val="24"/>
        </w:rPr>
      </w:pPr>
      <w:r>
        <w:rPr>
          <w:rFonts w:ascii="Arial" w:hAnsi="Arial" w:cs="Arial"/>
          <w:sz w:val="24"/>
          <w:szCs w:val="24"/>
        </w:rPr>
        <w:t>The table below shows a state by state breakdown for CY 20</w:t>
      </w:r>
      <w:r w:rsidR="0005015B">
        <w:rPr>
          <w:rFonts w:ascii="Arial" w:hAnsi="Arial" w:cs="Arial"/>
          <w:sz w:val="24"/>
          <w:szCs w:val="24"/>
        </w:rPr>
        <w:t>12</w:t>
      </w:r>
      <w:r>
        <w:rPr>
          <w:rFonts w:ascii="Arial" w:hAnsi="Arial" w:cs="Arial"/>
          <w:sz w:val="24"/>
          <w:szCs w:val="24"/>
        </w:rPr>
        <w:t xml:space="preserve"> of the incidence of cases in which material cannot be found and the sampled record may not be processed.  Since this survey is drawn from a known and finite universe of administrative data, these cases represent the only instance that </w:t>
      </w:r>
      <w:r>
        <w:rPr>
          <w:rFonts w:ascii="Arial" w:hAnsi="Arial" w:cs="Arial"/>
          <w:sz w:val="24"/>
          <w:szCs w:val="24"/>
        </w:rPr>
        <w:lastRenderedPageBreak/>
        <w:t xml:space="preserve">could be considered a non-response.  This proxy for a non-response rate is computed below.  No state reported greater than a </w:t>
      </w:r>
      <w:r w:rsidR="006A773A">
        <w:rPr>
          <w:rFonts w:ascii="Arial" w:hAnsi="Arial" w:cs="Arial"/>
          <w:sz w:val="24"/>
          <w:szCs w:val="24"/>
        </w:rPr>
        <w:t>4.0</w:t>
      </w:r>
      <w:r>
        <w:rPr>
          <w:rFonts w:ascii="Arial" w:hAnsi="Arial" w:cs="Arial"/>
          <w:sz w:val="24"/>
          <w:szCs w:val="24"/>
        </w:rPr>
        <w:t>% incidence of materials not found, precluding them from analysis.  When the separation issue and non-separation issues are combined, no state had greater than a 2.</w:t>
      </w:r>
      <w:r w:rsidR="006A773A">
        <w:rPr>
          <w:rFonts w:ascii="Arial" w:hAnsi="Arial" w:cs="Arial"/>
          <w:sz w:val="24"/>
          <w:szCs w:val="24"/>
        </w:rPr>
        <w:t>4</w:t>
      </w:r>
      <w:r>
        <w:rPr>
          <w:rFonts w:ascii="Arial" w:hAnsi="Arial" w:cs="Arial"/>
          <w:sz w:val="24"/>
          <w:szCs w:val="24"/>
        </w:rPr>
        <w:t>% incidence of materials not found, precluding them from analysis.</w:t>
      </w:r>
    </w:p>
    <w:p w:rsidR="000466CF" w:rsidRDefault="000466CF" w:rsidP="000466CF">
      <w:pPr>
        <w:autoSpaceDE w:val="0"/>
        <w:autoSpaceDN w:val="0"/>
        <w:adjustRightInd w:val="0"/>
        <w:ind w:left="1080"/>
        <w:rPr>
          <w:rFonts w:ascii="Arial" w:hAnsi="Arial" w:cs="Arial"/>
          <w:sz w:val="24"/>
          <w:szCs w:val="24"/>
        </w:rPr>
      </w:pPr>
    </w:p>
    <w:tbl>
      <w:tblPr>
        <w:tblW w:w="8748" w:type="dxa"/>
        <w:tblInd w:w="1440" w:type="dxa"/>
        <w:tblLook w:val="0000" w:firstRow="0" w:lastRow="0" w:firstColumn="0" w:lastColumn="0" w:noHBand="0" w:noVBand="0"/>
      </w:tblPr>
      <w:tblGrid>
        <w:gridCol w:w="600"/>
        <w:gridCol w:w="1102"/>
        <w:gridCol w:w="1499"/>
        <w:gridCol w:w="1119"/>
        <w:gridCol w:w="460"/>
        <w:gridCol w:w="1119"/>
        <w:gridCol w:w="1522"/>
        <w:gridCol w:w="1327"/>
      </w:tblGrid>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3720" w:type="dxa"/>
            <w:gridSpan w:val="3"/>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b/>
                <w:bCs/>
              </w:rPr>
            </w:pPr>
            <w:r w:rsidRPr="000F2347">
              <w:rPr>
                <w:rFonts w:ascii="Arial" w:hAnsi="Arial" w:cs="Arial"/>
                <w:b/>
                <w:bCs/>
              </w:rPr>
              <w:t xml:space="preserve">Cases Disqualified for Analysis from </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3968" w:type="dxa"/>
            <w:gridSpan w:val="3"/>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b/>
                <w:bCs/>
              </w:rPr>
            </w:pPr>
            <w:r w:rsidRPr="000F2347">
              <w:rPr>
                <w:rFonts w:ascii="Arial" w:hAnsi="Arial" w:cs="Arial"/>
                <w:b/>
                <w:bCs/>
              </w:rPr>
              <w:t xml:space="preserve">Cases Disqualified for Analysis from </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3720" w:type="dxa"/>
            <w:gridSpan w:val="3"/>
            <w:tcBorders>
              <w:top w:val="nil"/>
              <w:left w:val="nil"/>
              <w:bottom w:val="nil"/>
              <w:right w:val="nil"/>
            </w:tcBorders>
            <w:shd w:val="clear" w:color="auto" w:fill="auto"/>
            <w:noWrap/>
            <w:vAlign w:val="bottom"/>
          </w:tcPr>
          <w:p w:rsidR="000466CF" w:rsidRPr="000F2347" w:rsidRDefault="000466CF" w:rsidP="00301C0B">
            <w:pPr>
              <w:jc w:val="center"/>
              <w:rPr>
                <w:rFonts w:ascii="Arial" w:hAnsi="Arial" w:cs="Arial"/>
                <w:b/>
                <w:bCs/>
              </w:rPr>
            </w:pPr>
            <w:r w:rsidRPr="000F2347">
              <w:rPr>
                <w:rFonts w:ascii="Arial" w:hAnsi="Arial" w:cs="Arial"/>
                <w:b/>
                <w:bCs/>
              </w:rPr>
              <w:t>the Sample of Separation Records</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3968" w:type="dxa"/>
            <w:gridSpan w:val="3"/>
            <w:tcBorders>
              <w:top w:val="nil"/>
              <w:left w:val="nil"/>
              <w:bottom w:val="nil"/>
              <w:right w:val="nil"/>
            </w:tcBorders>
            <w:shd w:val="clear" w:color="auto" w:fill="auto"/>
            <w:noWrap/>
            <w:vAlign w:val="bottom"/>
          </w:tcPr>
          <w:p w:rsidR="000466CF" w:rsidRPr="000F2347" w:rsidRDefault="000466CF" w:rsidP="00301C0B">
            <w:pPr>
              <w:jc w:val="center"/>
              <w:rPr>
                <w:rFonts w:ascii="Arial" w:hAnsi="Arial" w:cs="Arial"/>
                <w:b/>
                <w:bCs/>
              </w:rPr>
            </w:pPr>
            <w:r w:rsidRPr="000F2347">
              <w:rPr>
                <w:rFonts w:ascii="Arial" w:hAnsi="Arial" w:cs="Arial"/>
                <w:b/>
                <w:bCs/>
              </w:rPr>
              <w:t>the Sample of Non-separation Records</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02"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49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Cases w/</w:t>
            </w:r>
          </w:p>
        </w:tc>
        <w:tc>
          <w:tcPr>
            <w:tcW w:w="1119"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522"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Cases w/</w:t>
            </w:r>
          </w:p>
        </w:tc>
        <w:tc>
          <w:tcPr>
            <w:tcW w:w="1327"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02"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Sample</w:t>
            </w:r>
          </w:p>
        </w:tc>
        <w:tc>
          <w:tcPr>
            <w:tcW w:w="149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Material</w:t>
            </w:r>
          </w:p>
        </w:tc>
        <w:tc>
          <w:tcPr>
            <w:tcW w:w="111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Percent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Sample</w:t>
            </w:r>
          </w:p>
        </w:tc>
        <w:tc>
          <w:tcPr>
            <w:tcW w:w="1522"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Material</w:t>
            </w:r>
          </w:p>
        </w:tc>
        <w:tc>
          <w:tcPr>
            <w:tcW w:w="1327"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Percent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02"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Cases</w:t>
            </w:r>
          </w:p>
        </w:tc>
        <w:tc>
          <w:tcPr>
            <w:tcW w:w="149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Not Found</w:t>
            </w:r>
          </w:p>
        </w:tc>
        <w:tc>
          <w:tcPr>
            <w:tcW w:w="111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Missing</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Cases</w:t>
            </w:r>
          </w:p>
        </w:tc>
        <w:tc>
          <w:tcPr>
            <w:tcW w:w="1522"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Not Found</w:t>
            </w:r>
          </w:p>
        </w:tc>
        <w:tc>
          <w:tcPr>
            <w:tcW w:w="1327" w:type="dxa"/>
            <w:tcBorders>
              <w:top w:val="nil"/>
              <w:left w:val="nil"/>
              <w:bottom w:val="nil"/>
              <w:right w:val="nil"/>
            </w:tcBorders>
            <w:shd w:val="clear" w:color="auto" w:fill="auto"/>
            <w:noWrap/>
            <w:vAlign w:val="bottom"/>
          </w:tcPr>
          <w:p w:rsidR="000466CF" w:rsidRPr="000F2347" w:rsidRDefault="000466CF" w:rsidP="000466CF">
            <w:pPr>
              <w:jc w:val="center"/>
              <w:rPr>
                <w:rFonts w:ascii="Arial" w:hAnsi="Arial" w:cs="Arial"/>
              </w:rPr>
            </w:pPr>
            <w:r w:rsidRPr="000F2347">
              <w:rPr>
                <w:rFonts w:ascii="Arial" w:hAnsi="Arial" w:cs="Arial"/>
              </w:rPr>
              <w:t>Missing</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AK</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12</w:t>
            </w:r>
            <w:r w:rsidR="00745FB4">
              <w:rPr>
                <w:rFonts w:ascii="Arial" w:hAnsi="Arial" w:cs="Arial"/>
              </w:rPr>
              <w:t>0</w:t>
            </w:r>
          </w:p>
        </w:tc>
        <w:tc>
          <w:tcPr>
            <w:tcW w:w="1522"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smartTag w:uri="urn:schemas-microsoft-com:office:smarttags" w:element="place">
              <w:smartTag w:uri="urn:schemas-microsoft-com:office:smarttags" w:element="State">
                <w:r w:rsidRPr="000F2347">
                  <w:rPr>
                    <w:rFonts w:ascii="Arial" w:hAnsi="Arial" w:cs="Arial"/>
                  </w:rPr>
                  <w:t>AL</w:t>
                </w:r>
              </w:smartTag>
            </w:smartTag>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AR</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12</w:t>
            </w:r>
            <w:r w:rsidR="00745FB4">
              <w:rPr>
                <w:rFonts w:ascii="Arial" w:hAnsi="Arial" w:cs="Arial"/>
              </w:rPr>
              <w:t>1</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2</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1.7</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AZ</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20</w:t>
            </w:r>
            <w:r w:rsidR="00745FB4">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CA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CO</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301C0B">
            <w:pPr>
              <w:jc w:val="right"/>
              <w:rPr>
                <w:rFonts w:ascii="Arial" w:hAnsi="Arial" w:cs="Arial"/>
              </w:rPr>
            </w:pPr>
            <w:r w:rsidRPr="000F2347">
              <w:rPr>
                <w:rFonts w:ascii="Arial" w:hAnsi="Arial" w:cs="Arial"/>
              </w:rPr>
              <w:t>20</w:t>
            </w:r>
            <w:r w:rsidR="00301C0B">
              <w:rPr>
                <w:rFonts w:ascii="Arial" w:hAnsi="Arial" w:cs="Arial"/>
              </w:rPr>
              <w:t>2</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0</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20</w:t>
            </w:r>
            <w:r w:rsidR="00745FB4">
              <w:rPr>
                <w:rFonts w:ascii="Arial" w:hAnsi="Arial" w:cs="Arial"/>
              </w:rPr>
              <w:t>2</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4</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2.</w:t>
            </w:r>
            <w:r w:rsidR="000466CF" w:rsidRPr="000F2347">
              <w:rPr>
                <w:rFonts w:ascii="Arial" w:hAnsi="Arial" w:cs="Arial"/>
              </w:rPr>
              <w:t>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CT</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301C0B">
            <w:pPr>
              <w:jc w:val="right"/>
              <w:rPr>
                <w:rFonts w:ascii="Arial" w:hAnsi="Arial" w:cs="Arial"/>
              </w:rPr>
            </w:pPr>
            <w:r w:rsidRPr="000F2347">
              <w:rPr>
                <w:rFonts w:ascii="Arial" w:hAnsi="Arial" w:cs="Arial"/>
              </w:rPr>
              <w:t>12</w:t>
            </w:r>
            <w:r w:rsidR="00301C0B">
              <w:rPr>
                <w:rFonts w:ascii="Arial" w:hAnsi="Arial" w:cs="Arial"/>
              </w:rPr>
              <w:t>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0.0</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12</w:t>
            </w:r>
            <w:r w:rsidR="00745FB4">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0.0</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DC</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1</w:t>
            </w:r>
            <w:r w:rsidR="000466CF" w:rsidRPr="000F2347">
              <w:rPr>
                <w:rFonts w:ascii="Arial" w:hAnsi="Arial" w:cs="Arial"/>
              </w:rPr>
              <w:t>2</w:t>
            </w:r>
            <w:r>
              <w:rPr>
                <w:rFonts w:ascii="Arial" w:hAnsi="Arial" w:cs="Arial"/>
              </w:rPr>
              <w:t>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121</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1.7</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DE</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1</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0.8</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12</w:t>
            </w:r>
            <w:r w:rsidR="00745FB4">
              <w:rPr>
                <w:rFonts w:ascii="Arial" w:hAnsi="Arial" w:cs="Arial"/>
              </w:rPr>
              <w:t>2</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1</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0.</w:t>
            </w:r>
            <w:r w:rsidR="00745FB4">
              <w:rPr>
                <w:rFonts w:ascii="Arial" w:hAnsi="Arial" w:cs="Arial"/>
              </w:rPr>
              <w:t>8</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FL</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20</w:t>
            </w:r>
            <w:r w:rsidR="000466CF" w:rsidRPr="000F2347">
              <w:rPr>
                <w:rFonts w:ascii="Arial" w:hAnsi="Arial" w:cs="Arial"/>
              </w:rPr>
              <w:t>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20</w:t>
            </w:r>
            <w:r w:rsidR="000466CF" w:rsidRPr="000F2347">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GA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HI</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0.0</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IA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ID</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IL</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IN</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201</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0.0</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KS</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0</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12</w:t>
            </w:r>
            <w:r w:rsidR="00745FB4">
              <w:rPr>
                <w:rFonts w:ascii="Arial" w:hAnsi="Arial" w:cs="Arial"/>
              </w:rPr>
              <w:t>7</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4</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3.1</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KY</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301C0B">
            <w:pPr>
              <w:jc w:val="right"/>
              <w:rPr>
                <w:rFonts w:ascii="Arial" w:hAnsi="Arial" w:cs="Arial"/>
              </w:rPr>
            </w:pPr>
            <w:r w:rsidRPr="000F2347">
              <w:rPr>
                <w:rFonts w:ascii="Arial" w:hAnsi="Arial" w:cs="Arial"/>
              </w:rPr>
              <w:t>12</w:t>
            </w:r>
            <w:r w:rsidR="00301C0B">
              <w:rPr>
                <w:rFonts w:ascii="Arial" w:hAnsi="Arial" w:cs="Arial"/>
              </w:rPr>
              <w:t>4</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w:t>
            </w:r>
            <w:r w:rsidR="00745FB4">
              <w:rPr>
                <w:rFonts w:ascii="Arial" w:hAnsi="Arial" w:cs="Arial"/>
              </w:rPr>
              <w:t>4</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LA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301C0B">
            <w:pPr>
              <w:jc w:val="right"/>
              <w:rPr>
                <w:rFonts w:ascii="Arial" w:hAnsi="Arial" w:cs="Arial"/>
              </w:rPr>
            </w:pPr>
            <w:r>
              <w:rPr>
                <w:rFonts w:ascii="Arial" w:hAnsi="Arial" w:cs="Arial"/>
              </w:rPr>
              <w:t>202</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2</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1.0</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1</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745FB4">
            <w:pPr>
              <w:jc w:val="right"/>
              <w:rPr>
                <w:rFonts w:ascii="Arial" w:hAnsi="Arial" w:cs="Arial"/>
              </w:rPr>
            </w:pPr>
            <w:r w:rsidRPr="000F2347">
              <w:rPr>
                <w:rFonts w:ascii="Arial" w:hAnsi="Arial" w:cs="Arial"/>
              </w:rPr>
              <w:t>0.</w:t>
            </w:r>
            <w:r w:rsidR="00745FB4">
              <w:rPr>
                <w:rFonts w:ascii="Arial" w:hAnsi="Arial" w:cs="Arial"/>
              </w:rPr>
              <w:t>5</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121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0.8</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745FB4">
            <w:pPr>
              <w:jc w:val="right"/>
              <w:rPr>
                <w:rFonts w:ascii="Arial" w:hAnsi="Arial" w:cs="Arial"/>
              </w:rPr>
            </w:pPr>
            <w:r>
              <w:rPr>
                <w:rFonts w:ascii="Arial" w:hAnsi="Arial" w:cs="Arial"/>
              </w:rPr>
              <w:t>125</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5</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4.0</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MD</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ME</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301C0B">
            <w:pPr>
              <w:jc w:val="right"/>
              <w:rPr>
                <w:rFonts w:ascii="Arial" w:hAnsi="Arial" w:cs="Arial"/>
              </w:rPr>
            </w:pPr>
            <w:r w:rsidRPr="000F2347">
              <w:rPr>
                <w:rFonts w:ascii="Arial" w:hAnsi="Arial" w:cs="Arial"/>
              </w:rPr>
              <w:t>12</w:t>
            </w:r>
            <w:r w:rsidR="00301C0B">
              <w:rPr>
                <w:rFonts w:ascii="Arial" w:hAnsi="Arial" w:cs="Arial"/>
              </w:rPr>
              <w:t>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0</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12</w:t>
            </w:r>
            <w:r w:rsidR="00745FB4">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MI</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205</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MN</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MO</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20</w:t>
            </w:r>
            <w:r w:rsidR="00745FB4">
              <w:rPr>
                <w:rFonts w:ascii="Arial" w:hAnsi="Arial" w:cs="Arial"/>
              </w:rPr>
              <w:t>3</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4</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w:t>
            </w:r>
            <w:r w:rsidR="000466CF" w:rsidRPr="000F2347">
              <w:rPr>
                <w:rFonts w:ascii="Arial" w:hAnsi="Arial" w:cs="Arial"/>
              </w:rPr>
              <w:t>.0%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MS</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12</w:t>
            </w:r>
            <w:r w:rsidR="00745FB4">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MT</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NC</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ND</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NE</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w:t>
            </w:r>
            <w:r w:rsidR="00301C0B">
              <w:rPr>
                <w:rFonts w:ascii="Arial" w:hAnsi="Arial" w:cs="Arial"/>
              </w:rPr>
              <w:t>9</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20</w:t>
            </w:r>
            <w:r w:rsidR="00745FB4">
              <w:rPr>
                <w:rFonts w:ascii="Arial" w:hAnsi="Arial" w:cs="Arial"/>
              </w:rPr>
              <w:t>3</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NH</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0.0</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1.7</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NJ</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150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0.0</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150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0.0</w:t>
            </w:r>
            <w:r w:rsidR="000466CF"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NM</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NV</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w:t>
            </w:r>
            <w:r w:rsidR="00301C0B">
              <w:rPr>
                <w:rFonts w:ascii="Arial" w:hAnsi="Arial" w:cs="Arial"/>
              </w:rPr>
              <w:t>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1</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5</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20</w:t>
            </w:r>
            <w:r w:rsidR="00745FB4">
              <w:rPr>
                <w:rFonts w:ascii="Arial" w:hAnsi="Arial" w:cs="Arial"/>
              </w:rPr>
              <w:t>3</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3</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1.5%</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NY</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150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0</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150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0.</w:t>
            </w:r>
            <w:r w:rsidR="00745FB4">
              <w:rPr>
                <w:rFonts w:ascii="Arial" w:hAnsi="Arial" w:cs="Arial"/>
              </w:rPr>
              <w:t>0</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OH</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301C0B" w:rsidP="000466CF">
            <w:pPr>
              <w:jc w:val="right"/>
              <w:rPr>
                <w:rFonts w:ascii="Arial" w:hAnsi="Arial" w:cs="Arial"/>
              </w:rPr>
            </w:pPr>
            <w:r>
              <w:rPr>
                <w:rFonts w:ascii="Arial" w:hAnsi="Arial" w:cs="Arial"/>
              </w:rPr>
              <w:t>2</w:t>
            </w:r>
            <w:r w:rsidR="000466CF" w:rsidRPr="000F2347">
              <w:rPr>
                <w:rFonts w:ascii="Arial" w:hAnsi="Arial" w:cs="Arial"/>
              </w:rPr>
              <w:t>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w:t>
            </w:r>
            <w:r w:rsidR="000466CF" w:rsidRPr="000F2347">
              <w:rPr>
                <w:rFonts w:ascii="Arial" w:hAnsi="Arial" w:cs="Arial"/>
              </w:rPr>
              <w:t>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OK</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OR</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PA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20</w:t>
            </w:r>
            <w:r w:rsidR="00065B8D">
              <w:rPr>
                <w:rFonts w:ascii="Arial" w:hAnsi="Arial" w:cs="Arial"/>
              </w:rPr>
              <w:t>2</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1</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r w:rsidR="00065B8D">
              <w:rPr>
                <w:rFonts w:ascii="Arial" w:hAnsi="Arial" w:cs="Arial"/>
              </w:rPr>
              <w:t>5</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20</w:t>
            </w:r>
            <w:r w:rsidR="00745FB4">
              <w:rPr>
                <w:rFonts w:ascii="Arial" w:hAnsi="Arial" w:cs="Arial"/>
              </w:rPr>
              <w:t>3</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2</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6A773A">
            <w:pPr>
              <w:jc w:val="right"/>
              <w:rPr>
                <w:rFonts w:ascii="Arial" w:hAnsi="Arial" w:cs="Arial"/>
              </w:rPr>
            </w:pPr>
            <w:r>
              <w:rPr>
                <w:rFonts w:ascii="Arial" w:hAnsi="Arial" w:cs="Arial"/>
              </w:rPr>
              <w:t>1.</w:t>
            </w:r>
            <w:r w:rsidR="000466CF" w:rsidRPr="000F2347">
              <w:rPr>
                <w:rFonts w:ascii="Arial" w:hAnsi="Arial" w:cs="Arial"/>
              </w:rPr>
              <w:t>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PR</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w:t>
            </w:r>
            <w:r w:rsidR="00065B8D">
              <w:rPr>
                <w:rFonts w:ascii="Arial" w:hAnsi="Arial" w:cs="Arial"/>
              </w:rPr>
              <w:t>4</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4</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65B8D">
            <w:pPr>
              <w:jc w:val="right"/>
              <w:rPr>
                <w:rFonts w:ascii="Arial" w:hAnsi="Arial" w:cs="Arial"/>
              </w:rPr>
            </w:pPr>
            <w:r>
              <w:rPr>
                <w:rFonts w:ascii="Arial" w:hAnsi="Arial" w:cs="Arial"/>
              </w:rPr>
              <w:t>3.2</w:t>
            </w:r>
            <w:r w:rsidR="000466CF"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RI</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SC</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w:t>
            </w:r>
            <w:r w:rsidR="00065B8D">
              <w:rPr>
                <w:rFonts w:ascii="Arial" w:hAnsi="Arial" w:cs="Arial"/>
              </w:rPr>
              <w:t>21</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1</w:t>
            </w:r>
            <w:r w:rsidR="00745FB4">
              <w:rPr>
                <w:rFonts w:ascii="Arial" w:hAnsi="Arial" w:cs="Arial"/>
              </w:rPr>
              <w:t>2</w:t>
            </w:r>
            <w:r w:rsidRPr="000F2347">
              <w:rPr>
                <w:rFonts w:ascii="Arial" w:hAnsi="Arial" w:cs="Arial"/>
              </w:rPr>
              <w:t>2</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4</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3</w:t>
            </w:r>
            <w:r w:rsidR="000466CF" w:rsidRPr="000F2347">
              <w:rPr>
                <w:rFonts w:ascii="Arial" w:hAnsi="Arial" w:cs="Arial"/>
              </w:rPr>
              <w:t>.3%</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lastRenderedPageBreak/>
              <w:t>SD</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TN</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745FB4" w:rsidP="000466CF">
            <w:pPr>
              <w:jc w:val="right"/>
              <w:rPr>
                <w:rFonts w:ascii="Arial" w:hAnsi="Arial" w:cs="Arial"/>
              </w:rPr>
            </w:pPr>
            <w:r>
              <w:rPr>
                <w:rFonts w:ascii="Arial" w:hAnsi="Arial" w:cs="Arial"/>
              </w:rPr>
              <w:t>12</w:t>
            </w:r>
            <w:r w:rsidR="000466CF" w:rsidRPr="000F2347">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TX</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UT</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w:t>
            </w:r>
            <w:r w:rsidR="00065B8D">
              <w:rPr>
                <w:rFonts w:ascii="Arial" w:hAnsi="Arial" w:cs="Arial"/>
              </w:rPr>
              <w:t>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w:t>
            </w:r>
            <w:r w:rsidR="00585500">
              <w:rPr>
                <w:rFonts w:ascii="Arial" w:hAnsi="Arial" w:cs="Arial"/>
              </w:rPr>
              <w:t>0</w:t>
            </w:r>
            <w:r w:rsidRPr="000F2347">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VA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20</w:t>
            </w:r>
            <w:r w:rsidR="00585500">
              <w:rPr>
                <w:rFonts w:ascii="Arial" w:hAnsi="Arial" w:cs="Arial"/>
              </w:rPr>
              <w:t>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VT</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585500" w:rsidP="006A773A">
            <w:pPr>
              <w:jc w:val="right"/>
              <w:rPr>
                <w:rFonts w:ascii="Arial" w:hAnsi="Arial" w:cs="Arial"/>
              </w:rPr>
            </w:pPr>
            <w:r>
              <w:rPr>
                <w:rFonts w:ascii="Arial" w:hAnsi="Arial" w:cs="Arial"/>
              </w:rPr>
              <w:t>121</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585500" w:rsidP="000466CF">
            <w:pPr>
              <w:jc w:val="right"/>
              <w:rPr>
                <w:rFonts w:ascii="Arial" w:hAnsi="Arial" w:cs="Arial"/>
              </w:rPr>
            </w:pPr>
            <w:r>
              <w:rPr>
                <w:rFonts w:ascii="Arial" w:hAnsi="Arial" w:cs="Arial"/>
              </w:rPr>
              <w:t>1</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6A773A">
            <w:pPr>
              <w:jc w:val="right"/>
              <w:rPr>
                <w:rFonts w:ascii="Arial" w:hAnsi="Arial" w:cs="Arial"/>
              </w:rPr>
            </w:pPr>
            <w:r w:rsidRPr="000F2347">
              <w:rPr>
                <w:rFonts w:ascii="Arial" w:hAnsi="Arial" w:cs="Arial"/>
              </w:rPr>
              <w:t>0.</w:t>
            </w:r>
            <w:r w:rsidR="00585500">
              <w:rPr>
                <w:rFonts w:ascii="Arial" w:hAnsi="Arial" w:cs="Arial"/>
              </w:rPr>
              <w:t>8</w:t>
            </w:r>
            <w:r w:rsidRPr="000F2347">
              <w:rPr>
                <w:rFonts w:ascii="Arial" w:hAnsi="Arial" w:cs="Arial"/>
              </w:rPr>
              <w:t>%</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WA</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200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WI</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2</w:t>
            </w:r>
            <w:r w:rsidR="000466CF" w:rsidRPr="000F2347">
              <w:rPr>
                <w:rFonts w:ascii="Arial" w:hAnsi="Arial" w:cs="Arial"/>
              </w:rPr>
              <w:t>00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585500" w:rsidP="000466CF">
            <w:pPr>
              <w:jc w:val="right"/>
              <w:rPr>
                <w:rFonts w:ascii="Arial" w:hAnsi="Arial" w:cs="Arial"/>
              </w:rPr>
            </w:pPr>
            <w:r>
              <w:rPr>
                <w:rFonts w:ascii="Arial" w:hAnsi="Arial" w:cs="Arial"/>
              </w:rPr>
              <w:t>2</w:t>
            </w:r>
            <w:r w:rsidR="000466CF" w:rsidRPr="000F2347">
              <w:rPr>
                <w:rFonts w:ascii="Arial" w:hAnsi="Arial" w:cs="Arial"/>
              </w:rPr>
              <w:t>00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3</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3.0%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WV</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12</w:t>
            </w:r>
            <w:r w:rsidR="00065B8D">
              <w:rPr>
                <w:rFonts w:ascii="Arial" w:hAnsi="Arial" w:cs="Arial"/>
              </w:rPr>
              <w:t>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65B8D" w:rsidP="000466CF">
            <w:pPr>
              <w:jc w:val="right"/>
              <w:rPr>
                <w:rFonts w:ascii="Arial" w:hAnsi="Arial" w:cs="Arial"/>
              </w:rPr>
            </w:pPr>
            <w:r>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65B8D">
            <w:pPr>
              <w:jc w:val="right"/>
              <w:rPr>
                <w:rFonts w:ascii="Arial" w:hAnsi="Arial" w:cs="Arial"/>
              </w:rPr>
            </w:pPr>
            <w:r w:rsidRPr="000F2347">
              <w:rPr>
                <w:rFonts w:ascii="Arial" w:hAnsi="Arial" w:cs="Arial"/>
              </w:rPr>
              <w:t>0.</w:t>
            </w:r>
            <w:r w:rsidR="00065B8D">
              <w:rPr>
                <w:rFonts w:ascii="Arial" w:hAnsi="Arial" w:cs="Arial"/>
              </w:rPr>
              <w:t>0</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121</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WY</w:t>
            </w:r>
          </w:p>
        </w:tc>
        <w:tc>
          <w:tcPr>
            <w:tcW w:w="1102"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49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119"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single" w:sz="4" w:space="0" w:color="auto"/>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120</w:t>
            </w:r>
          </w:p>
        </w:tc>
        <w:tc>
          <w:tcPr>
            <w:tcW w:w="1522"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w:t>
            </w:r>
          </w:p>
        </w:tc>
        <w:tc>
          <w:tcPr>
            <w:tcW w:w="1327" w:type="dxa"/>
            <w:tcBorders>
              <w:top w:val="nil"/>
              <w:left w:val="nil"/>
              <w:bottom w:val="single" w:sz="4" w:space="0" w:color="auto"/>
              <w:right w:val="single" w:sz="4" w:space="0" w:color="auto"/>
            </w:tcBorders>
            <w:shd w:val="clear" w:color="auto" w:fill="auto"/>
            <w:noWrap/>
            <w:vAlign w:val="bottom"/>
          </w:tcPr>
          <w:p w:rsidR="000466CF" w:rsidRPr="000F2347" w:rsidRDefault="000466CF" w:rsidP="000466CF">
            <w:pPr>
              <w:jc w:val="right"/>
              <w:rPr>
                <w:rFonts w:ascii="Arial" w:hAnsi="Arial" w:cs="Arial"/>
              </w:rPr>
            </w:pPr>
            <w:r w:rsidRPr="000F2347">
              <w:rPr>
                <w:rFonts w:ascii="Arial" w:hAnsi="Arial" w:cs="Arial"/>
              </w:rPr>
              <w:t>0.0%</w:t>
            </w:r>
          </w:p>
        </w:tc>
      </w:tr>
      <w:tr w:rsidR="000466CF" w:rsidTr="000466CF">
        <w:trPr>
          <w:trHeight w:val="255"/>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02"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499"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522"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327"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r>
      <w:tr w:rsidR="000466CF" w:rsidTr="009C01AF">
        <w:trPr>
          <w:trHeight w:val="260"/>
        </w:trPr>
        <w:tc>
          <w:tcPr>
            <w:tcW w:w="60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r w:rsidRPr="000F2347">
              <w:rPr>
                <w:rFonts w:ascii="Arial" w:hAnsi="Arial" w:cs="Arial"/>
              </w:rPr>
              <w:t>US</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6CF" w:rsidRPr="000F2347" w:rsidRDefault="00D30A6C" w:rsidP="00D30A6C">
            <w:pPr>
              <w:jc w:val="right"/>
              <w:rPr>
                <w:rFonts w:ascii="Arial" w:hAnsi="Arial" w:cs="Arial"/>
              </w:rPr>
            </w:pPr>
            <w:r>
              <w:rPr>
                <w:rFonts w:ascii="Arial" w:hAnsi="Arial" w:cs="Arial"/>
              </w:rPr>
              <w:t>8169</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D30A6C">
            <w:pPr>
              <w:jc w:val="right"/>
              <w:rPr>
                <w:rFonts w:ascii="Arial" w:hAnsi="Arial" w:cs="Arial"/>
              </w:rPr>
            </w:pPr>
            <w:r w:rsidRPr="000F2347">
              <w:rPr>
                <w:rFonts w:ascii="Arial" w:hAnsi="Arial" w:cs="Arial"/>
              </w:rPr>
              <w:t>1</w:t>
            </w:r>
            <w:r w:rsidR="00D30A6C">
              <w:rPr>
                <w:rFonts w:ascii="Arial" w:hAnsi="Arial" w:cs="Arial"/>
              </w:rPr>
              <w:t>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D30A6C">
            <w:pPr>
              <w:jc w:val="right"/>
              <w:rPr>
                <w:rFonts w:ascii="Arial" w:hAnsi="Arial" w:cs="Arial"/>
              </w:rPr>
            </w:pPr>
            <w:r w:rsidRPr="000F2347">
              <w:rPr>
                <w:rFonts w:ascii="Arial" w:hAnsi="Arial" w:cs="Arial"/>
              </w:rPr>
              <w:t>0.</w:t>
            </w:r>
            <w:r w:rsidR="00D30A6C">
              <w:rPr>
                <w:rFonts w:ascii="Arial" w:hAnsi="Arial" w:cs="Arial"/>
              </w:rPr>
              <w:t>1</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000466CF" w:rsidRPr="000F2347" w:rsidRDefault="000466CF" w:rsidP="000466CF">
            <w:pPr>
              <w:rPr>
                <w:rFonts w:ascii="Arial" w:hAnsi="Arial" w:cs="Arial"/>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6CF" w:rsidRPr="000F2347" w:rsidRDefault="00D517A8" w:rsidP="0032176F">
            <w:pPr>
              <w:jc w:val="right"/>
              <w:rPr>
                <w:rFonts w:ascii="Arial" w:hAnsi="Arial" w:cs="Arial"/>
              </w:rPr>
            </w:pPr>
            <w:r>
              <w:rPr>
                <w:rFonts w:ascii="Arial" w:hAnsi="Arial" w:cs="Arial"/>
              </w:rPr>
              <w:t>8184</w:t>
            </w:r>
          </w:p>
        </w:tc>
        <w:tc>
          <w:tcPr>
            <w:tcW w:w="1522"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32176F">
            <w:pPr>
              <w:jc w:val="right"/>
              <w:rPr>
                <w:rFonts w:ascii="Arial" w:hAnsi="Arial" w:cs="Arial"/>
              </w:rPr>
            </w:pPr>
            <w:r w:rsidRPr="000F2347">
              <w:rPr>
                <w:rFonts w:ascii="Arial" w:hAnsi="Arial" w:cs="Arial"/>
              </w:rPr>
              <w:t>3</w:t>
            </w:r>
            <w:r w:rsidR="00D517A8">
              <w:rPr>
                <w:rFonts w:ascii="Arial" w:hAnsi="Arial" w:cs="Arial"/>
              </w:rPr>
              <w:t>7</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466CF" w:rsidRPr="000F2347" w:rsidRDefault="000466CF" w:rsidP="004D6593">
            <w:pPr>
              <w:jc w:val="right"/>
              <w:rPr>
                <w:rFonts w:ascii="Arial" w:hAnsi="Arial" w:cs="Arial"/>
              </w:rPr>
            </w:pPr>
            <w:r w:rsidRPr="000F2347">
              <w:rPr>
                <w:rFonts w:ascii="Arial" w:hAnsi="Arial" w:cs="Arial"/>
              </w:rPr>
              <w:t>0.</w:t>
            </w:r>
            <w:r w:rsidR="00D517A8">
              <w:rPr>
                <w:rFonts w:ascii="Arial" w:hAnsi="Arial" w:cs="Arial"/>
              </w:rPr>
              <w:t>5</w:t>
            </w:r>
            <w:r w:rsidRPr="000F2347">
              <w:rPr>
                <w:rFonts w:ascii="Arial" w:hAnsi="Arial" w:cs="Arial"/>
              </w:rPr>
              <w:t>%</w:t>
            </w:r>
          </w:p>
        </w:tc>
      </w:tr>
    </w:tbl>
    <w:p w:rsidR="006730B6" w:rsidRDefault="006730B6" w:rsidP="000466CF">
      <w:pPr>
        <w:autoSpaceDE w:val="0"/>
        <w:autoSpaceDN w:val="0"/>
        <w:adjustRightInd w:val="0"/>
        <w:ind w:left="1080"/>
        <w:rPr>
          <w:rFonts w:ascii="Arial" w:hAnsi="Arial" w:cs="Arial"/>
          <w:sz w:val="24"/>
          <w:szCs w:val="24"/>
        </w:rPr>
      </w:pPr>
    </w:p>
    <w:p w:rsidR="00592EE6" w:rsidRDefault="00592EE6" w:rsidP="007D4074">
      <w:pPr>
        <w:rPr>
          <w:rFonts w:ascii="Arial" w:hAnsi="Arial" w:cs="Arial"/>
          <w:sz w:val="24"/>
          <w:szCs w:val="24"/>
        </w:rPr>
      </w:pPr>
    </w:p>
    <w:p w:rsidR="007D4074" w:rsidRDefault="007D4074" w:rsidP="00A67A1F">
      <w:pPr>
        <w:ind w:left="1080"/>
        <w:rPr>
          <w:rFonts w:ascii="Arial" w:hAnsi="Arial" w:cs="Arial"/>
          <w:sz w:val="24"/>
          <w:szCs w:val="24"/>
        </w:rPr>
      </w:pPr>
      <w:r w:rsidRPr="00A67A1F">
        <w:rPr>
          <w:rFonts w:ascii="Arial" w:hAnsi="Arial" w:cs="Arial"/>
          <w:sz w:val="24"/>
          <w:szCs w:val="24"/>
        </w:rPr>
        <w:t>For Appeals, a minimum random sample of 20 cases (40 for states with annual workloads greater than 40,000) are drawn and evaluated each quarter. These samples are not stratified.  If the state cannot produce its prescribed number of cases, the National Office does not permit the state to substitute cases.  Instead it instructs the state to score and evaluate the cases that it has and divide the final score by the actual number of cases retrieved.  This helps the National Office be aware of issues related to the state’s maintenance of its hearing records.  During the Annual Appeals Review, 10 random cases (20 for states with annual workloads greater than 40,000) are drawn and re-evaluated from the quarterly samples already reviewed by the state.  The same rule is applied when cases are missing.  Along with issues that arise from the review, states are notified of issues pertaining to their sample submission and the regional offices are engaged to address any systemic problems.   </w:t>
      </w:r>
    </w:p>
    <w:p w:rsidR="00592EE6" w:rsidRDefault="00592EE6" w:rsidP="007D4074">
      <w:pPr>
        <w:rPr>
          <w:rFonts w:ascii="Arial" w:hAnsi="Arial" w:cs="Arial"/>
          <w:sz w:val="24"/>
          <w:szCs w:val="24"/>
        </w:rPr>
      </w:pPr>
    </w:p>
    <w:p w:rsidR="00236742" w:rsidRDefault="00236742" w:rsidP="00A67A1F">
      <w:pPr>
        <w:pStyle w:val="BodyTextIndent"/>
        <w:tabs>
          <w:tab w:val="right" w:pos="9360"/>
        </w:tabs>
        <w:ind w:firstLine="0"/>
      </w:pPr>
      <w:r>
        <w:t xml:space="preserve">The following table summarizes the number and percentage of </w:t>
      </w:r>
      <w:r w:rsidR="006730B6">
        <w:t xml:space="preserve">CY 2012 </w:t>
      </w:r>
      <w:r>
        <w:t>lower authority appeals cases that could not be evaluated because either</w:t>
      </w:r>
      <w:r w:rsidR="006730B6">
        <w:t>:</w:t>
      </w:r>
      <w:r>
        <w:t>1) tape Inaudible; 2) tape missing; 3) documents missing; 4) tape Inaudible and documents missing; or 5) tape and documents missing.</w:t>
      </w:r>
    </w:p>
    <w:p w:rsidR="006730B6" w:rsidRDefault="006730B6" w:rsidP="00A67A1F">
      <w:pPr>
        <w:pStyle w:val="BodyTextIndent"/>
        <w:tabs>
          <w:tab w:val="right" w:pos="9360"/>
        </w:tabs>
        <w:ind w:firstLine="0"/>
      </w:pPr>
    </w:p>
    <w:tbl>
      <w:tblPr>
        <w:tblW w:w="3720" w:type="dxa"/>
        <w:tblInd w:w="1440" w:type="dxa"/>
        <w:tblLook w:val="0000" w:firstRow="0" w:lastRow="0" w:firstColumn="0" w:lastColumn="0" w:noHBand="0" w:noVBand="0"/>
      </w:tblPr>
      <w:tblGrid>
        <w:gridCol w:w="3720"/>
      </w:tblGrid>
      <w:tr w:rsidR="006730B6" w:rsidRPr="000F2347" w:rsidTr="006730B6">
        <w:trPr>
          <w:trHeight w:val="255"/>
        </w:trPr>
        <w:tc>
          <w:tcPr>
            <w:tcW w:w="3720" w:type="dxa"/>
            <w:tcBorders>
              <w:top w:val="nil"/>
              <w:left w:val="nil"/>
              <w:bottom w:val="nil"/>
              <w:right w:val="nil"/>
            </w:tcBorders>
            <w:shd w:val="clear" w:color="auto" w:fill="auto"/>
            <w:noWrap/>
            <w:vAlign w:val="bottom"/>
          </w:tcPr>
          <w:p w:rsidR="006730B6" w:rsidRPr="000F2347" w:rsidRDefault="006730B6" w:rsidP="00A67A1F">
            <w:pPr>
              <w:rPr>
                <w:rFonts w:ascii="Arial" w:hAnsi="Arial" w:cs="Arial"/>
                <w:b/>
                <w:bCs/>
              </w:rPr>
            </w:pPr>
            <w:r w:rsidRPr="000F2347">
              <w:rPr>
                <w:rFonts w:ascii="Arial" w:hAnsi="Arial" w:cs="Arial"/>
                <w:b/>
                <w:bCs/>
              </w:rPr>
              <w:t xml:space="preserve">Cases Disqualified for Analysis from </w:t>
            </w:r>
          </w:p>
        </w:tc>
      </w:tr>
      <w:tr w:rsidR="006730B6" w:rsidRPr="000F2347" w:rsidTr="006730B6">
        <w:trPr>
          <w:trHeight w:val="255"/>
        </w:trPr>
        <w:tc>
          <w:tcPr>
            <w:tcW w:w="3720" w:type="dxa"/>
            <w:tcBorders>
              <w:top w:val="nil"/>
              <w:left w:val="nil"/>
              <w:bottom w:val="nil"/>
              <w:right w:val="nil"/>
            </w:tcBorders>
            <w:shd w:val="clear" w:color="auto" w:fill="auto"/>
            <w:noWrap/>
            <w:vAlign w:val="bottom"/>
          </w:tcPr>
          <w:p w:rsidR="006730B6" w:rsidRPr="000F2347" w:rsidRDefault="006730B6" w:rsidP="006730B6">
            <w:pPr>
              <w:jc w:val="center"/>
              <w:rPr>
                <w:rFonts w:ascii="Arial" w:hAnsi="Arial" w:cs="Arial"/>
                <w:b/>
                <w:bCs/>
              </w:rPr>
            </w:pPr>
            <w:r>
              <w:rPr>
                <w:rFonts w:ascii="Arial" w:hAnsi="Arial" w:cs="Arial"/>
                <w:b/>
                <w:bCs/>
              </w:rPr>
              <w:t xml:space="preserve">Lower Authority Appeals </w:t>
            </w:r>
            <w:r w:rsidRPr="000F2347">
              <w:rPr>
                <w:rFonts w:ascii="Arial" w:hAnsi="Arial" w:cs="Arial"/>
                <w:b/>
                <w:bCs/>
              </w:rPr>
              <w:t>Sample</w:t>
            </w:r>
            <w:r>
              <w:rPr>
                <w:rFonts w:ascii="Arial" w:hAnsi="Arial" w:cs="Arial"/>
                <w:b/>
                <w:bCs/>
              </w:rPr>
              <w:t>s</w:t>
            </w:r>
          </w:p>
        </w:tc>
      </w:tr>
      <w:tr w:rsidR="006730B6" w:rsidRPr="000F2347" w:rsidTr="006730B6">
        <w:trPr>
          <w:trHeight w:val="255"/>
        </w:trPr>
        <w:tc>
          <w:tcPr>
            <w:tcW w:w="3720" w:type="dxa"/>
            <w:tcBorders>
              <w:top w:val="nil"/>
              <w:left w:val="nil"/>
              <w:bottom w:val="nil"/>
              <w:right w:val="nil"/>
            </w:tcBorders>
            <w:shd w:val="clear" w:color="auto" w:fill="auto"/>
            <w:noWrap/>
            <w:vAlign w:val="bottom"/>
          </w:tcPr>
          <w:p w:rsidR="006730B6" w:rsidRPr="000F2347" w:rsidRDefault="006730B6" w:rsidP="007D4074">
            <w:pPr>
              <w:jc w:val="center"/>
              <w:rPr>
                <w:rFonts w:ascii="Arial" w:hAnsi="Arial" w:cs="Arial"/>
                <w:b/>
                <w:bCs/>
              </w:rPr>
            </w:pPr>
          </w:p>
        </w:tc>
      </w:tr>
    </w:tbl>
    <w:tbl>
      <w:tblPr>
        <w:tblStyle w:val="TableGrid"/>
        <w:tblW w:w="0" w:type="auto"/>
        <w:tblInd w:w="1656" w:type="dxa"/>
        <w:tblLook w:val="04A0" w:firstRow="1" w:lastRow="0" w:firstColumn="1" w:lastColumn="0" w:noHBand="0" w:noVBand="1"/>
      </w:tblPr>
      <w:tblGrid>
        <w:gridCol w:w="603"/>
        <w:gridCol w:w="1030"/>
        <w:gridCol w:w="1030"/>
        <w:gridCol w:w="960"/>
      </w:tblGrid>
      <w:tr w:rsidR="006730B6" w:rsidRPr="00BA3CE3" w:rsidTr="00A67A1F">
        <w:trPr>
          <w:trHeight w:val="300"/>
        </w:trPr>
        <w:tc>
          <w:tcPr>
            <w:tcW w:w="603" w:type="dxa"/>
            <w:noWrap/>
            <w:hideMark/>
          </w:tcPr>
          <w:p w:rsidR="006730B6" w:rsidRPr="00A67A1F" w:rsidRDefault="006730B6" w:rsidP="006730B6">
            <w:pPr>
              <w:pStyle w:val="BodyTextIndent"/>
              <w:tabs>
                <w:tab w:val="right" w:pos="9360"/>
              </w:tabs>
              <w:rPr>
                <w:sz w:val="20"/>
              </w:rPr>
            </w:pPr>
            <w:bookmarkStart w:id="1" w:name="RANGE!A1:C53"/>
            <w:r w:rsidRPr="00A67A1F">
              <w:rPr>
                <w:sz w:val="20"/>
              </w:rPr>
              <w:t>ST</w:t>
            </w:r>
            <w:bookmarkEnd w:id="1"/>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Sample</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Missing</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Percent</w:t>
            </w:r>
          </w:p>
          <w:p w:rsidR="006730B6" w:rsidRPr="00A67A1F" w:rsidRDefault="006730B6" w:rsidP="00A67A1F">
            <w:pPr>
              <w:pStyle w:val="BodyTextIndent"/>
              <w:tabs>
                <w:tab w:val="right" w:pos="9360"/>
              </w:tabs>
              <w:jc w:val="center"/>
              <w:rPr>
                <w:sz w:val="20"/>
              </w:rPr>
            </w:pPr>
            <w:r w:rsidRPr="00A67A1F">
              <w:rPr>
                <w:sz w:val="20"/>
              </w:rPr>
              <w:t>Missing</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AK</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AL</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AR</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AZ</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CA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CO</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CT</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DC</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DE</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FL</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GA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lastRenderedPageBreak/>
              <w:t>HI</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3</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3.8%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IA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7</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8.8%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ID</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2.5%</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IL</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IN</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KS</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4</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5.0%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KY</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3</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3.8%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LA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2.5%</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MD</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ME</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MI</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0.6%</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MN</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MO</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MS</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MT</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4</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5.0%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NC</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6</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3.8%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ND</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2.5%</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NE</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84</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2</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2.4%</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NH</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NJ</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6</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3.8%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NM</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NV</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NY</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0.6%</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OH</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4</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5.0%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OK</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OR</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PA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PR</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3</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3.8%</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RI</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5</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6.3%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SC</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SD</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5</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6.3%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TN</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TX</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UT</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VA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0</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0.0%</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VT</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WA</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160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9</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5.6%</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WI</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WV</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WY</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80</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1.3%</w:t>
            </w: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p>
        </w:tc>
        <w:tc>
          <w:tcPr>
            <w:tcW w:w="1030" w:type="dxa"/>
            <w:noWrap/>
            <w:hideMark/>
          </w:tcPr>
          <w:p w:rsidR="006730B6" w:rsidRPr="00A67A1F" w:rsidRDefault="006730B6" w:rsidP="00A67A1F">
            <w:pPr>
              <w:pStyle w:val="BodyTextIndent"/>
              <w:tabs>
                <w:tab w:val="right" w:pos="9360"/>
              </w:tabs>
              <w:jc w:val="center"/>
              <w:rPr>
                <w:sz w:val="20"/>
              </w:rPr>
            </w:pPr>
          </w:p>
        </w:tc>
        <w:tc>
          <w:tcPr>
            <w:tcW w:w="1030" w:type="dxa"/>
            <w:noWrap/>
            <w:hideMark/>
          </w:tcPr>
          <w:p w:rsidR="006730B6" w:rsidRPr="00A67A1F" w:rsidRDefault="006730B6" w:rsidP="00A67A1F">
            <w:pPr>
              <w:pStyle w:val="BodyTextIndent"/>
              <w:tabs>
                <w:tab w:val="right" w:pos="9360"/>
              </w:tabs>
              <w:jc w:val="center"/>
              <w:rPr>
                <w:sz w:val="20"/>
              </w:rPr>
            </w:pPr>
          </w:p>
        </w:tc>
        <w:tc>
          <w:tcPr>
            <w:tcW w:w="960" w:type="dxa"/>
            <w:noWrap/>
            <w:hideMark/>
          </w:tcPr>
          <w:p w:rsidR="006730B6" w:rsidRPr="00A67A1F" w:rsidRDefault="006730B6" w:rsidP="00A67A1F">
            <w:pPr>
              <w:pStyle w:val="BodyTextIndent"/>
              <w:tabs>
                <w:tab w:val="right" w:pos="9360"/>
              </w:tabs>
              <w:jc w:val="center"/>
              <w:rPr>
                <w:sz w:val="20"/>
              </w:rPr>
            </w:pPr>
          </w:p>
        </w:tc>
      </w:tr>
      <w:tr w:rsidR="006730B6" w:rsidRPr="00BA3CE3" w:rsidTr="006730B6">
        <w:trPr>
          <w:trHeight w:val="300"/>
        </w:trPr>
        <w:tc>
          <w:tcPr>
            <w:tcW w:w="603" w:type="dxa"/>
            <w:noWrap/>
            <w:hideMark/>
          </w:tcPr>
          <w:p w:rsidR="006730B6" w:rsidRPr="00A67A1F" w:rsidRDefault="006730B6" w:rsidP="006730B6">
            <w:pPr>
              <w:pStyle w:val="BodyTextIndent"/>
              <w:tabs>
                <w:tab w:val="right" w:pos="9360"/>
              </w:tabs>
              <w:rPr>
                <w:sz w:val="20"/>
              </w:rPr>
            </w:pPr>
            <w:r w:rsidRPr="00A67A1F">
              <w:rPr>
                <w:sz w:val="20"/>
              </w:rPr>
              <w:t>US</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5204</w:t>
            </w:r>
          </w:p>
        </w:tc>
        <w:tc>
          <w:tcPr>
            <w:tcW w:w="1030" w:type="dxa"/>
            <w:noWrap/>
            <w:hideMark/>
          </w:tcPr>
          <w:p w:rsidR="006730B6" w:rsidRPr="00A67A1F" w:rsidRDefault="006730B6" w:rsidP="00A67A1F">
            <w:pPr>
              <w:pStyle w:val="BodyTextIndent"/>
              <w:tabs>
                <w:tab w:val="right" w:pos="9360"/>
              </w:tabs>
              <w:jc w:val="center"/>
              <w:rPr>
                <w:sz w:val="20"/>
              </w:rPr>
            </w:pPr>
            <w:r w:rsidRPr="00A67A1F">
              <w:rPr>
                <w:sz w:val="20"/>
              </w:rPr>
              <w:t>103</w:t>
            </w:r>
          </w:p>
        </w:tc>
        <w:tc>
          <w:tcPr>
            <w:tcW w:w="960" w:type="dxa"/>
            <w:noWrap/>
            <w:hideMark/>
          </w:tcPr>
          <w:p w:rsidR="006730B6" w:rsidRPr="00A67A1F" w:rsidRDefault="006730B6" w:rsidP="00A67A1F">
            <w:pPr>
              <w:pStyle w:val="BodyTextIndent"/>
              <w:tabs>
                <w:tab w:val="right" w:pos="9360"/>
              </w:tabs>
              <w:jc w:val="center"/>
              <w:rPr>
                <w:sz w:val="20"/>
              </w:rPr>
            </w:pPr>
            <w:r w:rsidRPr="00A67A1F">
              <w:rPr>
                <w:sz w:val="20"/>
              </w:rPr>
              <w:t>2.0%</w:t>
            </w:r>
          </w:p>
        </w:tc>
      </w:tr>
    </w:tbl>
    <w:p w:rsidR="00236742" w:rsidRPr="00A67A1F" w:rsidRDefault="00236742" w:rsidP="00A67A1F">
      <w:pPr>
        <w:pStyle w:val="BodyTextIndent"/>
        <w:tabs>
          <w:tab w:val="right" w:pos="9360"/>
        </w:tabs>
        <w:ind w:left="2736" w:firstLine="0"/>
        <w:rPr>
          <w:sz w:val="20"/>
        </w:rPr>
      </w:pPr>
    </w:p>
    <w:p w:rsidR="000466CF" w:rsidRPr="0044472A" w:rsidRDefault="000466CF" w:rsidP="000466CF">
      <w:pPr>
        <w:pStyle w:val="BodyTextIndent"/>
        <w:tabs>
          <w:tab w:val="right" w:pos="9360"/>
        </w:tabs>
        <w:ind w:firstLine="0"/>
      </w:pPr>
      <w:r>
        <w:t xml:space="preserve">The Department will </w:t>
      </w:r>
      <w:r w:rsidR="006A773A">
        <w:t xml:space="preserve">continue to </w:t>
      </w:r>
      <w:r>
        <w:t>work with SWAs to correct administrative record control problems.</w:t>
      </w:r>
      <w:r>
        <w:tab/>
      </w:r>
    </w:p>
    <w:p w:rsidR="000466CF" w:rsidRDefault="000466CF" w:rsidP="000466CF">
      <w:pPr>
        <w:pStyle w:val="BodyTextIndent"/>
        <w:tabs>
          <w:tab w:val="right" w:pos="9360"/>
        </w:tabs>
        <w:ind w:firstLine="0"/>
      </w:pPr>
      <w:r>
        <w:lastRenderedPageBreak/>
        <w:tab/>
      </w:r>
    </w:p>
    <w:p w:rsidR="000466CF" w:rsidRDefault="000466CF" w:rsidP="000466CF">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Tests of Procedures or Methods</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RPr="00D3109A" w:rsidRDefault="000466CF" w:rsidP="000466CF">
      <w:pPr>
        <w:pStyle w:val="BodyTextIndent2"/>
        <w:tabs>
          <w:tab w:val="right" w:pos="9360"/>
        </w:tabs>
        <w:rPr>
          <w:rFonts w:cs="Arial"/>
          <w:szCs w:val="24"/>
        </w:rPr>
      </w:pPr>
      <w:r w:rsidRPr="00D3109A">
        <w:rPr>
          <w:rFonts w:cs="Arial"/>
          <w:szCs w:val="24"/>
        </w:rPr>
        <w:t>The BTQ appeals and adjudications quality instruments are variations of instruments that have been in use for over twenty years.  The revisions were subjected to a field test, which occurred in six SWAs over five quarters in 1993 and 1994.  The data collection instrument for the ETA 9056 Nonmonetary Determination Quality Review is provided in ET Handbook 401, 4th ed., section V, chapter 6, p. 2.  The data collection instrument for the ETA 9057 Lower Authority Appeals Quality Review is provided in ET Handbook 401, 4th ed., section V, chapter 7, pp. 2-3.</w:t>
      </w:r>
    </w:p>
    <w:p w:rsidR="000466CF" w:rsidRPr="00D3109A"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cs="Arial"/>
          <w:sz w:val="24"/>
          <w:szCs w:val="24"/>
        </w:rPr>
      </w:pPr>
    </w:p>
    <w:p w:rsidR="000466CF" w:rsidRDefault="000466CF" w:rsidP="000466CF">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Individuals Consulted on Statistical Aspects of the Design</w:t>
      </w:r>
    </w:p>
    <w:p w:rsidR="000466CF"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RPr="00DC57B3"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Andrew Spisak</w:t>
      </w:r>
    </w:p>
    <w:p w:rsidR="000466CF" w:rsidRPr="00DC57B3"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 xml:space="preserve">Mathematical Statistician </w:t>
      </w:r>
    </w:p>
    <w:p w:rsidR="000466CF" w:rsidRPr="00DC57B3"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Division of Performance Management</w:t>
      </w:r>
    </w:p>
    <w:p w:rsidR="000466CF" w:rsidRPr="00DC57B3"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Office of Workforce Security</w:t>
      </w:r>
    </w:p>
    <w:p w:rsidR="000466CF" w:rsidRPr="00DC57B3"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202-693-3196</w:t>
      </w:r>
    </w:p>
    <w:p w:rsidR="000466CF" w:rsidRPr="00DC57B3" w:rsidRDefault="00A67A1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hyperlink r:id="rId15" w:history="1">
        <w:r w:rsidR="000466CF" w:rsidRPr="00DC57B3">
          <w:rPr>
            <w:rStyle w:val="Hyperlink"/>
            <w:rFonts w:ascii="Arial" w:hAnsi="Arial"/>
            <w:sz w:val="24"/>
          </w:rPr>
          <w:t>Spisak.Andrew@dol.gov</w:t>
        </w:r>
      </w:hyperlink>
    </w:p>
    <w:p w:rsidR="000466CF" w:rsidRPr="002C732E"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cs="Arial"/>
          <w:sz w:val="24"/>
        </w:rPr>
      </w:pPr>
      <w:r>
        <w:rPr>
          <w:sz w:val="24"/>
        </w:rPr>
        <w:br w:type="page"/>
      </w:r>
      <w:r>
        <w:rPr>
          <w:sz w:val="24"/>
        </w:rPr>
        <w:lastRenderedPageBreak/>
        <w:tab/>
      </w:r>
      <w:r w:rsidRPr="002C732E">
        <w:rPr>
          <w:rFonts w:ascii="Arial" w:hAnsi="Arial" w:cs="Arial"/>
          <w:b/>
          <w:sz w:val="24"/>
        </w:rPr>
        <w:t>Appendix B-1</w:t>
      </w:r>
    </w:p>
    <w:p w:rsidR="000466CF" w:rsidRPr="002C732E"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cs="Arial"/>
          <w:sz w:val="24"/>
        </w:rPr>
      </w:pPr>
    </w:p>
    <w:p w:rsidR="000466CF" w:rsidRPr="002C732E" w:rsidRDefault="000466CF" w:rsidP="000466CF">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cs="Arial"/>
          <w:sz w:val="24"/>
        </w:rPr>
      </w:pPr>
      <w:r w:rsidRPr="002C732E">
        <w:rPr>
          <w:rFonts w:ascii="Arial" w:hAnsi="Arial" w:cs="Arial"/>
          <w:b/>
          <w:sz w:val="24"/>
        </w:rPr>
        <w:t>Equations for Population Parameter Estimates</w:t>
      </w:r>
    </w:p>
    <w:p w:rsidR="000466CF" w:rsidRDefault="000466CF" w:rsidP="000466CF">
      <w:pPr>
        <w:rPr>
          <w:rFonts w:ascii="Arial" w:hAnsi="Arial"/>
          <w:sz w:val="22"/>
          <w:szCs w:val="22"/>
        </w:rPr>
      </w:pPr>
    </w:p>
    <w:p w:rsidR="000466CF" w:rsidRDefault="000466CF" w:rsidP="000466CF">
      <w:pPr>
        <w:rPr>
          <w:rFonts w:ascii="Arial" w:hAnsi="Arial"/>
          <w:sz w:val="22"/>
          <w:szCs w:val="22"/>
        </w:rPr>
      </w:pPr>
      <w:r>
        <w:rPr>
          <w:rFonts w:ascii="Arial" w:hAnsi="Arial"/>
          <w:sz w:val="22"/>
          <w:szCs w:val="22"/>
        </w:rPr>
        <w:t>The following formulas are used to produce the annual estimates of the proportions of nonmonetary adjudications and lower authority appeals meeting quality standards, based on the quarterly samples.</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The following notation will be used:</w:t>
      </w:r>
    </w:p>
    <w:p w:rsidR="000466CF" w:rsidRPr="003B427E" w:rsidRDefault="000466CF" w:rsidP="000466CF">
      <w:pPr>
        <w:rPr>
          <w:rFonts w:ascii="Arial" w:hAnsi="Arial"/>
          <w:sz w:val="22"/>
          <w:szCs w:val="22"/>
        </w:rPr>
      </w:pPr>
    </w:p>
    <w:p w:rsidR="000466CF" w:rsidRPr="003B427E" w:rsidRDefault="000466CF" w:rsidP="000466CF">
      <w:pPr>
        <w:tabs>
          <w:tab w:val="left" w:pos="-1440"/>
        </w:tabs>
        <w:ind w:left="1440" w:hanging="720"/>
        <w:rPr>
          <w:rFonts w:ascii="Arial" w:hAnsi="Arial"/>
          <w:sz w:val="22"/>
          <w:szCs w:val="22"/>
        </w:rPr>
      </w:pPr>
      <w:r w:rsidRPr="003B427E">
        <w:rPr>
          <w:rFonts w:ascii="Arial" w:hAnsi="Arial"/>
          <w:sz w:val="22"/>
          <w:szCs w:val="22"/>
        </w:rPr>
        <w:t>H</w:t>
      </w:r>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 xml:space="preserve">calendar quarters </w:t>
      </w:r>
      <w:r w:rsidRPr="003B427E">
        <w:rPr>
          <w:rFonts w:ascii="Arial" w:hAnsi="Arial"/>
          <w:sz w:val="22"/>
          <w:szCs w:val="22"/>
        </w:rPr>
        <w:t>for which the estimate is</w:t>
      </w:r>
    </w:p>
    <w:p w:rsidR="000466CF" w:rsidRPr="003B427E" w:rsidRDefault="000466CF" w:rsidP="000466CF">
      <w:pPr>
        <w:tabs>
          <w:tab w:val="left" w:pos="-1440"/>
        </w:tabs>
        <w:ind w:left="1440" w:hanging="720"/>
        <w:rPr>
          <w:rFonts w:ascii="Arial" w:hAnsi="Arial"/>
          <w:sz w:val="22"/>
          <w:szCs w:val="22"/>
        </w:rPr>
      </w:pPr>
      <w:r w:rsidRPr="003B427E">
        <w:rPr>
          <w:rFonts w:ascii="Arial" w:hAnsi="Arial"/>
          <w:sz w:val="22"/>
          <w:szCs w:val="22"/>
        </w:rPr>
        <w:tab/>
      </w:r>
      <w:r w:rsidRPr="003B427E">
        <w:rPr>
          <w:rFonts w:ascii="Arial" w:hAnsi="Arial"/>
          <w:sz w:val="22"/>
          <w:szCs w:val="22"/>
        </w:rPr>
        <w:tab/>
        <w:t>being made.</w:t>
      </w:r>
    </w:p>
    <w:p w:rsidR="000466CF" w:rsidRPr="003B427E" w:rsidRDefault="000466CF" w:rsidP="000466CF">
      <w:pPr>
        <w:rPr>
          <w:rFonts w:ascii="Arial" w:hAnsi="Arial"/>
          <w:sz w:val="22"/>
          <w:szCs w:val="22"/>
        </w:rPr>
      </w:pPr>
    </w:p>
    <w:p w:rsidR="000466CF" w:rsidRPr="003B427E" w:rsidRDefault="000466CF" w:rsidP="000466CF">
      <w:pPr>
        <w:tabs>
          <w:tab w:val="left" w:pos="-1440"/>
        </w:tabs>
        <w:ind w:left="1440" w:hanging="720"/>
        <w:rPr>
          <w:rFonts w:ascii="Arial" w:hAnsi="Arial"/>
          <w:sz w:val="22"/>
          <w:szCs w:val="22"/>
        </w:rPr>
      </w:pPr>
      <w:proofErr w:type="spellStart"/>
      <w:r w:rsidRPr="003B427E">
        <w:rPr>
          <w:rFonts w:ascii="Arial" w:hAnsi="Arial"/>
          <w:sz w:val="22"/>
          <w:szCs w:val="22"/>
        </w:rPr>
        <w:t>N</w:t>
      </w:r>
      <w:r w:rsidRPr="003B427E">
        <w:rPr>
          <w:rFonts w:ascii="Arial" w:hAnsi="Arial"/>
          <w:sz w:val="22"/>
          <w:szCs w:val="22"/>
          <w:vertAlign w:val="subscript"/>
        </w:rPr>
        <w:t>h</w:t>
      </w:r>
      <w:proofErr w:type="spellEnd"/>
      <w:r w:rsidRPr="003B427E">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t xml:space="preserve">the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X</w:t>
      </w:r>
      <w:r w:rsidRPr="003B427E">
        <w:rPr>
          <w:rFonts w:ascii="Arial" w:hAnsi="Arial"/>
          <w:sz w:val="22"/>
          <w:szCs w:val="22"/>
          <w:vertAlign w:val="subscript"/>
        </w:rPr>
        <w:t>h</w:t>
      </w:r>
      <w:proofErr w:type="spellEnd"/>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Pr>
          <w:rFonts w:ascii="Arial" w:hAnsi="Arial"/>
          <w:sz w:val="22"/>
          <w:szCs w:val="22"/>
        </w:rPr>
        <w:t xml:space="preserve"> which meet the quality criteria.</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P</w:t>
      </w:r>
      <w:r w:rsidRPr="003B427E">
        <w:rPr>
          <w:rFonts w:ascii="Arial" w:hAnsi="Arial"/>
          <w:sz w:val="22"/>
          <w:szCs w:val="22"/>
          <w:vertAlign w:val="subscript"/>
        </w:rPr>
        <w:t>h</w:t>
      </w:r>
      <w:proofErr w:type="spellEnd"/>
      <w:r w:rsidRPr="003B427E">
        <w:rPr>
          <w:rFonts w:ascii="Arial" w:hAnsi="Arial"/>
          <w:sz w:val="22"/>
          <w:szCs w:val="22"/>
        </w:rPr>
        <w:tab/>
        <w:t>=</w:t>
      </w:r>
      <w:r w:rsidRPr="003B427E">
        <w:rPr>
          <w:rFonts w:ascii="Arial" w:hAnsi="Arial"/>
          <w:sz w:val="22"/>
          <w:szCs w:val="22"/>
        </w:rPr>
        <w:tab/>
      </w:r>
      <w:proofErr w:type="spellStart"/>
      <w:r w:rsidRPr="003B427E">
        <w:rPr>
          <w:rFonts w:ascii="Arial" w:hAnsi="Arial"/>
          <w:sz w:val="22"/>
          <w:szCs w:val="22"/>
        </w:rPr>
        <w:t>X</w:t>
      </w:r>
      <w:r w:rsidRPr="003B427E">
        <w:rPr>
          <w:rFonts w:ascii="Arial" w:hAnsi="Arial"/>
          <w:sz w:val="22"/>
          <w:szCs w:val="22"/>
          <w:vertAlign w:val="subscript"/>
        </w:rPr>
        <w:t>h</w:t>
      </w:r>
      <w:proofErr w:type="spellEnd"/>
      <w:r w:rsidRPr="003B427E">
        <w:rPr>
          <w:rFonts w:ascii="Arial" w:hAnsi="Arial"/>
          <w:sz w:val="22"/>
          <w:szCs w:val="22"/>
        </w:rPr>
        <w:t>/</w:t>
      </w:r>
      <w:proofErr w:type="spellStart"/>
      <w:r w:rsidRPr="003B427E">
        <w:rPr>
          <w:rFonts w:ascii="Arial" w:hAnsi="Arial"/>
          <w:sz w:val="22"/>
          <w:szCs w:val="22"/>
        </w:rPr>
        <w:t>N</w:t>
      </w:r>
      <w:r w:rsidRPr="003B427E">
        <w:rPr>
          <w:rFonts w:ascii="Arial" w:hAnsi="Arial"/>
          <w:sz w:val="22"/>
          <w:szCs w:val="22"/>
          <w:vertAlign w:val="subscript"/>
        </w:rPr>
        <w:t>h</w:t>
      </w:r>
      <w:proofErr w:type="spellEnd"/>
      <w:r w:rsidRPr="003B427E">
        <w:rPr>
          <w:rFonts w:ascii="Arial" w:hAnsi="Arial"/>
          <w:sz w:val="22"/>
          <w:szCs w:val="22"/>
        </w:rPr>
        <w:t xml:space="preserve"> = the proportion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r w:rsidRPr="003B427E">
        <w:rPr>
          <w:rFonts w:ascii="Arial" w:hAnsi="Arial"/>
          <w:sz w:val="22"/>
          <w:szCs w:val="22"/>
        </w:rPr>
        <w:t xml:space="preserve">. </w:t>
      </w:r>
    </w:p>
    <w:p w:rsidR="000466CF" w:rsidRPr="003B427E" w:rsidRDefault="000466CF" w:rsidP="000466CF">
      <w:pPr>
        <w:rPr>
          <w:rFonts w:ascii="Arial" w:hAnsi="Arial"/>
          <w:sz w:val="22"/>
          <w:szCs w:val="22"/>
        </w:rPr>
      </w:pPr>
    </w:p>
    <w:p w:rsidR="000466CF" w:rsidRDefault="000466CF" w:rsidP="000466CF">
      <w:pPr>
        <w:tabs>
          <w:tab w:val="left" w:pos="-1440"/>
        </w:tabs>
        <w:ind w:left="1440" w:hanging="720"/>
        <w:rPr>
          <w:rFonts w:ascii="Arial" w:hAnsi="Arial"/>
          <w:sz w:val="22"/>
          <w:szCs w:val="22"/>
        </w:rPr>
      </w:pP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620" w:dyaOrig="680">
          <v:shape id="_x0000_i1028" type="#_x0000_t75" style="width:31.5pt;height:34.5pt" o:ole="">
            <v:imagedata r:id="rId16" o:title=""/>
          </v:shape>
          <o:OLEObject Type="Embed" ProgID="Equation.3" ShapeID="_x0000_i1028" DrawAspect="Content" ObjectID="_1445423677" r:id="rId17"/>
        </w:object>
      </w:r>
      <w:r w:rsidRPr="003B427E">
        <w:rPr>
          <w:rFonts w:ascii="Arial" w:hAnsi="Arial"/>
          <w:sz w:val="22"/>
          <w:szCs w:val="22"/>
        </w:rPr>
        <w:t xml:space="preserve"> = total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in the period.</w:t>
      </w:r>
    </w:p>
    <w:p w:rsidR="000466CF" w:rsidRPr="003B427E" w:rsidRDefault="000466CF" w:rsidP="000466CF">
      <w:pPr>
        <w:tabs>
          <w:tab w:val="left" w:pos="-1440"/>
        </w:tabs>
        <w:ind w:left="1440" w:hanging="720"/>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sym w:font="Symbol" w:char="F0B7"/>
      </w:r>
      <w:r>
        <w:rPr>
          <w:rFonts w:ascii="Arial" w:hAnsi="Arial"/>
          <w:sz w:val="22"/>
          <w:szCs w:val="22"/>
          <w:vertAlign w:val="subscript"/>
        </w:rPr>
        <w:tab/>
      </w:r>
      <w:r w:rsidRPr="003B427E">
        <w:rPr>
          <w:rFonts w:ascii="Arial" w:hAnsi="Arial"/>
          <w:sz w:val="22"/>
          <w:szCs w:val="22"/>
        </w:rPr>
        <w:t>=</w:t>
      </w:r>
      <w:r>
        <w:rPr>
          <w:rFonts w:ascii="Arial" w:hAnsi="Arial"/>
          <w:sz w:val="22"/>
          <w:szCs w:val="22"/>
        </w:rPr>
        <w:tab/>
      </w:r>
      <w:r w:rsidRPr="003B427E">
        <w:rPr>
          <w:rFonts w:ascii="Arial" w:hAnsi="Arial"/>
          <w:position w:val="-28"/>
          <w:sz w:val="22"/>
          <w:szCs w:val="22"/>
        </w:rPr>
        <w:object w:dxaOrig="620" w:dyaOrig="680">
          <v:shape id="_x0000_i1029" type="#_x0000_t75" style="width:31.5pt;height:34.5pt" o:ole="">
            <v:imagedata r:id="rId18" o:title=""/>
          </v:shape>
          <o:OLEObject Type="Embed" ProgID="Equation.3" ShapeID="_x0000_i1029" DrawAspect="Content" ObjectID="_1445423678" r:id="rId19"/>
        </w:object>
      </w:r>
      <w:r w:rsidRPr="003B427E">
        <w:rPr>
          <w:rFonts w:ascii="Arial" w:hAnsi="Arial"/>
          <w:sz w:val="22"/>
          <w:szCs w:val="22"/>
        </w:rPr>
        <w:t xml:space="preserve"> = total number of </w:t>
      </w:r>
      <w:r>
        <w:rPr>
          <w:rFonts w:ascii="Arial" w:hAnsi="Arial"/>
          <w:sz w:val="22"/>
          <w:szCs w:val="22"/>
        </w:rPr>
        <w:t>adjudication</w:t>
      </w:r>
      <w:r w:rsidRPr="003B427E">
        <w:rPr>
          <w:rFonts w:ascii="Arial" w:hAnsi="Arial"/>
          <w:sz w:val="22"/>
          <w:szCs w:val="22"/>
        </w:rPr>
        <w:t xml:space="preserve">s </w:t>
      </w:r>
      <w:r>
        <w:rPr>
          <w:rFonts w:ascii="Arial" w:hAnsi="Arial"/>
          <w:sz w:val="22"/>
          <w:szCs w:val="22"/>
        </w:rPr>
        <w:t>or appeals which meet the quality criteria in the period.</w:t>
      </w:r>
    </w:p>
    <w:p w:rsidR="000466CF" w:rsidRPr="003B427E" w:rsidRDefault="000466CF" w:rsidP="000466CF">
      <w:pPr>
        <w:rPr>
          <w:rFonts w:ascii="Arial" w:hAnsi="Arial"/>
          <w:sz w:val="22"/>
          <w:szCs w:val="22"/>
        </w:rPr>
      </w:pPr>
      <w:r>
        <w:rPr>
          <w:rFonts w:ascii="Arial" w:hAnsi="Arial"/>
          <w:sz w:val="22"/>
          <w:szCs w:val="22"/>
        </w:rPr>
        <w:t xml:space="preserve">                                                            </w:t>
      </w:r>
    </w:p>
    <w:p w:rsidR="000466CF" w:rsidRPr="003B427E" w:rsidRDefault="000466CF" w:rsidP="000466CF">
      <w:pPr>
        <w:rPr>
          <w:rFonts w:ascii="Arial" w:hAnsi="Arial"/>
          <w:sz w:val="22"/>
          <w:szCs w:val="22"/>
        </w:rPr>
      </w:pPr>
      <w:r w:rsidRPr="003B427E">
        <w:rPr>
          <w:rFonts w:ascii="Arial" w:hAnsi="Arial"/>
          <w:sz w:val="22"/>
          <w:szCs w:val="22"/>
        </w:rPr>
        <w:t xml:space="preserve">The parameter to be estimated, P, is the proportion of </w:t>
      </w:r>
      <w:r>
        <w:rPr>
          <w:rFonts w:ascii="Arial" w:hAnsi="Arial"/>
          <w:sz w:val="22"/>
          <w:szCs w:val="22"/>
        </w:rPr>
        <w:t>adjudications or appeals that meet the quality criteria</w:t>
      </w:r>
      <w:r w:rsidRPr="003B427E">
        <w:rPr>
          <w:rFonts w:ascii="Arial" w:hAnsi="Arial"/>
          <w:sz w:val="22"/>
          <w:szCs w:val="22"/>
        </w:rPr>
        <w:t xml:space="preserve"> during the period.  We wish to estimate:</w:t>
      </w:r>
    </w:p>
    <w:p w:rsidR="000466CF" w:rsidRPr="003B427E" w:rsidRDefault="000466CF" w:rsidP="000466CF">
      <w:pPr>
        <w:rPr>
          <w:rFonts w:ascii="Arial" w:hAnsi="Arial"/>
          <w:sz w:val="22"/>
          <w:szCs w:val="22"/>
        </w:rPr>
      </w:pPr>
    </w:p>
    <w:p w:rsidR="000466CF" w:rsidRPr="003B427E" w:rsidRDefault="000466CF" w:rsidP="000466CF">
      <w:pPr>
        <w:ind w:firstLine="720"/>
        <w:rPr>
          <w:rFonts w:ascii="Arial" w:hAnsi="Arial"/>
          <w:sz w:val="22"/>
          <w:szCs w:val="22"/>
        </w:rPr>
      </w:pPr>
      <w:r w:rsidRPr="003B427E">
        <w:rPr>
          <w:rFonts w:ascii="Arial" w:hAnsi="Arial"/>
          <w:sz w:val="22"/>
          <w:szCs w:val="22"/>
        </w:rPr>
        <w:t>P = X</w:t>
      </w:r>
      <w:r w:rsidRPr="003B427E">
        <w:rPr>
          <w:rFonts w:ascii="Arial" w:hAnsi="Arial"/>
          <w:sz w:val="22"/>
          <w:szCs w:val="22"/>
          <w:vertAlign w:val="subscript"/>
        </w:rPr>
        <w:sym w:font="Symbol" w:char="F0B7"/>
      </w: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rPr>
        <w:t xml:space="preserve"> = </w:t>
      </w:r>
      <w:r w:rsidRPr="003B427E">
        <w:rPr>
          <w:rFonts w:ascii="Arial" w:hAnsi="Arial"/>
          <w:position w:val="-28"/>
          <w:sz w:val="22"/>
          <w:szCs w:val="22"/>
        </w:rPr>
        <w:object w:dxaOrig="1260" w:dyaOrig="680">
          <v:shape id="_x0000_i1030" type="#_x0000_t75" style="width:63pt;height:34.5pt" o:ole="">
            <v:imagedata r:id="rId20" o:title=""/>
          </v:shape>
          <o:OLEObject Type="Embed" ProgID="Equation.3" ShapeID="_x0000_i1030" DrawAspect="Content" ObjectID="_1445423679" r:id="rId21"/>
        </w:objec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Now let</w:t>
      </w:r>
      <w:r>
        <w:rPr>
          <w:rFonts w:ascii="Arial" w:hAnsi="Arial"/>
          <w:sz w:val="22"/>
          <w:szCs w:val="22"/>
        </w:rPr>
        <w:t>:</w:t>
      </w:r>
    </w:p>
    <w:p w:rsidR="000466CF" w:rsidRDefault="000466CF" w:rsidP="000466CF">
      <w:pPr>
        <w:tabs>
          <w:tab w:val="left" w:pos="-1440"/>
        </w:tabs>
        <w:rPr>
          <w:rFonts w:ascii="Arial" w:hAnsi="Arial"/>
          <w:sz w:val="22"/>
          <w:szCs w:val="22"/>
        </w:rPr>
      </w:pPr>
    </w:p>
    <w:p w:rsidR="000466CF" w:rsidRPr="00567946" w:rsidRDefault="000466CF" w:rsidP="000466CF">
      <w:pPr>
        <w:tabs>
          <w:tab w:val="left" w:pos="-1440"/>
        </w:tabs>
        <w:rPr>
          <w:rFonts w:ascii="Arial" w:hAnsi="Arial"/>
          <w:sz w:val="22"/>
          <w:szCs w:val="22"/>
        </w:rPr>
      </w:pPr>
      <w:r>
        <w:rPr>
          <w:rFonts w:ascii="Arial" w:hAnsi="Arial"/>
          <w:sz w:val="22"/>
          <w:szCs w:val="22"/>
        </w:rPr>
        <w:tab/>
      </w:r>
      <w:proofErr w:type="spellStart"/>
      <w:r w:rsidRPr="003B427E">
        <w:rPr>
          <w:rFonts w:ascii="Arial" w:hAnsi="Arial"/>
          <w:sz w:val="22"/>
          <w:szCs w:val="22"/>
        </w:rPr>
        <w:t>m</w:t>
      </w:r>
      <w:r w:rsidRPr="003B427E">
        <w:rPr>
          <w:rFonts w:ascii="Arial" w:hAnsi="Arial"/>
          <w:sz w:val="22"/>
          <w:szCs w:val="22"/>
          <w:vertAlign w:val="subscript"/>
        </w:rPr>
        <w:t>h</w:t>
      </w:r>
      <w:proofErr w:type="spellEnd"/>
      <w:r w:rsidRPr="003B427E">
        <w:rPr>
          <w:rFonts w:ascii="Arial" w:hAnsi="Arial"/>
          <w:sz w:val="22"/>
          <w:szCs w:val="22"/>
        </w:rPr>
        <w:tab/>
        <w:t>=</w:t>
      </w:r>
      <w:r w:rsidRPr="003B427E">
        <w:rPr>
          <w:rFonts w:ascii="Arial" w:hAnsi="Arial"/>
          <w:sz w:val="22"/>
          <w:szCs w:val="22"/>
        </w:rPr>
        <w:tab/>
        <w:t xml:space="preserve">the number of </w:t>
      </w:r>
      <w:r w:rsidRPr="00567946">
        <w:rPr>
          <w:rFonts w:ascii="Arial" w:hAnsi="Arial"/>
          <w:sz w:val="22"/>
          <w:szCs w:val="22"/>
          <w:u w:val="single"/>
        </w:rPr>
        <w:t>completed</w:t>
      </w:r>
      <w:r>
        <w:rPr>
          <w:rFonts w:ascii="Arial" w:hAnsi="Arial"/>
          <w:sz w:val="22"/>
          <w:szCs w:val="22"/>
        </w:rPr>
        <w:t xml:space="preserve"> sample adjudications or appeals </w:t>
      </w:r>
      <w:r w:rsidRPr="003B427E">
        <w:rPr>
          <w:rFonts w:ascii="Arial" w:hAnsi="Arial"/>
          <w:sz w:val="22"/>
          <w:szCs w:val="22"/>
        </w:rPr>
        <w:t xml:space="preserve">for </w:t>
      </w:r>
      <w:r>
        <w:rPr>
          <w:rFonts w:ascii="Arial" w:hAnsi="Arial"/>
          <w:sz w:val="22"/>
          <w:szCs w:val="22"/>
        </w:rPr>
        <w:t xml:space="preserve">quarter </w:t>
      </w:r>
      <w:r>
        <w:rPr>
          <w:rFonts w:ascii="Arial" w:hAnsi="Arial"/>
          <w:i/>
          <w:sz w:val="22"/>
          <w:szCs w:val="22"/>
        </w:rPr>
        <w:t>h</w:t>
      </w:r>
      <w:r>
        <w:rPr>
          <w:rFonts w:ascii="Arial" w:hAnsi="Arial"/>
          <w:sz w:val="22"/>
          <w:szCs w:val="22"/>
        </w:rPr>
        <w:t>.</w:t>
      </w:r>
    </w:p>
    <w:p w:rsidR="000466CF" w:rsidRDefault="000466CF" w:rsidP="000466CF">
      <w:pPr>
        <w:tabs>
          <w:tab w:val="left" w:pos="-1440"/>
        </w:tabs>
        <w:rPr>
          <w:rFonts w:ascii="Arial" w:hAnsi="Arial"/>
          <w:sz w:val="22"/>
          <w:szCs w:val="22"/>
        </w:rPr>
      </w:pPr>
    </w:p>
    <w:p w:rsidR="000466CF" w:rsidRPr="003B427E" w:rsidRDefault="000466CF" w:rsidP="000466CF">
      <w:pPr>
        <w:tabs>
          <w:tab w:val="left" w:pos="-1440"/>
        </w:tabs>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r w:rsidRPr="003B427E">
        <w:rPr>
          <w:rFonts w:ascii="Arial" w:hAnsi="Arial"/>
          <w:sz w:val="22"/>
          <w:szCs w:val="22"/>
        </w:rPr>
        <w:t>m</w:t>
      </w:r>
      <w:r w:rsidRPr="003B427E">
        <w:rPr>
          <w:rFonts w:ascii="Arial" w:hAnsi="Arial"/>
          <w:sz w:val="22"/>
          <w:szCs w:val="22"/>
          <w:vertAlign w:val="subscript"/>
        </w:rPr>
        <w:sym w:font="Symbol" w:char="F0B7"/>
      </w:r>
      <w:r>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r>
      <w:r w:rsidRPr="003B427E">
        <w:rPr>
          <w:rFonts w:ascii="Arial" w:hAnsi="Arial"/>
          <w:position w:val="-28"/>
          <w:sz w:val="22"/>
          <w:szCs w:val="22"/>
        </w:rPr>
        <w:object w:dxaOrig="600" w:dyaOrig="680">
          <v:shape id="_x0000_i1031" type="#_x0000_t75" style="width:30pt;height:34.5pt" o:ole="">
            <v:imagedata r:id="rId22" o:title=""/>
          </v:shape>
          <o:OLEObject Type="Embed" ProgID="Equation.3" ShapeID="_x0000_i1031" DrawAspect="Content" ObjectID="_1445423680" r:id="rId23"/>
        </w:object>
      </w:r>
      <w:r w:rsidRPr="003B427E">
        <w:rPr>
          <w:rFonts w:ascii="Arial" w:hAnsi="Arial"/>
          <w:sz w:val="22"/>
          <w:szCs w:val="22"/>
        </w:rPr>
        <w:t xml:space="preserve"> = total number of </w:t>
      </w:r>
      <w:r>
        <w:rPr>
          <w:rFonts w:ascii="Arial" w:hAnsi="Arial"/>
          <w:sz w:val="22"/>
          <w:szCs w:val="22"/>
        </w:rPr>
        <w:t>completed sample 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the </w:t>
      </w:r>
      <w:r>
        <w:rPr>
          <w:rFonts w:ascii="Arial" w:hAnsi="Arial"/>
          <w:sz w:val="22"/>
          <w:szCs w:val="22"/>
        </w:rPr>
        <w:t xml:space="preserve">                                                     </w:t>
      </w:r>
      <w:r w:rsidRPr="003B427E">
        <w:rPr>
          <w:rFonts w:ascii="Arial" w:hAnsi="Arial"/>
          <w:sz w:val="22"/>
          <w:szCs w:val="22"/>
        </w:rPr>
        <w:t>period.</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x</w:t>
      </w:r>
      <w:r w:rsidRPr="003B427E">
        <w:rPr>
          <w:rFonts w:ascii="Arial" w:hAnsi="Arial"/>
          <w:sz w:val="22"/>
          <w:szCs w:val="22"/>
          <w:vertAlign w:val="subscript"/>
        </w:rPr>
        <w:t>h</w:t>
      </w:r>
      <w:proofErr w:type="spellEnd"/>
      <w:r>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t xml:space="preserve">the number of </w:t>
      </w:r>
      <w:r>
        <w:rPr>
          <w:rFonts w:ascii="Arial" w:hAnsi="Arial"/>
          <w:sz w:val="22"/>
          <w:szCs w:val="22"/>
        </w:rPr>
        <w:t>adjudications or appeals</w:t>
      </w:r>
      <w:r w:rsidRPr="003B427E">
        <w:rPr>
          <w:rFonts w:ascii="Arial" w:hAnsi="Arial"/>
          <w:sz w:val="22"/>
          <w:szCs w:val="22"/>
        </w:rPr>
        <w:t xml:space="preserve"> 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p>
    <w:p w:rsidR="000466CF" w:rsidRPr="003B427E" w:rsidRDefault="000466CF" w:rsidP="000466CF">
      <w:pPr>
        <w:rPr>
          <w:rFonts w:ascii="Arial" w:hAnsi="Arial"/>
          <w:sz w:val="22"/>
          <w:szCs w:val="22"/>
        </w:rPr>
      </w:pPr>
    </w:p>
    <w:p w:rsidR="000466CF" w:rsidRPr="003B427E" w:rsidRDefault="000466CF" w:rsidP="000466CF">
      <w:pPr>
        <w:tabs>
          <w:tab w:val="left" w:pos="-1440"/>
        </w:tabs>
        <w:ind w:left="2160" w:hanging="1440"/>
        <w:rPr>
          <w:rFonts w:ascii="Arial" w:hAnsi="Arial"/>
          <w:sz w:val="22"/>
          <w:szCs w:val="22"/>
        </w:rPr>
      </w:pPr>
      <w:r w:rsidRPr="003B427E">
        <w:rPr>
          <w:rFonts w:ascii="Arial" w:hAnsi="Arial"/>
          <w:position w:val="-12"/>
          <w:sz w:val="22"/>
          <w:szCs w:val="22"/>
        </w:rPr>
        <w:object w:dxaOrig="1180" w:dyaOrig="340">
          <v:shape id="_x0000_i1032" type="#_x0000_t75" style="width:58.5pt;height:16.5pt" o:ole="">
            <v:imagedata r:id="rId24" o:title=""/>
          </v:shape>
          <o:OLEObject Type="Embed" ProgID="Equation.3" ShapeID="_x0000_i1032" DrawAspect="Content" ObjectID="_1445423681" r:id="rId25"/>
        </w:object>
      </w:r>
      <w:r w:rsidRPr="003B427E">
        <w:rPr>
          <w:rFonts w:ascii="Arial" w:hAnsi="Arial"/>
          <w:sz w:val="22"/>
          <w:szCs w:val="22"/>
        </w:rPr>
        <w:tab/>
        <w:t xml:space="preserve">= proportion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r w:rsidRPr="003B427E">
        <w:rPr>
          <w:rFonts w:ascii="Arial" w:hAnsi="Arial"/>
          <w:sz w:val="22"/>
          <w:szCs w:val="22"/>
        </w:rPr>
        <w:t>.</w:t>
      </w:r>
    </w:p>
    <w:p w:rsidR="000466CF" w:rsidRPr="003B427E" w:rsidRDefault="000466CF" w:rsidP="000466CF">
      <w:pPr>
        <w:tabs>
          <w:tab w:val="left" w:pos="-1440"/>
        </w:tabs>
        <w:ind w:left="2160" w:hanging="1440"/>
        <w:rPr>
          <w:rFonts w:ascii="Arial" w:hAnsi="Arial"/>
          <w:sz w:val="22"/>
          <w:szCs w:val="22"/>
        </w:rPr>
      </w:pPr>
    </w:p>
    <w:p w:rsidR="000466CF" w:rsidRDefault="000466CF" w:rsidP="000466CF">
      <w:pPr>
        <w:rPr>
          <w:rFonts w:ascii="Arial" w:hAnsi="Arial"/>
          <w:sz w:val="22"/>
          <w:szCs w:val="22"/>
        </w:rPr>
      </w:pPr>
      <w:r>
        <w:rPr>
          <w:rFonts w:ascii="Arial" w:hAnsi="Arial"/>
          <w:sz w:val="22"/>
          <w:szCs w:val="22"/>
        </w:rPr>
        <w:br w:type="page"/>
      </w:r>
      <w:r w:rsidRPr="003B427E">
        <w:rPr>
          <w:rFonts w:ascii="Arial" w:hAnsi="Arial"/>
          <w:sz w:val="22"/>
          <w:szCs w:val="22"/>
        </w:rPr>
        <w:lastRenderedPageBreak/>
        <w:t xml:space="preserve">If it is assumed that non-response is random, then </w:t>
      </w:r>
    </w:p>
    <w:p w:rsidR="000466CF" w:rsidRDefault="000466CF" w:rsidP="000466CF">
      <w:pPr>
        <w:rPr>
          <w:rFonts w:ascii="Arial" w:hAnsi="Arial"/>
          <w:sz w:val="22"/>
          <w:szCs w:val="22"/>
        </w:rPr>
      </w:pPr>
    </w:p>
    <w:p w:rsidR="000466CF" w:rsidRPr="003B427E" w:rsidRDefault="000466CF" w:rsidP="000466CF">
      <w:pPr>
        <w:ind w:left="720"/>
        <w:rPr>
          <w:rFonts w:ascii="Arial" w:hAnsi="Arial"/>
          <w:sz w:val="22"/>
          <w:szCs w:val="22"/>
        </w:rPr>
      </w:pPr>
      <w:r w:rsidRPr="003B427E">
        <w:rPr>
          <w:rFonts w:ascii="Arial" w:hAnsi="Arial"/>
          <w:position w:val="-12"/>
          <w:sz w:val="22"/>
          <w:szCs w:val="22"/>
        </w:rPr>
        <w:object w:dxaOrig="3379" w:dyaOrig="340">
          <v:shape id="_x0000_i1033" type="#_x0000_t75" style="width:168.75pt;height:16.5pt" o:ole="">
            <v:imagedata r:id="rId26" o:title=""/>
          </v:shape>
          <o:OLEObject Type="Embed" ProgID="Equation.3" ShapeID="_x0000_i1033" DrawAspect="Content" ObjectID="_1445423682" r:id="rId27"/>
        </w:object>
      </w:r>
      <w:r w:rsidRPr="003B427E">
        <w:rPr>
          <w:rFonts w:ascii="Arial" w:hAnsi="Arial"/>
          <w:sz w:val="22"/>
          <w:szCs w:val="22"/>
        </w:rPr>
        <w:t>.</w:t>
      </w:r>
    </w:p>
    <w:p w:rsidR="000466CF" w:rsidRPr="003B427E" w:rsidRDefault="000466CF" w:rsidP="000466CF">
      <w:pPr>
        <w:rPr>
          <w:rFonts w:ascii="Arial" w:hAnsi="Arial"/>
          <w:sz w:val="22"/>
          <w:szCs w:val="22"/>
        </w:rPr>
      </w:pPr>
    </w:p>
    <w:p w:rsidR="000466CF" w:rsidRDefault="000466CF" w:rsidP="000466CF">
      <w:pPr>
        <w:rPr>
          <w:rFonts w:ascii="Arial" w:hAnsi="Arial"/>
          <w:sz w:val="22"/>
          <w:szCs w:val="22"/>
        </w:rPr>
      </w:pPr>
      <w:r w:rsidRPr="003B427E">
        <w:rPr>
          <w:rFonts w:ascii="Arial" w:hAnsi="Arial"/>
          <w:sz w:val="22"/>
          <w:szCs w:val="22"/>
        </w:rPr>
        <w:t xml:space="preserve">It follows that </w:t>
      </w:r>
      <w:r w:rsidRPr="003B427E">
        <w:rPr>
          <w:rFonts w:ascii="Arial" w:hAnsi="Arial"/>
          <w:position w:val="-28"/>
          <w:sz w:val="22"/>
          <w:szCs w:val="22"/>
        </w:rPr>
        <w:object w:dxaOrig="1640" w:dyaOrig="680">
          <v:shape id="_x0000_i1034" type="#_x0000_t75" style="width:82.5pt;height:34.5pt" o:ole="">
            <v:imagedata r:id="rId28" o:title=""/>
          </v:shape>
          <o:OLEObject Type="Embed" ProgID="Equation.3" ShapeID="_x0000_i1034" DrawAspect="Content" ObjectID="_1445423683" r:id="rId29"/>
        </w:object>
      </w:r>
      <w:r w:rsidRPr="003B427E">
        <w:rPr>
          <w:rFonts w:ascii="Arial" w:hAnsi="Arial"/>
          <w:sz w:val="22"/>
          <w:szCs w:val="22"/>
        </w:rPr>
        <w:t xml:space="preserve"> is unbiased for P.  </w:t>
      </w:r>
    </w:p>
    <w:p w:rsidR="000466CF" w:rsidRDefault="000466CF" w:rsidP="000466CF">
      <w:pPr>
        <w:rPr>
          <w:rFonts w:ascii="Arial" w:hAnsi="Arial"/>
          <w:sz w:val="22"/>
          <w:szCs w:val="22"/>
        </w:rPr>
      </w:pPr>
      <w:r w:rsidRPr="003B427E">
        <w:rPr>
          <w:rFonts w:ascii="Arial" w:hAnsi="Arial"/>
          <w:sz w:val="22"/>
          <w:szCs w:val="22"/>
        </w:rPr>
        <w:t xml:space="preserve">Furthermore, as sampling is independent within each </w:t>
      </w:r>
      <w:r>
        <w:rPr>
          <w:rFonts w:ascii="Arial" w:hAnsi="Arial"/>
          <w:sz w:val="22"/>
          <w:szCs w:val="22"/>
        </w:rPr>
        <w:t>quarter</w:t>
      </w:r>
      <w:r w:rsidRPr="003B427E">
        <w:rPr>
          <w:rFonts w:ascii="Arial" w:hAnsi="Arial"/>
          <w:sz w:val="22"/>
          <w:szCs w:val="22"/>
        </w:rPr>
        <w:t xml:space="preserve"> (stratum), it follows that</w:t>
      </w:r>
      <w:r>
        <w:rPr>
          <w:rFonts w:ascii="Arial" w:hAnsi="Arial"/>
          <w:sz w:val="22"/>
          <w:szCs w:val="22"/>
        </w:rPr>
        <w:t>:</w:t>
      </w:r>
    </w:p>
    <w:p w:rsidR="000466CF" w:rsidRPr="003B427E" w:rsidRDefault="000466CF" w:rsidP="000466CF">
      <w:pPr>
        <w:rPr>
          <w:rFonts w:ascii="Arial" w:hAnsi="Arial"/>
          <w:sz w:val="22"/>
          <w:szCs w:val="22"/>
        </w:rPr>
      </w:pPr>
    </w:p>
    <w:p w:rsidR="000466CF" w:rsidRDefault="000466CF" w:rsidP="000466CF">
      <w:pPr>
        <w:ind w:firstLine="720"/>
        <w:rPr>
          <w:rFonts w:ascii="Arial" w:hAnsi="Arial"/>
          <w:sz w:val="22"/>
          <w:szCs w:val="22"/>
        </w:rPr>
      </w:pPr>
      <w:r w:rsidRPr="000A2253">
        <w:rPr>
          <w:rFonts w:ascii="Arial" w:hAnsi="Arial"/>
          <w:position w:val="-28"/>
          <w:sz w:val="22"/>
          <w:szCs w:val="22"/>
        </w:rPr>
        <w:object w:dxaOrig="3560" w:dyaOrig="680">
          <v:shape id="_x0000_i1035" type="#_x0000_t75" style="width:178.5pt;height:34.5pt" o:ole="">
            <v:imagedata r:id="rId30" o:title=""/>
          </v:shape>
          <o:OLEObject Type="Embed" ProgID="Equation.3" ShapeID="_x0000_i1035" DrawAspect="Content" ObjectID="_1445423684" r:id="rId31"/>
        </w:objec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 xml:space="preserve">where </w:t>
      </w:r>
      <w:proofErr w:type="spellStart"/>
      <w:r w:rsidRPr="003B427E">
        <w:rPr>
          <w:rFonts w:ascii="Arial" w:hAnsi="Arial"/>
          <w:sz w:val="22"/>
          <w:szCs w:val="22"/>
        </w:rPr>
        <w:t>f</w:t>
      </w:r>
      <w:r w:rsidRPr="003B427E">
        <w:rPr>
          <w:rFonts w:ascii="Arial" w:hAnsi="Arial"/>
          <w:sz w:val="22"/>
          <w:szCs w:val="22"/>
          <w:vertAlign w:val="subscript"/>
        </w:rPr>
        <w:t>h</w:t>
      </w:r>
      <w:proofErr w:type="spellEnd"/>
      <w:r w:rsidRPr="003B427E">
        <w:rPr>
          <w:rFonts w:ascii="Arial" w:hAnsi="Arial"/>
          <w:sz w:val="22"/>
          <w:szCs w:val="22"/>
        </w:rPr>
        <w:t xml:space="preserve"> = </w:t>
      </w:r>
      <w:proofErr w:type="spellStart"/>
      <w:r w:rsidRPr="003B427E">
        <w:rPr>
          <w:rFonts w:ascii="Arial" w:hAnsi="Arial"/>
          <w:sz w:val="22"/>
          <w:szCs w:val="22"/>
        </w:rPr>
        <w:t>m</w:t>
      </w:r>
      <w:r w:rsidRPr="003B427E">
        <w:rPr>
          <w:rFonts w:ascii="Arial" w:hAnsi="Arial"/>
          <w:sz w:val="22"/>
          <w:szCs w:val="22"/>
          <w:vertAlign w:val="subscript"/>
        </w:rPr>
        <w:t>h</w:t>
      </w:r>
      <w:proofErr w:type="spellEnd"/>
      <w:r w:rsidRPr="003B427E">
        <w:rPr>
          <w:rFonts w:ascii="Arial" w:hAnsi="Arial"/>
          <w:sz w:val="22"/>
          <w:szCs w:val="22"/>
        </w:rPr>
        <w:t>/</w:t>
      </w:r>
      <w:proofErr w:type="spellStart"/>
      <w:r w:rsidRPr="003B427E">
        <w:rPr>
          <w:rFonts w:ascii="Arial" w:hAnsi="Arial"/>
          <w:sz w:val="22"/>
          <w:szCs w:val="22"/>
        </w:rPr>
        <w:t>N</w:t>
      </w:r>
      <w:r w:rsidRPr="003B427E">
        <w:rPr>
          <w:rFonts w:ascii="Arial" w:hAnsi="Arial"/>
          <w:sz w:val="22"/>
          <w:szCs w:val="22"/>
          <w:vertAlign w:val="subscript"/>
        </w:rPr>
        <w:t>h</w:t>
      </w:r>
      <w:proofErr w:type="spellEnd"/>
      <w:r w:rsidRPr="003B427E">
        <w:rPr>
          <w:rFonts w:ascii="Arial" w:hAnsi="Arial"/>
          <w:sz w:val="22"/>
          <w:szCs w:val="22"/>
        </w:rPr>
        <w:t xml:space="preserve">.  The usual estimator for </w:t>
      </w:r>
      <w:r w:rsidRPr="003B427E">
        <w:rPr>
          <w:rFonts w:ascii="Arial" w:hAnsi="Arial"/>
          <w:position w:val="-10"/>
          <w:sz w:val="22"/>
          <w:szCs w:val="22"/>
        </w:rPr>
        <w:object w:dxaOrig="680" w:dyaOrig="380">
          <v:shape id="_x0000_i1036" type="#_x0000_t75" style="width:34.5pt;height:19.5pt" o:ole="">
            <v:imagedata r:id="rId32" o:title=""/>
          </v:shape>
          <o:OLEObject Type="Embed" ProgID="Equation.3" ShapeID="_x0000_i1036" DrawAspect="Content" ObjectID="_1445423685" r:id="rId33"/>
        </w:object>
      </w:r>
      <w:r w:rsidRPr="003B427E">
        <w:rPr>
          <w:rFonts w:ascii="Arial" w:hAnsi="Arial"/>
          <w:sz w:val="22"/>
          <w:szCs w:val="22"/>
        </w:rPr>
        <w:t xml:space="preserve"> is</w:t>
      </w:r>
    </w:p>
    <w:p w:rsidR="000466CF" w:rsidRPr="003B427E" w:rsidRDefault="000466CF" w:rsidP="000466CF">
      <w:pPr>
        <w:rPr>
          <w:rFonts w:ascii="Arial" w:hAnsi="Arial"/>
          <w:sz w:val="22"/>
          <w:szCs w:val="22"/>
        </w:rPr>
      </w:pPr>
    </w:p>
    <w:p w:rsidR="000466CF" w:rsidRPr="003B427E" w:rsidRDefault="000466CF" w:rsidP="000466CF">
      <w:pPr>
        <w:ind w:firstLine="720"/>
        <w:rPr>
          <w:rFonts w:ascii="Arial" w:hAnsi="Arial"/>
          <w:sz w:val="22"/>
          <w:szCs w:val="22"/>
        </w:rPr>
      </w:pPr>
      <w:r w:rsidRPr="000A2253">
        <w:rPr>
          <w:rFonts w:ascii="Arial" w:hAnsi="Arial"/>
          <w:position w:val="-28"/>
          <w:sz w:val="22"/>
          <w:szCs w:val="22"/>
        </w:rPr>
        <w:object w:dxaOrig="3560" w:dyaOrig="680">
          <v:shape id="_x0000_i1037" type="#_x0000_t75" style="width:178.5pt;height:34.5pt" o:ole="">
            <v:imagedata r:id="rId34" o:title=""/>
          </v:shape>
          <o:OLEObject Type="Embed" ProgID="Equation.3" ShapeID="_x0000_i1037" DrawAspect="Content" ObjectID="_1445423686" r:id="rId35"/>
        </w:objec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 xml:space="preserve">If </w:t>
      </w:r>
      <w:proofErr w:type="spellStart"/>
      <w:r w:rsidRPr="003B427E">
        <w:rPr>
          <w:rFonts w:ascii="Arial" w:hAnsi="Arial"/>
          <w:sz w:val="22"/>
          <w:szCs w:val="22"/>
        </w:rPr>
        <w:t>f</w:t>
      </w:r>
      <w:r w:rsidRPr="003B427E">
        <w:rPr>
          <w:rFonts w:ascii="Arial" w:hAnsi="Arial"/>
          <w:sz w:val="22"/>
          <w:szCs w:val="22"/>
          <w:vertAlign w:val="subscript"/>
        </w:rPr>
        <w:t>h</w:t>
      </w:r>
      <w:proofErr w:type="spellEnd"/>
      <w:r w:rsidRPr="003B427E">
        <w:rPr>
          <w:rFonts w:ascii="Arial" w:hAnsi="Arial"/>
          <w:sz w:val="22"/>
          <w:szCs w:val="22"/>
        </w:rPr>
        <w:t xml:space="preserve"> is negligible then </w:t>
      </w:r>
    </w:p>
    <w:p w:rsidR="000466CF" w:rsidRPr="003B427E" w:rsidRDefault="000466CF" w:rsidP="000466CF">
      <w:pPr>
        <w:rPr>
          <w:rFonts w:ascii="Arial" w:hAnsi="Arial"/>
          <w:sz w:val="22"/>
          <w:szCs w:val="22"/>
        </w:rPr>
      </w:pPr>
    </w:p>
    <w:p w:rsidR="000466CF" w:rsidRPr="003B427E" w:rsidRDefault="000466CF" w:rsidP="000466CF">
      <w:pPr>
        <w:ind w:left="720"/>
        <w:rPr>
          <w:rFonts w:ascii="Arial" w:hAnsi="Arial"/>
          <w:sz w:val="22"/>
          <w:szCs w:val="22"/>
        </w:rPr>
      </w:pPr>
      <w:r w:rsidRPr="000A2253">
        <w:rPr>
          <w:rFonts w:ascii="Arial" w:hAnsi="Arial"/>
          <w:position w:val="-28"/>
          <w:sz w:val="22"/>
          <w:szCs w:val="22"/>
        </w:rPr>
        <w:object w:dxaOrig="2820" w:dyaOrig="680">
          <v:shape id="_x0000_i1038" type="#_x0000_t75" style="width:141pt;height:34.5pt" o:ole="">
            <v:imagedata r:id="rId36" o:title=""/>
          </v:shape>
          <o:OLEObject Type="Embed" ProgID="Equation.3" ShapeID="_x0000_i1038" DrawAspect="Content" ObjectID="_1445423687" r:id="rId37"/>
        </w:objec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can be used for variance estimation.</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b/>
          <w:bCs/>
          <w:sz w:val="22"/>
          <w:szCs w:val="22"/>
        </w:rPr>
        <w:t>Proportions for Subgroups</w:t>
      </w:r>
    </w:p>
    <w:p w:rsidR="000466CF" w:rsidRPr="003B427E" w:rsidRDefault="000466CF" w:rsidP="000466CF">
      <w:pPr>
        <w:rPr>
          <w:rFonts w:ascii="Arial" w:hAnsi="Arial"/>
          <w:sz w:val="22"/>
          <w:szCs w:val="22"/>
        </w:rPr>
      </w:pPr>
      <w:r w:rsidRPr="003B427E">
        <w:rPr>
          <w:rFonts w:ascii="Arial" w:hAnsi="Arial"/>
          <w:sz w:val="22"/>
          <w:szCs w:val="22"/>
        </w:rPr>
        <w:t xml:space="preserve"> </w:t>
      </w:r>
    </w:p>
    <w:p w:rsidR="000466CF" w:rsidRPr="003B427E" w:rsidRDefault="000466CF" w:rsidP="000466CF">
      <w:pPr>
        <w:rPr>
          <w:rFonts w:ascii="Arial" w:hAnsi="Arial"/>
          <w:sz w:val="22"/>
          <w:szCs w:val="22"/>
        </w:rPr>
      </w:pPr>
      <w:r>
        <w:rPr>
          <w:rFonts w:ascii="Arial" w:hAnsi="Arial"/>
          <w:sz w:val="22"/>
          <w:szCs w:val="22"/>
        </w:rPr>
        <w:t>Samples of nonmonetary determinations and lower authority appeals may contain elements that do not meet the definition for inclusion in the population.  These “foreign” elements are not included in the estimates of the proportion of the population meeting the quality criteria.  The sample elements that meet the operational definition of the population constitute the sample subgroup for which population parameters are estimated.</w:t>
      </w:r>
      <w:r w:rsidRPr="003B427E">
        <w:rPr>
          <w:rFonts w:ascii="Arial" w:hAnsi="Arial"/>
          <w:sz w:val="22"/>
          <w:szCs w:val="22"/>
        </w:rPr>
        <w:t xml:space="preserve"> </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 xml:space="preserve">Building on the notation above, for the </w:t>
      </w:r>
      <w:proofErr w:type="spellStart"/>
      <w:r w:rsidRPr="003B427E">
        <w:rPr>
          <w:rFonts w:ascii="Arial" w:hAnsi="Arial"/>
          <w:sz w:val="22"/>
          <w:szCs w:val="22"/>
        </w:rPr>
        <w:t>k</w:t>
      </w:r>
      <w:r w:rsidRPr="003B427E">
        <w:rPr>
          <w:rFonts w:ascii="Arial" w:hAnsi="Arial"/>
          <w:sz w:val="22"/>
          <w:szCs w:val="22"/>
          <w:vertAlign w:val="superscript"/>
        </w:rPr>
        <w:t>th</w:t>
      </w:r>
      <w:proofErr w:type="spellEnd"/>
      <w:r w:rsidRPr="003B427E">
        <w:rPr>
          <w:rFonts w:ascii="Arial" w:hAnsi="Arial"/>
          <w:sz w:val="22"/>
          <w:szCs w:val="22"/>
        </w:rPr>
        <w:t xml:space="preserve"> subgroup and the </w:t>
      </w:r>
      <w:proofErr w:type="spellStart"/>
      <w:r w:rsidRPr="003B427E">
        <w:rPr>
          <w:rFonts w:ascii="Arial" w:hAnsi="Arial"/>
          <w:sz w:val="22"/>
          <w:szCs w:val="22"/>
        </w:rPr>
        <w:t>h</w:t>
      </w:r>
      <w:r w:rsidRPr="003B427E">
        <w:rPr>
          <w:rFonts w:ascii="Arial" w:hAnsi="Arial"/>
          <w:sz w:val="22"/>
          <w:szCs w:val="22"/>
          <w:vertAlign w:val="superscript"/>
        </w:rPr>
        <w:t>th</w:t>
      </w:r>
      <w:proofErr w:type="spellEnd"/>
      <w:r w:rsidRPr="003B427E">
        <w:rPr>
          <w:rFonts w:ascii="Arial" w:hAnsi="Arial"/>
          <w:sz w:val="22"/>
          <w:szCs w:val="22"/>
        </w:rPr>
        <w:t xml:space="preserve"> week let</w:t>
      </w:r>
      <w:r>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N</w:t>
      </w:r>
      <w:r w:rsidRPr="003B427E">
        <w:rPr>
          <w:rFonts w:ascii="Arial" w:hAnsi="Arial"/>
          <w:sz w:val="22"/>
          <w:szCs w:val="22"/>
          <w:vertAlign w:val="subscript"/>
        </w:rPr>
        <w:t>hk</w:t>
      </w:r>
      <w:proofErr w:type="spellEnd"/>
      <w:r w:rsidRPr="003B427E">
        <w:rPr>
          <w:rFonts w:ascii="Arial" w:hAnsi="Arial"/>
          <w:sz w:val="22"/>
          <w:szCs w:val="22"/>
        </w:rPr>
        <w:tab/>
        <w:t>=</w:t>
      </w:r>
      <w:r w:rsidRPr="003B427E">
        <w:rPr>
          <w:rFonts w:ascii="Arial" w:hAnsi="Arial"/>
          <w:sz w:val="22"/>
          <w:szCs w:val="22"/>
        </w:rPr>
        <w:tab/>
        <w:t>the number of</w:t>
      </w:r>
      <w:r>
        <w:rPr>
          <w:rFonts w:ascii="Arial" w:hAnsi="Arial"/>
          <w:sz w:val="22"/>
          <w:szCs w:val="22"/>
        </w:rPr>
        <w:t xml:space="preserve"> adjudications or appeals</w: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X</w:t>
      </w:r>
      <w:r w:rsidRPr="003B427E">
        <w:rPr>
          <w:rFonts w:ascii="Arial" w:hAnsi="Arial"/>
          <w:sz w:val="22"/>
          <w:szCs w:val="22"/>
          <w:vertAlign w:val="subscript"/>
        </w:rPr>
        <w:t>hk</w:t>
      </w:r>
      <w:proofErr w:type="spellEnd"/>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adjudications or appeals which meet the quality criteria</w:t>
      </w:r>
      <w:r w:rsidRPr="003B427E">
        <w:rPr>
          <w:rFonts w:ascii="Arial" w:hAnsi="Arial"/>
          <w:sz w:val="22"/>
          <w:szCs w:val="22"/>
        </w:rPr>
        <w:t xml:space="preserve">. </w:t>
      </w:r>
    </w:p>
    <w:p w:rsidR="000466CF" w:rsidRPr="003B427E" w:rsidRDefault="000466CF" w:rsidP="000466CF">
      <w:pPr>
        <w:rPr>
          <w:rFonts w:ascii="Arial" w:hAnsi="Arial"/>
          <w:sz w:val="22"/>
          <w:szCs w:val="22"/>
        </w:rPr>
      </w:pPr>
    </w:p>
    <w:p w:rsidR="000466CF"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P</w:t>
      </w:r>
      <w:r w:rsidRPr="003B427E">
        <w:rPr>
          <w:rFonts w:ascii="Arial" w:hAnsi="Arial"/>
          <w:sz w:val="22"/>
          <w:szCs w:val="22"/>
          <w:vertAlign w:val="subscript"/>
        </w:rPr>
        <w:t>hk</w:t>
      </w:r>
      <w:proofErr w:type="spellEnd"/>
      <w:r w:rsidRPr="003B427E">
        <w:rPr>
          <w:rFonts w:ascii="Arial" w:hAnsi="Arial"/>
          <w:sz w:val="22"/>
          <w:szCs w:val="22"/>
        </w:rPr>
        <w:tab/>
        <w:t>=</w:t>
      </w:r>
      <w:r w:rsidRPr="003B427E">
        <w:rPr>
          <w:rFonts w:ascii="Arial" w:hAnsi="Arial"/>
          <w:sz w:val="22"/>
          <w:szCs w:val="22"/>
        </w:rPr>
        <w:tab/>
      </w:r>
      <w:proofErr w:type="spellStart"/>
      <w:r w:rsidRPr="003B427E">
        <w:rPr>
          <w:rFonts w:ascii="Arial" w:hAnsi="Arial"/>
          <w:sz w:val="22"/>
          <w:szCs w:val="22"/>
        </w:rPr>
        <w:t>X</w:t>
      </w:r>
      <w:r w:rsidRPr="003B427E">
        <w:rPr>
          <w:rFonts w:ascii="Arial" w:hAnsi="Arial"/>
          <w:sz w:val="22"/>
          <w:szCs w:val="22"/>
          <w:vertAlign w:val="subscript"/>
        </w:rPr>
        <w:t>hk</w:t>
      </w:r>
      <w:proofErr w:type="spellEnd"/>
      <w:r w:rsidRPr="003B427E">
        <w:rPr>
          <w:rFonts w:ascii="Arial" w:hAnsi="Arial"/>
          <w:sz w:val="22"/>
          <w:szCs w:val="22"/>
        </w:rPr>
        <w:t>/</w:t>
      </w:r>
      <w:proofErr w:type="spellStart"/>
      <w:r w:rsidRPr="003B427E">
        <w:rPr>
          <w:rFonts w:ascii="Arial" w:hAnsi="Arial"/>
          <w:sz w:val="22"/>
          <w:szCs w:val="22"/>
        </w:rPr>
        <w:t>N</w:t>
      </w:r>
      <w:r w:rsidRPr="003B427E">
        <w:rPr>
          <w:rFonts w:ascii="Arial" w:hAnsi="Arial"/>
          <w:sz w:val="22"/>
          <w:szCs w:val="22"/>
          <w:vertAlign w:val="subscript"/>
        </w:rPr>
        <w:t>hk</w:t>
      </w:r>
      <w:proofErr w:type="spellEnd"/>
      <w:r w:rsidRPr="003B427E">
        <w:rPr>
          <w:rFonts w:ascii="Arial" w:hAnsi="Arial"/>
          <w:sz w:val="22"/>
          <w:szCs w:val="22"/>
        </w:rPr>
        <w:t xml:space="preserve"> = the proportion of </w:t>
      </w:r>
      <w:r>
        <w:rPr>
          <w:rFonts w:ascii="Arial" w:hAnsi="Arial"/>
          <w:sz w:val="22"/>
          <w:szCs w:val="22"/>
        </w:rPr>
        <w:t>adjudications or appeals which meet the quality criteria.</w:t>
      </w:r>
    </w:p>
    <w:p w:rsidR="000466CF" w:rsidRPr="003B427E" w:rsidRDefault="000466CF" w:rsidP="000466CF">
      <w:pPr>
        <w:tabs>
          <w:tab w:val="left" w:pos="-1440"/>
        </w:tabs>
        <w:ind w:left="2160" w:hanging="1440"/>
        <w:rPr>
          <w:rFonts w:ascii="Arial" w:hAnsi="Arial"/>
          <w:sz w:val="22"/>
          <w:szCs w:val="22"/>
        </w:rPr>
      </w:pPr>
    </w:p>
    <w:p w:rsidR="000466CF" w:rsidRDefault="000466CF" w:rsidP="000466CF">
      <w:pPr>
        <w:rPr>
          <w:rFonts w:ascii="Arial" w:hAnsi="Arial"/>
          <w:sz w:val="22"/>
          <w:szCs w:val="22"/>
        </w:rPr>
      </w:pPr>
      <w:r w:rsidRPr="003B427E">
        <w:rPr>
          <w:rFonts w:ascii="Arial" w:hAnsi="Arial"/>
          <w:sz w:val="22"/>
          <w:szCs w:val="22"/>
        </w:rPr>
        <w:t xml:space="preserve">Then for the </w:t>
      </w:r>
      <w:proofErr w:type="spellStart"/>
      <w:r w:rsidRPr="003B427E">
        <w:rPr>
          <w:rFonts w:ascii="Arial" w:hAnsi="Arial"/>
          <w:sz w:val="22"/>
          <w:szCs w:val="22"/>
        </w:rPr>
        <w:t>k</w:t>
      </w:r>
      <w:r w:rsidRPr="003B427E">
        <w:rPr>
          <w:rFonts w:ascii="Arial" w:hAnsi="Arial"/>
          <w:sz w:val="22"/>
          <w:szCs w:val="22"/>
          <w:vertAlign w:val="superscript"/>
        </w:rPr>
        <w:t>th</w:t>
      </w:r>
      <w:proofErr w:type="spellEnd"/>
      <w:r w:rsidRPr="003B427E">
        <w:rPr>
          <w:rFonts w:ascii="Arial" w:hAnsi="Arial"/>
          <w:sz w:val="22"/>
          <w:szCs w:val="22"/>
        </w:rPr>
        <w:t xml:space="preserve"> subgroup we have</w:t>
      </w:r>
    </w:p>
    <w:p w:rsidR="000466CF" w:rsidRPr="003B427E" w:rsidRDefault="000466CF" w:rsidP="000466CF">
      <w:pPr>
        <w:ind w:left="288" w:firstLine="432"/>
        <w:rPr>
          <w:rFonts w:ascii="Arial" w:hAnsi="Arial"/>
          <w:sz w:val="22"/>
          <w:szCs w:val="22"/>
        </w:rPr>
      </w:pP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680" w:dyaOrig="680">
          <v:shape id="_x0000_i1039" type="#_x0000_t75" style="width:34.5pt;height:34.5pt" o:ole="">
            <v:imagedata r:id="rId38" o:title=""/>
          </v:shape>
          <o:OLEObject Type="Embed" ProgID="Equation.3" ShapeID="_x0000_i1039" DrawAspect="Content" ObjectID="_1445423688" r:id="rId39"/>
        </w:object>
      </w:r>
      <w:r w:rsidRPr="003B427E">
        <w:rPr>
          <w:rFonts w:ascii="Arial" w:hAnsi="Arial"/>
          <w:sz w:val="22"/>
          <w:szCs w:val="22"/>
        </w:rPr>
        <w:t xml:space="preserve"> = total number of </w:t>
      </w:r>
      <w:r>
        <w:rPr>
          <w:rFonts w:ascii="Arial" w:hAnsi="Arial"/>
          <w:sz w:val="22"/>
          <w:szCs w:val="22"/>
        </w:rPr>
        <w:t>adjudications or appeals in the quarter.</w:t>
      </w:r>
    </w:p>
    <w:p w:rsidR="000466CF" w:rsidRPr="003B427E" w:rsidRDefault="000466CF" w:rsidP="000466CF">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700" w:dyaOrig="680">
          <v:shape id="_x0000_i1040" type="#_x0000_t75" style="width:34.5pt;height:34.5pt" o:ole="">
            <v:imagedata r:id="rId40" o:title=""/>
          </v:shape>
          <o:OLEObject Type="Embed" ProgID="Equation.3" ShapeID="_x0000_i1040" DrawAspect="Content" ObjectID="_1445423689" r:id="rId41"/>
        </w:object>
      </w:r>
      <w:r w:rsidRPr="003B427E">
        <w:rPr>
          <w:rFonts w:ascii="Arial" w:hAnsi="Arial"/>
          <w:sz w:val="22"/>
          <w:szCs w:val="22"/>
        </w:rPr>
        <w:t xml:space="preserve"> = total number of </w:t>
      </w:r>
      <w:r>
        <w:rPr>
          <w:rFonts w:ascii="Arial" w:hAnsi="Arial"/>
          <w:sz w:val="22"/>
          <w:szCs w:val="22"/>
        </w:rPr>
        <w:t>adjudications or appeals which meet the quality criteria in the quarter.</w:t>
      </w:r>
    </w:p>
    <w:p w:rsidR="000466CF" w:rsidRDefault="000466CF" w:rsidP="000466CF">
      <w:pPr>
        <w:rPr>
          <w:rFonts w:ascii="Arial" w:hAnsi="Arial"/>
          <w:sz w:val="22"/>
          <w:szCs w:val="22"/>
        </w:rPr>
      </w:pP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Pr>
          <w:rFonts w:ascii="Arial" w:hAnsi="Arial"/>
          <w:sz w:val="22"/>
          <w:szCs w:val="22"/>
        </w:rPr>
        <w:br w:type="page"/>
      </w:r>
      <w:r w:rsidRPr="003B427E">
        <w:rPr>
          <w:rFonts w:ascii="Arial" w:hAnsi="Arial"/>
          <w:sz w:val="22"/>
          <w:szCs w:val="22"/>
        </w:rPr>
        <w:lastRenderedPageBreak/>
        <w:t>The parameter to be estimated, 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is the proportion of </w:t>
      </w:r>
      <w:r>
        <w:rPr>
          <w:rFonts w:ascii="Arial" w:hAnsi="Arial"/>
          <w:sz w:val="22"/>
          <w:szCs w:val="22"/>
        </w:rPr>
        <w:t>adjudications or appeals in</w:t>
      </w:r>
      <w:r w:rsidRPr="003B427E">
        <w:rPr>
          <w:rFonts w:ascii="Arial" w:hAnsi="Arial"/>
          <w:sz w:val="22"/>
          <w:szCs w:val="22"/>
        </w:rPr>
        <w:t xml:space="preserve"> subgroup </w:t>
      </w:r>
      <w:r w:rsidRPr="003B427E">
        <w:rPr>
          <w:rFonts w:ascii="Arial" w:hAnsi="Arial"/>
          <w:i/>
          <w:iCs/>
          <w:sz w:val="22"/>
          <w:szCs w:val="22"/>
        </w:rPr>
        <w:t>k</w:t>
      </w:r>
      <w:r>
        <w:rPr>
          <w:rFonts w:ascii="Arial" w:hAnsi="Arial"/>
          <w:sz w:val="22"/>
          <w:szCs w:val="22"/>
        </w:rPr>
        <w:t xml:space="preserve"> that meet the quality criteria during the quarter</w:t>
      </w:r>
      <w:r w:rsidRPr="003B427E">
        <w:rPr>
          <w:rFonts w:ascii="Arial" w:hAnsi="Arial"/>
          <w:sz w:val="22"/>
          <w:szCs w:val="22"/>
        </w:rPr>
        <w:t xml:space="preserve">.  Analogous to previous work, we can write </w:t>
      </w:r>
    </w:p>
    <w:p w:rsidR="000466CF" w:rsidRPr="003B427E" w:rsidRDefault="000466CF" w:rsidP="000466CF">
      <w:pPr>
        <w:rPr>
          <w:rFonts w:ascii="Arial" w:hAnsi="Arial"/>
          <w:sz w:val="22"/>
          <w:szCs w:val="22"/>
        </w:rPr>
      </w:pPr>
    </w:p>
    <w:p w:rsidR="000466CF" w:rsidRPr="003B427E" w:rsidRDefault="000466CF" w:rsidP="000466CF">
      <w:pPr>
        <w:ind w:firstLine="720"/>
        <w:rPr>
          <w:rFonts w:ascii="Arial" w:hAnsi="Arial"/>
          <w:sz w:val="22"/>
          <w:szCs w:val="22"/>
        </w:rPr>
      </w:pPr>
      <w:r w:rsidRPr="003B427E">
        <w:rPr>
          <w:rFonts w:ascii="Arial" w:hAnsi="Arial"/>
          <w:sz w:val="22"/>
          <w:szCs w:val="22"/>
        </w:rPr>
        <w:t>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w:t>
      </w:r>
      <w:proofErr w:type="gramStart"/>
      <w:r w:rsidRPr="003B427E">
        <w:rPr>
          <w:rFonts w:ascii="Arial" w:hAnsi="Arial"/>
          <w:sz w:val="22"/>
          <w:szCs w:val="22"/>
        </w:rPr>
        <w:t xml:space="preserve">= </w:t>
      </w:r>
      <w:proofErr w:type="gramEnd"/>
      <w:r w:rsidRPr="003B427E">
        <w:rPr>
          <w:rFonts w:ascii="Arial" w:hAnsi="Arial"/>
          <w:position w:val="-28"/>
          <w:sz w:val="22"/>
          <w:szCs w:val="22"/>
        </w:rPr>
        <w:object w:dxaOrig="1440" w:dyaOrig="680">
          <v:shape id="_x0000_i1041" type="#_x0000_t75" style="width:1in;height:34.5pt" o:ole="">
            <v:imagedata r:id="rId42" o:title=""/>
          </v:shape>
          <o:OLEObject Type="Embed" ProgID="Equation.3" ShapeID="_x0000_i1041" DrawAspect="Content" ObjectID="_1445423690" r:id="rId43"/>
        </w:objec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Note that neither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nor 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is known.  For the </w:t>
      </w:r>
      <w:proofErr w:type="spellStart"/>
      <w:r w:rsidRPr="003B427E">
        <w:rPr>
          <w:rFonts w:ascii="Arial" w:hAnsi="Arial"/>
          <w:sz w:val="22"/>
          <w:szCs w:val="22"/>
        </w:rPr>
        <w:t>k</w:t>
      </w:r>
      <w:r w:rsidRPr="003B427E">
        <w:rPr>
          <w:rFonts w:ascii="Arial" w:hAnsi="Arial"/>
          <w:sz w:val="22"/>
          <w:szCs w:val="22"/>
          <w:vertAlign w:val="superscript"/>
        </w:rPr>
        <w:t>th</w:t>
      </w:r>
      <w:proofErr w:type="spellEnd"/>
      <w:r w:rsidRPr="003B427E">
        <w:rPr>
          <w:rFonts w:ascii="Arial" w:hAnsi="Arial"/>
          <w:sz w:val="22"/>
          <w:szCs w:val="22"/>
        </w:rPr>
        <w:t xml:space="preserve"> subgroup, </w:t>
      </w:r>
      <w:proofErr w:type="spellStart"/>
      <w:r w:rsidRPr="003B427E">
        <w:rPr>
          <w:rFonts w:ascii="Arial" w:hAnsi="Arial"/>
          <w:sz w:val="22"/>
          <w:szCs w:val="22"/>
        </w:rPr>
        <w:t>h</w:t>
      </w:r>
      <w:r w:rsidRPr="003B427E">
        <w:rPr>
          <w:rFonts w:ascii="Arial" w:hAnsi="Arial"/>
          <w:sz w:val="22"/>
          <w:szCs w:val="22"/>
          <w:vertAlign w:val="superscript"/>
        </w:rPr>
        <w:t>th</w:t>
      </w:r>
      <w:proofErr w:type="spellEnd"/>
      <w:r w:rsidRPr="003B427E">
        <w:rPr>
          <w:rFonts w:ascii="Arial" w:hAnsi="Arial"/>
          <w:sz w:val="22"/>
          <w:szCs w:val="22"/>
        </w:rPr>
        <w:t xml:space="preserve"> </w:t>
      </w:r>
      <w:r>
        <w:rPr>
          <w:rFonts w:ascii="Arial" w:hAnsi="Arial"/>
          <w:sz w:val="22"/>
          <w:szCs w:val="22"/>
        </w:rPr>
        <w:t>quarter</w:t>
      </w:r>
      <w:r w:rsidRPr="003B427E">
        <w:rPr>
          <w:rFonts w:ascii="Arial" w:hAnsi="Arial"/>
          <w:sz w:val="22"/>
          <w:szCs w:val="22"/>
        </w:rPr>
        <w:t>, let</w:t>
      </w:r>
    </w:p>
    <w:p w:rsidR="000466CF" w:rsidRPr="003B427E" w:rsidRDefault="000466CF" w:rsidP="000466CF">
      <w:pPr>
        <w:rPr>
          <w:rFonts w:ascii="Arial" w:hAnsi="Arial"/>
          <w:sz w:val="22"/>
          <w:szCs w:val="22"/>
        </w:rPr>
      </w:pPr>
    </w:p>
    <w:p w:rsidR="000466CF" w:rsidRPr="003B427E"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m</w:t>
      </w:r>
      <w:r w:rsidRPr="003B427E">
        <w:rPr>
          <w:rFonts w:ascii="Arial" w:hAnsi="Arial"/>
          <w:sz w:val="22"/>
          <w:szCs w:val="22"/>
          <w:vertAlign w:val="subscript"/>
        </w:rPr>
        <w:t>hk</w:t>
      </w:r>
      <w:proofErr w:type="spellEnd"/>
      <w:r w:rsidRPr="003B427E">
        <w:rPr>
          <w:rFonts w:ascii="Arial" w:hAnsi="Arial"/>
          <w:sz w:val="22"/>
          <w:szCs w:val="22"/>
        </w:rPr>
        <w:tab/>
        <w:t>=</w:t>
      </w:r>
      <w:r w:rsidRPr="003B427E">
        <w:rPr>
          <w:rFonts w:ascii="Arial" w:hAnsi="Arial"/>
          <w:sz w:val="22"/>
          <w:szCs w:val="22"/>
        </w:rPr>
        <w:tab/>
        <w:t xml:space="preserve">the number of </w:t>
      </w:r>
      <w:r w:rsidRPr="003B427E">
        <w:rPr>
          <w:rFonts w:ascii="Arial" w:hAnsi="Arial"/>
          <w:sz w:val="22"/>
          <w:szCs w:val="22"/>
          <w:u w:val="single"/>
        </w:rPr>
        <w:t>completed</w:t>
      </w:r>
      <w:r w:rsidRPr="003B427E">
        <w:rPr>
          <w:rFonts w:ascii="Arial" w:hAnsi="Arial"/>
          <w:sz w:val="22"/>
          <w:szCs w:val="22"/>
        </w:rPr>
        <w:t xml:space="preserve"> sample </w:t>
      </w:r>
      <w:r>
        <w:rPr>
          <w:rFonts w:ascii="Arial" w:hAnsi="Arial"/>
          <w:sz w:val="22"/>
          <w:szCs w:val="22"/>
        </w:rPr>
        <w:t xml:space="preserve">adjudications or appeals for quarter </w:t>
      </w:r>
      <w:r>
        <w:rPr>
          <w:rFonts w:ascii="Arial" w:hAnsi="Arial"/>
          <w:i/>
          <w:sz w:val="22"/>
          <w:szCs w:val="22"/>
        </w:rPr>
        <w:t>h</w: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126E07" w:rsidRDefault="000466CF" w:rsidP="000466CF">
      <w:pPr>
        <w:tabs>
          <w:tab w:val="left" w:pos="-1440"/>
          <w:tab w:val="left" w:pos="1440"/>
        </w:tabs>
        <w:ind w:left="2160" w:hanging="1440"/>
        <w:rPr>
          <w:rFonts w:ascii="Arial" w:hAnsi="Arial"/>
          <w:sz w:val="22"/>
          <w:szCs w:val="22"/>
        </w:rPr>
      </w:pPr>
      <w:proofErr w:type="spellStart"/>
      <w:r w:rsidRPr="003B427E">
        <w:rPr>
          <w:rFonts w:ascii="Arial" w:hAnsi="Arial"/>
          <w:sz w:val="22"/>
          <w:szCs w:val="22"/>
        </w:rPr>
        <w:t>x</w:t>
      </w:r>
      <w:r w:rsidRPr="003B427E">
        <w:rPr>
          <w:rFonts w:ascii="Arial" w:hAnsi="Arial"/>
          <w:sz w:val="22"/>
          <w:szCs w:val="22"/>
          <w:vertAlign w:val="subscript"/>
        </w:rPr>
        <w:t>hk</w:t>
      </w:r>
      <w:proofErr w:type="spellEnd"/>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 xml:space="preserve">adjudications or appeals in quarter </w:t>
      </w:r>
      <w:r>
        <w:rPr>
          <w:rFonts w:ascii="Arial" w:hAnsi="Arial"/>
          <w:i/>
          <w:sz w:val="22"/>
          <w:szCs w:val="22"/>
        </w:rPr>
        <w:t xml:space="preserve">h </w:t>
      </w:r>
      <w:r>
        <w:rPr>
          <w:rFonts w:ascii="Arial" w:hAnsi="Arial"/>
          <w:sz w:val="22"/>
          <w:szCs w:val="22"/>
        </w:rPr>
        <w:t>which meet the quality criteria.</w:t>
      </w:r>
    </w:p>
    <w:p w:rsidR="000466CF" w:rsidRPr="003B427E" w:rsidRDefault="000466CF" w:rsidP="000466CF">
      <w:pPr>
        <w:rPr>
          <w:rFonts w:ascii="Arial" w:hAnsi="Arial"/>
          <w:sz w:val="22"/>
          <w:szCs w:val="22"/>
        </w:rPr>
      </w:pPr>
    </w:p>
    <w:p w:rsidR="000466CF" w:rsidRDefault="000466CF" w:rsidP="000466CF">
      <w:pPr>
        <w:rPr>
          <w:rFonts w:ascii="Arial" w:hAnsi="Arial"/>
          <w:sz w:val="22"/>
          <w:szCs w:val="22"/>
        </w:rPr>
      </w:pPr>
      <w:r w:rsidRPr="003B427E">
        <w:rPr>
          <w:rFonts w:ascii="Arial" w:hAnsi="Arial"/>
          <w:sz w:val="22"/>
          <w:szCs w:val="22"/>
        </w:rPr>
        <w:t>Assuming nonresponse is random</w:t>
      </w:r>
      <w:r>
        <w:rPr>
          <w:rFonts w:ascii="Arial" w:hAnsi="Arial"/>
          <w:sz w:val="22"/>
          <w:szCs w:val="22"/>
        </w:rPr>
        <w:t>:</w:t>
      </w:r>
    </w:p>
    <w:p w:rsidR="000466CF" w:rsidRDefault="000466CF" w:rsidP="000466CF">
      <w:pPr>
        <w:rPr>
          <w:rFonts w:ascii="Arial" w:hAnsi="Arial"/>
          <w:sz w:val="22"/>
          <w:szCs w:val="22"/>
        </w:rPr>
      </w:pPr>
      <w:r w:rsidRPr="003B427E">
        <w:rPr>
          <w:rFonts w:ascii="Arial" w:hAnsi="Arial"/>
          <w:position w:val="-28"/>
          <w:sz w:val="22"/>
          <w:szCs w:val="22"/>
        </w:rPr>
        <w:object w:dxaOrig="1540" w:dyaOrig="680">
          <v:shape id="_x0000_i1042" type="#_x0000_t75" style="width:76.5pt;height:34.5pt" o:ole="">
            <v:imagedata r:id="rId44" o:title=""/>
          </v:shape>
          <o:OLEObject Type="Embed" ProgID="Equation.3" ShapeID="_x0000_i1042" DrawAspect="Content" ObjectID="_1445423691" r:id="rId45"/>
        </w:object>
      </w:r>
      <w:r w:rsidRPr="003B427E">
        <w:rPr>
          <w:rFonts w:ascii="Arial" w:hAnsi="Arial"/>
          <w:sz w:val="22"/>
          <w:szCs w:val="22"/>
        </w:rPr>
        <w:t xml:space="preserve"> </w:t>
      </w:r>
      <w:proofErr w:type="gramStart"/>
      <w:r w:rsidRPr="003B427E">
        <w:rPr>
          <w:rFonts w:ascii="Arial" w:hAnsi="Arial"/>
          <w:sz w:val="22"/>
          <w:szCs w:val="22"/>
        </w:rPr>
        <w:t>is</w:t>
      </w:r>
      <w:proofErr w:type="gramEnd"/>
      <w:r w:rsidRPr="003B427E">
        <w:rPr>
          <w:rFonts w:ascii="Arial" w:hAnsi="Arial"/>
          <w:sz w:val="22"/>
          <w:szCs w:val="22"/>
        </w:rPr>
        <w:t xml:space="preserve"> unbiased for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and </w:t>
      </w:r>
    </w:p>
    <w:p w:rsidR="000466CF" w:rsidRDefault="000466CF" w:rsidP="000466CF">
      <w:pPr>
        <w:rPr>
          <w:rFonts w:ascii="Arial" w:hAnsi="Arial"/>
          <w:sz w:val="22"/>
          <w:szCs w:val="22"/>
        </w:rPr>
      </w:pPr>
    </w:p>
    <w:p w:rsidR="000466CF" w:rsidRDefault="000466CF" w:rsidP="000466CF">
      <w:pPr>
        <w:rPr>
          <w:rFonts w:ascii="Arial" w:hAnsi="Arial"/>
          <w:sz w:val="22"/>
          <w:szCs w:val="22"/>
        </w:rPr>
      </w:pPr>
      <w:r w:rsidRPr="003B427E">
        <w:rPr>
          <w:rFonts w:ascii="Arial" w:hAnsi="Arial"/>
          <w:position w:val="-28"/>
          <w:sz w:val="22"/>
          <w:szCs w:val="22"/>
        </w:rPr>
        <w:object w:dxaOrig="1579" w:dyaOrig="680">
          <v:shape id="_x0000_i1043" type="#_x0000_t75" style="width:79.5pt;height:34.5pt" o:ole="">
            <v:imagedata r:id="rId46" o:title=""/>
          </v:shape>
          <o:OLEObject Type="Embed" ProgID="Equation.3" ShapeID="_x0000_i1043" DrawAspect="Content" ObjectID="_1445423692" r:id="rId47"/>
        </w:object>
      </w:r>
      <w:r w:rsidRPr="003B427E">
        <w:rPr>
          <w:rFonts w:ascii="Arial" w:hAnsi="Arial"/>
          <w:sz w:val="22"/>
          <w:szCs w:val="22"/>
        </w:rPr>
        <w:t xml:space="preserve"> </w:t>
      </w:r>
      <w:proofErr w:type="gramStart"/>
      <w:r w:rsidRPr="003B427E">
        <w:rPr>
          <w:rFonts w:ascii="Arial" w:hAnsi="Arial"/>
          <w:sz w:val="22"/>
          <w:szCs w:val="22"/>
        </w:rPr>
        <w:t>is</w:t>
      </w:r>
      <w:proofErr w:type="gramEnd"/>
      <w:r w:rsidRPr="003B427E">
        <w:rPr>
          <w:rFonts w:ascii="Arial" w:hAnsi="Arial"/>
          <w:sz w:val="22"/>
          <w:szCs w:val="22"/>
        </w:rPr>
        <w:t xml:space="preserve"> unbiased for 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w:t>
      </w:r>
    </w:p>
    <w:p w:rsidR="000466CF"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 xml:space="preserve">The ratio estimator </w:t>
      </w:r>
      <w:r w:rsidRPr="00D404E9">
        <w:rPr>
          <w:rFonts w:ascii="Arial" w:hAnsi="Arial"/>
          <w:position w:val="-12"/>
          <w:sz w:val="22"/>
          <w:szCs w:val="22"/>
        </w:rPr>
        <w:object w:dxaOrig="1500" w:dyaOrig="340">
          <v:shape id="_x0000_i1044" type="#_x0000_t75" style="width:75pt;height:16.5pt" o:ole="">
            <v:imagedata r:id="rId48" o:title=""/>
          </v:shape>
          <o:OLEObject Type="Embed" ProgID="Equation.3" ShapeID="_x0000_i1044" DrawAspect="Content" ObjectID="_1445423693" r:id="rId49"/>
        </w:object>
      </w:r>
      <w:r w:rsidRPr="003B427E">
        <w:rPr>
          <w:rFonts w:ascii="Arial" w:hAnsi="Arial"/>
          <w:sz w:val="22"/>
          <w:szCs w:val="22"/>
        </w:rPr>
        <w:t xml:space="preserve"> is approximately unbiased for 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and</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position w:val="-28"/>
          <w:sz w:val="22"/>
          <w:szCs w:val="22"/>
        </w:rPr>
        <w:object w:dxaOrig="6680" w:dyaOrig="940">
          <v:shape id="_x0000_i1045" type="#_x0000_t75" style="width:334.5pt;height:46.5pt" o:ole="">
            <v:imagedata r:id="rId50" o:title=""/>
          </v:shape>
          <o:OLEObject Type="Embed" ProgID="Equation.3" ShapeID="_x0000_i1045" DrawAspect="Content" ObjectID="_1445423694" r:id="rId51"/>
        </w:object>
      </w:r>
    </w:p>
    <w:p w:rsidR="000466CF" w:rsidRPr="003B427E" w:rsidRDefault="000466CF" w:rsidP="000466CF">
      <w:pPr>
        <w:rPr>
          <w:rFonts w:ascii="Arial" w:hAnsi="Arial"/>
          <w:sz w:val="22"/>
          <w:szCs w:val="22"/>
        </w:rPr>
      </w:pPr>
    </w:p>
    <w:p w:rsidR="000466CF" w:rsidRDefault="000466CF" w:rsidP="000466CF">
      <w:pPr>
        <w:rPr>
          <w:rFonts w:ascii="Arial" w:hAnsi="Arial"/>
          <w:sz w:val="22"/>
          <w:szCs w:val="22"/>
        </w:rPr>
      </w:pPr>
      <w:r w:rsidRPr="003B427E">
        <w:rPr>
          <w:rFonts w:ascii="Arial" w:hAnsi="Arial"/>
          <w:sz w:val="22"/>
          <w:szCs w:val="22"/>
        </w:rPr>
        <w:t xml:space="preserve">where </w:t>
      </w:r>
      <w:proofErr w:type="spellStart"/>
      <w:r w:rsidRPr="003B427E">
        <w:rPr>
          <w:rFonts w:ascii="Arial" w:hAnsi="Arial"/>
          <w:sz w:val="22"/>
          <w:szCs w:val="22"/>
        </w:rPr>
        <w:t>f</w:t>
      </w:r>
      <w:r w:rsidRPr="003B427E">
        <w:rPr>
          <w:rFonts w:ascii="Arial" w:hAnsi="Arial"/>
          <w:sz w:val="22"/>
          <w:szCs w:val="22"/>
          <w:vertAlign w:val="subscript"/>
        </w:rPr>
        <w:t>hk</w:t>
      </w:r>
      <w:proofErr w:type="spellEnd"/>
      <w:r w:rsidRPr="003B427E">
        <w:rPr>
          <w:rFonts w:ascii="Arial" w:hAnsi="Arial"/>
          <w:sz w:val="22"/>
          <w:szCs w:val="22"/>
        </w:rPr>
        <w:t xml:space="preserve"> = </w:t>
      </w:r>
      <w:proofErr w:type="spellStart"/>
      <w:r w:rsidRPr="003B427E">
        <w:rPr>
          <w:rFonts w:ascii="Arial" w:hAnsi="Arial"/>
          <w:sz w:val="22"/>
          <w:szCs w:val="22"/>
        </w:rPr>
        <w:t>m</w:t>
      </w:r>
      <w:r w:rsidRPr="003B427E">
        <w:rPr>
          <w:rFonts w:ascii="Arial" w:hAnsi="Arial"/>
          <w:sz w:val="22"/>
          <w:szCs w:val="22"/>
          <w:vertAlign w:val="subscript"/>
        </w:rPr>
        <w:t>hk</w:t>
      </w:r>
      <w:proofErr w:type="spellEnd"/>
      <w:r w:rsidRPr="003B427E">
        <w:rPr>
          <w:rFonts w:ascii="Arial" w:hAnsi="Arial"/>
          <w:sz w:val="22"/>
          <w:szCs w:val="22"/>
        </w:rPr>
        <w:t>/</w:t>
      </w:r>
      <w:proofErr w:type="spellStart"/>
      <w:r w:rsidRPr="003B427E">
        <w:rPr>
          <w:rFonts w:ascii="Arial" w:hAnsi="Arial"/>
          <w:sz w:val="22"/>
          <w:szCs w:val="22"/>
        </w:rPr>
        <w:t>N</w:t>
      </w:r>
      <w:r w:rsidRPr="003B427E">
        <w:rPr>
          <w:rFonts w:ascii="Arial" w:hAnsi="Arial"/>
          <w:sz w:val="22"/>
          <w:szCs w:val="22"/>
          <w:vertAlign w:val="subscript"/>
        </w:rPr>
        <w:t>hk</w:t>
      </w:r>
      <w:proofErr w:type="spellEnd"/>
      <w:r w:rsidRPr="003B427E">
        <w:rPr>
          <w:rFonts w:ascii="Arial" w:hAnsi="Arial"/>
          <w:sz w:val="22"/>
          <w:szCs w:val="22"/>
        </w:rPr>
        <w:t xml:space="preserve"> and </w:t>
      </w:r>
      <w:proofErr w:type="spellStart"/>
      <w:r w:rsidRPr="003B427E">
        <w:rPr>
          <w:rFonts w:ascii="Arial" w:hAnsi="Arial"/>
          <w:sz w:val="22"/>
          <w:szCs w:val="22"/>
        </w:rPr>
        <w:t>θ</w:t>
      </w:r>
      <w:r w:rsidRPr="003B427E">
        <w:rPr>
          <w:rFonts w:ascii="Arial" w:hAnsi="Arial"/>
          <w:sz w:val="22"/>
          <w:szCs w:val="22"/>
          <w:vertAlign w:val="subscript"/>
        </w:rPr>
        <w:t>hk</w:t>
      </w:r>
      <w:proofErr w:type="spellEnd"/>
      <w:r w:rsidRPr="003B427E">
        <w:rPr>
          <w:rFonts w:ascii="Arial" w:hAnsi="Arial"/>
          <w:sz w:val="22"/>
          <w:szCs w:val="22"/>
        </w:rPr>
        <w:t xml:space="preserve"> = </w:t>
      </w:r>
      <w:proofErr w:type="spellStart"/>
      <w:r w:rsidRPr="003B427E">
        <w:rPr>
          <w:rFonts w:ascii="Arial" w:hAnsi="Arial"/>
          <w:sz w:val="22"/>
          <w:szCs w:val="22"/>
        </w:rPr>
        <w:t>N</w:t>
      </w:r>
      <w:r w:rsidRPr="003B427E">
        <w:rPr>
          <w:rFonts w:ascii="Arial" w:hAnsi="Arial"/>
          <w:sz w:val="22"/>
          <w:szCs w:val="22"/>
          <w:vertAlign w:val="subscript"/>
        </w:rPr>
        <w:t>hk</w:t>
      </w:r>
      <w:proofErr w:type="spellEnd"/>
      <w:r w:rsidRPr="003B427E">
        <w:rPr>
          <w:rFonts w:ascii="Arial" w:hAnsi="Arial"/>
          <w:sz w:val="22"/>
          <w:szCs w:val="22"/>
        </w:rPr>
        <w:t>/</w:t>
      </w:r>
      <w:proofErr w:type="spellStart"/>
      <w:r w:rsidRPr="003B427E">
        <w:rPr>
          <w:rFonts w:ascii="Arial" w:hAnsi="Arial"/>
          <w:sz w:val="22"/>
          <w:szCs w:val="22"/>
        </w:rPr>
        <w:t>N</w:t>
      </w:r>
      <w:r w:rsidRPr="003B427E">
        <w:rPr>
          <w:rFonts w:ascii="Arial" w:hAnsi="Arial"/>
          <w:sz w:val="22"/>
          <w:szCs w:val="22"/>
          <w:vertAlign w:val="subscript"/>
        </w:rPr>
        <w:t>h</w:t>
      </w:r>
      <w:proofErr w:type="spellEnd"/>
      <w:r w:rsidRPr="003B427E">
        <w:rPr>
          <w:rFonts w:ascii="Arial" w:hAnsi="Arial"/>
          <w:sz w:val="22"/>
          <w:szCs w:val="22"/>
        </w:rPr>
        <w:t xml:space="preserve">.  </w:t>
      </w:r>
    </w:p>
    <w:p w:rsidR="000466CF"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 xml:space="preserve">Assuming that </w:t>
      </w:r>
      <w:proofErr w:type="spellStart"/>
      <w:r w:rsidRPr="003B427E">
        <w:rPr>
          <w:rFonts w:ascii="Arial" w:hAnsi="Arial"/>
          <w:sz w:val="22"/>
          <w:szCs w:val="22"/>
        </w:rPr>
        <w:t>f</w:t>
      </w:r>
      <w:r w:rsidRPr="003B427E">
        <w:rPr>
          <w:rFonts w:ascii="Arial" w:hAnsi="Arial"/>
          <w:sz w:val="22"/>
          <w:szCs w:val="22"/>
          <w:vertAlign w:val="subscript"/>
        </w:rPr>
        <w:t>hk</w:t>
      </w:r>
      <w:proofErr w:type="spellEnd"/>
      <w:r w:rsidRPr="003B427E">
        <w:rPr>
          <w:rFonts w:ascii="Arial" w:hAnsi="Arial"/>
          <w:sz w:val="22"/>
          <w:szCs w:val="22"/>
        </w:rPr>
        <w:t xml:space="preserve"> is negligible, an estimate for the variance is given by</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D404E9">
        <w:rPr>
          <w:rFonts w:ascii="Arial" w:hAnsi="Arial"/>
          <w:position w:val="-28"/>
          <w:sz w:val="22"/>
          <w:szCs w:val="22"/>
        </w:rPr>
        <w:object w:dxaOrig="6060" w:dyaOrig="940">
          <v:shape id="_x0000_i1046" type="#_x0000_t75" style="width:303pt;height:46.5pt" o:ole="">
            <v:imagedata r:id="rId52" o:title=""/>
          </v:shape>
          <o:OLEObject Type="Embed" ProgID="Equation.3" ShapeID="_x0000_i1046" DrawAspect="Content" ObjectID="_1445423695" r:id="rId53"/>
        </w:objec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where</w:t>
      </w:r>
      <w:r>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position w:val="-12"/>
          <w:sz w:val="22"/>
          <w:szCs w:val="22"/>
        </w:rPr>
        <w:object w:dxaOrig="1340" w:dyaOrig="340">
          <v:shape id="_x0000_i1047" type="#_x0000_t75" style="width:67.5pt;height:16.5pt" o:ole="">
            <v:imagedata r:id="rId54" o:title=""/>
          </v:shape>
          <o:OLEObject Type="Embed" ProgID="Equation.3" ShapeID="_x0000_i1047" DrawAspect="Content" ObjectID="_1445423696" r:id="rId55"/>
        </w:object>
      </w:r>
      <w:r w:rsidRPr="003B427E">
        <w:rPr>
          <w:rFonts w:ascii="Arial" w:hAnsi="Arial"/>
          <w:sz w:val="22"/>
          <w:szCs w:val="22"/>
        </w:rPr>
        <w:t xml:space="preserve"> </w:t>
      </w:r>
      <w:proofErr w:type="gramStart"/>
      <w:r w:rsidRPr="003B427E">
        <w:rPr>
          <w:rFonts w:ascii="Arial" w:hAnsi="Arial"/>
          <w:sz w:val="22"/>
          <w:szCs w:val="22"/>
        </w:rPr>
        <w:t>and</w:t>
      </w:r>
      <w:proofErr w:type="gramEnd"/>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bookmarkStart w:id="2" w:name="QuickMark"/>
      <w:bookmarkEnd w:id="2"/>
    </w:p>
    <w:p w:rsidR="000466CF" w:rsidRPr="003B427E" w:rsidRDefault="000466CF" w:rsidP="000466CF">
      <w:pPr>
        <w:rPr>
          <w:rFonts w:ascii="Arial" w:hAnsi="Arial"/>
          <w:sz w:val="22"/>
          <w:szCs w:val="22"/>
        </w:rPr>
      </w:pPr>
      <w:r w:rsidRPr="003B427E">
        <w:rPr>
          <w:rFonts w:ascii="Arial" w:hAnsi="Arial"/>
          <w:position w:val="-12"/>
          <w:sz w:val="22"/>
          <w:szCs w:val="22"/>
        </w:rPr>
        <w:object w:dxaOrig="580" w:dyaOrig="340">
          <v:shape id="_x0000_i1048" type="#_x0000_t75" style="width:28.5pt;height:17.25pt" o:ole="">
            <v:imagedata r:id="rId56" o:title=""/>
          </v:shape>
          <o:OLEObject Type="Embed" ProgID="Equation.3" ShapeID="_x0000_i1048" DrawAspect="Content" ObjectID="_1445423697" r:id="rId57"/>
        </w:object>
      </w:r>
      <w:r w:rsidRPr="00D404E9">
        <w:rPr>
          <w:rFonts w:ascii="Arial" w:hAnsi="Arial"/>
          <w:sz w:val="48"/>
          <w:szCs w:val="48"/>
        </w:rPr>
        <w:fldChar w:fldCharType="begin"/>
      </w:r>
      <w:r w:rsidRPr="00D404E9">
        <w:rPr>
          <w:rFonts w:ascii="Arial" w:hAnsi="Arial"/>
          <w:sz w:val="48"/>
          <w:szCs w:val="48"/>
        </w:rPr>
        <w:instrText>ADVANCE \d8</w:instrText>
      </w:r>
      <w:r w:rsidRPr="00D404E9">
        <w:rPr>
          <w:rFonts w:ascii="Arial" w:hAnsi="Arial"/>
          <w:sz w:val="48"/>
          <w:szCs w:val="48"/>
        </w:rPr>
        <w:fldChar w:fldCharType="end"/>
      </w:r>
      <w:r w:rsidRPr="000A6B14">
        <w:rPr>
          <w:rFonts w:ascii="Arial" w:hAnsi="Arial"/>
          <w:kern w:val="48"/>
          <w:position w:val="8"/>
          <w:sz w:val="48"/>
          <w:szCs w:val="48"/>
        </w:rPr>
        <w:t>{</w:t>
      </w:r>
      <w:r w:rsidRPr="003B427E">
        <w:rPr>
          <w:rFonts w:ascii="Arial" w:hAnsi="Arial"/>
          <w:sz w:val="22"/>
          <w:szCs w:val="22"/>
        </w:rPr>
        <w:t xml:space="preserve"> </w:t>
      </w:r>
      <w:r w:rsidRPr="003B427E">
        <w:rPr>
          <w:rFonts w:ascii="Arial" w:hAnsi="Arial"/>
          <w:sz w:val="22"/>
          <w:szCs w:val="22"/>
        </w:rPr>
        <w:fldChar w:fldCharType="begin"/>
      </w:r>
      <w:r w:rsidRPr="003B427E">
        <w:rPr>
          <w:rFonts w:ascii="Arial" w:hAnsi="Arial"/>
          <w:sz w:val="22"/>
          <w:szCs w:val="22"/>
        </w:rPr>
        <w:instrText>ADVANCE \u8</w:instrText>
      </w:r>
      <w:r w:rsidRPr="003B427E">
        <w:rPr>
          <w:rFonts w:ascii="Arial" w:hAnsi="Arial"/>
          <w:sz w:val="22"/>
          <w:szCs w:val="22"/>
        </w:rPr>
        <w:fldChar w:fldCharType="end"/>
      </w:r>
      <w:r w:rsidRPr="003B427E">
        <w:rPr>
          <w:rFonts w:ascii="Arial" w:hAnsi="Arial"/>
          <w:position w:val="-28"/>
          <w:sz w:val="22"/>
          <w:szCs w:val="22"/>
        </w:rPr>
        <w:object w:dxaOrig="1800" w:dyaOrig="680">
          <v:shape id="_x0000_i1049" type="#_x0000_t75" style="width:90pt;height:34.5pt" o:ole="">
            <v:imagedata r:id="rId58" o:title=""/>
          </v:shape>
          <o:OLEObject Type="Embed" ProgID="Equation.3" ShapeID="_x0000_i1049" DrawAspect="Content" ObjectID="_1445423698" r:id="rId59"/>
        </w:object>
      </w:r>
      <w:r w:rsidRPr="003B427E">
        <w:rPr>
          <w:rFonts w:ascii="Arial" w:hAnsi="Arial"/>
          <w:sz w:val="22"/>
          <w:szCs w:val="22"/>
        </w:rPr>
        <w:t>.</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b/>
          <w:bCs/>
          <w:sz w:val="22"/>
          <w:szCs w:val="22"/>
        </w:rPr>
        <w:t>Confidence Intervals</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The 95% confidence interval for any estimate (u) is:</w:t>
      </w:r>
    </w:p>
    <w:p w:rsidR="000466CF" w:rsidRPr="003B427E" w:rsidRDefault="000466CF" w:rsidP="000466CF">
      <w:pPr>
        <w:rPr>
          <w:rFonts w:ascii="Arial" w:hAnsi="Arial"/>
          <w:sz w:val="22"/>
          <w:szCs w:val="22"/>
        </w:rPr>
      </w:pPr>
    </w:p>
    <w:p w:rsidR="000466CF" w:rsidRPr="003B427E" w:rsidRDefault="000466CF" w:rsidP="000466CF">
      <w:pPr>
        <w:ind w:firstLine="720"/>
        <w:rPr>
          <w:rFonts w:ascii="Arial" w:hAnsi="Arial"/>
          <w:sz w:val="22"/>
          <w:szCs w:val="22"/>
        </w:rPr>
      </w:pPr>
      <w:r w:rsidRPr="003B427E">
        <w:rPr>
          <w:rFonts w:ascii="Arial" w:hAnsi="Arial"/>
          <w:position w:val="-12"/>
          <w:sz w:val="22"/>
          <w:szCs w:val="22"/>
        </w:rPr>
        <w:object w:dxaOrig="2160" w:dyaOrig="400">
          <v:shape id="_x0000_i1050" type="#_x0000_t75" style="width:108pt;height:19.5pt" o:ole="">
            <v:imagedata r:id="rId60" o:title=""/>
          </v:shape>
          <o:OLEObject Type="Embed" ProgID="Equation.3" ShapeID="_x0000_i1050" DrawAspect="Content" ObjectID="_1445423699" r:id="rId61"/>
        </w:object>
      </w:r>
    </w:p>
    <w:p w:rsidR="000466CF" w:rsidRPr="003B427E" w:rsidRDefault="000466CF" w:rsidP="000466CF">
      <w:pPr>
        <w:rPr>
          <w:rFonts w:ascii="Arial" w:hAnsi="Arial"/>
          <w:sz w:val="22"/>
          <w:szCs w:val="22"/>
        </w:rPr>
      </w:pPr>
    </w:p>
    <w:p w:rsidR="000466CF" w:rsidRPr="003B427E" w:rsidRDefault="000466CF" w:rsidP="000466CF">
      <w:pPr>
        <w:ind w:firstLine="720"/>
        <w:rPr>
          <w:rFonts w:ascii="Arial" w:hAnsi="Arial"/>
          <w:sz w:val="22"/>
          <w:szCs w:val="22"/>
        </w:rPr>
      </w:pPr>
      <w:r w:rsidRPr="003B427E">
        <w:rPr>
          <w:rFonts w:ascii="Arial" w:hAnsi="Arial"/>
          <w:position w:val="-12"/>
          <w:sz w:val="22"/>
          <w:szCs w:val="22"/>
        </w:rPr>
        <w:object w:dxaOrig="2200" w:dyaOrig="400">
          <v:shape id="_x0000_i1051" type="#_x0000_t75" style="width:109.5pt;height:19.5pt" o:ole="">
            <v:imagedata r:id="rId62" o:title=""/>
          </v:shape>
          <o:OLEObject Type="Embed" ProgID="Equation.3" ShapeID="_x0000_i1051" DrawAspect="Content" ObjectID="_1445423700" r:id="rId63"/>
        </w:object>
      </w:r>
    </w:p>
    <w:p w:rsidR="000466CF" w:rsidRPr="003B427E" w:rsidRDefault="000466CF" w:rsidP="000466CF">
      <w:pPr>
        <w:rPr>
          <w:rFonts w:ascii="Arial" w:hAnsi="Arial"/>
          <w:sz w:val="22"/>
          <w:szCs w:val="22"/>
        </w:rPr>
      </w:pPr>
    </w:p>
    <w:p w:rsidR="000466CF" w:rsidRPr="003B427E" w:rsidRDefault="000466CF" w:rsidP="000466CF">
      <w:pPr>
        <w:rPr>
          <w:rFonts w:ascii="Arial" w:hAnsi="Arial"/>
          <w:b/>
          <w:bCs/>
          <w:sz w:val="22"/>
          <w:szCs w:val="22"/>
        </w:rPr>
      </w:pPr>
    </w:p>
    <w:p w:rsidR="000466CF" w:rsidRPr="003B427E" w:rsidRDefault="000466CF" w:rsidP="000466CF">
      <w:pPr>
        <w:rPr>
          <w:rFonts w:ascii="Arial" w:hAnsi="Arial"/>
          <w:sz w:val="22"/>
          <w:szCs w:val="22"/>
        </w:rPr>
      </w:pPr>
      <w:r w:rsidRPr="003B427E">
        <w:rPr>
          <w:rFonts w:ascii="Arial" w:hAnsi="Arial"/>
          <w:b/>
          <w:bCs/>
          <w:sz w:val="22"/>
          <w:szCs w:val="22"/>
        </w:rPr>
        <w:t>Coefficient of Variation</w:t>
      </w:r>
    </w:p>
    <w:p w:rsidR="000466CF" w:rsidRPr="003B427E" w:rsidRDefault="000466CF" w:rsidP="000466CF">
      <w:pPr>
        <w:rPr>
          <w:rFonts w:ascii="Arial" w:hAnsi="Arial"/>
          <w:sz w:val="22"/>
          <w:szCs w:val="22"/>
        </w:rPr>
      </w:pPr>
    </w:p>
    <w:p w:rsidR="000466CF" w:rsidRPr="003B427E" w:rsidRDefault="000466CF" w:rsidP="000466CF">
      <w:pPr>
        <w:rPr>
          <w:rFonts w:ascii="Arial" w:hAnsi="Arial"/>
          <w:sz w:val="22"/>
          <w:szCs w:val="22"/>
        </w:rPr>
      </w:pPr>
      <w:r w:rsidRPr="003B427E">
        <w:rPr>
          <w:rFonts w:ascii="Arial" w:hAnsi="Arial"/>
          <w:sz w:val="22"/>
          <w:szCs w:val="22"/>
        </w:rPr>
        <w:t>The coefficient of variation (cv) of an estimate u is:</w:t>
      </w:r>
    </w:p>
    <w:p w:rsidR="000466CF" w:rsidRPr="003B427E" w:rsidRDefault="000466CF" w:rsidP="000466CF">
      <w:pPr>
        <w:rPr>
          <w:rFonts w:ascii="Arial" w:hAnsi="Arial"/>
          <w:sz w:val="22"/>
          <w:szCs w:val="22"/>
        </w:rPr>
      </w:pPr>
    </w:p>
    <w:p w:rsidR="000466CF" w:rsidRPr="003B427E" w:rsidRDefault="000466CF" w:rsidP="000466CF">
      <w:pPr>
        <w:ind w:left="720"/>
        <w:rPr>
          <w:rFonts w:ascii="Arial" w:hAnsi="Arial"/>
          <w:sz w:val="22"/>
          <w:szCs w:val="22"/>
        </w:rPr>
      </w:pPr>
      <w:r w:rsidRPr="003B427E">
        <w:rPr>
          <w:rFonts w:ascii="Arial" w:hAnsi="Arial"/>
          <w:position w:val="-28"/>
          <w:sz w:val="22"/>
          <w:szCs w:val="22"/>
        </w:rPr>
        <w:object w:dxaOrig="1680" w:dyaOrig="720">
          <v:shape id="_x0000_i1052" type="#_x0000_t75" style="width:84pt;height:36pt" o:ole="">
            <v:imagedata r:id="rId64" o:title=""/>
          </v:shape>
          <o:OLEObject Type="Embed" ProgID="Equation.3" ShapeID="_x0000_i1052" DrawAspect="Content" ObjectID="_1445423701" r:id="rId65"/>
        </w:object>
      </w:r>
    </w:p>
    <w:p w:rsidR="000466CF" w:rsidRPr="003B427E" w:rsidRDefault="000466CF" w:rsidP="000466CF">
      <w:pPr>
        <w:ind w:firstLine="720"/>
        <w:rPr>
          <w:rFonts w:ascii="Arial" w:hAnsi="Arial"/>
          <w:sz w:val="22"/>
          <w:szCs w:val="22"/>
        </w:rPr>
      </w:pPr>
      <w:r w:rsidRPr="003B427E">
        <w:rPr>
          <w:rFonts w:ascii="Arial" w:hAnsi="Arial"/>
          <w:position w:val="-28"/>
          <w:sz w:val="22"/>
          <w:szCs w:val="22"/>
        </w:rPr>
        <w:object w:dxaOrig="1359" w:dyaOrig="660">
          <v:shape id="_x0000_i1053" type="#_x0000_t75" style="width:67.5pt;height:33pt" o:ole="">
            <v:imagedata r:id="rId66" o:title=""/>
          </v:shape>
          <o:OLEObject Type="Embed" ProgID="Equation.3" ShapeID="_x0000_i1053" DrawAspect="Content" ObjectID="_1445423702" r:id="rId67"/>
        </w:object>
      </w:r>
    </w:p>
    <w:p w:rsidR="000466CF" w:rsidRDefault="000466CF" w:rsidP="000466CF"/>
    <w:p w:rsidR="00034786" w:rsidRDefault="00034786"/>
    <w:sectPr w:rsidR="00034786" w:rsidSect="000466CF">
      <w:footerReference w:type="default" r:id="rId68"/>
      <w:headerReference w:type="first" r:id="rId69"/>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74" w:rsidRDefault="007D4074">
      <w:r>
        <w:separator/>
      </w:r>
    </w:p>
  </w:endnote>
  <w:endnote w:type="continuationSeparator" w:id="0">
    <w:p w:rsidR="007D4074" w:rsidRDefault="007D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74" w:rsidRDefault="007D4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A1F">
      <w:rPr>
        <w:rStyle w:val="PageNumber"/>
        <w:noProof/>
      </w:rPr>
      <w:t>1</w:t>
    </w:r>
    <w:r>
      <w:rPr>
        <w:rStyle w:val="PageNumber"/>
      </w:rPr>
      <w:fldChar w:fldCharType="end"/>
    </w:r>
  </w:p>
  <w:p w:rsidR="007D4074" w:rsidRPr="00A066BD" w:rsidRDefault="007D4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74" w:rsidRDefault="007D4074">
      <w:r>
        <w:separator/>
      </w:r>
    </w:p>
  </w:footnote>
  <w:footnote w:type="continuationSeparator" w:id="0">
    <w:p w:rsidR="007D4074" w:rsidRDefault="007D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74" w:rsidRDefault="007D407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701AE7"/>
    <w:multiLevelType w:val="hybridMultilevel"/>
    <w:tmpl w:val="81A28EAC"/>
    <w:lvl w:ilvl="0" w:tplc="7C36B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60C6D"/>
    <w:multiLevelType w:val="hybridMultilevel"/>
    <w:tmpl w:val="7416DE72"/>
    <w:lvl w:ilvl="0" w:tplc="86D04D6E">
      <w:start w:val="1"/>
      <w:numFmt w:val="upperLetter"/>
      <w:pStyle w:val="Heading1"/>
      <w:lvlText w:val="%1."/>
      <w:lvlJc w:val="left"/>
      <w:pPr>
        <w:tabs>
          <w:tab w:val="num" w:pos="720"/>
        </w:tabs>
        <w:ind w:left="720" w:hanging="360"/>
      </w:pPr>
      <w:rPr>
        <w:rFonts w:hint="default"/>
      </w:rPr>
    </w:lvl>
    <w:lvl w:ilvl="1" w:tplc="AAE6A9B8">
      <w:start w:val="1"/>
      <w:numFmt w:val="decimal"/>
      <w:lvlText w:val="%2."/>
      <w:lvlJc w:val="left"/>
      <w:pPr>
        <w:tabs>
          <w:tab w:val="num" w:pos="1440"/>
        </w:tabs>
        <w:ind w:left="1440" w:hanging="360"/>
      </w:pPr>
      <w:rPr>
        <w:rFonts w:hint="default"/>
      </w:rPr>
    </w:lvl>
    <w:lvl w:ilvl="2" w:tplc="F0907FF2">
      <w:start w:val="1"/>
      <w:numFmt w:val="lowerLetter"/>
      <w:lvlText w:val="%3."/>
      <w:lvlJc w:val="left"/>
      <w:pPr>
        <w:tabs>
          <w:tab w:val="num" w:pos="2340"/>
        </w:tabs>
        <w:ind w:left="2340" w:hanging="360"/>
      </w:pPr>
      <w:rPr>
        <w:rFonts w:hint="default"/>
      </w:rPr>
    </w:lvl>
    <w:lvl w:ilvl="3" w:tplc="D22C9B96">
      <w:start w:val="9"/>
      <w:numFmt w:val="decimal"/>
      <w:lvlText w:val="%4."/>
      <w:lvlJc w:val="left"/>
      <w:pPr>
        <w:tabs>
          <w:tab w:val="num" w:pos="2952"/>
        </w:tabs>
        <w:ind w:left="2520" w:firstLine="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3318A"/>
    <w:multiLevelType w:val="hybridMultilevel"/>
    <w:tmpl w:val="951E486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AC0C03"/>
    <w:multiLevelType w:val="hybridMultilevel"/>
    <w:tmpl w:val="818C6A5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CF"/>
    <w:rsid w:val="00000154"/>
    <w:rsid w:val="000004CD"/>
    <w:rsid w:val="00000E45"/>
    <w:rsid w:val="00001A43"/>
    <w:rsid w:val="00002894"/>
    <w:rsid w:val="00003CEA"/>
    <w:rsid w:val="000040E0"/>
    <w:rsid w:val="00004A13"/>
    <w:rsid w:val="00010CCA"/>
    <w:rsid w:val="000119A1"/>
    <w:rsid w:val="00012F43"/>
    <w:rsid w:val="0001348F"/>
    <w:rsid w:val="00014438"/>
    <w:rsid w:val="00015EA9"/>
    <w:rsid w:val="0001636F"/>
    <w:rsid w:val="00017FA6"/>
    <w:rsid w:val="00020296"/>
    <w:rsid w:val="00020E63"/>
    <w:rsid w:val="0002163E"/>
    <w:rsid w:val="00025EAB"/>
    <w:rsid w:val="00030ABA"/>
    <w:rsid w:val="00032C19"/>
    <w:rsid w:val="00034786"/>
    <w:rsid w:val="00034999"/>
    <w:rsid w:val="00035EF3"/>
    <w:rsid w:val="000367C9"/>
    <w:rsid w:val="00037DA4"/>
    <w:rsid w:val="00041894"/>
    <w:rsid w:val="00044AA7"/>
    <w:rsid w:val="0004652E"/>
    <w:rsid w:val="000466CF"/>
    <w:rsid w:val="0005015B"/>
    <w:rsid w:val="000501AD"/>
    <w:rsid w:val="000511E3"/>
    <w:rsid w:val="000528BC"/>
    <w:rsid w:val="000529DF"/>
    <w:rsid w:val="0005438A"/>
    <w:rsid w:val="00054F83"/>
    <w:rsid w:val="0005583C"/>
    <w:rsid w:val="00056B74"/>
    <w:rsid w:val="00060504"/>
    <w:rsid w:val="0006265F"/>
    <w:rsid w:val="00065B8D"/>
    <w:rsid w:val="000668E0"/>
    <w:rsid w:val="0006738B"/>
    <w:rsid w:val="0007137A"/>
    <w:rsid w:val="00071A8F"/>
    <w:rsid w:val="00072998"/>
    <w:rsid w:val="00072C3B"/>
    <w:rsid w:val="0007472F"/>
    <w:rsid w:val="00075930"/>
    <w:rsid w:val="00076588"/>
    <w:rsid w:val="000769F0"/>
    <w:rsid w:val="00077737"/>
    <w:rsid w:val="00077926"/>
    <w:rsid w:val="00077957"/>
    <w:rsid w:val="00080F4F"/>
    <w:rsid w:val="000851CF"/>
    <w:rsid w:val="000870C6"/>
    <w:rsid w:val="00090CF4"/>
    <w:rsid w:val="000910B6"/>
    <w:rsid w:val="00093632"/>
    <w:rsid w:val="000938D7"/>
    <w:rsid w:val="000945EE"/>
    <w:rsid w:val="00094CFE"/>
    <w:rsid w:val="000A132E"/>
    <w:rsid w:val="000A1C3F"/>
    <w:rsid w:val="000A394F"/>
    <w:rsid w:val="000A39DB"/>
    <w:rsid w:val="000A3DA7"/>
    <w:rsid w:val="000A4D8E"/>
    <w:rsid w:val="000A551F"/>
    <w:rsid w:val="000A55C9"/>
    <w:rsid w:val="000B00B4"/>
    <w:rsid w:val="000B36D4"/>
    <w:rsid w:val="000B423F"/>
    <w:rsid w:val="000B4FF2"/>
    <w:rsid w:val="000B5446"/>
    <w:rsid w:val="000B6D2C"/>
    <w:rsid w:val="000B7B6B"/>
    <w:rsid w:val="000C02A7"/>
    <w:rsid w:val="000C48AF"/>
    <w:rsid w:val="000D0562"/>
    <w:rsid w:val="000D0792"/>
    <w:rsid w:val="000D1765"/>
    <w:rsid w:val="000E049F"/>
    <w:rsid w:val="000E1259"/>
    <w:rsid w:val="000E40C2"/>
    <w:rsid w:val="000E73C5"/>
    <w:rsid w:val="000F4405"/>
    <w:rsid w:val="000F4672"/>
    <w:rsid w:val="000F5F19"/>
    <w:rsid w:val="000F606A"/>
    <w:rsid w:val="000F63C4"/>
    <w:rsid w:val="000F68FD"/>
    <w:rsid w:val="000F6B1C"/>
    <w:rsid w:val="00101761"/>
    <w:rsid w:val="00105029"/>
    <w:rsid w:val="00107A87"/>
    <w:rsid w:val="001131D0"/>
    <w:rsid w:val="00116AA1"/>
    <w:rsid w:val="0012276F"/>
    <w:rsid w:val="0012337C"/>
    <w:rsid w:val="00123656"/>
    <w:rsid w:val="00124392"/>
    <w:rsid w:val="00125767"/>
    <w:rsid w:val="00125CFF"/>
    <w:rsid w:val="0012731C"/>
    <w:rsid w:val="00130A1F"/>
    <w:rsid w:val="00131388"/>
    <w:rsid w:val="00131ED8"/>
    <w:rsid w:val="00136C57"/>
    <w:rsid w:val="00137AD8"/>
    <w:rsid w:val="00137EE6"/>
    <w:rsid w:val="00140327"/>
    <w:rsid w:val="001410E4"/>
    <w:rsid w:val="00142FCD"/>
    <w:rsid w:val="001454E8"/>
    <w:rsid w:val="00145764"/>
    <w:rsid w:val="00145C01"/>
    <w:rsid w:val="0015030A"/>
    <w:rsid w:val="001505AE"/>
    <w:rsid w:val="00156137"/>
    <w:rsid w:val="0015692B"/>
    <w:rsid w:val="001572FD"/>
    <w:rsid w:val="00157F43"/>
    <w:rsid w:val="0016409E"/>
    <w:rsid w:val="00164B68"/>
    <w:rsid w:val="00164CA0"/>
    <w:rsid w:val="0016588E"/>
    <w:rsid w:val="001673F4"/>
    <w:rsid w:val="00175187"/>
    <w:rsid w:val="00176224"/>
    <w:rsid w:val="00180FAE"/>
    <w:rsid w:val="00185C5A"/>
    <w:rsid w:val="00185DBC"/>
    <w:rsid w:val="0019342C"/>
    <w:rsid w:val="00194060"/>
    <w:rsid w:val="0019474A"/>
    <w:rsid w:val="0019535B"/>
    <w:rsid w:val="00195EFF"/>
    <w:rsid w:val="00196C22"/>
    <w:rsid w:val="001A0372"/>
    <w:rsid w:val="001A305B"/>
    <w:rsid w:val="001A33FC"/>
    <w:rsid w:val="001A40B6"/>
    <w:rsid w:val="001A7077"/>
    <w:rsid w:val="001A7A37"/>
    <w:rsid w:val="001B02F1"/>
    <w:rsid w:val="001C2A7E"/>
    <w:rsid w:val="001C3934"/>
    <w:rsid w:val="001C4427"/>
    <w:rsid w:val="001C4CD2"/>
    <w:rsid w:val="001C6F87"/>
    <w:rsid w:val="001D132D"/>
    <w:rsid w:val="001D2953"/>
    <w:rsid w:val="001D3E87"/>
    <w:rsid w:val="001D409C"/>
    <w:rsid w:val="001D4230"/>
    <w:rsid w:val="001D4A17"/>
    <w:rsid w:val="001D5212"/>
    <w:rsid w:val="001D6549"/>
    <w:rsid w:val="001D7195"/>
    <w:rsid w:val="001E1986"/>
    <w:rsid w:val="001E38A8"/>
    <w:rsid w:val="001E602D"/>
    <w:rsid w:val="001E6AC5"/>
    <w:rsid w:val="001F4F62"/>
    <w:rsid w:val="001F538D"/>
    <w:rsid w:val="001F7145"/>
    <w:rsid w:val="00201872"/>
    <w:rsid w:val="002031B3"/>
    <w:rsid w:val="00204E06"/>
    <w:rsid w:val="00205129"/>
    <w:rsid w:val="002059F9"/>
    <w:rsid w:val="002062ED"/>
    <w:rsid w:val="002106BA"/>
    <w:rsid w:val="00212EC9"/>
    <w:rsid w:val="00213A15"/>
    <w:rsid w:val="00215AB0"/>
    <w:rsid w:val="00216672"/>
    <w:rsid w:val="00221511"/>
    <w:rsid w:val="002222F2"/>
    <w:rsid w:val="002237E0"/>
    <w:rsid w:val="002255A6"/>
    <w:rsid w:val="00225C48"/>
    <w:rsid w:val="00234068"/>
    <w:rsid w:val="00235735"/>
    <w:rsid w:val="00236742"/>
    <w:rsid w:val="00236C8F"/>
    <w:rsid w:val="002371D4"/>
    <w:rsid w:val="00246146"/>
    <w:rsid w:val="002467AD"/>
    <w:rsid w:val="0025227B"/>
    <w:rsid w:val="00253223"/>
    <w:rsid w:val="002557A7"/>
    <w:rsid w:val="0026154A"/>
    <w:rsid w:val="0026224E"/>
    <w:rsid w:val="0026425D"/>
    <w:rsid w:val="00267274"/>
    <w:rsid w:val="0026763E"/>
    <w:rsid w:val="00270884"/>
    <w:rsid w:val="00270F2E"/>
    <w:rsid w:val="0027150E"/>
    <w:rsid w:val="002722C0"/>
    <w:rsid w:val="0027291D"/>
    <w:rsid w:val="00274993"/>
    <w:rsid w:val="00274DA4"/>
    <w:rsid w:val="00275071"/>
    <w:rsid w:val="00275C25"/>
    <w:rsid w:val="0028255F"/>
    <w:rsid w:val="0028297E"/>
    <w:rsid w:val="0028321E"/>
    <w:rsid w:val="00283B48"/>
    <w:rsid w:val="0029538F"/>
    <w:rsid w:val="002972C3"/>
    <w:rsid w:val="0029798F"/>
    <w:rsid w:val="002979B8"/>
    <w:rsid w:val="002A0620"/>
    <w:rsid w:val="002A21EE"/>
    <w:rsid w:val="002A67A7"/>
    <w:rsid w:val="002B1355"/>
    <w:rsid w:val="002B1CC3"/>
    <w:rsid w:val="002B3BC2"/>
    <w:rsid w:val="002B3FD1"/>
    <w:rsid w:val="002B541E"/>
    <w:rsid w:val="002B58FF"/>
    <w:rsid w:val="002C12A0"/>
    <w:rsid w:val="002C3E37"/>
    <w:rsid w:val="002D1605"/>
    <w:rsid w:val="002D1617"/>
    <w:rsid w:val="002D400E"/>
    <w:rsid w:val="002D425C"/>
    <w:rsid w:val="002D4F16"/>
    <w:rsid w:val="002D5A10"/>
    <w:rsid w:val="002D5A62"/>
    <w:rsid w:val="002E0EFB"/>
    <w:rsid w:val="002E1FD0"/>
    <w:rsid w:val="002E2D63"/>
    <w:rsid w:val="002E2E75"/>
    <w:rsid w:val="002E2FD2"/>
    <w:rsid w:val="002E6EED"/>
    <w:rsid w:val="002E759D"/>
    <w:rsid w:val="002E7683"/>
    <w:rsid w:val="002F253D"/>
    <w:rsid w:val="002F2D82"/>
    <w:rsid w:val="002F46D1"/>
    <w:rsid w:val="002F7B17"/>
    <w:rsid w:val="0030176A"/>
    <w:rsid w:val="00301C0B"/>
    <w:rsid w:val="003035D9"/>
    <w:rsid w:val="00305123"/>
    <w:rsid w:val="00305980"/>
    <w:rsid w:val="00305FDE"/>
    <w:rsid w:val="003113B5"/>
    <w:rsid w:val="00311428"/>
    <w:rsid w:val="00312675"/>
    <w:rsid w:val="00312CF3"/>
    <w:rsid w:val="0031524F"/>
    <w:rsid w:val="0031604F"/>
    <w:rsid w:val="0031745D"/>
    <w:rsid w:val="0032176F"/>
    <w:rsid w:val="003247E6"/>
    <w:rsid w:val="003249E8"/>
    <w:rsid w:val="00325EAD"/>
    <w:rsid w:val="00332467"/>
    <w:rsid w:val="003326C9"/>
    <w:rsid w:val="00333FDE"/>
    <w:rsid w:val="00334FCF"/>
    <w:rsid w:val="003408ED"/>
    <w:rsid w:val="00347F7F"/>
    <w:rsid w:val="0035166C"/>
    <w:rsid w:val="003529F7"/>
    <w:rsid w:val="0035369D"/>
    <w:rsid w:val="003541A0"/>
    <w:rsid w:val="003649F9"/>
    <w:rsid w:val="00364AD7"/>
    <w:rsid w:val="00366739"/>
    <w:rsid w:val="00370B24"/>
    <w:rsid w:val="00376F42"/>
    <w:rsid w:val="00377318"/>
    <w:rsid w:val="00383002"/>
    <w:rsid w:val="0038468D"/>
    <w:rsid w:val="003847D6"/>
    <w:rsid w:val="00386020"/>
    <w:rsid w:val="00387E95"/>
    <w:rsid w:val="003901A3"/>
    <w:rsid w:val="0039255E"/>
    <w:rsid w:val="003934C6"/>
    <w:rsid w:val="003936F6"/>
    <w:rsid w:val="00396EA1"/>
    <w:rsid w:val="003A0926"/>
    <w:rsid w:val="003A2286"/>
    <w:rsid w:val="003A5876"/>
    <w:rsid w:val="003A5D64"/>
    <w:rsid w:val="003A7ABB"/>
    <w:rsid w:val="003B0019"/>
    <w:rsid w:val="003B08F5"/>
    <w:rsid w:val="003B3911"/>
    <w:rsid w:val="003B3E8C"/>
    <w:rsid w:val="003B497B"/>
    <w:rsid w:val="003B69EB"/>
    <w:rsid w:val="003B7A35"/>
    <w:rsid w:val="003C0E84"/>
    <w:rsid w:val="003C0F31"/>
    <w:rsid w:val="003C3CFE"/>
    <w:rsid w:val="003C6C99"/>
    <w:rsid w:val="003C7515"/>
    <w:rsid w:val="003D232C"/>
    <w:rsid w:val="003D4CD8"/>
    <w:rsid w:val="003E020C"/>
    <w:rsid w:val="003E477D"/>
    <w:rsid w:val="003E59CD"/>
    <w:rsid w:val="003E64D1"/>
    <w:rsid w:val="003E6B2B"/>
    <w:rsid w:val="00400CA9"/>
    <w:rsid w:val="00401DDA"/>
    <w:rsid w:val="00404053"/>
    <w:rsid w:val="004067A2"/>
    <w:rsid w:val="0040784F"/>
    <w:rsid w:val="00407AF6"/>
    <w:rsid w:val="00407FBD"/>
    <w:rsid w:val="00410EF7"/>
    <w:rsid w:val="00413812"/>
    <w:rsid w:val="00413C6F"/>
    <w:rsid w:val="0041442A"/>
    <w:rsid w:val="00415002"/>
    <w:rsid w:val="004157B5"/>
    <w:rsid w:val="004167D2"/>
    <w:rsid w:val="004179FC"/>
    <w:rsid w:val="0042067C"/>
    <w:rsid w:val="004208EE"/>
    <w:rsid w:val="0042122F"/>
    <w:rsid w:val="00422ABC"/>
    <w:rsid w:val="004231BF"/>
    <w:rsid w:val="00423A96"/>
    <w:rsid w:val="0042588D"/>
    <w:rsid w:val="00426870"/>
    <w:rsid w:val="00427B9E"/>
    <w:rsid w:val="00430193"/>
    <w:rsid w:val="004349F7"/>
    <w:rsid w:val="004351CA"/>
    <w:rsid w:val="00440F50"/>
    <w:rsid w:val="004421B5"/>
    <w:rsid w:val="004437EA"/>
    <w:rsid w:val="0045011A"/>
    <w:rsid w:val="00452297"/>
    <w:rsid w:val="0045361D"/>
    <w:rsid w:val="00453C58"/>
    <w:rsid w:val="004577E9"/>
    <w:rsid w:val="004609BB"/>
    <w:rsid w:val="004618C1"/>
    <w:rsid w:val="004637DC"/>
    <w:rsid w:val="00464AFF"/>
    <w:rsid w:val="00464F43"/>
    <w:rsid w:val="004665DC"/>
    <w:rsid w:val="00467DB8"/>
    <w:rsid w:val="00472AAD"/>
    <w:rsid w:val="00473A70"/>
    <w:rsid w:val="00473E3A"/>
    <w:rsid w:val="0047501C"/>
    <w:rsid w:val="00476568"/>
    <w:rsid w:val="004800F6"/>
    <w:rsid w:val="0048197F"/>
    <w:rsid w:val="004831AF"/>
    <w:rsid w:val="0048548D"/>
    <w:rsid w:val="00496F0B"/>
    <w:rsid w:val="004A2BE2"/>
    <w:rsid w:val="004A31DC"/>
    <w:rsid w:val="004A644B"/>
    <w:rsid w:val="004A69BC"/>
    <w:rsid w:val="004B18D9"/>
    <w:rsid w:val="004B512A"/>
    <w:rsid w:val="004B58A3"/>
    <w:rsid w:val="004C0E3B"/>
    <w:rsid w:val="004C2D59"/>
    <w:rsid w:val="004C51CD"/>
    <w:rsid w:val="004D1437"/>
    <w:rsid w:val="004D29A3"/>
    <w:rsid w:val="004D3ABB"/>
    <w:rsid w:val="004D3C6F"/>
    <w:rsid w:val="004D4C1B"/>
    <w:rsid w:val="004D5B65"/>
    <w:rsid w:val="004D6593"/>
    <w:rsid w:val="004E003E"/>
    <w:rsid w:val="004E1810"/>
    <w:rsid w:val="004E494E"/>
    <w:rsid w:val="004E56D3"/>
    <w:rsid w:val="004E6F50"/>
    <w:rsid w:val="004F2BAC"/>
    <w:rsid w:val="004F62C5"/>
    <w:rsid w:val="00505D7E"/>
    <w:rsid w:val="00506F89"/>
    <w:rsid w:val="00513AA3"/>
    <w:rsid w:val="00517D26"/>
    <w:rsid w:val="0052106A"/>
    <w:rsid w:val="00521873"/>
    <w:rsid w:val="00521ED9"/>
    <w:rsid w:val="00522AE2"/>
    <w:rsid w:val="00525B1B"/>
    <w:rsid w:val="0052646B"/>
    <w:rsid w:val="005268DD"/>
    <w:rsid w:val="0053627E"/>
    <w:rsid w:val="00543B31"/>
    <w:rsid w:val="00545263"/>
    <w:rsid w:val="00546292"/>
    <w:rsid w:val="00546723"/>
    <w:rsid w:val="00547BCE"/>
    <w:rsid w:val="0055388C"/>
    <w:rsid w:val="00554431"/>
    <w:rsid w:val="00555398"/>
    <w:rsid w:val="00560BAA"/>
    <w:rsid w:val="00560DB1"/>
    <w:rsid w:val="00560F9E"/>
    <w:rsid w:val="00561E0F"/>
    <w:rsid w:val="00561FDA"/>
    <w:rsid w:val="00564AB6"/>
    <w:rsid w:val="0057603C"/>
    <w:rsid w:val="00577E79"/>
    <w:rsid w:val="005805EE"/>
    <w:rsid w:val="00583D2E"/>
    <w:rsid w:val="00583EA1"/>
    <w:rsid w:val="00585500"/>
    <w:rsid w:val="005875D1"/>
    <w:rsid w:val="00587E0B"/>
    <w:rsid w:val="00590AB9"/>
    <w:rsid w:val="0059122B"/>
    <w:rsid w:val="00592EE6"/>
    <w:rsid w:val="005941F9"/>
    <w:rsid w:val="005A19C8"/>
    <w:rsid w:val="005A34AC"/>
    <w:rsid w:val="005A3798"/>
    <w:rsid w:val="005A5070"/>
    <w:rsid w:val="005B044F"/>
    <w:rsid w:val="005B13E3"/>
    <w:rsid w:val="005B15B4"/>
    <w:rsid w:val="005B2D83"/>
    <w:rsid w:val="005B2D8F"/>
    <w:rsid w:val="005B6EA3"/>
    <w:rsid w:val="005C119D"/>
    <w:rsid w:val="005C1353"/>
    <w:rsid w:val="005C4B85"/>
    <w:rsid w:val="005C5301"/>
    <w:rsid w:val="005C71A6"/>
    <w:rsid w:val="005C7EC4"/>
    <w:rsid w:val="005D078E"/>
    <w:rsid w:val="005D1546"/>
    <w:rsid w:val="005D3705"/>
    <w:rsid w:val="005D6D55"/>
    <w:rsid w:val="005D7187"/>
    <w:rsid w:val="005E17A8"/>
    <w:rsid w:val="005E2802"/>
    <w:rsid w:val="005E6586"/>
    <w:rsid w:val="005F0FF0"/>
    <w:rsid w:val="005F1174"/>
    <w:rsid w:val="005F4C11"/>
    <w:rsid w:val="005F5409"/>
    <w:rsid w:val="006047FE"/>
    <w:rsid w:val="0060638E"/>
    <w:rsid w:val="006064A1"/>
    <w:rsid w:val="00611787"/>
    <w:rsid w:val="006157EE"/>
    <w:rsid w:val="0062053E"/>
    <w:rsid w:val="0062531E"/>
    <w:rsid w:val="00626421"/>
    <w:rsid w:val="00627558"/>
    <w:rsid w:val="00630608"/>
    <w:rsid w:val="00631879"/>
    <w:rsid w:val="00631EC0"/>
    <w:rsid w:val="0063583F"/>
    <w:rsid w:val="00643C56"/>
    <w:rsid w:val="00643C7D"/>
    <w:rsid w:val="00644F19"/>
    <w:rsid w:val="00644F7B"/>
    <w:rsid w:val="0064506C"/>
    <w:rsid w:val="00646EA4"/>
    <w:rsid w:val="00650075"/>
    <w:rsid w:val="00650968"/>
    <w:rsid w:val="00650FB4"/>
    <w:rsid w:val="00652BC6"/>
    <w:rsid w:val="006603F1"/>
    <w:rsid w:val="00662D12"/>
    <w:rsid w:val="006730B6"/>
    <w:rsid w:val="00674437"/>
    <w:rsid w:val="00676587"/>
    <w:rsid w:val="00676F20"/>
    <w:rsid w:val="00677FE6"/>
    <w:rsid w:val="0068043D"/>
    <w:rsid w:val="006841B1"/>
    <w:rsid w:val="00684F8E"/>
    <w:rsid w:val="00694156"/>
    <w:rsid w:val="0069520E"/>
    <w:rsid w:val="0069522C"/>
    <w:rsid w:val="00697D0A"/>
    <w:rsid w:val="006A0071"/>
    <w:rsid w:val="006A0F20"/>
    <w:rsid w:val="006A1A9B"/>
    <w:rsid w:val="006A391D"/>
    <w:rsid w:val="006A51A9"/>
    <w:rsid w:val="006A5484"/>
    <w:rsid w:val="006A5C50"/>
    <w:rsid w:val="006A6CC6"/>
    <w:rsid w:val="006A773A"/>
    <w:rsid w:val="006B0F23"/>
    <w:rsid w:val="006B30AE"/>
    <w:rsid w:val="006B4C8F"/>
    <w:rsid w:val="006B5CD6"/>
    <w:rsid w:val="006C3CF6"/>
    <w:rsid w:val="006D1C8A"/>
    <w:rsid w:val="006D5498"/>
    <w:rsid w:val="006D58DA"/>
    <w:rsid w:val="006D7369"/>
    <w:rsid w:val="006E3804"/>
    <w:rsid w:val="006E541E"/>
    <w:rsid w:val="006E702F"/>
    <w:rsid w:val="006F0CAF"/>
    <w:rsid w:val="006F2E4B"/>
    <w:rsid w:val="006F326A"/>
    <w:rsid w:val="006F340D"/>
    <w:rsid w:val="006F37F8"/>
    <w:rsid w:val="0070200A"/>
    <w:rsid w:val="00702C2F"/>
    <w:rsid w:val="0070302B"/>
    <w:rsid w:val="007031B4"/>
    <w:rsid w:val="007101E2"/>
    <w:rsid w:val="00714E05"/>
    <w:rsid w:val="00723E87"/>
    <w:rsid w:val="00724591"/>
    <w:rsid w:val="00725500"/>
    <w:rsid w:val="00730168"/>
    <w:rsid w:val="007317EF"/>
    <w:rsid w:val="00734F7C"/>
    <w:rsid w:val="007360D6"/>
    <w:rsid w:val="00737AB6"/>
    <w:rsid w:val="007409D5"/>
    <w:rsid w:val="00740EAD"/>
    <w:rsid w:val="007416DD"/>
    <w:rsid w:val="007427B5"/>
    <w:rsid w:val="00742ECD"/>
    <w:rsid w:val="007436B3"/>
    <w:rsid w:val="007437D8"/>
    <w:rsid w:val="00743979"/>
    <w:rsid w:val="00743B57"/>
    <w:rsid w:val="00743B85"/>
    <w:rsid w:val="007456B8"/>
    <w:rsid w:val="00745A8B"/>
    <w:rsid w:val="00745FB4"/>
    <w:rsid w:val="00750DF0"/>
    <w:rsid w:val="00750F44"/>
    <w:rsid w:val="00751761"/>
    <w:rsid w:val="00752071"/>
    <w:rsid w:val="00752312"/>
    <w:rsid w:val="00752E80"/>
    <w:rsid w:val="00753596"/>
    <w:rsid w:val="007560D2"/>
    <w:rsid w:val="0076082C"/>
    <w:rsid w:val="00761698"/>
    <w:rsid w:val="007622D4"/>
    <w:rsid w:val="00763369"/>
    <w:rsid w:val="0076382D"/>
    <w:rsid w:val="007653B3"/>
    <w:rsid w:val="00765726"/>
    <w:rsid w:val="007706B8"/>
    <w:rsid w:val="00770E35"/>
    <w:rsid w:val="007714E5"/>
    <w:rsid w:val="00771CB2"/>
    <w:rsid w:val="007729E3"/>
    <w:rsid w:val="00772C08"/>
    <w:rsid w:val="007759B4"/>
    <w:rsid w:val="00776D94"/>
    <w:rsid w:val="00782A34"/>
    <w:rsid w:val="00782F91"/>
    <w:rsid w:val="00783071"/>
    <w:rsid w:val="007870E8"/>
    <w:rsid w:val="00795C2A"/>
    <w:rsid w:val="007960E6"/>
    <w:rsid w:val="007A58B7"/>
    <w:rsid w:val="007A60F2"/>
    <w:rsid w:val="007B326C"/>
    <w:rsid w:val="007B393B"/>
    <w:rsid w:val="007B59B2"/>
    <w:rsid w:val="007B59F8"/>
    <w:rsid w:val="007B5A60"/>
    <w:rsid w:val="007B703D"/>
    <w:rsid w:val="007B7881"/>
    <w:rsid w:val="007B7AA4"/>
    <w:rsid w:val="007C10BF"/>
    <w:rsid w:val="007C1A87"/>
    <w:rsid w:val="007C4BFE"/>
    <w:rsid w:val="007C6F23"/>
    <w:rsid w:val="007D030D"/>
    <w:rsid w:val="007D22E6"/>
    <w:rsid w:val="007D3792"/>
    <w:rsid w:val="007D4074"/>
    <w:rsid w:val="007D5DB1"/>
    <w:rsid w:val="007D62ED"/>
    <w:rsid w:val="007D6A22"/>
    <w:rsid w:val="007F000C"/>
    <w:rsid w:val="007F1176"/>
    <w:rsid w:val="007F2232"/>
    <w:rsid w:val="007F2A26"/>
    <w:rsid w:val="007F40BB"/>
    <w:rsid w:val="007F5D8A"/>
    <w:rsid w:val="007F6EA7"/>
    <w:rsid w:val="00800B92"/>
    <w:rsid w:val="00801840"/>
    <w:rsid w:val="008018FE"/>
    <w:rsid w:val="008026E2"/>
    <w:rsid w:val="00810C9E"/>
    <w:rsid w:val="00810CDA"/>
    <w:rsid w:val="00810F41"/>
    <w:rsid w:val="00812872"/>
    <w:rsid w:val="00816903"/>
    <w:rsid w:val="00817C5E"/>
    <w:rsid w:val="00820BC2"/>
    <w:rsid w:val="008216D2"/>
    <w:rsid w:val="0082259B"/>
    <w:rsid w:val="00822E7A"/>
    <w:rsid w:val="008249CB"/>
    <w:rsid w:val="00825783"/>
    <w:rsid w:val="00826C27"/>
    <w:rsid w:val="00827F24"/>
    <w:rsid w:val="008400A5"/>
    <w:rsid w:val="0084175D"/>
    <w:rsid w:val="00845E4C"/>
    <w:rsid w:val="0084688E"/>
    <w:rsid w:val="00847C6E"/>
    <w:rsid w:val="00850B3F"/>
    <w:rsid w:val="00850D2D"/>
    <w:rsid w:val="00854713"/>
    <w:rsid w:val="00862D98"/>
    <w:rsid w:val="0086413C"/>
    <w:rsid w:val="0086434C"/>
    <w:rsid w:val="00866006"/>
    <w:rsid w:val="00866C27"/>
    <w:rsid w:val="00866FE0"/>
    <w:rsid w:val="00867883"/>
    <w:rsid w:val="00867B78"/>
    <w:rsid w:val="00870DEB"/>
    <w:rsid w:val="00875676"/>
    <w:rsid w:val="008763F2"/>
    <w:rsid w:val="008771A3"/>
    <w:rsid w:val="00882B84"/>
    <w:rsid w:val="00884CBD"/>
    <w:rsid w:val="0089160A"/>
    <w:rsid w:val="008928E0"/>
    <w:rsid w:val="008929AD"/>
    <w:rsid w:val="008961D5"/>
    <w:rsid w:val="00896389"/>
    <w:rsid w:val="00897BC5"/>
    <w:rsid w:val="008A1553"/>
    <w:rsid w:val="008A1BAD"/>
    <w:rsid w:val="008A209B"/>
    <w:rsid w:val="008A2D6F"/>
    <w:rsid w:val="008A3C94"/>
    <w:rsid w:val="008A406A"/>
    <w:rsid w:val="008A47C9"/>
    <w:rsid w:val="008A52DF"/>
    <w:rsid w:val="008A55EF"/>
    <w:rsid w:val="008A7F61"/>
    <w:rsid w:val="008B13B2"/>
    <w:rsid w:val="008B3127"/>
    <w:rsid w:val="008B3189"/>
    <w:rsid w:val="008B3FA3"/>
    <w:rsid w:val="008B43F2"/>
    <w:rsid w:val="008B456F"/>
    <w:rsid w:val="008B457C"/>
    <w:rsid w:val="008B4DD8"/>
    <w:rsid w:val="008B50DD"/>
    <w:rsid w:val="008B5354"/>
    <w:rsid w:val="008B7BB6"/>
    <w:rsid w:val="008C1AC8"/>
    <w:rsid w:val="008C221D"/>
    <w:rsid w:val="008C3ED5"/>
    <w:rsid w:val="008C53EB"/>
    <w:rsid w:val="008C677F"/>
    <w:rsid w:val="008D73D5"/>
    <w:rsid w:val="008E0531"/>
    <w:rsid w:val="008E148F"/>
    <w:rsid w:val="008E2F01"/>
    <w:rsid w:val="008F373A"/>
    <w:rsid w:val="008F409F"/>
    <w:rsid w:val="008F42D9"/>
    <w:rsid w:val="008F4626"/>
    <w:rsid w:val="008F5168"/>
    <w:rsid w:val="008F51C8"/>
    <w:rsid w:val="008F5B3D"/>
    <w:rsid w:val="008F6581"/>
    <w:rsid w:val="00901DBD"/>
    <w:rsid w:val="00910C4E"/>
    <w:rsid w:val="0091185E"/>
    <w:rsid w:val="00911EB9"/>
    <w:rsid w:val="00912A16"/>
    <w:rsid w:val="00913DFB"/>
    <w:rsid w:val="00914A70"/>
    <w:rsid w:val="00924F73"/>
    <w:rsid w:val="00925B09"/>
    <w:rsid w:val="00926128"/>
    <w:rsid w:val="00926563"/>
    <w:rsid w:val="00926B86"/>
    <w:rsid w:val="00927C35"/>
    <w:rsid w:val="00931416"/>
    <w:rsid w:val="009327FE"/>
    <w:rsid w:val="00933940"/>
    <w:rsid w:val="00934165"/>
    <w:rsid w:val="00935DE7"/>
    <w:rsid w:val="00937425"/>
    <w:rsid w:val="0094182E"/>
    <w:rsid w:val="00941EBC"/>
    <w:rsid w:val="0094340A"/>
    <w:rsid w:val="00943DF6"/>
    <w:rsid w:val="00945255"/>
    <w:rsid w:val="00945F73"/>
    <w:rsid w:val="00947638"/>
    <w:rsid w:val="00947CBC"/>
    <w:rsid w:val="00950CBB"/>
    <w:rsid w:val="00955885"/>
    <w:rsid w:val="009566CB"/>
    <w:rsid w:val="00960167"/>
    <w:rsid w:val="00961EB5"/>
    <w:rsid w:val="009643B3"/>
    <w:rsid w:val="0096546C"/>
    <w:rsid w:val="00967109"/>
    <w:rsid w:val="0097162A"/>
    <w:rsid w:val="00972282"/>
    <w:rsid w:val="00972ADA"/>
    <w:rsid w:val="00973F7C"/>
    <w:rsid w:val="009743F1"/>
    <w:rsid w:val="009807C1"/>
    <w:rsid w:val="009807C6"/>
    <w:rsid w:val="00981F7A"/>
    <w:rsid w:val="00983320"/>
    <w:rsid w:val="00983CE6"/>
    <w:rsid w:val="00991F59"/>
    <w:rsid w:val="0099546D"/>
    <w:rsid w:val="00996444"/>
    <w:rsid w:val="00996618"/>
    <w:rsid w:val="00996A11"/>
    <w:rsid w:val="00996E7C"/>
    <w:rsid w:val="00997603"/>
    <w:rsid w:val="009A1D50"/>
    <w:rsid w:val="009A2079"/>
    <w:rsid w:val="009A2183"/>
    <w:rsid w:val="009A4660"/>
    <w:rsid w:val="009A5866"/>
    <w:rsid w:val="009B0077"/>
    <w:rsid w:val="009B02E6"/>
    <w:rsid w:val="009B1425"/>
    <w:rsid w:val="009B20FD"/>
    <w:rsid w:val="009B23A1"/>
    <w:rsid w:val="009B50AA"/>
    <w:rsid w:val="009B54C7"/>
    <w:rsid w:val="009B5E5E"/>
    <w:rsid w:val="009B7137"/>
    <w:rsid w:val="009C01AF"/>
    <w:rsid w:val="009C0ADD"/>
    <w:rsid w:val="009C3DA9"/>
    <w:rsid w:val="009C408A"/>
    <w:rsid w:val="009C4660"/>
    <w:rsid w:val="009C509C"/>
    <w:rsid w:val="009C5FDC"/>
    <w:rsid w:val="009D0743"/>
    <w:rsid w:val="009D2136"/>
    <w:rsid w:val="009D3A8D"/>
    <w:rsid w:val="009D7520"/>
    <w:rsid w:val="009E1AAF"/>
    <w:rsid w:val="009E4CBD"/>
    <w:rsid w:val="009E5DD7"/>
    <w:rsid w:val="009E6971"/>
    <w:rsid w:val="009F01E2"/>
    <w:rsid w:val="009F103F"/>
    <w:rsid w:val="009F16BF"/>
    <w:rsid w:val="009F1BBE"/>
    <w:rsid w:val="009F1E50"/>
    <w:rsid w:val="009F5997"/>
    <w:rsid w:val="00A00D3A"/>
    <w:rsid w:val="00A038E9"/>
    <w:rsid w:val="00A116B2"/>
    <w:rsid w:val="00A17027"/>
    <w:rsid w:val="00A21A08"/>
    <w:rsid w:val="00A23A60"/>
    <w:rsid w:val="00A24606"/>
    <w:rsid w:val="00A25223"/>
    <w:rsid w:val="00A25B6D"/>
    <w:rsid w:val="00A27091"/>
    <w:rsid w:val="00A27518"/>
    <w:rsid w:val="00A31FB6"/>
    <w:rsid w:val="00A3634A"/>
    <w:rsid w:val="00A406DF"/>
    <w:rsid w:val="00A40F7A"/>
    <w:rsid w:val="00A42464"/>
    <w:rsid w:val="00A42B08"/>
    <w:rsid w:val="00A517AE"/>
    <w:rsid w:val="00A52BD2"/>
    <w:rsid w:val="00A530CE"/>
    <w:rsid w:val="00A54F23"/>
    <w:rsid w:val="00A54FF0"/>
    <w:rsid w:val="00A5506E"/>
    <w:rsid w:val="00A55331"/>
    <w:rsid w:val="00A55957"/>
    <w:rsid w:val="00A571E0"/>
    <w:rsid w:val="00A61FD9"/>
    <w:rsid w:val="00A62982"/>
    <w:rsid w:val="00A6506D"/>
    <w:rsid w:val="00A659DF"/>
    <w:rsid w:val="00A65D44"/>
    <w:rsid w:val="00A67A1F"/>
    <w:rsid w:val="00A70809"/>
    <w:rsid w:val="00A70C9D"/>
    <w:rsid w:val="00A716F5"/>
    <w:rsid w:val="00A761DE"/>
    <w:rsid w:val="00A815CC"/>
    <w:rsid w:val="00A82572"/>
    <w:rsid w:val="00A843D0"/>
    <w:rsid w:val="00A84B74"/>
    <w:rsid w:val="00A859DA"/>
    <w:rsid w:val="00A86A55"/>
    <w:rsid w:val="00A86AE3"/>
    <w:rsid w:val="00A877E3"/>
    <w:rsid w:val="00A91F6F"/>
    <w:rsid w:val="00A93949"/>
    <w:rsid w:val="00A93953"/>
    <w:rsid w:val="00A94A7E"/>
    <w:rsid w:val="00A95F99"/>
    <w:rsid w:val="00AA0A97"/>
    <w:rsid w:val="00AA19A9"/>
    <w:rsid w:val="00AA1AF9"/>
    <w:rsid w:val="00AA51EC"/>
    <w:rsid w:val="00AA5B91"/>
    <w:rsid w:val="00AA7133"/>
    <w:rsid w:val="00AB0225"/>
    <w:rsid w:val="00AB093B"/>
    <w:rsid w:val="00AB2E53"/>
    <w:rsid w:val="00AC04FF"/>
    <w:rsid w:val="00AC0538"/>
    <w:rsid w:val="00AC0D5D"/>
    <w:rsid w:val="00AC1E4E"/>
    <w:rsid w:val="00AC2691"/>
    <w:rsid w:val="00AC6964"/>
    <w:rsid w:val="00AD00D5"/>
    <w:rsid w:val="00AD1979"/>
    <w:rsid w:val="00AD1A0E"/>
    <w:rsid w:val="00AD2072"/>
    <w:rsid w:val="00AD25A4"/>
    <w:rsid w:val="00AD3E8C"/>
    <w:rsid w:val="00AD4A69"/>
    <w:rsid w:val="00AD7E49"/>
    <w:rsid w:val="00AE2DEB"/>
    <w:rsid w:val="00AE3ADF"/>
    <w:rsid w:val="00AE69FE"/>
    <w:rsid w:val="00AE7A87"/>
    <w:rsid w:val="00AF0C81"/>
    <w:rsid w:val="00AF0D9E"/>
    <w:rsid w:val="00AF16A8"/>
    <w:rsid w:val="00AF2839"/>
    <w:rsid w:val="00AF51EC"/>
    <w:rsid w:val="00AF6427"/>
    <w:rsid w:val="00AF6B7A"/>
    <w:rsid w:val="00B02172"/>
    <w:rsid w:val="00B05C34"/>
    <w:rsid w:val="00B06848"/>
    <w:rsid w:val="00B06D37"/>
    <w:rsid w:val="00B12B89"/>
    <w:rsid w:val="00B133B0"/>
    <w:rsid w:val="00B147EE"/>
    <w:rsid w:val="00B15D06"/>
    <w:rsid w:val="00B17E9C"/>
    <w:rsid w:val="00B20365"/>
    <w:rsid w:val="00B2355F"/>
    <w:rsid w:val="00B2525B"/>
    <w:rsid w:val="00B26075"/>
    <w:rsid w:val="00B3502C"/>
    <w:rsid w:val="00B35333"/>
    <w:rsid w:val="00B363B9"/>
    <w:rsid w:val="00B401B1"/>
    <w:rsid w:val="00B41CA1"/>
    <w:rsid w:val="00B42134"/>
    <w:rsid w:val="00B43172"/>
    <w:rsid w:val="00B431B7"/>
    <w:rsid w:val="00B43D21"/>
    <w:rsid w:val="00B43EB2"/>
    <w:rsid w:val="00B45CC2"/>
    <w:rsid w:val="00B52017"/>
    <w:rsid w:val="00B52A53"/>
    <w:rsid w:val="00B53139"/>
    <w:rsid w:val="00B5481E"/>
    <w:rsid w:val="00B579C6"/>
    <w:rsid w:val="00B60160"/>
    <w:rsid w:val="00B602D2"/>
    <w:rsid w:val="00B62B96"/>
    <w:rsid w:val="00B640D1"/>
    <w:rsid w:val="00B6455A"/>
    <w:rsid w:val="00B64BB4"/>
    <w:rsid w:val="00B66392"/>
    <w:rsid w:val="00B66D06"/>
    <w:rsid w:val="00B66E8E"/>
    <w:rsid w:val="00B670BA"/>
    <w:rsid w:val="00B6732F"/>
    <w:rsid w:val="00B70339"/>
    <w:rsid w:val="00B70BD3"/>
    <w:rsid w:val="00B71A67"/>
    <w:rsid w:val="00B74776"/>
    <w:rsid w:val="00B747E7"/>
    <w:rsid w:val="00B8194B"/>
    <w:rsid w:val="00B82710"/>
    <w:rsid w:val="00B87FD6"/>
    <w:rsid w:val="00B9156C"/>
    <w:rsid w:val="00B955E2"/>
    <w:rsid w:val="00BA2496"/>
    <w:rsid w:val="00BA2BAF"/>
    <w:rsid w:val="00BA3CB5"/>
    <w:rsid w:val="00BA3CE3"/>
    <w:rsid w:val="00BA3E49"/>
    <w:rsid w:val="00BA4D03"/>
    <w:rsid w:val="00BA635A"/>
    <w:rsid w:val="00BB22D0"/>
    <w:rsid w:val="00BB29DE"/>
    <w:rsid w:val="00BB58AA"/>
    <w:rsid w:val="00BC1378"/>
    <w:rsid w:val="00BC2664"/>
    <w:rsid w:val="00BC3217"/>
    <w:rsid w:val="00BC456D"/>
    <w:rsid w:val="00BC4BFF"/>
    <w:rsid w:val="00BC5CC9"/>
    <w:rsid w:val="00BD048D"/>
    <w:rsid w:val="00BD157F"/>
    <w:rsid w:val="00BD60CD"/>
    <w:rsid w:val="00BD69C6"/>
    <w:rsid w:val="00BD7DE3"/>
    <w:rsid w:val="00BE1388"/>
    <w:rsid w:val="00BE2371"/>
    <w:rsid w:val="00BE2B36"/>
    <w:rsid w:val="00BE51B6"/>
    <w:rsid w:val="00BE795A"/>
    <w:rsid w:val="00BF0E3B"/>
    <w:rsid w:val="00BF2940"/>
    <w:rsid w:val="00BF4243"/>
    <w:rsid w:val="00BF625E"/>
    <w:rsid w:val="00C02844"/>
    <w:rsid w:val="00C03F60"/>
    <w:rsid w:val="00C0737F"/>
    <w:rsid w:val="00C16214"/>
    <w:rsid w:val="00C20334"/>
    <w:rsid w:val="00C2144D"/>
    <w:rsid w:val="00C21B2B"/>
    <w:rsid w:val="00C22307"/>
    <w:rsid w:val="00C22753"/>
    <w:rsid w:val="00C23504"/>
    <w:rsid w:val="00C23ACF"/>
    <w:rsid w:val="00C25EDF"/>
    <w:rsid w:val="00C264FB"/>
    <w:rsid w:val="00C26E30"/>
    <w:rsid w:val="00C27A3B"/>
    <w:rsid w:val="00C306C6"/>
    <w:rsid w:val="00C32946"/>
    <w:rsid w:val="00C37B34"/>
    <w:rsid w:val="00C41C3D"/>
    <w:rsid w:val="00C41D43"/>
    <w:rsid w:val="00C42651"/>
    <w:rsid w:val="00C42DDD"/>
    <w:rsid w:val="00C449E1"/>
    <w:rsid w:val="00C44C2C"/>
    <w:rsid w:val="00C44CAF"/>
    <w:rsid w:val="00C4676A"/>
    <w:rsid w:val="00C52A1A"/>
    <w:rsid w:val="00C5473D"/>
    <w:rsid w:val="00C549C8"/>
    <w:rsid w:val="00C55FF5"/>
    <w:rsid w:val="00C62E7F"/>
    <w:rsid w:val="00C64715"/>
    <w:rsid w:val="00C6511F"/>
    <w:rsid w:val="00C6522F"/>
    <w:rsid w:val="00C65744"/>
    <w:rsid w:val="00C66DB7"/>
    <w:rsid w:val="00C70484"/>
    <w:rsid w:val="00C70D18"/>
    <w:rsid w:val="00C73701"/>
    <w:rsid w:val="00C7673F"/>
    <w:rsid w:val="00C7778C"/>
    <w:rsid w:val="00C77EB7"/>
    <w:rsid w:val="00C84532"/>
    <w:rsid w:val="00C84A2F"/>
    <w:rsid w:val="00C90041"/>
    <w:rsid w:val="00C91113"/>
    <w:rsid w:val="00C93895"/>
    <w:rsid w:val="00C93BF9"/>
    <w:rsid w:val="00C93DC1"/>
    <w:rsid w:val="00C942AC"/>
    <w:rsid w:val="00C94469"/>
    <w:rsid w:val="00C94CAC"/>
    <w:rsid w:val="00C95BE1"/>
    <w:rsid w:val="00C970D5"/>
    <w:rsid w:val="00CA257D"/>
    <w:rsid w:val="00CA261C"/>
    <w:rsid w:val="00CA28F2"/>
    <w:rsid w:val="00CA2D62"/>
    <w:rsid w:val="00CA7348"/>
    <w:rsid w:val="00CB00BE"/>
    <w:rsid w:val="00CB00D0"/>
    <w:rsid w:val="00CB1E10"/>
    <w:rsid w:val="00CB518C"/>
    <w:rsid w:val="00CB5ADC"/>
    <w:rsid w:val="00CB6D86"/>
    <w:rsid w:val="00CB7E62"/>
    <w:rsid w:val="00CC0723"/>
    <w:rsid w:val="00CC30CD"/>
    <w:rsid w:val="00CC479F"/>
    <w:rsid w:val="00CC5D2B"/>
    <w:rsid w:val="00CC6AB7"/>
    <w:rsid w:val="00CC786E"/>
    <w:rsid w:val="00CD052A"/>
    <w:rsid w:val="00CD454E"/>
    <w:rsid w:val="00CD4A57"/>
    <w:rsid w:val="00CD6F8D"/>
    <w:rsid w:val="00CD7144"/>
    <w:rsid w:val="00CE0F64"/>
    <w:rsid w:val="00CE1584"/>
    <w:rsid w:val="00CE1CA2"/>
    <w:rsid w:val="00CE1DB2"/>
    <w:rsid w:val="00CE4C29"/>
    <w:rsid w:val="00CE64C0"/>
    <w:rsid w:val="00CE7DEF"/>
    <w:rsid w:val="00CF0BCD"/>
    <w:rsid w:val="00CF18A0"/>
    <w:rsid w:val="00CF28C7"/>
    <w:rsid w:val="00CF2C78"/>
    <w:rsid w:val="00CF2D84"/>
    <w:rsid w:val="00CF39FF"/>
    <w:rsid w:val="00CF3B77"/>
    <w:rsid w:val="00CF44A2"/>
    <w:rsid w:val="00CF4D10"/>
    <w:rsid w:val="00CF6B6F"/>
    <w:rsid w:val="00D020A9"/>
    <w:rsid w:val="00D04B10"/>
    <w:rsid w:val="00D04F23"/>
    <w:rsid w:val="00D053E7"/>
    <w:rsid w:val="00D0687B"/>
    <w:rsid w:val="00D07221"/>
    <w:rsid w:val="00D12F8C"/>
    <w:rsid w:val="00D155D8"/>
    <w:rsid w:val="00D15D08"/>
    <w:rsid w:val="00D2092E"/>
    <w:rsid w:val="00D20F65"/>
    <w:rsid w:val="00D22435"/>
    <w:rsid w:val="00D24035"/>
    <w:rsid w:val="00D262BB"/>
    <w:rsid w:val="00D26543"/>
    <w:rsid w:val="00D26DF5"/>
    <w:rsid w:val="00D27C28"/>
    <w:rsid w:val="00D30692"/>
    <w:rsid w:val="00D30A6C"/>
    <w:rsid w:val="00D30D3B"/>
    <w:rsid w:val="00D31288"/>
    <w:rsid w:val="00D31E18"/>
    <w:rsid w:val="00D33252"/>
    <w:rsid w:val="00D33A76"/>
    <w:rsid w:val="00D340DA"/>
    <w:rsid w:val="00D419A6"/>
    <w:rsid w:val="00D44A4A"/>
    <w:rsid w:val="00D507E9"/>
    <w:rsid w:val="00D517A8"/>
    <w:rsid w:val="00D53694"/>
    <w:rsid w:val="00D56D6B"/>
    <w:rsid w:val="00D60015"/>
    <w:rsid w:val="00D60E19"/>
    <w:rsid w:val="00D643C3"/>
    <w:rsid w:val="00D67BD8"/>
    <w:rsid w:val="00D70317"/>
    <w:rsid w:val="00D72841"/>
    <w:rsid w:val="00D72D8A"/>
    <w:rsid w:val="00D74BFD"/>
    <w:rsid w:val="00D801BC"/>
    <w:rsid w:val="00D82DE0"/>
    <w:rsid w:val="00D84296"/>
    <w:rsid w:val="00D853BC"/>
    <w:rsid w:val="00D86CA4"/>
    <w:rsid w:val="00D86DB3"/>
    <w:rsid w:val="00D90E00"/>
    <w:rsid w:val="00D91B20"/>
    <w:rsid w:val="00D92793"/>
    <w:rsid w:val="00D949F2"/>
    <w:rsid w:val="00D965F3"/>
    <w:rsid w:val="00D97D05"/>
    <w:rsid w:val="00DA2CD4"/>
    <w:rsid w:val="00DA2FEC"/>
    <w:rsid w:val="00DB0EDC"/>
    <w:rsid w:val="00DB1927"/>
    <w:rsid w:val="00DB5A4D"/>
    <w:rsid w:val="00DB5B64"/>
    <w:rsid w:val="00DB7F9D"/>
    <w:rsid w:val="00DC4835"/>
    <w:rsid w:val="00DC61F7"/>
    <w:rsid w:val="00DC6584"/>
    <w:rsid w:val="00DD157D"/>
    <w:rsid w:val="00DD3649"/>
    <w:rsid w:val="00DD54B6"/>
    <w:rsid w:val="00DD54C6"/>
    <w:rsid w:val="00DD7112"/>
    <w:rsid w:val="00DE188D"/>
    <w:rsid w:val="00DE37F2"/>
    <w:rsid w:val="00DE7D6B"/>
    <w:rsid w:val="00DF1872"/>
    <w:rsid w:val="00DF1AC2"/>
    <w:rsid w:val="00DF361B"/>
    <w:rsid w:val="00DF4620"/>
    <w:rsid w:val="00DF4F51"/>
    <w:rsid w:val="00DF74BE"/>
    <w:rsid w:val="00E01AF7"/>
    <w:rsid w:val="00E03480"/>
    <w:rsid w:val="00E0700C"/>
    <w:rsid w:val="00E07066"/>
    <w:rsid w:val="00E20DBE"/>
    <w:rsid w:val="00E2226F"/>
    <w:rsid w:val="00E2320D"/>
    <w:rsid w:val="00E26307"/>
    <w:rsid w:val="00E2663E"/>
    <w:rsid w:val="00E27CC4"/>
    <w:rsid w:val="00E324B7"/>
    <w:rsid w:val="00E34EB0"/>
    <w:rsid w:val="00E37306"/>
    <w:rsid w:val="00E41B81"/>
    <w:rsid w:val="00E42C5D"/>
    <w:rsid w:val="00E43AEB"/>
    <w:rsid w:val="00E44190"/>
    <w:rsid w:val="00E46E3E"/>
    <w:rsid w:val="00E5238B"/>
    <w:rsid w:val="00E54C31"/>
    <w:rsid w:val="00E558C3"/>
    <w:rsid w:val="00E63845"/>
    <w:rsid w:val="00E63DA5"/>
    <w:rsid w:val="00E64E39"/>
    <w:rsid w:val="00E706EE"/>
    <w:rsid w:val="00E73959"/>
    <w:rsid w:val="00E75F35"/>
    <w:rsid w:val="00E76F23"/>
    <w:rsid w:val="00E808A7"/>
    <w:rsid w:val="00E83900"/>
    <w:rsid w:val="00E84A9A"/>
    <w:rsid w:val="00E9120A"/>
    <w:rsid w:val="00E9495F"/>
    <w:rsid w:val="00E95676"/>
    <w:rsid w:val="00EA0970"/>
    <w:rsid w:val="00EA1AE3"/>
    <w:rsid w:val="00EA3499"/>
    <w:rsid w:val="00EA35DD"/>
    <w:rsid w:val="00EA49BD"/>
    <w:rsid w:val="00EA5680"/>
    <w:rsid w:val="00EA5A4A"/>
    <w:rsid w:val="00EA5EAB"/>
    <w:rsid w:val="00EA6F65"/>
    <w:rsid w:val="00EA7945"/>
    <w:rsid w:val="00EA7D2C"/>
    <w:rsid w:val="00EB055F"/>
    <w:rsid w:val="00EB2172"/>
    <w:rsid w:val="00EB3302"/>
    <w:rsid w:val="00EB4468"/>
    <w:rsid w:val="00EB7DB7"/>
    <w:rsid w:val="00EC080F"/>
    <w:rsid w:val="00EC22AA"/>
    <w:rsid w:val="00EC430A"/>
    <w:rsid w:val="00EC6DF6"/>
    <w:rsid w:val="00EC7AAD"/>
    <w:rsid w:val="00ED1A66"/>
    <w:rsid w:val="00ED47AD"/>
    <w:rsid w:val="00ED4F5D"/>
    <w:rsid w:val="00ED5B8E"/>
    <w:rsid w:val="00ED6134"/>
    <w:rsid w:val="00ED673B"/>
    <w:rsid w:val="00EE3682"/>
    <w:rsid w:val="00EE4EEB"/>
    <w:rsid w:val="00EE512A"/>
    <w:rsid w:val="00EE56B8"/>
    <w:rsid w:val="00EE56F8"/>
    <w:rsid w:val="00EE63B8"/>
    <w:rsid w:val="00EE72E9"/>
    <w:rsid w:val="00EE7347"/>
    <w:rsid w:val="00EF186B"/>
    <w:rsid w:val="00EF1903"/>
    <w:rsid w:val="00EF3007"/>
    <w:rsid w:val="00EF55A0"/>
    <w:rsid w:val="00EF57A8"/>
    <w:rsid w:val="00EF6023"/>
    <w:rsid w:val="00F006EF"/>
    <w:rsid w:val="00F02353"/>
    <w:rsid w:val="00F03870"/>
    <w:rsid w:val="00F05636"/>
    <w:rsid w:val="00F06994"/>
    <w:rsid w:val="00F06FEE"/>
    <w:rsid w:val="00F07775"/>
    <w:rsid w:val="00F10271"/>
    <w:rsid w:val="00F103A2"/>
    <w:rsid w:val="00F10882"/>
    <w:rsid w:val="00F151BE"/>
    <w:rsid w:val="00F169E8"/>
    <w:rsid w:val="00F205B9"/>
    <w:rsid w:val="00F22A4C"/>
    <w:rsid w:val="00F24FD6"/>
    <w:rsid w:val="00F27499"/>
    <w:rsid w:val="00F27886"/>
    <w:rsid w:val="00F317D7"/>
    <w:rsid w:val="00F3395A"/>
    <w:rsid w:val="00F36E18"/>
    <w:rsid w:val="00F376E1"/>
    <w:rsid w:val="00F405D3"/>
    <w:rsid w:val="00F43E46"/>
    <w:rsid w:val="00F44CBB"/>
    <w:rsid w:val="00F44E6D"/>
    <w:rsid w:val="00F46EC9"/>
    <w:rsid w:val="00F50FD1"/>
    <w:rsid w:val="00F51A68"/>
    <w:rsid w:val="00F51F34"/>
    <w:rsid w:val="00F52B17"/>
    <w:rsid w:val="00F52EAB"/>
    <w:rsid w:val="00F56B31"/>
    <w:rsid w:val="00F60961"/>
    <w:rsid w:val="00F61AD4"/>
    <w:rsid w:val="00F6220E"/>
    <w:rsid w:val="00F627DA"/>
    <w:rsid w:val="00F660AA"/>
    <w:rsid w:val="00F67561"/>
    <w:rsid w:val="00F72A94"/>
    <w:rsid w:val="00F7593C"/>
    <w:rsid w:val="00F76293"/>
    <w:rsid w:val="00F77CD3"/>
    <w:rsid w:val="00F81138"/>
    <w:rsid w:val="00F82DC2"/>
    <w:rsid w:val="00F832BE"/>
    <w:rsid w:val="00F84126"/>
    <w:rsid w:val="00F8539B"/>
    <w:rsid w:val="00F8649F"/>
    <w:rsid w:val="00F87455"/>
    <w:rsid w:val="00F87FCF"/>
    <w:rsid w:val="00F9002C"/>
    <w:rsid w:val="00F92D65"/>
    <w:rsid w:val="00F92D8A"/>
    <w:rsid w:val="00F92ED9"/>
    <w:rsid w:val="00F93A76"/>
    <w:rsid w:val="00F93B78"/>
    <w:rsid w:val="00F974A0"/>
    <w:rsid w:val="00F974AD"/>
    <w:rsid w:val="00FA19FA"/>
    <w:rsid w:val="00FA1C4A"/>
    <w:rsid w:val="00FA4769"/>
    <w:rsid w:val="00FB609F"/>
    <w:rsid w:val="00FC0F47"/>
    <w:rsid w:val="00FC3802"/>
    <w:rsid w:val="00FC3ADA"/>
    <w:rsid w:val="00FC433A"/>
    <w:rsid w:val="00FC6D12"/>
    <w:rsid w:val="00FC7DC7"/>
    <w:rsid w:val="00FD4B21"/>
    <w:rsid w:val="00FD4FFF"/>
    <w:rsid w:val="00FD61E5"/>
    <w:rsid w:val="00FD6F65"/>
    <w:rsid w:val="00FD735F"/>
    <w:rsid w:val="00FE0F98"/>
    <w:rsid w:val="00FE3008"/>
    <w:rsid w:val="00FE7E9A"/>
    <w:rsid w:val="00FF0383"/>
    <w:rsid w:val="00FF1E73"/>
    <w:rsid w:val="00FF4C83"/>
    <w:rsid w:val="00FF5807"/>
    <w:rsid w:val="00FF663F"/>
    <w:rsid w:val="00FF73AA"/>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6CF"/>
  </w:style>
  <w:style w:type="paragraph" w:styleId="Heading1">
    <w:name w:val="heading 1"/>
    <w:basedOn w:val="Normal"/>
    <w:next w:val="Normal"/>
    <w:qFormat/>
    <w:rsid w:val="000466CF"/>
    <w:pPr>
      <w:keepNext/>
      <w:numPr>
        <w:numId w:val="2"/>
      </w:numPr>
      <w:outlineLvl w:val="0"/>
    </w:pPr>
    <w:rPr>
      <w:rFonts w:ascii="Arial" w:hAnsi="Arial"/>
      <w:b/>
      <w:sz w:val="24"/>
    </w:rPr>
  </w:style>
  <w:style w:type="paragraph" w:styleId="Heading4">
    <w:name w:val="heading 4"/>
    <w:basedOn w:val="Normal"/>
    <w:next w:val="Normal"/>
    <w:qFormat/>
    <w:rsid w:val="000466CF"/>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0466CF"/>
    <w:pPr>
      <w:ind w:left="720"/>
    </w:pPr>
  </w:style>
  <w:style w:type="paragraph" w:styleId="BodyTextIndent">
    <w:name w:val="Body Text Indent"/>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Header">
    <w:name w:val="header"/>
    <w:basedOn w:val="Normal"/>
    <w:rsid w:val="000466CF"/>
    <w:pPr>
      <w:tabs>
        <w:tab w:val="center" w:pos="4320"/>
        <w:tab w:val="right" w:pos="8640"/>
      </w:tabs>
    </w:pPr>
  </w:style>
  <w:style w:type="paragraph" w:styleId="Footer">
    <w:name w:val="footer"/>
    <w:basedOn w:val="Normal"/>
    <w:rsid w:val="000466CF"/>
    <w:pPr>
      <w:tabs>
        <w:tab w:val="center" w:pos="4320"/>
        <w:tab w:val="right" w:pos="8640"/>
      </w:tabs>
    </w:pPr>
  </w:style>
  <w:style w:type="character" w:styleId="Hyperlink">
    <w:name w:val="Hyperlink"/>
    <w:rsid w:val="000466CF"/>
    <w:rPr>
      <w:color w:val="0000FF"/>
      <w:u w:val="single"/>
    </w:rPr>
  </w:style>
  <w:style w:type="character" w:styleId="PageNumber">
    <w:name w:val="page number"/>
    <w:basedOn w:val="DefaultParagraphFont"/>
    <w:rsid w:val="000466CF"/>
  </w:style>
  <w:style w:type="paragraph" w:styleId="BalloonText">
    <w:name w:val="Balloon Text"/>
    <w:basedOn w:val="Normal"/>
    <w:link w:val="BalloonTextChar"/>
    <w:rsid w:val="00076588"/>
    <w:rPr>
      <w:rFonts w:ascii="Tahoma" w:hAnsi="Tahoma" w:cs="Tahoma"/>
      <w:sz w:val="16"/>
      <w:szCs w:val="16"/>
    </w:rPr>
  </w:style>
  <w:style w:type="character" w:customStyle="1" w:styleId="BalloonTextChar">
    <w:name w:val="Balloon Text Char"/>
    <w:link w:val="BalloonText"/>
    <w:rsid w:val="00076588"/>
    <w:rPr>
      <w:rFonts w:ascii="Tahoma" w:hAnsi="Tahoma" w:cs="Tahoma"/>
      <w:sz w:val="16"/>
      <w:szCs w:val="16"/>
    </w:rPr>
  </w:style>
  <w:style w:type="character" w:styleId="CommentReference">
    <w:name w:val="annotation reference"/>
    <w:rsid w:val="00C22307"/>
    <w:rPr>
      <w:sz w:val="16"/>
      <w:szCs w:val="16"/>
    </w:rPr>
  </w:style>
  <w:style w:type="paragraph" w:styleId="CommentText">
    <w:name w:val="annotation text"/>
    <w:basedOn w:val="Normal"/>
    <w:link w:val="CommentTextChar"/>
    <w:rsid w:val="00C22307"/>
  </w:style>
  <w:style w:type="character" w:customStyle="1" w:styleId="CommentTextChar">
    <w:name w:val="Comment Text Char"/>
    <w:basedOn w:val="DefaultParagraphFont"/>
    <w:link w:val="CommentText"/>
    <w:rsid w:val="00C22307"/>
  </w:style>
  <w:style w:type="paragraph" w:styleId="CommentSubject">
    <w:name w:val="annotation subject"/>
    <w:basedOn w:val="CommentText"/>
    <w:next w:val="CommentText"/>
    <w:link w:val="CommentSubjectChar"/>
    <w:rsid w:val="00C22307"/>
    <w:rPr>
      <w:b/>
      <w:bCs/>
    </w:rPr>
  </w:style>
  <w:style w:type="character" w:customStyle="1" w:styleId="CommentSubjectChar">
    <w:name w:val="Comment Subject Char"/>
    <w:link w:val="CommentSubject"/>
    <w:rsid w:val="00C22307"/>
    <w:rPr>
      <w:b/>
      <w:bCs/>
    </w:rPr>
  </w:style>
  <w:style w:type="paragraph" w:styleId="FootnoteText">
    <w:name w:val="footnote text"/>
    <w:basedOn w:val="Normal"/>
    <w:link w:val="FootnoteTextChar"/>
    <w:rsid w:val="00991F59"/>
  </w:style>
  <w:style w:type="character" w:customStyle="1" w:styleId="FootnoteTextChar">
    <w:name w:val="Footnote Text Char"/>
    <w:basedOn w:val="DefaultParagraphFont"/>
    <w:link w:val="FootnoteText"/>
    <w:rsid w:val="00991F59"/>
  </w:style>
  <w:style w:type="character" w:styleId="FootnoteReference">
    <w:name w:val="footnote reference"/>
    <w:basedOn w:val="DefaultParagraphFont"/>
    <w:rsid w:val="00991F59"/>
    <w:rPr>
      <w:vertAlign w:val="superscript"/>
    </w:rPr>
  </w:style>
  <w:style w:type="paragraph" w:styleId="EndnoteText">
    <w:name w:val="endnote text"/>
    <w:basedOn w:val="Normal"/>
    <w:link w:val="EndnoteTextChar"/>
    <w:rsid w:val="00991F59"/>
  </w:style>
  <w:style w:type="character" w:customStyle="1" w:styleId="EndnoteTextChar">
    <w:name w:val="Endnote Text Char"/>
    <w:basedOn w:val="DefaultParagraphFont"/>
    <w:link w:val="EndnoteText"/>
    <w:rsid w:val="00991F59"/>
  </w:style>
  <w:style w:type="character" w:styleId="EndnoteReference">
    <w:name w:val="endnote reference"/>
    <w:basedOn w:val="DefaultParagraphFont"/>
    <w:rsid w:val="00991F59"/>
    <w:rPr>
      <w:vertAlign w:val="superscript"/>
    </w:rPr>
  </w:style>
  <w:style w:type="table" w:styleId="TableGrid">
    <w:name w:val="Table Grid"/>
    <w:basedOn w:val="TableNormal"/>
    <w:rsid w:val="0067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6CF"/>
  </w:style>
  <w:style w:type="paragraph" w:styleId="Heading1">
    <w:name w:val="heading 1"/>
    <w:basedOn w:val="Normal"/>
    <w:next w:val="Normal"/>
    <w:qFormat/>
    <w:rsid w:val="000466CF"/>
    <w:pPr>
      <w:keepNext/>
      <w:numPr>
        <w:numId w:val="2"/>
      </w:numPr>
      <w:outlineLvl w:val="0"/>
    </w:pPr>
    <w:rPr>
      <w:rFonts w:ascii="Arial" w:hAnsi="Arial"/>
      <w:b/>
      <w:sz w:val="24"/>
    </w:rPr>
  </w:style>
  <w:style w:type="paragraph" w:styleId="Heading4">
    <w:name w:val="heading 4"/>
    <w:basedOn w:val="Normal"/>
    <w:next w:val="Normal"/>
    <w:qFormat/>
    <w:rsid w:val="000466CF"/>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0466CF"/>
    <w:pPr>
      <w:ind w:left="720"/>
    </w:pPr>
  </w:style>
  <w:style w:type="paragraph" w:styleId="BodyTextIndent">
    <w:name w:val="Body Text Indent"/>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Header">
    <w:name w:val="header"/>
    <w:basedOn w:val="Normal"/>
    <w:rsid w:val="000466CF"/>
    <w:pPr>
      <w:tabs>
        <w:tab w:val="center" w:pos="4320"/>
        <w:tab w:val="right" w:pos="8640"/>
      </w:tabs>
    </w:pPr>
  </w:style>
  <w:style w:type="paragraph" w:styleId="Footer">
    <w:name w:val="footer"/>
    <w:basedOn w:val="Normal"/>
    <w:rsid w:val="000466CF"/>
    <w:pPr>
      <w:tabs>
        <w:tab w:val="center" w:pos="4320"/>
        <w:tab w:val="right" w:pos="8640"/>
      </w:tabs>
    </w:pPr>
  </w:style>
  <w:style w:type="character" w:styleId="Hyperlink">
    <w:name w:val="Hyperlink"/>
    <w:rsid w:val="000466CF"/>
    <w:rPr>
      <w:color w:val="0000FF"/>
      <w:u w:val="single"/>
    </w:rPr>
  </w:style>
  <w:style w:type="character" w:styleId="PageNumber">
    <w:name w:val="page number"/>
    <w:basedOn w:val="DefaultParagraphFont"/>
    <w:rsid w:val="000466CF"/>
  </w:style>
  <w:style w:type="paragraph" w:styleId="BalloonText">
    <w:name w:val="Balloon Text"/>
    <w:basedOn w:val="Normal"/>
    <w:link w:val="BalloonTextChar"/>
    <w:rsid w:val="00076588"/>
    <w:rPr>
      <w:rFonts w:ascii="Tahoma" w:hAnsi="Tahoma" w:cs="Tahoma"/>
      <w:sz w:val="16"/>
      <w:szCs w:val="16"/>
    </w:rPr>
  </w:style>
  <w:style w:type="character" w:customStyle="1" w:styleId="BalloonTextChar">
    <w:name w:val="Balloon Text Char"/>
    <w:link w:val="BalloonText"/>
    <w:rsid w:val="00076588"/>
    <w:rPr>
      <w:rFonts w:ascii="Tahoma" w:hAnsi="Tahoma" w:cs="Tahoma"/>
      <w:sz w:val="16"/>
      <w:szCs w:val="16"/>
    </w:rPr>
  </w:style>
  <w:style w:type="character" w:styleId="CommentReference">
    <w:name w:val="annotation reference"/>
    <w:rsid w:val="00C22307"/>
    <w:rPr>
      <w:sz w:val="16"/>
      <w:szCs w:val="16"/>
    </w:rPr>
  </w:style>
  <w:style w:type="paragraph" w:styleId="CommentText">
    <w:name w:val="annotation text"/>
    <w:basedOn w:val="Normal"/>
    <w:link w:val="CommentTextChar"/>
    <w:rsid w:val="00C22307"/>
  </w:style>
  <w:style w:type="character" w:customStyle="1" w:styleId="CommentTextChar">
    <w:name w:val="Comment Text Char"/>
    <w:basedOn w:val="DefaultParagraphFont"/>
    <w:link w:val="CommentText"/>
    <w:rsid w:val="00C22307"/>
  </w:style>
  <w:style w:type="paragraph" w:styleId="CommentSubject">
    <w:name w:val="annotation subject"/>
    <w:basedOn w:val="CommentText"/>
    <w:next w:val="CommentText"/>
    <w:link w:val="CommentSubjectChar"/>
    <w:rsid w:val="00C22307"/>
    <w:rPr>
      <w:b/>
      <w:bCs/>
    </w:rPr>
  </w:style>
  <w:style w:type="character" w:customStyle="1" w:styleId="CommentSubjectChar">
    <w:name w:val="Comment Subject Char"/>
    <w:link w:val="CommentSubject"/>
    <w:rsid w:val="00C22307"/>
    <w:rPr>
      <w:b/>
      <w:bCs/>
    </w:rPr>
  </w:style>
  <w:style w:type="paragraph" w:styleId="FootnoteText">
    <w:name w:val="footnote text"/>
    <w:basedOn w:val="Normal"/>
    <w:link w:val="FootnoteTextChar"/>
    <w:rsid w:val="00991F59"/>
  </w:style>
  <w:style w:type="character" w:customStyle="1" w:styleId="FootnoteTextChar">
    <w:name w:val="Footnote Text Char"/>
    <w:basedOn w:val="DefaultParagraphFont"/>
    <w:link w:val="FootnoteText"/>
    <w:rsid w:val="00991F59"/>
  </w:style>
  <w:style w:type="character" w:styleId="FootnoteReference">
    <w:name w:val="footnote reference"/>
    <w:basedOn w:val="DefaultParagraphFont"/>
    <w:rsid w:val="00991F59"/>
    <w:rPr>
      <w:vertAlign w:val="superscript"/>
    </w:rPr>
  </w:style>
  <w:style w:type="paragraph" w:styleId="EndnoteText">
    <w:name w:val="endnote text"/>
    <w:basedOn w:val="Normal"/>
    <w:link w:val="EndnoteTextChar"/>
    <w:rsid w:val="00991F59"/>
  </w:style>
  <w:style w:type="character" w:customStyle="1" w:styleId="EndnoteTextChar">
    <w:name w:val="Endnote Text Char"/>
    <w:basedOn w:val="DefaultParagraphFont"/>
    <w:link w:val="EndnoteText"/>
    <w:rsid w:val="00991F59"/>
  </w:style>
  <w:style w:type="character" w:styleId="EndnoteReference">
    <w:name w:val="endnote reference"/>
    <w:basedOn w:val="DefaultParagraphFont"/>
    <w:rsid w:val="00991F59"/>
    <w:rPr>
      <w:vertAlign w:val="superscript"/>
    </w:rPr>
  </w:style>
  <w:style w:type="table" w:styleId="TableGrid">
    <w:name w:val="Table Grid"/>
    <w:basedOn w:val="TableNormal"/>
    <w:rsid w:val="0067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4140">
      <w:bodyDiv w:val="1"/>
      <w:marLeft w:val="0"/>
      <w:marRight w:val="0"/>
      <w:marTop w:val="0"/>
      <w:marBottom w:val="0"/>
      <w:divBdr>
        <w:top w:val="none" w:sz="0" w:space="0" w:color="auto"/>
        <w:left w:val="none" w:sz="0" w:space="0" w:color="auto"/>
        <w:bottom w:val="none" w:sz="0" w:space="0" w:color="auto"/>
        <w:right w:val="none" w:sz="0" w:space="0" w:color="auto"/>
      </w:divBdr>
    </w:div>
    <w:div w:id="20640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settings" Target="settings.xml"/><Relationship Id="rId15" Type="http://schemas.openxmlformats.org/officeDocument/2006/relationships/hyperlink" Target="mailto:Spisak.Andrew@dol.gov" TargetMode="External"/><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2A12-C5C1-4AED-B286-EDB03E17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3592</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vt:lpstr>
    </vt:vector>
  </TitlesOfParts>
  <Company>Employment &amp; Training Administration</Company>
  <LinksUpToDate>false</LinksUpToDate>
  <CharactersWithSpaces>22383</CharactersWithSpaces>
  <SharedDoc>false</SharedDoc>
  <HLinks>
    <vt:vector size="6" baseType="variant">
      <vt:variant>
        <vt:i4>4522028</vt:i4>
      </vt:variant>
      <vt:variant>
        <vt:i4>9</vt:i4>
      </vt:variant>
      <vt:variant>
        <vt:i4>0</vt:i4>
      </vt:variant>
      <vt:variant>
        <vt:i4>5</vt:i4>
      </vt:variant>
      <vt:variant>
        <vt:lpwstr>mailto:Spisak.Andrew@dol.gov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naradzay.bonnie</dc:creator>
  <cp:lastModifiedBy>Naradzay.Bonnie</cp:lastModifiedBy>
  <cp:revision>3</cp:revision>
  <cp:lastPrinted>2013-06-27T13:16:00Z</cp:lastPrinted>
  <dcterms:created xsi:type="dcterms:W3CDTF">2013-11-08T18:46:00Z</dcterms:created>
  <dcterms:modified xsi:type="dcterms:W3CDTF">2013-11-08T18:47:00Z</dcterms:modified>
</cp:coreProperties>
</file>