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596AB" w14:textId="77777777" w:rsidR="008C7F86" w:rsidRPr="00ED5872" w:rsidRDefault="008C7F86">
      <w:pPr>
        <w:widowControl/>
        <w:tabs>
          <w:tab w:val="center" w:pos="4680"/>
        </w:tabs>
        <w:rPr>
          <w:rFonts w:ascii="Times New Roman" w:hAnsi="Times New Roman"/>
          <w:sz w:val="28"/>
          <w:szCs w:val="28"/>
        </w:rPr>
      </w:pPr>
      <w:bookmarkStart w:id="0" w:name="_GoBack"/>
      <w:bookmarkEnd w:id="0"/>
      <w:r>
        <w:rPr>
          <w:rFonts w:ascii="Times New Roman" w:hAnsi="Times New Roman"/>
        </w:rPr>
        <w:tab/>
      </w:r>
      <w:r w:rsidRPr="00ED5872">
        <w:rPr>
          <w:rFonts w:ascii="Times New Roman" w:hAnsi="Times New Roman"/>
          <w:b/>
          <w:bCs/>
          <w:sz w:val="28"/>
          <w:szCs w:val="28"/>
        </w:rPr>
        <w:t xml:space="preserve">Supporting Statement </w:t>
      </w:r>
      <w:r w:rsidR="0026173F" w:rsidRPr="00ED5872">
        <w:rPr>
          <w:rFonts w:ascii="Times New Roman" w:hAnsi="Times New Roman"/>
          <w:b/>
          <w:bCs/>
          <w:sz w:val="28"/>
          <w:szCs w:val="28"/>
        </w:rPr>
        <w:t xml:space="preserve">Part </w:t>
      </w:r>
      <w:r w:rsidR="00BE24D9" w:rsidRPr="00ED5872">
        <w:rPr>
          <w:rFonts w:ascii="Times New Roman" w:hAnsi="Times New Roman"/>
          <w:b/>
          <w:bCs/>
          <w:sz w:val="28"/>
          <w:szCs w:val="28"/>
        </w:rPr>
        <w:t>B</w:t>
      </w:r>
      <w:r w:rsidR="0026173F" w:rsidRPr="00ED5872">
        <w:rPr>
          <w:rFonts w:ascii="Times New Roman" w:hAnsi="Times New Roman"/>
          <w:b/>
          <w:bCs/>
          <w:sz w:val="28"/>
          <w:szCs w:val="28"/>
        </w:rPr>
        <w:t xml:space="preserve"> </w:t>
      </w:r>
      <w:r w:rsidRPr="00ED5872">
        <w:rPr>
          <w:rFonts w:ascii="Times New Roman" w:hAnsi="Times New Roman"/>
          <w:b/>
          <w:bCs/>
          <w:sz w:val="28"/>
          <w:szCs w:val="28"/>
        </w:rPr>
        <w:t>for Paperwork Reduction Act Submission</w:t>
      </w:r>
    </w:p>
    <w:p w14:paraId="74E21435" w14:textId="77777777" w:rsidR="008C7F86" w:rsidRDefault="008C7F86">
      <w:pPr>
        <w:widowControl/>
        <w:rPr>
          <w:rFonts w:ascii="Times New Roman" w:hAnsi="Times New Roman"/>
        </w:rPr>
      </w:pPr>
    </w:p>
    <w:p w14:paraId="202E1949" w14:textId="77777777" w:rsidR="008C7F86" w:rsidRDefault="008C7F86">
      <w:pPr>
        <w:widowControl/>
        <w:rPr>
          <w:rFonts w:ascii="Times New Roman" w:hAnsi="Times New Roman"/>
          <w:b/>
          <w:bCs/>
        </w:rPr>
      </w:pPr>
    </w:p>
    <w:p w14:paraId="238CCBE1" w14:textId="77777777" w:rsidR="00AE0D8B" w:rsidRPr="00AE0D8B" w:rsidRDefault="00AE0D8B" w:rsidP="00AE0D8B">
      <w:pPr>
        <w:widowControl/>
        <w:rPr>
          <w:rFonts w:ascii="Times New Roman" w:hAnsi="Times New Roman"/>
          <w:b/>
          <w:bCs/>
        </w:rPr>
      </w:pPr>
      <w:r w:rsidRPr="00AE0D8B">
        <w:rPr>
          <w:rFonts w:ascii="Times New Roman" w:hAnsi="Times New Roman"/>
          <w:b/>
          <w:bCs/>
        </w:rPr>
        <w:t>AGENCY:</w:t>
      </w:r>
      <w:r w:rsidRPr="00AE0D8B">
        <w:rPr>
          <w:rFonts w:ascii="Times New Roman" w:hAnsi="Times New Roman"/>
          <w:b/>
          <w:bCs/>
        </w:rPr>
        <w:tab/>
        <w:t>Pension Benefit Guaranty Corporation</w:t>
      </w:r>
    </w:p>
    <w:p w14:paraId="6B763FB7" w14:textId="77777777" w:rsidR="00AE0D8B" w:rsidRPr="00AE0D8B" w:rsidRDefault="00AE0D8B" w:rsidP="00AE0D8B">
      <w:pPr>
        <w:widowControl/>
        <w:rPr>
          <w:rFonts w:ascii="Times New Roman" w:hAnsi="Times New Roman"/>
          <w:b/>
          <w:bCs/>
        </w:rPr>
      </w:pPr>
    </w:p>
    <w:p w14:paraId="32774C89" w14:textId="77777777" w:rsidR="00AE0D8B" w:rsidRPr="00AE0D8B" w:rsidRDefault="00AE0D8B" w:rsidP="00AE0D8B">
      <w:pPr>
        <w:widowControl/>
        <w:rPr>
          <w:rFonts w:ascii="Times New Roman" w:hAnsi="Times New Roman"/>
          <w:b/>
          <w:bCs/>
        </w:rPr>
      </w:pPr>
      <w:r w:rsidRPr="00AE0D8B">
        <w:rPr>
          <w:rFonts w:ascii="Times New Roman" w:hAnsi="Times New Roman"/>
          <w:b/>
          <w:bCs/>
        </w:rPr>
        <w:t>TITLE:</w:t>
      </w:r>
      <w:r w:rsidRPr="00AE0D8B">
        <w:rPr>
          <w:rFonts w:ascii="Times New Roman" w:hAnsi="Times New Roman"/>
          <w:b/>
          <w:bCs/>
        </w:rPr>
        <w:tab/>
        <w:t>Data to Study Multiemployer Plan Guaranty Program</w:t>
      </w:r>
    </w:p>
    <w:p w14:paraId="25C003C1" w14:textId="77777777" w:rsidR="00AE0D8B" w:rsidRPr="00AE0D8B" w:rsidRDefault="00AE0D8B" w:rsidP="00AE0D8B">
      <w:pPr>
        <w:widowControl/>
        <w:rPr>
          <w:rFonts w:ascii="Times New Roman" w:hAnsi="Times New Roman"/>
          <w:b/>
          <w:bCs/>
        </w:rPr>
      </w:pPr>
    </w:p>
    <w:p w14:paraId="525CD0BD" w14:textId="77777777" w:rsidR="00AE0D8B" w:rsidRDefault="00AE0D8B" w:rsidP="00AE0D8B">
      <w:pPr>
        <w:widowControl/>
        <w:rPr>
          <w:rFonts w:ascii="Times New Roman" w:hAnsi="Times New Roman"/>
          <w:b/>
          <w:bCs/>
        </w:rPr>
      </w:pPr>
      <w:r w:rsidRPr="00AE0D8B">
        <w:rPr>
          <w:rFonts w:ascii="Times New Roman" w:hAnsi="Times New Roman"/>
          <w:b/>
          <w:bCs/>
        </w:rPr>
        <w:t>STATUS:</w:t>
      </w:r>
      <w:r w:rsidRPr="00AE0D8B">
        <w:rPr>
          <w:rFonts w:ascii="Times New Roman" w:hAnsi="Times New Roman"/>
          <w:b/>
          <w:bCs/>
        </w:rPr>
        <w:tab/>
        <w:t>Request for OMB control number for new collection of information</w:t>
      </w:r>
    </w:p>
    <w:p w14:paraId="4DC0C364" w14:textId="77777777" w:rsidR="00AE0D8B" w:rsidRPr="00AE0D8B" w:rsidRDefault="00AE0D8B" w:rsidP="00AE0D8B">
      <w:pPr>
        <w:widowControl/>
        <w:rPr>
          <w:rFonts w:ascii="Times New Roman" w:hAnsi="Times New Roman"/>
          <w:b/>
          <w:bCs/>
        </w:rPr>
      </w:pPr>
    </w:p>
    <w:p w14:paraId="7714C045" w14:textId="77777777" w:rsidR="00AE0D8B" w:rsidRPr="00AE0D8B" w:rsidRDefault="00AE0D8B" w:rsidP="00AE0D8B">
      <w:pPr>
        <w:widowControl/>
        <w:rPr>
          <w:rFonts w:ascii="Times New Roman" w:hAnsi="Times New Roman"/>
          <w:b/>
          <w:bCs/>
        </w:rPr>
      </w:pPr>
      <w:r w:rsidRPr="00AE0D8B">
        <w:rPr>
          <w:rFonts w:ascii="Times New Roman" w:hAnsi="Times New Roman"/>
          <w:b/>
          <w:bCs/>
        </w:rPr>
        <w:t>CONTACT:</w:t>
      </w:r>
      <w:r w:rsidRPr="00AE0D8B">
        <w:rPr>
          <w:rFonts w:ascii="Times New Roman" w:hAnsi="Times New Roman"/>
          <w:b/>
          <w:bCs/>
        </w:rPr>
        <w:tab/>
        <w:t xml:space="preserve">Catherine B. Klion (202-326-4400, ext. 3041) or Daniel S. Liebman </w:t>
      </w:r>
    </w:p>
    <w:p w14:paraId="72211B50" w14:textId="77777777" w:rsidR="00AE0D8B" w:rsidRPr="00AE0D8B" w:rsidRDefault="00AE0D8B" w:rsidP="00AE0D8B">
      <w:pPr>
        <w:widowControl/>
        <w:ind w:left="1440"/>
        <w:rPr>
          <w:rFonts w:ascii="Times New Roman" w:hAnsi="Times New Roman"/>
          <w:b/>
          <w:bCs/>
        </w:rPr>
      </w:pPr>
      <w:r w:rsidRPr="00AE0D8B">
        <w:rPr>
          <w:rFonts w:ascii="Times New Roman" w:hAnsi="Times New Roman"/>
          <w:b/>
          <w:bCs/>
        </w:rPr>
        <w:t>(202 326-4400, ext. 6510)</w:t>
      </w:r>
    </w:p>
    <w:p w14:paraId="7B21BCD4" w14:textId="77777777" w:rsidR="00AE0D8B" w:rsidRDefault="00AE0D8B" w:rsidP="00AE0D8B">
      <w:pPr>
        <w:widowControl/>
        <w:rPr>
          <w:rFonts w:ascii="Times New Roman" w:hAnsi="Times New Roman"/>
          <w:b/>
          <w:bCs/>
        </w:rPr>
      </w:pPr>
    </w:p>
    <w:p w14:paraId="5855F917" w14:textId="77777777" w:rsidR="0094755C" w:rsidRDefault="0094755C" w:rsidP="0094755C">
      <w:pPr>
        <w:widowControl/>
        <w:spacing w:line="480" w:lineRule="auto"/>
        <w:rPr>
          <w:rFonts w:ascii="Times New Roman" w:hAnsi="Times New Roman"/>
        </w:rPr>
      </w:pPr>
      <w:r>
        <w:rPr>
          <w:rFonts w:ascii="Times New Roman" w:hAnsi="Times New Roman"/>
          <w:b/>
          <w:bCs/>
        </w:rPr>
        <w:t>Part B.  Collections of Information Employing Statistical Methods</w:t>
      </w:r>
    </w:p>
    <w:p w14:paraId="7541CCBB" w14:textId="77777777" w:rsidR="004C192B" w:rsidRDefault="004C192B" w:rsidP="004C192B">
      <w:pPr>
        <w:widowControl/>
        <w:spacing w:line="480" w:lineRule="auto"/>
        <w:ind w:firstLine="720"/>
        <w:rPr>
          <w:rFonts w:ascii="Times New Roman" w:hAnsi="Times New Roman"/>
        </w:rPr>
      </w:pPr>
      <w:r w:rsidRPr="00BA421E">
        <w:rPr>
          <w:rFonts w:ascii="Times New Roman" w:hAnsi="Times New Roman"/>
        </w:rPr>
        <w:t>1.</w:t>
      </w:r>
      <w:r w:rsidRPr="002B3232">
        <w:rPr>
          <w:rFonts w:ascii="Times New Roman" w:hAnsi="Times New Roman"/>
        </w:rPr>
        <w:t xml:space="preserve"> </w:t>
      </w:r>
      <w:r>
        <w:rPr>
          <w:rFonts w:ascii="Times New Roman" w:hAnsi="Times New Roman"/>
          <w:u w:val="single"/>
        </w:rPr>
        <w:t>Potential respondent universe and any sampling or other respondent selection methods to be used</w:t>
      </w:r>
      <w:r>
        <w:rPr>
          <w:rFonts w:ascii="Times New Roman" w:hAnsi="Times New Roman"/>
        </w:rPr>
        <w:t>.</w:t>
      </w:r>
    </w:p>
    <w:p w14:paraId="785818EB" w14:textId="24F32401" w:rsidR="00A95048" w:rsidRDefault="007877D0" w:rsidP="004C192B">
      <w:pPr>
        <w:widowControl/>
        <w:spacing w:line="480" w:lineRule="auto"/>
        <w:ind w:firstLine="720"/>
        <w:rPr>
          <w:rFonts w:ascii="Times New Roman" w:hAnsi="Times New Roman"/>
          <w:color w:val="000000" w:themeColor="text1"/>
        </w:rPr>
      </w:pPr>
      <w:r>
        <w:rPr>
          <w:rFonts w:ascii="Times New Roman" w:hAnsi="Times New Roman"/>
          <w:color w:val="000000" w:themeColor="text1"/>
        </w:rPr>
        <w:t xml:space="preserve">The potential respondent universe is </w:t>
      </w:r>
      <w:r w:rsidR="006C111E">
        <w:rPr>
          <w:rFonts w:ascii="Times New Roman" w:hAnsi="Times New Roman"/>
          <w:color w:val="000000" w:themeColor="text1"/>
        </w:rPr>
        <w:t>about 45</w:t>
      </w:r>
      <w:r w:rsidR="00D54A6D">
        <w:rPr>
          <w:rFonts w:ascii="Times New Roman" w:hAnsi="Times New Roman"/>
          <w:color w:val="000000" w:themeColor="text1"/>
        </w:rPr>
        <w:t xml:space="preserve"> </w:t>
      </w:r>
      <w:r w:rsidR="004D1A67">
        <w:rPr>
          <w:rFonts w:ascii="Times New Roman" w:hAnsi="Times New Roman"/>
          <w:color w:val="000000" w:themeColor="text1"/>
        </w:rPr>
        <w:t xml:space="preserve">red zone </w:t>
      </w:r>
      <w:r w:rsidR="00C7360E">
        <w:rPr>
          <w:rFonts w:ascii="Times New Roman" w:hAnsi="Times New Roman"/>
          <w:color w:val="000000" w:themeColor="text1"/>
        </w:rPr>
        <w:t>plans</w:t>
      </w:r>
      <w:r w:rsidRPr="00064824">
        <w:rPr>
          <w:rStyle w:val="FootnoteReference"/>
          <w:rFonts w:ascii="Times New Roman" w:hAnsi="Times New Roman"/>
          <w:color w:val="000000" w:themeColor="text1"/>
          <w:vertAlign w:val="superscript"/>
        </w:rPr>
        <w:footnoteReference w:id="2"/>
      </w:r>
      <w:r w:rsidR="006A5C25">
        <w:rPr>
          <w:rFonts w:ascii="Times New Roman" w:hAnsi="Times New Roman"/>
          <w:color w:val="000000" w:themeColor="text1"/>
        </w:rPr>
        <w:t xml:space="preserve"> </w:t>
      </w:r>
      <w:r w:rsidR="006C111E">
        <w:rPr>
          <w:rFonts w:ascii="Times New Roman" w:hAnsi="Times New Roman"/>
          <w:color w:val="000000" w:themeColor="text1"/>
        </w:rPr>
        <w:t xml:space="preserve">that have </w:t>
      </w:r>
      <w:r w:rsidR="00C7360E">
        <w:rPr>
          <w:rFonts w:ascii="Times New Roman" w:hAnsi="Times New Roman"/>
          <w:color w:val="000000" w:themeColor="text1"/>
        </w:rPr>
        <w:t>high levels of unfunded current liabilities</w:t>
      </w:r>
      <w:r w:rsidR="003204AE">
        <w:rPr>
          <w:rFonts w:ascii="Times New Roman" w:hAnsi="Times New Roman"/>
          <w:color w:val="000000" w:themeColor="text1"/>
        </w:rPr>
        <w:t xml:space="preserve"> (</w:t>
      </w:r>
      <w:r w:rsidR="00C7360E">
        <w:rPr>
          <w:rFonts w:ascii="Times New Roman" w:hAnsi="Times New Roman"/>
          <w:color w:val="000000" w:themeColor="text1"/>
        </w:rPr>
        <w:t>over $100 million</w:t>
      </w:r>
      <w:r w:rsidR="00751D7A">
        <w:rPr>
          <w:rFonts w:ascii="Times New Roman" w:hAnsi="Times New Roman"/>
          <w:color w:val="000000" w:themeColor="text1"/>
        </w:rPr>
        <w:t xml:space="preserve"> </w:t>
      </w:r>
      <w:r w:rsidR="00182BC6">
        <w:rPr>
          <w:rFonts w:ascii="Times New Roman" w:hAnsi="Times New Roman"/>
          <w:color w:val="000000" w:themeColor="text1"/>
        </w:rPr>
        <w:t xml:space="preserve">each, </w:t>
      </w:r>
      <w:r w:rsidR="00751D7A">
        <w:rPr>
          <w:rFonts w:ascii="Times New Roman" w:hAnsi="Times New Roman"/>
          <w:color w:val="000000" w:themeColor="text1"/>
        </w:rPr>
        <w:t>with nine plans having at least $1 billion</w:t>
      </w:r>
      <w:r w:rsidR="00182BC6">
        <w:rPr>
          <w:rFonts w:ascii="Times New Roman" w:hAnsi="Times New Roman"/>
          <w:color w:val="000000" w:themeColor="text1"/>
        </w:rPr>
        <w:t xml:space="preserve"> each</w:t>
      </w:r>
      <w:r w:rsidR="006A5C25">
        <w:rPr>
          <w:rFonts w:ascii="Times New Roman" w:hAnsi="Times New Roman"/>
          <w:color w:val="000000" w:themeColor="text1"/>
        </w:rPr>
        <w:t>).</w:t>
      </w:r>
      <w:r w:rsidR="00064824" w:rsidRPr="00064824">
        <w:rPr>
          <w:rStyle w:val="FootnoteReference"/>
          <w:rFonts w:ascii="Times New Roman" w:hAnsi="Times New Roman"/>
          <w:color w:val="000000" w:themeColor="text1"/>
          <w:vertAlign w:val="superscript"/>
        </w:rPr>
        <w:footnoteReference w:id="3"/>
      </w:r>
      <w:r w:rsidR="00182BC6">
        <w:rPr>
          <w:rFonts w:ascii="Times New Roman" w:hAnsi="Times New Roman"/>
          <w:color w:val="000000" w:themeColor="text1"/>
        </w:rPr>
        <w:t xml:space="preserve">  </w:t>
      </w:r>
      <w:r w:rsidR="006C111E">
        <w:rPr>
          <w:rFonts w:ascii="Times New Roman" w:hAnsi="Times New Roman"/>
          <w:color w:val="000000" w:themeColor="text1"/>
        </w:rPr>
        <w:t xml:space="preserve">Some of these plans are likely to have less than 20 years of projected solvency.  </w:t>
      </w:r>
      <w:r w:rsidR="00956170" w:rsidRPr="00956170">
        <w:rPr>
          <w:rFonts w:ascii="Times New Roman" w:hAnsi="Times New Roman"/>
          <w:color w:val="000000" w:themeColor="text1"/>
        </w:rPr>
        <w:t>The</w:t>
      </w:r>
      <w:r w:rsidR="006C111E">
        <w:rPr>
          <w:rFonts w:ascii="Times New Roman" w:hAnsi="Times New Roman"/>
          <w:color w:val="000000" w:themeColor="text1"/>
        </w:rPr>
        <w:t>se</w:t>
      </w:r>
      <w:r w:rsidR="00956170" w:rsidRPr="00956170">
        <w:rPr>
          <w:rFonts w:ascii="Times New Roman" w:hAnsi="Times New Roman"/>
          <w:color w:val="000000" w:themeColor="text1"/>
        </w:rPr>
        <w:t xml:space="preserve"> plans</w:t>
      </w:r>
      <w:r>
        <w:rPr>
          <w:rFonts w:ascii="Times New Roman" w:hAnsi="Times New Roman"/>
          <w:color w:val="000000" w:themeColor="text1"/>
        </w:rPr>
        <w:t>, which</w:t>
      </w:r>
      <w:r w:rsidR="00956170" w:rsidRPr="00956170">
        <w:rPr>
          <w:rFonts w:ascii="Times New Roman" w:hAnsi="Times New Roman"/>
          <w:color w:val="000000" w:themeColor="text1"/>
        </w:rPr>
        <w:t xml:space="preserve"> </w:t>
      </w:r>
      <w:r w:rsidR="006A5C25">
        <w:rPr>
          <w:rFonts w:ascii="Times New Roman" w:hAnsi="Times New Roman"/>
          <w:color w:val="000000" w:themeColor="text1"/>
        </w:rPr>
        <w:t>have about 700,000 participants</w:t>
      </w:r>
      <w:r>
        <w:rPr>
          <w:rFonts w:ascii="Times New Roman" w:hAnsi="Times New Roman"/>
          <w:color w:val="000000" w:themeColor="text1"/>
        </w:rPr>
        <w:t xml:space="preserve">, </w:t>
      </w:r>
      <w:r w:rsidR="00C7360E">
        <w:rPr>
          <w:rFonts w:ascii="Times New Roman" w:hAnsi="Times New Roman"/>
          <w:color w:val="000000" w:themeColor="text1"/>
        </w:rPr>
        <w:t xml:space="preserve">represent </w:t>
      </w:r>
      <w:r w:rsidR="004D1A67">
        <w:rPr>
          <w:rFonts w:ascii="Times New Roman" w:hAnsi="Times New Roman"/>
          <w:color w:val="000000" w:themeColor="text1"/>
        </w:rPr>
        <w:t>a</w:t>
      </w:r>
      <w:r w:rsidR="00C7360E">
        <w:rPr>
          <w:rFonts w:ascii="Times New Roman" w:hAnsi="Times New Roman"/>
          <w:color w:val="000000" w:themeColor="text1"/>
        </w:rPr>
        <w:t xml:space="preserve"> large share of </w:t>
      </w:r>
      <w:r w:rsidR="00D54A6D">
        <w:rPr>
          <w:rFonts w:ascii="Times New Roman" w:hAnsi="Times New Roman"/>
          <w:color w:val="000000" w:themeColor="text1"/>
        </w:rPr>
        <w:t xml:space="preserve">the </w:t>
      </w:r>
      <w:r w:rsidR="00C7360E">
        <w:rPr>
          <w:rFonts w:ascii="Times New Roman" w:hAnsi="Times New Roman"/>
          <w:color w:val="000000" w:themeColor="text1"/>
        </w:rPr>
        <w:t>exposure to PBGC</w:t>
      </w:r>
      <w:r w:rsidR="004D1A67">
        <w:rPr>
          <w:rFonts w:ascii="Times New Roman" w:hAnsi="Times New Roman"/>
          <w:color w:val="000000" w:themeColor="text1"/>
        </w:rPr>
        <w:t>’s multiemployer program</w:t>
      </w:r>
      <w:r w:rsidR="00182BC6">
        <w:rPr>
          <w:rFonts w:ascii="Times New Roman" w:hAnsi="Times New Roman"/>
          <w:color w:val="000000" w:themeColor="text1"/>
        </w:rPr>
        <w:t xml:space="preserve"> </w:t>
      </w:r>
      <w:r w:rsidR="00B13ECB">
        <w:rPr>
          <w:rFonts w:ascii="Times New Roman" w:hAnsi="Times New Roman"/>
          <w:color w:val="000000" w:themeColor="text1"/>
        </w:rPr>
        <w:t>and</w:t>
      </w:r>
      <w:r w:rsidR="006C111E">
        <w:rPr>
          <w:rFonts w:ascii="Times New Roman" w:hAnsi="Times New Roman"/>
          <w:color w:val="000000" w:themeColor="text1"/>
        </w:rPr>
        <w:t xml:space="preserve"> could </w:t>
      </w:r>
      <w:r w:rsidR="00B13ECB">
        <w:rPr>
          <w:rFonts w:ascii="Times New Roman" w:hAnsi="Times New Roman"/>
          <w:color w:val="000000" w:themeColor="text1"/>
        </w:rPr>
        <w:t xml:space="preserve">benefit the most from policy proposals </w:t>
      </w:r>
      <w:r w:rsidR="00D54A6D">
        <w:rPr>
          <w:rFonts w:ascii="Times New Roman" w:hAnsi="Times New Roman"/>
          <w:color w:val="000000" w:themeColor="text1"/>
        </w:rPr>
        <w:t xml:space="preserve">aimed at </w:t>
      </w:r>
      <w:r w:rsidR="00B13ECB">
        <w:rPr>
          <w:rFonts w:ascii="Times New Roman" w:hAnsi="Times New Roman"/>
          <w:color w:val="000000" w:themeColor="text1"/>
        </w:rPr>
        <w:t>extend</w:t>
      </w:r>
      <w:r w:rsidR="00D54A6D">
        <w:rPr>
          <w:rFonts w:ascii="Times New Roman" w:hAnsi="Times New Roman"/>
          <w:color w:val="000000" w:themeColor="text1"/>
        </w:rPr>
        <w:t>ing</w:t>
      </w:r>
      <w:r w:rsidR="00B13ECB">
        <w:rPr>
          <w:rFonts w:ascii="Times New Roman" w:hAnsi="Times New Roman"/>
          <w:color w:val="000000" w:themeColor="text1"/>
        </w:rPr>
        <w:t xml:space="preserve"> solvency</w:t>
      </w:r>
      <w:r w:rsidR="00C7360E">
        <w:rPr>
          <w:rFonts w:ascii="Times New Roman" w:hAnsi="Times New Roman"/>
          <w:color w:val="000000" w:themeColor="text1"/>
        </w:rPr>
        <w:t xml:space="preserve">.  </w:t>
      </w:r>
    </w:p>
    <w:p w14:paraId="66C0DA4B" w14:textId="086967EA" w:rsidR="005F34DC" w:rsidRPr="00474C38" w:rsidRDefault="00E65E2E" w:rsidP="004C192B">
      <w:pPr>
        <w:widowControl/>
        <w:spacing w:line="480" w:lineRule="auto"/>
        <w:ind w:firstLine="720"/>
        <w:rPr>
          <w:rFonts w:ascii="Times New Roman" w:hAnsi="Times New Roman"/>
          <w:color w:val="000000" w:themeColor="text1"/>
        </w:rPr>
      </w:pPr>
      <w:r>
        <w:rPr>
          <w:rFonts w:ascii="Times New Roman" w:hAnsi="Times New Roman"/>
          <w:color w:val="000000" w:themeColor="text1"/>
        </w:rPr>
        <w:lastRenderedPageBreak/>
        <w:t>These plans</w:t>
      </w:r>
      <w:r w:rsidR="007E0A0F">
        <w:rPr>
          <w:rFonts w:ascii="Times New Roman" w:hAnsi="Times New Roman"/>
          <w:color w:val="000000" w:themeColor="text1"/>
        </w:rPr>
        <w:t xml:space="preserve"> </w:t>
      </w:r>
      <w:r w:rsidR="005F34DC">
        <w:rPr>
          <w:rFonts w:ascii="Times New Roman" w:hAnsi="Times New Roman"/>
          <w:color w:val="000000" w:themeColor="text1"/>
        </w:rPr>
        <w:t>have</w:t>
      </w:r>
      <w:r w:rsidR="00CD26C9">
        <w:rPr>
          <w:rFonts w:ascii="Times New Roman" w:hAnsi="Times New Roman"/>
          <w:color w:val="000000" w:themeColor="text1"/>
        </w:rPr>
        <w:t xml:space="preserve">, on average, three times as </w:t>
      </w:r>
      <w:r w:rsidR="006913C6">
        <w:rPr>
          <w:rFonts w:ascii="Times New Roman" w:hAnsi="Times New Roman"/>
          <w:color w:val="000000" w:themeColor="text1"/>
        </w:rPr>
        <w:t xml:space="preserve">many retired and terminated participants </w:t>
      </w:r>
      <w:r w:rsidR="004A468A">
        <w:rPr>
          <w:rFonts w:ascii="Times New Roman" w:hAnsi="Times New Roman"/>
          <w:color w:val="000000" w:themeColor="text1"/>
        </w:rPr>
        <w:t xml:space="preserve">as </w:t>
      </w:r>
      <w:r w:rsidR="006913C6">
        <w:rPr>
          <w:rFonts w:ascii="Times New Roman" w:hAnsi="Times New Roman"/>
          <w:color w:val="000000" w:themeColor="text1"/>
        </w:rPr>
        <w:t xml:space="preserve">actively employed participants.  Since contributions are </w:t>
      </w:r>
      <w:r w:rsidR="001D0114">
        <w:rPr>
          <w:rFonts w:ascii="Times New Roman" w:hAnsi="Times New Roman"/>
          <w:color w:val="000000" w:themeColor="text1"/>
        </w:rPr>
        <w:t xml:space="preserve">generally </w:t>
      </w:r>
      <w:r w:rsidR="006913C6">
        <w:rPr>
          <w:rFonts w:ascii="Times New Roman" w:hAnsi="Times New Roman"/>
          <w:color w:val="000000" w:themeColor="text1"/>
        </w:rPr>
        <w:t xml:space="preserve">based on how </w:t>
      </w:r>
      <w:r w:rsidR="001D0114">
        <w:rPr>
          <w:rFonts w:ascii="Times New Roman" w:hAnsi="Times New Roman"/>
          <w:color w:val="000000" w:themeColor="text1"/>
        </w:rPr>
        <w:t>many hours of</w:t>
      </w:r>
      <w:r w:rsidR="006913C6">
        <w:rPr>
          <w:rFonts w:ascii="Times New Roman" w:hAnsi="Times New Roman"/>
          <w:color w:val="000000" w:themeColor="text1"/>
        </w:rPr>
        <w:t xml:space="preserve"> work </w:t>
      </w:r>
      <w:r w:rsidR="007E0A0F">
        <w:rPr>
          <w:rFonts w:ascii="Times New Roman" w:hAnsi="Times New Roman"/>
          <w:color w:val="000000" w:themeColor="text1"/>
        </w:rPr>
        <w:t>pe</w:t>
      </w:r>
      <w:r w:rsidR="00956170">
        <w:rPr>
          <w:rFonts w:ascii="Times New Roman" w:hAnsi="Times New Roman"/>
          <w:color w:val="000000" w:themeColor="text1"/>
        </w:rPr>
        <w:t>rf</w:t>
      </w:r>
      <w:r w:rsidR="007E0A0F">
        <w:rPr>
          <w:rFonts w:ascii="Times New Roman" w:hAnsi="Times New Roman"/>
          <w:color w:val="000000" w:themeColor="text1"/>
        </w:rPr>
        <w:t>o</w:t>
      </w:r>
      <w:r w:rsidR="00956170">
        <w:rPr>
          <w:rFonts w:ascii="Times New Roman" w:hAnsi="Times New Roman"/>
          <w:color w:val="000000" w:themeColor="text1"/>
        </w:rPr>
        <w:t>r</w:t>
      </w:r>
      <w:r w:rsidR="007E0A0F">
        <w:rPr>
          <w:rFonts w:ascii="Times New Roman" w:hAnsi="Times New Roman"/>
          <w:color w:val="000000" w:themeColor="text1"/>
        </w:rPr>
        <w:t xml:space="preserve">med by </w:t>
      </w:r>
      <w:r w:rsidR="006913C6">
        <w:rPr>
          <w:rFonts w:ascii="Times New Roman" w:hAnsi="Times New Roman"/>
          <w:color w:val="000000" w:themeColor="text1"/>
        </w:rPr>
        <w:t xml:space="preserve">active participants, plans with a relatively low number of active participants </w:t>
      </w:r>
      <w:r w:rsidR="007E0A0F">
        <w:rPr>
          <w:rFonts w:ascii="Times New Roman" w:hAnsi="Times New Roman"/>
          <w:color w:val="000000" w:themeColor="text1"/>
        </w:rPr>
        <w:t xml:space="preserve">typically </w:t>
      </w:r>
      <w:r w:rsidR="006913C6">
        <w:rPr>
          <w:rFonts w:ascii="Times New Roman" w:hAnsi="Times New Roman"/>
          <w:color w:val="000000" w:themeColor="text1"/>
        </w:rPr>
        <w:t xml:space="preserve">struggle to achieve contribution levels sufficient to fund </w:t>
      </w:r>
      <w:r w:rsidR="001D0114">
        <w:rPr>
          <w:rFonts w:ascii="Times New Roman" w:hAnsi="Times New Roman"/>
          <w:color w:val="000000" w:themeColor="text1"/>
        </w:rPr>
        <w:t>past and future</w:t>
      </w:r>
      <w:r w:rsidR="006913C6">
        <w:rPr>
          <w:rFonts w:ascii="Times New Roman" w:hAnsi="Times New Roman"/>
          <w:color w:val="000000" w:themeColor="text1"/>
        </w:rPr>
        <w:t xml:space="preserve"> liabilities. </w:t>
      </w:r>
      <w:r w:rsidR="00956170">
        <w:rPr>
          <w:rFonts w:ascii="Times New Roman" w:hAnsi="Times New Roman"/>
          <w:color w:val="000000" w:themeColor="text1"/>
        </w:rPr>
        <w:t xml:space="preserve"> </w:t>
      </w:r>
      <w:r w:rsidR="005F34DC">
        <w:rPr>
          <w:rFonts w:ascii="Times New Roman" w:hAnsi="Times New Roman"/>
          <w:color w:val="000000" w:themeColor="text1"/>
        </w:rPr>
        <w:t xml:space="preserve"> </w:t>
      </w:r>
      <w:r w:rsidR="00EB28D8">
        <w:rPr>
          <w:rFonts w:ascii="Times New Roman" w:hAnsi="Times New Roman"/>
          <w:color w:val="000000" w:themeColor="text1"/>
        </w:rPr>
        <w:t xml:space="preserve">PBGC expects that </w:t>
      </w:r>
      <w:r w:rsidR="00956170">
        <w:rPr>
          <w:rFonts w:ascii="Times New Roman" w:hAnsi="Times New Roman"/>
          <w:color w:val="000000" w:themeColor="text1"/>
        </w:rPr>
        <w:t xml:space="preserve">plans with </w:t>
      </w:r>
      <w:r w:rsidR="005F34DC">
        <w:rPr>
          <w:rFonts w:ascii="Times New Roman" w:hAnsi="Times New Roman"/>
          <w:color w:val="000000" w:themeColor="text1"/>
        </w:rPr>
        <w:t>t</w:t>
      </w:r>
      <w:r w:rsidR="00F85179">
        <w:rPr>
          <w:rFonts w:ascii="Times New Roman" w:hAnsi="Times New Roman"/>
          <w:color w:val="000000" w:themeColor="text1"/>
        </w:rPr>
        <w:t xml:space="preserve">he </w:t>
      </w:r>
      <w:r w:rsidR="00956170">
        <w:rPr>
          <w:rFonts w:ascii="Times New Roman" w:hAnsi="Times New Roman"/>
          <w:color w:val="000000" w:themeColor="text1"/>
        </w:rPr>
        <w:t xml:space="preserve">highest </w:t>
      </w:r>
      <w:r w:rsidR="00F85179">
        <w:rPr>
          <w:rFonts w:ascii="Times New Roman" w:hAnsi="Times New Roman"/>
          <w:color w:val="000000" w:themeColor="text1"/>
        </w:rPr>
        <w:t xml:space="preserve">number of participants </w:t>
      </w:r>
      <w:r w:rsidR="006913C6">
        <w:rPr>
          <w:rFonts w:ascii="Times New Roman" w:hAnsi="Times New Roman"/>
          <w:color w:val="000000" w:themeColor="text1"/>
        </w:rPr>
        <w:t xml:space="preserve">and the </w:t>
      </w:r>
      <w:r w:rsidR="00956170">
        <w:rPr>
          <w:rFonts w:ascii="Times New Roman" w:hAnsi="Times New Roman"/>
          <w:color w:val="000000" w:themeColor="text1"/>
        </w:rPr>
        <w:t xml:space="preserve">lowest </w:t>
      </w:r>
      <w:r w:rsidR="006913C6">
        <w:rPr>
          <w:rFonts w:ascii="Times New Roman" w:hAnsi="Times New Roman"/>
          <w:color w:val="000000" w:themeColor="text1"/>
        </w:rPr>
        <w:t xml:space="preserve">proportion of </w:t>
      </w:r>
      <w:r w:rsidR="007E0A0F">
        <w:rPr>
          <w:rFonts w:ascii="Times New Roman" w:hAnsi="Times New Roman"/>
          <w:color w:val="000000" w:themeColor="text1"/>
        </w:rPr>
        <w:t xml:space="preserve">active </w:t>
      </w:r>
      <w:r w:rsidR="006913C6">
        <w:rPr>
          <w:rFonts w:ascii="Times New Roman" w:hAnsi="Times New Roman"/>
          <w:color w:val="000000" w:themeColor="text1"/>
        </w:rPr>
        <w:t>participant</w:t>
      </w:r>
      <w:r w:rsidR="00956170">
        <w:rPr>
          <w:rFonts w:ascii="Times New Roman" w:hAnsi="Times New Roman"/>
          <w:color w:val="000000" w:themeColor="text1"/>
        </w:rPr>
        <w:t>s</w:t>
      </w:r>
      <w:r w:rsidR="006913C6">
        <w:rPr>
          <w:rFonts w:ascii="Times New Roman" w:hAnsi="Times New Roman"/>
          <w:color w:val="000000" w:themeColor="text1"/>
        </w:rPr>
        <w:t xml:space="preserve"> </w:t>
      </w:r>
      <w:r w:rsidR="00F85179">
        <w:rPr>
          <w:rFonts w:ascii="Times New Roman" w:hAnsi="Times New Roman"/>
          <w:color w:val="000000" w:themeColor="text1"/>
        </w:rPr>
        <w:t xml:space="preserve">will be </w:t>
      </w:r>
      <w:r w:rsidR="00956170">
        <w:rPr>
          <w:rFonts w:ascii="Times New Roman" w:hAnsi="Times New Roman"/>
          <w:color w:val="000000" w:themeColor="text1"/>
        </w:rPr>
        <w:t xml:space="preserve">able to provide the best information for </w:t>
      </w:r>
      <w:r w:rsidR="00F85179">
        <w:rPr>
          <w:rFonts w:ascii="Times New Roman" w:hAnsi="Times New Roman"/>
          <w:color w:val="000000" w:themeColor="text1"/>
        </w:rPr>
        <w:t xml:space="preserve">determining the impact </w:t>
      </w:r>
      <w:r w:rsidR="006913C6">
        <w:rPr>
          <w:rFonts w:ascii="Times New Roman" w:hAnsi="Times New Roman"/>
          <w:color w:val="000000" w:themeColor="text1"/>
        </w:rPr>
        <w:t>of</w:t>
      </w:r>
      <w:r w:rsidR="00F85179">
        <w:rPr>
          <w:rFonts w:ascii="Times New Roman" w:hAnsi="Times New Roman"/>
          <w:color w:val="000000" w:themeColor="text1"/>
        </w:rPr>
        <w:t xml:space="preserve"> </w:t>
      </w:r>
      <w:r w:rsidR="00F05F46">
        <w:rPr>
          <w:rFonts w:ascii="Times New Roman" w:hAnsi="Times New Roman"/>
          <w:color w:val="000000" w:themeColor="text1"/>
        </w:rPr>
        <w:t>the</w:t>
      </w:r>
      <w:r w:rsidR="00F85179">
        <w:rPr>
          <w:rFonts w:ascii="Times New Roman" w:hAnsi="Times New Roman"/>
          <w:color w:val="000000" w:themeColor="text1"/>
        </w:rPr>
        <w:t xml:space="preserve"> policy </w:t>
      </w:r>
      <w:r w:rsidR="00F05F46">
        <w:rPr>
          <w:rFonts w:ascii="Times New Roman" w:hAnsi="Times New Roman"/>
          <w:color w:val="000000" w:themeColor="text1"/>
        </w:rPr>
        <w:t>proposals</w:t>
      </w:r>
      <w:r w:rsidR="00F85179">
        <w:rPr>
          <w:rFonts w:ascii="Times New Roman" w:hAnsi="Times New Roman"/>
          <w:color w:val="000000" w:themeColor="text1"/>
        </w:rPr>
        <w:t xml:space="preserve"> on PBGC’s </w:t>
      </w:r>
      <w:r w:rsidR="00F05F46">
        <w:rPr>
          <w:rFonts w:ascii="Times New Roman" w:hAnsi="Times New Roman"/>
          <w:color w:val="000000" w:themeColor="text1"/>
        </w:rPr>
        <w:t>future financial condition</w:t>
      </w:r>
      <w:r w:rsidR="00F85179">
        <w:rPr>
          <w:rFonts w:ascii="Times New Roman" w:hAnsi="Times New Roman"/>
          <w:color w:val="000000" w:themeColor="text1"/>
        </w:rPr>
        <w:t xml:space="preserve">, </w:t>
      </w:r>
      <w:r w:rsidR="001D0114">
        <w:rPr>
          <w:rFonts w:ascii="Times New Roman" w:hAnsi="Times New Roman"/>
          <w:color w:val="000000" w:themeColor="text1"/>
        </w:rPr>
        <w:t xml:space="preserve">the </w:t>
      </w:r>
      <w:r w:rsidR="00F85179" w:rsidRPr="00F85179">
        <w:rPr>
          <w:rFonts w:ascii="Times New Roman" w:hAnsi="Times New Roman"/>
          <w:color w:val="000000" w:themeColor="text1"/>
        </w:rPr>
        <w:t xml:space="preserve">projected dates of </w:t>
      </w:r>
      <w:r w:rsidR="006913C6">
        <w:rPr>
          <w:rFonts w:ascii="Times New Roman" w:hAnsi="Times New Roman"/>
          <w:color w:val="000000" w:themeColor="text1"/>
        </w:rPr>
        <w:t xml:space="preserve">plan </w:t>
      </w:r>
      <w:r w:rsidR="00F85179" w:rsidRPr="00F85179">
        <w:rPr>
          <w:rFonts w:ascii="Times New Roman" w:hAnsi="Times New Roman"/>
          <w:color w:val="000000" w:themeColor="text1"/>
        </w:rPr>
        <w:t>insolvency</w:t>
      </w:r>
      <w:r w:rsidR="00F85179">
        <w:rPr>
          <w:rFonts w:ascii="Times New Roman" w:hAnsi="Times New Roman"/>
          <w:color w:val="000000" w:themeColor="text1"/>
        </w:rPr>
        <w:t>,</w:t>
      </w:r>
      <w:r w:rsidR="00F85179" w:rsidRPr="00F85179">
        <w:rPr>
          <w:rFonts w:ascii="Times New Roman" w:hAnsi="Times New Roman"/>
          <w:color w:val="000000" w:themeColor="text1"/>
        </w:rPr>
        <w:t xml:space="preserve"> and </w:t>
      </w:r>
      <w:r w:rsidR="00EB28D8">
        <w:rPr>
          <w:rFonts w:ascii="Times New Roman" w:hAnsi="Times New Roman"/>
          <w:color w:val="000000" w:themeColor="text1"/>
        </w:rPr>
        <w:t>possible</w:t>
      </w:r>
      <w:r w:rsidR="00EB28D8" w:rsidRPr="00F85179">
        <w:rPr>
          <w:rFonts w:ascii="Times New Roman" w:hAnsi="Times New Roman"/>
          <w:color w:val="000000" w:themeColor="text1"/>
        </w:rPr>
        <w:t xml:space="preserve"> </w:t>
      </w:r>
      <w:r w:rsidR="00F85179" w:rsidRPr="00F85179">
        <w:rPr>
          <w:rFonts w:ascii="Times New Roman" w:hAnsi="Times New Roman"/>
          <w:color w:val="000000" w:themeColor="text1"/>
        </w:rPr>
        <w:t>benefit changes</w:t>
      </w:r>
      <w:r w:rsidR="00F85179">
        <w:rPr>
          <w:rFonts w:ascii="Times New Roman" w:hAnsi="Times New Roman"/>
          <w:color w:val="000000" w:themeColor="text1"/>
        </w:rPr>
        <w:t xml:space="preserve"> for</w:t>
      </w:r>
      <w:r w:rsidR="00F85179" w:rsidRPr="00F85179">
        <w:rPr>
          <w:rFonts w:ascii="Times New Roman" w:hAnsi="Times New Roman"/>
          <w:color w:val="000000" w:themeColor="text1"/>
        </w:rPr>
        <w:t xml:space="preserve"> plan participants</w:t>
      </w:r>
      <w:r w:rsidR="00F85179">
        <w:rPr>
          <w:rFonts w:ascii="Times New Roman" w:hAnsi="Times New Roman"/>
          <w:color w:val="000000" w:themeColor="text1"/>
        </w:rPr>
        <w:t xml:space="preserve">.  </w:t>
      </w:r>
    </w:p>
    <w:p w14:paraId="0F8350E2" w14:textId="1B8D3844" w:rsidR="00FD39DE" w:rsidRDefault="004C192B" w:rsidP="004C192B">
      <w:pPr>
        <w:widowControl/>
        <w:spacing w:line="480" w:lineRule="auto"/>
        <w:ind w:firstLine="720"/>
        <w:rPr>
          <w:rFonts w:ascii="Times New Roman" w:hAnsi="Times New Roman"/>
        </w:rPr>
      </w:pPr>
      <w:r>
        <w:rPr>
          <w:rFonts w:ascii="Times New Roman" w:hAnsi="Times New Roman"/>
        </w:rPr>
        <w:t>PBGC expects a response rate of about 20-25</w:t>
      </w:r>
      <w:r w:rsidR="00FB061C">
        <w:rPr>
          <w:rFonts w:ascii="Times New Roman" w:hAnsi="Times New Roman"/>
        </w:rPr>
        <w:t>%</w:t>
      </w:r>
      <w:r w:rsidR="00F04178">
        <w:rPr>
          <w:rFonts w:ascii="Times New Roman" w:hAnsi="Times New Roman"/>
        </w:rPr>
        <w:t xml:space="preserve">, with the </w:t>
      </w:r>
      <w:r w:rsidR="006A5C25">
        <w:rPr>
          <w:rFonts w:ascii="Times New Roman" w:hAnsi="Times New Roman"/>
        </w:rPr>
        <w:t xml:space="preserve">nine </w:t>
      </w:r>
      <w:r w:rsidR="003204AE">
        <w:rPr>
          <w:rFonts w:ascii="Times New Roman" w:hAnsi="Times New Roman"/>
        </w:rPr>
        <w:t>plans</w:t>
      </w:r>
      <w:r w:rsidR="006A5C25">
        <w:rPr>
          <w:rFonts w:ascii="Times New Roman" w:hAnsi="Times New Roman"/>
        </w:rPr>
        <w:t xml:space="preserve"> with the largest unfunded current liabilities</w:t>
      </w:r>
      <w:r w:rsidR="00F04178">
        <w:rPr>
          <w:rFonts w:ascii="Times New Roman" w:hAnsi="Times New Roman"/>
        </w:rPr>
        <w:t xml:space="preserve"> most likely to respond</w:t>
      </w:r>
      <w:r w:rsidR="001C4512">
        <w:rPr>
          <w:rFonts w:ascii="Times New Roman" w:hAnsi="Times New Roman"/>
        </w:rPr>
        <w:t xml:space="preserve">.  </w:t>
      </w:r>
      <w:r w:rsidR="006A5C25">
        <w:rPr>
          <w:rFonts w:ascii="Times New Roman" w:hAnsi="Times New Roman"/>
        </w:rPr>
        <w:t xml:space="preserve">These </w:t>
      </w:r>
      <w:r w:rsidR="00F04178">
        <w:rPr>
          <w:rFonts w:ascii="Times New Roman" w:hAnsi="Times New Roman"/>
        </w:rPr>
        <w:t xml:space="preserve">nine </w:t>
      </w:r>
      <w:r w:rsidR="006A5C25">
        <w:rPr>
          <w:rFonts w:ascii="Times New Roman" w:hAnsi="Times New Roman"/>
        </w:rPr>
        <w:t xml:space="preserve">plans cover about 70% of the participants in the </w:t>
      </w:r>
      <w:r w:rsidR="00F04178">
        <w:rPr>
          <w:rFonts w:ascii="Times New Roman" w:hAnsi="Times New Roman"/>
        </w:rPr>
        <w:t xml:space="preserve">potential universe of about </w:t>
      </w:r>
      <w:r w:rsidR="006A5C25">
        <w:rPr>
          <w:rFonts w:ascii="Times New Roman" w:hAnsi="Times New Roman"/>
        </w:rPr>
        <w:t xml:space="preserve">45 plans.  </w:t>
      </w:r>
      <w:r w:rsidR="00D72A7E">
        <w:rPr>
          <w:rFonts w:ascii="Times New Roman" w:hAnsi="Times New Roman"/>
        </w:rPr>
        <w:t>They</w:t>
      </w:r>
      <w:r w:rsidR="003204AE">
        <w:rPr>
          <w:rFonts w:ascii="Times New Roman" w:hAnsi="Times New Roman"/>
        </w:rPr>
        <w:t xml:space="preserve"> </w:t>
      </w:r>
      <w:r w:rsidR="002E174B">
        <w:rPr>
          <w:rFonts w:ascii="Times New Roman" w:hAnsi="Times New Roman"/>
        </w:rPr>
        <w:t xml:space="preserve">include some of the most sophisticated and engaged </w:t>
      </w:r>
      <w:r w:rsidR="006913C6">
        <w:rPr>
          <w:rFonts w:ascii="Times New Roman" w:hAnsi="Times New Roman"/>
        </w:rPr>
        <w:t>stakeholders</w:t>
      </w:r>
      <w:r w:rsidR="002E174B">
        <w:rPr>
          <w:rFonts w:ascii="Times New Roman" w:hAnsi="Times New Roman"/>
        </w:rPr>
        <w:t xml:space="preserve"> in </w:t>
      </w:r>
      <w:r w:rsidR="003402A9">
        <w:rPr>
          <w:rFonts w:ascii="Times New Roman" w:hAnsi="Times New Roman"/>
        </w:rPr>
        <w:t xml:space="preserve">the current </w:t>
      </w:r>
      <w:r w:rsidR="002E174B">
        <w:rPr>
          <w:rFonts w:ascii="Times New Roman" w:hAnsi="Times New Roman"/>
        </w:rPr>
        <w:t xml:space="preserve">policy </w:t>
      </w:r>
      <w:r w:rsidR="003402A9">
        <w:rPr>
          <w:rFonts w:ascii="Times New Roman" w:hAnsi="Times New Roman"/>
        </w:rPr>
        <w:t>initiatives</w:t>
      </w:r>
      <w:r w:rsidR="002E174B">
        <w:rPr>
          <w:rFonts w:ascii="Times New Roman" w:hAnsi="Times New Roman"/>
        </w:rPr>
        <w:t xml:space="preserve"> </w:t>
      </w:r>
      <w:r w:rsidR="00D72A7E">
        <w:rPr>
          <w:rFonts w:ascii="Times New Roman" w:hAnsi="Times New Roman"/>
        </w:rPr>
        <w:t xml:space="preserve">and </w:t>
      </w:r>
      <w:r w:rsidR="002E174B">
        <w:rPr>
          <w:rFonts w:ascii="Times New Roman" w:hAnsi="Times New Roman"/>
        </w:rPr>
        <w:t xml:space="preserve">stand to benefit </w:t>
      </w:r>
      <w:r w:rsidR="00FD39DE">
        <w:rPr>
          <w:rFonts w:ascii="Times New Roman" w:hAnsi="Times New Roman"/>
        </w:rPr>
        <w:t xml:space="preserve">most </w:t>
      </w:r>
      <w:r w:rsidR="002E174B">
        <w:rPr>
          <w:rFonts w:ascii="Times New Roman" w:hAnsi="Times New Roman"/>
        </w:rPr>
        <w:t xml:space="preserve">from potential policy changes.  </w:t>
      </w:r>
      <w:r w:rsidR="00F04178">
        <w:rPr>
          <w:rFonts w:ascii="Times New Roman" w:hAnsi="Times New Roman"/>
        </w:rPr>
        <w:t xml:space="preserve">PBGC believes it can make reasonable assessments of the impact of possible policy options based on this expected response rate.  </w:t>
      </w:r>
    </w:p>
    <w:p w14:paraId="3BC29537" w14:textId="77777777" w:rsidR="004C192B" w:rsidRDefault="004C192B" w:rsidP="004C192B">
      <w:pPr>
        <w:widowControl/>
        <w:spacing w:line="480" w:lineRule="auto"/>
        <w:ind w:firstLine="720"/>
        <w:rPr>
          <w:rFonts w:ascii="Times New Roman" w:hAnsi="Times New Roman"/>
        </w:rPr>
      </w:pPr>
      <w:r>
        <w:rPr>
          <w:rFonts w:ascii="Times New Roman" w:hAnsi="Times New Roman"/>
        </w:rPr>
        <w:t xml:space="preserve">PBGC cannot satisfactorily evaluate the policy options that may be considered with only the information publicly available from Form 5500 filings.  </w:t>
      </w:r>
    </w:p>
    <w:p w14:paraId="32E331C7" w14:textId="4278774A" w:rsidR="004C192B" w:rsidRDefault="004C192B" w:rsidP="008139A2">
      <w:pPr>
        <w:keepNext/>
        <w:spacing w:line="480" w:lineRule="auto"/>
        <w:ind w:firstLine="720"/>
        <w:rPr>
          <w:rFonts w:ascii="Times New Roman" w:hAnsi="Times New Roman"/>
        </w:rPr>
      </w:pPr>
      <w:r w:rsidRPr="00F53BAC">
        <w:rPr>
          <w:rFonts w:ascii="Times New Roman" w:hAnsi="Times New Roman"/>
        </w:rPr>
        <w:t>2.</w:t>
      </w:r>
      <w:r w:rsidRPr="002B3232">
        <w:rPr>
          <w:rFonts w:ascii="Times New Roman" w:hAnsi="Times New Roman"/>
        </w:rPr>
        <w:t xml:space="preserve"> </w:t>
      </w:r>
      <w:r w:rsidR="008139A2">
        <w:rPr>
          <w:rFonts w:ascii="Times New Roman" w:hAnsi="Times New Roman"/>
        </w:rPr>
        <w:t xml:space="preserve"> </w:t>
      </w:r>
      <w:r>
        <w:rPr>
          <w:rFonts w:ascii="Times New Roman" w:hAnsi="Times New Roman"/>
          <w:u w:val="single"/>
        </w:rPr>
        <w:t>Describe the procedures for the collection of information</w:t>
      </w:r>
      <w:r>
        <w:rPr>
          <w:rFonts w:ascii="Times New Roman" w:hAnsi="Times New Roman"/>
        </w:rPr>
        <w:t>.</w:t>
      </w:r>
    </w:p>
    <w:p w14:paraId="50F96E1E" w14:textId="2D716F14" w:rsidR="004C192B" w:rsidRDefault="004C192B" w:rsidP="004C192B">
      <w:pPr>
        <w:spacing w:line="480" w:lineRule="auto"/>
        <w:ind w:firstLine="720"/>
        <w:rPr>
          <w:rFonts w:ascii="Times New Roman" w:hAnsi="Times New Roman"/>
        </w:rPr>
      </w:pPr>
      <w:r>
        <w:rPr>
          <w:rFonts w:ascii="Times New Roman" w:hAnsi="Times New Roman"/>
        </w:rPr>
        <w:t>PBGC will mail the two-page information request to the plan via regular mail</w:t>
      </w:r>
      <w:r w:rsidR="006C111E">
        <w:rPr>
          <w:rFonts w:ascii="Times New Roman" w:hAnsi="Times New Roman"/>
        </w:rPr>
        <w:t>.</w:t>
      </w:r>
      <w:r w:rsidR="00C30CC6" w:rsidRPr="00C30CC6">
        <w:rPr>
          <w:rStyle w:val="FootnoteReference"/>
          <w:rFonts w:ascii="Times New Roman" w:hAnsi="Times New Roman"/>
          <w:vertAlign w:val="superscript"/>
        </w:rPr>
        <w:footnoteReference w:id="4"/>
      </w:r>
      <w:r w:rsidR="006C111E" w:rsidRPr="00C30CC6">
        <w:rPr>
          <w:rFonts w:ascii="Times New Roman" w:hAnsi="Times New Roman"/>
          <w:vertAlign w:val="superscript"/>
        </w:rPr>
        <w:t xml:space="preserve"> </w:t>
      </w:r>
      <w:r w:rsidR="006C111E">
        <w:rPr>
          <w:rFonts w:ascii="Times New Roman" w:hAnsi="Times New Roman"/>
        </w:rPr>
        <w:t xml:space="preserve"> </w:t>
      </w:r>
      <w:r>
        <w:rPr>
          <w:rFonts w:ascii="Times New Roman" w:hAnsi="Times New Roman"/>
        </w:rPr>
        <w:t xml:space="preserve"> Respondents will </w:t>
      </w:r>
      <w:r w:rsidR="006C111E">
        <w:rPr>
          <w:rFonts w:ascii="Times New Roman" w:hAnsi="Times New Roman"/>
        </w:rPr>
        <w:t xml:space="preserve">need to </w:t>
      </w:r>
      <w:r>
        <w:rPr>
          <w:rFonts w:ascii="Times New Roman" w:hAnsi="Times New Roman"/>
        </w:rPr>
        <w:t xml:space="preserve">assemble the </w:t>
      </w:r>
      <w:r w:rsidR="006C111E">
        <w:rPr>
          <w:rFonts w:ascii="Times New Roman" w:hAnsi="Times New Roman"/>
        </w:rPr>
        <w:t>information</w:t>
      </w:r>
      <w:r>
        <w:rPr>
          <w:rFonts w:ascii="Times New Roman" w:hAnsi="Times New Roman"/>
        </w:rPr>
        <w:t xml:space="preserve">, including removing personally identifiable </w:t>
      </w:r>
      <w:r>
        <w:rPr>
          <w:rFonts w:ascii="Times New Roman" w:hAnsi="Times New Roman"/>
        </w:rPr>
        <w:lastRenderedPageBreak/>
        <w:t xml:space="preserve">information, from their own records and from the work products provided to them by plan actuaries.  Respondents will be requested to send the files to PBGC electronically.  After </w:t>
      </w:r>
      <w:r w:rsidR="006C111E">
        <w:rPr>
          <w:rFonts w:ascii="Times New Roman" w:hAnsi="Times New Roman"/>
        </w:rPr>
        <w:t xml:space="preserve">an </w:t>
      </w:r>
      <w:r>
        <w:rPr>
          <w:rFonts w:ascii="Times New Roman" w:hAnsi="Times New Roman"/>
        </w:rPr>
        <w:t xml:space="preserve">initial review to determine the reliability and usefulness of the information received (e.g., ensuring </w:t>
      </w:r>
      <w:r w:rsidRPr="00CB483C">
        <w:rPr>
          <w:rFonts w:ascii="Times New Roman" w:hAnsi="Times New Roman"/>
        </w:rPr>
        <w:t xml:space="preserve">that all the </w:t>
      </w:r>
      <w:r>
        <w:rPr>
          <w:rFonts w:ascii="Times New Roman" w:hAnsi="Times New Roman"/>
        </w:rPr>
        <w:t>information necessary to run the models is supplied and is consistent among the participant census data, cash flow data, and actuarial valuation reports)</w:t>
      </w:r>
      <w:r w:rsidR="00FE1A2B">
        <w:rPr>
          <w:rFonts w:ascii="Times New Roman" w:hAnsi="Times New Roman"/>
        </w:rPr>
        <w:t xml:space="preserve"> </w:t>
      </w:r>
      <w:r w:rsidR="00FE1A2B" w:rsidRPr="00373741">
        <w:rPr>
          <w:rFonts w:ascii="Times New Roman" w:hAnsi="Times New Roman"/>
        </w:rPr>
        <w:t>and to verify that no personally identifiable information is included</w:t>
      </w:r>
      <w:r w:rsidRPr="00373741">
        <w:rPr>
          <w:rFonts w:ascii="Times New Roman" w:hAnsi="Times New Roman"/>
        </w:rPr>
        <w:t>, PBGC will forward the colle</w:t>
      </w:r>
      <w:r>
        <w:rPr>
          <w:rFonts w:ascii="Times New Roman" w:hAnsi="Times New Roman"/>
        </w:rPr>
        <w:t>cted information to its contractor analysts for input into the models.</w:t>
      </w:r>
    </w:p>
    <w:p w14:paraId="0C02520A" w14:textId="77777777" w:rsidR="004C192B" w:rsidRDefault="004C192B" w:rsidP="004C192B">
      <w:pPr>
        <w:spacing w:line="480" w:lineRule="auto"/>
        <w:ind w:firstLine="720"/>
        <w:rPr>
          <w:rFonts w:ascii="Times New Roman" w:hAnsi="Times New Roman"/>
          <w:u w:val="single"/>
        </w:rPr>
      </w:pPr>
      <w:r w:rsidRPr="00746F13">
        <w:rPr>
          <w:rFonts w:ascii="Times New Roman" w:hAnsi="Times New Roman"/>
        </w:rPr>
        <w:t>3.</w:t>
      </w:r>
      <w:r w:rsidRPr="002B3232">
        <w:rPr>
          <w:rFonts w:ascii="Times New Roman" w:hAnsi="Times New Roman"/>
        </w:rPr>
        <w:t xml:space="preserve"> </w:t>
      </w:r>
      <w:r w:rsidRPr="00273EB8">
        <w:rPr>
          <w:rFonts w:ascii="Times New Roman" w:hAnsi="Times New Roman"/>
          <w:u w:val="single"/>
        </w:rPr>
        <w:t>Describe the methods to maximize response rates and deal with issues of non-response.</w:t>
      </w:r>
    </w:p>
    <w:p w14:paraId="5011F4A4" w14:textId="0EA30753" w:rsidR="004C192B" w:rsidRDefault="004C192B" w:rsidP="004C192B">
      <w:pPr>
        <w:spacing w:line="480" w:lineRule="auto"/>
        <w:ind w:firstLine="720"/>
        <w:rPr>
          <w:rFonts w:ascii="Times New Roman" w:hAnsi="Times New Roman"/>
        </w:rPr>
      </w:pPr>
      <w:r>
        <w:rPr>
          <w:rFonts w:ascii="Times New Roman" w:hAnsi="Times New Roman"/>
        </w:rPr>
        <w:t xml:space="preserve">The information collection is voluntary and PBGC will not be offering monetary incentives.  PBGC </w:t>
      </w:r>
      <w:r w:rsidR="006C111E">
        <w:rPr>
          <w:rFonts w:ascii="Times New Roman" w:hAnsi="Times New Roman"/>
        </w:rPr>
        <w:t xml:space="preserve">is optimistic </w:t>
      </w:r>
      <w:r>
        <w:rPr>
          <w:rFonts w:ascii="Times New Roman" w:hAnsi="Times New Roman"/>
        </w:rPr>
        <w:t xml:space="preserve">that plans will want to participate in the information collection in order to help PBGC make informed policy assessments that will benefit multiemployer plans in general.      </w:t>
      </w:r>
    </w:p>
    <w:p w14:paraId="5BE31B75" w14:textId="77777777" w:rsidR="004C192B" w:rsidRDefault="004C192B" w:rsidP="004C192B">
      <w:pPr>
        <w:spacing w:line="480" w:lineRule="auto"/>
        <w:ind w:firstLine="720"/>
        <w:rPr>
          <w:rFonts w:ascii="Times New Roman" w:hAnsi="Times New Roman"/>
        </w:rPr>
      </w:pPr>
      <w:r w:rsidRPr="00746F13">
        <w:rPr>
          <w:rFonts w:ascii="Times New Roman" w:hAnsi="Times New Roman"/>
        </w:rPr>
        <w:t>4.</w:t>
      </w:r>
      <w:r w:rsidRPr="002B3232">
        <w:rPr>
          <w:rFonts w:ascii="Times New Roman" w:hAnsi="Times New Roman"/>
        </w:rPr>
        <w:t xml:space="preserve"> </w:t>
      </w:r>
      <w:r w:rsidRPr="00864CE4">
        <w:rPr>
          <w:rFonts w:ascii="Times New Roman" w:hAnsi="Times New Roman"/>
          <w:u w:val="single"/>
        </w:rPr>
        <w:t>Describe any tests of procedures or methods to be undertaken.</w:t>
      </w:r>
      <w:r>
        <w:rPr>
          <w:rFonts w:ascii="Times New Roman" w:hAnsi="Times New Roman"/>
        </w:rPr>
        <w:t xml:space="preserve">  Inapplicable.</w:t>
      </w:r>
    </w:p>
    <w:p w14:paraId="32A13637" w14:textId="77777777" w:rsidR="004C192B" w:rsidRPr="008D5590" w:rsidRDefault="004C192B" w:rsidP="004C192B">
      <w:pPr>
        <w:spacing w:line="480" w:lineRule="auto"/>
        <w:ind w:firstLine="720"/>
        <w:rPr>
          <w:rFonts w:asciiTheme="minorHAnsi" w:hAnsiTheme="minorHAnsi"/>
        </w:rPr>
      </w:pPr>
      <w:r w:rsidRPr="00746F13">
        <w:rPr>
          <w:rFonts w:ascii="Times New Roman" w:hAnsi="Times New Roman"/>
          <w:color w:val="000000" w:themeColor="text1"/>
        </w:rPr>
        <w:t>5.</w:t>
      </w:r>
      <w:r w:rsidRPr="002B3232">
        <w:rPr>
          <w:rFonts w:ascii="Times New Roman" w:hAnsi="Times New Roman"/>
          <w:color w:val="000000" w:themeColor="text1"/>
        </w:rPr>
        <w:t xml:space="preserve"> </w:t>
      </w:r>
      <w:r w:rsidRPr="00864CE4">
        <w:rPr>
          <w:rFonts w:ascii="Times New Roman" w:hAnsi="Times New Roman"/>
          <w:color w:val="000000" w:themeColor="text1"/>
          <w:u w:val="single"/>
        </w:rPr>
        <w:t>Provide the name and telephone number of the person who will collect the information for the agency.</w:t>
      </w:r>
      <w:r>
        <w:rPr>
          <w:rFonts w:ascii="Times New Roman" w:hAnsi="Times New Roman"/>
          <w:color w:val="000000" w:themeColor="text1"/>
        </w:rPr>
        <w:t xml:space="preserve">  </w:t>
      </w:r>
      <w:r w:rsidRPr="00864CE4">
        <w:rPr>
          <w:rFonts w:ascii="Times New Roman" w:hAnsi="Times New Roman"/>
          <w:color w:val="000000" w:themeColor="text1"/>
        </w:rPr>
        <w:t>David Gustafson, Chief Policy Actuary</w:t>
      </w:r>
      <w:r>
        <w:rPr>
          <w:rFonts w:ascii="Times New Roman" w:hAnsi="Times New Roman"/>
          <w:color w:val="000000" w:themeColor="text1"/>
        </w:rPr>
        <w:t xml:space="preserve">, will coordinate the collection and analysis of the information for PBGC.  His telephone number is 202-326-4080, ext. </w:t>
      </w:r>
      <w:r w:rsidRPr="00864CE4">
        <w:rPr>
          <w:rFonts w:ascii="Times New Roman" w:hAnsi="Times New Roman"/>
          <w:color w:val="000000" w:themeColor="text1"/>
        </w:rPr>
        <w:t>3218</w:t>
      </w:r>
      <w:r>
        <w:rPr>
          <w:rFonts w:ascii="Times New Roman" w:hAnsi="Times New Roman"/>
          <w:color w:val="000000" w:themeColor="text1"/>
        </w:rPr>
        <w:t xml:space="preserve">, and his e-mail address is </w:t>
      </w:r>
      <w:hyperlink r:id="rId8" w:history="1">
        <w:r w:rsidRPr="00746F13">
          <w:rPr>
            <w:rStyle w:val="Hyperlink"/>
            <w:rFonts w:ascii="Times New Roman" w:hAnsi="Times New Roman"/>
          </w:rPr>
          <w:t>gustafson.david@pbgc.gov</w:t>
        </w:r>
      </w:hyperlink>
      <w:r w:rsidRPr="00746F13">
        <w:rPr>
          <w:rFonts w:ascii="Times New Roman" w:hAnsi="Times New Roman"/>
        </w:rPr>
        <w:t>.</w:t>
      </w:r>
    </w:p>
    <w:p w14:paraId="6DA9A63B" w14:textId="77777777" w:rsidR="00A4648F" w:rsidRPr="00A4648F" w:rsidRDefault="00A4648F" w:rsidP="00A4648F">
      <w:pPr>
        <w:spacing w:line="480" w:lineRule="auto"/>
        <w:rPr>
          <w:rFonts w:ascii="Times New Roman" w:hAnsi="Times New Roman"/>
          <w:color w:val="000000" w:themeColor="text1"/>
        </w:rPr>
      </w:pPr>
      <w:r>
        <w:rPr>
          <w:rFonts w:ascii="Times New Roman" w:hAnsi="Times New Roman"/>
          <w:color w:val="000000" w:themeColor="text1"/>
        </w:rPr>
        <w:t xml:space="preserve">  </w:t>
      </w:r>
    </w:p>
    <w:p w14:paraId="205B25DD" w14:textId="77777777" w:rsidR="004C6D42" w:rsidRDefault="004C6D42" w:rsidP="00E1647E">
      <w:pPr>
        <w:widowControl/>
        <w:spacing w:line="480" w:lineRule="auto"/>
      </w:pPr>
    </w:p>
    <w:sectPr w:rsidR="004C6D42" w:rsidSect="008C7F86">
      <w:headerReference w:type="default" r:id="rId9"/>
      <w:footerReference w:type="even" r:id="rId10"/>
      <w:footerReference w:type="default" r:id="rId11"/>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E38CF" w14:textId="77777777" w:rsidR="007B5A6E" w:rsidRDefault="007B5A6E">
      <w:r>
        <w:separator/>
      </w:r>
    </w:p>
  </w:endnote>
  <w:endnote w:type="continuationSeparator" w:id="0">
    <w:p w14:paraId="6BEEB1DD" w14:textId="77777777" w:rsidR="007B5A6E" w:rsidRDefault="007B5A6E">
      <w:r>
        <w:continuationSeparator/>
      </w:r>
    </w:p>
  </w:endnote>
  <w:endnote w:type="continuationNotice" w:id="1">
    <w:p w14:paraId="5728A613" w14:textId="77777777" w:rsidR="007B5A6E" w:rsidRDefault="007B5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FF85E" w14:textId="77777777" w:rsidR="00472AD9" w:rsidRDefault="00472AD9" w:rsidP="000349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07EB70" w14:textId="77777777" w:rsidR="00472AD9" w:rsidRDefault="00472AD9" w:rsidP="00CF04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155553"/>
      <w:docPartObj>
        <w:docPartGallery w:val="Page Numbers (Bottom of Page)"/>
        <w:docPartUnique/>
      </w:docPartObj>
    </w:sdtPr>
    <w:sdtEndPr>
      <w:rPr>
        <w:rFonts w:ascii="Times New Roman" w:hAnsi="Times New Roman"/>
        <w:noProof/>
      </w:rPr>
    </w:sdtEndPr>
    <w:sdtContent>
      <w:p w14:paraId="6100032D" w14:textId="77777777" w:rsidR="00E46220" w:rsidRDefault="00E46220">
        <w:pPr>
          <w:pStyle w:val="Footer"/>
          <w:jc w:val="center"/>
        </w:pPr>
      </w:p>
      <w:p w14:paraId="5886AE49" w14:textId="77777777" w:rsidR="00E46220" w:rsidRPr="00E46220" w:rsidRDefault="00E46220">
        <w:pPr>
          <w:pStyle w:val="Footer"/>
          <w:jc w:val="center"/>
          <w:rPr>
            <w:rFonts w:ascii="Times New Roman" w:hAnsi="Times New Roman"/>
          </w:rPr>
        </w:pPr>
        <w:r w:rsidRPr="00E46220">
          <w:rPr>
            <w:rFonts w:ascii="Times New Roman" w:hAnsi="Times New Roman"/>
          </w:rPr>
          <w:fldChar w:fldCharType="begin"/>
        </w:r>
        <w:r w:rsidRPr="00E46220">
          <w:rPr>
            <w:rFonts w:ascii="Times New Roman" w:hAnsi="Times New Roman"/>
          </w:rPr>
          <w:instrText xml:space="preserve"> PAGE   \* MERGEFORMAT </w:instrText>
        </w:r>
        <w:r w:rsidRPr="00E46220">
          <w:rPr>
            <w:rFonts w:ascii="Times New Roman" w:hAnsi="Times New Roman"/>
          </w:rPr>
          <w:fldChar w:fldCharType="separate"/>
        </w:r>
        <w:r w:rsidR="00552754">
          <w:rPr>
            <w:rFonts w:ascii="Times New Roman" w:hAnsi="Times New Roman"/>
            <w:noProof/>
          </w:rPr>
          <w:t>1</w:t>
        </w:r>
        <w:r w:rsidRPr="00E46220">
          <w:rPr>
            <w:rFonts w:ascii="Times New Roman" w:hAnsi="Times New Roman"/>
            <w:noProof/>
          </w:rPr>
          <w:fldChar w:fldCharType="end"/>
        </w:r>
      </w:p>
    </w:sdtContent>
  </w:sdt>
  <w:p w14:paraId="41D917A9" w14:textId="77777777" w:rsidR="00472AD9" w:rsidRDefault="00472AD9" w:rsidP="00CF04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715CA" w14:textId="77777777" w:rsidR="007B5A6E" w:rsidRDefault="007B5A6E">
      <w:r>
        <w:separator/>
      </w:r>
    </w:p>
  </w:footnote>
  <w:footnote w:type="continuationSeparator" w:id="0">
    <w:p w14:paraId="0C9496E1" w14:textId="77777777" w:rsidR="007B5A6E" w:rsidRDefault="007B5A6E">
      <w:r>
        <w:continuationSeparator/>
      </w:r>
    </w:p>
  </w:footnote>
  <w:footnote w:type="continuationNotice" w:id="1">
    <w:p w14:paraId="5E667BB1" w14:textId="77777777" w:rsidR="007B5A6E" w:rsidRDefault="007B5A6E"/>
  </w:footnote>
  <w:footnote w:id="2">
    <w:p w14:paraId="5697F2CB" w14:textId="4D2476DA" w:rsidR="007877D0" w:rsidRPr="00614FB0" w:rsidRDefault="007877D0" w:rsidP="007877D0">
      <w:pPr>
        <w:pStyle w:val="FootnoteText"/>
        <w:rPr>
          <w:rFonts w:ascii="Times New Roman" w:hAnsi="Times New Roman"/>
          <w:sz w:val="22"/>
          <w:szCs w:val="22"/>
        </w:rPr>
      </w:pPr>
      <w:r w:rsidRPr="00064824">
        <w:rPr>
          <w:rStyle w:val="FootnoteReference"/>
          <w:rFonts w:ascii="Times New Roman" w:hAnsi="Times New Roman"/>
          <w:sz w:val="22"/>
          <w:szCs w:val="22"/>
          <w:vertAlign w:val="superscript"/>
        </w:rPr>
        <w:footnoteRef/>
      </w:r>
      <w:r w:rsidRPr="00064824">
        <w:rPr>
          <w:sz w:val="22"/>
          <w:szCs w:val="22"/>
        </w:rPr>
        <w:t xml:space="preserve"> </w:t>
      </w:r>
      <w:r w:rsidRPr="00064824">
        <w:rPr>
          <w:rFonts w:ascii="Times New Roman" w:hAnsi="Times New Roman"/>
          <w:sz w:val="22"/>
          <w:szCs w:val="22"/>
        </w:rPr>
        <w:t>The Pension Protection Act of 2006 calls on plan sponsors to actively monitor the projected Funding Standard Account credit balance, the funded percentage (ratio of actuarial value of asset</w:t>
      </w:r>
      <w:r w:rsidR="00DB02E8">
        <w:rPr>
          <w:rFonts w:ascii="Times New Roman" w:hAnsi="Times New Roman"/>
          <w:sz w:val="22"/>
          <w:szCs w:val="22"/>
        </w:rPr>
        <w:t>s</w:t>
      </w:r>
      <w:r w:rsidRPr="00064824">
        <w:rPr>
          <w:rFonts w:ascii="Times New Roman" w:hAnsi="Times New Roman"/>
          <w:sz w:val="22"/>
          <w:szCs w:val="22"/>
        </w:rPr>
        <w:t xml:space="preserve"> to the present value of benefits) and cash flow sufficiency.  Based on these measures, plans are categorized as critical (Red Zone), endangered (Yellow Zone), seriously endangered (Orange Zone), or neither (Green Zone).  There are a few triggers but generally Red Zone plans have a fund</w:t>
      </w:r>
      <w:r w:rsidR="00136F8C">
        <w:rPr>
          <w:rFonts w:ascii="Times New Roman" w:hAnsi="Times New Roman"/>
          <w:sz w:val="22"/>
          <w:szCs w:val="22"/>
        </w:rPr>
        <w:t>ed</w:t>
      </w:r>
      <w:r w:rsidRPr="00064824">
        <w:rPr>
          <w:rFonts w:ascii="Times New Roman" w:hAnsi="Times New Roman"/>
          <w:sz w:val="22"/>
          <w:szCs w:val="22"/>
        </w:rPr>
        <w:t xml:space="preserve"> </w:t>
      </w:r>
      <w:r w:rsidR="00905631">
        <w:rPr>
          <w:rFonts w:ascii="Times New Roman" w:hAnsi="Times New Roman"/>
          <w:sz w:val="22"/>
          <w:szCs w:val="22"/>
        </w:rPr>
        <w:t>percentage</w:t>
      </w:r>
      <w:r w:rsidRPr="00064824">
        <w:rPr>
          <w:rFonts w:ascii="Times New Roman" w:hAnsi="Times New Roman"/>
          <w:sz w:val="22"/>
          <w:szCs w:val="22"/>
        </w:rPr>
        <w:t xml:space="preserve"> less than 65% and project a funding deficiency within 5 years or </w:t>
      </w:r>
      <w:r w:rsidR="00136F8C">
        <w:rPr>
          <w:rFonts w:ascii="Times New Roman" w:hAnsi="Times New Roman"/>
          <w:sz w:val="22"/>
          <w:szCs w:val="22"/>
        </w:rPr>
        <w:t xml:space="preserve">insolvency </w:t>
      </w:r>
      <w:r w:rsidRPr="00064824">
        <w:rPr>
          <w:rFonts w:ascii="Times New Roman" w:hAnsi="Times New Roman"/>
          <w:sz w:val="22"/>
          <w:szCs w:val="22"/>
        </w:rPr>
        <w:t>within 7 years</w:t>
      </w:r>
      <w:r w:rsidRPr="00614FB0">
        <w:rPr>
          <w:rFonts w:ascii="Times New Roman" w:hAnsi="Times New Roman"/>
          <w:sz w:val="22"/>
          <w:szCs w:val="22"/>
        </w:rPr>
        <w:t xml:space="preserve">.  </w:t>
      </w:r>
      <w:r w:rsidRPr="00F04178">
        <w:rPr>
          <w:rFonts w:ascii="Times New Roman" w:hAnsi="Times New Roman"/>
          <w:sz w:val="22"/>
          <w:szCs w:val="22"/>
        </w:rPr>
        <w:t xml:space="preserve">PBGC estimates that there are approximately 200 “red zone” </w:t>
      </w:r>
      <w:r w:rsidRPr="00F04178">
        <w:rPr>
          <w:rFonts w:ascii="Times New Roman" w:hAnsi="Times New Roman"/>
          <w:color w:val="000000" w:themeColor="text1"/>
          <w:sz w:val="22"/>
          <w:szCs w:val="22"/>
        </w:rPr>
        <w:t xml:space="preserve">plans that appear to be at risk of insolvency in the next 20 years.  </w:t>
      </w:r>
    </w:p>
    <w:p w14:paraId="1E4A3DAD" w14:textId="77777777" w:rsidR="007877D0" w:rsidRDefault="007877D0" w:rsidP="007877D0">
      <w:pPr>
        <w:pStyle w:val="FootnoteText"/>
      </w:pPr>
    </w:p>
  </w:footnote>
  <w:footnote w:id="3">
    <w:p w14:paraId="67AD261C" w14:textId="0163499B" w:rsidR="00064824" w:rsidRPr="00064824" w:rsidRDefault="00064824">
      <w:pPr>
        <w:pStyle w:val="FootnoteText"/>
        <w:rPr>
          <w:sz w:val="22"/>
          <w:szCs w:val="22"/>
        </w:rPr>
      </w:pPr>
      <w:r w:rsidRPr="00064824">
        <w:rPr>
          <w:rStyle w:val="FootnoteReference"/>
          <w:rFonts w:ascii="Times New Roman" w:hAnsi="Times New Roman"/>
          <w:sz w:val="22"/>
          <w:szCs w:val="22"/>
          <w:vertAlign w:val="superscript"/>
        </w:rPr>
        <w:footnoteRef/>
      </w:r>
      <w:r w:rsidRPr="00064824">
        <w:rPr>
          <w:sz w:val="22"/>
          <w:szCs w:val="22"/>
        </w:rPr>
        <w:t xml:space="preserve"> </w:t>
      </w:r>
      <w:r w:rsidRPr="00064824">
        <w:rPr>
          <w:rFonts w:ascii="Times New Roman" w:hAnsi="Times New Roman"/>
          <w:color w:val="000000" w:themeColor="text1"/>
          <w:sz w:val="22"/>
          <w:szCs w:val="22"/>
        </w:rPr>
        <w:t xml:space="preserve">These plans were identified based on based on the 2010 Form 5500 information.  </w:t>
      </w:r>
      <w:r w:rsidRPr="00064824">
        <w:rPr>
          <w:sz w:val="22"/>
          <w:szCs w:val="22"/>
        </w:rPr>
        <w:t xml:space="preserve"> </w:t>
      </w:r>
    </w:p>
  </w:footnote>
  <w:footnote w:id="4">
    <w:p w14:paraId="60CE0E05" w14:textId="1A22D752" w:rsidR="00C30CC6" w:rsidRPr="00C30CC6" w:rsidRDefault="00C30CC6">
      <w:pPr>
        <w:pStyle w:val="FootnoteText"/>
        <w:rPr>
          <w:rFonts w:ascii="Times New Roman" w:hAnsi="Times New Roman"/>
          <w:sz w:val="22"/>
          <w:szCs w:val="22"/>
        </w:rPr>
      </w:pPr>
      <w:r w:rsidRPr="00C30CC6">
        <w:rPr>
          <w:rStyle w:val="FootnoteReference"/>
          <w:rFonts w:ascii="Times New Roman" w:hAnsi="Times New Roman"/>
          <w:sz w:val="22"/>
          <w:szCs w:val="22"/>
          <w:vertAlign w:val="superscript"/>
        </w:rPr>
        <w:footnoteRef/>
      </w:r>
      <w:r w:rsidRPr="00C30CC6">
        <w:rPr>
          <w:rFonts w:ascii="Times New Roman" w:hAnsi="Times New Roman"/>
          <w:sz w:val="22"/>
          <w:szCs w:val="22"/>
        </w:rPr>
        <w:t xml:space="preserve"> Because plans are not required to provide e-mail addresses on Form 5500 filings, PBGC does not have e-mail addresses for all of the potential respondents.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84FA6" w14:textId="77777777" w:rsidR="00472AD9" w:rsidRPr="00472AD9" w:rsidRDefault="00472AD9">
    <w:pPr>
      <w:rPr>
        <w:rFonts w:ascii="Times New Roman" w:hAnsi="Times New Roman"/>
      </w:rPr>
    </w:pPr>
  </w:p>
  <w:p w14:paraId="16A46E45" w14:textId="77777777" w:rsidR="00472AD9" w:rsidRDefault="00472AD9"/>
  <w:p w14:paraId="3D27142D" w14:textId="77777777" w:rsidR="00472AD9" w:rsidRDefault="00472AD9">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F86"/>
    <w:rsid w:val="00012601"/>
    <w:rsid w:val="00015C3F"/>
    <w:rsid w:val="0003494C"/>
    <w:rsid w:val="00037654"/>
    <w:rsid w:val="0004194E"/>
    <w:rsid w:val="00064824"/>
    <w:rsid w:val="000B27B6"/>
    <w:rsid w:val="000C7E24"/>
    <w:rsid w:val="000D0E8D"/>
    <w:rsid w:val="000E769B"/>
    <w:rsid w:val="000F356D"/>
    <w:rsid w:val="000F546E"/>
    <w:rsid w:val="00100A0E"/>
    <w:rsid w:val="00111DB5"/>
    <w:rsid w:val="00112A9B"/>
    <w:rsid w:val="00136F8C"/>
    <w:rsid w:val="00141A0F"/>
    <w:rsid w:val="00145C19"/>
    <w:rsid w:val="00155668"/>
    <w:rsid w:val="00176722"/>
    <w:rsid w:val="00177925"/>
    <w:rsid w:val="00182BC6"/>
    <w:rsid w:val="001C4512"/>
    <w:rsid w:val="001D0114"/>
    <w:rsid w:val="001D1215"/>
    <w:rsid w:val="001E5442"/>
    <w:rsid w:val="001E6699"/>
    <w:rsid w:val="00241661"/>
    <w:rsid w:val="0026173F"/>
    <w:rsid w:val="00273EB8"/>
    <w:rsid w:val="0027579D"/>
    <w:rsid w:val="00281E13"/>
    <w:rsid w:val="002A140D"/>
    <w:rsid w:val="002A200F"/>
    <w:rsid w:val="002A656C"/>
    <w:rsid w:val="002B0A69"/>
    <w:rsid w:val="002D3ACF"/>
    <w:rsid w:val="002E174B"/>
    <w:rsid w:val="00302F28"/>
    <w:rsid w:val="00311A57"/>
    <w:rsid w:val="003204AE"/>
    <w:rsid w:val="003216F2"/>
    <w:rsid w:val="00327E7A"/>
    <w:rsid w:val="003402A9"/>
    <w:rsid w:val="0035022B"/>
    <w:rsid w:val="00367C44"/>
    <w:rsid w:val="00367FAA"/>
    <w:rsid w:val="00373741"/>
    <w:rsid w:val="003755C3"/>
    <w:rsid w:val="0038021B"/>
    <w:rsid w:val="00390196"/>
    <w:rsid w:val="00415E34"/>
    <w:rsid w:val="004235D6"/>
    <w:rsid w:val="004423BA"/>
    <w:rsid w:val="00461BE4"/>
    <w:rsid w:val="00464C3A"/>
    <w:rsid w:val="00472AD9"/>
    <w:rsid w:val="00474C38"/>
    <w:rsid w:val="004A468A"/>
    <w:rsid w:val="004C192B"/>
    <w:rsid w:val="004C24FE"/>
    <w:rsid w:val="004C6B3F"/>
    <w:rsid w:val="004C6D42"/>
    <w:rsid w:val="004D1A67"/>
    <w:rsid w:val="004F51E4"/>
    <w:rsid w:val="004F6FFF"/>
    <w:rsid w:val="00534E4D"/>
    <w:rsid w:val="00535897"/>
    <w:rsid w:val="00552754"/>
    <w:rsid w:val="005C030B"/>
    <w:rsid w:val="005E2D0C"/>
    <w:rsid w:val="005F34DC"/>
    <w:rsid w:val="005F6499"/>
    <w:rsid w:val="00601C61"/>
    <w:rsid w:val="00614FB0"/>
    <w:rsid w:val="00615757"/>
    <w:rsid w:val="00617A92"/>
    <w:rsid w:val="00664039"/>
    <w:rsid w:val="006913C6"/>
    <w:rsid w:val="006A5C25"/>
    <w:rsid w:val="006C111E"/>
    <w:rsid w:val="006E671C"/>
    <w:rsid w:val="00722B7D"/>
    <w:rsid w:val="00725CC2"/>
    <w:rsid w:val="00747CB9"/>
    <w:rsid w:val="00751D7A"/>
    <w:rsid w:val="0076159E"/>
    <w:rsid w:val="00781AC8"/>
    <w:rsid w:val="007877D0"/>
    <w:rsid w:val="007B5A6E"/>
    <w:rsid w:val="007C30D1"/>
    <w:rsid w:val="007E0A0F"/>
    <w:rsid w:val="007F10A1"/>
    <w:rsid w:val="008139A2"/>
    <w:rsid w:val="0083372A"/>
    <w:rsid w:val="00836D29"/>
    <w:rsid w:val="00846EF4"/>
    <w:rsid w:val="00864CE4"/>
    <w:rsid w:val="008724F6"/>
    <w:rsid w:val="008C7F86"/>
    <w:rsid w:val="008C7FAB"/>
    <w:rsid w:val="008F3E62"/>
    <w:rsid w:val="0090307A"/>
    <w:rsid w:val="00905631"/>
    <w:rsid w:val="009459F4"/>
    <w:rsid w:val="0094755C"/>
    <w:rsid w:val="00956170"/>
    <w:rsid w:val="00964396"/>
    <w:rsid w:val="00972E32"/>
    <w:rsid w:val="009844DA"/>
    <w:rsid w:val="009F38DB"/>
    <w:rsid w:val="00A2396C"/>
    <w:rsid w:val="00A26846"/>
    <w:rsid w:val="00A4648F"/>
    <w:rsid w:val="00A6092E"/>
    <w:rsid w:val="00A7171E"/>
    <w:rsid w:val="00A76A0F"/>
    <w:rsid w:val="00A90A01"/>
    <w:rsid w:val="00A95048"/>
    <w:rsid w:val="00AA177E"/>
    <w:rsid w:val="00AA67D6"/>
    <w:rsid w:val="00AB2685"/>
    <w:rsid w:val="00AC295B"/>
    <w:rsid w:val="00AE0D8B"/>
    <w:rsid w:val="00AE3938"/>
    <w:rsid w:val="00B13ECB"/>
    <w:rsid w:val="00B15514"/>
    <w:rsid w:val="00B1644B"/>
    <w:rsid w:val="00B52AFD"/>
    <w:rsid w:val="00B60A66"/>
    <w:rsid w:val="00B92165"/>
    <w:rsid w:val="00BA164B"/>
    <w:rsid w:val="00BD474B"/>
    <w:rsid w:val="00BE15D3"/>
    <w:rsid w:val="00BE24D9"/>
    <w:rsid w:val="00C02B6D"/>
    <w:rsid w:val="00C30CC6"/>
    <w:rsid w:val="00C35239"/>
    <w:rsid w:val="00C66DFF"/>
    <w:rsid w:val="00C7360E"/>
    <w:rsid w:val="00C81362"/>
    <w:rsid w:val="00CA4C38"/>
    <w:rsid w:val="00CD26C9"/>
    <w:rsid w:val="00CE3921"/>
    <w:rsid w:val="00CF04D0"/>
    <w:rsid w:val="00D070F5"/>
    <w:rsid w:val="00D427B8"/>
    <w:rsid w:val="00D45CF7"/>
    <w:rsid w:val="00D54A6D"/>
    <w:rsid w:val="00D71001"/>
    <w:rsid w:val="00D72A7E"/>
    <w:rsid w:val="00D97E15"/>
    <w:rsid w:val="00DB02E8"/>
    <w:rsid w:val="00DC6995"/>
    <w:rsid w:val="00DF1119"/>
    <w:rsid w:val="00E1647E"/>
    <w:rsid w:val="00E46220"/>
    <w:rsid w:val="00E61CE0"/>
    <w:rsid w:val="00E65E2E"/>
    <w:rsid w:val="00E7119C"/>
    <w:rsid w:val="00E815FD"/>
    <w:rsid w:val="00E91548"/>
    <w:rsid w:val="00EB28D8"/>
    <w:rsid w:val="00EC2D4A"/>
    <w:rsid w:val="00ED09BC"/>
    <w:rsid w:val="00ED5872"/>
    <w:rsid w:val="00ED5A54"/>
    <w:rsid w:val="00EE2FDB"/>
    <w:rsid w:val="00EF0915"/>
    <w:rsid w:val="00F04178"/>
    <w:rsid w:val="00F05F46"/>
    <w:rsid w:val="00F36DD2"/>
    <w:rsid w:val="00F5535D"/>
    <w:rsid w:val="00F73633"/>
    <w:rsid w:val="00F85179"/>
    <w:rsid w:val="00F9174D"/>
    <w:rsid w:val="00F951C9"/>
    <w:rsid w:val="00FA31D9"/>
    <w:rsid w:val="00FB061C"/>
    <w:rsid w:val="00FC0852"/>
    <w:rsid w:val="00FD12DD"/>
    <w:rsid w:val="00FD387E"/>
    <w:rsid w:val="00FD39DE"/>
    <w:rsid w:val="00FE1A2B"/>
    <w:rsid w:val="00FF6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12DD"/>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92165"/>
    <w:pPr>
      <w:keepNext/>
      <w:tabs>
        <w:tab w:val="left" w:pos="-1080"/>
        <w:tab w:val="left" w:pos="-720"/>
        <w:tab w:val="left" w:pos="0"/>
        <w:tab w:val="left" w:pos="720"/>
        <w:tab w:val="left" w:pos="1440"/>
        <w:tab w:val="left" w:pos="1976"/>
        <w:tab w:val="left" w:pos="2880"/>
        <w:tab w:val="left" w:pos="3084"/>
        <w:tab w:val="left" w:pos="4320"/>
      </w:tabs>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D12DD"/>
  </w:style>
  <w:style w:type="character" w:styleId="Hyperlink">
    <w:name w:val="Hyperlink"/>
    <w:basedOn w:val="DefaultParagraphFont"/>
    <w:rsid w:val="00D97E15"/>
    <w:rPr>
      <w:color w:val="0000FF"/>
      <w:u w:val="single"/>
    </w:rPr>
  </w:style>
  <w:style w:type="paragraph" w:styleId="BalloonText">
    <w:name w:val="Balloon Text"/>
    <w:basedOn w:val="Normal"/>
    <w:semiHidden/>
    <w:rsid w:val="00FD387E"/>
    <w:rPr>
      <w:rFonts w:ascii="Tahoma" w:hAnsi="Tahoma" w:cs="Tahoma"/>
      <w:sz w:val="16"/>
      <w:szCs w:val="16"/>
    </w:rPr>
  </w:style>
  <w:style w:type="character" w:styleId="CommentReference">
    <w:name w:val="annotation reference"/>
    <w:basedOn w:val="DefaultParagraphFont"/>
    <w:semiHidden/>
    <w:rsid w:val="00BE15D3"/>
    <w:rPr>
      <w:sz w:val="16"/>
      <w:szCs w:val="16"/>
    </w:rPr>
  </w:style>
  <w:style w:type="paragraph" w:styleId="CommentText">
    <w:name w:val="annotation text"/>
    <w:basedOn w:val="Normal"/>
    <w:semiHidden/>
    <w:rsid w:val="00BE15D3"/>
    <w:rPr>
      <w:sz w:val="20"/>
      <w:szCs w:val="20"/>
    </w:rPr>
  </w:style>
  <w:style w:type="paragraph" w:styleId="CommentSubject">
    <w:name w:val="annotation subject"/>
    <w:basedOn w:val="CommentText"/>
    <w:next w:val="CommentText"/>
    <w:semiHidden/>
    <w:rsid w:val="00BE15D3"/>
    <w:rPr>
      <w:b/>
      <w:bCs/>
    </w:rPr>
  </w:style>
  <w:style w:type="paragraph" w:styleId="Header">
    <w:name w:val="header"/>
    <w:basedOn w:val="Normal"/>
    <w:rsid w:val="00CF04D0"/>
    <w:pPr>
      <w:tabs>
        <w:tab w:val="center" w:pos="4320"/>
        <w:tab w:val="right" w:pos="8640"/>
      </w:tabs>
    </w:pPr>
  </w:style>
  <w:style w:type="paragraph" w:styleId="Footer">
    <w:name w:val="footer"/>
    <w:basedOn w:val="Normal"/>
    <w:link w:val="FooterChar"/>
    <w:uiPriority w:val="99"/>
    <w:rsid w:val="00CF04D0"/>
    <w:pPr>
      <w:tabs>
        <w:tab w:val="center" w:pos="4320"/>
        <w:tab w:val="right" w:pos="8640"/>
      </w:tabs>
    </w:pPr>
  </w:style>
  <w:style w:type="character" w:styleId="PageNumber">
    <w:name w:val="page number"/>
    <w:basedOn w:val="DefaultParagraphFont"/>
    <w:rsid w:val="00CF04D0"/>
  </w:style>
  <w:style w:type="character" w:styleId="FollowedHyperlink">
    <w:name w:val="FollowedHyperlink"/>
    <w:basedOn w:val="DefaultParagraphFont"/>
    <w:rsid w:val="00C66DFF"/>
    <w:rPr>
      <w:color w:val="800080" w:themeColor="followedHyperlink"/>
      <w:u w:val="single"/>
    </w:rPr>
  </w:style>
  <w:style w:type="character" w:customStyle="1" w:styleId="FooterChar">
    <w:name w:val="Footer Char"/>
    <w:basedOn w:val="DefaultParagraphFont"/>
    <w:link w:val="Footer"/>
    <w:uiPriority w:val="99"/>
    <w:rsid w:val="00E46220"/>
    <w:rPr>
      <w:rFonts w:ascii="Courier" w:hAnsi="Courier"/>
      <w:sz w:val="24"/>
      <w:szCs w:val="24"/>
    </w:rPr>
  </w:style>
  <w:style w:type="paragraph" w:styleId="FootnoteText">
    <w:name w:val="footnote text"/>
    <w:basedOn w:val="Normal"/>
    <w:link w:val="FootnoteTextChar"/>
    <w:rsid w:val="00AA67D6"/>
    <w:rPr>
      <w:sz w:val="20"/>
      <w:szCs w:val="20"/>
    </w:rPr>
  </w:style>
  <w:style w:type="character" w:customStyle="1" w:styleId="FootnoteTextChar">
    <w:name w:val="Footnote Text Char"/>
    <w:basedOn w:val="DefaultParagraphFont"/>
    <w:link w:val="FootnoteText"/>
    <w:rsid w:val="00AA67D6"/>
    <w:rPr>
      <w:rFonts w:ascii="Courier" w:hAnsi="Courier"/>
    </w:rPr>
  </w:style>
  <w:style w:type="paragraph" w:styleId="Revision">
    <w:name w:val="Revision"/>
    <w:hidden/>
    <w:uiPriority w:val="99"/>
    <w:semiHidden/>
    <w:rsid w:val="004A468A"/>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12DD"/>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92165"/>
    <w:pPr>
      <w:keepNext/>
      <w:tabs>
        <w:tab w:val="left" w:pos="-1080"/>
        <w:tab w:val="left" w:pos="-720"/>
        <w:tab w:val="left" w:pos="0"/>
        <w:tab w:val="left" w:pos="720"/>
        <w:tab w:val="left" w:pos="1440"/>
        <w:tab w:val="left" w:pos="1976"/>
        <w:tab w:val="left" w:pos="2880"/>
        <w:tab w:val="left" w:pos="3084"/>
        <w:tab w:val="left" w:pos="4320"/>
      </w:tabs>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D12DD"/>
  </w:style>
  <w:style w:type="character" w:styleId="Hyperlink">
    <w:name w:val="Hyperlink"/>
    <w:basedOn w:val="DefaultParagraphFont"/>
    <w:rsid w:val="00D97E15"/>
    <w:rPr>
      <w:color w:val="0000FF"/>
      <w:u w:val="single"/>
    </w:rPr>
  </w:style>
  <w:style w:type="paragraph" w:styleId="BalloonText">
    <w:name w:val="Balloon Text"/>
    <w:basedOn w:val="Normal"/>
    <w:semiHidden/>
    <w:rsid w:val="00FD387E"/>
    <w:rPr>
      <w:rFonts w:ascii="Tahoma" w:hAnsi="Tahoma" w:cs="Tahoma"/>
      <w:sz w:val="16"/>
      <w:szCs w:val="16"/>
    </w:rPr>
  </w:style>
  <w:style w:type="character" w:styleId="CommentReference">
    <w:name w:val="annotation reference"/>
    <w:basedOn w:val="DefaultParagraphFont"/>
    <w:semiHidden/>
    <w:rsid w:val="00BE15D3"/>
    <w:rPr>
      <w:sz w:val="16"/>
      <w:szCs w:val="16"/>
    </w:rPr>
  </w:style>
  <w:style w:type="paragraph" w:styleId="CommentText">
    <w:name w:val="annotation text"/>
    <w:basedOn w:val="Normal"/>
    <w:semiHidden/>
    <w:rsid w:val="00BE15D3"/>
    <w:rPr>
      <w:sz w:val="20"/>
      <w:szCs w:val="20"/>
    </w:rPr>
  </w:style>
  <w:style w:type="paragraph" w:styleId="CommentSubject">
    <w:name w:val="annotation subject"/>
    <w:basedOn w:val="CommentText"/>
    <w:next w:val="CommentText"/>
    <w:semiHidden/>
    <w:rsid w:val="00BE15D3"/>
    <w:rPr>
      <w:b/>
      <w:bCs/>
    </w:rPr>
  </w:style>
  <w:style w:type="paragraph" w:styleId="Header">
    <w:name w:val="header"/>
    <w:basedOn w:val="Normal"/>
    <w:rsid w:val="00CF04D0"/>
    <w:pPr>
      <w:tabs>
        <w:tab w:val="center" w:pos="4320"/>
        <w:tab w:val="right" w:pos="8640"/>
      </w:tabs>
    </w:pPr>
  </w:style>
  <w:style w:type="paragraph" w:styleId="Footer">
    <w:name w:val="footer"/>
    <w:basedOn w:val="Normal"/>
    <w:link w:val="FooterChar"/>
    <w:uiPriority w:val="99"/>
    <w:rsid w:val="00CF04D0"/>
    <w:pPr>
      <w:tabs>
        <w:tab w:val="center" w:pos="4320"/>
        <w:tab w:val="right" w:pos="8640"/>
      </w:tabs>
    </w:pPr>
  </w:style>
  <w:style w:type="character" w:styleId="PageNumber">
    <w:name w:val="page number"/>
    <w:basedOn w:val="DefaultParagraphFont"/>
    <w:rsid w:val="00CF04D0"/>
  </w:style>
  <w:style w:type="character" w:styleId="FollowedHyperlink">
    <w:name w:val="FollowedHyperlink"/>
    <w:basedOn w:val="DefaultParagraphFont"/>
    <w:rsid w:val="00C66DFF"/>
    <w:rPr>
      <w:color w:val="800080" w:themeColor="followedHyperlink"/>
      <w:u w:val="single"/>
    </w:rPr>
  </w:style>
  <w:style w:type="character" w:customStyle="1" w:styleId="FooterChar">
    <w:name w:val="Footer Char"/>
    <w:basedOn w:val="DefaultParagraphFont"/>
    <w:link w:val="Footer"/>
    <w:uiPriority w:val="99"/>
    <w:rsid w:val="00E46220"/>
    <w:rPr>
      <w:rFonts w:ascii="Courier" w:hAnsi="Courier"/>
      <w:sz w:val="24"/>
      <w:szCs w:val="24"/>
    </w:rPr>
  </w:style>
  <w:style w:type="paragraph" w:styleId="FootnoteText">
    <w:name w:val="footnote text"/>
    <w:basedOn w:val="Normal"/>
    <w:link w:val="FootnoteTextChar"/>
    <w:rsid w:val="00AA67D6"/>
    <w:rPr>
      <w:sz w:val="20"/>
      <w:szCs w:val="20"/>
    </w:rPr>
  </w:style>
  <w:style w:type="character" w:customStyle="1" w:styleId="FootnoteTextChar">
    <w:name w:val="Footnote Text Char"/>
    <w:basedOn w:val="DefaultParagraphFont"/>
    <w:link w:val="FootnoteText"/>
    <w:rsid w:val="00AA67D6"/>
    <w:rPr>
      <w:rFonts w:ascii="Courier" w:hAnsi="Courier"/>
    </w:rPr>
  </w:style>
  <w:style w:type="paragraph" w:styleId="Revision">
    <w:name w:val="Revision"/>
    <w:hidden/>
    <w:uiPriority w:val="99"/>
    <w:semiHidden/>
    <w:rsid w:val="004A468A"/>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9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stafson.david@pbgc.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85C58-0419-4D93-BFBE-14E30341F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I:\regulatory\RM\Paperwork\ACLI_30\Rollover</vt:lpstr>
    </vt:vector>
  </TitlesOfParts>
  <Company>PBGC</Company>
  <LinksUpToDate>false</LinksUpToDate>
  <CharactersWithSpaces>4072</CharactersWithSpaces>
  <SharedDoc>false</SharedDoc>
  <HLinks>
    <vt:vector size="6" baseType="variant">
      <vt:variant>
        <vt:i4>786492</vt:i4>
      </vt:variant>
      <vt:variant>
        <vt:i4>0</vt:i4>
      </vt:variant>
      <vt:variant>
        <vt:i4>0</vt:i4>
      </vt:variant>
      <vt:variant>
        <vt:i4>5</vt:i4>
      </vt:variant>
      <vt:variant>
        <vt:lpwstr>http://www.acli.com/ACLI/Tools/Glossary/</vt:lpwstr>
      </vt:variant>
      <vt:variant>
        <vt:lpwstr>A</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I:\regulatory\RM\Paperwork\ACLI_30\Rollover</dc:title>
  <dc:creator>Jo Amato Burns</dc:creator>
  <cp:lastModifiedBy>Klion Catherine</cp:lastModifiedBy>
  <cp:revision>2</cp:revision>
  <cp:lastPrinted>2014-01-28T14:03:00Z</cp:lastPrinted>
  <dcterms:created xsi:type="dcterms:W3CDTF">2014-03-18T15:12:00Z</dcterms:created>
  <dcterms:modified xsi:type="dcterms:W3CDTF">2014-03-18T15:12:00Z</dcterms:modified>
</cp:coreProperties>
</file>