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EB2" w:rsidRPr="00F52DED" w:rsidRDefault="00CE6EB2" w:rsidP="00CE6EB2">
      <w:pPr>
        <w:jc w:val="center"/>
        <w:rPr>
          <w:rFonts w:ascii="Arial" w:hAnsi="Arial" w:cs="Arial"/>
          <w:b/>
          <w:sz w:val="32"/>
        </w:rPr>
      </w:pPr>
      <w:r w:rsidRPr="00F52DED">
        <w:rPr>
          <w:rFonts w:ascii="Arial" w:hAnsi="Arial" w:cs="Arial"/>
          <w:b/>
          <w:sz w:val="32"/>
        </w:rPr>
        <w:t xml:space="preserve">SUPPORTING STATEMENT FOR </w:t>
      </w:r>
      <w:r w:rsidRPr="00F52DED">
        <w:rPr>
          <w:rFonts w:ascii="Arial" w:hAnsi="Arial" w:cs="Arial"/>
          <w:b/>
          <w:sz w:val="32"/>
        </w:rPr>
        <w:br/>
        <w:t>PAPERWORK REDUCTION ACT SUBMISSION</w:t>
      </w:r>
    </w:p>
    <w:p w:rsidR="00CE6EB2" w:rsidRPr="00F52DED" w:rsidRDefault="00CE6EB2" w:rsidP="00CE6EB2">
      <w:pPr>
        <w:jc w:val="center"/>
        <w:rPr>
          <w:rFonts w:ascii="Arial" w:hAnsi="Arial" w:cs="Arial"/>
          <w:b/>
          <w:iCs/>
          <w:caps/>
        </w:rPr>
      </w:pPr>
    </w:p>
    <w:p w:rsidR="003B17CE" w:rsidRPr="00F52DED" w:rsidRDefault="003B17CE" w:rsidP="00CE6EB2">
      <w:pPr>
        <w:jc w:val="center"/>
        <w:rPr>
          <w:rFonts w:ascii="Arial" w:hAnsi="Arial" w:cs="Arial"/>
          <w:b/>
        </w:rPr>
      </w:pPr>
      <w:r w:rsidRPr="00F52DED">
        <w:rPr>
          <w:rFonts w:ascii="Arial" w:hAnsi="Arial" w:cs="Arial"/>
          <w:b/>
        </w:rPr>
        <w:t xml:space="preserve">Bureau of Educational and Cultural Affairs </w:t>
      </w:r>
    </w:p>
    <w:p w:rsidR="00CE6EB2" w:rsidRPr="00F52DED" w:rsidRDefault="003B17CE" w:rsidP="00CE6EB2">
      <w:pPr>
        <w:jc w:val="center"/>
        <w:rPr>
          <w:rFonts w:ascii="Arial" w:hAnsi="Arial" w:cs="Arial"/>
          <w:b/>
        </w:rPr>
      </w:pPr>
      <w:r w:rsidRPr="00F52DED">
        <w:rPr>
          <w:rFonts w:ascii="Arial" w:hAnsi="Arial" w:cs="Arial"/>
          <w:b/>
        </w:rPr>
        <w:t>Office of Policy and Evaluation</w:t>
      </w:r>
      <w:r w:rsidR="00CE6EB2" w:rsidRPr="00F52DED">
        <w:rPr>
          <w:rFonts w:ascii="Arial" w:hAnsi="Arial" w:cs="Arial"/>
          <w:b/>
        </w:rPr>
        <w:t xml:space="preserve"> </w:t>
      </w:r>
    </w:p>
    <w:p w:rsidR="008D0EC0" w:rsidRPr="00F52DED" w:rsidRDefault="008D0EC0" w:rsidP="00CE6EB2">
      <w:pPr>
        <w:jc w:val="center"/>
        <w:rPr>
          <w:rFonts w:ascii="Arial" w:hAnsi="Arial" w:cs="Arial"/>
          <w:b/>
        </w:rPr>
      </w:pPr>
      <w:r w:rsidRPr="00F52DED">
        <w:rPr>
          <w:rFonts w:ascii="Arial" w:hAnsi="Arial" w:cs="Arial"/>
          <w:b/>
        </w:rPr>
        <w:t>Evaluation Division</w:t>
      </w:r>
      <w:r w:rsidR="00A227B8" w:rsidRPr="00F52DED">
        <w:rPr>
          <w:rFonts w:ascii="Arial" w:hAnsi="Arial" w:cs="Arial"/>
          <w:b/>
        </w:rPr>
        <w:t>:</w:t>
      </w:r>
    </w:p>
    <w:p w:rsidR="00CE6EB2" w:rsidRPr="00F52DED" w:rsidRDefault="003D4E7A" w:rsidP="00CE6EB2">
      <w:pPr>
        <w:jc w:val="center"/>
        <w:rPr>
          <w:rFonts w:ascii="Arial" w:hAnsi="Arial" w:cs="Arial"/>
          <w:b/>
          <w:iCs/>
          <w:caps/>
        </w:rPr>
      </w:pPr>
      <w:r w:rsidRPr="00F52DED">
        <w:rPr>
          <w:rFonts w:ascii="Arial" w:hAnsi="Arial" w:cs="Arial"/>
          <w:b/>
        </w:rPr>
        <w:t>Gilman</w:t>
      </w:r>
      <w:r w:rsidR="00E10219" w:rsidRPr="00F52DED">
        <w:rPr>
          <w:rFonts w:ascii="Arial" w:hAnsi="Arial" w:cs="Arial"/>
          <w:b/>
        </w:rPr>
        <w:t xml:space="preserve"> </w:t>
      </w:r>
      <w:r w:rsidR="00361DCA" w:rsidRPr="00F52DED">
        <w:rPr>
          <w:rFonts w:ascii="Arial" w:hAnsi="Arial" w:cs="Arial"/>
          <w:b/>
        </w:rPr>
        <w:t xml:space="preserve">Evaluation </w:t>
      </w:r>
      <w:r w:rsidR="002B41B4" w:rsidRPr="00F52DED">
        <w:rPr>
          <w:rFonts w:ascii="Arial" w:hAnsi="Arial" w:cs="Arial"/>
          <w:b/>
        </w:rPr>
        <w:t>Survey</w:t>
      </w:r>
    </w:p>
    <w:p w:rsidR="00CE6EB2" w:rsidRPr="00F52DED" w:rsidRDefault="00CE6EB2" w:rsidP="00CE6EB2">
      <w:pPr>
        <w:jc w:val="center"/>
        <w:rPr>
          <w:rFonts w:ascii="Arial" w:hAnsi="Arial" w:cs="Arial"/>
          <w:b/>
          <w:iCs/>
          <w:caps/>
        </w:rPr>
      </w:pPr>
    </w:p>
    <w:p w:rsidR="00CE6EB2" w:rsidRPr="00F52DED" w:rsidRDefault="00CE6EB2" w:rsidP="00CE6EB2">
      <w:pPr>
        <w:jc w:val="center"/>
        <w:rPr>
          <w:rFonts w:ascii="Arial" w:hAnsi="Arial" w:cs="Arial"/>
          <w:iCs/>
          <w:caps/>
        </w:rPr>
      </w:pPr>
      <w:r w:rsidRPr="00F52DED">
        <w:rPr>
          <w:rFonts w:ascii="Arial" w:hAnsi="Arial" w:cs="Arial"/>
          <w:iCs/>
          <w:caps/>
        </w:rPr>
        <w:t>OMB Control Number: 1405-</w:t>
      </w:r>
      <w:r w:rsidR="00A227B8" w:rsidRPr="00F52DED">
        <w:rPr>
          <w:rFonts w:ascii="Arial" w:hAnsi="Arial" w:cs="Arial"/>
          <w:iCs/>
          <w:caps/>
        </w:rPr>
        <w:t>XXXX</w:t>
      </w:r>
    </w:p>
    <w:p w:rsidR="00E448C9" w:rsidRPr="00F52DED" w:rsidRDefault="007A3A0C" w:rsidP="00CE6EB2">
      <w:pPr>
        <w:jc w:val="center"/>
        <w:rPr>
          <w:rFonts w:ascii="Arial" w:hAnsi="Arial" w:cs="Arial"/>
          <w:iCs/>
          <w:caps/>
        </w:rPr>
      </w:pPr>
      <w:r w:rsidRPr="00F52DED">
        <w:rPr>
          <w:rFonts w:ascii="Arial" w:hAnsi="Arial" w:cs="Arial"/>
          <w:bCs/>
          <w:iCs/>
          <w:caps/>
        </w:rPr>
        <w:t>SV-2012-0008</w:t>
      </w:r>
    </w:p>
    <w:p w:rsidR="00CE6EB2" w:rsidRPr="00F52DED" w:rsidRDefault="00CE6EB2" w:rsidP="003B17CE">
      <w:pPr>
        <w:pStyle w:val="Heading1"/>
        <w:numPr>
          <w:ilvl w:val="0"/>
          <w:numId w:val="3"/>
        </w:numPr>
        <w:ind w:left="360"/>
        <w:rPr>
          <w:rFonts w:ascii="Arial" w:hAnsi="Arial" w:cs="Arial"/>
          <w:iCs/>
          <w:caps/>
          <w:sz w:val="20"/>
          <w:szCs w:val="20"/>
        </w:rPr>
      </w:pPr>
      <w:r w:rsidRPr="00F52DED">
        <w:rPr>
          <w:rFonts w:ascii="Arial" w:hAnsi="Arial" w:cs="Arial"/>
          <w:iCs/>
          <w:caps/>
          <w:sz w:val="20"/>
          <w:szCs w:val="20"/>
        </w:rPr>
        <w:t>Justification</w:t>
      </w:r>
    </w:p>
    <w:p w:rsidR="00436403" w:rsidRPr="00F52DED" w:rsidRDefault="00963BD2">
      <w:pPr>
        <w:numPr>
          <w:ilvl w:val="0"/>
          <w:numId w:val="5"/>
        </w:numPr>
        <w:ind w:left="360"/>
        <w:rPr>
          <w:rFonts w:ascii="Arial" w:hAnsi="Arial" w:cs="Arial"/>
          <w:sz w:val="20"/>
        </w:rPr>
      </w:pPr>
      <w:bookmarkStart w:id="0" w:name="_Toc54060550"/>
      <w:r w:rsidRPr="00F52DED">
        <w:rPr>
          <w:rFonts w:ascii="Arial" w:hAnsi="Arial" w:cs="Arial"/>
          <w:sz w:val="20"/>
        </w:rPr>
        <w:t>The Department of the State’s Bureau of Educational and Cultural Affairs (ECA), Office of Policy and Evaluation, Evaluation Division (ECA/P/V) is requesting a new information collection to conduct a new ECA</w:t>
      </w:r>
      <w:r w:rsidR="000136A4" w:rsidRPr="00F52DED">
        <w:rPr>
          <w:rFonts w:ascii="Arial" w:hAnsi="Arial" w:cs="Arial"/>
          <w:sz w:val="20"/>
        </w:rPr>
        <w:t xml:space="preserve"> survey.</w:t>
      </w:r>
      <w:r w:rsidR="00744358" w:rsidRPr="00F52DED">
        <w:rPr>
          <w:rFonts w:ascii="Arial" w:hAnsi="Arial" w:cs="Arial"/>
          <w:sz w:val="20"/>
        </w:rPr>
        <w:t xml:space="preserve"> </w:t>
      </w:r>
      <w:r w:rsidRPr="00F52DED">
        <w:rPr>
          <w:rFonts w:ascii="Arial" w:hAnsi="Arial" w:cs="Arial"/>
          <w:sz w:val="20"/>
          <w:szCs w:val="20"/>
        </w:rPr>
        <w:t>ECA evaluations to date have provided significant evidence of the</w:t>
      </w:r>
      <w:r w:rsidR="00F52DED" w:rsidRPr="00F52DED">
        <w:rPr>
          <w:rFonts w:ascii="Arial" w:hAnsi="Arial" w:cs="Arial"/>
          <w:sz w:val="20"/>
          <w:szCs w:val="20"/>
        </w:rPr>
        <w:t xml:space="preserve"> </w:t>
      </w:r>
      <w:r w:rsidR="00253DA1" w:rsidRPr="00F52DED">
        <w:rPr>
          <w:rFonts w:ascii="Arial" w:hAnsi="Arial" w:cs="Arial"/>
          <w:sz w:val="20"/>
          <w:szCs w:val="20"/>
        </w:rPr>
        <w:t xml:space="preserve">effect </w:t>
      </w:r>
      <w:r w:rsidRPr="00F52DED">
        <w:rPr>
          <w:rFonts w:ascii="Arial" w:hAnsi="Arial" w:cs="Arial"/>
          <w:sz w:val="20"/>
          <w:szCs w:val="20"/>
        </w:rPr>
        <w:t>of ECA programs on the personal and professional achievement of participants, and have identified critical changes in the institutions where they h</w:t>
      </w:r>
      <w:r w:rsidR="00855665" w:rsidRPr="00F52DED">
        <w:rPr>
          <w:rFonts w:ascii="Arial" w:hAnsi="Arial" w:cs="Arial"/>
          <w:sz w:val="20"/>
          <w:szCs w:val="20"/>
        </w:rPr>
        <w:t>ave worked</w:t>
      </w:r>
      <w:r w:rsidR="00361DCA" w:rsidRPr="00F52DED">
        <w:rPr>
          <w:rFonts w:ascii="Arial" w:hAnsi="Arial" w:cs="Arial"/>
          <w:sz w:val="20"/>
          <w:szCs w:val="20"/>
        </w:rPr>
        <w:t xml:space="preserve"> or communities with which they have engaged</w:t>
      </w:r>
      <w:r w:rsidR="00855665" w:rsidRPr="00F52DED">
        <w:rPr>
          <w:rFonts w:ascii="Arial" w:hAnsi="Arial" w:cs="Arial"/>
          <w:sz w:val="20"/>
          <w:szCs w:val="20"/>
        </w:rPr>
        <w:t xml:space="preserve">. </w:t>
      </w:r>
    </w:p>
    <w:p w:rsidR="00436403" w:rsidRPr="00F52DED" w:rsidRDefault="00436403">
      <w:pPr>
        <w:ind w:left="360"/>
        <w:rPr>
          <w:rFonts w:ascii="Arial" w:hAnsi="Arial" w:cs="Arial"/>
          <w:sz w:val="20"/>
        </w:rPr>
      </w:pPr>
    </w:p>
    <w:p w:rsidR="00436403" w:rsidRPr="00F52DED" w:rsidRDefault="00855665">
      <w:pPr>
        <w:ind w:left="360"/>
        <w:rPr>
          <w:rFonts w:ascii="Arial" w:hAnsi="Arial" w:cs="Arial"/>
          <w:sz w:val="20"/>
          <w:szCs w:val="20"/>
        </w:rPr>
      </w:pPr>
      <w:r w:rsidRPr="00F52DED">
        <w:rPr>
          <w:rFonts w:ascii="Arial" w:hAnsi="Arial" w:cs="Arial"/>
          <w:sz w:val="20"/>
          <w:szCs w:val="20"/>
        </w:rPr>
        <w:t xml:space="preserve">This new </w:t>
      </w:r>
      <w:r w:rsidR="003F33E3" w:rsidRPr="00F52DED">
        <w:rPr>
          <w:rFonts w:ascii="Arial" w:hAnsi="Arial" w:cs="Arial"/>
          <w:sz w:val="20"/>
          <w:szCs w:val="20"/>
        </w:rPr>
        <w:t xml:space="preserve">descriptive </w:t>
      </w:r>
      <w:r w:rsidRPr="00F52DED">
        <w:rPr>
          <w:rFonts w:ascii="Arial" w:hAnsi="Arial" w:cs="Arial"/>
          <w:sz w:val="20"/>
          <w:szCs w:val="20"/>
        </w:rPr>
        <w:t>evaluation w</w:t>
      </w:r>
      <w:r w:rsidR="00361DCA" w:rsidRPr="00F52DED">
        <w:rPr>
          <w:rFonts w:ascii="Arial" w:hAnsi="Arial" w:cs="Arial"/>
          <w:sz w:val="20"/>
          <w:szCs w:val="20"/>
        </w:rPr>
        <w:t>ill investigate t</w:t>
      </w:r>
      <w:r w:rsidR="00CA1FB8" w:rsidRPr="00F52DED">
        <w:rPr>
          <w:rFonts w:ascii="Arial" w:hAnsi="Arial" w:cs="Arial"/>
          <w:sz w:val="20"/>
          <w:szCs w:val="20"/>
        </w:rPr>
        <w:t xml:space="preserve">he outcomes of study abroad on </w:t>
      </w:r>
      <w:r w:rsidR="00361DCA" w:rsidRPr="00F52DED">
        <w:rPr>
          <w:rFonts w:ascii="Arial" w:hAnsi="Arial" w:cs="Arial"/>
          <w:sz w:val="20"/>
          <w:szCs w:val="20"/>
        </w:rPr>
        <w:t xml:space="preserve">recipients of the </w:t>
      </w:r>
      <w:r w:rsidR="00361DCA" w:rsidRPr="00F52DED">
        <w:rPr>
          <w:rFonts w:ascii="Arial" w:hAnsi="Arial" w:cs="Arial"/>
          <w:b/>
          <w:sz w:val="20"/>
          <w:szCs w:val="20"/>
        </w:rPr>
        <w:t xml:space="preserve">Benjamin A. Gilman </w:t>
      </w:r>
      <w:r w:rsidR="00613525" w:rsidRPr="00F52DED">
        <w:rPr>
          <w:rFonts w:ascii="Arial" w:hAnsi="Arial" w:cs="Arial"/>
          <w:b/>
          <w:sz w:val="20"/>
          <w:szCs w:val="20"/>
        </w:rPr>
        <w:t xml:space="preserve">International </w:t>
      </w:r>
      <w:r w:rsidR="00361DCA" w:rsidRPr="00F52DED">
        <w:rPr>
          <w:rFonts w:ascii="Arial" w:hAnsi="Arial" w:cs="Arial"/>
          <w:b/>
          <w:sz w:val="20"/>
          <w:szCs w:val="20"/>
        </w:rPr>
        <w:t>Scholarship</w:t>
      </w:r>
      <w:r w:rsidRPr="00F52DED">
        <w:rPr>
          <w:rFonts w:ascii="Arial" w:hAnsi="Arial" w:cs="Arial"/>
          <w:sz w:val="20"/>
          <w:szCs w:val="20"/>
        </w:rPr>
        <w:t xml:space="preserve">. </w:t>
      </w:r>
      <w:r w:rsidR="00613525" w:rsidRPr="00F52DED">
        <w:rPr>
          <w:rFonts w:ascii="Arial" w:hAnsi="Arial" w:cs="Arial"/>
          <w:sz w:val="20"/>
          <w:szCs w:val="20"/>
        </w:rPr>
        <w:t xml:space="preserve">The Gilman Scholarship, as it is more commonly known, offers grants for U.S. citizen undergraduate students of limited financial means to pursue academic study abroad, and thus provide opportunities for study abroad that would not have been possible otherwise. The Gilman Scholarship aims to support students who have been traditionally underrepresented in study abroad, including but not limited to, students with high financial need, community college students, students in under-represented fields such as the sciences and engineering, students with diverse ethnic background, and students with disabilities.  </w:t>
      </w:r>
    </w:p>
    <w:p w:rsidR="00436403" w:rsidRPr="00F52DED" w:rsidRDefault="00436403">
      <w:pPr>
        <w:ind w:left="360"/>
        <w:rPr>
          <w:rFonts w:ascii="Arial" w:hAnsi="Arial" w:cs="Arial"/>
          <w:sz w:val="20"/>
          <w:szCs w:val="20"/>
        </w:rPr>
      </w:pPr>
    </w:p>
    <w:p w:rsidR="00436403" w:rsidRPr="00F52DED" w:rsidRDefault="00361DCA">
      <w:pPr>
        <w:ind w:left="360"/>
        <w:rPr>
          <w:rFonts w:ascii="Arial" w:hAnsi="Arial" w:cs="Arial"/>
          <w:sz w:val="20"/>
        </w:rPr>
      </w:pPr>
      <w:r w:rsidRPr="00F52DED">
        <w:rPr>
          <w:rFonts w:ascii="Arial" w:hAnsi="Arial" w:cs="Arial"/>
          <w:sz w:val="20"/>
          <w:szCs w:val="20"/>
        </w:rPr>
        <w:t xml:space="preserve">This </w:t>
      </w:r>
      <w:r w:rsidR="00844B44" w:rsidRPr="00F52DED">
        <w:rPr>
          <w:rFonts w:ascii="Arial" w:hAnsi="Arial" w:cs="Arial"/>
          <w:sz w:val="20"/>
          <w:szCs w:val="20"/>
        </w:rPr>
        <w:t xml:space="preserve">survey </w:t>
      </w:r>
      <w:r w:rsidRPr="00F52DED">
        <w:rPr>
          <w:rFonts w:ascii="Arial" w:hAnsi="Arial" w:cs="Arial"/>
          <w:sz w:val="20"/>
          <w:szCs w:val="20"/>
        </w:rPr>
        <w:t xml:space="preserve">will review the experiences of </w:t>
      </w:r>
      <w:r w:rsidR="00613525" w:rsidRPr="00F52DED">
        <w:rPr>
          <w:rFonts w:ascii="Arial" w:hAnsi="Arial" w:cs="Arial"/>
          <w:sz w:val="20"/>
          <w:szCs w:val="20"/>
        </w:rPr>
        <w:t xml:space="preserve">grant recipients </w:t>
      </w:r>
      <w:r w:rsidR="00CA1FB8" w:rsidRPr="00F52DED">
        <w:rPr>
          <w:rFonts w:ascii="Arial" w:hAnsi="Arial" w:cs="Arial"/>
          <w:sz w:val="20"/>
          <w:szCs w:val="20"/>
        </w:rPr>
        <w:t xml:space="preserve">while abroad; probe ways in which </w:t>
      </w:r>
      <w:r w:rsidRPr="00F52DED">
        <w:rPr>
          <w:rFonts w:ascii="Arial" w:hAnsi="Arial" w:cs="Arial"/>
          <w:sz w:val="20"/>
          <w:szCs w:val="20"/>
        </w:rPr>
        <w:t xml:space="preserve">they shared what they learned with family, peers, and other community members upon returning to the </w:t>
      </w:r>
      <w:r w:rsidR="00D04560" w:rsidRPr="00F52DED">
        <w:rPr>
          <w:rFonts w:ascii="Arial" w:hAnsi="Arial" w:cs="Arial"/>
          <w:sz w:val="20"/>
          <w:szCs w:val="20"/>
        </w:rPr>
        <w:t>United States;</w:t>
      </w:r>
      <w:r w:rsidRPr="00F52DED">
        <w:rPr>
          <w:rFonts w:ascii="Arial" w:hAnsi="Arial" w:cs="Arial"/>
          <w:sz w:val="20"/>
          <w:szCs w:val="20"/>
        </w:rPr>
        <w:t xml:space="preserve"> and </w:t>
      </w:r>
      <w:r w:rsidR="002D49B5" w:rsidRPr="00F52DED">
        <w:rPr>
          <w:rFonts w:ascii="Arial" w:hAnsi="Arial" w:cs="Arial"/>
          <w:sz w:val="20"/>
          <w:szCs w:val="20"/>
        </w:rPr>
        <w:t xml:space="preserve">investigate </w:t>
      </w:r>
      <w:r w:rsidR="00CA1FB8" w:rsidRPr="00F52DED">
        <w:rPr>
          <w:rFonts w:ascii="Arial" w:hAnsi="Arial" w:cs="Arial"/>
          <w:sz w:val="20"/>
          <w:szCs w:val="20"/>
        </w:rPr>
        <w:t xml:space="preserve">whether </w:t>
      </w:r>
      <w:r w:rsidRPr="00F52DED">
        <w:rPr>
          <w:rFonts w:ascii="Arial" w:hAnsi="Arial" w:cs="Arial"/>
          <w:sz w:val="20"/>
          <w:szCs w:val="20"/>
        </w:rPr>
        <w:t>the international experience factored into their subsequent educational and professional choices.</w:t>
      </w:r>
      <w:r w:rsidRPr="00F52DED">
        <w:rPr>
          <w:rFonts w:ascii="Arial" w:hAnsi="Arial" w:cs="Arial"/>
          <w:sz w:val="20"/>
        </w:rPr>
        <w:t xml:space="preserve"> </w:t>
      </w:r>
    </w:p>
    <w:p w:rsidR="00436403" w:rsidRPr="00F52DED" w:rsidRDefault="00436403">
      <w:pPr>
        <w:ind w:left="360"/>
        <w:rPr>
          <w:rFonts w:ascii="Arial" w:hAnsi="Arial" w:cs="Arial"/>
          <w:sz w:val="20"/>
        </w:rPr>
      </w:pPr>
    </w:p>
    <w:p w:rsidR="00436403" w:rsidRPr="00F52DED" w:rsidRDefault="00963BD2">
      <w:pPr>
        <w:ind w:left="360"/>
        <w:rPr>
          <w:rFonts w:ascii="Arial" w:hAnsi="Arial" w:cs="Arial"/>
          <w:sz w:val="20"/>
          <w:szCs w:val="20"/>
        </w:rPr>
      </w:pPr>
      <w:r w:rsidRPr="00F52DED">
        <w:rPr>
          <w:rFonts w:ascii="Arial" w:hAnsi="Arial" w:cs="Arial"/>
          <w:sz w:val="20"/>
        </w:rPr>
        <w:t>This info</w:t>
      </w:r>
      <w:r w:rsidR="00CA1FB8" w:rsidRPr="00F52DED">
        <w:rPr>
          <w:rFonts w:ascii="Arial" w:hAnsi="Arial" w:cs="Arial"/>
          <w:sz w:val="20"/>
        </w:rPr>
        <w:t xml:space="preserve">rmation collection will </w:t>
      </w:r>
      <w:r w:rsidR="00994444" w:rsidRPr="00F52DED">
        <w:rPr>
          <w:rFonts w:ascii="Arial" w:hAnsi="Arial" w:cs="Arial"/>
          <w:sz w:val="20"/>
        </w:rPr>
        <w:t xml:space="preserve">be conducted once, and </w:t>
      </w:r>
      <w:r w:rsidR="00D04560" w:rsidRPr="00F52DED">
        <w:rPr>
          <w:rFonts w:ascii="Arial" w:hAnsi="Arial" w:cs="Arial"/>
          <w:sz w:val="20"/>
        </w:rPr>
        <w:t xml:space="preserve">will </w:t>
      </w:r>
      <w:r w:rsidR="00994444" w:rsidRPr="00F52DED">
        <w:rPr>
          <w:rFonts w:ascii="Arial" w:hAnsi="Arial" w:cs="Arial"/>
          <w:sz w:val="20"/>
        </w:rPr>
        <w:t xml:space="preserve">be </w:t>
      </w:r>
      <w:r w:rsidR="00CA1FB8" w:rsidRPr="00F52DED">
        <w:rPr>
          <w:rFonts w:ascii="Arial" w:hAnsi="Arial" w:cs="Arial"/>
          <w:sz w:val="20"/>
        </w:rPr>
        <w:t>comprise</w:t>
      </w:r>
      <w:r w:rsidR="00994444" w:rsidRPr="00F52DED">
        <w:rPr>
          <w:rFonts w:ascii="Arial" w:hAnsi="Arial" w:cs="Arial"/>
          <w:sz w:val="20"/>
        </w:rPr>
        <w:t>d of</w:t>
      </w:r>
      <w:r w:rsidR="00CA1FB8" w:rsidRPr="00F52DED">
        <w:rPr>
          <w:rFonts w:ascii="Arial" w:hAnsi="Arial" w:cs="Arial"/>
          <w:sz w:val="20"/>
        </w:rPr>
        <w:t xml:space="preserve"> </w:t>
      </w:r>
      <w:r w:rsidRPr="00F52DED">
        <w:rPr>
          <w:rFonts w:ascii="Arial" w:hAnsi="Arial" w:cs="Arial"/>
          <w:sz w:val="20"/>
        </w:rPr>
        <w:t>one</w:t>
      </w:r>
      <w:r w:rsidR="00613525" w:rsidRPr="00F52DED">
        <w:rPr>
          <w:rFonts w:ascii="Arial" w:hAnsi="Arial" w:cs="Arial"/>
          <w:sz w:val="20"/>
        </w:rPr>
        <w:t xml:space="preserve"> survey sent to all grant recipients who studied abroad during the nine-year period </w:t>
      </w:r>
      <w:r w:rsidR="00CA1FB8" w:rsidRPr="00F52DED">
        <w:rPr>
          <w:rFonts w:ascii="Arial" w:hAnsi="Arial" w:cs="Arial"/>
          <w:sz w:val="20"/>
        </w:rPr>
        <w:t xml:space="preserve">spanning </w:t>
      </w:r>
      <w:r w:rsidR="00613525" w:rsidRPr="00F52DED">
        <w:rPr>
          <w:rFonts w:ascii="Arial" w:hAnsi="Arial" w:cs="Arial"/>
          <w:sz w:val="20"/>
        </w:rPr>
        <w:t>the 2002/</w:t>
      </w:r>
      <w:r w:rsidR="005A2405" w:rsidRPr="00F52DED">
        <w:rPr>
          <w:rFonts w:ascii="Arial" w:hAnsi="Arial" w:cs="Arial"/>
          <w:sz w:val="20"/>
        </w:rPr>
        <w:t>200</w:t>
      </w:r>
      <w:r w:rsidR="00CA1FB8" w:rsidRPr="00F52DED">
        <w:rPr>
          <w:rFonts w:ascii="Arial" w:hAnsi="Arial" w:cs="Arial"/>
          <w:sz w:val="20"/>
        </w:rPr>
        <w:t>3 and 2010/</w:t>
      </w:r>
      <w:r w:rsidR="005A2405" w:rsidRPr="00F52DED">
        <w:rPr>
          <w:rFonts w:ascii="Arial" w:hAnsi="Arial" w:cs="Arial"/>
          <w:sz w:val="20"/>
        </w:rPr>
        <w:t>20</w:t>
      </w:r>
      <w:r w:rsidR="00CA1FB8" w:rsidRPr="00F52DED">
        <w:rPr>
          <w:rFonts w:ascii="Arial" w:hAnsi="Arial" w:cs="Arial"/>
          <w:sz w:val="20"/>
        </w:rPr>
        <w:t>1</w:t>
      </w:r>
      <w:r w:rsidR="00A908DF" w:rsidRPr="00F52DED">
        <w:rPr>
          <w:rFonts w:ascii="Arial" w:hAnsi="Arial" w:cs="Arial"/>
          <w:sz w:val="20"/>
        </w:rPr>
        <w:t>1</w:t>
      </w:r>
      <w:r w:rsidR="00613525" w:rsidRPr="00F52DED">
        <w:rPr>
          <w:rFonts w:ascii="Arial" w:hAnsi="Arial" w:cs="Arial"/>
          <w:sz w:val="20"/>
        </w:rPr>
        <w:t xml:space="preserve"> academic years.</w:t>
      </w:r>
      <w:r w:rsidR="00BA1446" w:rsidRPr="00F52DED">
        <w:rPr>
          <w:rFonts w:ascii="Arial" w:hAnsi="Arial" w:cs="Arial"/>
          <w:sz w:val="20"/>
          <w:szCs w:val="20"/>
        </w:rPr>
        <w:t xml:space="preserve"> </w:t>
      </w:r>
    </w:p>
    <w:p w:rsidR="00436403" w:rsidRPr="00F52DED" w:rsidRDefault="00436403">
      <w:pPr>
        <w:ind w:left="360"/>
        <w:rPr>
          <w:rFonts w:ascii="Arial" w:hAnsi="Arial" w:cs="Arial"/>
          <w:sz w:val="20"/>
          <w:szCs w:val="20"/>
        </w:rPr>
      </w:pPr>
    </w:p>
    <w:p w:rsidR="00436403" w:rsidRPr="00F52DED" w:rsidRDefault="006B3D6A">
      <w:pPr>
        <w:ind w:left="360"/>
        <w:rPr>
          <w:rFonts w:ascii="Arial" w:hAnsi="Arial" w:cs="Arial"/>
          <w:sz w:val="20"/>
          <w:szCs w:val="20"/>
        </w:rPr>
      </w:pPr>
      <w:r w:rsidRPr="00F52DED">
        <w:rPr>
          <w:rFonts w:ascii="Arial" w:hAnsi="Arial" w:cs="Arial"/>
          <w:sz w:val="20"/>
          <w:szCs w:val="20"/>
        </w:rPr>
        <w:t xml:space="preserve">The </w:t>
      </w:r>
      <w:r w:rsidR="00CE6EB2" w:rsidRPr="00F52DED">
        <w:rPr>
          <w:rFonts w:ascii="Arial" w:hAnsi="Arial" w:cs="Arial"/>
          <w:sz w:val="20"/>
          <w:szCs w:val="20"/>
        </w:rPr>
        <w:t xml:space="preserve">data </w:t>
      </w:r>
      <w:r w:rsidRPr="00F52DED">
        <w:rPr>
          <w:rFonts w:ascii="Arial" w:hAnsi="Arial" w:cs="Arial"/>
          <w:sz w:val="20"/>
          <w:szCs w:val="20"/>
        </w:rPr>
        <w:t xml:space="preserve">captured </w:t>
      </w:r>
      <w:r w:rsidR="006F498A" w:rsidRPr="00F52DED">
        <w:rPr>
          <w:rFonts w:ascii="Arial" w:hAnsi="Arial" w:cs="Arial"/>
          <w:sz w:val="20"/>
          <w:szCs w:val="20"/>
        </w:rPr>
        <w:t>will</w:t>
      </w:r>
      <w:r w:rsidR="00CE6EB2" w:rsidRPr="00F52DED">
        <w:rPr>
          <w:rFonts w:ascii="Arial" w:hAnsi="Arial" w:cs="Arial"/>
          <w:sz w:val="20"/>
          <w:szCs w:val="20"/>
        </w:rPr>
        <w:t xml:space="preserve"> help </w:t>
      </w:r>
      <w:r w:rsidR="00BF1335" w:rsidRPr="00F52DED">
        <w:rPr>
          <w:rFonts w:ascii="Arial" w:hAnsi="Arial" w:cs="Arial"/>
          <w:sz w:val="20"/>
          <w:szCs w:val="20"/>
        </w:rPr>
        <w:t xml:space="preserve">the Department </w:t>
      </w:r>
      <w:r w:rsidR="0013746E" w:rsidRPr="00F52DED">
        <w:rPr>
          <w:rFonts w:ascii="Arial" w:hAnsi="Arial" w:cs="Arial"/>
          <w:sz w:val="20"/>
          <w:szCs w:val="20"/>
        </w:rPr>
        <w:t xml:space="preserve">and </w:t>
      </w:r>
      <w:r w:rsidR="00D620A6" w:rsidRPr="00F52DED">
        <w:rPr>
          <w:rFonts w:ascii="Arial" w:hAnsi="Arial" w:cs="Arial"/>
          <w:sz w:val="20"/>
          <w:szCs w:val="20"/>
        </w:rPr>
        <w:t>ECA Bureau</w:t>
      </w:r>
      <w:r w:rsidR="0013746E" w:rsidRPr="00F52DED">
        <w:rPr>
          <w:rFonts w:ascii="Arial" w:hAnsi="Arial" w:cs="Arial"/>
          <w:sz w:val="20"/>
          <w:szCs w:val="20"/>
        </w:rPr>
        <w:t xml:space="preserve"> </w:t>
      </w:r>
      <w:r w:rsidRPr="00F52DED">
        <w:rPr>
          <w:rFonts w:ascii="Arial" w:hAnsi="Arial" w:cs="Arial"/>
          <w:sz w:val="20"/>
          <w:szCs w:val="20"/>
        </w:rPr>
        <w:t xml:space="preserve">successfully </w:t>
      </w:r>
      <w:r w:rsidR="0013746E" w:rsidRPr="00F52DED">
        <w:rPr>
          <w:rFonts w:ascii="Arial" w:hAnsi="Arial" w:cs="Arial"/>
          <w:sz w:val="20"/>
          <w:szCs w:val="20"/>
        </w:rPr>
        <w:t xml:space="preserve">meet </w:t>
      </w:r>
      <w:r w:rsidR="00CE6EB2" w:rsidRPr="00F52DED">
        <w:rPr>
          <w:rFonts w:ascii="Arial" w:hAnsi="Arial" w:cs="Arial"/>
          <w:sz w:val="20"/>
          <w:szCs w:val="20"/>
        </w:rPr>
        <w:t xml:space="preserve">organizational performance and accountability </w:t>
      </w:r>
      <w:r w:rsidRPr="00F52DED">
        <w:rPr>
          <w:rFonts w:ascii="Arial" w:hAnsi="Arial" w:cs="Arial"/>
          <w:sz w:val="20"/>
          <w:szCs w:val="20"/>
        </w:rPr>
        <w:t>goals</w:t>
      </w:r>
      <w:r w:rsidR="008D0EC0" w:rsidRPr="00F52DED">
        <w:rPr>
          <w:rFonts w:ascii="Arial" w:hAnsi="Arial" w:cs="Arial"/>
          <w:sz w:val="20"/>
          <w:szCs w:val="20"/>
        </w:rPr>
        <w:t xml:space="preserve"> established</w:t>
      </w:r>
      <w:r w:rsidRPr="00F52DED">
        <w:rPr>
          <w:rFonts w:ascii="Arial" w:hAnsi="Arial" w:cs="Arial"/>
          <w:sz w:val="20"/>
          <w:szCs w:val="20"/>
        </w:rPr>
        <w:t xml:space="preserve"> </w:t>
      </w:r>
      <w:r w:rsidR="00CE6EB2" w:rsidRPr="00F52DED">
        <w:rPr>
          <w:rFonts w:ascii="Arial" w:hAnsi="Arial" w:cs="Arial"/>
          <w:sz w:val="20"/>
          <w:szCs w:val="20"/>
        </w:rPr>
        <w:t xml:space="preserve">through </w:t>
      </w:r>
      <w:r w:rsidR="0013746E" w:rsidRPr="00F52DED">
        <w:rPr>
          <w:rFonts w:ascii="Arial" w:hAnsi="Arial" w:cs="Arial"/>
          <w:sz w:val="20"/>
          <w:szCs w:val="20"/>
        </w:rPr>
        <w:t>the mandates</w:t>
      </w:r>
      <w:r w:rsidR="00D04560" w:rsidRPr="00F52DED">
        <w:rPr>
          <w:rFonts w:ascii="Arial" w:hAnsi="Arial" w:cs="Arial"/>
          <w:sz w:val="20"/>
          <w:szCs w:val="20"/>
        </w:rPr>
        <w:t xml:space="preserve"> contained in the following authorities;</w:t>
      </w:r>
      <w:r w:rsidR="0013746E" w:rsidRPr="00F52DED">
        <w:rPr>
          <w:rFonts w:ascii="Arial" w:hAnsi="Arial" w:cs="Arial"/>
          <w:sz w:val="20"/>
          <w:szCs w:val="20"/>
        </w:rPr>
        <w:t xml:space="preserve"> </w:t>
      </w:r>
    </w:p>
    <w:p w:rsidR="00436403" w:rsidRPr="00F52DED" w:rsidRDefault="00436403">
      <w:pPr>
        <w:ind w:left="360"/>
        <w:rPr>
          <w:rFonts w:ascii="Arial" w:hAnsi="Arial" w:cs="Arial"/>
          <w:sz w:val="20"/>
          <w:szCs w:val="20"/>
        </w:rPr>
      </w:pPr>
    </w:p>
    <w:p w:rsidR="00436403" w:rsidRPr="00F52DED" w:rsidRDefault="0044321F">
      <w:pPr>
        <w:numPr>
          <w:ilvl w:val="0"/>
          <w:numId w:val="16"/>
        </w:numPr>
        <w:ind w:left="720" w:hanging="270"/>
        <w:rPr>
          <w:rFonts w:ascii="Arial" w:hAnsi="Arial" w:cs="Arial"/>
          <w:sz w:val="20"/>
          <w:szCs w:val="20"/>
        </w:rPr>
      </w:pPr>
      <w:r w:rsidRPr="00F52DED">
        <w:rPr>
          <w:rFonts w:ascii="Arial" w:hAnsi="Arial" w:cs="Arial"/>
          <w:sz w:val="20"/>
          <w:szCs w:val="20"/>
        </w:rPr>
        <w:t>Mutual Educational and Cultural Exchange Act of 1961, as amended (also known as the</w:t>
      </w:r>
      <w:r w:rsidRPr="00F52DED">
        <w:rPr>
          <w:rFonts w:ascii="Arial" w:hAnsi="Arial" w:cs="Arial"/>
          <w:color w:val="0000FF"/>
          <w:sz w:val="20"/>
          <w:szCs w:val="20"/>
        </w:rPr>
        <w:t xml:space="preserve"> </w:t>
      </w:r>
      <w:r w:rsidRPr="00F52DED">
        <w:rPr>
          <w:rFonts w:ascii="Arial" w:hAnsi="Arial" w:cs="Arial"/>
          <w:sz w:val="20"/>
          <w:szCs w:val="20"/>
        </w:rPr>
        <w:t xml:space="preserve">Fulbright-Hays Act) (22 U.S.C. 2451 </w:t>
      </w:r>
      <w:r w:rsidRPr="00F52DED">
        <w:rPr>
          <w:rFonts w:ascii="Arial" w:hAnsi="Arial" w:cs="Arial"/>
          <w:i/>
          <w:iCs/>
          <w:sz w:val="20"/>
          <w:szCs w:val="20"/>
        </w:rPr>
        <w:t>et seq</w:t>
      </w:r>
      <w:r w:rsidRPr="00F52DED">
        <w:rPr>
          <w:rFonts w:ascii="Arial" w:hAnsi="Arial" w:cs="Arial"/>
          <w:iCs/>
          <w:sz w:val="20"/>
          <w:szCs w:val="20"/>
        </w:rPr>
        <w:t>.)</w:t>
      </w:r>
    </w:p>
    <w:p w:rsidR="0044321F" w:rsidRPr="00F52DED" w:rsidRDefault="00F20AF4" w:rsidP="00D61AAA">
      <w:pPr>
        <w:tabs>
          <w:tab w:val="left" w:pos="720"/>
        </w:tabs>
        <w:ind w:left="720"/>
        <w:rPr>
          <w:rFonts w:ascii="Arial" w:hAnsi="Arial" w:cs="Arial"/>
          <w:sz w:val="20"/>
          <w:szCs w:val="20"/>
        </w:rPr>
      </w:pPr>
      <w:hyperlink r:id="rId12" w:history="1">
        <w:r w:rsidR="0044321F" w:rsidRPr="00F52DED">
          <w:rPr>
            <w:rStyle w:val="Hyperlink"/>
            <w:rFonts w:ascii="Arial" w:hAnsi="Arial" w:cs="Arial"/>
            <w:sz w:val="20"/>
            <w:szCs w:val="20"/>
          </w:rPr>
          <w:t>http://www2.ed.gov/about/offices/list/ope/iegps/fulbrighthaysact.pdf</w:t>
        </w:r>
      </w:hyperlink>
    </w:p>
    <w:p w:rsidR="0044321F" w:rsidRPr="00F52DED" w:rsidRDefault="0044321F" w:rsidP="00D61AAA">
      <w:pPr>
        <w:ind w:left="720"/>
        <w:rPr>
          <w:rFonts w:ascii="Arial" w:hAnsi="Arial" w:cs="Arial"/>
          <w:sz w:val="20"/>
          <w:szCs w:val="20"/>
        </w:rPr>
      </w:pPr>
    </w:p>
    <w:p w:rsidR="0044321F" w:rsidRPr="00F52DED" w:rsidRDefault="0044321F" w:rsidP="00D61AAA">
      <w:pPr>
        <w:numPr>
          <w:ilvl w:val="0"/>
          <w:numId w:val="2"/>
        </w:numPr>
        <w:tabs>
          <w:tab w:val="clear" w:pos="576"/>
          <w:tab w:val="num" w:pos="720"/>
        </w:tabs>
        <w:ind w:left="720"/>
        <w:rPr>
          <w:rFonts w:ascii="Arial" w:hAnsi="Arial" w:cs="Arial"/>
          <w:sz w:val="20"/>
          <w:szCs w:val="20"/>
        </w:rPr>
      </w:pPr>
      <w:r w:rsidRPr="00F52DED">
        <w:rPr>
          <w:rFonts w:ascii="Arial" w:hAnsi="Arial" w:cs="Arial"/>
          <w:sz w:val="20"/>
          <w:szCs w:val="20"/>
          <w:u w:val="single"/>
        </w:rPr>
        <w:t>Government Performance and Results Act of 1993 (GPRA)</w:t>
      </w:r>
      <w:r w:rsidRPr="00F52DED">
        <w:rPr>
          <w:rFonts w:ascii="Arial" w:hAnsi="Arial" w:cs="Arial"/>
          <w:sz w:val="20"/>
          <w:szCs w:val="20"/>
        </w:rPr>
        <w:t xml:space="preserve"> </w:t>
      </w:r>
    </w:p>
    <w:p w:rsidR="00FC440D" w:rsidRPr="00F52DED" w:rsidRDefault="00F20AF4" w:rsidP="00D61AAA">
      <w:pPr>
        <w:ind w:left="720"/>
        <w:rPr>
          <w:rFonts w:ascii="Arial" w:hAnsi="Arial" w:cs="Arial"/>
        </w:rPr>
      </w:pPr>
      <w:hyperlink r:id="rId13" w:history="1">
        <w:r w:rsidR="0044321F" w:rsidRPr="00F52DED">
          <w:rPr>
            <w:rStyle w:val="Hyperlink"/>
            <w:rFonts w:ascii="Arial" w:hAnsi="Arial" w:cs="Arial"/>
            <w:sz w:val="20"/>
            <w:szCs w:val="20"/>
          </w:rPr>
          <w:t>http://www.whitehouse.gov/omb/mgmt-gpra/gplaw2m.html</w:t>
        </w:r>
      </w:hyperlink>
    </w:p>
    <w:p w:rsidR="00FC440D" w:rsidRPr="00F52DED" w:rsidRDefault="00FC440D" w:rsidP="00D61AAA">
      <w:pPr>
        <w:ind w:left="720"/>
        <w:rPr>
          <w:rFonts w:ascii="Arial" w:hAnsi="Arial" w:cs="Arial"/>
        </w:rPr>
      </w:pPr>
    </w:p>
    <w:p w:rsidR="00436403" w:rsidRPr="00F52DED" w:rsidRDefault="00FC440D">
      <w:pPr>
        <w:numPr>
          <w:ilvl w:val="0"/>
          <w:numId w:val="2"/>
        </w:numPr>
        <w:tabs>
          <w:tab w:val="clear" w:pos="576"/>
          <w:tab w:val="num" w:pos="720"/>
        </w:tabs>
        <w:ind w:left="720"/>
        <w:rPr>
          <w:rFonts w:ascii="Arial" w:hAnsi="Arial" w:cs="Arial"/>
        </w:rPr>
      </w:pPr>
      <w:r w:rsidRPr="00F52DED">
        <w:rPr>
          <w:rFonts w:ascii="Arial" w:hAnsi="Arial" w:cs="Arial"/>
          <w:sz w:val="20"/>
          <w:szCs w:val="20"/>
          <w:u w:val="single"/>
        </w:rPr>
        <w:t>Government Performance and Results Modernization Act of 2010</w:t>
      </w:r>
    </w:p>
    <w:p w:rsidR="00C56145" w:rsidRPr="00F52DED" w:rsidRDefault="00F20AF4">
      <w:pPr>
        <w:pStyle w:val="Heading2"/>
        <w:shd w:val="clear" w:color="auto" w:fill="FAFAFA"/>
        <w:spacing w:before="0" w:beforeAutospacing="0" w:after="0" w:afterAutospacing="0"/>
        <w:ind w:left="806"/>
        <w:rPr>
          <w:rFonts w:ascii="Arial" w:hAnsi="Arial" w:cs="Arial"/>
          <w:b w:val="0"/>
          <w:sz w:val="20"/>
          <w:szCs w:val="20"/>
        </w:rPr>
      </w:pPr>
      <w:hyperlink r:id="rId14" w:history="1">
        <w:r w:rsidR="00B914FF" w:rsidRPr="00F52DED">
          <w:rPr>
            <w:rStyle w:val="Hyperlink"/>
            <w:rFonts w:ascii="Arial" w:hAnsi="Arial" w:cs="Arial"/>
            <w:b w:val="0"/>
            <w:sz w:val="20"/>
            <w:szCs w:val="20"/>
          </w:rPr>
          <w:t>http://www.whitehouse.gov/omb/performance/gprm-act</w:t>
        </w:r>
      </w:hyperlink>
    </w:p>
    <w:p w:rsidR="00C56145" w:rsidRPr="00F52DED" w:rsidRDefault="00C56145">
      <w:pPr>
        <w:rPr>
          <w:rFonts w:ascii="Arial" w:hAnsi="Arial" w:cs="Arial"/>
          <w:sz w:val="20"/>
          <w:szCs w:val="20"/>
        </w:rPr>
      </w:pPr>
    </w:p>
    <w:p w:rsidR="00C56145" w:rsidRPr="00F52DED" w:rsidRDefault="00D620A6">
      <w:pPr>
        <w:numPr>
          <w:ilvl w:val="0"/>
          <w:numId w:val="16"/>
        </w:numPr>
        <w:ind w:left="720" w:hanging="270"/>
        <w:rPr>
          <w:rFonts w:ascii="Arial" w:hAnsi="Arial" w:cs="Arial"/>
          <w:sz w:val="20"/>
          <w:szCs w:val="20"/>
          <w:u w:val="single"/>
        </w:rPr>
      </w:pPr>
      <w:r w:rsidRPr="00F52DED">
        <w:rPr>
          <w:rFonts w:ascii="Arial" w:hAnsi="Arial" w:cs="Arial"/>
          <w:sz w:val="20"/>
          <w:szCs w:val="20"/>
          <w:u w:val="single"/>
        </w:rPr>
        <w:t xml:space="preserve">OMB </w:t>
      </w:r>
      <w:r w:rsidR="00D04560" w:rsidRPr="00F52DED">
        <w:rPr>
          <w:rFonts w:ascii="Arial" w:hAnsi="Arial" w:cs="Arial"/>
          <w:sz w:val="20"/>
          <w:szCs w:val="20"/>
          <w:u w:val="single"/>
        </w:rPr>
        <w:t xml:space="preserve">Memo M-10-01, </w:t>
      </w:r>
      <w:r w:rsidRPr="00F52DED">
        <w:rPr>
          <w:rFonts w:ascii="Arial" w:hAnsi="Arial" w:cs="Arial"/>
          <w:i/>
          <w:iCs/>
          <w:sz w:val="20"/>
          <w:szCs w:val="20"/>
          <w:u w:val="single"/>
        </w:rPr>
        <w:t>Increased Emphasis on Program Evaluations</w:t>
      </w:r>
    </w:p>
    <w:p w:rsidR="00C56145" w:rsidRPr="00F52DED" w:rsidRDefault="00F20AF4">
      <w:pPr>
        <w:ind w:left="720"/>
        <w:rPr>
          <w:rFonts w:ascii="Arial" w:hAnsi="Arial" w:cs="Arial"/>
          <w:sz w:val="20"/>
          <w:szCs w:val="20"/>
        </w:rPr>
      </w:pPr>
      <w:hyperlink r:id="rId15" w:history="1">
        <w:r w:rsidR="00D620A6" w:rsidRPr="00F52DED">
          <w:rPr>
            <w:rStyle w:val="Hyperlink"/>
            <w:rFonts w:ascii="Arial" w:hAnsi="Arial" w:cs="Arial"/>
            <w:sz w:val="20"/>
            <w:szCs w:val="20"/>
          </w:rPr>
          <w:t>http://www.whitehouse.gov/sites/default/files/omb/assets/memoranda_2010/m10-01.pdf</w:t>
        </w:r>
      </w:hyperlink>
      <w:r w:rsidR="00D620A6" w:rsidRPr="00F52DED">
        <w:rPr>
          <w:rFonts w:ascii="Arial" w:hAnsi="Arial" w:cs="Arial"/>
          <w:sz w:val="20"/>
          <w:szCs w:val="20"/>
        </w:rPr>
        <w:t xml:space="preserve"> </w:t>
      </w:r>
    </w:p>
    <w:p w:rsidR="00436403" w:rsidRPr="00F52DED" w:rsidRDefault="008D0EC0">
      <w:pPr>
        <w:ind w:left="720"/>
        <w:rPr>
          <w:rFonts w:ascii="Arial" w:hAnsi="Arial" w:cs="Arial"/>
          <w:sz w:val="20"/>
          <w:szCs w:val="20"/>
        </w:rPr>
      </w:pPr>
      <w:bookmarkStart w:id="1" w:name="_Toc54060551"/>
      <w:bookmarkEnd w:id="0"/>
      <w:r w:rsidRPr="00F52DED">
        <w:rPr>
          <w:rFonts w:ascii="Arial" w:hAnsi="Arial" w:cs="Arial"/>
          <w:sz w:val="20"/>
          <w:szCs w:val="20"/>
        </w:rPr>
        <w:lastRenderedPageBreak/>
        <w:t>As stated in the memo, “</w:t>
      </w:r>
      <w:r w:rsidR="00D620A6" w:rsidRPr="00F52DED">
        <w:rPr>
          <w:rFonts w:ascii="Arial" w:hAnsi="Arial" w:cs="Arial"/>
          <w:sz w:val="20"/>
          <w:szCs w:val="20"/>
        </w:rPr>
        <w:t xml:space="preserve">OMB will work with agencies to make information readily available online about all Federal evaluations focused on program impacts that are planned or already underway” as part of a three-pronged effort to strengthen government-wide program evaluation efforts. </w:t>
      </w:r>
      <w:r w:rsidR="0065757F" w:rsidRPr="00F52DED">
        <w:rPr>
          <w:rFonts w:ascii="Arial" w:hAnsi="Arial" w:cs="Arial"/>
          <w:sz w:val="20"/>
          <w:szCs w:val="20"/>
        </w:rPr>
        <w:t xml:space="preserve"> </w:t>
      </w:r>
      <w:r w:rsidR="00D620A6" w:rsidRPr="00F52DED">
        <w:rPr>
          <w:rFonts w:ascii="Arial" w:hAnsi="Arial" w:cs="Arial"/>
          <w:sz w:val="20"/>
          <w:szCs w:val="20"/>
        </w:rPr>
        <w:t>The guidance noted that public availability of program evaluation information will promote transparency, since agency program evaluations will be made pub</w:t>
      </w:r>
      <w:r w:rsidR="001E6AF9" w:rsidRPr="00F52DED">
        <w:rPr>
          <w:rFonts w:ascii="Arial" w:hAnsi="Arial" w:cs="Arial"/>
          <w:sz w:val="20"/>
          <w:szCs w:val="20"/>
        </w:rPr>
        <w:t xml:space="preserve">lic regardless of the results. </w:t>
      </w:r>
    </w:p>
    <w:p w:rsidR="00221B64" w:rsidRPr="00F52DED" w:rsidRDefault="00221B64" w:rsidP="00D61AAA">
      <w:pPr>
        <w:rPr>
          <w:rFonts w:ascii="Arial" w:hAnsi="Arial" w:cs="Arial"/>
          <w:sz w:val="20"/>
          <w:szCs w:val="20"/>
        </w:rPr>
      </w:pPr>
    </w:p>
    <w:bookmarkEnd w:id="1"/>
    <w:p w:rsidR="00436403" w:rsidRPr="00F52DED" w:rsidRDefault="00720826">
      <w:pPr>
        <w:numPr>
          <w:ilvl w:val="0"/>
          <w:numId w:val="5"/>
        </w:numPr>
        <w:ind w:left="360"/>
        <w:rPr>
          <w:rFonts w:ascii="Arial" w:hAnsi="Arial" w:cs="Arial"/>
          <w:sz w:val="20"/>
          <w:szCs w:val="20"/>
        </w:rPr>
      </w:pPr>
      <w:r w:rsidRPr="00F52DED">
        <w:rPr>
          <w:rFonts w:ascii="Arial" w:hAnsi="Arial" w:cs="Arial"/>
          <w:sz w:val="20"/>
          <w:szCs w:val="20"/>
        </w:rPr>
        <w:t xml:space="preserve">The primary purpose of this information collection is to provide ECA/P/V with the ability to </w:t>
      </w:r>
      <w:r w:rsidR="007E3D19" w:rsidRPr="00F52DED">
        <w:rPr>
          <w:rFonts w:ascii="Arial" w:hAnsi="Arial" w:cs="Arial"/>
          <w:sz w:val="20"/>
          <w:szCs w:val="20"/>
        </w:rPr>
        <w:t>assess</w:t>
      </w:r>
      <w:r w:rsidR="00026408" w:rsidRPr="00F52DED">
        <w:rPr>
          <w:rFonts w:ascii="Arial" w:hAnsi="Arial" w:cs="Arial"/>
          <w:sz w:val="20"/>
          <w:szCs w:val="20"/>
        </w:rPr>
        <w:t xml:space="preserve"> the</w:t>
      </w:r>
      <w:r w:rsidRPr="00F52DED">
        <w:rPr>
          <w:rFonts w:ascii="Arial" w:hAnsi="Arial" w:cs="Arial"/>
          <w:sz w:val="20"/>
          <w:szCs w:val="20"/>
        </w:rPr>
        <w:t xml:space="preserve"> </w:t>
      </w:r>
      <w:r w:rsidR="003A4C86" w:rsidRPr="00F52DED">
        <w:rPr>
          <w:rFonts w:ascii="Arial" w:hAnsi="Arial" w:cs="Arial"/>
          <w:sz w:val="20"/>
          <w:szCs w:val="20"/>
        </w:rPr>
        <w:t>Gilman</w:t>
      </w:r>
      <w:r w:rsidR="00113606" w:rsidRPr="00F52DED">
        <w:rPr>
          <w:rFonts w:ascii="Arial" w:hAnsi="Arial" w:cs="Arial"/>
          <w:sz w:val="20"/>
          <w:szCs w:val="20"/>
        </w:rPr>
        <w:t xml:space="preserve"> </w:t>
      </w:r>
      <w:r w:rsidR="000136A4" w:rsidRPr="00F52DED">
        <w:rPr>
          <w:rFonts w:ascii="Arial" w:hAnsi="Arial" w:cs="Arial"/>
          <w:sz w:val="20"/>
          <w:szCs w:val="20"/>
        </w:rPr>
        <w:t xml:space="preserve">Scholarship </w:t>
      </w:r>
      <w:r w:rsidR="00113606" w:rsidRPr="00F52DED">
        <w:rPr>
          <w:rFonts w:ascii="Arial" w:hAnsi="Arial" w:cs="Arial"/>
          <w:sz w:val="20"/>
          <w:szCs w:val="20"/>
        </w:rPr>
        <w:t>program</w:t>
      </w:r>
      <w:r w:rsidRPr="00F52DED">
        <w:rPr>
          <w:rFonts w:ascii="Arial" w:hAnsi="Arial" w:cs="Arial"/>
          <w:sz w:val="20"/>
          <w:szCs w:val="20"/>
        </w:rPr>
        <w:t xml:space="preserve"> in </w:t>
      </w:r>
      <w:r w:rsidR="007E3D19" w:rsidRPr="00F52DED">
        <w:rPr>
          <w:rFonts w:ascii="Arial" w:hAnsi="Arial" w:cs="Arial"/>
          <w:sz w:val="20"/>
          <w:szCs w:val="20"/>
        </w:rPr>
        <w:t xml:space="preserve">accordance with </w:t>
      </w:r>
      <w:r w:rsidRPr="00F52DED">
        <w:rPr>
          <w:rFonts w:ascii="Arial" w:hAnsi="Arial" w:cs="Arial"/>
          <w:sz w:val="20"/>
          <w:szCs w:val="20"/>
        </w:rPr>
        <w:t xml:space="preserve">GPRA, as well as OMB </w:t>
      </w:r>
      <w:r w:rsidR="000F2C82" w:rsidRPr="00F52DED">
        <w:rPr>
          <w:rFonts w:ascii="Arial" w:hAnsi="Arial" w:cs="Arial"/>
          <w:sz w:val="20"/>
          <w:szCs w:val="20"/>
        </w:rPr>
        <w:t>G</w:t>
      </w:r>
      <w:r w:rsidR="00C2085C" w:rsidRPr="00F52DED">
        <w:rPr>
          <w:rFonts w:ascii="Arial" w:hAnsi="Arial" w:cs="Arial"/>
          <w:sz w:val="20"/>
          <w:szCs w:val="20"/>
        </w:rPr>
        <w:t>uidance, and</w:t>
      </w:r>
      <w:r w:rsidR="00C2085C" w:rsidRPr="00F52DED">
        <w:rPr>
          <w:rFonts w:ascii="Arial" w:hAnsi="Arial" w:cs="Arial"/>
          <w:color w:val="1F497D"/>
          <w:sz w:val="20"/>
          <w:szCs w:val="20"/>
        </w:rPr>
        <w:t xml:space="preserve"> </w:t>
      </w:r>
      <w:r w:rsidR="00DF615E" w:rsidRPr="00F52DED">
        <w:rPr>
          <w:rFonts w:ascii="Arial" w:hAnsi="Arial" w:cs="Arial"/>
          <w:sz w:val="20"/>
          <w:szCs w:val="20"/>
        </w:rPr>
        <w:t>Executive Orders</w:t>
      </w:r>
      <w:r w:rsidRPr="00F52DED">
        <w:rPr>
          <w:rFonts w:ascii="Arial" w:hAnsi="Arial" w:cs="Arial"/>
          <w:sz w:val="20"/>
          <w:szCs w:val="20"/>
        </w:rPr>
        <w:t xml:space="preserve">.  The data collected will inform </w:t>
      </w:r>
      <w:r w:rsidR="00026408" w:rsidRPr="00F52DED">
        <w:rPr>
          <w:rFonts w:ascii="Arial" w:hAnsi="Arial" w:cs="Arial"/>
          <w:sz w:val="20"/>
          <w:szCs w:val="20"/>
        </w:rPr>
        <w:t xml:space="preserve">the Program Offices </w:t>
      </w:r>
      <w:r w:rsidR="000B4FF2" w:rsidRPr="00F52DED">
        <w:rPr>
          <w:rFonts w:ascii="Arial" w:hAnsi="Arial" w:cs="Arial"/>
          <w:sz w:val="20"/>
          <w:szCs w:val="20"/>
        </w:rPr>
        <w:t>as to</w:t>
      </w:r>
      <w:r w:rsidRPr="00F52DED">
        <w:rPr>
          <w:rFonts w:ascii="Arial" w:hAnsi="Arial" w:cs="Arial"/>
          <w:sz w:val="20"/>
          <w:szCs w:val="20"/>
        </w:rPr>
        <w:t xml:space="preserve"> program management and future design</w:t>
      </w:r>
      <w:r w:rsidR="00026408" w:rsidRPr="00F52DED">
        <w:rPr>
          <w:rFonts w:ascii="Arial" w:hAnsi="Arial" w:cs="Arial"/>
          <w:sz w:val="20"/>
          <w:szCs w:val="20"/>
        </w:rPr>
        <w:t xml:space="preserve"> issues or </w:t>
      </w:r>
      <w:r w:rsidR="0034528B" w:rsidRPr="00F52DED">
        <w:rPr>
          <w:rFonts w:ascii="Arial" w:hAnsi="Arial" w:cs="Arial"/>
          <w:sz w:val="20"/>
          <w:szCs w:val="20"/>
        </w:rPr>
        <w:t>adjustments</w:t>
      </w:r>
      <w:r w:rsidRPr="00F52DED">
        <w:rPr>
          <w:rFonts w:ascii="Arial" w:hAnsi="Arial" w:cs="Arial"/>
          <w:sz w:val="20"/>
          <w:szCs w:val="20"/>
        </w:rPr>
        <w:t>, program planning, results reporting, information dissemination and outreach initiatives.</w:t>
      </w:r>
    </w:p>
    <w:p w:rsidR="00436403" w:rsidRPr="00F52DED" w:rsidRDefault="00436403">
      <w:pPr>
        <w:ind w:left="360"/>
        <w:rPr>
          <w:rFonts w:ascii="Arial" w:hAnsi="Arial" w:cs="Arial"/>
          <w:sz w:val="20"/>
          <w:szCs w:val="20"/>
        </w:rPr>
      </w:pPr>
    </w:p>
    <w:p w:rsidR="00436403" w:rsidRPr="00F52DED" w:rsidRDefault="00A908DF">
      <w:pPr>
        <w:ind w:left="360"/>
        <w:rPr>
          <w:rFonts w:ascii="Arial" w:hAnsi="Arial" w:cs="Arial"/>
          <w:sz w:val="20"/>
          <w:szCs w:val="20"/>
        </w:rPr>
      </w:pPr>
      <w:r w:rsidRPr="00F52DED">
        <w:rPr>
          <w:rFonts w:ascii="Arial" w:hAnsi="Arial" w:cs="Arial"/>
          <w:sz w:val="20"/>
          <w:szCs w:val="20"/>
        </w:rPr>
        <w:t>T</w:t>
      </w:r>
      <w:r w:rsidR="00963BD2" w:rsidRPr="00F52DED">
        <w:rPr>
          <w:rFonts w:ascii="Arial" w:hAnsi="Arial" w:cs="Arial"/>
          <w:sz w:val="20"/>
          <w:szCs w:val="20"/>
        </w:rPr>
        <w:t xml:space="preserve">his </w:t>
      </w:r>
      <w:r w:rsidR="002A6F0A" w:rsidRPr="00F52DED">
        <w:rPr>
          <w:rFonts w:ascii="Arial" w:hAnsi="Arial" w:cs="Arial"/>
          <w:sz w:val="20"/>
          <w:szCs w:val="20"/>
        </w:rPr>
        <w:t xml:space="preserve">study </w:t>
      </w:r>
      <w:r w:rsidR="00963BD2" w:rsidRPr="00F52DED">
        <w:rPr>
          <w:rFonts w:ascii="Arial" w:hAnsi="Arial" w:cs="Arial"/>
          <w:sz w:val="20"/>
          <w:szCs w:val="20"/>
        </w:rPr>
        <w:t xml:space="preserve">will </w:t>
      </w:r>
      <w:r w:rsidR="00026408" w:rsidRPr="00F52DED">
        <w:rPr>
          <w:rFonts w:ascii="Arial" w:hAnsi="Arial" w:cs="Arial"/>
          <w:sz w:val="20"/>
          <w:szCs w:val="20"/>
        </w:rPr>
        <w:t>examine</w:t>
      </w:r>
      <w:r w:rsidR="00963BD2" w:rsidRPr="00F52DED">
        <w:rPr>
          <w:rFonts w:ascii="Arial" w:hAnsi="Arial" w:cs="Arial"/>
          <w:sz w:val="20"/>
          <w:szCs w:val="20"/>
        </w:rPr>
        <w:t xml:space="preserve"> </w:t>
      </w:r>
      <w:r w:rsidR="002D49B5" w:rsidRPr="00F52DED">
        <w:rPr>
          <w:rFonts w:ascii="Arial" w:hAnsi="Arial" w:cs="Arial"/>
          <w:sz w:val="20"/>
          <w:szCs w:val="20"/>
        </w:rPr>
        <w:t>the international experiences of Gilman Schola</w:t>
      </w:r>
      <w:r w:rsidR="00D472CF" w:rsidRPr="00F52DED">
        <w:rPr>
          <w:rFonts w:ascii="Arial" w:hAnsi="Arial" w:cs="Arial"/>
          <w:sz w:val="20"/>
          <w:szCs w:val="20"/>
        </w:rPr>
        <w:t>rship recipients, the i</w:t>
      </w:r>
      <w:r w:rsidR="00A47949" w:rsidRPr="00F52DED">
        <w:rPr>
          <w:rFonts w:ascii="Arial" w:hAnsi="Arial" w:cs="Arial"/>
          <w:sz w:val="20"/>
          <w:szCs w:val="20"/>
        </w:rPr>
        <w:t>nfluence of study abroad on</w:t>
      </w:r>
      <w:r w:rsidR="00D472CF" w:rsidRPr="00F52DED">
        <w:rPr>
          <w:rFonts w:ascii="Arial" w:hAnsi="Arial" w:cs="Arial"/>
          <w:sz w:val="20"/>
          <w:szCs w:val="20"/>
        </w:rPr>
        <w:t xml:space="preserve"> their personal lives, and their contributions to their communities in the </w:t>
      </w:r>
      <w:r w:rsidR="00D04560" w:rsidRPr="00F52DED">
        <w:rPr>
          <w:rFonts w:ascii="Arial" w:hAnsi="Arial" w:cs="Arial"/>
          <w:sz w:val="20"/>
          <w:szCs w:val="20"/>
        </w:rPr>
        <w:t>United States</w:t>
      </w:r>
      <w:r w:rsidR="00D472CF" w:rsidRPr="00F52DED">
        <w:rPr>
          <w:rFonts w:ascii="Arial" w:hAnsi="Arial" w:cs="Arial"/>
          <w:sz w:val="20"/>
          <w:szCs w:val="20"/>
        </w:rPr>
        <w:t xml:space="preserve"> </w:t>
      </w:r>
      <w:r w:rsidR="00EE6A63" w:rsidRPr="00F52DED">
        <w:rPr>
          <w:rFonts w:ascii="Arial" w:hAnsi="Arial" w:cs="Arial"/>
          <w:sz w:val="20"/>
          <w:szCs w:val="20"/>
        </w:rPr>
        <w:t>after</w:t>
      </w:r>
      <w:r w:rsidR="00D472CF" w:rsidRPr="00F52DED">
        <w:rPr>
          <w:rFonts w:ascii="Arial" w:hAnsi="Arial" w:cs="Arial"/>
          <w:sz w:val="20"/>
          <w:szCs w:val="20"/>
        </w:rPr>
        <w:t xml:space="preserve"> studying abroad.</w:t>
      </w:r>
      <w:r w:rsidR="00963BD2" w:rsidRPr="00F52DED">
        <w:rPr>
          <w:rFonts w:ascii="Arial" w:hAnsi="Arial" w:cs="Arial"/>
          <w:sz w:val="20"/>
          <w:szCs w:val="20"/>
        </w:rPr>
        <w:t xml:space="preserve"> It will provide State Department leadership, ECA senior management, and program officers with data</w:t>
      </w:r>
      <w:r w:rsidR="00026408" w:rsidRPr="00F52DED">
        <w:rPr>
          <w:rFonts w:ascii="Arial" w:hAnsi="Arial" w:cs="Arial"/>
          <w:sz w:val="20"/>
          <w:szCs w:val="20"/>
        </w:rPr>
        <w:t xml:space="preserve"> they currently do not have,</w:t>
      </w:r>
      <w:r w:rsidR="00963BD2" w:rsidRPr="00F52DED">
        <w:rPr>
          <w:rFonts w:ascii="Arial" w:hAnsi="Arial" w:cs="Arial"/>
          <w:sz w:val="20"/>
          <w:szCs w:val="20"/>
        </w:rPr>
        <w:t xml:space="preserve"> and </w:t>
      </w:r>
      <w:r w:rsidR="000B4FF2" w:rsidRPr="00F52DED">
        <w:rPr>
          <w:rFonts w:ascii="Arial" w:hAnsi="Arial" w:cs="Arial"/>
          <w:sz w:val="20"/>
          <w:szCs w:val="20"/>
        </w:rPr>
        <w:t xml:space="preserve">with </w:t>
      </w:r>
      <w:r w:rsidR="00963BD2" w:rsidRPr="00F52DED">
        <w:rPr>
          <w:rFonts w:ascii="Arial" w:hAnsi="Arial" w:cs="Arial"/>
          <w:sz w:val="20"/>
          <w:szCs w:val="20"/>
        </w:rPr>
        <w:t xml:space="preserve">analyses that can </w:t>
      </w:r>
      <w:r w:rsidR="00026408" w:rsidRPr="00F52DED">
        <w:rPr>
          <w:rFonts w:ascii="Arial" w:hAnsi="Arial" w:cs="Arial"/>
          <w:sz w:val="20"/>
          <w:szCs w:val="20"/>
        </w:rPr>
        <w:t xml:space="preserve">potentially </w:t>
      </w:r>
      <w:r w:rsidR="00963BD2" w:rsidRPr="00F52DED">
        <w:rPr>
          <w:rFonts w:ascii="Arial" w:hAnsi="Arial" w:cs="Arial"/>
          <w:sz w:val="20"/>
          <w:szCs w:val="20"/>
        </w:rPr>
        <w:t xml:space="preserve">be used to design new programs, improve </w:t>
      </w:r>
      <w:r w:rsidR="00BF1335" w:rsidRPr="00F52DED">
        <w:rPr>
          <w:rFonts w:ascii="Arial" w:hAnsi="Arial" w:cs="Arial"/>
          <w:sz w:val="20"/>
          <w:szCs w:val="20"/>
        </w:rPr>
        <w:t xml:space="preserve">existing </w:t>
      </w:r>
      <w:r w:rsidR="000B4FF2" w:rsidRPr="00F52DED">
        <w:rPr>
          <w:rFonts w:ascii="Arial" w:hAnsi="Arial" w:cs="Arial"/>
          <w:sz w:val="20"/>
          <w:szCs w:val="20"/>
        </w:rPr>
        <w:t>programs, and to shed light on</w:t>
      </w:r>
      <w:r w:rsidR="00963BD2" w:rsidRPr="00F52DED">
        <w:rPr>
          <w:rFonts w:ascii="Arial" w:hAnsi="Arial" w:cs="Arial"/>
          <w:sz w:val="20"/>
          <w:szCs w:val="20"/>
        </w:rPr>
        <w:t xml:space="preserve"> ongoing and future activities.</w:t>
      </w:r>
    </w:p>
    <w:p w:rsidR="00963BD2" w:rsidRPr="00F52DED" w:rsidRDefault="00963BD2" w:rsidP="00D61AAA">
      <w:pPr>
        <w:rPr>
          <w:rFonts w:ascii="Arial" w:hAnsi="Arial" w:cs="Arial"/>
          <w:sz w:val="20"/>
          <w:szCs w:val="20"/>
        </w:rPr>
      </w:pPr>
    </w:p>
    <w:p w:rsidR="00436403" w:rsidRPr="00F52DED" w:rsidRDefault="00963BD2">
      <w:pPr>
        <w:ind w:left="360"/>
        <w:rPr>
          <w:rFonts w:ascii="Arial" w:hAnsi="Arial" w:cs="Arial"/>
          <w:sz w:val="20"/>
          <w:szCs w:val="20"/>
        </w:rPr>
      </w:pPr>
      <w:r w:rsidRPr="00F52DED">
        <w:rPr>
          <w:rFonts w:ascii="Arial" w:hAnsi="Arial" w:cs="Arial"/>
          <w:iCs/>
          <w:sz w:val="20"/>
          <w:szCs w:val="20"/>
        </w:rPr>
        <w:t xml:space="preserve">This </w:t>
      </w:r>
      <w:r w:rsidR="002A6F0A" w:rsidRPr="00F52DED">
        <w:rPr>
          <w:rFonts w:ascii="Arial" w:hAnsi="Arial" w:cs="Arial"/>
          <w:iCs/>
          <w:sz w:val="20"/>
          <w:szCs w:val="20"/>
        </w:rPr>
        <w:t xml:space="preserve">study </w:t>
      </w:r>
      <w:r w:rsidRPr="00F52DED">
        <w:rPr>
          <w:rFonts w:ascii="Arial" w:hAnsi="Arial" w:cs="Arial"/>
          <w:iCs/>
          <w:sz w:val="20"/>
          <w:szCs w:val="20"/>
        </w:rPr>
        <w:t>will assess achievement of program goals only to the extent to which they are reflected in the major research questions below.</w:t>
      </w:r>
      <w:r w:rsidRPr="00F52DED">
        <w:rPr>
          <w:rFonts w:ascii="Arial" w:hAnsi="Arial" w:cs="Arial"/>
          <w:i/>
          <w:iCs/>
        </w:rPr>
        <w:t xml:space="preserve"> </w:t>
      </w:r>
      <w:r w:rsidRPr="00F52DED">
        <w:rPr>
          <w:rFonts w:ascii="Arial" w:hAnsi="Arial" w:cs="Arial"/>
          <w:sz w:val="20"/>
          <w:szCs w:val="20"/>
        </w:rPr>
        <w:t>The table below list</w:t>
      </w:r>
      <w:r w:rsidR="00113606" w:rsidRPr="00F52DED">
        <w:rPr>
          <w:rFonts w:ascii="Arial" w:hAnsi="Arial" w:cs="Arial"/>
          <w:sz w:val="20"/>
          <w:szCs w:val="20"/>
        </w:rPr>
        <w:t>s</w:t>
      </w:r>
      <w:r w:rsidRPr="00F52DED">
        <w:rPr>
          <w:rFonts w:ascii="Arial" w:hAnsi="Arial" w:cs="Arial"/>
          <w:sz w:val="20"/>
          <w:szCs w:val="20"/>
        </w:rPr>
        <w:t xml:space="preserve"> the major research questions developed for this </w:t>
      </w:r>
      <w:r w:rsidR="00F962A9" w:rsidRPr="00F52DED">
        <w:rPr>
          <w:rFonts w:ascii="Arial" w:hAnsi="Arial" w:cs="Arial"/>
          <w:sz w:val="20"/>
          <w:szCs w:val="20"/>
        </w:rPr>
        <w:t>e</w:t>
      </w:r>
      <w:r w:rsidRPr="00F52DED">
        <w:rPr>
          <w:rFonts w:ascii="Arial" w:hAnsi="Arial" w:cs="Arial"/>
          <w:sz w:val="20"/>
          <w:szCs w:val="20"/>
        </w:rPr>
        <w:t>valuation</w:t>
      </w:r>
      <w:r w:rsidR="003A4C86" w:rsidRPr="00F52DED">
        <w:rPr>
          <w:rFonts w:ascii="Arial" w:hAnsi="Arial" w:cs="Arial"/>
          <w:sz w:val="20"/>
          <w:szCs w:val="20"/>
        </w:rPr>
        <w:t>, the outcome measures</w:t>
      </w:r>
      <w:r w:rsidR="00BA1446" w:rsidRPr="00F52DED">
        <w:rPr>
          <w:rFonts w:ascii="Arial" w:hAnsi="Arial" w:cs="Arial"/>
          <w:sz w:val="20"/>
          <w:szCs w:val="20"/>
        </w:rPr>
        <w:t xml:space="preserve"> that may be </w:t>
      </w:r>
      <w:r w:rsidR="00125975" w:rsidRPr="00F52DED">
        <w:rPr>
          <w:rFonts w:ascii="Arial" w:hAnsi="Arial" w:cs="Arial"/>
          <w:sz w:val="20"/>
          <w:szCs w:val="20"/>
        </w:rPr>
        <w:t>assessed</w:t>
      </w:r>
      <w:r w:rsidRPr="00F52DED">
        <w:rPr>
          <w:rFonts w:ascii="Arial" w:hAnsi="Arial" w:cs="Arial"/>
          <w:sz w:val="20"/>
          <w:szCs w:val="20"/>
        </w:rPr>
        <w:t>, and provide</w:t>
      </w:r>
      <w:r w:rsidR="00D04560" w:rsidRPr="00F52DED">
        <w:rPr>
          <w:rFonts w:ascii="Arial" w:hAnsi="Arial" w:cs="Arial"/>
          <w:sz w:val="20"/>
          <w:szCs w:val="20"/>
        </w:rPr>
        <w:t>s</w:t>
      </w:r>
      <w:r w:rsidRPr="00F52DED">
        <w:rPr>
          <w:rFonts w:ascii="Arial" w:hAnsi="Arial" w:cs="Arial"/>
          <w:sz w:val="20"/>
          <w:szCs w:val="20"/>
        </w:rPr>
        <w:t xml:space="preserve"> contextual information for understanding the </w:t>
      </w:r>
      <w:r w:rsidR="00026408" w:rsidRPr="00F52DED">
        <w:rPr>
          <w:rFonts w:ascii="Arial" w:hAnsi="Arial" w:cs="Arial"/>
          <w:sz w:val="20"/>
          <w:szCs w:val="20"/>
        </w:rPr>
        <w:t xml:space="preserve">affects </w:t>
      </w:r>
      <w:r w:rsidRPr="00F52DED">
        <w:rPr>
          <w:rFonts w:ascii="Arial" w:hAnsi="Arial" w:cs="Arial"/>
          <w:sz w:val="20"/>
          <w:szCs w:val="20"/>
        </w:rPr>
        <w:t xml:space="preserve">of </w:t>
      </w:r>
      <w:r w:rsidR="00113606" w:rsidRPr="00F52DED">
        <w:rPr>
          <w:rFonts w:ascii="Arial" w:hAnsi="Arial" w:cs="Arial"/>
          <w:sz w:val="20"/>
          <w:szCs w:val="20"/>
        </w:rPr>
        <w:t>this</w:t>
      </w:r>
      <w:r w:rsidR="00BA1446" w:rsidRPr="00F52DED">
        <w:rPr>
          <w:rFonts w:ascii="Arial" w:hAnsi="Arial" w:cs="Arial"/>
          <w:sz w:val="20"/>
          <w:szCs w:val="20"/>
        </w:rPr>
        <w:t xml:space="preserve"> </w:t>
      </w:r>
      <w:r w:rsidR="00113606" w:rsidRPr="00F52DED">
        <w:rPr>
          <w:rFonts w:ascii="Arial" w:hAnsi="Arial" w:cs="Arial"/>
          <w:sz w:val="20"/>
          <w:szCs w:val="20"/>
        </w:rPr>
        <w:t>exchange program</w:t>
      </w:r>
      <w:r w:rsidRPr="00F52DED">
        <w:rPr>
          <w:rFonts w:ascii="Arial" w:hAnsi="Arial" w:cs="Arial"/>
          <w:sz w:val="20"/>
          <w:szCs w:val="20"/>
        </w:rPr>
        <w:t>.</w:t>
      </w:r>
      <w:r w:rsidR="00E832D7" w:rsidRPr="00F52DED">
        <w:rPr>
          <w:rFonts w:ascii="Arial" w:hAnsi="Arial" w:cs="Arial"/>
          <w:sz w:val="20"/>
          <w:szCs w:val="20"/>
        </w:rPr>
        <w:t xml:space="preserve"> The data source </w:t>
      </w:r>
      <w:r w:rsidR="00BA1446" w:rsidRPr="00F52DED">
        <w:rPr>
          <w:rFonts w:ascii="Arial" w:hAnsi="Arial" w:cs="Arial"/>
          <w:sz w:val="20"/>
          <w:szCs w:val="20"/>
        </w:rPr>
        <w:t xml:space="preserve">that will be used to answer </w:t>
      </w:r>
      <w:r w:rsidR="00E832D7" w:rsidRPr="00F52DED">
        <w:rPr>
          <w:rFonts w:ascii="Arial" w:hAnsi="Arial" w:cs="Arial"/>
          <w:sz w:val="20"/>
          <w:szCs w:val="20"/>
        </w:rPr>
        <w:t>all of the major research questions will be the</w:t>
      </w:r>
      <w:r w:rsidR="00026408" w:rsidRPr="00F52DED">
        <w:rPr>
          <w:rFonts w:ascii="Arial" w:hAnsi="Arial" w:cs="Arial"/>
          <w:sz w:val="20"/>
          <w:szCs w:val="20"/>
        </w:rPr>
        <w:t xml:space="preserve"> </w:t>
      </w:r>
      <w:r w:rsidR="00113606" w:rsidRPr="00F52DED">
        <w:rPr>
          <w:rFonts w:ascii="Arial" w:hAnsi="Arial" w:cs="Arial"/>
          <w:sz w:val="20"/>
          <w:szCs w:val="20"/>
        </w:rPr>
        <w:t>on-line survey questionnaire</w:t>
      </w:r>
      <w:r w:rsidR="00E832D7" w:rsidRPr="00F52DED">
        <w:rPr>
          <w:rFonts w:ascii="Arial" w:hAnsi="Arial" w:cs="Arial"/>
          <w:sz w:val="20"/>
          <w:szCs w:val="20"/>
        </w:rPr>
        <w:t>.</w:t>
      </w:r>
    </w:p>
    <w:p w:rsidR="00436403" w:rsidRPr="00F52DED" w:rsidRDefault="00436403">
      <w:pPr>
        <w:rPr>
          <w:rFonts w:ascii="Arial" w:hAnsi="Arial" w:cs="Arial"/>
          <w:sz w:val="20"/>
          <w:szCs w:val="20"/>
        </w:rPr>
      </w:pPr>
    </w:p>
    <w:p w:rsidR="00436403" w:rsidRPr="00F52DED" w:rsidRDefault="00312143">
      <w:pPr>
        <w:rPr>
          <w:rFonts w:ascii="Arial" w:hAnsi="Arial" w:cs="Arial"/>
          <w:b/>
          <w:sz w:val="20"/>
          <w:szCs w:val="20"/>
        </w:rPr>
      </w:pPr>
      <w:r w:rsidRPr="00F52DED">
        <w:rPr>
          <w:rFonts w:ascii="Arial" w:hAnsi="Arial" w:cs="Arial"/>
          <w:b/>
          <w:sz w:val="20"/>
          <w:szCs w:val="20"/>
        </w:rPr>
        <w:t>Table 1</w:t>
      </w:r>
    </w:p>
    <w:p w:rsidR="00312143" w:rsidRPr="00F52DED" w:rsidRDefault="00312143" w:rsidP="00D61AAA">
      <w:pPr>
        <w:rPr>
          <w:rFonts w:ascii="Arial" w:hAnsi="Arial" w:cs="Arial"/>
          <w:sz w:val="20"/>
          <w:szCs w:val="20"/>
        </w:rPr>
      </w:pPr>
    </w:p>
    <w:tbl>
      <w:tblPr>
        <w:tblW w:w="101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0"/>
        <w:gridCol w:w="4590"/>
      </w:tblGrid>
      <w:tr w:rsidR="003A4C86" w:rsidRPr="00F52DED" w:rsidTr="003A4C86">
        <w:trPr>
          <w:cantSplit/>
          <w:tblHeader/>
        </w:trPr>
        <w:tc>
          <w:tcPr>
            <w:tcW w:w="5580" w:type="dxa"/>
            <w:shd w:val="clear" w:color="auto" w:fill="D9D9D9"/>
          </w:tcPr>
          <w:p w:rsidR="00436403" w:rsidRPr="00F52DED" w:rsidRDefault="003A4C86">
            <w:pPr>
              <w:rPr>
                <w:rFonts w:ascii="Arial" w:hAnsi="Arial" w:cs="Arial"/>
                <w:b/>
              </w:rPr>
            </w:pPr>
            <w:r w:rsidRPr="00F52DED">
              <w:rPr>
                <w:rFonts w:ascii="Arial" w:hAnsi="Arial" w:cs="Arial"/>
                <w:b/>
              </w:rPr>
              <w:t xml:space="preserve">Major Research </w:t>
            </w:r>
            <w:r w:rsidR="00BB57B9" w:rsidRPr="00F52DED">
              <w:rPr>
                <w:rFonts w:ascii="Arial" w:hAnsi="Arial" w:cs="Arial"/>
                <w:b/>
              </w:rPr>
              <w:t>Questions</w:t>
            </w:r>
          </w:p>
        </w:tc>
        <w:tc>
          <w:tcPr>
            <w:tcW w:w="4590" w:type="dxa"/>
            <w:shd w:val="clear" w:color="auto" w:fill="D9D9D9"/>
          </w:tcPr>
          <w:p w:rsidR="00436403" w:rsidRPr="00F52DED" w:rsidRDefault="003A4C86">
            <w:pPr>
              <w:rPr>
                <w:rFonts w:ascii="Arial" w:hAnsi="Arial" w:cs="Arial"/>
                <w:b/>
              </w:rPr>
            </w:pPr>
            <w:r w:rsidRPr="00F52DED">
              <w:rPr>
                <w:rFonts w:ascii="Arial" w:hAnsi="Arial" w:cs="Arial"/>
                <w:b/>
              </w:rPr>
              <w:t>Outcome Measure</w:t>
            </w:r>
          </w:p>
        </w:tc>
      </w:tr>
      <w:tr w:rsidR="003A4C86" w:rsidRPr="00F52DED" w:rsidTr="003A4C86">
        <w:trPr>
          <w:cantSplit/>
        </w:trPr>
        <w:tc>
          <w:tcPr>
            <w:tcW w:w="5580" w:type="dxa"/>
          </w:tcPr>
          <w:p w:rsidR="002A7D08" w:rsidRPr="00F52DED" w:rsidRDefault="002A7D08" w:rsidP="00D61AAA">
            <w:pPr>
              <w:contextualSpacing/>
              <w:rPr>
                <w:rFonts w:ascii="Arial" w:hAnsi="Arial" w:cs="Arial"/>
                <w:sz w:val="20"/>
                <w:szCs w:val="20"/>
              </w:rPr>
            </w:pPr>
          </w:p>
          <w:p w:rsidR="003A4C86" w:rsidRPr="00F52DED" w:rsidRDefault="00BB57B9" w:rsidP="00D61AAA">
            <w:pPr>
              <w:contextualSpacing/>
              <w:rPr>
                <w:rFonts w:ascii="Arial" w:hAnsi="Arial" w:cs="Arial"/>
                <w:sz w:val="20"/>
                <w:szCs w:val="20"/>
              </w:rPr>
            </w:pPr>
            <w:r w:rsidRPr="00F52DED">
              <w:rPr>
                <w:rFonts w:ascii="Arial" w:hAnsi="Arial" w:cs="Arial"/>
                <w:sz w:val="20"/>
                <w:szCs w:val="20"/>
              </w:rPr>
              <w:t>What were the Gilman Scholars’ experience</w:t>
            </w:r>
            <w:r w:rsidR="00844B44" w:rsidRPr="00F52DED">
              <w:rPr>
                <w:rFonts w:ascii="Arial" w:hAnsi="Arial" w:cs="Arial"/>
                <w:sz w:val="20"/>
                <w:szCs w:val="20"/>
              </w:rPr>
              <w:t>s</w:t>
            </w:r>
            <w:r w:rsidRPr="00F52DED">
              <w:rPr>
                <w:rFonts w:ascii="Arial" w:hAnsi="Arial" w:cs="Arial"/>
                <w:sz w:val="20"/>
                <w:szCs w:val="20"/>
              </w:rPr>
              <w:t xml:space="preserve"> during their study abroad? What types of activities did they participate in? Did they participate in service learning activities?</w:t>
            </w:r>
            <w:r w:rsidR="003A4C86" w:rsidRPr="00F52DED">
              <w:rPr>
                <w:rFonts w:ascii="Arial" w:hAnsi="Arial" w:cs="Arial"/>
                <w:sz w:val="20"/>
                <w:szCs w:val="20"/>
              </w:rPr>
              <w:t xml:space="preserve"> </w:t>
            </w:r>
          </w:p>
        </w:tc>
        <w:tc>
          <w:tcPr>
            <w:tcW w:w="4590" w:type="dxa"/>
          </w:tcPr>
          <w:p w:rsidR="002A7D08" w:rsidRPr="00F52DED" w:rsidRDefault="002A7D08" w:rsidP="00D61AAA">
            <w:pPr>
              <w:rPr>
                <w:rFonts w:ascii="Arial" w:hAnsi="Arial" w:cs="Arial"/>
                <w:sz w:val="20"/>
                <w:szCs w:val="20"/>
              </w:rPr>
            </w:pPr>
          </w:p>
          <w:p w:rsidR="003A4C86" w:rsidRPr="00F52DED" w:rsidRDefault="003A4C86" w:rsidP="00D61AAA">
            <w:pPr>
              <w:rPr>
                <w:rFonts w:ascii="Arial" w:hAnsi="Arial" w:cs="Arial"/>
                <w:sz w:val="20"/>
                <w:szCs w:val="20"/>
              </w:rPr>
            </w:pPr>
            <w:r w:rsidRPr="00F52DED">
              <w:rPr>
                <w:rFonts w:ascii="Arial" w:hAnsi="Arial" w:cs="Arial"/>
                <w:sz w:val="20"/>
                <w:szCs w:val="20"/>
              </w:rPr>
              <w:t>Answers to questions regarding</w:t>
            </w:r>
            <w:r w:rsidR="00967897" w:rsidRPr="00F52DED">
              <w:rPr>
                <w:rFonts w:ascii="Arial" w:hAnsi="Arial" w:cs="Arial"/>
                <w:sz w:val="20"/>
                <w:szCs w:val="20"/>
              </w:rPr>
              <w:t xml:space="preserve"> Scholar</w:t>
            </w:r>
            <w:r w:rsidR="003F3451" w:rsidRPr="00F52DED">
              <w:rPr>
                <w:rFonts w:ascii="Arial" w:hAnsi="Arial" w:cs="Arial"/>
                <w:sz w:val="20"/>
                <w:szCs w:val="20"/>
              </w:rPr>
              <w:t>s</w:t>
            </w:r>
            <w:r w:rsidR="00967897" w:rsidRPr="00F52DED">
              <w:rPr>
                <w:rFonts w:ascii="Arial" w:hAnsi="Arial" w:cs="Arial"/>
                <w:sz w:val="20"/>
                <w:szCs w:val="20"/>
              </w:rPr>
              <w:t xml:space="preserve">’ study abroad experience including: language study, internships, service activities, </w:t>
            </w:r>
            <w:r w:rsidR="009A3C9B" w:rsidRPr="00F52DED">
              <w:rPr>
                <w:rFonts w:ascii="Arial" w:hAnsi="Arial" w:cs="Arial"/>
                <w:sz w:val="20"/>
                <w:szCs w:val="20"/>
              </w:rPr>
              <w:t xml:space="preserve">and </w:t>
            </w:r>
            <w:r w:rsidR="00967897" w:rsidRPr="00F52DED">
              <w:rPr>
                <w:rFonts w:ascii="Arial" w:hAnsi="Arial" w:cs="Arial"/>
                <w:sz w:val="20"/>
                <w:szCs w:val="20"/>
              </w:rPr>
              <w:t>extracurricular experiences.</w:t>
            </w:r>
          </w:p>
          <w:p w:rsidR="00967897" w:rsidRPr="00F52DED" w:rsidRDefault="00967897" w:rsidP="00D61AAA">
            <w:pPr>
              <w:rPr>
                <w:rFonts w:ascii="Arial" w:hAnsi="Arial" w:cs="Arial"/>
                <w:sz w:val="20"/>
                <w:szCs w:val="20"/>
              </w:rPr>
            </w:pPr>
          </w:p>
        </w:tc>
      </w:tr>
      <w:tr w:rsidR="003A4C86" w:rsidRPr="00F52DED" w:rsidTr="003A4C86">
        <w:trPr>
          <w:cantSplit/>
        </w:trPr>
        <w:tc>
          <w:tcPr>
            <w:tcW w:w="5580" w:type="dxa"/>
          </w:tcPr>
          <w:p w:rsidR="002A7D08" w:rsidRPr="00F52DED" w:rsidRDefault="002A7D08" w:rsidP="00D61AAA">
            <w:pPr>
              <w:spacing w:after="200" w:line="276" w:lineRule="auto"/>
              <w:contextualSpacing/>
              <w:rPr>
                <w:rFonts w:ascii="Arial" w:hAnsi="Arial" w:cs="Arial"/>
                <w:sz w:val="20"/>
                <w:szCs w:val="20"/>
              </w:rPr>
            </w:pPr>
          </w:p>
          <w:p w:rsidR="00BB57B9" w:rsidRPr="00F52DED" w:rsidRDefault="003A4D49" w:rsidP="00D61AAA">
            <w:pPr>
              <w:spacing w:after="200" w:line="276" w:lineRule="auto"/>
              <w:contextualSpacing/>
              <w:rPr>
                <w:rFonts w:ascii="Arial" w:hAnsi="Arial" w:cs="Arial"/>
                <w:sz w:val="20"/>
                <w:szCs w:val="20"/>
              </w:rPr>
            </w:pPr>
            <w:r w:rsidRPr="00F52DED">
              <w:rPr>
                <w:rFonts w:ascii="Arial" w:hAnsi="Arial" w:cs="Arial"/>
                <w:sz w:val="20"/>
                <w:szCs w:val="20"/>
              </w:rPr>
              <w:t xml:space="preserve">What educational choices have Scholars made after returning home, </w:t>
            </w:r>
            <w:r w:rsidR="00A47949" w:rsidRPr="00F52DED">
              <w:rPr>
                <w:rFonts w:ascii="Arial" w:hAnsi="Arial" w:cs="Arial"/>
                <w:sz w:val="20"/>
                <w:szCs w:val="20"/>
              </w:rPr>
              <w:t>and did the Gilman Program play a role in these choices?</w:t>
            </w:r>
          </w:p>
          <w:p w:rsidR="00BB57B9" w:rsidRPr="00F52DED" w:rsidRDefault="00BB57B9" w:rsidP="00D61AAA">
            <w:pPr>
              <w:rPr>
                <w:rFonts w:ascii="Arial" w:hAnsi="Arial" w:cs="Arial"/>
                <w:sz w:val="20"/>
                <w:szCs w:val="20"/>
              </w:rPr>
            </w:pPr>
          </w:p>
          <w:p w:rsidR="003A4C86" w:rsidRPr="00F52DED" w:rsidRDefault="003A4C86" w:rsidP="00D61AAA">
            <w:pPr>
              <w:spacing w:after="200" w:line="276" w:lineRule="auto"/>
              <w:contextualSpacing/>
              <w:rPr>
                <w:rFonts w:ascii="Arial" w:hAnsi="Arial" w:cs="Arial"/>
                <w:sz w:val="20"/>
                <w:szCs w:val="20"/>
              </w:rPr>
            </w:pPr>
            <w:r w:rsidRPr="00F52DED">
              <w:rPr>
                <w:rFonts w:ascii="Arial" w:hAnsi="Arial" w:cs="Arial"/>
                <w:sz w:val="20"/>
                <w:szCs w:val="20"/>
              </w:rPr>
              <w:t xml:space="preserve">  </w:t>
            </w:r>
          </w:p>
        </w:tc>
        <w:tc>
          <w:tcPr>
            <w:tcW w:w="4590" w:type="dxa"/>
          </w:tcPr>
          <w:p w:rsidR="002A7D08" w:rsidRPr="00F52DED" w:rsidRDefault="002A7D08" w:rsidP="00D61AAA">
            <w:pPr>
              <w:rPr>
                <w:rFonts w:ascii="Arial" w:hAnsi="Arial" w:cs="Arial"/>
                <w:sz w:val="20"/>
                <w:szCs w:val="20"/>
              </w:rPr>
            </w:pPr>
          </w:p>
          <w:p w:rsidR="00C56145" w:rsidRPr="00F52DED" w:rsidRDefault="00C47517">
            <w:pPr>
              <w:rPr>
                <w:rFonts w:ascii="Arial" w:hAnsi="Arial" w:cs="Arial"/>
                <w:sz w:val="20"/>
                <w:szCs w:val="20"/>
              </w:rPr>
            </w:pPr>
            <w:r w:rsidRPr="00F52DED">
              <w:rPr>
                <w:rFonts w:ascii="Arial" w:hAnsi="Arial" w:cs="Arial"/>
                <w:sz w:val="20"/>
                <w:szCs w:val="20"/>
              </w:rPr>
              <w:t>Answers to questions pertaining to educational choices at the undergraduate</w:t>
            </w:r>
            <w:r w:rsidR="003C682B" w:rsidRPr="00F52DED">
              <w:rPr>
                <w:rFonts w:ascii="Arial" w:hAnsi="Arial" w:cs="Arial"/>
                <w:sz w:val="20"/>
                <w:szCs w:val="20"/>
              </w:rPr>
              <w:t xml:space="preserve"> and</w:t>
            </w:r>
            <w:r w:rsidRPr="00F52DED">
              <w:rPr>
                <w:rFonts w:ascii="Arial" w:hAnsi="Arial" w:cs="Arial"/>
                <w:sz w:val="20"/>
                <w:szCs w:val="20"/>
              </w:rPr>
              <w:t xml:space="preserve"> graduate levels</w:t>
            </w:r>
            <w:r w:rsidR="00F824D1" w:rsidRPr="00F52DED">
              <w:rPr>
                <w:rFonts w:ascii="Arial" w:hAnsi="Arial" w:cs="Arial"/>
                <w:sz w:val="20"/>
                <w:szCs w:val="20"/>
              </w:rPr>
              <w:t>, including whether</w:t>
            </w:r>
            <w:r w:rsidR="003C682B" w:rsidRPr="00F52DED">
              <w:rPr>
                <w:rFonts w:ascii="Arial" w:hAnsi="Arial" w:cs="Arial"/>
                <w:sz w:val="20"/>
                <w:szCs w:val="20"/>
              </w:rPr>
              <w:t xml:space="preserve"> Gilman Scholars</w:t>
            </w:r>
            <w:r w:rsidR="00F824D1" w:rsidRPr="00F52DED">
              <w:rPr>
                <w:rFonts w:ascii="Arial" w:hAnsi="Arial" w:cs="Arial"/>
                <w:sz w:val="20"/>
                <w:szCs w:val="20"/>
              </w:rPr>
              <w:t xml:space="preserve"> </w:t>
            </w:r>
            <w:r w:rsidR="003C682B" w:rsidRPr="00F52DED">
              <w:rPr>
                <w:rFonts w:ascii="Arial" w:hAnsi="Arial" w:cs="Arial"/>
                <w:sz w:val="20"/>
                <w:szCs w:val="20"/>
              </w:rPr>
              <w:t>began taking</w:t>
            </w:r>
            <w:r w:rsidR="00F824D1" w:rsidRPr="00F52DED">
              <w:rPr>
                <w:rFonts w:ascii="Arial" w:hAnsi="Arial" w:cs="Arial"/>
                <w:sz w:val="20"/>
                <w:szCs w:val="20"/>
              </w:rPr>
              <w:t xml:space="preserve"> international subjects</w:t>
            </w:r>
            <w:r w:rsidR="003C682B" w:rsidRPr="00F52DED">
              <w:rPr>
                <w:rFonts w:ascii="Arial" w:hAnsi="Arial" w:cs="Arial"/>
                <w:sz w:val="20"/>
                <w:szCs w:val="20"/>
              </w:rPr>
              <w:t xml:space="preserve"> or area studies courses, took additional language courses, undertook international research projects, and/or participated in subsequent study abroad programs after the program.</w:t>
            </w:r>
          </w:p>
          <w:p w:rsidR="00C56145" w:rsidRPr="00F52DED" w:rsidRDefault="00C56145">
            <w:pPr>
              <w:rPr>
                <w:rFonts w:ascii="Arial" w:hAnsi="Arial" w:cs="Arial"/>
                <w:sz w:val="20"/>
                <w:szCs w:val="20"/>
              </w:rPr>
            </w:pPr>
          </w:p>
        </w:tc>
      </w:tr>
      <w:tr w:rsidR="003A4C86" w:rsidRPr="00F52DED" w:rsidTr="003A4C86">
        <w:trPr>
          <w:cantSplit/>
        </w:trPr>
        <w:tc>
          <w:tcPr>
            <w:tcW w:w="5580" w:type="dxa"/>
          </w:tcPr>
          <w:p w:rsidR="002A7D08" w:rsidRPr="00F52DED" w:rsidRDefault="002A7D08" w:rsidP="00D61AAA">
            <w:pPr>
              <w:rPr>
                <w:rFonts w:ascii="Arial" w:hAnsi="Arial" w:cs="Arial"/>
                <w:sz w:val="20"/>
                <w:szCs w:val="20"/>
              </w:rPr>
            </w:pPr>
          </w:p>
          <w:p w:rsidR="00930E37" w:rsidRPr="00F52DED" w:rsidRDefault="00405DF6" w:rsidP="00D61AAA">
            <w:pPr>
              <w:rPr>
                <w:rFonts w:ascii="Arial" w:hAnsi="Arial" w:cs="Arial"/>
                <w:sz w:val="20"/>
                <w:szCs w:val="20"/>
              </w:rPr>
            </w:pPr>
            <w:r w:rsidRPr="00F52DED">
              <w:rPr>
                <w:rFonts w:ascii="Arial" w:hAnsi="Arial" w:cs="Arial"/>
                <w:sz w:val="20"/>
                <w:szCs w:val="20"/>
              </w:rPr>
              <w:t xml:space="preserve">What are Gilman Scholars’ professional and career plans, and </w:t>
            </w:r>
            <w:r w:rsidR="00930E37" w:rsidRPr="00F52DED">
              <w:rPr>
                <w:rFonts w:ascii="Arial" w:hAnsi="Arial" w:cs="Arial"/>
                <w:sz w:val="20"/>
                <w:szCs w:val="20"/>
              </w:rPr>
              <w:t xml:space="preserve">has participation in the </w:t>
            </w:r>
            <w:r w:rsidRPr="00F52DED">
              <w:rPr>
                <w:rFonts w:ascii="Arial" w:hAnsi="Arial" w:cs="Arial"/>
                <w:sz w:val="20"/>
                <w:szCs w:val="20"/>
              </w:rPr>
              <w:t>p</w:t>
            </w:r>
            <w:r w:rsidR="00930E37" w:rsidRPr="00F52DED">
              <w:rPr>
                <w:rFonts w:ascii="Arial" w:hAnsi="Arial" w:cs="Arial"/>
                <w:sz w:val="20"/>
                <w:szCs w:val="20"/>
              </w:rPr>
              <w:t>rogram influenced the evolution</w:t>
            </w:r>
            <w:r w:rsidR="00F52DED">
              <w:rPr>
                <w:rFonts w:ascii="Arial" w:hAnsi="Arial" w:cs="Arial"/>
                <w:sz w:val="20"/>
                <w:szCs w:val="20"/>
              </w:rPr>
              <w:t xml:space="preserve"> </w:t>
            </w:r>
            <w:r w:rsidR="009B5B6C" w:rsidRPr="00F52DED">
              <w:rPr>
                <w:rFonts w:ascii="Arial" w:hAnsi="Arial" w:cs="Arial"/>
                <w:sz w:val="20"/>
                <w:szCs w:val="20"/>
              </w:rPr>
              <w:t>of these plans</w:t>
            </w:r>
            <w:r w:rsidR="00930E37" w:rsidRPr="00F52DED">
              <w:rPr>
                <w:rFonts w:ascii="Arial" w:hAnsi="Arial" w:cs="Arial"/>
                <w:sz w:val="20"/>
                <w:szCs w:val="20"/>
              </w:rPr>
              <w:t>?</w:t>
            </w:r>
          </w:p>
          <w:p w:rsidR="003A4C86" w:rsidRPr="00F52DED" w:rsidRDefault="003A4C86" w:rsidP="00D61AAA">
            <w:pPr>
              <w:rPr>
                <w:rFonts w:ascii="Arial" w:hAnsi="Arial" w:cs="Arial"/>
                <w:sz w:val="20"/>
                <w:szCs w:val="20"/>
              </w:rPr>
            </w:pPr>
          </w:p>
        </w:tc>
        <w:tc>
          <w:tcPr>
            <w:tcW w:w="4590" w:type="dxa"/>
          </w:tcPr>
          <w:p w:rsidR="002A7D08" w:rsidRPr="00F52DED" w:rsidRDefault="002A7D08" w:rsidP="00D61AAA">
            <w:pPr>
              <w:rPr>
                <w:rFonts w:ascii="Arial" w:hAnsi="Arial" w:cs="Arial"/>
                <w:sz w:val="20"/>
                <w:szCs w:val="20"/>
              </w:rPr>
            </w:pPr>
          </w:p>
          <w:p w:rsidR="003A4C86" w:rsidRPr="00F52DED" w:rsidRDefault="003A4C86" w:rsidP="00D61AAA">
            <w:pPr>
              <w:rPr>
                <w:rFonts w:ascii="Arial" w:hAnsi="Arial" w:cs="Arial"/>
                <w:sz w:val="20"/>
                <w:szCs w:val="20"/>
              </w:rPr>
            </w:pPr>
            <w:r w:rsidRPr="00F52DED">
              <w:rPr>
                <w:rFonts w:ascii="Arial" w:hAnsi="Arial" w:cs="Arial"/>
                <w:sz w:val="20"/>
                <w:szCs w:val="20"/>
              </w:rPr>
              <w:t xml:space="preserve">Answers to questions regarding </w:t>
            </w:r>
            <w:r w:rsidR="003C682B" w:rsidRPr="00F52DED">
              <w:rPr>
                <w:rFonts w:ascii="Arial" w:hAnsi="Arial" w:cs="Arial"/>
                <w:sz w:val="20"/>
                <w:szCs w:val="20"/>
              </w:rPr>
              <w:t xml:space="preserve">the professional and career paths Gilman Scholars have followed to date in terms of professional fields chosen and areas of work.  </w:t>
            </w:r>
            <w:r w:rsidR="00C12BED" w:rsidRPr="00F52DED">
              <w:rPr>
                <w:rFonts w:ascii="Arial" w:hAnsi="Arial" w:cs="Arial"/>
                <w:sz w:val="20"/>
                <w:szCs w:val="20"/>
              </w:rPr>
              <w:t>Also, whether their professional careers or career plans reflect an international emphasis or focus.</w:t>
            </w:r>
          </w:p>
          <w:p w:rsidR="00C56145" w:rsidRPr="00F52DED" w:rsidRDefault="00C56145">
            <w:pPr>
              <w:rPr>
                <w:rFonts w:ascii="Arial" w:hAnsi="Arial" w:cs="Arial"/>
                <w:sz w:val="20"/>
                <w:szCs w:val="20"/>
              </w:rPr>
            </w:pPr>
          </w:p>
        </w:tc>
      </w:tr>
      <w:tr w:rsidR="003A4C86" w:rsidRPr="00F52DED" w:rsidTr="003A4C86">
        <w:trPr>
          <w:cantSplit/>
        </w:trPr>
        <w:tc>
          <w:tcPr>
            <w:tcW w:w="5580" w:type="dxa"/>
          </w:tcPr>
          <w:p w:rsidR="002A7D08" w:rsidRPr="00F52DED" w:rsidRDefault="002A7D08" w:rsidP="00D61AAA">
            <w:pPr>
              <w:pStyle w:val="Default"/>
              <w:rPr>
                <w:rFonts w:ascii="Arial" w:hAnsi="Arial" w:cs="Arial"/>
                <w:sz w:val="20"/>
                <w:szCs w:val="20"/>
              </w:rPr>
            </w:pPr>
          </w:p>
          <w:p w:rsidR="00005B73" w:rsidRPr="00F52DED" w:rsidRDefault="00480D54" w:rsidP="00D61AAA">
            <w:pPr>
              <w:pStyle w:val="Default"/>
              <w:rPr>
                <w:rFonts w:ascii="Arial" w:hAnsi="Arial" w:cs="Arial"/>
                <w:sz w:val="20"/>
                <w:szCs w:val="20"/>
              </w:rPr>
            </w:pPr>
            <w:r w:rsidRPr="00F52DED">
              <w:rPr>
                <w:rFonts w:ascii="Arial" w:hAnsi="Arial" w:cs="Arial"/>
                <w:sz w:val="20"/>
                <w:szCs w:val="20"/>
              </w:rPr>
              <w:t>H</w:t>
            </w:r>
            <w:r w:rsidR="00005B73" w:rsidRPr="00F52DED">
              <w:rPr>
                <w:rFonts w:ascii="Arial" w:hAnsi="Arial" w:cs="Arial"/>
                <w:sz w:val="20"/>
                <w:szCs w:val="20"/>
              </w:rPr>
              <w:t xml:space="preserve">as program participation </w:t>
            </w:r>
            <w:r w:rsidRPr="00F52DED">
              <w:rPr>
                <w:rFonts w:ascii="Arial" w:hAnsi="Arial" w:cs="Arial"/>
                <w:sz w:val="20"/>
                <w:szCs w:val="20"/>
              </w:rPr>
              <w:t xml:space="preserve">influenced </w:t>
            </w:r>
            <w:r w:rsidR="00005B73" w:rsidRPr="00F52DED">
              <w:rPr>
                <w:rFonts w:ascii="Arial" w:hAnsi="Arial" w:cs="Arial"/>
                <w:sz w:val="20"/>
                <w:szCs w:val="20"/>
              </w:rPr>
              <w:t xml:space="preserve">the Gilman Scholars’ personal lives and perspectives? </w:t>
            </w:r>
          </w:p>
          <w:p w:rsidR="00744358" w:rsidRPr="00F52DED" w:rsidRDefault="00744358" w:rsidP="00D61AAA">
            <w:pPr>
              <w:pStyle w:val="Default"/>
              <w:rPr>
                <w:rFonts w:ascii="Arial" w:hAnsi="Arial" w:cs="Arial"/>
                <w:sz w:val="20"/>
                <w:szCs w:val="20"/>
              </w:rPr>
            </w:pPr>
          </w:p>
        </w:tc>
        <w:tc>
          <w:tcPr>
            <w:tcW w:w="4590" w:type="dxa"/>
          </w:tcPr>
          <w:p w:rsidR="002A7D08" w:rsidRPr="00F52DED" w:rsidRDefault="002A7D08" w:rsidP="00D61AAA">
            <w:pPr>
              <w:rPr>
                <w:rFonts w:ascii="Arial" w:hAnsi="Arial" w:cs="Arial"/>
                <w:sz w:val="20"/>
                <w:szCs w:val="20"/>
              </w:rPr>
            </w:pPr>
          </w:p>
          <w:p w:rsidR="003A4C86" w:rsidRPr="00F52DED" w:rsidRDefault="00C47517" w:rsidP="00D61AAA">
            <w:pPr>
              <w:rPr>
                <w:rFonts w:ascii="Arial" w:hAnsi="Arial" w:cs="Arial"/>
                <w:sz w:val="20"/>
                <w:szCs w:val="20"/>
              </w:rPr>
            </w:pPr>
            <w:r w:rsidRPr="00F52DED">
              <w:rPr>
                <w:rFonts w:ascii="Arial" w:hAnsi="Arial" w:cs="Arial"/>
                <w:sz w:val="20"/>
                <w:szCs w:val="20"/>
              </w:rPr>
              <w:t>Answers to questions regarding Scholar</w:t>
            </w:r>
            <w:r w:rsidR="003F3451" w:rsidRPr="00F52DED">
              <w:rPr>
                <w:rFonts w:ascii="Arial" w:hAnsi="Arial" w:cs="Arial"/>
                <w:sz w:val="20"/>
                <w:szCs w:val="20"/>
              </w:rPr>
              <w:t>s</w:t>
            </w:r>
            <w:r w:rsidRPr="00F52DED">
              <w:rPr>
                <w:rFonts w:ascii="Arial" w:hAnsi="Arial" w:cs="Arial"/>
                <w:sz w:val="20"/>
                <w:szCs w:val="20"/>
              </w:rPr>
              <w:t>’ continued engagement with individuals in their host country; interactions with family, friends, peers, and other community members about their international experience.</w:t>
            </w:r>
          </w:p>
          <w:p w:rsidR="00C56145" w:rsidRPr="00F52DED" w:rsidRDefault="00C56145">
            <w:pPr>
              <w:rPr>
                <w:rFonts w:ascii="Arial" w:hAnsi="Arial" w:cs="Arial"/>
                <w:sz w:val="20"/>
                <w:szCs w:val="20"/>
              </w:rPr>
            </w:pPr>
          </w:p>
        </w:tc>
      </w:tr>
      <w:tr w:rsidR="002A7D08" w:rsidRPr="00F52DED" w:rsidTr="003A4C86">
        <w:trPr>
          <w:cantSplit/>
        </w:trPr>
        <w:tc>
          <w:tcPr>
            <w:tcW w:w="5580" w:type="dxa"/>
          </w:tcPr>
          <w:p w:rsidR="002A7D08" w:rsidRPr="00F52DED" w:rsidRDefault="002A7D08" w:rsidP="00D61AAA">
            <w:pPr>
              <w:pStyle w:val="Default"/>
              <w:rPr>
                <w:rFonts w:ascii="Arial" w:hAnsi="Arial" w:cs="Arial"/>
                <w:sz w:val="20"/>
                <w:szCs w:val="20"/>
              </w:rPr>
            </w:pPr>
          </w:p>
          <w:p w:rsidR="002A7D08" w:rsidRPr="00F52DED" w:rsidRDefault="00480D54" w:rsidP="00D61AAA">
            <w:pPr>
              <w:pStyle w:val="Default"/>
              <w:rPr>
                <w:rFonts w:ascii="Arial" w:hAnsi="Arial" w:cs="Arial"/>
                <w:sz w:val="20"/>
                <w:szCs w:val="20"/>
              </w:rPr>
            </w:pPr>
            <w:r w:rsidRPr="00F52DED">
              <w:rPr>
                <w:rFonts w:ascii="Arial" w:hAnsi="Arial" w:cs="Arial"/>
                <w:sz w:val="20"/>
                <w:szCs w:val="20"/>
              </w:rPr>
              <w:t>Has</w:t>
            </w:r>
            <w:r w:rsidR="00F52DED" w:rsidRPr="00F52DED">
              <w:rPr>
                <w:rFonts w:ascii="Arial" w:hAnsi="Arial" w:cs="Arial"/>
                <w:sz w:val="20"/>
                <w:szCs w:val="20"/>
              </w:rPr>
              <w:t xml:space="preserve"> </w:t>
            </w:r>
            <w:r w:rsidR="002A7D08" w:rsidRPr="00F52DED">
              <w:rPr>
                <w:rFonts w:ascii="Arial" w:hAnsi="Arial" w:cs="Arial"/>
                <w:sz w:val="20"/>
                <w:szCs w:val="20"/>
              </w:rPr>
              <w:t>participation in the program influence</w:t>
            </w:r>
            <w:r w:rsidRPr="00F52DED">
              <w:rPr>
                <w:rFonts w:ascii="Arial" w:hAnsi="Arial" w:cs="Arial"/>
                <w:sz w:val="20"/>
                <w:szCs w:val="20"/>
              </w:rPr>
              <w:t>d</w:t>
            </w:r>
            <w:r w:rsidR="002A7D08" w:rsidRPr="00F52DED">
              <w:rPr>
                <w:rFonts w:ascii="Arial" w:hAnsi="Arial" w:cs="Arial"/>
                <w:sz w:val="20"/>
                <w:szCs w:val="20"/>
              </w:rPr>
              <w:t xml:space="preserve"> Gilman Scholars’ engagement in the international arena? </w:t>
            </w:r>
          </w:p>
        </w:tc>
        <w:tc>
          <w:tcPr>
            <w:tcW w:w="4590" w:type="dxa"/>
          </w:tcPr>
          <w:p w:rsidR="002A7D08" w:rsidRPr="00F52DED" w:rsidRDefault="002A7D08" w:rsidP="00D61AAA">
            <w:pPr>
              <w:rPr>
                <w:rFonts w:ascii="Arial" w:hAnsi="Arial" w:cs="Arial"/>
                <w:sz w:val="20"/>
                <w:szCs w:val="20"/>
              </w:rPr>
            </w:pPr>
          </w:p>
          <w:p w:rsidR="002A7D08" w:rsidRPr="00F52DED" w:rsidRDefault="002A7D08" w:rsidP="00D61AAA">
            <w:pPr>
              <w:rPr>
                <w:rFonts w:ascii="Arial" w:hAnsi="Arial" w:cs="Arial"/>
                <w:sz w:val="20"/>
                <w:szCs w:val="20"/>
              </w:rPr>
            </w:pPr>
            <w:r w:rsidRPr="00F52DED">
              <w:rPr>
                <w:rFonts w:ascii="Arial" w:hAnsi="Arial" w:cs="Arial"/>
                <w:sz w:val="20"/>
                <w:szCs w:val="20"/>
              </w:rPr>
              <w:t>Answers to questions regarding Scholar</w:t>
            </w:r>
            <w:r w:rsidR="003F3451" w:rsidRPr="00F52DED">
              <w:rPr>
                <w:rFonts w:ascii="Arial" w:hAnsi="Arial" w:cs="Arial"/>
                <w:sz w:val="20"/>
                <w:szCs w:val="20"/>
              </w:rPr>
              <w:t>s</w:t>
            </w:r>
            <w:r w:rsidRPr="00F52DED">
              <w:rPr>
                <w:rFonts w:ascii="Arial" w:hAnsi="Arial" w:cs="Arial"/>
                <w:sz w:val="20"/>
                <w:szCs w:val="20"/>
              </w:rPr>
              <w:t>’ participation in activities with an international focus, such as joining internationally-oriented community and religious groups, volunteering or donating on behalf of international causes, and following international media coverage.</w:t>
            </w:r>
          </w:p>
          <w:p w:rsidR="002A7D08" w:rsidRPr="00F52DED" w:rsidRDefault="002A7D08" w:rsidP="00D61AAA">
            <w:pPr>
              <w:rPr>
                <w:rFonts w:ascii="Arial" w:hAnsi="Arial" w:cs="Arial"/>
                <w:sz w:val="20"/>
                <w:szCs w:val="20"/>
              </w:rPr>
            </w:pPr>
          </w:p>
        </w:tc>
      </w:tr>
      <w:tr w:rsidR="002A7D08" w:rsidRPr="00F52DED" w:rsidTr="003A4C86">
        <w:trPr>
          <w:cantSplit/>
        </w:trPr>
        <w:tc>
          <w:tcPr>
            <w:tcW w:w="5580" w:type="dxa"/>
          </w:tcPr>
          <w:p w:rsidR="002A7D08" w:rsidRPr="00F52DED" w:rsidRDefault="002A7D08" w:rsidP="00D61AAA">
            <w:pPr>
              <w:pStyle w:val="Default"/>
              <w:rPr>
                <w:rFonts w:ascii="Arial" w:hAnsi="Arial" w:cs="Arial"/>
                <w:sz w:val="20"/>
                <w:szCs w:val="20"/>
              </w:rPr>
            </w:pPr>
          </w:p>
          <w:p w:rsidR="002A7D08" w:rsidRPr="00F52DED" w:rsidRDefault="00405DF6" w:rsidP="00D61AAA">
            <w:pPr>
              <w:pStyle w:val="Default"/>
              <w:rPr>
                <w:rFonts w:ascii="Arial" w:hAnsi="Arial" w:cs="Arial"/>
                <w:sz w:val="20"/>
                <w:szCs w:val="20"/>
              </w:rPr>
            </w:pPr>
            <w:r w:rsidRPr="00F52DED">
              <w:rPr>
                <w:rFonts w:ascii="Arial" w:hAnsi="Arial" w:cs="Arial"/>
                <w:sz w:val="20"/>
                <w:szCs w:val="20"/>
              </w:rPr>
              <w:t xml:space="preserve">How have </w:t>
            </w:r>
            <w:r w:rsidR="002A7D08" w:rsidRPr="00F52DED">
              <w:rPr>
                <w:rFonts w:ascii="Arial" w:hAnsi="Arial" w:cs="Arial"/>
                <w:sz w:val="20"/>
                <w:szCs w:val="20"/>
              </w:rPr>
              <w:t xml:space="preserve">Gilman Scholars </w:t>
            </w:r>
            <w:r w:rsidRPr="00F52DED">
              <w:rPr>
                <w:rFonts w:ascii="Arial" w:hAnsi="Arial" w:cs="Arial"/>
                <w:sz w:val="20"/>
                <w:szCs w:val="20"/>
              </w:rPr>
              <w:t>shared about</w:t>
            </w:r>
            <w:r w:rsidR="002A7D08" w:rsidRPr="00F52DED">
              <w:rPr>
                <w:rFonts w:ascii="Arial" w:hAnsi="Arial" w:cs="Arial"/>
                <w:sz w:val="20"/>
                <w:szCs w:val="20"/>
              </w:rPr>
              <w:t xml:space="preserve"> their experiences abroad</w:t>
            </w:r>
            <w:r w:rsidRPr="00F52DED">
              <w:rPr>
                <w:rFonts w:ascii="Arial" w:hAnsi="Arial" w:cs="Arial"/>
                <w:sz w:val="20"/>
                <w:szCs w:val="20"/>
              </w:rPr>
              <w:t xml:space="preserve"> with family, friends and communities</w:t>
            </w:r>
            <w:r w:rsidR="002A7D08" w:rsidRPr="00F52DED">
              <w:rPr>
                <w:rFonts w:ascii="Arial" w:hAnsi="Arial" w:cs="Arial"/>
                <w:sz w:val="20"/>
                <w:szCs w:val="20"/>
              </w:rPr>
              <w:t xml:space="preserve">? </w:t>
            </w:r>
          </w:p>
          <w:p w:rsidR="002A7D08" w:rsidRPr="00F52DED" w:rsidRDefault="002A7D08" w:rsidP="00D61AAA">
            <w:pPr>
              <w:pStyle w:val="Default"/>
              <w:rPr>
                <w:rFonts w:ascii="Arial" w:hAnsi="Arial" w:cs="Arial"/>
                <w:sz w:val="20"/>
                <w:szCs w:val="20"/>
              </w:rPr>
            </w:pPr>
          </w:p>
          <w:p w:rsidR="002A7D08" w:rsidRPr="00F52DED" w:rsidRDefault="002A7D08" w:rsidP="00D61AAA">
            <w:pPr>
              <w:pStyle w:val="Default"/>
              <w:rPr>
                <w:rFonts w:ascii="Arial" w:hAnsi="Arial" w:cs="Arial"/>
                <w:sz w:val="20"/>
                <w:szCs w:val="20"/>
              </w:rPr>
            </w:pPr>
            <w:r w:rsidRPr="00F52DED">
              <w:rPr>
                <w:rFonts w:ascii="Arial" w:hAnsi="Arial" w:cs="Arial"/>
                <w:sz w:val="20"/>
                <w:szCs w:val="20"/>
              </w:rPr>
              <w:t xml:space="preserve"> </w:t>
            </w:r>
          </w:p>
        </w:tc>
        <w:tc>
          <w:tcPr>
            <w:tcW w:w="4590" w:type="dxa"/>
          </w:tcPr>
          <w:p w:rsidR="002A7D08" w:rsidRPr="00F52DED" w:rsidRDefault="002A7D08" w:rsidP="00D61AAA">
            <w:pPr>
              <w:rPr>
                <w:rFonts w:ascii="Arial" w:hAnsi="Arial" w:cs="Arial"/>
                <w:sz w:val="20"/>
                <w:szCs w:val="20"/>
              </w:rPr>
            </w:pPr>
          </w:p>
          <w:p w:rsidR="00C56145" w:rsidRPr="00F52DED" w:rsidRDefault="002A7D08">
            <w:pPr>
              <w:rPr>
                <w:rFonts w:ascii="Arial" w:hAnsi="Arial" w:cs="Arial"/>
                <w:sz w:val="20"/>
                <w:szCs w:val="20"/>
              </w:rPr>
            </w:pPr>
            <w:r w:rsidRPr="00F52DED">
              <w:rPr>
                <w:rFonts w:ascii="Arial" w:hAnsi="Arial" w:cs="Arial"/>
                <w:sz w:val="20"/>
                <w:szCs w:val="20"/>
              </w:rPr>
              <w:t>The survey asks respondents to identify various ways they have interacted with family and friends about their international experience, including sharing stories, media, and cuisine from their host countries, encouraging others to participate in study abroad programs, and making presentations about their experiences abroad.</w:t>
            </w:r>
          </w:p>
          <w:p w:rsidR="00C56145" w:rsidRPr="00F52DED" w:rsidRDefault="00C56145">
            <w:pPr>
              <w:rPr>
                <w:rFonts w:ascii="Arial" w:hAnsi="Arial" w:cs="Arial"/>
                <w:sz w:val="20"/>
                <w:szCs w:val="20"/>
              </w:rPr>
            </w:pPr>
          </w:p>
          <w:p w:rsidR="00C56145" w:rsidRPr="00F52DED" w:rsidRDefault="002A7D08">
            <w:pPr>
              <w:rPr>
                <w:rFonts w:ascii="Arial" w:hAnsi="Arial" w:cs="Arial"/>
                <w:sz w:val="20"/>
                <w:szCs w:val="20"/>
              </w:rPr>
            </w:pPr>
            <w:r w:rsidRPr="00F52DED">
              <w:rPr>
                <w:rFonts w:ascii="Arial" w:hAnsi="Arial" w:cs="Arial"/>
                <w:sz w:val="20"/>
                <w:szCs w:val="20"/>
              </w:rPr>
              <w:t xml:space="preserve">Answers to questions regarding </w:t>
            </w:r>
            <w:r w:rsidR="003F3451" w:rsidRPr="00F52DED">
              <w:rPr>
                <w:rFonts w:ascii="Arial" w:hAnsi="Arial" w:cs="Arial"/>
                <w:sz w:val="20"/>
                <w:szCs w:val="20"/>
              </w:rPr>
              <w:t xml:space="preserve">each </w:t>
            </w:r>
            <w:r w:rsidRPr="00F52DED">
              <w:rPr>
                <w:rFonts w:ascii="Arial" w:hAnsi="Arial" w:cs="Arial"/>
                <w:sz w:val="20"/>
                <w:szCs w:val="20"/>
              </w:rPr>
              <w:t xml:space="preserve">respondent’s engagement in international activities and continuing education about host country or other international issues. </w:t>
            </w:r>
          </w:p>
          <w:p w:rsidR="00C56145" w:rsidRPr="00F52DED" w:rsidRDefault="00C56145">
            <w:pPr>
              <w:rPr>
                <w:rFonts w:ascii="Arial" w:hAnsi="Arial" w:cs="Arial"/>
                <w:sz w:val="20"/>
                <w:szCs w:val="20"/>
              </w:rPr>
            </w:pPr>
          </w:p>
          <w:p w:rsidR="00C56145" w:rsidRPr="00F52DED" w:rsidRDefault="002A7D08">
            <w:pPr>
              <w:rPr>
                <w:rFonts w:ascii="Arial" w:hAnsi="Arial" w:cs="Arial"/>
                <w:sz w:val="20"/>
                <w:szCs w:val="20"/>
              </w:rPr>
            </w:pPr>
            <w:r w:rsidRPr="00F52DED">
              <w:rPr>
                <w:rFonts w:ascii="Arial" w:hAnsi="Arial" w:cs="Arial"/>
                <w:sz w:val="20"/>
                <w:szCs w:val="20"/>
              </w:rPr>
              <w:t>The survey asked respondents to indicate if they are aware of any family members or peers pursuing other international education opportunities, as a direct result of conversations</w:t>
            </w:r>
            <w:r w:rsidR="00844B44" w:rsidRPr="00F52DED">
              <w:rPr>
                <w:rFonts w:ascii="Arial" w:hAnsi="Arial" w:cs="Arial"/>
                <w:sz w:val="20"/>
                <w:szCs w:val="20"/>
              </w:rPr>
              <w:t xml:space="preserve"> about their study abroad experience</w:t>
            </w:r>
            <w:r w:rsidRPr="00F52DED">
              <w:rPr>
                <w:rFonts w:ascii="Arial" w:hAnsi="Arial" w:cs="Arial"/>
                <w:sz w:val="20"/>
                <w:szCs w:val="20"/>
              </w:rPr>
              <w:t xml:space="preserve">. </w:t>
            </w:r>
          </w:p>
          <w:p w:rsidR="00C56145" w:rsidRPr="00F52DED" w:rsidRDefault="00C56145">
            <w:pPr>
              <w:rPr>
                <w:rFonts w:ascii="Arial" w:hAnsi="Arial" w:cs="Arial"/>
                <w:sz w:val="20"/>
                <w:szCs w:val="20"/>
              </w:rPr>
            </w:pPr>
          </w:p>
        </w:tc>
      </w:tr>
      <w:tr w:rsidR="002A7D08" w:rsidRPr="00F52DED" w:rsidTr="003A4C86">
        <w:trPr>
          <w:cantSplit/>
        </w:trPr>
        <w:tc>
          <w:tcPr>
            <w:tcW w:w="5580" w:type="dxa"/>
          </w:tcPr>
          <w:p w:rsidR="002A7D08" w:rsidRPr="00F52DED" w:rsidRDefault="002A7D08" w:rsidP="00D61AAA">
            <w:pPr>
              <w:pStyle w:val="Default"/>
              <w:rPr>
                <w:rFonts w:ascii="Arial" w:hAnsi="Arial" w:cs="Arial"/>
                <w:sz w:val="20"/>
                <w:szCs w:val="20"/>
              </w:rPr>
            </w:pPr>
          </w:p>
          <w:p w:rsidR="002A7D08" w:rsidRPr="00F52DED" w:rsidRDefault="002A7D08" w:rsidP="00D61AAA">
            <w:pPr>
              <w:pStyle w:val="Default"/>
              <w:rPr>
                <w:rFonts w:ascii="Arial" w:hAnsi="Arial" w:cs="Arial"/>
                <w:sz w:val="20"/>
                <w:szCs w:val="20"/>
              </w:rPr>
            </w:pPr>
            <w:r w:rsidRPr="00F52DED">
              <w:rPr>
                <w:rFonts w:ascii="Arial" w:hAnsi="Arial" w:cs="Arial"/>
                <w:sz w:val="20"/>
                <w:szCs w:val="20"/>
              </w:rPr>
              <w:t xml:space="preserve">What was the nature and range of the Follow-on projects across the nine cohorts and how were the projects implemented? </w:t>
            </w:r>
          </w:p>
          <w:p w:rsidR="002A7D08" w:rsidRPr="00F52DED" w:rsidRDefault="002A7D08" w:rsidP="00D61AAA">
            <w:pPr>
              <w:pStyle w:val="Default"/>
              <w:rPr>
                <w:rFonts w:ascii="Arial" w:hAnsi="Arial" w:cs="Arial"/>
                <w:sz w:val="20"/>
                <w:szCs w:val="20"/>
              </w:rPr>
            </w:pPr>
          </w:p>
        </w:tc>
        <w:tc>
          <w:tcPr>
            <w:tcW w:w="4590" w:type="dxa"/>
          </w:tcPr>
          <w:p w:rsidR="002A7D08" w:rsidRPr="00F52DED" w:rsidRDefault="002A7D08" w:rsidP="00D61AAA">
            <w:pPr>
              <w:rPr>
                <w:rFonts w:ascii="Arial" w:hAnsi="Arial" w:cs="Arial"/>
                <w:sz w:val="20"/>
                <w:szCs w:val="20"/>
              </w:rPr>
            </w:pPr>
          </w:p>
          <w:p w:rsidR="002A7D08" w:rsidRPr="00F52DED" w:rsidRDefault="00844B44" w:rsidP="00D61AAA">
            <w:pPr>
              <w:rPr>
                <w:rFonts w:ascii="Arial" w:hAnsi="Arial" w:cs="Arial"/>
                <w:sz w:val="20"/>
                <w:szCs w:val="20"/>
              </w:rPr>
            </w:pPr>
            <w:r w:rsidRPr="00F52DED">
              <w:rPr>
                <w:rFonts w:ascii="Arial" w:hAnsi="Arial" w:cs="Arial"/>
                <w:sz w:val="20"/>
                <w:szCs w:val="20"/>
              </w:rPr>
              <w:t>On the survey, Scholars</w:t>
            </w:r>
            <w:r w:rsidR="002A7D08" w:rsidRPr="00F52DED">
              <w:rPr>
                <w:rFonts w:ascii="Arial" w:hAnsi="Arial" w:cs="Arial"/>
                <w:sz w:val="20"/>
                <w:szCs w:val="20"/>
              </w:rPr>
              <w:t xml:space="preserve"> will be asked to identify the type of Follow-on project they implemented, as well as the subject of their Follow-on Project. </w:t>
            </w:r>
          </w:p>
        </w:tc>
      </w:tr>
    </w:tbl>
    <w:p w:rsidR="00436403" w:rsidRPr="00F52DED" w:rsidRDefault="00436403">
      <w:pPr>
        <w:rPr>
          <w:rFonts w:ascii="Arial" w:hAnsi="Arial" w:cs="Arial"/>
          <w:sz w:val="20"/>
          <w:szCs w:val="20"/>
        </w:rPr>
      </w:pPr>
    </w:p>
    <w:p w:rsidR="00436403" w:rsidRPr="00F52DED" w:rsidRDefault="00EB78AC">
      <w:pPr>
        <w:rPr>
          <w:rFonts w:ascii="Arial" w:hAnsi="Arial" w:cs="Arial"/>
          <w:sz w:val="20"/>
          <w:szCs w:val="20"/>
        </w:rPr>
      </w:pPr>
      <w:r w:rsidRPr="00F52DED">
        <w:rPr>
          <w:rFonts w:ascii="Arial" w:hAnsi="Arial" w:cs="Arial"/>
          <w:sz w:val="20"/>
          <w:szCs w:val="20"/>
        </w:rPr>
        <w:t>Analysis of all collected data will include d</w:t>
      </w:r>
      <w:r w:rsidR="000F554A" w:rsidRPr="00F52DED">
        <w:rPr>
          <w:rFonts w:ascii="Arial" w:hAnsi="Arial" w:cs="Arial"/>
          <w:sz w:val="20"/>
          <w:szCs w:val="20"/>
        </w:rPr>
        <w:t xml:space="preserve">escriptive </w:t>
      </w:r>
      <w:r w:rsidRPr="00F52DED">
        <w:rPr>
          <w:rFonts w:ascii="Arial" w:hAnsi="Arial" w:cs="Arial"/>
          <w:sz w:val="20"/>
          <w:szCs w:val="20"/>
        </w:rPr>
        <w:t>statistics and frequencies, providing</w:t>
      </w:r>
      <w:r w:rsidR="000F554A" w:rsidRPr="00F52DED">
        <w:rPr>
          <w:rFonts w:ascii="Arial" w:hAnsi="Arial" w:cs="Arial"/>
          <w:sz w:val="20"/>
          <w:szCs w:val="20"/>
        </w:rPr>
        <w:t xml:space="preserve"> percents of scores and counts per each response category for the survey questions relating to </w:t>
      </w:r>
      <w:r w:rsidR="00C5168C" w:rsidRPr="00F52DED">
        <w:rPr>
          <w:rFonts w:ascii="Arial" w:hAnsi="Arial" w:cs="Arial"/>
          <w:sz w:val="20"/>
          <w:szCs w:val="20"/>
        </w:rPr>
        <w:t>each</w:t>
      </w:r>
      <w:r w:rsidR="000F554A" w:rsidRPr="00F52DED">
        <w:rPr>
          <w:rFonts w:ascii="Arial" w:hAnsi="Arial" w:cs="Arial"/>
          <w:sz w:val="20"/>
          <w:szCs w:val="20"/>
        </w:rPr>
        <w:t xml:space="preserve"> research question.</w:t>
      </w:r>
      <w:r w:rsidR="00F1783E" w:rsidRPr="00F52DED">
        <w:rPr>
          <w:rFonts w:ascii="Arial" w:hAnsi="Arial" w:cs="Arial"/>
          <w:sz w:val="20"/>
          <w:szCs w:val="20"/>
        </w:rPr>
        <w:t xml:space="preserve"> </w:t>
      </w:r>
      <w:r w:rsidR="000F554A" w:rsidRPr="00F52DED">
        <w:rPr>
          <w:rFonts w:ascii="Arial" w:hAnsi="Arial" w:cs="Arial"/>
          <w:sz w:val="20"/>
          <w:szCs w:val="20"/>
        </w:rPr>
        <w:t xml:space="preserve">Cross-tabular analysis of survey responses </w:t>
      </w:r>
      <w:r w:rsidR="00EC189A" w:rsidRPr="00F52DED">
        <w:rPr>
          <w:rFonts w:ascii="Arial" w:hAnsi="Arial" w:cs="Arial"/>
          <w:sz w:val="20"/>
          <w:szCs w:val="20"/>
        </w:rPr>
        <w:t>will be conducted to assess variances in effect by different participant or program characteristics. Examples may include comparing program-level findings by</w:t>
      </w:r>
      <w:r w:rsidR="00AF304D" w:rsidRPr="00F52DED">
        <w:rPr>
          <w:rFonts w:ascii="Arial" w:hAnsi="Arial" w:cs="Arial"/>
          <w:sz w:val="20"/>
          <w:szCs w:val="20"/>
        </w:rPr>
        <w:t>:</w:t>
      </w:r>
    </w:p>
    <w:p w:rsidR="00436403" w:rsidRPr="00F52DED" w:rsidRDefault="002F68AA">
      <w:pPr>
        <w:pStyle w:val="ListParagraph"/>
        <w:numPr>
          <w:ilvl w:val="0"/>
          <w:numId w:val="34"/>
        </w:numPr>
        <w:rPr>
          <w:rFonts w:ascii="Arial" w:hAnsi="Arial" w:cs="Arial"/>
          <w:sz w:val="20"/>
          <w:szCs w:val="20"/>
        </w:rPr>
      </w:pPr>
      <w:r w:rsidRPr="00F52DED">
        <w:rPr>
          <w:rFonts w:ascii="Arial" w:hAnsi="Arial" w:cs="Arial"/>
          <w:sz w:val="20"/>
          <w:szCs w:val="20"/>
        </w:rPr>
        <w:t>P</w:t>
      </w:r>
      <w:r w:rsidR="008C5604" w:rsidRPr="00F52DED">
        <w:rPr>
          <w:rFonts w:ascii="Arial" w:hAnsi="Arial" w:cs="Arial"/>
          <w:sz w:val="20"/>
          <w:szCs w:val="20"/>
        </w:rPr>
        <w:t>articip</w:t>
      </w:r>
      <w:r w:rsidR="00AF304D" w:rsidRPr="00F52DED">
        <w:rPr>
          <w:rFonts w:ascii="Arial" w:hAnsi="Arial" w:cs="Arial"/>
          <w:sz w:val="20"/>
          <w:szCs w:val="20"/>
        </w:rPr>
        <w:t xml:space="preserve">ant demographic characteristics </w:t>
      </w:r>
      <w:r w:rsidR="008C5604" w:rsidRPr="00F52DED">
        <w:rPr>
          <w:rFonts w:ascii="Arial" w:hAnsi="Arial" w:cs="Arial"/>
          <w:sz w:val="20"/>
          <w:szCs w:val="20"/>
        </w:rPr>
        <w:t>(race, ethnicity, gender, socio-economic back</w:t>
      </w:r>
      <w:r w:rsidR="00AF304D" w:rsidRPr="00F52DED">
        <w:rPr>
          <w:rFonts w:ascii="Arial" w:hAnsi="Arial" w:cs="Arial"/>
          <w:sz w:val="20"/>
          <w:szCs w:val="20"/>
        </w:rPr>
        <w:t>ground, disability status, age)</w:t>
      </w:r>
      <w:r w:rsidR="000B4FF2" w:rsidRPr="00F52DED">
        <w:rPr>
          <w:rFonts w:ascii="Arial" w:hAnsi="Arial" w:cs="Arial"/>
          <w:sz w:val="20"/>
          <w:szCs w:val="20"/>
        </w:rPr>
        <w:t>.</w:t>
      </w:r>
    </w:p>
    <w:p w:rsidR="00436403" w:rsidRPr="00F52DED" w:rsidRDefault="002F68AA">
      <w:pPr>
        <w:pStyle w:val="ListParagraph"/>
        <w:numPr>
          <w:ilvl w:val="0"/>
          <w:numId w:val="34"/>
        </w:numPr>
        <w:rPr>
          <w:rFonts w:ascii="Arial" w:hAnsi="Arial" w:cs="Arial"/>
          <w:sz w:val="20"/>
          <w:szCs w:val="20"/>
        </w:rPr>
      </w:pPr>
      <w:r w:rsidRPr="00F52DED">
        <w:rPr>
          <w:rFonts w:ascii="Arial" w:hAnsi="Arial" w:cs="Arial"/>
          <w:sz w:val="20"/>
          <w:szCs w:val="20"/>
        </w:rPr>
        <w:t>C</w:t>
      </w:r>
      <w:r w:rsidR="008C5604" w:rsidRPr="00F52DED">
        <w:rPr>
          <w:rFonts w:ascii="Arial" w:hAnsi="Arial" w:cs="Arial"/>
          <w:sz w:val="20"/>
          <w:szCs w:val="20"/>
        </w:rPr>
        <w:t>ountry/regio</w:t>
      </w:r>
      <w:r w:rsidR="00AF304D" w:rsidRPr="00F52DED">
        <w:rPr>
          <w:rFonts w:ascii="Arial" w:hAnsi="Arial" w:cs="Arial"/>
          <w:sz w:val="20"/>
          <w:szCs w:val="20"/>
        </w:rPr>
        <w:t xml:space="preserve">n of the </w:t>
      </w:r>
      <w:r w:rsidR="003F3451" w:rsidRPr="00F52DED">
        <w:rPr>
          <w:rFonts w:ascii="Arial" w:hAnsi="Arial" w:cs="Arial"/>
          <w:sz w:val="20"/>
          <w:szCs w:val="20"/>
        </w:rPr>
        <w:t>study-</w:t>
      </w:r>
      <w:r w:rsidR="000B4FF2" w:rsidRPr="00F52DED">
        <w:rPr>
          <w:rFonts w:ascii="Arial" w:hAnsi="Arial" w:cs="Arial"/>
          <w:sz w:val="20"/>
          <w:szCs w:val="20"/>
        </w:rPr>
        <w:t>abroad program.</w:t>
      </w:r>
    </w:p>
    <w:p w:rsidR="00436403" w:rsidRPr="00F52DED" w:rsidRDefault="002F68AA">
      <w:pPr>
        <w:pStyle w:val="ListParagraph"/>
        <w:numPr>
          <w:ilvl w:val="0"/>
          <w:numId w:val="34"/>
        </w:numPr>
        <w:rPr>
          <w:rFonts w:ascii="Arial" w:hAnsi="Arial" w:cs="Arial"/>
          <w:sz w:val="20"/>
          <w:szCs w:val="20"/>
        </w:rPr>
      </w:pPr>
      <w:r w:rsidRPr="00F52DED">
        <w:rPr>
          <w:rFonts w:ascii="Arial" w:hAnsi="Arial" w:cs="Arial"/>
          <w:sz w:val="20"/>
          <w:szCs w:val="20"/>
        </w:rPr>
        <w:t>D</w:t>
      </w:r>
      <w:r w:rsidR="008C5604" w:rsidRPr="00F52DED">
        <w:rPr>
          <w:rFonts w:ascii="Arial" w:hAnsi="Arial" w:cs="Arial"/>
          <w:sz w:val="20"/>
          <w:szCs w:val="20"/>
        </w:rPr>
        <w:t>iscipline studied, field of work, and whether or not the Gilman Fellow received a C</w:t>
      </w:r>
      <w:r w:rsidRPr="00F52DED">
        <w:rPr>
          <w:rFonts w:ascii="Arial" w:hAnsi="Arial" w:cs="Arial"/>
          <w:sz w:val="20"/>
          <w:szCs w:val="20"/>
        </w:rPr>
        <w:t>ritical Needs Language Supplement</w:t>
      </w:r>
      <w:r w:rsidR="008C5604" w:rsidRPr="00F52DED">
        <w:rPr>
          <w:rFonts w:ascii="Arial" w:hAnsi="Arial" w:cs="Arial"/>
          <w:sz w:val="20"/>
          <w:szCs w:val="20"/>
        </w:rPr>
        <w:t xml:space="preserve">. </w:t>
      </w:r>
    </w:p>
    <w:p w:rsidR="00436403" w:rsidRPr="00F52DED" w:rsidRDefault="002F68AA">
      <w:pPr>
        <w:pStyle w:val="ListParagraph"/>
        <w:numPr>
          <w:ilvl w:val="0"/>
          <w:numId w:val="34"/>
        </w:numPr>
        <w:rPr>
          <w:rFonts w:ascii="Arial" w:hAnsi="Arial" w:cs="Arial"/>
          <w:sz w:val="20"/>
          <w:szCs w:val="20"/>
        </w:rPr>
      </w:pPr>
      <w:r w:rsidRPr="00F52DED">
        <w:rPr>
          <w:rFonts w:ascii="Arial" w:hAnsi="Arial" w:cs="Arial"/>
          <w:sz w:val="20"/>
          <w:szCs w:val="20"/>
        </w:rPr>
        <w:t>T</w:t>
      </w:r>
      <w:r w:rsidR="008C5604" w:rsidRPr="00F52DED">
        <w:rPr>
          <w:rFonts w:ascii="Arial" w:hAnsi="Arial" w:cs="Arial"/>
          <w:sz w:val="20"/>
          <w:szCs w:val="20"/>
        </w:rPr>
        <w:t xml:space="preserve">ype of home educational institution (e.g., </w:t>
      </w:r>
      <w:r w:rsidR="003F3451" w:rsidRPr="00F52DED">
        <w:rPr>
          <w:rFonts w:ascii="Arial" w:hAnsi="Arial" w:cs="Arial"/>
          <w:sz w:val="20"/>
          <w:szCs w:val="20"/>
        </w:rPr>
        <w:t>2-</w:t>
      </w:r>
      <w:r w:rsidR="008C5604" w:rsidRPr="00F52DED">
        <w:rPr>
          <w:rFonts w:ascii="Arial" w:hAnsi="Arial" w:cs="Arial"/>
          <w:sz w:val="20"/>
          <w:szCs w:val="20"/>
        </w:rPr>
        <w:t xml:space="preserve">year as compared with 4-year, public as compared with private, minority-serving as compared to non-minority-serving, small as </w:t>
      </w:r>
      <w:r w:rsidR="00AF304D" w:rsidRPr="00F52DED">
        <w:rPr>
          <w:rFonts w:ascii="Arial" w:hAnsi="Arial" w:cs="Arial"/>
          <w:sz w:val="20"/>
          <w:szCs w:val="20"/>
        </w:rPr>
        <w:t>compared to large institutions)</w:t>
      </w:r>
      <w:r w:rsidR="000B4FF2" w:rsidRPr="00F52DED">
        <w:rPr>
          <w:rFonts w:ascii="Arial" w:hAnsi="Arial" w:cs="Arial"/>
          <w:sz w:val="20"/>
          <w:szCs w:val="20"/>
        </w:rPr>
        <w:t>.</w:t>
      </w:r>
    </w:p>
    <w:p w:rsidR="00436403" w:rsidRPr="00F52DED" w:rsidRDefault="002F68AA">
      <w:pPr>
        <w:pStyle w:val="ListParagraph"/>
        <w:numPr>
          <w:ilvl w:val="0"/>
          <w:numId w:val="34"/>
        </w:numPr>
        <w:rPr>
          <w:rFonts w:ascii="Arial" w:hAnsi="Arial" w:cs="Arial"/>
          <w:sz w:val="20"/>
          <w:szCs w:val="20"/>
        </w:rPr>
      </w:pPr>
      <w:r w:rsidRPr="00F52DED">
        <w:rPr>
          <w:rFonts w:ascii="Arial" w:hAnsi="Arial" w:cs="Arial"/>
          <w:sz w:val="20"/>
          <w:szCs w:val="20"/>
        </w:rPr>
        <w:lastRenderedPageBreak/>
        <w:t>C</w:t>
      </w:r>
      <w:r w:rsidR="00AF304D" w:rsidRPr="00F52DED">
        <w:rPr>
          <w:rFonts w:ascii="Arial" w:hAnsi="Arial" w:cs="Arial"/>
          <w:sz w:val="20"/>
          <w:szCs w:val="20"/>
        </w:rPr>
        <w:t>ohort</w:t>
      </w:r>
      <w:r w:rsidR="008C5604" w:rsidRPr="00F52DED">
        <w:rPr>
          <w:rFonts w:ascii="Arial" w:hAnsi="Arial" w:cs="Arial"/>
          <w:sz w:val="20"/>
          <w:szCs w:val="20"/>
        </w:rPr>
        <w:t xml:space="preserve"> </w:t>
      </w:r>
      <w:r w:rsidR="00AF304D" w:rsidRPr="00F52DED">
        <w:rPr>
          <w:rFonts w:ascii="Arial" w:hAnsi="Arial" w:cs="Arial"/>
          <w:sz w:val="20"/>
          <w:szCs w:val="20"/>
        </w:rPr>
        <w:t>(differences in program outcomes relative to the length of time since program completion)</w:t>
      </w:r>
      <w:r w:rsidR="00895672" w:rsidRPr="00F52DED">
        <w:rPr>
          <w:rFonts w:ascii="Arial" w:hAnsi="Arial" w:cs="Arial"/>
          <w:sz w:val="20"/>
          <w:szCs w:val="20"/>
        </w:rPr>
        <w:t>.</w:t>
      </w:r>
      <w:r w:rsidR="00A1576F" w:rsidRPr="00F52DED">
        <w:rPr>
          <w:rFonts w:ascii="Arial" w:hAnsi="Arial" w:cs="Arial"/>
          <w:sz w:val="20"/>
          <w:szCs w:val="20"/>
        </w:rPr>
        <w:t xml:space="preserve"> </w:t>
      </w:r>
      <w:r w:rsidR="008C5604" w:rsidRPr="00F52DED">
        <w:rPr>
          <w:rFonts w:ascii="Arial" w:hAnsi="Arial" w:cs="Arial"/>
          <w:sz w:val="20"/>
          <w:szCs w:val="20"/>
        </w:rPr>
        <w:t xml:space="preserve">We will also not report any finding when </w:t>
      </w:r>
      <w:r w:rsidR="00D34AED" w:rsidRPr="00F52DED">
        <w:rPr>
          <w:rFonts w:ascii="Arial" w:hAnsi="Arial" w:cs="Arial"/>
          <w:sz w:val="20"/>
          <w:szCs w:val="20"/>
        </w:rPr>
        <w:t>“</w:t>
      </w:r>
      <w:r w:rsidR="008C5604" w:rsidRPr="00F52DED">
        <w:rPr>
          <w:rFonts w:ascii="Arial" w:hAnsi="Arial" w:cs="Arial"/>
          <w:sz w:val="20"/>
          <w:szCs w:val="20"/>
        </w:rPr>
        <w:t>n</w:t>
      </w:r>
      <w:r w:rsidR="00D34AED" w:rsidRPr="00F52DED">
        <w:rPr>
          <w:rFonts w:ascii="Arial" w:hAnsi="Arial" w:cs="Arial"/>
          <w:sz w:val="20"/>
          <w:szCs w:val="20"/>
        </w:rPr>
        <w:t>”</w:t>
      </w:r>
      <w:r w:rsidR="008C5604" w:rsidRPr="00F52DED">
        <w:rPr>
          <w:rFonts w:ascii="Arial" w:hAnsi="Arial" w:cs="Arial"/>
          <w:sz w:val="20"/>
          <w:szCs w:val="20"/>
        </w:rPr>
        <w:t xml:space="preserve"> is less than or equal to 5 in order to protect respondent confidentiality and to ensure we are not reporting invalid results</w:t>
      </w:r>
      <w:r w:rsidR="000B4FF2" w:rsidRPr="00F52DED">
        <w:rPr>
          <w:rFonts w:ascii="Arial" w:hAnsi="Arial" w:cs="Arial"/>
          <w:sz w:val="20"/>
          <w:szCs w:val="20"/>
        </w:rPr>
        <w:t>.</w:t>
      </w:r>
    </w:p>
    <w:p w:rsidR="00436403" w:rsidRPr="00F52DED" w:rsidRDefault="00436403">
      <w:pPr>
        <w:rPr>
          <w:rFonts w:ascii="Arial" w:hAnsi="Arial" w:cs="Arial"/>
          <w:sz w:val="20"/>
          <w:szCs w:val="20"/>
        </w:rPr>
      </w:pPr>
    </w:p>
    <w:p w:rsidR="00436403" w:rsidRPr="00F52DED" w:rsidRDefault="00584513">
      <w:pPr>
        <w:numPr>
          <w:ilvl w:val="0"/>
          <w:numId w:val="5"/>
        </w:numPr>
        <w:ind w:left="360"/>
        <w:rPr>
          <w:rFonts w:ascii="Arial" w:hAnsi="Arial" w:cs="Arial"/>
          <w:sz w:val="20"/>
          <w:szCs w:val="20"/>
        </w:rPr>
      </w:pPr>
      <w:r w:rsidRPr="00F52DED">
        <w:rPr>
          <w:rFonts w:ascii="Arial" w:hAnsi="Arial" w:cs="Arial"/>
          <w:sz w:val="20"/>
          <w:szCs w:val="20"/>
        </w:rPr>
        <w:t>The information collection</w:t>
      </w:r>
      <w:r w:rsidR="00EB64DF" w:rsidRPr="00F52DED">
        <w:rPr>
          <w:rFonts w:ascii="Arial" w:hAnsi="Arial" w:cs="Arial"/>
          <w:sz w:val="20"/>
          <w:szCs w:val="20"/>
        </w:rPr>
        <w:t>’s</w:t>
      </w:r>
      <w:r w:rsidRPr="00F52DED">
        <w:rPr>
          <w:rFonts w:ascii="Arial" w:hAnsi="Arial" w:cs="Arial"/>
          <w:sz w:val="20"/>
          <w:szCs w:val="20"/>
        </w:rPr>
        <w:t xml:space="preserve"> survey will be entirely web-based to ease any burden on the participant. The survey will be distributed using the survey application</w:t>
      </w:r>
      <w:r w:rsidR="00A1576F" w:rsidRPr="00F52DED">
        <w:rPr>
          <w:rFonts w:ascii="Arial" w:hAnsi="Arial" w:cs="Arial"/>
          <w:sz w:val="20"/>
          <w:szCs w:val="20"/>
        </w:rPr>
        <w:t xml:space="preserve"> </w:t>
      </w:r>
      <w:proofErr w:type="spellStart"/>
      <w:r w:rsidR="002C39A7">
        <w:rPr>
          <w:rFonts w:ascii="Arial" w:hAnsi="Arial" w:cs="Arial"/>
          <w:sz w:val="20"/>
          <w:szCs w:val="20"/>
        </w:rPr>
        <w:t>Vovici</w:t>
      </w:r>
      <w:proofErr w:type="spellEnd"/>
      <w:r w:rsidR="00624B59" w:rsidRPr="00F52DED">
        <w:rPr>
          <w:rFonts w:ascii="Arial" w:hAnsi="Arial" w:cs="Arial"/>
          <w:sz w:val="20"/>
          <w:szCs w:val="20"/>
        </w:rPr>
        <w:t>.  Participants will be informed of the survey via e-mails and e-mail reminders that will provide instructions for how to access the survey electronically.</w:t>
      </w:r>
    </w:p>
    <w:p w:rsidR="00436403" w:rsidRPr="00F52DED" w:rsidRDefault="00436403">
      <w:pPr>
        <w:rPr>
          <w:rFonts w:ascii="Arial" w:hAnsi="Arial" w:cs="Arial"/>
          <w:sz w:val="20"/>
          <w:szCs w:val="20"/>
        </w:rPr>
      </w:pPr>
    </w:p>
    <w:p w:rsidR="00436403" w:rsidRPr="00F52DED" w:rsidRDefault="0044321F">
      <w:pPr>
        <w:pStyle w:val="Default"/>
        <w:numPr>
          <w:ilvl w:val="0"/>
          <w:numId w:val="5"/>
        </w:numPr>
        <w:ind w:left="360"/>
        <w:rPr>
          <w:rFonts w:ascii="Arial" w:hAnsi="Arial" w:cs="Arial"/>
          <w:color w:val="auto"/>
          <w:sz w:val="20"/>
          <w:szCs w:val="20"/>
        </w:rPr>
      </w:pPr>
      <w:r w:rsidRPr="00F52DED">
        <w:rPr>
          <w:rFonts w:ascii="Arial" w:hAnsi="Arial" w:cs="Arial"/>
          <w:color w:val="auto"/>
          <w:sz w:val="20"/>
          <w:szCs w:val="20"/>
        </w:rPr>
        <w:t xml:space="preserve">Currently, no duplicative information exists, </w:t>
      </w:r>
      <w:r w:rsidR="00AA3C64" w:rsidRPr="00F52DED">
        <w:rPr>
          <w:rFonts w:ascii="Arial" w:hAnsi="Arial" w:cs="Arial"/>
          <w:color w:val="auto"/>
          <w:sz w:val="20"/>
          <w:szCs w:val="20"/>
        </w:rPr>
        <w:t>and there have been no other information collections for all these cohorts and research questions. T</w:t>
      </w:r>
      <w:r w:rsidRPr="00F52DED">
        <w:rPr>
          <w:rFonts w:ascii="Arial" w:hAnsi="Arial" w:cs="Arial"/>
          <w:color w:val="auto"/>
          <w:sz w:val="20"/>
          <w:szCs w:val="20"/>
        </w:rPr>
        <w:t>here is no other reliable method for ECA to collect the information needed</w:t>
      </w:r>
      <w:r w:rsidR="00154414" w:rsidRPr="00F52DED">
        <w:rPr>
          <w:rFonts w:ascii="Arial" w:hAnsi="Arial" w:cs="Arial"/>
          <w:color w:val="auto"/>
          <w:sz w:val="20"/>
          <w:szCs w:val="20"/>
        </w:rPr>
        <w:t xml:space="preserve"> to fulfill the requirements of the Department’s annual strategic planning and reporting process and the annual Congressional budget process as part of the GPRA</w:t>
      </w:r>
      <w:r w:rsidR="003A4C86" w:rsidRPr="00F52DED">
        <w:rPr>
          <w:rFonts w:ascii="Arial" w:hAnsi="Arial" w:cs="Arial"/>
          <w:color w:val="auto"/>
          <w:sz w:val="20"/>
          <w:szCs w:val="20"/>
        </w:rPr>
        <w:t xml:space="preserve"> </w:t>
      </w:r>
      <w:r w:rsidR="00154414" w:rsidRPr="00F52DED">
        <w:rPr>
          <w:rFonts w:ascii="Arial" w:hAnsi="Arial" w:cs="Arial"/>
          <w:color w:val="auto"/>
          <w:sz w:val="20"/>
          <w:szCs w:val="20"/>
        </w:rPr>
        <w:t>mandates</w:t>
      </w:r>
      <w:r w:rsidRPr="00F52DED">
        <w:rPr>
          <w:rFonts w:ascii="Arial" w:hAnsi="Arial" w:cs="Arial"/>
          <w:color w:val="auto"/>
          <w:sz w:val="20"/>
          <w:szCs w:val="20"/>
        </w:rPr>
        <w:t>.</w:t>
      </w:r>
    </w:p>
    <w:p w:rsidR="003B17CE" w:rsidRPr="00F52DED" w:rsidRDefault="003B17CE" w:rsidP="00D61AAA">
      <w:pPr>
        <w:pStyle w:val="ListParagraph"/>
        <w:ind w:left="0"/>
        <w:rPr>
          <w:rFonts w:ascii="Arial" w:hAnsi="Arial" w:cs="Arial"/>
          <w:sz w:val="20"/>
          <w:szCs w:val="20"/>
        </w:rPr>
      </w:pPr>
    </w:p>
    <w:p w:rsidR="00436403" w:rsidRPr="00F52DED" w:rsidRDefault="00CE6EB2">
      <w:pPr>
        <w:pStyle w:val="Default"/>
        <w:numPr>
          <w:ilvl w:val="0"/>
          <w:numId w:val="5"/>
        </w:numPr>
        <w:ind w:left="360"/>
        <w:rPr>
          <w:rFonts w:ascii="Arial" w:hAnsi="Arial" w:cs="Arial"/>
          <w:color w:val="auto"/>
          <w:sz w:val="20"/>
          <w:szCs w:val="20"/>
        </w:rPr>
      </w:pPr>
      <w:r w:rsidRPr="00F52DED">
        <w:rPr>
          <w:rFonts w:ascii="Arial" w:hAnsi="Arial" w:cs="Arial"/>
          <w:color w:val="auto"/>
          <w:sz w:val="20"/>
          <w:szCs w:val="20"/>
        </w:rPr>
        <w:t>Information collected under this collection will have no</w:t>
      </w:r>
      <w:r w:rsidR="008E2055" w:rsidRPr="00F52DED">
        <w:rPr>
          <w:rFonts w:ascii="Arial" w:hAnsi="Arial" w:cs="Arial"/>
          <w:color w:val="auto"/>
          <w:sz w:val="20"/>
          <w:szCs w:val="20"/>
        </w:rPr>
        <w:t xml:space="preserve"> impact on small businesses</w:t>
      </w:r>
      <w:r w:rsidR="0018506B" w:rsidRPr="00F52DED">
        <w:rPr>
          <w:rFonts w:ascii="Arial" w:hAnsi="Arial" w:cs="Arial"/>
          <w:color w:val="auto"/>
          <w:sz w:val="20"/>
          <w:szCs w:val="20"/>
        </w:rPr>
        <w:t xml:space="preserve"> and other small entities</w:t>
      </w:r>
      <w:r w:rsidR="00880A05" w:rsidRPr="00F52DED">
        <w:rPr>
          <w:rFonts w:ascii="Arial" w:hAnsi="Arial" w:cs="Arial"/>
          <w:color w:val="auto"/>
          <w:sz w:val="20"/>
          <w:szCs w:val="20"/>
        </w:rPr>
        <w:t>.</w:t>
      </w:r>
    </w:p>
    <w:p w:rsidR="00436403" w:rsidRPr="00F52DED" w:rsidRDefault="00436403">
      <w:pPr>
        <w:pStyle w:val="ListParagraph"/>
        <w:ind w:left="0"/>
        <w:rPr>
          <w:rFonts w:ascii="Arial" w:hAnsi="Arial" w:cs="Arial"/>
          <w:sz w:val="20"/>
          <w:szCs w:val="20"/>
        </w:rPr>
      </w:pPr>
    </w:p>
    <w:p w:rsidR="00436403" w:rsidRPr="00F52DED" w:rsidRDefault="005D1078">
      <w:pPr>
        <w:pStyle w:val="Default"/>
        <w:numPr>
          <w:ilvl w:val="0"/>
          <w:numId w:val="5"/>
        </w:numPr>
        <w:ind w:left="360"/>
        <w:rPr>
          <w:rFonts w:ascii="Arial" w:hAnsi="Arial" w:cs="Arial"/>
          <w:color w:val="auto"/>
          <w:sz w:val="20"/>
          <w:szCs w:val="20"/>
        </w:rPr>
      </w:pPr>
      <w:r w:rsidRPr="00F52DED">
        <w:rPr>
          <w:rFonts w:ascii="Arial" w:hAnsi="Arial" w:cs="Arial"/>
          <w:color w:val="auto"/>
          <w:sz w:val="20"/>
          <w:szCs w:val="20"/>
        </w:rPr>
        <w:t xml:space="preserve">If </w:t>
      </w:r>
      <w:r w:rsidR="00CE6EB2" w:rsidRPr="00F52DED">
        <w:rPr>
          <w:rFonts w:ascii="Arial" w:hAnsi="Arial" w:cs="Arial"/>
          <w:color w:val="auto"/>
          <w:sz w:val="20"/>
          <w:szCs w:val="20"/>
        </w:rPr>
        <w:t xml:space="preserve">the information is not collected, </w:t>
      </w:r>
      <w:r w:rsidR="0044321F" w:rsidRPr="00F52DED">
        <w:rPr>
          <w:rFonts w:ascii="Arial" w:hAnsi="Arial" w:cs="Arial"/>
          <w:color w:val="auto"/>
          <w:sz w:val="20"/>
          <w:szCs w:val="20"/>
        </w:rPr>
        <w:t>ECA</w:t>
      </w:r>
      <w:r w:rsidR="00CE6EB2" w:rsidRPr="00F52DED">
        <w:rPr>
          <w:rFonts w:ascii="Arial" w:hAnsi="Arial" w:cs="Arial"/>
          <w:color w:val="auto"/>
          <w:sz w:val="20"/>
          <w:szCs w:val="20"/>
        </w:rPr>
        <w:t xml:space="preserve"> will be unable to </w:t>
      </w:r>
      <w:r w:rsidR="00E36AF7" w:rsidRPr="00F52DED">
        <w:rPr>
          <w:rFonts w:ascii="Arial" w:hAnsi="Arial" w:cs="Arial"/>
          <w:color w:val="auto"/>
          <w:sz w:val="20"/>
          <w:szCs w:val="20"/>
        </w:rPr>
        <w:t xml:space="preserve">complete this study, or gather data requested by ECA </w:t>
      </w:r>
      <w:r w:rsidR="002A6F0A" w:rsidRPr="00F52DED">
        <w:rPr>
          <w:rFonts w:ascii="Arial" w:hAnsi="Arial" w:cs="Arial"/>
          <w:color w:val="auto"/>
          <w:sz w:val="20"/>
          <w:szCs w:val="20"/>
        </w:rPr>
        <w:t xml:space="preserve">senior </w:t>
      </w:r>
      <w:r w:rsidR="00E36AF7" w:rsidRPr="00F52DED">
        <w:rPr>
          <w:rFonts w:ascii="Arial" w:hAnsi="Arial" w:cs="Arial"/>
          <w:color w:val="auto"/>
          <w:sz w:val="20"/>
          <w:szCs w:val="20"/>
        </w:rPr>
        <w:t xml:space="preserve">leadership in order to </w:t>
      </w:r>
      <w:r w:rsidR="00AE12FB" w:rsidRPr="00F52DED">
        <w:rPr>
          <w:rFonts w:ascii="Arial" w:hAnsi="Arial" w:cs="Arial"/>
          <w:color w:val="auto"/>
          <w:sz w:val="20"/>
          <w:szCs w:val="20"/>
        </w:rPr>
        <w:t>assess</w:t>
      </w:r>
      <w:r w:rsidR="00C832AD" w:rsidRPr="00F52DED">
        <w:rPr>
          <w:rFonts w:ascii="Arial" w:hAnsi="Arial" w:cs="Arial"/>
          <w:color w:val="auto"/>
          <w:sz w:val="20"/>
          <w:szCs w:val="20"/>
        </w:rPr>
        <w:t xml:space="preserve"> and report on </w:t>
      </w:r>
      <w:r w:rsidR="008912B1" w:rsidRPr="00F52DED">
        <w:rPr>
          <w:rFonts w:ascii="Arial" w:hAnsi="Arial" w:cs="Arial"/>
          <w:color w:val="auto"/>
          <w:sz w:val="20"/>
          <w:szCs w:val="20"/>
        </w:rPr>
        <w:t xml:space="preserve">this </w:t>
      </w:r>
      <w:r w:rsidR="003F3451" w:rsidRPr="00F52DED">
        <w:rPr>
          <w:rFonts w:ascii="Arial" w:hAnsi="Arial" w:cs="Arial"/>
          <w:color w:val="auto"/>
          <w:sz w:val="20"/>
          <w:szCs w:val="20"/>
        </w:rPr>
        <w:t>study-</w:t>
      </w:r>
      <w:r w:rsidR="008912B1" w:rsidRPr="00F52DED">
        <w:rPr>
          <w:rFonts w:ascii="Arial" w:hAnsi="Arial" w:cs="Arial"/>
          <w:color w:val="auto"/>
          <w:sz w:val="20"/>
          <w:szCs w:val="20"/>
        </w:rPr>
        <w:t xml:space="preserve">abroad program, the only </w:t>
      </w:r>
      <w:r w:rsidR="000531A3" w:rsidRPr="00F52DED">
        <w:rPr>
          <w:rFonts w:ascii="Arial" w:hAnsi="Arial" w:cs="Arial"/>
          <w:color w:val="auto"/>
          <w:sz w:val="20"/>
          <w:szCs w:val="20"/>
        </w:rPr>
        <w:t xml:space="preserve">one </w:t>
      </w:r>
      <w:r w:rsidR="008912B1" w:rsidRPr="00F52DED">
        <w:rPr>
          <w:rFonts w:ascii="Arial" w:hAnsi="Arial" w:cs="Arial"/>
          <w:color w:val="auto"/>
          <w:sz w:val="20"/>
          <w:szCs w:val="20"/>
        </w:rPr>
        <w:t>that focuses solely on underserved populations</w:t>
      </w:r>
      <w:r w:rsidR="00CE6EB2" w:rsidRPr="00F52DED">
        <w:rPr>
          <w:rFonts w:ascii="Arial" w:hAnsi="Arial" w:cs="Arial"/>
          <w:color w:val="auto"/>
          <w:sz w:val="20"/>
          <w:szCs w:val="20"/>
        </w:rPr>
        <w:t xml:space="preserve">.  Moreover, the Department will be unable to comply fully with its congressional and </w:t>
      </w:r>
      <w:r w:rsidR="003F3451" w:rsidRPr="00F52DED">
        <w:rPr>
          <w:rFonts w:ascii="Arial" w:hAnsi="Arial" w:cs="Arial"/>
          <w:color w:val="auto"/>
          <w:sz w:val="20"/>
          <w:szCs w:val="20"/>
        </w:rPr>
        <w:t xml:space="preserve">Department </w:t>
      </w:r>
      <w:r w:rsidR="00CE6EB2" w:rsidRPr="00F52DED">
        <w:rPr>
          <w:rFonts w:ascii="Arial" w:hAnsi="Arial" w:cs="Arial"/>
          <w:color w:val="auto"/>
          <w:sz w:val="20"/>
          <w:szCs w:val="20"/>
        </w:rPr>
        <w:t xml:space="preserve">executive mandates, including </w:t>
      </w:r>
      <w:r w:rsidR="0033561F" w:rsidRPr="00F52DED">
        <w:rPr>
          <w:rFonts w:ascii="Arial" w:hAnsi="Arial" w:cs="Arial"/>
          <w:color w:val="auto"/>
          <w:sz w:val="20"/>
          <w:szCs w:val="20"/>
        </w:rPr>
        <w:t xml:space="preserve">the GPRA Modernization Act of 2010 which </w:t>
      </w:r>
      <w:r w:rsidR="00FC440D" w:rsidRPr="00F52DED">
        <w:rPr>
          <w:rFonts w:ascii="Arial" w:hAnsi="Arial" w:cs="Arial"/>
          <w:color w:val="auto"/>
          <w:sz w:val="20"/>
          <w:szCs w:val="20"/>
        </w:rPr>
        <w:t xml:space="preserve">requires </w:t>
      </w:r>
      <w:r w:rsidR="0033561F" w:rsidRPr="00F52DED">
        <w:rPr>
          <w:rFonts w:ascii="Arial" w:hAnsi="Arial" w:cs="Arial"/>
          <w:color w:val="auto"/>
          <w:sz w:val="20"/>
          <w:szCs w:val="20"/>
        </w:rPr>
        <w:t xml:space="preserve">the </w:t>
      </w:r>
      <w:r w:rsidR="003F3451" w:rsidRPr="00F52DED">
        <w:rPr>
          <w:rFonts w:ascii="Arial" w:hAnsi="Arial" w:cs="Arial"/>
          <w:color w:val="auto"/>
          <w:sz w:val="20"/>
          <w:szCs w:val="20"/>
        </w:rPr>
        <w:t xml:space="preserve">Department </w:t>
      </w:r>
      <w:r w:rsidR="00CE6EB2" w:rsidRPr="00F52DED">
        <w:rPr>
          <w:rFonts w:ascii="Arial" w:hAnsi="Arial" w:cs="Arial"/>
          <w:color w:val="auto"/>
          <w:sz w:val="20"/>
          <w:szCs w:val="20"/>
        </w:rPr>
        <w:t xml:space="preserve">to evaluate and report the results of </w:t>
      </w:r>
      <w:r w:rsidR="0034528B" w:rsidRPr="00F52DED">
        <w:rPr>
          <w:rFonts w:ascii="Arial" w:hAnsi="Arial" w:cs="Arial"/>
          <w:color w:val="auto"/>
          <w:sz w:val="20"/>
          <w:szCs w:val="20"/>
        </w:rPr>
        <w:t xml:space="preserve">its </w:t>
      </w:r>
      <w:r w:rsidR="00CE6EB2" w:rsidRPr="00F52DED">
        <w:rPr>
          <w:rFonts w:ascii="Arial" w:hAnsi="Arial" w:cs="Arial"/>
          <w:color w:val="auto"/>
          <w:sz w:val="20"/>
          <w:szCs w:val="20"/>
        </w:rPr>
        <w:t xml:space="preserve">exchange programs.  </w:t>
      </w:r>
      <w:bookmarkStart w:id="2" w:name="_Toc54060556"/>
    </w:p>
    <w:p w:rsidR="00436403" w:rsidRPr="00F52DED" w:rsidRDefault="00436403">
      <w:pPr>
        <w:pStyle w:val="ListParagraph"/>
        <w:ind w:left="0"/>
        <w:rPr>
          <w:rFonts w:ascii="Arial" w:hAnsi="Arial" w:cs="Arial"/>
          <w:sz w:val="20"/>
          <w:szCs w:val="20"/>
        </w:rPr>
      </w:pPr>
    </w:p>
    <w:bookmarkEnd w:id="2"/>
    <w:p w:rsidR="00436403" w:rsidRPr="00F52DED" w:rsidRDefault="00A227B8">
      <w:pPr>
        <w:pStyle w:val="Default"/>
        <w:numPr>
          <w:ilvl w:val="0"/>
          <w:numId w:val="5"/>
        </w:numPr>
        <w:ind w:left="360"/>
        <w:rPr>
          <w:rFonts w:ascii="Arial" w:hAnsi="Arial" w:cs="Arial"/>
          <w:color w:val="auto"/>
          <w:sz w:val="20"/>
          <w:szCs w:val="20"/>
        </w:rPr>
      </w:pPr>
      <w:r w:rsidRPr="00F52DED">
        <w:rPr>
          <w:rFonts w:ascii="Arial" w:hAnsi="Arial" w:cs="Arial"/>
          <w:color w:val="auto"/>
          <w:sz w:val="20"/>
          <w:szCs w:val="20"/>
        </w:rPr>
        <w:t>There are no special circumstances.</w:t>
      </w:r>
    </w:p>
    <w:p w:rsidR="00436403" w:rsidRPr="00F52DED" w:rsidRDefault="00436403">
      <w:pPr>
        <w:pStyle w:val="ListParagraph"/>
        <w:ind w:left="0"/>
        <w:rPr>
          <w:rFonts w:ascii="Arial" w:hAnsi="Arial" w:cs="Arial"/>
          <w:sz w:val="20"/>
          <w:szCs w:val="20"/>
        </w:rPr>
      </w:pPr>
    </w:p>
    <w:p w:rsidR="00436403" w:rsidRPr="00F52DED" w:rsidRDefault="00560280">
      <w:pPr>
        <w:pStyle w:val="Default"/>
        <w:numPr>
          <w:ilvl w:val="0"/>
          <w:numId w:val="5"/>
        </w:numPr>
        <w:ind w:left="360"/>
        <w:rPr>
          <w:rFonts w:ascii="Arial" w:hAnsi="Arial" w:cs="Arial"/>
          <w:sz w:val="20"/>
          <w:szCs w:val="20"/>
        </w:rPr>
      </w:pPr>
      <w:r w:rsidRPr="00F52DED">
        <w:rPr>
          <w:rFonts w:ascii="Arial" w:hAnsi="Arial" w:cs="Arial"/>
          <w:sz w:val="20"/>
          <w:szCs w:val="20"/>
        </w:rPr>
        <w:t>ECA/P/V</w:t>
      </w:r>
      <w:r w:rsidR="009F07D3" w:rsidRPr="00F52DED">
        <w:rPr>
          <w:rFonts w:ascii="Arial" w:hAnsi="Arial" w:cs="Arial"/>
          <w:sz w:val="20"/>
          <w:szCs w:val="20"/>
        </w:rPr>
        <w:t xml:space="preserve"> </w:t>
      </w:r>
      <w:r w:rsidR="0006465D" w:rsidRPr="00F52DED">
        <w:rPr>
          <w:rFonts w:ascii="Arial" w:hAnsi="Arial" w:cs="Arial"/>
          <w:sz w:val="20"/>
          <w:szCs w:val="20"/>
        </w:rPr>
        <w:t>has solicited public comments on this collection via a</w:t>
      </w:r>
      <w:r w:rsidR="007350A3" w:rsidRPr="00F52DED">
        <w:rPr>
          <w:rFonts w:ascii="Arial" w:hAnsi="Arial" w:cs="Arial"/>
          <w:sz w:val="20"/>
          <w:szCs w:val="20"/>
        </w:rPr>
        <w:t xml:space="preserve"> 60-day Notice published in the </w:t>
      </w:r>
      <w:r w:rsidR="007350A3" w:rsidRPr="00F52DED">
        <w:rPr>
          <w:rFonts w:ascii="Arial" w:hAnsi="Arial" w:cs="Arial"/>
          <w:i/>
          <w:sz w:val="20"/>
          <w:szCs w:val="20"/>
        </w:rPr>
        <w:t>Federal Register</w:t>
      </w:r>
      <w:r w:rsidR="007350A3" w:rsidRPr="00F52DED">
        <w:rPr>
          <w:rFonts w:ascii="Arial" w:hAnsi="Arial" w:cs="Arial"/>
          <w:sz w:val="20"/>
          <w:szCs w:val="20"/>
        </w:rPr>
        <w:t xml:space="preserve"> </w:t>
      </w:r>
      <w:r w:rsidR="007F3BE3" w:rsidRPr="00F52DED">
        <w:rPr>
          <w:rFonts w:ascii="Arial" w:hAnsi="Arial" w:cs="Arial"/>
          <w:sz w:val="20"/>
          <w:szCs w:val="20"/>
        </w:rPr>
        <w:t xml:space="preserve">on Dec. 19, 2012 (77 FR </w:t>
      </w:r>
      <w:r w:rsidR="000B4FF2" w:rsidRPr="00F52DED">
        <w:rPr>
          <w:rFonts w:ascii="Arial" w:hAnsi="Arial" w:cs="Arial"/>
          <w:sz w:val="20"/>
          <w:szCs w:val="20"/>
        </w:rPr>
        <w:t>75251</w:t>
      </w:r>
      <w:r w:rsidR="007F3BE3" w:rsidRPr="00F52DED">
        <w:rPr>
          <w:rFonts w:ascii="Arial" w:hAnsi="Arial" w:cs="Arial"/>
          <w:sz w:val="20"/>
          <w:szCs w:val="20"/>
        </w:rPr>
        <w:t>)</w:t>
      </w:r>
      <w:r w:rsidR="007350A3" w:rsidRPr="00F52DED">
        <w:rPr>
          <w:rFonts w:ascii="Arial" w:hAnsi="Arial" w:cs="Arial"/>
          <w:sz w:val="20"/>
          <w:szCs w:val="20"/>
        </w:rPr>
        <w:t xml:space="preserve">. </w:t>
      </w:r>
      <w:r w:rsidR="0006465D" w:rsidRPr="00F52DED">
        <w:rPr>
          <w:rFonts w:ascii="Arial" w:hAnsi="Arial" w:cs="Arial"/>
          <w:sz w:val="20"/>
          <w:szCs w:val="20"/>
        </w:rPr>
        <w:t>One comment was received.  Upon reviewing the comment, ECA/P/V determined that the comment was unrelated to the information collection</w:t>
      </w:r>
      <w:r w:rsidR="00420B4F" w:rsidRPr="00F52DED">
        <w:rPr>
          <w:rFonts w:ascii="Arial" w:hAnsi="Arial" w:cs="Arial"/>
          <w:sz w:val="20"/>
          <w:szCs w:val="20"/>
        </w:rPr>
        <w:t>,</w:t>
      </w:r>
      <w:r w:rsidR="0006465D" w:rsidRPr="00F52DED">
        <w:rPr>
          <w:rFonts w:ascii="Arial" w:hAnsi="Arial" w:cs="Arial"/>
          <w:sz w:val="20"/>
          <w:szCs w:val="20"/>
        </w:rPr>
        <w:t xml:space="preserve"> and instead addressed broader Department wide policy a</w:t>
      </w:r>
      <w:r w:rsidR="00A97764" w:rsidRPr="00F52DED">
        <w:rPr>
          <w:rFonts w:ascii="Arial" w:hAnsi="Arial" w:cs="Arial"/>
          <w:sz w:val="20"/>
          <w:szCs w:val="20"/>
        </w:rPr>
        <w:t>nd budget regarding the program</w:t>
      </w:r>
      <w:r w:rsidR="0006465D" w:rsidRPr="00F52DED">
        <w:rPr>
          <w:rFonts w:ascii="Arial" w:hAnsi="Arial" w:cs="Arial"/>
          <w:sz w:val="20"/>
          <w:szCs w:val="20"/>
        </w:rPr>
        <w:t>.</w:t>
      </w:r>
      <w:r w:rsidR="00A97764" w:rsidRPr="00F52DED">
        <w:rPr>
          <w:rFonts w:ascii="Arial" w:hAnsi="Arial" w:cs="Arial"/>
          <w:sz w:val="20"/>
          <w:szCs w:val="20"/>
        </w:rPr>
        <w:t xml:space="preserve"> </w:t>
      </w:r>
      <w:r w:rsidR="007710B6" w:rsidRPr="00F52DED">
        <w:rPr>
          <w:rFonts w:ascii="Arial" w:hAnsi="Arial" w:cs="Arial"/>
          <w:sz w:val="20"/>
          <w:szCs w:val="20"/>
        </w:rPr>
        <w:t xml:space="preserve">ECA/P/V </w:t>
      </w:r>
      <w:r w:rsidR="005B3296" w:rsidRPr="00F52DED">
        <w:rPr>
          <w:rFonts w:ascii="Arial" w:hAnsi="Arial" w:cs="Arial"/>
          <w:sz w:val="20"/>
          <w:szCs w:val="20"/>
        </w:rPr>
        <w:t>has</w:t>
      </w:r>
      <w:r w:rsidR="00217924" w:rsidRPr="00F52DED">
        <w:rPr>
          <w:rFonts w:ascii="Arial" w:hAnsi="Arial" w:cs="Arial"/>
          <w:sz w:val="20"/>
          <w:szCs w:val="20"/>
        </w:rPr>
        <w:t xml:space="preserve"> consult</w:t>
      </w:r>
      <w:r w:rsidR="005B3296" w:rsidRPr="00F52DED">
        <w:rPr>
          <w:rFonts w:ascii="Arial" w:hAnsi="Arial" w:cs="Arial"/>
          <w:sz w:val="20"/>
          <w:szCs w:val="20"/>
        </w:rPr>
        <w:t>ed</w:t>
      </w:r>
      <w:r w:rsidR="007710B6" w:rsidRPr="00F52DED">
        <w:rPr>
          <w:rFonts w:ascii="Arial" w:hAnsi="Arial" w:cs="Arial"/>
          <w:sz w:val="20"/>
          <w:szCs w:val="20"/>
        </w:rPr>
        <w:t xml:space="preserve"> with </w:t>
      </w:r>
      <w:r w:rsidR="00217924" w:rsidRPr="00F52DED">
        <w:rPr>
          <w:rFonts w:ascii="Arial" w:hAnsi="Arial" w:cs="Arial"/>
          <w:sz w:val="20"/>
          <w:szCs w:val="20"/>
        </w:rPr>
        <w:t xml:space="preserve">an </w:t>
      </w:r>
      <w:r w:rsidR="007710B6" w:rsidRPr="00F52DED">
        <w:rPr>
          <w:rFonts w:ascii="Arial" w:hAnsi="Arial" w:cs="Arial"/>
          <w:sz w:val="20"/>
          <w:szCs w:val="20"/>
        </w:rPr>
        <w:t xml:space="preserve">external </w:t>
      </w:r>
      <w:r w:rsidR="00217924" w:rsidRPr="00F52DED">
        <w:rPr>
          <w:rFonts w:ascii="Arial" w:hAnsi="Arial" w:cs="Arial"/>
          <w:sz w:val="20"/>
          <w:szCs w:val="20"/>
        </w:rPr>
        <w:t>contractor</w:t>
      </w:r>
      <w:r w:rsidR="00312143" w:rsidRPr="00F52DED">
        <w:rPr>
          <w:rFonts w:ascii="Arial" w:hAnsi="Arial" w:cs="Arial"/>
          <w:sz w:val="20"/>
          <w:szCs w:val="20"/>
        </w:rPr>
        <w:t>,</w:t>
      </w:r>
      <w:r w:rsidR="008E3106" w:rsidRPr="00F52DED">
        <w:rPr>
          <w:rFonts w:ascii="Arial" w:hAnsi="Arial" w:cs="Arial"/>
          <w:sz w:val="20"/>
          <w:szCs w:val="20"/>
        </w:rPr>
        <w:t xml:space="preserve"> </w:t>
      </w:r>
      <w:r w:rsidR="00113606" w:rsidRPr="00F52DED">
        <w:rPr>
          <w:rFonts w:ascii="Arial" w:hAnsi="Arial" w:cs="Arial"/>
          <w:sz w:val="20"/>
          <w:szCs w:val="20"/>
        </w:rPr>
        <w:t>RSI</w:t>
      </w:r>
      <w:r w:rsidR="00217924" w:rsidRPr="00F52DED">
        <w:rPr>
          <w:rFonts w:ascii="Arial" w:hAnsi="Arial" w:cs="Arial"/>
          <w:sz w:val="20"/>
          <w:szCs w:val="20"/>
        </w:rPr>
        <w:t xml:space="preserve"> </w:t>
      </w:r>
      <w:r w:rsidR="007710B6" w:rsidRPr="00F52DED">
        <w:rPr>
          <w:rFonts w:ascii="Arial" w:hAnsi="Arial" w:cs="Arial"/>
          <w:sz w:val="20"/>
          <w:szCs w:val="20"/>
        </w:rPr>
        <w:t xml:space="preserve">about </w:t>
      </w:r>
      <w:r w:rsidR="00217924" w:rsidRPr="00F52DED">
        <w:rPr>
          <w:rFonts w:ascii="Arial" w:hAnsi="Arial" w:cs="Arial"/>
          <w:sz w:val="20"/>
          <w:szCs w:val="20"/>
        </w:rPr>
        <w:t xml:space="preserve">the </w:t>
      </w:r>
      <w:r w:rsidR="007710B6" w:rsidRPr="00F52DED">
        <w:rPr>
          <w:rFonts w:ascii="Arial" w:hAnsi="Arial" w:cs="Arial"/>
          <w:sz w:val="20"/>
          <w:szCs w:val="20"/>
        </w:rPr>
        <w:t>survey</w:t>
      </w:r>
      <w:r w:rsidR="00217924" w:rsidRPr="00F52DED">
        <w:rPr>
          <w:rFonts w:ascii="Arial" w:hAnsi="Arial" w:cs="Arial"/>
          <w:sz w:val="20"/>
          <w:szCs w:val="20"/>
        </w:rPr>
        <w:t>s</w:t>
      </w:r>
      <w:r w:rsidR="007710B6" w:rsidRPr="00F52DED">
        <w:rPr>
          <w:rFonts w:ascii="Arial" w:hAnsi="Arial" w:cs="Arial"/>
          <w:sz w:val="20"/>
          <w:szCs w:val="20"/>
        </w:rPr>
        <w:t xml:space="preserve"> design, methodology, analysis, </w:t>
      </w:r>
      <w:r w:rsidR="00217924" w:rsidRPr="00F52DED">
        <w:rPr>
          <w:rFonts w:ascii="Arial" w:hAnsi="Arial" w:cs="Arial"/>
          <w:sz w:val="20"/>
          <w:szCs w:val="20"/>
        </w:rPr>
        <w:t xml:space="preserve">and </w:t>
      </w:r>
      <w:r w:rsidR="007D3A4A" w:rsidRPr="00F52DED">
        <w:rPr>
          <w:rFonts w:ascii="Arial" w:hAnsi="Arial" w:cs="Arial"/>
          <w:sz w:val="20"/>
          <w:szCs w:val="20"/>
        </w:rPr>
        <w:t>data collection approach</w:t>
      </w:r>
      <w:r w:rsidR="00217924" w:rsidRPr="00F52DED">
        <w:rPr>
          <w:rFonts w:ascii="Arial" w:hAnsi="Arial" w:cs="Arial"/>
          <w:sz w:val="20"/>
          <w:szCs w:val="20"/>
        </w:rPr>
        <w:t>.</w:t>
      </w:r>
    </w:p>
    <w:p w:rsidR="00436403" w:rsidRPr="00F52DED" w:rsidRDefault="00436403">
      <w:pPr>
        <w:pStyle w:val="ListParagraph"/>
        <w:ind w:left="0"/>
        <w:rPr>
          <w:rFonts w:ascii="Arial" w:hAnsi="Arial" w:cs="Arial"/>
          <w:sz w:val="20"/>
          <w:szCs w:val="20"/>
        </w:rPr>
      </w:pPr>
    </w:p>
    <w:p w:rsidR="00436403" w:rsidRPr="00F52DED" w:rsidRDefault="00A227B8">
      <w:pPr>
        <w:pStyle w:val="Default"/>
        <w:numPr>
          <w:ilvl w:val="0"/>
          <w:numId w:val="5"/>
        </w:numPr>
        <w:ind w:left="360"/>
        <w:rPr>
          <w:rFonts w:ascii="Arial" w:hAnsi="Arial" w:cs="Arial"/>
          <w:color w:val="auto"/>
          <w:sz w:val="20"/>
          <w:szCs w:val="20"/>
        </w:rPr>
      </w:pPr>
      <w:r w:rsidRPr="00F52DED">
        <w:rPr>
          <w:rFonts w:ascii="Arial" w:hAnsi="Arial" w:cs="Arial"/>
          <w:color w:val="auto"/>
          <w:sz w:val="20"/>
          <w:szCs w:val="20"/>
        </w:rPr>
        <w:t>No gifts or payments will be made to the respondents</w:t>
      </w:r>
      <w:r w:rsidR="00CE6EB2" w:rsidRPr="00F52DED">
        <w:rPr>
          <w:rFonts w:ascii="Arial" w:hAnsi="Arial" w:cs="Arial"/>
          <w:color w:val="auto"/>
          <w:sz w:val="20"/>
          <w:szCs w:val="20"/>
        </w:rPr>
        <w:t>.</w:t>
      </w:r>
    </w:p>
    <w:p w:rsidR="00436403" w:rsidRPr="00F52DED" w:rsidRDefault="00436403">
      <w:pPr>
        <w:pStyle w:val="ListParagraph"/>
        <w:ind w:left="0"/>
        <w:rPr>
          <w:rFonts w:ascii="Arial" w:hAnsi="Arial" w:cs="Arial"/>
          <w:sz w:val="20"/>
          <w:szCs w:val="20"/>
        </w:rPr>
      </w:pPr>
    </w:p>
    <w:p w:rsidR="00436403" w:rsidRPr="00F52DED" w:rsidRDefault="00F410E4">
      <w:pPr>
        <w:pStyle w:val="Default"/>
        <w:numPr>
          <w:ilvl w:val="0"/>
          <w:numId w:val="5"/>
        </w:numPr>
        <w:ind w:left="360"/>
        <w:rPr>
          <w:rFonts w:ascii="Arial" w:hAnsi="Arial" w:cs="Arial"/>
          <w:color w:val="auto"/>
          <w:sz w:val="20"/>
          <w:szCs w:val="20"/>
        </w:rPr>
      </w:pPr>
      <w:r w:rsidRPr="00F52DED">
        <w:rPr>
          <w:rFonts w:ascii="Arial" w:hAnsi="Arial" w:cs="Arial"/>
          <w:color w:val="auto"/>
          <w:sz w:val="20"/>
          <w:szCs w:val="20"/>
        </w:rPr>
        <w:t xml:space="preserve">No promises of confidentiality will be made to respondents.  The Department of State </w:t>
      </w:r>
      <w:r w:rsidR="003F3451" w:rsidRPr="00F52DED">
        <w:rPr>
          <w:rFonts w:ascii="Arial" w:hAnsi="Arial" w:cs="Arial"/>
          <w:color w:val="auto"/>
          <w:sz w:val="20"/>
          <w:szCs w:val="20"/>
        </w:rPr>
        <w:t xml:space="preserve">intends to </w:t>
      </w:r>
      <w:r w:rsidRPr="00F52DED">
        <w:rPr>
          <w:rFonts w:ascii="Arial" w:hAnsi="Arial" w:cs="Arial"/>
          <w:color w:val="auto"/>
          <w:sz w:val="20"/>
          <w:szCs w:val="20"/>
        </w:rPr>
        <w:t>keep the information private to the extent permitted by law.</w:t>
      </w:r>
    </w:p>
    <w:p w:rsidR="00436403" w:rsidRPr="00F52DED" w:rsidRDefault="00436403">
      <w:pPr>
        <w:pStyle w:val="ListParagraph"/>
        <w:ind w:left="0"/>
        <w:rPr>
          <w:rFonts w:ascii="Arial" w:hAnsi="Arial" w:cs="Arial"/>
          <w:sz w:val="20"/>
          <w:szCs w:val="20"/>
        </w:rPr>
      </w:pPr>
    </w:p>
    <w:p w:rsidR="00436403" w:rsidRPr="00F52DED" w:rsidRDefault="00584513">
      <w:pPr>
        <w:pStyle w:val="Default"/>
        <w:numPr>
          <w:ilvl w:val="0"/>
          <w:numId w:val="5"/>
        </w:numPr>
        <w:ind w:left="360"/>
        <w:rPr>
          <w:rFonts w:ascii="Arial" w:hAnsi="Arial" w:cs="Arial"/>
          <w:color w:val="auto"/>
          <w:sz w:val="22"/>
          <w:szCs w:val="22"/>
        </w:rPr>
      </w:pPr>
      <w:r w:rsidRPr="00F52DED">
        <w:rPr>
          <w:rFonts w:ascii="Arial" w:hAnsi="Arial" w:cs="Arial"/>
          <w:color w:val="auto"/>
          <w:sz w:val="20"/>
          <w:szCs w:val="20"/>
        </w:rPr>
        <w:t>No questions of a sensitive nature are asked in the survey.</w:t>
      </w:r>
    </w:p>
    <w:p w:rsidR="00554463" w:rsidRPr="00F52DED" w:rsidRDefault="00554463" w:rsidP="00D61AAA">
      <w:pPr>
        <w:pStyle w:val="ListParagraph"/>
        <w:rPr>
          <w:rFonts w:ascii="Arial" w:hAnsi="Arial" w:cs="Arial"/>
          <w:sz w:val="22"/>
          <w:szCs w:val="22"/>
        </w:rPr>
      </w:pPr>
    </w:p>
    <w:p w:rsidR="00436403" w:rsidRPr="00F52DED" w:rsidRDefault="00CE6EB2">
      <w:pPr>
        <w:pStyle w:val="Default"/>
        <w:numPr>
          <w:ilvl w:val="0"/>
          <w:numId w:val="5"/>
        </w:numPr>
        <w:ind w:left="360"/>
        <w:rPr>
          <w:rFonts w:ascii="Arial" w:hAnsi="Arial" w:cs="Arial"/>
          <w:color w:val="auto"/>
          <w:sz w:val="22"/>
          <w:szCs w:val="22"/>
        </w:rPr>
      </w:pPr>
      <w:r w:rsidRPr="00F52DED">
        <w:rPr>
          <w:rFonts w:ascii="Arial" w:hAnsi="Arial" w:cs="Arial"/>
          <w:sz w:val="20"/>
          <w:szCs w:val="20"/>
        </w:rPr>
        <w:t xml:space="preserve">It is estimated that the </w:t>
      </w:r>
      <w:r w:rsidR="007E41D7" w:rsidRPr="00F52DED">
        <w:rPr>
          <w:rFonts w:ascii="Arial" w:hAnsi="Arial" w:cs="Arial"/>
          <w:sz w:val="20"/>
          <w:szCs w:val="20"/>
        </w:rPr>
        <w:t xml:space="preserve">total </w:t>
      </w:r>
      <w:r w:rsidRPr="00F52DED">
        <w:rPr>
          <w:rFonts w:ascii="Arial" w:hAnsi="Arial" w:cs="Arial"/>
          <w:sz w:val="20"/>
          <w:szCs w:val="20"/>
        </w:rPr>
        <w:t xml:space="preserve">annual hour burden will be </w:t>
      </w:r>
      <w:r w:rsidR="00010D2D" w:rsidRPr="00F52DED">
        <w:rPr>
          <w:rFonts w:ascii="Arial" w:hAnsi="Arial" w:cs="Arial"/>
          <w:sz w:val="20"/>
          <w:szCs w:val="20"/>
        </w:rPr>
        <w:t>1,</w:t>
      </w:r>
      <w:r w:rsidR="00E81084" w:rsidRPr="00F52DED">
        <w:rPr>
          <w:rFonts w:ascii="Arial" w:hAnsi="Arial" w:cs="Arial"/>
          <w:sz w:val="20"/>
          <w:szCs w:val="20"/>
        </w:rPr>
        <w:t>031</w:t>
      </w:r>
      <w:r w:rsidR="00010D2D" w:rsidRPr="00F52DED">
        <w:rPr>
          <w:rFonts w:ascii="Arial" w:hAnsi="Arial" w:cs="Arial"/>
          <w:sz w:val="20"/>
          <w:szCs w:val="20"/>
        </w:rPr>
        <w:t xml:space="preserve"> </w:t>
      </w:r>
      <w:r w:rsidRPr="00F52DED">
        <w:rPr>
          <w:rFonts w:ascii="Arial" w:hAnsi="Arial" w:cs="Arial"/>
          <w:sz w:val="20"/>
          <w:szCs w:val="20"/>
        </w:rPr>
        <w:t xml:space="preserve">hours for </w:t>
      </w:r>
      <w:r w:rsidR="00EA5A6C" w:rsidRPr="00F52DED">
        <w:rPr>
          <w:rFonts w:ascii="Arial" w:hAnsi="Arial" w:cs="Arial"/>
          <w:sz w:val="20"/>
          <w:szCs w:val="20"/>
        </w:rPr>
        <w:t xml:space="preserve">the </w:t>
      </w:r>
      <w:r w:rsidR="00D038FA" w:rsidRPr="00F52DED">
        <w:rPr>
          <w:rFonts w:ascii="Arial" w:hAnsi="Arial" w:cs="Arial"/>
          <w:sz w:val="20"/>
          <w:szCs w:val="20"/>
        </w:rPr>
        <w:t>6</w:t>
      </w:r>
      <w:r w:rsidR="00F962A9" w:rsidRPr="00F52DED">
        <w:rPr>
          <w:rFonts w:ascii="Arial" w:hAnsi="Arial" w:cs="Arial"/>
          <w:sz w:val="20"/>
          <w:szCs w:val="20"/>
        </w:rPr>
        <w:t>,</w:t>
      </w:r>
      <w:r w:rsidR="00D038FA" w:rsidRPr="00F52DED">
        <w:rPr>
          <w:rFonts w:ascii="Arial" w:hAnsi="Arial" w:cs="Arial"/>
          <w:sz w:val="20"/>
          <w:szCs w:val="20"/>
        </w:rPr>
        <w:t>184</w:t>
      </w:r>
      <w:r w:rsidRPr="00F52DED">
        <w:rPr>
          <w:rFonts w:ascii="Arial" w:hAnsi="Arial" w:cs="Arial"/>
          <w:sz w:val="20"/>
          <w:szCs w:val="20"/>
        </w:rPr>
        <w:t xml:space="preserve"> respondents</w:t>
      </w:r>
      <w:r w:rsidR="00D76A5D" w:rsidRPr="00F52DED">
        <w:rPr>
          <w:rFonts w:ascii="Arial" w:hAnsi="Arial" w:cs="Arial"/>
          <w:sz w:val="20"/>
          <w:szCs w:val="20"/>
        </w:rPr>
        <w:t xml:space="preserve"> </w:t>
      </w:r>
      <w:r w:rsidR="000E3467" w:rsidRPr="00F52DED">
        <w:rPr>
          <w:rFonts w:ascii="Arial" w:hAnsi="Arial" w:cs="Arial"/>
          <w:sz w:val="20"/>
          <w:szCs w:val="20"/>
        </w:rPr>
        <w:t>that make up the census population</w:t>
      </w:r>
      <w:r w:rsidR="003F3451" w:rsidRPr="00F52DED">
        <w:rPr>
          <w:rFonts w:ascii="Arial" w:hAnsi="Arial" w:cs="Arial"/>
          <w:sz w:val="20"/>
          <w:szCs w:val="20"/>
        </w:rPr>
        <w:t>.</w:t>
      </w:r>
      <w:r w:rsidR="00EA5A6C" w:rsidRPr="00F52DED">
        <w:rPr>
          <w:rFonts w:ascii="Arial" w:hAnsi="Arial" w:cs="Arial"/>
          <w:sz w:val="20"/>
          <w:szCs w:val="20"/>
        </w:rPr>
        <w:t xml:space="preserve"> </w:t>
      </w:r>
      <w:r w:rsidR="00903FC1" w:rsidRPr="00F52DED">
        <w:rPr>
          <w:rFonts w:ascii="Arial" w:hAnsi="Arial" w:cs="Arial"/>
          <w:sz w:val="20"/>
          <w:szCs w:val="20"/>
        </w:rPr>
        <w:t>(</w:t>
      </w:r>
      <w:r w:rsidR="00A50ED6" w:rsidRPr="00F52DED">
        <w:rPr>
          <w:rFonts w:ascii="Arial" w:hAnsi="Arial" w:cs="Arial"/>
          <w:sz w:val="20"/>
          <w:szCs w:val="20"/>
        </w:rPr>
        <w:t xml:space="preserve">As </w:t>
      </w:r>
      <w:r w:rsidR="00B26763" w:rsidRPr="00F52DED">
        <w:rPr>
          <w:rFonts w:ascii="Arial" w:hAnsi="Arial" w:cs="Arial"/>
          <w:sz w:val="20"/>
          <w:szCs w:val="20"/>
        </w:rPr>
        <w:t>explained in Section B</w:t>
      </w:r>
      <w:r w:rsidR="000B4FF2" w:rsidRPr="00F52DED">
        <w:rPr>
          <w:rFonts w:ascii="Arial" w:hAnsi="Arial" w:cs="Arial"/>
          <w:sz w:val="20"/>
          <w:szCs w:val="20"/>
        </w:rPr>
        <w:t>2</w:t>
      </w:r>
      <w:r w:rsidR="00CD1531" w:rsidRPr="00F52DED">
        <w:rPr>
          <w:rFonts w:ascii="Arial" w:hAnsi="Arial" w:cs="Arial"/>
          <w:sz w:val="20"/>
          <w:szCs w:val="20"/>
        </w:rPr>
        <w:t>, i</w:t>
      </w:r>
      <w:r w:rsidR="000E3467" w:rsidRPr="00F52DED">
        <w:rPr>
          <w:rFonts w:ascii="Arial" w:hAnsi="Arial" w:cs="Arial"/>
          <w:sz w:val="20"/>
          <w:szCs w:val="20"/>
        </w:rPr>
        <w:t xml:space="preserve">t is estimated that </w:t>
      </w:r>
      <w:r w:rsidR="00CD1531" w:rsidRPr="00F52DED">
        <w:rPr>
          <w:rFonts w:ascii="Arial" w:hAnsi="Arial" w:cs="Arial"/>
          <w:sz w:val="20"/>
          <w:szCs w:val="20"/>
        </w:rPr>
        <w:t xml:space="preserve">the response rate </w:t>
      </w:r>
      <w:r w:rsidR="00A50ED6" w:rsidRPr="00F52DED">
        <w:rPr>
          <w:rFonts w:ascii="Arial" w:hAnsi="Arial" w:cs="Arial"/>
          <w:sz w:val="20"/>
          <w:szCs w:val="20"/>
        </w:rPr>
        <w:t xml:space="preserve">to the surveys </w:t>
      </w:r>
      <w:r w:rsidR="00CD1531" w:rsidRPr="00F52DED">
        <w:rPr>
          <w:rFonts w:ascii="Arial" w:hAnsi="Arial" w:cs="Arial"/>
          <w:sz w:val="20"/>
          <w:szCs w:val="20"/>
        </w:rPr>
        <w:t>will be 40%</w:t>
      </w:r>
      <w:r w:rsidR="00903FC1" w:rsidRPr="00F52DED">
        <w:rPr>
          <w:rFonts w:ascii="Arial" w:hAnsi="Arial" w:cs="Arial"/>
          <w:sz w:val="20"/>
          <w:szCs w:val="20"/>
        </w:rPr>
        <w:t>.)</w:t>
      </w:r>
      <w:r w:rsidR="00D76A5D" w:rsidRPr="00F52DED">
        <w:rPr>
          <w:rFonts w:ascii="Arial" w:hAnsi="Arial" w:cs="Arial"/>
          <w:sz w:val="20"/>
          <w:szCs w:val="20"/>
        </w:rPr>
        <w:t xml:space="preserve"> </w:t>
      </w:r>
      <w:r w:rsidR="00CD1531" w:rsidRPr="00F52DED">
        <w:rPr>
          <w:rFonts w:ascii="Arial" w:hAnsi="Arial" w:cs="Arial"/>
          <w:sz w:val="20"/>
          <w:szCs w:val="20"/>
        </w:rPr>
        <w:t xml:space="preserve"> </w:t>
      </w:r>
      <w:r w:rsidR="00D76A5D" w:rsidRPr="00F52DED">
        <w:rPr>
          <w:rFonts w:ascii="Arial" w:hAnsi="Arial" w:cs="Arial"/>
          <w:sz w:val="20"/>
          <w:szCs w:val="20"/>
        </w:rPr>
        <w:t>Th</w:t>
      </w:r>
      <w:r w:rsidR="00A50ED6" w:rsidRPr="00F52DED">
        <w:rPr>
          <w:rFonts w:ascii="Arial" w:hAnsi="Arial" w:cs="Arial"/>
          <w:sz w:val="20"/>
          <w:szCs w:val="20"/>
        </w:rPr>
        <w:t>e</w:t>
      </w:r>
      <w:r w:rsidR="00D76A5D" w:rsidRPr="00F52DED">
        <w:rPr>
          <w:rFonts w:ascii="Arial" w:hAnsi="Arial" w:cs="Arial"/>
          <w:sz w:val="20"/>
          <w:szCs w:val="20"/>
        </w:rPr>
        <w:t xml:space="preserve"> annual ho</w:t>
      </w:r>
      <w:r w:rsidR="003A4C86" w:rsidRPr="00F52DED">
        <w:rPr>
          <w:rFonts w:ascii="Arial" w:hAnsi="Arial" w:cs="Arial"/>
          <w:sz w:val="20"/>
          <w:szCs w:val="20"/>
        </w:rPr>
        <w:t xml:space="preserve">ur burden was calculated with </w:t>
      </w:r>
      <w:r w:rsidR="00D76A5D" w:rsidRPr="00F52DED">
        <w:rPr>
          <w:rFonts w:ascii="Arial" w:hAnsi="Arial" w:cs="Arial"/>
          <w:sz w:val="20"/>
          <w:szCs w:val="20"/>
        </w:rPr>
        <w:t xml:space="preserve">the expectation that 40% will complete each survey at </w:t>
      </w:r>
      <w:r w:rsidR="00E81084" w:rsidRPr="00F52DED">
        <w:rPr>
          <w:rFonts w:ascii="Arial" w:hAnsi="Arial" w:cs="Arial"/>
          <w:sz w:val="20"/>
          <w:szCs w:val="20"/>
        </w:rPr>
        <w:t>25</w:t>
      </w:r>
      <w:r w:rsidR="00D76A5D" w:rsidRPr="00F52DED">
        <w:rPr>
          <w:rFonts w:ascii="Arial" w:hAnsi="Arial" w:cs="Arial"/>
          <w:sz w:val="20"/>
          <w:szCs w:val="20"/>
        </w:rPr>
        <w:t xml:space="preserve"> minutes</w:t>
      </w:r>
      <w:r w:rsidR="00A54EC7" w:rsidRPr="00F52DED">
        <w:rPr>
          <w:rFonts w:ascii="Arial" w:hAnsi="Arial" w:cs="Arial"/>
          <w:sz w:val="20"/>
          <w:szCs w:val="20"/>
        </w:rPr>
        <w:t>.</w:t>
      </w:r>
      <w:r w:rsidR="00A54EC7" w:rsidRPr="00F52DED">
        <w:rPr>
          <w:rFonts w:ascii="Arial" w:hAnsi="Arial" w:cs="Arial"/>
        </w:rPr>
        <w:t xml:space="preserve"> </w:t>
      </w:r>
      <w:r w:rsidR="006437E0" w:rsidRPr="00F52DED">
        <w:rPr>
          <w:rFonts w:ascii="Arial" w:hAnsi="Arial" w:cs="Arial"/>
          <w:sz w:val="20"/>
          <w:szCs w:val="20"/>
        </w:rPr>
        <w:t xml:space="preserve">Because </w:t>
      </w:r>
      <w:r w:rsidR="005B3296" w:rsidRPr="00F52DED">
        <w:rPr>
          <w:rFonts w:ascii="Arial" w:hAnsi="Arial" w:cs="Arial"/>
          <w:sz w:val="20"/>
          <w:szCs w:val="20"/>
        </w:rPr>
        <w:t>this survey</w:t>
      </w:r>
      <w:r w:rsidR="006437E0" w:rsidRPr="00F52DED">
        <w:rPr>
          <w:rFonts w:ascii="Arial" w:hAnsi="Arial" w:cs="Arial"/>
          <w:sz w:val="20"/>
          <w:szCs w:val="20"/>
        </w:rPr>
        <w:t xml:space="preserve"> will only be conducted </w:t>
      </w:r>
      <w:r w:rsidR="00B26E26" w:rsidRPr="00F52DED">
        <w:rPr>
          <w:rFonts w:ascii="Arial" w:hAnsi="Arial" w:cs="Arial"/>
          <w:sz w:val="20"/>
          <w:szCs w:val="20"/>
        </w:rPr>
        <w:t xml:space="preserve">once, the </w:t>
      </w:r>
      <w:r w:rsidR="006437E0" w:rsidRPr="00F52DED">
        <w:rPr>
          <w:rFonts w:ascii="Arial" w:hAnsi="Arial" w:cs="Arial"/>
          <w:sz w:val="20"/>
          <w:szCs w:val="20"/>
        </w:rPr>
        <w:t xml:space="preserve">three year total </w:t>
      </w:r>
      <w:r w:rsidR="00B26E26" w:rsidRPr="00F52DED">
        <w:rPr>
          <w:rFonts w:ascii="Arial" w:hAnsi="Arial" w:cs="Arial"/>
          <w:sz w:val="20"/>
          <w:szCs w:val="20"/>
        </w:rPr>
        <w:t xml:space="preserve">is the same </w:t>
      </w:r>
      <w:r w:rsidR="005B3296" w:rsidRPr="00F52DED">
        <w:rPr>
          <w:rFonts w:ascii="Arial" w:hAnsi="Arial" w:cs="Arial"/>
          <w:sz w:val="20"/>
          <w:szCs w:val="20"/>
        </w:rPr>
        <w:t xml:space="preserve">as the </w:t>
      </w:r>
      <w:r w:rsidR="006437E0" w:rsidRPr="00F52DED">
        <w:rPr>
          <w:rFonts w:ascii="Arial" w:hAnsi="Arial" w:cs="Arial"/>
          <w:sz w:val="20"/>
          <w:szCs w:val="20"/>
        </w:rPr>
        <w:t>annual total</w:t>
      </w:r>
      <w:r w:rsidRPr="00F52DED">
        <w:rPr>
          <w:rFonts w:ascii="Arial" w:hAnsi="Arial" w:cs="Arial"/>
          <w:sz w:val="20"/>
          <w:szCs w:val="20"/>
        </w:rPr>
        <w:t>.</w:t>
      </w:r>
      <w:r w:rsidR="00AB0B4A" w:rsidRPr="00F52DED">
        <w:rPr>
          <w:rFonts w:ascii="Arial" w:hAnsi="Arial" w:cs="Arial"/>
          <w:sz w:val="20"/>
          <w:szCs w:val="20"/>
        </w:rPr>
        <w:t xml:space="preserve"> Burden hours took into account the total number of questions and the number of open-ended questions, as well as experience on previously conducted evaluations.  </w:t>
      </w:r>
    </w:p>
    <w:p w:rsidR="004657D5" w:rsidRPr="00F52DED" w:rsidRDefault="004657D5" w:rsidP="00D61AAA">
      <w:pPr>
        <w:rPr>
          <w:rFonts w:ascii="Arial" w:hAnsi="Arial" w:cs="Arial"/>
          <w:sz w:val="20"/>
          <w:szCs w:val="20"/>
        </w:rPr>
      </w:pPr>
    </w:p>
    <w:p w:rsidR="00436403" w:rsidRPr="00F52DED" w:rsidRDefault="00221B64">
      <w:pPr>
        <w:rPr>
          <w:rFonts w:ascii="Arial" w:hAnsi="Arial" w:cs="Arial"/>
          <w:b/>
          <w:sz w:val="20"/>
          <w:szCs w:val="20"/>
        </w:rPr>
      </w:pPr>
      <w:r w:rsidRPr="00F52DED">
        <w:rPr>
          <w:rFonts w:ascii="Arial" w:hAnsi="Arial" w:cs="Arial"/>
          <w:b/>
          <w:sz w:val="20"/>
          <w:szCs w:val="20"/>
        </w:rPr>
        <w:t xml:space="preserve">Table </w:t>
      </w:r>
      <w:r w:rsidR="00113606" w:rsidRPr="00F52DED">
        <w:rPr>
          <w:rFonts w:ascii="Arial" w:hAnsi="Arial" w:cs="Arial"/>
          <w:b/>
          <w:sz w:val="20"/>
          <w:szCs w:val="20"/>
        </w:rPr>
        <w:t>2</w:t>
      </w:r>
    </w:p>
    <w:p w:rsidR="00436403" w:rsidRPr="00F52DED" w:rsidRDefault="003A4C86">
      <w:pPr>
        <w:rPr>
          <w:rFonts w:ascii="Arial" w:hAnsi="Arial" w:cs="Arial"/>
          <w:b/>
          <w:sz w:val="20"/>
          <w:szCs w:val="20"/>
        </w:rPr>
      </w:pPr>
      <w:r w:rsidRPr="00F52DED">
        <w:rPr>
          <w:rFonts w:ascii="Arial" w:hAnsi="Arial" w:cs="Arial"/>
          <w:b/>
          <w:sz w:val="20"/>
          <w:szCs w:val="20"/>
        </w:rPr>
        <w:t>Respondent Burden</w:t>
      </w:r>
    </w:p>
    <w:p w:rsidR="00221B64" w:rsidRPr="00F52DED" w:rsidRDefault="00221B64" w:rsidP="00D61AAA">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6"/>
        <w:gridCol w:w="1488"/>
        <w:gridCol w:w="1464"/>
      </w:tblGrid>
      <w:tr w:rsidR="00554463" w:rsidRPr="00F52DED" w:rsidTr="001B7DF5">
        <w:trPr>
          <w:trHeight w:val="283"/>
          <w:jc w:val="center"/>
        </w:trPr>
        <w:tc>
          <w:tcPr>
            <w:tcW w:w="3196" w:type="dxa"/>
            <w:vAlign w:val="center"/>
          </w:tcPr>
          <w:p w:rsidR="00436403" w:rsidRPr="00F52DED" w:rsidRDefault="00554463">
            <w:pPr>
              <w:rPr>
                <w:rFonts w:ascii="Arial" w:hAnsi="Arial" w:cs="Arial"/>
                <w:b/>
                <w:sz w:val="20"/>
                <w:szCs w:val="20"/>
              </w:rPr>
            </w:pPr>
            <w:r w:rsidRPr="00F52DED">
              <w:rPr>
                <w:rFonts w:ascii="Arial" w:hAnsi="Arial" w:cs="Arial"/>
                <w:b/>
                <w:sz w:val="20"/>
                <w:szCs w:val="20"/>
              </w:rPr>
              <w:t>ITEM</w:t>
            </w:r>
          </w:p>
        </w:tc>
        <w:tc>
          <w:tcPr>
            <w:tcW w:w="1488" w:type="dxa"/>
            <w:vAlign w:val="center"/>
          </w:tcPr>
          <w:p w:rsidR="00436403" w:rsidRPr="00F52DED" w:rsidRDefault="00554463">
            <w:pPr>
              <w:rPr>
                <w:rFonts w:ascii="Arial" w:hAnsi="Arial" w:cs="Arial"/>
                <w:b/>
                <w:sz w:val="20"/>
                <w:szCs w:val="20"/>
              </w:rPr>
            </w:pPr>
            <w:r w:rsidRPr="00F52DED">
              <w:rPr>
                <w:rFonts w:ascii="Arial" w:hAnsi="Arial" w:cs="Arial"/>
                <w:b/>
                <w:sz w:val="20"/>
                <w:szCs w:val="20"/>
              </w:rPr>
              <w:t>ANNUAL TOTAL</w:t>
            </w:r>
          </w:p>
        </w:tc>
        <w:tc>
          <w:tcPr>
            <w:tcW w:w="1464" w:type="dxa"/>
            <w:vAlign w:val="center"/>
          </w:tcPr>
          <w:p w:rsidR="00436403" w:rsidRPr="00F52DED" w:rsidRDefault="00554463">
            <w:pPr>
              <w:rPr>
                <w:rFonts w:ascii="Arial" w:hAnsi="Arial" w:cs="Arial"/>
                <w:b/>
                <w:sz w:val="20"/>
                <w:szCs w:val="20"/>
              </w:rPr>
            </w:pPr>
            <w:r w:rsidRPr="00F52DED">
              <w:rPr>
                <w:rFonts w:ascii="Arial" w:hAnsi="Arial" w:cs="Arial"/>
                <w:b/>
                <w:sz w:val="20"/>
                <w:szCs w:val="20"/>
              </w:rPr>
              <w:t>3 YEAR TOTAL</w:t>
            </w:r>
          </w:p>
        </w:tc>
      </w:tr>
      <w:tr w:rsidR="00554463" w:rsidRPr="00F52DED" w:rsidTr="001B7DF5">
        <w:trPr>
          <w:trHeight w:val="283"/>
          <w:jc w:val="center"/>
        </w:trPr>
        <w:tc>
          <w:tcPr>
            <w:tcW w:w="3196" w:type="dxa"/>
            <w:vAlign w:val="center"/>
          </w:tcPr>
          <w:p w:rsidR="00554463" w:rsidRPr="00F52DED" w:rsidRDefault="00554463" w:rsidP="00D61AAA">
            <w:pPr>
              <w:rPr>
                <w:rFonts w:ascii="Arial" w:hAnsi="Arial" w:cs="Arial"/>
                <w:sz w:val="16"/>
                <w:szCs w:val="16"/>
              </w:rPr>
            </w:pPr>
            <w:r w:rsidRPr="00F52DED">
              <w:rPr>
                <w:rFonts w:ascii="Arial" w:hAnsi="Arial" w:cs="Arial"/>
                <w:sz w:val="16"/>
                <w:szCs w:val="16"/>
              </w:rPr>
              <w:t>Estimated Number of Respondents</w:t>
            </w:r>
          </w:p>
        </w:tc>
        <w:tc>
          <w:tcPr>
            <w:tcW w:w="1488" w:type="dxa"/>
            <w:vAlign w:val="center"/>
          </w:tcPr>
          <w:p w:rsidR="00436403" w:rsidRPr="00F52DED" w:rsidRDefault="00554463">
            <w:pPr>
              <w:rPr>
                <w:rFonts w:ascii="Arial" w:hAnsi="Arial" w:cs="Arial"/>
                <w:sz w:val="16"/>
                <w:szCs w:val="16"/>
              </w:rPr>
            </w:pPr>
            <w:r w:rsidRPr="00F52DED">
              <w:rPr>
                <w:rFonts w:ascii="Arial" w:hAnsi="Arial" w:cs="Arial"/>
                <w:sz w:val="16"/>
                <w:szCs w:val="16"/>
              </w:rPr>
              <w:t>6,184</w:t>
            </w:r>
          </w:p>
        </w:tc>
        <w:tc>
          <w:tcPr>
            <w:tcW w:w="1464" w:type="dxa"/>
            <w:vAlign w:val="center"/>
          </w:tcPr>
          <w:p w:rsidR="00436403" w:rsidRPr="00F52DED" w:rsidRDefault="00554463">
            <w:pPr>
              <w:rPr>
                <w:rFonts w:ascii="Arial" w:hAnsi="Arial" w:cs="Arial"/>
                <w:sz w:val="16"/>
                <w:szCs w:val="16"/>
              </w:rPr>
            </w:pPr>
            <w:r w:rsidRPr="00F52DED">
              <w:rPr>
                <w:rFonts w:ascii="Arial" w:hAnsi="Arial" w:cs="Arial"/>
                <w:sz w:val="16"/>
                <w:szCs w:val="16"/>
              </w:rPr>
              <w:t>6,184</w:t>
            </w:r>
          </w:p>
        </w:tc>
      </w:tr>
      <w:tr w:rsidR="00554463" w:rsidRPr="00F52DED" w:rsidTr="001B7DF5">
        <w:trPr>
          <w:trHeight w:val="283"/>
          <w:jc w:val="center"/>
        </w:trPr>
        <w:tc>
          <w:tcPr>
            <w:tcW w:w="3196" w:type="dxa"/>
            <w:vAlign w:val="center"/>
          </w:tcPr>
          <w:p w:rsidR="00554463" w:rsidRPr="00F52DED" w:rsidRDefault="00554463" w:rsidP="00D61AAA">
            <w:pPr>
              <w:rPr>
                <w:rFonts w:ascii="Arial" w:hAnsi="Arial" w:cs="Arial"/>
                <w:sz w:val="16"/>
                <w:szCs w:val="16"/>
              </w:rPr>
            </w:pPr>
            <w:r w:rsidRPr="00F52DED">
              <w:rPr>
                <w:rFonts w:ascii="Arial" w:hAnsi="Arial" w:cs="Arial"/>
                <w:sz w:val="16"/>
                <w:szCs w:val="16"/>
              </w:rPr>
              <w:t>Average Hours Per Response</w:t>
            </w:r>
          </w:p>
        </w:tc>
        <w:tc>
          <w:tcPr>
            <w:tcW w:w="1488" w:type="dxa"/>
            <w:vAlign w:val="center"/>
          </w:tcPr>
          <w:p w:rsidR="00436403" w:rsidRPr="00F52DED" w:rsidRDefault="00E81084">
            <w:pPr>
              <w:rPr>
                <w:rFonts w:ascii="Arial" w:hAnsi="Arial" w:cs="Arial"/>
                <w:sz w:val="16"/>
                <w:szCs w:val="16"/>
              </w:rPr>
            </w:pPr>
            <w:r w:rsidRPr="00F52DED">
              <w:rPr>
                <w:rFonts w:ascii="Arial" w:hAnsi="Arial" w:cs="Arial"/>
                <w:sz w:val="16"/>
                <w:szCs w:val="16"/>
              </w:rPr>
              <w:t>25</w:t>
            </w:r>
            <w:r w:rsidR="00554463" w:rsidRPr="00F52DED">
              <w:rPr>
                <w:rFonts w:ascii="Arial" w:hAnsi="Arial" w:cs="Arial"/>
                <w:sz w:val="16"/>
                <w:szCs w:val="16"/>
              </w:rPr>
              <w:t xml:space="preserve"> Minutes</w:t>
            </w:r>
          </w:p>
        </w:tc>
        <w:tc>
          <w:tcPr>
            <w:tcW w:w="1464" w:type="dxa"/>
            <w:vAlign w:val="center"/>
          </w:tcPr>
          <w:p w:rsidR="00436403" w:rsidRPr="00F52DED" w:rsidRDefault="00E81084">
            <w:pPr>
              <w:rPr>
                <w:rFonts w:ascii="Arial" w:hAnsi="Arial" w:cs="Arial"/>
                <w:sz w:val="16"/>
                <w:szCs w:val="16"/>
              </w:rPr>
            </w:pPr>
            <w:r w:rsidRPr="00F52DED">
              <w:rPr>
                <w:rFonts w:ascii="Arial" w:hAnsi="Arial" w:cs="Arial"/>
                <w:sz w:val="16"/>
                <w:szCs w:val="16"/>
              </w:rPr>
              <w:t>25</w:t>
            </w:r>
            <w:r w:rsidR="00554463" w:rsidRPr="00F52DED">
              <w:rPr>
                <w:rFonts w:ascii="Arial" w:hAnsi="Arial" w:cs="Arial"/>
                <w:sz w:val="16"/>
                <w:szCs w:val="16"/>
              </w:rPr>
              <w:t xml:space="preserve"> Minutes</w:t>
            </w:r>
          </w:p>
        </w:tc>
      </w:tr>
      <w:tr w:rsidR="00554463" w:rsidRPr="00F52DED" w:rsidTr="001B7DF5">
        <w:trPr>
          <w:trHeight w:val="283"/>
          <w:jc w:val="center"/>
        </w:trPr>
        <w:tc>
          <w:tcPr>
            <w:tcW w:w="3196" w:type="dxa"/>
            <w:vAlign w:val="center"/>
          </w:tcPr>
          <w:p w:rsidR="00554463" w:rsidRPr="00F52DED" w:rsidRDefault="00554463" w:rsidP="00D61AAA">
            <w:pPr>
              <w:rPr>
                <w:rFonts w:ascii="Arial" w:hAnsi="Arial" w:cs="Arial"/>
                <w:sz w:val="16"/>
                <w:szCs w:val="16"/>
              </w:rPr>
            </w:pPr>
            <w:r w:rsidRPr="00F52DED">
              <w:rPr>
                <w:rFonts w:ascii="Arial" w:hAnsi="Arial" w:cs="Arial"/>
                <w:sz w:val="16"/>
                <w:szCs w:val="16"/>
              </w:rPr>
              <w:t>Estimated Number of Responses</w:t>
            </w:r>
          </w:p>
        </w:tc>
        <w:tc>
          <w:tcPr>
            <w:tcW w:w="1488" w:type="dxa"/>
            <w:vAlign w:val="center"/>
          </w:tcPr>
          <w:p w:rsidR="00436403" w:rsidRPr="00F52DED" w:rsidRDefault="00554463">
            <w:pPr>
              <w:rPr>
                <w:rFonts w:ascii="Arial" w:hAnsi="Arial" w:cs="Arial"/>
                <w:sz w:val="16"/>
                <w:szCs w:val="16"/>
              </w:rPr>
            </w:pPr>
            <w:r w:rsidRPr="00F52DED">
              <w:rPr>
                <w:rFonts w:ascii="Arial" w:hAnsi="Arial" w:cs="Arial"/>
                <w:sz w:val="16"/>
                <w:szCs w:val="16"/>
              </w:rPr>
              <w:t>2,474</w:t>
            </w:r>
          </w:p>
        </w:tc>
        <w:tc>
          <w:tcPr>
            <w:tcW w:w="1464" w:type="dxa"/>
            <w:vAlign w:val="center"/>
          </w:tcPr>
          <w:p w:rsidR="00436403" w:rsidRPr="00F52DED" w:rsidRDefault="00554463">
            <w:pPr>
              <w:rPr>
                <w:rFonts w:ascii="Arial" w:hAnsi="Arial" w:cs="Arial"/>
                <w:sz w:val="16"/>
                <w:szCs w:val="16"/>
              </w:rPr>
            </w:pPr>
            <w:r w:rsidRPr="00F52DED">
              <w:rPr>
                <w:rFonts w:ascii="Arial" w:hAnsi="Arial" w:cs="Arial"/>
                <w:sz w:val="16"/>
                <w:szCs w:val="16"/>
              </w:rPr>
              <w:t>2,474</w:t>
            </w:r>
          </w:p>
        </w:tc>
      </w:tr>
      <w:tr w:rsidR="00554463" w:rsidRPr="00F52DED" w:rsidTr="00691669">
        <w:trPr>
          <w:trHeight w:val="283"/>
          <w:jc w:val="center"/>
        </w:trPr>
        <w:tc>
          <w:tcPr>
            <w:tcW w:w="3196" w:type="dxa"/>
            <w:tcBorders>
              <w:bottom w:val="single" w:sz="4" w:space="0" w:color="auto"/>
            </w:tcBorders>
            <w:vAlign w:val="center"/>
          </w:tcPr>
          <w:p w:rsidR="00554463" w:rsidRPr="00F52DED" w:rsidRDefault="00554463" w:rsidP="00D61AAA">
            <w:pPr>
              <w:rPr>
                <w:rFonts w:ascii="Arial" w:hAnsi="Arial" w:cs="Arial"/>
                <w:sz w:val="16"/>
                <w:szCs w:val="16"/>
              </w:rPr>
            </w:pPr>
            <w:r w:rsidRPr="00F52DED">
              <w:rPr>
                <w:rFonts w:ascii="Arial" w:hAnsi="Arial" w:cs="Arial"/>
                <w:sz w:val="16"/>
                <w:szCs w:val="16"/>
              </w:rPr>
              <w:t>Estimated Hours for Responses</w:t>
            </w:r>
          </w:p>
        </w:tc>
        <w:tc>
          <w:tcPr>
            <w:tcW w:w="1488" w:type="dxa"/>
            <w:tcBorders>
              <w:bottom w:val="single" w:sz="4" w:space="0" w:color="auto"/>
            </w:tcBorders>
            <w:vAlign w:val="center"/>
          </w:tcPr>
          <w:p w:rsidR="00436403" w:rsidRPr="00F52DED" w:rsidRDefault="00554463" w:rsidP="00E81084">
            <w:pPr>
              <w:rPr>
                <w:rFonts w:ascii="Arial" w:hAnsi="Arial" w:cs="Arial"/>
                <w:sz w:val="16"/>
                <w:szCs w:val="16"/>
              </w:rPr>
            </w:pPr>
            <w:r w:rsidRPr="00F52DED">
              <w:rPr>
                <w:rFonts w:ascii="Arial" w:hAnsi="Arial" w:cs="Arial"/>
                <w:sz w:val="16"/>
                <w:szCs w:val="16"/>
              </w:rPr>
              <w:t>1,</w:t>
            </w:r>
            <w:r w:rsidR="00E81084" w:rsidRPr="00F52DED">
              <w:rPr>
                <w:rFonts w:ascii="Arial" w:hAnsi="Arial" w:cs="Arial"/>
                <w:sz w:val="16"/>
                <w:szCs w:val="16"/>
              </w:rPr>
              <w:t>031</w:t>
            </w:r>
          </w:p>
        </w:tc>
        <w:tc>
          <w:tcPr>
            <w:tcW w:w="1464" w:type="dxa"/>
            <w:tcBorders>
              <w:bottom w:val="single" w:sz="4" w:space="0" w:color="auto"/>
            </w:tcBorders>
            <w:vAlign w:val="center"/>
          </w:tcPr>
          <w:p w:rsidR="00436403" w:rsidRPr="00F52DED" w:rsidRDefault="00554463" w:rsidP="00E81084">
            <w:pPr>
              <w:rPr>
                <w:rFonts w:ascii="Arial" w:hAnsi="Arial" w:cs="Arial"/>
                <w:sz w:val="16"/>
                <w:szCs w:val="16"/>
              </w:rPr>
            </w:pPr>
            <w:r w:rsidRPr="00F52DED">
              <w:rPr>
                <w:rFonts w:ascii="Arial" w:hAnsi="Arial" w:cs="Arial"/>
                <w:sz w:val="16"/>
                <w:szCs w:val="16"/>
              </w:rPr>
              <w:t>1,</w:t>
            </w:r>
            <w:r w:rsidR="00E81084" w:rsidRPr="00F52DED">
              <w:rPr>
                <w:rFonts w:ascii="Arial" w:hAnsi="Arial" w:cs="Arial"/>
                <w:sz w:val="16"/>
                <w:szCs w:val="16"/>
              </w:rPr>
              <w:t>031</w:t>
            </w:r>
          </w:p>
        </w:tc>
      </w:tr>
    </w:tbl>
    <w:p w:rsidR="00436403" w:rsidRPr="00F52DED" w:rsidRDefault="00436403">
      <w:pPr>
        <w:rPr>
          <w:rFonts w:ascii="Arial" w:hAnsi="Arial" w:cs="Arial"/>
          <w:sz w:val="20"/>
          <w:szCs w:val="20"/>
        </w:rPr>
      </w:pPr>
      <w:bookmarkStart w:id="3" w:name="_Toc54060562"/>
    </w:p>
    <w:p w:rsidR="00436403" w:rsidRPr="00F52DED" w:rsidRDefault="00AB0B4A">
      <w:pPr>
        <w:ind w:left="360"/>
        <w:rPr>
          <w:rFonts w:ascii="Arial" w:hAnsi="Arial" w:cs="Arial"/>
          <w:sz w:val="20"/>
          <w:szCs w:val="20"/>
        </w:rPr>
      </w:pPr>
      <w:r w:rsidRPr="00F52DED">
        <w:rPr>
          <w:rFonts w:ascii="Arial" w:hAnsi="Arial" w:cs="Arial"/>
          <w:iCs/>
          <w:sz w:val="20"/>
          <w:szCs w:val="20"/>
        </w:rPr>
        <w:t>To determine the estimated income per hour, the Bureau of Labor Statistics</w:t>
      </w:r>
      <w:r w:rsidR="00554463" w:rsidRPr="00F52DED">
        <w:rPr>
          <w:rFonts w:ascii="Arial" w:hAnsi="Arial" w:cs="Arial"/>
          <w:iCs/>
          <w:sz w:val="20"/>
          <w:szCs w:val="20"/>
        </w:rPr>
        <w:t xml:space="preserve"> (BLS)</w:t>
      </w:r>
      <w:r w:rsidRPr="00F52DED">
        <w:rPr>
          <w:rFonts w:ascii="Arial" w:hAnsi="Arial" w:cs="Arial"/>
          <w:iCs/>
          <w:sz w:val="20"/>
          <w:szCs w:val="20"/>
        </w:rPr>
        <w:t>, “Table 1 Summary: mean hourly earnings and weekly hours for selected worker and establishment characteristics” were reviewed (</w:t>
      </w:r>
      <w:hyperlink r:id="rId16" w:anchor="Overview" w:history="1">
        <w:r w:rsidRPr="00F52DED">
          <w:rPr>
            <w:rStyle w:val="Hyperlink"/>
            <w:rFonts w:ascii="Arial" w:hAnsi="Arial" w:cs="Arial"/>
            <w:iCs/>
            <w:color w:val="auto"/>
            <w:sz w:val="20"/>
            <w:szCs w:val="20"/>
          </w:rPr>
          <w:t>http://www.bls.gov/ncs/ncswage2010.htm#Overview</w:t>
        </w:r>
      </w:hyperlink>
      <w:r w:rsidRPr="00F52DED">
        <w:rPr>
          <w:rFonts w:ascii="Arial" w:hAnsi="Arial" w:cs="Arial"/>
          <w:iCs/>
          <w:sz w:val="20"/>
          <w:szCs w:val="20"/>
        </w:rPr>
        <w:t xml:space="preserve">).  The specific data table is located at </w:t>
      </w:r>
      <w:hyperlink r:id="rId17" w:history="1">
        <w:r w:rsidRPr="00F52DED">
          <w:rPr>
            <w:rStyle w:val="Hyperlink"/>
            <w:rFonts w:ascii="Arial" w:hAnsi="Arial" w:cs="Arial"/>
            <w:iCs/>
            <w:color w:val="auto"/>
            <w:sz w:val="20"/>
            <w:szCs w:val="20"/>
          </w:rPr>
          <w:t>http://www.bls.gov/ncs/ocs/sp/nctb1475.pdf</w:t>
        </w:r>
      </w:hyperlink>
      <w:r w:rsidRPr="00F52DED">
        <w:rPr>
          <w:rFonts w:ascii="Arial" w:hAnsi="Arial" w:cs="Arial"/>
          <w:iCs/>
          <w:sz w:val="20"/>
          <w:szCs w:val="20"/>
        </w:rPr>
        <w:t>.  Average mean hourly civilian earnings are $21.29; private industry workers are $20.47, state and local government workers are $26.08</w:t>
      </w:r>
      <w:r w:rsidR="007F3B21" w:rsidRPr="00F52DED">
        <w:rPr>
          <w:rFonts w:ascii="Arial" w:hAnsi="Arial" w:cs="Arial"/>
          <w:iCs/>
          <w:sz w:val="20"/>
          <w:szCs w:val="20"/>
        </w:rPr>
        <w:t xml:space="preserve">, and minimum wage earning </w:t>
      </w:r>
      <w:r w:rsidR="00D1369A" w:rsidRPr="00F52DED">
        <w:rPr>
          <w:rFonts w:ascii="Arial" w:hAnsi="Arial" w:cs="Arial"/>
          <w:iCs/>
          <w:sz w:val="20"/>
          <w:szCs w:val="20"/>
        </w:rPr>
        <w:t xml:space="preserve">(per </w:t>
      </w:r>
      <w:r w:rsidR="00554463" w:rsidRPr="00F52DED">
        <w:rPr>
          <w:rFonts w:ascii="Arial" w:hAnsi="Arial" w:cs="Arial"/>
          <w:iCs/>
          <w:sz w:val="20"/>
          <w:szCs w:val="20"/>
        </w:rPr>
        <w:t xml:space="preserve">BLS) </w:t>
      </w:r>
      <w:r w:rsidR="007F3B21" w:rsidRPr="00F52DED">
        <w:rPr>
          <w:rFonts w:ascii="Arial" w:hAnsi="Arial" w:cs="Arial"/>
          <w:iCs/>
          <w:sz w:val="20"/>
          <w:szCs w:val="20"/>
        </w:rPr>
        <w:t xml:space="preserve">are </w:t>
      </w:r>
      <w:r w:rsidR="00554463" w:rsidRPr="00F52DED">
        <w:rPr>
          <w:rFonts w:ascii="Arial" w:hAnsi="Arial" w:cs="Arial"/>
          <w:iCs/>
          <w:sz w:val="20"/>
          <w:szCs w:val="20"/>
        </w:rPr>
        <w:t>$</w:t>
      </w:r>
      <w:r w:rsidR="007F3B21" w:rsidRPr="00F52DED">
        <w:rPr>
          <w:rFonts w:ascii="Arial" w:hAnsi="Arial" w:cs="Arial"/>
          <w:iCs/>
          <w:sz w:val="20"/>
          <w:szCs w:val="20"/>
        </w:rPr>
        <w:t>7.25</w:t>
      </w:r>
      <w:r w:rsidRPr="00F52DED">
        <w:rPr>
          <w:rFonts w:ascii="Arial" w:hAnsi="Arial" w:cs="Arial"/>
          <w:iCs/>
          <w:sz w:val="20"/>
          <w:szCs w:val="20"/>
        </w:rPr>
        <w:t xml:space="preserve">.  Averaging the </w:t>
      </w:r>
      <w:r w:rsidR="007F3B21" w:rsidRPr="00F52DED">
        <w:rPr>
          <w:rFonts w:ascii="Arial" w:hAnsi="Arial" w:cs="Arial"/>
          <w:iCs/>
          <w:sz w:val="20"/>
          <w:szCs w:val="20"/>
        </w:rPr>
        <w:t>four</w:t>
      </w:r>
      <w:r w:rsidRPr="00F52DED">
        <w:rPr>
          <w:rFonts w:ascii="Arial" w:hAnsi="Arial" w:cs="Arial"/>
          <w:iCs/>
          <w:sz w:val="20"/>
          <w:szCs w:val="20"/>
        </w:rPr>
        <w:t xml:space="preserve"> totals $</w:t>
      </w:r>
      <w:r w:rsidR="00D1369A" w:rsidRPr="00F52DED">
        <w:rPr>
          <w:rFonts w:ascii="Arial" w:hAnsi="Arial" w:cs="Arial"/>
          <w:iCs/>
          <w:sz w:val="20"/>
          <w:szCs w:val="20"/>
        </w:rPr>
        <w:t>18</w:t>
      </w:r>
      <w:r w:rsidRPr="00F52DED">
        <w:rPr>
          <w:rFonts w:ascii="Arial" w:hAnsi="Arial" w:cs="Arial"/>
          <w:iCs/>
          <w:sz w:val="20"/>
          <w:szCs w:val="20"/>
        </w:rPr>
        <w:t>.</w:t>
      </w:r>
      <w:r w:rsidR="00D1369A" w:rsidRPr="00F52DED">
        <w:rPr>
          <w:rFonts w:ascii="Arial" w:hAnsi="Arial" w:cs="Arial"/>
          <w:iCs/>
          <w:sz w:val="20"/>
          <w:szCs w:val="20"/>
        </w:rPr>
        <w:t>77</w:t>
      </w:r>
      <w:r w:rsidRPr="00F52DED">
        <w:rPr>
          <w:rFonts w:ascii="Arial" w:hAnsi="Arial" w:cs="Arial"/>
          <w:iCs/>
          <w:sz w:val="20"/>
          <w:szCs w:val="20"/>
        </w:rPr>
        <w:t xml:space="preserve"> (</w:t>
      </w:r>
      <w:r w:rsidR="00A667D2" w:rsidRPr="00F52DED">
        <w:rPr>
          <w:rFonts w:ascii="Arial" w:hAnsi="Arial" w:cs="Arial"/>
          <w:iCs/>
          <w:sz w:val="20"/>
          <w:szCs w:val="20"/>
        </w:rPr>
        <w:t>weighted</w:t>
      </w:r>
      <w:r w:rsidRPr="00F52DED">
        <w:rPr>
          <w:rFonts w:ascii="Arial" w:hAnsi="Arial" w:cs="Arial"/>
          <w:iCs/>
          <w:sz w:val="20"/>
          <w:szCs w:val="20"/>
        </w:rPr>
        <w:t xml:space="preserve"> to $</w:t>
      </w:r>
      <w:r w:rsidR="00A667D2" w:rsidRPr="00F52DED">
        <w:rPr>
          <w:rFonts w:ascii="Arial" w:hAnsi="Arial" w:cs="Arial"/>
          <w:iCs/>
          <w:sz w:val="20"/>
          <w:szCs w:val="20"/>
        </w:rPr>
        <w:t>26.28 and rounded to $27</w:t>
      </w:r>
      <w:r w:rsidRPr="00F52DED">
        <w:rPr>
          <w:rFonts w:ascii="Arial" w:hAnsi="Arial" w:cs="Arial"/>
          <w:iCs/>
          <w:sz w:val="20"/>
          <w:szCs w:val="20"/>
        </w:rPr>
        <w:t>).</w:t>
      </w:r>
      <w:r w:rsidRPr="00F52DED">
        <w:rPr>
          <w:rFonts w:ascii="Arial" w:hAnsi="Arial" w:cs="Arial"/>
          <w:sz w:val="20"/>
          <w:szCs w:val="20"/>
        </w:rPr>
        <w:t xml:space="preserve">  </w:t>
      </w:r>
    </w:p>
    <w:p w:rsidR="001F131E" w:rsidRPr="00F52DED" w:rsidRDefault="001F131E">
      <w:pPr>
        <w:rPr>
          <w:rFonts w:ascii="Arial" w:hAnsi="Arial" w:cs="Arial"/>
          <w:b/>
          <w:sz w:val="20"/>
          <w:szCs w:val="20"/>
        </w:rPr>
      </w:pPr>
    </w:p>
    <w:p w:rsidR="00436403" w:rsidRPr="00F52DED" w:rsidRDefault="00554463">
      <w:pPr>
        <w:rPr>
          <w:rFonts w:ascii="Arial" w:hAnsi="Arial" w:cs="Arial"/>
          <w:b/>
          <w:sz w:val="20"/>
          <w:szCs w:val="20"/>
        </w:rPr>
      </w:pPr>
      <w:r w:rsidRPr="00F52DED">
        <w:rPr>
          <w:rFonts w:ascii="Arial" w:hAnsi="Arial" w:cs="Arial"/>
          <w:b/>
          <w:sz w:val="20"/>
          <w:szCs w:val="20"/>
        </w:rPr>
        <w:t>Table 3</w:t>
      </w:r>
    </w:p>
    <w:p w:rsidR="00436403" w:rsidRPr="00F52DED" w:rsidRDefault="00554463">
      <w:pPr>
        <w:rPr>
          <w:rFonts w:ascii="Arial" w:hAnsi="Arial" w:cs="Arial"/>
          <w:b/>
          <w:sz w:val="20"/>
          <w:szCs w:val="20"/>
        </w:rPr>
      </w:pPr>
      <w:r w:rsidRPr="00F52DED">
        <w:rPr>
          <w:rFonts w:ascii="Arial" w:hAnsi="Arial" w:cs="Arial"/>
          <w:b/>
          <w:sz w:val="20"/>
          <w:szCs w:val="20"/>
        </w:rPr>
        <w:t>Annualized Cost to Respondent for Hours Burden</w:t>
      </w:r>
    </w:p>
    <w:p w:rsidR="00436403" w:rsidRPr="00F52DED" w:rsidRDefault="00436403">
      <w:pPr>
        <w:ind w:left="360"/>
        <w:rPr>
          <w:rFonts w:ascii="Arial" w:hAnsi="Arial" w:cs="Arial"/>
          <w:sz w:val="20"/>
          <w:szCs w:val="20"/>
        </w:rPr>
      </w:pPr>
    </w:p>
    <w:tbl>
      <w:tblPr>
        <w:tblW w:w="8711" w:type="dxa"/>
        <w:jc w:val="center"/>
        <w:tblCellMar>
          <w:left w:w="0" w:type="dxa"/>
          <w:right w:w="0" w:type="dxa"/>
        </w:tblCellMar>
        <w:tblLook w:val="04A0"/>
      </w:tblPr>
      <w:tblGrid>
        <w:gridCol w:w="3708"/>
        <w:gridCol w:w="1980"/>
        <w:gridCol w:w="1504"/>
        <w:gridCol w:w="1519"/>
      </w:tblGrid>
      <w:tr w:rsidR="00AB0B4A" w:rsidRPr="00F52DED" w:rsidTr="00AB0B4A">
        <w:trPr>
          <w:trHeight w:val="255"/>
          <w:tblHeader/>
          <w:jc w:val="center"/>
        </w:trPr>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6403" w:rsidRPr="00F52DED" w:rsidRDefault="00436403">
            <w:pPr>
              <w:rPr>
                <w:rFonts w:ascii="Arial" w:eastAsiaTheme="minorHAnsi" w:hAnsi="Arial" w:cs="Arial"/>
                <w:i/>
                <w:iCs/>
                <w:sz w:val="20"/>
                <w:szCs w:val="20"/>
              </w:rPr>
            </w:pPr>
          </w:p>
          <w:p w:rsidR="00436403" w:rsidRPr="00F52DED" w:rsidRDefault="00AB0B4A">
            <w:pPr>
              <w:autoSpaceDN w:val="0"/>
              <w:rPr>
                <w:rFonts w:ascii="Arial" w:eastAsiaTheme="minorHAnsi" w:hAnsi="Arial" w:cs="Arial"/>
                <w:i/>
                <w:iCs/>
                <w:sz w:val="20"/>
                <w:szCs w:val="20"/>
              </w:rPr>
            </w:pPr>
            <w:r w:rsidRPr="00F52DED">
              <w:rPr>
                <w:rFonts w:ascii="Arial" w:hAnsi="Arial" w:cs="Arial"/>
                <w:b/>
                <w:bCs/>
                <w:i/>
                <w:iCs/>
                <w:sz w:val="20"/>
                <w:szCs w:val="20"/>
              </w:rPr>
              <w:t>Description of the Collection Activity</w:t>
            </w:r>
          </w:p>
        </w:tc>
        <w:tc>
          <w:tcPr>
            <w:tcW w:w="19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36403" w:rsidRPr="00F52DED" w:rsidRDefault="00AB0B4A">
            <w:pPr>
              <w:autoSpaceDN w:val="0"/>
              <w:rPr>
                <w:rFonts w:ascii="Arial" w:eastAsiaTheme="minorHAnsi" w:hAnsi="Arial" w:cs="Arial"/>
                <w:i/>
                <w:iCs/>
                <w:sz w:val="20"/>
                <w:szCs w:val="20"/>
              </w:rPr>
            </w:pPr>
            <w:r w:rsidRPr="00F52DED">
              <w:rPr>
                <w:rFonts w:ascii="Arial" w:hAnsi="Arial" w:cs="Arial"/>
                <w:b/>
                <w:bCs/>
                <w:i/>
                <w:iCs/>
                <w:sz w:val="20"/>
                <w:szCs w:val="20"/>
              </w:rPr>
              <w:t>Estimated Total Annual Burden on Respondents (Hours)</w:t>
            </w:r>
          </w:p>
        </w:tc>
        <w:tc>
          <w:tcPr>
            <w:tcW w:w="150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36403" w:rsidRPr="00F52DED" w:rsidRDefault="00AB0B4A">
            <w:pPr>
              <w:autoSpaceDN w:val="0"/>
              <w:rPr>
                <w:rFonts w:ascii="Arial" w:eastAsiaTheme="minorHAnsi" w:hAnsi="Arial" w:cs="Arial"/>
                <w:i/>
                <w:iCs/>
                <w:sz w:val="20"/>
                <w:szCs w:val="20"/>
              </w:rPr>
            </w:pPr>
            <w:r w:rsidRPr="00F52DED">
              <w:rPr>
                <w:rFonts w:ascii="Arial" w:hAnsi="Arial" w:cs="Arial"/>
                <w:b/>
                <w:bCs/>
                <w:i/>
                <w:iCs/>
                <w:sz w:val="20"/>
                <w:szCs w:val="20"/>
              </w:rPr>
              <w:t>Estimated Average Income per Hour</w:t>
            </w:r>
          </w:p>
        </w:tc>
        <w:tc>
          <w:tcPr>
            <w:tcW w:w="15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36403" w:rsidRPr="00F52DED" w:rsidRDefault="00AB0B4A">
            <w:pPr>
              <w:autoSpaceDN w:val="0"/>
              <w:rPr>
                <w:rFonts w:ascii="Arial" w:eastAsiaTheme="minorHAnsi" w:hAnsi="Arial" w:cs="Arial"/>
                <w:i/>
                <w:iCs/>
                <w:sz w:val="20"/>
                <w:szCs w:val="20"/>
              </w:rPr>
            </w:pPr>
            <w:r w:rsidRPr="00F52DED">
              <w:rPr>
                <w:rFonts w:ascii="Arial" w:hAnsi="Arial" w:cs="Arial"/>
                <w:b/>
                <w:bCs/>
                <w:i/>
                <w:iCs/>
                <w:sz w:val="20"/>
                <w:szCs w:val="20"/>
              </w:rPr>
              <w:t>Estimated Cost to Respondents</w:t>
            </w:r>
          </w:p>
        </w:tc>
      </w:tr>
      <w:tr w:rsidR="00AB0B4A" w:rsidRPr="00F52DED" w:rsidTr="00AB0B4A">
        <w:trPr>
          <w:trHeight w:val="255"/>
          <w:jc w:val="center"/>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6145" w:rsidRPr="00F52DED" w:rsidRDefault="00AB0B4A">
            <w:pPr>
              <w:autoSpaceDN w:val="0"/>
              <w:rPr>
                <w:rFonts w:ascii="Arial" w:eastAsiaTheme="minorHAnsi" w:hAnsi="Arial" w:cs="Arial"/>
                <w:iCs/>
                <w:sz w:val="20"/>
                <w:szCs w:val="20"/>
              </w:rPr>
            </w:pPr>
            <w:r w:rsidRPr="00F52DED">
              <w:rPr>
                <w:rFonts w:ascii="Arial" w:hAnsi="Arial" w:cs="Arial"/>
                <w:iCs/>
                <w:sz w:val="20"/>
                <w:szCs w:val="20"/>
              </w:rPr>
              <w:t>Web Survey</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36403" w:rsidRPr="00F52DED" w:rsidRDefault="00AB0B4A" w:rsidP="00E81084">
            <w:pPr>
              <w:autoSpaceDN w:val="0"/>
              <w:rPr>
                <w:rFonts w:ascii="Arial" w:eastAsiaTheme="minorHAnsi" w:hAnsi="Arial" w:cs="Arial"/>
                <w:i/>
                <w:iCs/>
                <w:sz w:val="20"/>
                <w:szCs w:val="20"/>
              </w:rPr>
            </w:pPr>
            <w:r w:rsidRPr="00F52DED">
              <w:rPr>
                <w:rFonts w:ascii="Arial" w:hAnsi="Arial" w:cs="Arial"/>
                <w:i/>
                <w:iCs/>
                <w:sz w:val="20"/>
                <w:szCs w:val="20"/>
              </w:rPr>
              <w:t>1,</w:t>
            </w:r>
            <w:r w:rsidR="00E81084" w:rsidRPr="00F52DED">
              <w:rPr>
                <w:rFonts w:ascii="Arial" w:hAnsi="Arial" w:cs="Arial"/>
                <w:i/>
                <w:iCs/>
                <w:sz w:val="20"/>
                <w:szCs w:val="20"/>
              </w:rPr>
              <w:t xml:space="preserve">031 </w:t>
            </w:r>
            <w:r w:rsidRPr="00F52DED">
              <w:rPr>
                <w:rFonts w:ascii="Arial" w:hAnsi="Arial" w:cs="Arial"/>
                <w:i/>
                <w:iCs/>
                <w:sz w:val="20"/>
                <w:szCs w:val="20"/>
              </w:rPr>
              <w:t>hours</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36403" w:rsidRPr="00F52DED" w:rsidRDefault="00AB0B4A" w:rsidP="00A667D2">
            <w:pPr>
              <w:autoSpaceDN w:val="0"/>
              <w:rPr>
                <w:rFonts w:ascii="Arial" w:eastAsiaTheme="minorHAnsi" w:hAnsi="Arial" w:cs="Arial"/>
                <w:i/>
                <w:iCs/>
                <w:sz w:val="20"/>
                <w:szCs w:val="20"/>
              </w:rPr>
            </w:pPr>
            <w:r w:rsidRPr="00F52DED">
              <w:rPr>
                <w:rFonts w:ascii="Arial" w:hAnsi="Arial" w:cs="Arial"/>
                <w:i/>
                <w:iCs/>
                <w:sz w:val="20"/>
                <w:szCs w:val="20"/>
              </w:rPr>
              <w:t>$</w:t>
            </w:r>
            <w:r w:rsidR="00A667D2" w:rsidRPr="00F52DED">
              <w:rPr>
                <w:rFonts w:ascii="Arial" w:hAnsi="Arial" w:cs="Arial"/>
                <w:i/>
                <w:iCs/>
                <w:sz w:val="20"/>
                <w:szCs w:val="20"/>
              </w:rPr>
              <w:t>27</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36403" w:rsidRPr="00F52DED" w:rsidRDefault="00AB0B4A" w:rsidP="00A667D2">
            <w:pPr>
              <w:autoSpaceDN w:val="0"/>
              <w:rPr>
                <w:rFonts w:ascii="Arial" w:eastAsiaTheme="minorHAnsi" w:hAnsi="Arial" w:cs="Arial"/>
                <w:i/>
                <w:iCs/>
                <w:sz w:val="20"/>
                <w:szCs w:val="20"/>
              </w:rPr>
            </w:pPr>
            <w:r w:rsidRPr="00F52DED">
              <w:rPr>
                <w:rFonts w:ascii="Arial" w:hAnsi="Arial" w:cs="Arial"/>
                <w:i/>
                <w:iCs/>
                <w:sz w:val="20"/>
                <w:szCs w:val="20"/>
              </w:rPr>
              <w:t>$</w:t>
            </w:r>
            <w:r w:rsidR="00A667D2" w:rsidRPr="00F52DED">
              <w:rPr>
                <w:rFonts w:ascii="Arial" w:hAnsi="Arial" w:cs="Arial"/>
                <w:i/>
                <w:iCs/>
                <w:sz w:val="20"/>
                <w:szCs w:val="20"/>
              </w:rPr>
              <w:t>27,837</w:t>
            </w:r>
          </w:p>
        </w:tc>
      </w:tr>
    </w:tbl>
    <w:p w:rsidR="00C56145" w:rsidRPr="00F52DED" w:rsidRDefault="00C56145">
      <w:pPr>
        <w:rPr>
          <w:rFonts w:ascii="Arial" w:hAnsi="Arial" w:cs="Arial"/>
          <w:sz w:val="20"/>
          <w:szCs w:val="20"/>
        </w:rPr>
      </w:pPr>
    </w:p>
    <w:bookmarkEnd w:id="3"/>
    <w:p w:rsidR="003B17CE" w:rsidRPr="00F52DED" w:rsidRDefault="00CE6EB2" w:rsidP="00D61AAA">
      <w:pPr>
        <w:numPr>
          <w:ilvl w:val="0"/>
          <w:numId w:val="5"/>
        </w:numPr>
        <w:ind w:left="360"/>
        <w:rPr>
          <w:rFonts w:ascii="Arial" w:hAnsi="Arial" w:cs="Arial"/>
          <w:sz w:val="20"/>
          <w:szCs w:val="20"/>
        </w:rPr>
      </w:pPr>
      <w:r w:rsidRPr="00F52DED">
        <w:rPr>
          <w:rFonts w:ascii="Arial" w:hAnsi="Arial" w:cs="Arial"/>
          <w:sz w:val="20"/>
          <w:szCs w:val="20"/>
        </w:rPr>
        <w:t>The</w:t>
      </w:r>
      <w:r w:rsidR="00E919F1" w:rsidRPr="00F52DED">
        <w:rPr>
          <w:rFonts w:ascii="Arial" w:hAnsi="Arial" w:cs="Arial"/>
          <w:sz w:val="20"/>
          <w:szCs w:val="20"/>
        </w:rPr>
        <w:t xml:space="preserve">re are no costs incurred by </w:t>
      </w:r>
      <w:r w:rsidRPr="00F52DED">
        <w:rPr>
          <w:rFonts w:ascii="Arial" w:hAnsi="Arial" w:cs="Arial"/>
          <w:sz w:val="20"/>
          <w:szCs w:val="20"/>
        </w:rPr>
        <w:t>respondents</w:t>
      </w:r>
      <w:r w:rsidR="00E919F1" w:rsidRPr="00F52DED">
        <w:rPr>
          <w:rFonts w:ascii="Arial" w:hAnsi="Arial" w:cs="Arial"/>
          <w:sz w:val="20"/>
          <w:szCs w:val="20"/>
        </w:rPr>
        <w:t>.</w:t>
      </w:r>
      <w:bookmarkStart w:id="4" w:name="_Toc54060564"/>
    </w:p>
    <w:p w:rsidR="00AF6567" w:rsidRPr="00F52DED" w:rsidRDefault="00AF6567" w:rsidP="00D61AAA">
      <w:pPr>
        <w:ind w:left="360"/>
        <w:rPr>
          <w:rFonts w:ascii="Arial" w:hAnsi="Arial" w:cs="Arial"/>
          <w:sz w:val="20"/>
          <w:szCs w:val="20"/>
        </w:rPr>
      </w:pPr>
    </w:p>
    <w:p w:rsidR="00436403" w:rsidRPr="00F52DED" w:rsidRDefault="00AF5748">
      <w:pPr>
        <w:numPr>
          <w:ilvl w:val="0"/>
          <w:numId w:val="5"/>
        </w:numPr>
        <w:ind w:left="360"/>
        <w:rPr>
          <w:rFonts w:ascii="Arial" w:hAnsi="Arial" w:cs="Arial"/>
          <w:sz w:val="20"/>
          <w:szCs w:val="20"/>
        </w:rPr>
      </w:pPr>
      <w:r w:rsidRPr="00F52DED">
        <w:rPr>
          <w:rFonts w:ascii="Arial" w:hAnsi="Arial" w:cs="Arial"/>
          <w:sz w:val="20"/>
          <w:szCs w:val="20"/>
        </w:rPr>
        <w:t xml:space="preserve">The estimated annualized cost to the Federal Government for this collection is </w:t>
      </w:r>
      <w:r w:rsidRPr="00F52DED">
        <w:rPr>
          <w:rFonts w:ascii="Arial" w:hAnsi="Arial" w:cs="Arial"/>
          <w:b/>
          <w:sz w:val="20"/>
          <w:szCs w:val="20"/>
        </w:rPr>
        <w:t>$</w:t>
      </w:r>
      <w:r w:rsidR="005605E5" w:rsidRPr="00F52DED">
        <w:rPr>
          <w:rFonts w:ascii="Arial" w:hAnsi="Arial" w:cs="Arial"/>
          <w:b/>
          <w:sz w:val="20"/>
          <w:szCs w:val="20"/>
        </w:rPr>
        <w:t>192,033</w:t>
      </w:r>
      <w:r w:rsidRPr="00F52DED">
        <w:rPr>
          <w:rFonts w:ascii="Arial" w:hAnsi="Arial" w:cs="Arial"/>
          <w:b/>
          <w:sz w:val="20"/>
          <w:szCs w:val="20"/>
        </w:rPr>
        <w:t>.</w:t>
      </w:r>
      <w:r w:rsidRPr="00F52DED">
        <w:rPr>
          <w:rFonts w:ascii="Arial" w:hAnsi="Arial" w:cs="Arial"/>
          <w:sz w:val="20"/>
          <w:szCs w:val="20"/>
        </w:rPr>
        <w:t xml:space="preserve"> This number was calculated based on the contractor’s labor for associated tasks, as well as salary of ECA/P/V staff who manage the contractor (as broken down below): </w:t>
      </w:r>
    </w:p>
    <w:p w:rsidR="00436403" w:rsidRPr="00F52DED" w:rsidRDefault="00436403">
      <w:pPr>
        <w:ind w:left="360"/>
        <w:rPr>
          <w:rFonts w:ascii="Arial" w:hAnsi="Arial" w:cs="Arial"/>
          <w:sz w:val="20"/>
          <w:szCs w:val="20"/>
        </w:rPr>
      </w:pPr>
    </w:p>
    <w:p w:rsidR="00436403" w:rsidRPr="00F52DED" w:rsidRDefault="00AF5748">
      <w:pPr>
        <w:pStyle w:val="ListParagraph"/>
        <w:numPr>
          <w:ilvl w:val="0"/>
          <w:numId w:val="36"/>
        </w:numPr>
        <w:rPr>
          <w:rFonts w:ascii="Arial" w:hAnsi="Arial" w:cs="Arial"/>
          <w:sz w:val="20"/>
          <w:szCs w:val="20"/>
        </w:rPr>
      </w:pPr>
      <w:r w:rsidRPr="00F52DED">
        <w:rPr>
          <w:rFonts w:ascii="Arial" w:hAnsi="Arial" w:cs="Arial"/>
          <w:sz w:val="20"/>
          <w:szCs w:val="20"/>
        </w:rPr>
        <w:t xml:space="preserve">The data collection budget for this evaluation survey is approximately </w:t>
      </w:r>
      <w:r w:rsidRPr="00F52DED">
        <w:rPr>
          <w:rFonts w:ascii="Arial" w:hAnsi="Arial" w:cs="Arial"/>
          <w:b/>
          <w:sz w:val="20"/>
          <w:szCs w:val="20"/>
        </w:rPr>
        <w:t>$78,000</w:t>
      </w:r>
      <w:r w:rsidRPr="00F52DED">
        <w:rPr>
          <w:rFonts w:ascii="Arial" w:hAnsi="Arial" w:cs="Arial"/>
          <w:sz w:val="20"/>
          <w:szCs w:val="20"/>
        </w:rPr>
        <w:t xml:space="preserve">. This includes contractor labor for </w:t>
      </w:r>
      <w:r w:rsidR="008411DE" w:rsidRPr="00F52DED">
        <w:rPr>
          <w:rFonts w:ascii="Arial" w:hAnsi="Arial" w:cs="Arial"/>
          <w:sz w:val="20"/>
          <w:szCs w:val="20"/>
        </w:rPr>
        <w:t xml:space="preserve">3 persons for </w:t>
      </w:r>
      <w:r w:rsidRPr="00F52DED">
        <w:rPr>
          <w:rFonts w:ascii="Arial" w:hAnsi="Arial" w:cs="Arial"/>
          <w:sz w:val="20"/>
          <w:szCs w:val="20"/>
        </w:rPr>
        <w:t>drafting</w:t>
      </w:r>
      <w:r w:rsidR="00D805B7" w:rsidRPr="00F52DED">
        <w:rPr>
          <w:rFonts w:ascii="Arial" w:hAnsi="Arial" w:cs="Arial"/>
          <w:sz w:val="20"/>
          <w:szCs w:val="20"/>
        </w:rPr>
        <w:t xml:space="preserve"> and finalizing</w:t>
      </w:r>
      <w:r w:rsidRPr="00F52DED">
        <w:rPr>
          <w:rFonts w:ascii="Arial" w:hAnsi="Arial" w:cs="Arial"/>
          <w:sz w:val="20"/>
          <w:szCs w:val="20"/>
        </w:rPr>
        <w:t xml:space="preserve"> the survey</w:t>
      </w:r>
      <w:r w:rsidR="00D805B7" w:rsidRPr="00F52DED">
        <w:rPr>
          <w:rFonts w:ascii="Arial" w:hAnsi="Arial" w:cs="Arial"/>
          <w:sz w:val="20"/>
          <w:szCs w:val="20"/>
        </w:rPr>
        <w:t xml:space="preserve"> instrument, survey programming in the surveying system, </w:t>
      </w:r>
      <w:r w:rsidRPr="00F52DED">
        <w:rPr>
          <w:rFonts w:ascii="Arial" w:hAnsi="Arial" w:cs="Arial"/>
          <w:sz w:val="20"/>
          <w:szCs w:val="20"/>
        </w:rPr>
        <w:t>survey administration</w:t>
      </w:r>
      <w:r w:rsidR="00D805B7" w:rsidRPr="00F52DED">
        <w:rPr>
          <w:rFonts w:ascii="Arial" w:hAnsi="Arial" w:cs="Arial"/>
          <w:sz w:val="20"/>
          <w:szCs w:val="20"/>
        </w:rPr>
        <w:t xml:space="preserve"> including sending out survey reminders, and producing regular response rate reports, participation in status meetings with ECA/P/V,</w:t>
      </w:r>
      <w:r w:rsidRPr="00F52DED">
        <w:rPr>
          <w:rFonts w:ascii="Arial" w:hAnsi="Arial" w:cs="Arial"/>
          <w:sz w:val="20"/>
          <w:szCs w:val="20"/>
        </w:rPr>
        <w:t xml:space="preserve"> </w:t>
      </w:r>
      <w:r w:rsidR="00D805B7" w:rsidRPr="00F52DED">
        <w:rPr>
          <w:rFonts w:ascii="Arial" w:hAnsi="Arial" w:cs="Arial"/>
          <w:sz w:val="20"/>
          <w:szCs w:val="20"/>
        </w:rPr>
        <w:t>as well as fees for the</w:t>
      </w:r>
      <w:r w:rsidRPr="00F52DED">
        <w:rPr>
          <w:rFonts w:ascii="Arial" w:hAnsi="Arial" w:cs="Arial"/>
          <w:sz w:val="20"/>
          <w:szCs w:val="20"/>
        </w:rPr>
        <w:t xml:space="preserve"> software/server expenditures.  </w:t>
      </w:r>
    </w:p>
    <w:p w:rsidR="00436403" w:rsidRPr="00F52DED" w:rsidRDefault="00436403">
      <w:pPr>
        <w:ind w:left="360"/>
        <w:rPr>
          <w:rFonts w:ascii="Arial" w:hAnsi="Arial" w:cs="Arial"/>
          <w:sz w:val="20"/>
          <w:szCs w:val="20"/>
        </w:rPr>
      </w:pPr>
    </w:p>
    <w:p w:rsidR="00436403" w:rsidRPr="00F52DED" w:rsidRDefault="00AF5748">
      <w:pPr>
        <w:pStyle w:val="ListParagraph"/>
        <w:numPr>
          <w:ilvl w:val="0"/>
          <w:numId w:val="36"/>
        </w:numPr>
        <w:rPr>
          <w:rFonts w:ascii="Arial" w:hAnsi="Arial" w:cs="Arial"/>
          <w:sz w:val="20"/>
          <w:szCs w:val="20"/>
        </w:rPr>
      </w:pPr>
      <w:r w:rsidRPr="00F52DED">
        <w:rPr>
          <w:rFonts w:ascii="Arial" w:hAnsi="Arial" w:cs="Arial"/>
          <w:sz w:val="20"/>
          <w:szCs w:val="20"/>
        </w:rPr>
        <w:t xml:space="preserve">The </w:t>
      </w:r>
      <w:r w:rsidR="00D805B7" w:rsidRPr="00F52DED">
        <w:rPr>
          <w:rFonts w:ascii="Arial" w:hAnsi="Arial" w:cs="Arial"/>
          <w:sz w:val="20"/>
          <w:szCs w:val="20"/>
        </w:rPr>
        <w:t xml:space="preserve">contractor’s </w:t>
      </w:r>
      <w:r w:rsidRPr="00F52DED">
        <w:rPr>
          <w:rFonts w:ascii="Arial" w:hAnsi="Arial" w:cs="Arial"/>
          <w:sz w:val="20"/>
          <w:szCs w:val="20"/>
        </w:rPr>
        <w:t xml:space="preserve">analysis and reporting budget the data collected through this collection is approximately </w:t>
      </w:r>
      <w:r w:rsidRPr="00F52DED">
        <w:rPr>
          <w:rFonts w:ascii="Arial" w:hAnsi="Arial" w:cs="Arial"/>
          <w:b/>
          <w:sz w:val="20"/>
          <w:szCs w:val="20"/>
        </w:rPr>
        <w:t xml:space="preserve">$104,000 </w:t>
      </w:r>
      <w:r w:rsidRPr="00F52DED">
        <w:rPr>
          <w:rFonts w:ascii="Arial" w:hAnsi="Arial" w:cs="Arial"/>
          <w:sz w:val="20"/>
          <w:szCs w:val="20"/>
        </w:rPr>
        <w:t xml:space="preserve">and will include contractor labor for </w:t>
      </w:r>
      <w:r w:rsidR="008411DE" w:rsidRPr="00F52DED">
        <w:rPr>
          <w:rFonts w:ascii="Arial" w:hAnsi="Arial" w:cs="Arial"/>
          <w:sz w:val="20"/>
          <w:szCs w:val="20"/>
        </w:rPr>
        <w:t xml:space="preserve">4 people to do the </w:t>
      </w:r>
      <w:r w:rsidRPr="00F52DED">
        <w:rPr>
          <w:rFonts w:ascii="Arial" w:hAnsi="Arial" w:cs="Arial"/>
          <w:sz w:val="20"/>
          <w:szCs w:val="20"/>
        </w:rPr>
        <w:t>analysis, report writing and materials, and briefings.</w:t>
      </w:r>
    </w:p>
    <w:p w:rsidR="00436403" w:rsidRPr="00F52DED" w:rsidRDefault="00436403">
      <w:pPr>
        <w:ind w:left="360" w:firstLine="60"/>
        <w:rPr>
          <w:rFonts w:ascii="Arial" w:hAnsi="Arial" w:cs="Arial"/>
          <w:sz w:val="20"/>
          <w:szCs w:val="20"/>
        </w:rPr>
      </w:pPr>
    </w:p>
    <w:p w:rsidR="00436403" w:rsidRPr="00F52DED" w:rsidRDefault="00AF5748">
      <w:pPr>
        <w:pStyle w:val="ListParagraph"/>
        <w:numPr>
          <w:ilvl w:val="0"/>
          <w:numId w:val="36"/>
        </w:numPr>
        <w:rPr>
          <w:rFonts w:ascii="Arial" w:hAnsi="Arial" w:cs="Arial"/>
          <w:sz w:val="20"/>
          <w:szCs w:val="20"/>
        </w:rPr>
      </w:pPr>
      <w:r w:rsidRPr="00F52DED">
        <w:rPr>
          <w:rFonts w:ascii="Arial" w:hAnsi="Arial" w:cs="Arial"/>
          <w:sz w:val="20"/>
          <w:szCs w:val="20"/>
        </w:rPr>
        <w:t xml:space="preserve">The cost for ECA employee time is </w:t>
      </w:r>
      <w:r w:rsidRPr="00F52DED">
        <w:rPr>
          <w:rFonts w:ascii="Arial" w:hAnsi="Arial" w:cs="Arial"/>
          <w:b/>
          <w:sz w:val="20"/>
          <w:szCs w:val="20"/>
        </w:rPr>
        <w:t>$</w:t>
      </w:r>
      <w:r w:rsidR="005605E5" w:rsidRPr="00F52DED">
        <w:rPr>
          <w:rFonts w:ascii="Arial" w:hAnsi="Arial" w:cs="Arial"/>
          <w:b/>
          <w:sz w:val="20"/>
          <w:szCs w:val="20"/>
        </w:rPr>
        <w:t>10,033</w:t>
      </w:r>
      <w:r w:rsidRPr="00F52DED">
        <w:rPr>
          <w:rFonts w:ascii="Arial" w:hAnsi="Arial" w:cs="Arial"/>
          <w:sz w:val="20"/>
          <w:szCs w:val="20"/>
        </w:rPr>
        <w:t>. This is calculated</w:t>
      </w:r>
      <w:r w:rsidR="00261C6D" w:rsidRPr="00F52DED">
        <w:rPr>
          <w:rFonts w:ascii="Arial" w:hAnsi="Arial" w:cs="Arial"/>
          <w:sz w:val="20"/>
          <w:szCs w:val="20"/>
        </w:rPr>
        <w:t xml:space="preserve"> as 2 employees (GS-13), with a</w:t>
      </w:r>
      <w:r w:rsidRPr="00F52DED">
        <w:rPr>
          <w:rFonts w:ascii="Arial" w:hAnsi="Arial" w:cs="Arial"/>
          <w:sz w:val="20"/>
          <w:szCs w:val="20"/>
        </w:rPr>
        <w:t xml:space="preserve"> loaded (or weighted) average hourly wage of $59.72, </w:t>
      </w:r>
      <w:r w:rsidR="006C66D0" w:rsidRPr="00F52DED">
        <w:rPr>
          <w:rFonts w:ascii="Arial" w:hAnsi="Arial" w:cs="Arial"/>
          <w:sz w:val="20"/>
          <w:szCs w:val="20"/>
        </w:rPr>
        <w:t xml:space="preserve">who </w:t>
      </w:r>
      <w:r w:rsidRPr="00F52DED">
        <w:rPr>
          <w:rFonts w:ascii="Arial" w:hAnsi="Arial" w:cs="Arial"/>
          <w:sz w:val="20"/>
          <w:szCs w:val="20"/>
        </w:rPr>
        <w:t xml:space="preserve">will spend approximately 5 percent </w:t>
      </w:r>
      <w:r w:rsidR="006C66D0" w:rsidRPr="00F52DED">
        <w:rPr>
          <w:rFonts w:ascii="Arial" w:hAnsi="Arial" w:cs="Arial"/>
          <w:sz w:val="20"/>
          <w:szCs w:val="20"/>
        </w:rPr>
        <w:t xml:space="preserve">(during about 10 months) of their time (which will equate to about 84 hours each) </w:t>
      </w:r>
      <w:r w:rsidRPr="00F52DED">
        <w:rPr>
          <w:rFonts w:ascii="Arial" w:hAnsi="Arial" w:cs="Arial"/>
          <w:sz w:val="20"/>
          <w:szCs w:val="20"/>
        </w:rPr>
        <w:t>in providing oversight and additional guidance including reviews of survey, data administration, data analysis, and the report, as well as participation in status meetings with the contractor.</w:t>
      </w:r>
    </w:p>
    <w:p w:rsidR="00351035" w:rsidRPr="00F52DED" w:rsidRDefault="00351035" w:rsidP="00D61AAA">
      <w:pPr>
        <w:rPr>
          <w:rFonts w:ascii="Arial" w:hAnsi="Arial" w:cs="Arial"/>
          <w:sz w:val="20"/>
          <w:szCs w:val="20"/>
        </w:rPr>
      </w:pPr>
    </w:p>
    <w:bookmarkEnd w:id="4"/>
    <w:p w:rsidR="00436403" w:rsidRPr="00F52DED" w:rsidRDefault="006154E9">
      <w:pPr>
        <w:numPr>
          <w:ilvl w:val="0"/>
          <w:numId w:val="5"/>
        </w:numPr>
        <w:ind w:left="360"/>
        <w:rPr>
          <w:rFonts w:ascii="Arial" w:hAnsi="Arial" w:cs="Arial"/>
          <w:sz w:val="20"/>
          <w:szCs w:val="20"/>
        </w:rPr>
      </w:pPr>
      <w:r w:rsidRPr="00F52DED">
        <w:rPr>
          <w:rFonts w:ascii="Arial" w:hAnsi="Arial" w:cs="Arial"/>
          <w:bCs/>
          <w:sz w:val="20"/>
          <w:szCs w:val="20"/>
        </w:rPr>
        <w:t>This is</w:t>
      </w:r>
      <w:r w:rsidR="00C76C68" w:rsidRPr="00F52DED">
        <w:rPr>
          <w:rFonts w:ascii="Arial" w:hAnsi="Arial" w:cs="Arial"/>
          <w:bCs/>
          <w:sz w:val="20"/>
          <w:szCs w:val="20"/>
        </w:rPr>
        <w:t xml:space="preserve"> a new collection.</w:t>
      </w:r>
    </w:p>
    <w:p w:rsidR="00436403" w:rsidRPr="00F52DED" w:rsidRDefault="00436403">
      <w:pPr>
        <w:ind w:left="360"/>
        <w:rPr>
          <w:rFonts w:ascii="Arial" w:hAnsi="Arial" w:cs="Arial"/>
          <w:sz w:val="20"/>
          <w:szCs w:val="20"/>
        </w:rPr>
      </w:pPr>
    </w:p>
    <w:p w:rsidR="00436403" w:rsidRPr="00F52DED" w:rsidRDefault="00794ECF">
      <w:pPr>
        <w:numPr>
          <w:ilvl w:val="0"/>
          <w:numId w:val="5"/>
        </w:numPr>
        <w:ind w:left="360"/>
        <w:rPr>
          <w:rFonts w:ascii="Arial" w:hAnsi="Arial" w:cs="Arial"/>
          <w:sz w:val="20"/>
          <w:szCs w:val="20"/>
        </w:rPr>
      </w:pPr>
      <w:r w:rsidRPr="00F52DED">
        <w:rPr>
          <w:rFonts w:ascii="Arial" w:hAnsi="Arial" w:cs="Arial"/>
          <w:sz w:val="20"/>
          <w:szCs w:val="20"/>
        </w:rPr>
        <w:t>Survey data collection is estimated to begin immediately after OMB</w:t>
      </w:r>
      <w:r w:rsidR="002770A7" w:rsidRPr="00F52DED">
        <w:rPr>
          <w:rFonts w:ascii="Arial" w:hAnsi="Arial" w:cs="Arial"/>
          <w:sz w:val="20"/>
          <w:szCs w:val="20"/>
        </w:rPr>
        <w:t xml:space="preserve"> </w:t>
      </w:r>
      <w:r w:rsidR="00D61AAA" w:rsidRPr="00F52DED">
        <w:rPr>
          <w:rFonts w:ascii="Arial" w:hAnsi="Arial" w:cs="Arial"/>
          <w:sz w:val="20"/>
          <w:szCs w:val="20"/>
        </w:rPr>
        <w:t>provides approval</w:t>
      </w:r>
      <w:r w:rsidRPr="00F52DED">
        <w:rPr>
          <w:rFonts w:ascii="Arial" w:hAnsi="Arial" w:cs="Arial"/>
          <w:sz w:val="20"/>
          <w:szCs w:val="20"/>
        </w:rPr>
        <w:t xml:space="preserve">.  It is estimated the data collection period will take at least 6 weeks.  Following the data collection period, </w:t>
      </w:r>
      <w:r w:rsidR="00920D58" w:rsidRPr="00F52DED">
        <w:rPr>
          <w:rFonts w:ascii="Arial" w:hAnsi="Arial" w:cs="Arial"/>
          <w:sz w:val="20"/>
          <w:szCs w:val="20"/>
        </w:rPr>
        <w:t xml:space="preserve">the </w:t>
      </w:r>
      <w:r w:rsidRPr="00F52DED">
        <w:rPr>
          <w:rFonts w:ascii="Arial" w:hAnsi="Arial" w:cs="Arial"/>
          <w:sz w:val="20"/>
          <w:szCs w:val="20"/>
        </w:rPr>
        <w:t>external contracting firm (</w:t>
      </w:r>
      <w:r w:rsidR="003A4C86" w:rsidRPr="00F52DED">
        <w:rPr>
          <w:rFonts w:ascii="Arial" w:hAnsi="Arial" w:cs="Arial"/>
          <w:sz w:val="20"/>
          <w:szCs w:val="20"/>
        </w:rPr>
        <w:t>RSI</w:t>
      </w:r>
      <w:r w:rsidRPr="00F52DED">
        <w:rPr>
          <w:rFonts w:ascii="Arial" w:hAnsi="Arial" w:cs="Arial"/>
          <w:sz w:val="20"/>
          <w:szCs w:val="20"/>
        </w:rPr>
        <w:t>) will conduct basic descriptive analysis (such as frequencies) and cross-tabular analysis as needed</w:t>
      </w:r>
      <w:r w:rsidR="00920D58" w:rsidRPr="00F52DED">
        <w:rPr>
          <w:rFonts w:ascii="Arial" w:hAnsi="Arial" w:cs="Arial"/>
          <w:sz w:val="20"/>
          <w:szCs w:val="20"/>
        </w:rPr>
        <w:t xml:space="preserve"> as explain per section A2</w:t>
      </w:r>
      <w:r w:rsidRPr="00F52DED">
        <w:rPr>
          <w:rFonts w:ascii="Arial" w:hAnsi="Arial" w:cs="Arial"/>
          <w:sz w:val="20"/>
          <w:szCs w:val="20"/>
        </w:rPr>
        <w:t xml:space="preserve">. </w:t>
      </w:r>
      <w:r w:rsidR="008A090A" w:rsidRPr="00F52DED">
        <w:rPr>
          <w:rFonts w:ascii="Arial" w:hAnsi="Arial" w:cs="Arial"/>
          <w:sz w:val="20"/>
          <w:szCs w:val="20"/>
        </w:rPr>
        <w:t xml:space="preserve"> </w:t>
      </w:r>
      <w:r w:rsidR="00F410E4" w:rsidRPr="00F52DED">
        <w:rPr>
          <w:rFonts w:ascii="Arial" w:hAnsi="Arial" w:cs="Arial"/>
          <w:sz w:val="20"/>
          <w:szCs w:val="20"/>
        </w:rPr>
        <w:t>The contractor will develop a</w:t>
      </w:r>
      <w:r w:rsidR="008A090A" w:rsidRPr="00F52DED">
        <w:rPr>
          <w:rFonts w:ascii="Arial" w:hAnsi="Arial" w:cs="Arial"/>
          <w:sz w:val="20"/>
          <w:szCs w:val="20"/>
        </w:rPr>
        <w:t xml:space="preserve"> report </w:t>
      </w:r>
      <w:r w:rsidR="00F410E4" w:rsidRPr="00F52DED">
        <w:rPr>
          <w:rFonts w:ascii="Arial" w:hAnsi="Arial" w:cs="Arial"/>
          <w:sz w:val="20"/>
          <w:szCs w:val="20"/>
        </w:rPr>
        <w:t>for review and approval by ECA.</w:t>
      </w:r>
    </w:p>
    <w:p w:rsidR="00920D58" w:rsidRPr="00F52DED" w:rsidRDefault="00920D58" w:rsidP="00D61AAA">
      <w:pPr>
        <w:pStyle w:val="ListParagraph"/>
        <w:rPr>
          <w:rFonts w:ascii="Arial" w:hAnsi="Arial" w:cs="Arial"/>
          <w:sz w:val="20"/>
          <w:szCs w:val="20"/>
        </w:rPr>
      </w:pPr>
    </w:p>
    <w:p w:rsidR="00436403" w:rsidRPr="00F52DED" w:rsidRDefault="00F410E4">
      <w:pPr>
        <w:ind w:left="360"/>
        <w:rPr>
          <w:rFonts w:ascii="Arial" w:hAnsi="Arial" w:cs="Arial"/>
          <w:sz w:val="20"/>
          <w:szCs w:val="20"/>
        </w:rPr>
      </w:pPr>
      <w:r w:rsidRPr="00F52DED">
        <w:rPr>
          <w:rFonts w:ascii="Arial" w:hAnsi="Arial" w:cs="Arial"/>
          <w:sz w:val="20"/>
          <w:szCs w:val="20"/>
        </w:rPr>
        <w:t xml:space="preserve">Once approved by the </w:t>
      </w:r>
      <w:r w:rsidR="00D61AAA" w:rsidRPr="00F52DED">
        <w:rPr>
          <w:rFonts w:ascii="Arial" w:hAnsi="Arial" w:cs="Arial"/>
          <w:sz w:val="20"/>
          <w:szCs w:val="20"/>
        </w:rPr>
        <w:t xml:space="preserve">ECA </w:t>
      </w:r>
      <w:r w:rsidRPr="00F52DED">
        <w:rPr>
          <w:rFonts w:ascii="Arial" w:hAnsi="Arial" w:cs="Arial"/>
          <w:sz w:val="20"/>
          <w:szCs w:val="20"/>
        </w:rPr>
        <w:t>Assistant Secretary, t</w:t>
      </w:r>
      <w:r w:rsidR="00850069" w:rsidRPr="00F52DED">
        <w:rPr>
          <w:rFonts w:ascii="Arial" w:hAnsi="Arial" w:cs="Arial"/>
          <w:sz w:val="20"/>
          <w:szCs w:val="20"/>
        </w:rPr>
        <w:t>he evaluation report will be posted on the Evaluation Division site</w:t>
      </w:r>
      <w:r w:rsidR="00794ECF" w:rsidRPr="00F52DED">
        <w:rPr>
          <w:rFonts w:ascii="Arial" w:hAnsi="Arial" w:cs="Arial"/>
          <w:sz w:val="20"/>
          <w:szCs w:val="20"/>
        </w:rPr>
        <w:t xml:space="preserve"> </w:t>
      </w:r>
      <w:r w:rsidR="00850069" w:rsidRPr="00F52DED">
        <w:rPr>
          <w:rFonts w:ascii="Arial" w:hAnsi="Arial" w:cs="Arial"/>
          <w:sz w:val="20"/>
          <w:szCs w:val="20"/>
        </w:rPr>
        <w:t xml:space="preserve">at </w:t>
      </w:r>
      <w:r w:rsidR="00920D58" w:rsidRPr="00F52DED">
        <w:rPr>
          <w:rFonts w:ascii="Arial" w:hAnsi="Arial" w:cs="Arial"/>
          <w:sz w:val="20"/>
          <w:szCs w:val="20"/>
        </w:rPr>
        <w:t>http://exchanges.state.gov/programevaluations/completed.html for public release.  Additionally, a</w:t>
      </w:r>
      <w:r w:rsidR="00E15689" w:rsidRPr="00F52DED">
        <w:rPr>
          <w:rFonts w:ascii="Arial" w:hAnsi="Arial" w:cs="Arial"/>
          <w:sz w:val="20"/>
          <w:szCs w:val="20"/>
        </w:rPr>
        <w:t xml:space="preserve">n appropriate distribution list, which will include </w:t>
      </w:r>
      <w:r w:rsidR="00920D58" w:rsidRPr="00F52DED">
        <w:rPr>
          <w:rFonts w:ascii="Arial" w:hAnsi="Arial" w:cs="Arial"/>
          <w:sz w:val="20"/>
          <w:szCs w:val="20"/>
        </w:rPr>
        <w:t xml:space="preserve">key </w:t>
      </w:r>
      <w:r w:rsidR="00E15689" w:rsidRPr="00F52DED">
        <w:rPr>
          <w:rFonts w:ascii="Arial" w:hAnsi="Arial" w:cs="Arial"/>
          <w:sz w:val="20"/>
          <w:szCs w:val="20"/>
        </w:rPr>
        <w:t xml:space="preserve">stakeholders and other organizations and individuals that may be interested in the evaluation results, will also be developed. </w:t>
      </w:r>
      <w:r w:rsidR="00920D58" w:rsidRPr="00F52DED">
        <w:rPr>
          <w:rFonts w:ascii="Arial" w:hAnsi="Arial" w:cs="Arial"/>
          <w:sz w:val="20"/>
          <w:szCs w:val="20"/>
        </w:rPr>
        <w:t xml:space="preserve">They will receive notification of the release of this report via </w:t>
      </w:r>
      <w:r w:rsidR="00D34E82" w:rsidRPr="00F52DED">
        <w:rPr>
          <w:rFonts w:ascii="Arial" w:hAnsi="Arial" w:cs="Arial"/>
          <w:sz w:val="20"/>
          <w:szCs w:val="20"/>
        </w:rPr>
        <w:t>e-mail</w:t>
      </w:r>
      <w:r w:rsidR="00920D58" w:rsidRPr="00F52DED">
        <w:rPr>
          <w:rFonts w:ascii="Arial" w:hAnsi="Arial" w:cs="Arial"/>
          <w:sz w:val="20"/>
          <w:szCs w:val="20"/>
        </w:rPr>
        <w:t>.</w:t>
      </w:r>
      <w:r w:rsidR="00EF55A6" w:rsidRPr="00F52DED">
        <w:rPr>
          <w:rFonts w:ascii="Arial" w:hAnsi="Arial" w:cs="Arial"/>
          <w:sz w:val="20"/>
          <w:szCs w:val="20"/>
        </w:rPr>
        <w:t xml:space="preserve"> </w:t>
      </w:r>
      <w:r w:rsidR="008F3298" w:rsidRPr="00F52DED">
        <w:rPr>
          <w:rFonts w:ascii="Arial" w:hAnsi="Arial" w:cs="Arial"/>
          <w:sz w:val="20"/>
          <w:szCs w:val="20"/>
        </w:rPr>
        <w:t xml:space="preserve">The contracted evaluators are also required to present results of the evaluation to </w:t>
      </w:r>
      <w:r w:rsidR="006F12E3" w:rsidRPr="00F52DED">
        <w:rPr>
          <w:rFonts w:ascii="Arial" w:hAnsi="Arial" w:cs="Arial"/>
          <w:sz w:val="20"/>
          <w:szCs w:val="20"/>
        </w:rPr>
        <w:t xml:space="preserve">key </w:t>
      </w:r>
      <w:r w:rsidR="008F3298" w:rsidRPr="00F52DED">
        <w:rPr>
          <w:rFonts w:ascii="Arial" w:hAnsi="Arial" w:cs="Arial"/>
          <w:sz w:val="20"/>
          <w:szCs w:val="20"/>
        </w:rPr>
        <w:t>stakeholder groups as requested by ECA for a period of time following the evaluation’s completion.</w:t>
      </w:r>
      <w:r w:rsidR="006F12E3" w:rsidRPr="00F52DED">
        <w:rPr>
          <w:rFonts w:ascii="Arial" w:hAnsi="Arial" w:cs="Arial"/>
          <w:sz w:val="20"/>
          <w:szCs w:val="20"/>
        </w:rPr>
        <w:t xml:space="preserve"> </w:t>
      </w:r>
      <w:r w:rsidR="00794ECF" w:rsidRPr="00F52DED">
        <w:rPr>
          <w:rFonts w:ascii="Arial" w:hAnsi="Arial" w:cs="Arial"/>
          <w:sz w:val="20"/>
          <w:szCs w:val="20"/>
        </w:rPr>
        <w:t xml:space="preserve">Results for this evaluation are estimated to conclude about 9 months after the data collection period has ended. </w:t>
      </w:r>
    </w:p>
    <w:p w:rsidR="003B17CE" w:rsidRPr="00F52DED" w:rsidRDefault="003B17CE" w:rsidP="00D61AAA">
      <w:pPr>
        <w:ind w:left="360"/>
        <w:rPr>
          <w:rFonts w:ascii="Arial" w:hAnsi="Arial" w:cs="Arial"/>
          <w:sz w:val="20"/>
          <w:szCs w:val="20"/>
        </w:rPr>
      </w:pPr>
    </w:p>
    <w:p w:rsidR="003B17CE" w:rsidRPr="00F52DED" w:rsidRDefault="00BC6311" w:rsidP="00D61AAA">
      <w:pPr>
        <w:numPr>
          <w:ilvl w:val="0"/>
          <w:numId w:val="5"/>
        </w:numPr>
        <w:ind w:left="360"/>
        <w:rPr>
          <w:rFonts w:ascii="Arial" w:hAnsi="Arial" w:cs="Arial"/>
          <w:sz w:val="20"/>
          <w:szCs w:val="20"/>
        </w:rPr>
      </w:pPr>
      <w:r w:rsidRPr="00F52DED">
        <w:rPr>
          <w:rFonts w:ascii="Arial" w:hAnsi="Arial" w:cs="Arial"/>
          <w:sz w:val="20"/>
          <w:szCs w:val="20"/>
        </w:rPr>
        <w:t xml:space="preserve">ECA/P/V </w:t>
      </w:r>
      <w:r w:rsidR="00CE6EB2" w:rsidRPr="00F52DED">
        <w:rPr>
          <w:rFonts w:ascii="Arial" w:hAnsi="Arial" w:cs="Arial"/>
          <w:sz w:val="20"/>
          <w:szCs w:val="20"/>
        </w:rPr>
        <w:t>will display the OMB expiration date.</w:t>
      </w:r>
    </w:p>
    <w:p w:rsidR="003B17CE" w:rsidRPr="00F52DED" w:rsidRDefault="003B17CE" w:rsidP="00D61AAA">
      <w:pPr>
        <w:pStyle w:val="ListParagraph"/>
        <w:rPr>
          <w:rFonts w:ascii="Arial" w:hAnsi="Arial" w:cs="Arial"/>
          <w:sz w:val="20"/>
          <w:szCs w:val="20"/>
        </w:rPr>
      </w:pPr>
    </w:p>
    <w:p w:rsidR="00CE6EB2" w:rsidRPr="00F52DED" w:rsidRDefault="00CE6EB2" w:rsidP="00D61AAA">
      <w:pPr>
        <w:numPr>
          <w:ilvl w:val="0"/>
          <w:numId w:val="5"/>
        </w:numPr>
        <w:ind w:left="360"/>
        <w:rPr>
          <w:rFonts w:ascii="Arial" w:hAnsi="Arial" w:cs="Arial"/>
          <w:sz w:val="20"/>
          <w:szCs w:val="20"/>
        </w:rPr>
      </w:pPr>
      <w:r w:rsidRPr="00F52DED">
        <w:rPr>
          <w:rFonts w:ascii="Arial" w:hAnsi="Arial" w:cs="Arial"/>
          <w:sz w:val="20"/>
          <w:szCs w:val="20"/>
        </w:rPr>
        <w:t>There are no exceptions requested for this collection.</w:t>
      </w:r>
    </w:p>
    <w:p w:rsidR="00CE6EB2" w:rsidRPr="00F52DED" w:rsidRDefault="00CE6EB2" w:rsidP="00D61AAA">
      <w:pPr>
        <w:rPr>
          <w:rFonts w:ascii="Arial" w:hAnsi="Arial" w:cs="Arial"/>
          <w:b/>
          <w:caps/>
          <w:sz w:val="16"/>
          <w:szCs w:val="16"/>
        </w:rPr>
      </w:pPr>
    </w:p>
    <w:p w:rsidR="00C56145" w:rsidRPr="00F52DED" w:rsidRDefault="00C56145">
      <w:pPr>
        <w:rPr>
          <w:rFonts w:ascii="Arial" w:hAnsi="Arial" w:cs="Arial"/>
          <w:b/>
          <w:caps/>
          <w:sz w:val="16"/>
          <w:szCs w:val="16"/>
        </w:rPr>
      </w:pPr>
    </w:p>
    <w:p w:rsidR="00C56145" w:rsidRPr="00F52DED" w:rsidRDefault="00C56145">
      <w:pPr>
        <w:rPr>
          <w:rFonts w:ascii="Arial" w:hAnsi="Arial" w:cs="Arial"/>
          <w:b/>
          <w:caps/>
          <w:sz w:val="16"/>
          <w:szCs w:val="16"/>
        </w:rPr>
      </w:pPr>
    </w:p>
    <w:p w:rsidR="00C56145" w:rsidRPr="00F52DED" w:rsidRDefault="00CE6EB2">
      <w:pPr>
        <w:numPr>
          <w:ilvl w:val="0"/>
          <w:numId w:val="3"/>
        </w:numPr>
        <w:ind w:left="360"/>
        <w:rPr>
          <w:rFonts w:ascii="Arial" w:hAnsi="Arial" w:cs="Arial"/>
          <w:b/>
          <w:caps/>
          <w:sz w:val="20"/>
          <w:szCs w:val="20"/>
        </w:rPr>
      </w:pPr>
      <w:r w:rsidRPr="00F52DED">
        <w:rPr>
          <w:rFonts w:ascii="Arial" w:hAnsi="Arial" w:cs="Arial"/>
          <w:b/>
          <w:caps/>
          <w:sz w:val="20"/>
          <w:szCs w:val="20"/>
        </w:rPr>
        <w:t>Collections of Information Employing Statistical Methods</w:t>
      </w:r>
    </w:p>
    <w:p w:rsidR="00C56145" w:rsidRPr="00F52DED" w:rsidRDefault="00C56145">
      <w:pPr>
        <w:rPr>
          <w:rFonts w:ascii="Arial" w:hAnsi="Arial" w:cs="Arial"/>
          <w:sz w:val="20"/>
          <w:szCs w:val="20"/>
        </w:rPr>
      </w:pPr>
    </w:p>
    <w:p w:rsidR="00436403" w:rsidRPr="00F52DED" w:rsidRDefault="00436403">
      <w:pPr>
        <w:pStyle w:val="ListParagraph"/>
        <w:autoSpaceDE w:val="0"/>
        <w:autoSpaceDN w:val="0"/>
        <w:rPr>
          <w:rFonts w:ascii="Arial" w:hAnsi="Arial" w:cs="Arial"/>
        </w:rPr>
      </w:pPr>
    </w:p>
    <w:p w:rsidR="00436403" w:rsidRPr="00F52DED" w:rsidRDefault="00EA2CCE">
      <w:pPr>
        <w:numPr>
          <w:ilvl w:val="0"/>
          <w:numId w:val="35"/>
        </w:numPr>
        <w:ind w:left="360"/>
        <w:rPr>
          <w:rFonts w:ascii="Arial" w:hAnsi="Arial" w:cs="Arial"/>
          <w:sz w:val="20"/>
          <w:szCs w:val="20"/>
        </w:rPr>
      </w:pPr>
      <w:r w:rsidRPr="00F52DED">
        <w:rPr>
          <w:rFonts w:ascii="Arial" w:hAnsi="Arial" w:cs="Arial"/>
          <w:sz w:val="20"/>
          <w:szCs w:val="20"/>
        </w:rPr>
        <w:t>This information collection will consist of one electronic survey, conducted only one time as part of the Gilman Evaluation.</w:t>
      </w:r>
    </w:p>
    <w:p w:rsidR="00436403" w:rsidRPr="00F52DED" w:rsidRDefault="00436403">
      <w:pPr>
        <w:ind w:left="360"/>
        <w:rPr>
          <w:rFonts w:ascii="Arial" w:hAnsi="Arial" w:cs="Arial"/>
          <w:sz w:val="20"/>
          <w:szCs w:val="20"/>
        </w:rPr>
      </w:pPr>
    </w:p>
    <w:p w:rsidR="00436403" w:rsidRPr="00F52DED" w:rsidRDefault="00EA2CCE">
      <w:pPr>
        <w:numPr>
          <w:ilvl w:val="0"/>
          <w:numId w:val="35"/>
        </w:numPr>
        <w:ind w:left="360"/>
        <w:rPr>
          <w:rFonts w:ascii="Arial" w:hAnsi="Arial" w:cs="Arial"/>
          <w:sz w:val="20"/>
          <w:szCs w:val="20"/>
        </w:rPr>
      </w:pPr>
      <w:r w:rsidRPr="00F52DED">
        <w:rPr>
          <w:rFonts w:ascii="Arial" w:hAnsi="Arial" w:cs="Arial"/>
          <w:sz w:val="20"/>
          <w:szCs w:val="20"/>
        </w:rPr>
        <w:t xml:space="preserve">The potential respondent universe for the survey will be all 6,184 recipients of the Gilman Scholarship who studied abroad during the nine-year period spanning the 2002/3 and 2010/11 academic years. The anticipated overall response rate for this entire collection is 40%. This number is based on careful triangulation of </w:t>
      </w:r>
      <w:r w:rsidR="00420B4F" w:rsidRPr="00F52DED">
        <w:rPr>
          <w:rFonts w:ascii="Arial" w:hAnsi="Arial" w:cs="Arial"/>
          <w:sz w:val="20"/>
          <w:szCs w:val="20"/>
        </w:rPr>
        <w:t xml:space="preserve">several </w:t>
      </w:r>
      <w:r w:rsidRPr="00F52DED">
        <w:rPr>
          <w:rFonts w:ascii="Arial" w:hAnsi="Arial" w:cs="Arial"/>
          <w:sz w:val="20"/>
          <w:szCs w:val="20"/>
        </w:rPr>
        <w:t xml:space="preserve">sources: average response rates for previously </w:t>
      </w:r>
      <w:r w:rsidR="00420B4F" w:rsidRPr="00F52DED">
        <w:rPr>
          <w:rFonts w:ascii="Arial" w:hAnsi="Arial" w:cs="Arial"/>
          <w:sz w:val="20"/>
          <w:szCs w:val="20"/>
        </w:rPr>
        <w:t>conducted</w:t>
      </w:r>
      <w:r w:rsidRPr="00F52DED">
        <w:rPr>
          <w:rFonts w:ascii="Arial" w:hAnsi="Arial" w:cs="Arial"/>
          <w:sz w:val="20"/>
          <w:szCs w:val="20"/>
        </w:rPr>
        <w:t xml:space="preserve"> evaluation surveys; and on support from the program office and the grantee organization. </w:t>
      </w:r>
    </w:p>
    <w:p w:rsidR="00436403" w:rsidRPr="00F52DED" w:rsidRDefault="00436403">
      <w:pPr>
        <w:rPr>
          <w:rFonts w:ascii="Arial" w:hAnsi="Arial" w:cs="Arial"/>
          <w:sz w:val="20"/>
          <w:szCs w:val="20"/>
        </w:rPr>
      </w:pPr>
    </w:p>
    <w:p w:rsidR="00436403" w:rsidRPr="00F52DED" w:rsidRDefault="00EA2CCE">
      <w:pPr>
        <w:autoSpaceDE w:val="0"/>
        <w:autoSpaceDN w:val="0"/>
        <w:ind w:left="360"/>
        <w:rPr>
          <w:rFonts w:ascii="Arial" w:hAnsi="Arial" w:cs="Arial"/>
          <w:color w:val="1F497D"/>
          <w:sz w:val="20"/>
          <w:szCs w:val="20"/>
        </w:rPr>
      </w:pPr>
      <w:r w:rsidRPr="00F52DED">
        <w:rPr>
          <w:rFonts w:ascii="Arial" w:hAnsi="Arial" w:cs="Arial"/>
          <w:sz w:val="20"/>
          <w:szCs w:val="20"/>
        </w:rPr>
        <w:t xml:space="preserve">While sampling is a useful and effective statistical tool, it would not be appropriate to employ sampling in this data collection effort. As stated above, the anticipated response rate for this survey effort is 40%. </w:t>
      </w:r>
      <w:r w:rsidR="006C03B7" w:rsidRPr="00F52DED">
        <w:rPr>
          <w:rFonts w:ascii="Arial" w:hAnsi="Arial" w:cs="Arial"/>
          <w:sz w:val="20"/>
          <w:szCs w:val="20"/>
        </w:rPr>
        <w:t>G</w:t>
      </w:r>
      <w:r w:rsidRPr="00F52DED">
        <w:rPr>
          <w:rFonts w:ascii="Arial" w:hAnsi="Arial" w:cs="Arial"/>
          <w:sz w:val="20"/>
          <w:szCs w:val="20"/>
        </w:rPr>
        <w:t xml:space="preserve">iven the need to obtain sufficient responses to address diverse program characteristics such as </w:t>
      </w:r>
      <w:r w:rsidR="00EE39C2" w:rsidRPr="00F52DED">
        <w:rPr>
          <w:rFonts w:ascii="Arial" w:hAnsi="Arial" w:cs="Arial"/>
          <w:sz w:val="20"/>
          <w:szCs w:val="20"/>
        </w:rPr>
        <w:t xml:space="preserve">the </w:t>
      </w:r>
      <w:r w:rsidRPr="00F52DED">
        <w:rPr>
          <w:rFonts w:ascii="Arial" w:hAnsi="Arial" w:cs="Arial"/>
          <w:sz w:val="20"/>
          <w:szCs w:val="20"/>
        </w:rPr>
        <w:t>type of home institution</w:t>
      </w:r>
      <w:r w:rsidR="00F34000" w:rsidRPr="00F52DED">
        <w:rPr>
          <w:rFonts w:ascii="Arial" w:hAnsi="Arial" w:cs="Arial"/>
          <w:sz w:val="20"/>
          <w:szCs w:val="20"/>
        </w:rPr>
        <w:t xml:space="preserve"> </w:t>
      </w:r>
      <w:r w:rsidR="00347CE3" w:rsidRPr="00F52DED">
        <w:rPr>
          <w:rFonts w:ascii="Arial" w:hAnsi="Arial" w:cs="Arial"/>
          <w:sz w:val="20"/>
          <w:szCs w:val="20"/>
        </w:rPr>
        <w:t xml:space="preserve">which </w:t>
      </w:r>
      <w:r w:rsidR="00F34000" w:rsidRPr="00F52DED">
        <w:rPr>
          <w:rFonts w:ascii="Arial" w:hAnsi="Arial" w:cs="Arial"/>
          <w:sz w:val="20"/>
          <w:szCs w:val="20"/>
        </w:rPr>
        <w:t xml:space="preserve">has </w:t>
      </w:r>
      <w:r w:rsidR="00A22107" w:rsidRPr="00F52DED">
        <w:rPr>
          <w:rFonts w:ascii="Arial" w:hAnsi="Arial" w:cs="Arial"/>
          <w:sz w:val="20"/>
          <w:szCs w:val="20"/>
        </w:rPr>
        <w:t>changed</w:t>
      </w:r>
      <w:r w:rsidR="00347CE3" w:rsidRPr="00F52DED">
        <w:rPr>
          <w:rFonts w:ascii="Arial" w:hAnsi="Arial" w:cs="Arial"/>
          <w:sz w:val="20"/>
          <w:szCs w:val="20"/>
        </w:rPr>
        <w:t xml:space="preserve"> </w:t>
      </w:r>
      <w:r w:rsidR="00A22107" w:rsidRPr="00F52DED">
        <w:rPr>
          <w:rFonts w:ascii="Arial" w:hAnsi="Arial" w:cs="Arial"/>
          <w:sz w:val="20"/>
          <w:szCs w:val="20"/>
        </w:rPr>
        <w:t>over</w:t>
      </w:r>
      <w:r w:rsidR="00347CE3" w:rsidRPr="00F52DED">
        <w:rPr>
          <w:rFonts w:ascii="Arial" w:hAnsi="Arial" w:cs="Arial"/>
          <w:sz w:val="20"/>
          <w:szCs w:val="20"/>
        </w:rPr>
        <w:t xml:space="preserve"> the years</w:t>
      </w:r>
      <w:r w:rsidRPr="00F52DED">
        <w:rPr>
          <w:rFonts w:ascii="Arial" w:hAnsi="Arial" w:cs="Arial"/>
          <w:sz w:val="20"/>
          <w:szCs w:val="20"/>
        </w:rPr>
        <w:t xml:space="preserve">, the evaluation team has concluded that sampling </w:t>
      </w:r>
      <w:r w:rsidR="00F34000" w:rsidRPr="00F52DED">
        <w:rPr>
          <w:rFonts w:ascii="Arial" w:hAnsi="Arial" w:cs="Arial"/>
          <w:sz w:val="20"/>
          <w:szCs w:val="20"/>
        </w:rPr>
        <w:t>as well as</w:t>
      </w:r>
      <w:r w:rsidR="00AE77E6" w:rsidRPr="00F52DED">
        <w:rPr>
          <w:rFonts w:ascii="Arial" w:hAnsi="Arial" w:cs="Arial"/>
          <w:sz w:val="20"/>
          <w:szCs w:val="20"/>
        </w:rPr>
        <w:t xml:space="preserve"> the exclusion of the earlier </w:t>
      </w:r>
      <w:r w:rsidR="00F34000" w:rsidRPr="00F52DED">
        <w:rPr>
          <w:rFonts w:ascii="Arial" w:hAnsi="Arial" w:cs="Arial"/>
          <w:sz w:val="20"/>
          <w:szCs w:val="20"/>
        </w:rPr>
        <w:t xml:space="preserve">academic </w:t>
      </w:r>
      <w:r w:rsidR="00AE77E6" w:rsidRPr="00F52DED">
        <w:rPr>
          <w:rFonts w:ascii="Arial" w:hAnsi="Arial" w:cs="Arial"/>
          <w:sz w:val="20"/>
          <w:szCs w:val="20"/>
        </w:rPr>
        <w:t>years</w:t>
      </w:r>
      <w:r w:rsidR="00F34000" w:rsidRPr="00F52DED">
        <w:rPr>
          <w:rFonts w:ascii="Arial" w:hAnsi="Arial" w:cs="Arial"/>
          <w:sz w:val="20"/>
          <w:szCs w:val="20"/>
        </w:rPr>
        <w:t xml:space="preserve"> (prior to 2005)</w:t>
      </w:r>
      <w:r w:rsidR="00AE77E6" w:rsidRPr="00F52DED">
        <w:rPr>
          <w:rFonts w:ascii="Arial" w:hAnsi="Arial" w:cs="Arial"/>
          <w:sz w:val="20"/>
          <w:szCs w:val="20"/>
        </w:rPr>
        <w:t xml:space="preserve"> </w:t>
      </w:r>
      <w:r w:rsidRPr="00F52DED">
        <w:rPr>
          <w:rFonts w:ascii="Arial" w:hAnsi="Arial" w:cs="Arial"/>
          <w:sz w:val="20"/>
          <w:szCs w:val="20"/>
        </w:rPr>
        <w:t>would provide insufficient data.</w:t>
      </w:r>
      <w:r w:rsidR="002954C8" w:rsidRPr="00F52DED">
        <w:rPr>
          <w:rFonts w:ascii="Arial" w:hAnsi="Arial" w:cs="Arial"/>
          <w:sz w:val="20"/>
          <w:szCs w:val="20"/>
        </w:rPr>
        <w:t xml:space="preserve">  </w:t>
      </w:r>
      <w:r w:rsidR="006C03B7" w:rsidRPr="00F52DED">
        <w:rPr>
          <w:rFonts w:ascii="Arial" w:hAnsi="Arial" w:cs="Arial"/>
          <w:sz w:val="20"/>
          <w:szCs w:val="20"/>
        </w:rPr>
        <w:t>Additionally, some of our more recent evaluation surveys</w:t>
      </w:r>
      <w:r w:rsidR="00F34000" w:rsidRPr="00F52DED">
        <w:rPr>
          <w:rFonts w:ascii="Arial" w:hAnsi="Arial" w:cs="Arial"/>
          <w:sz w:val="20"/>
          <w:szCs w:val="20"/>
        </w:rPr>
        <w:t xml:space="preserve"> for programs </w:t>
      </w:r>
      <w:r w:rsidR="002954C8" w:rsidRPr="00F52DED">
        <w:rPr>
          <w:rFonts w:ascii="Arial" w:hAnsi="Arial" w:cs="Arial"/>
          <w:sz w:val="20"/>
          <w:szCs w:val="20"/>
        </w:rPr>
        <w:t>that</w:t>
      </w:r>
      <w:r w:rsidR="00AB3E98" w:rsidRPr="00F52DED">
        <w:rPr>
          <w:rFonts w:ascii="Arial" w:hAnsi="Arial" w:cs="Arial"/>
          <w:sz w:val="20"/>
          <w:szCs w:val="20"/>
        </w:rPr>
        <w:t xml:space="preserve"> </w:t>
      </w:r>
      <w:r w:rsidR="002954C8" w:rsidRPr="00F52DED">
        <w:rPr>
          <w:rFonts w:ascii="Arial" w:hAnsi="Arial" w:cs="Arial"/>
          <w:sz w:val="20"/>
          <w:szCs w:val="20"/>
        </w:rPr>
        <w:t>have gone</w:t>
      </w:r>
      <w:r w:rsidR="00AB3E98" w:rsidRPr="00F52DED">
        <w:rPr>
          <w:rFonts w:ascii="Arial" w:hAnsi="Arial" w:cs="Arial"/>
          <w:sz w:val="20"/>
          <w:szCs w:val="20"/>
        </w:rPr>
        <w:t xml:space="preserve"> as far back as </w:t>
      </w:r>
      <w:r w:rsidR="002954C8" w:rsidRPr="00F52DED">
        <w:rPr>
          <w:rFonts w:ascii="Arial" w:hAnsi="Arial" w:cs="Arial"/>
          <w:sz w:val="20"/>
          <w:szCs w:val="20"/>
        </w:rPr>
        <w:t>2006</w:t>
      </w:r>
      <w:r w:rsidR="00AB3E98" w:rsidRPr="00F52DED">
        <w:rPr>
          <w:rFonts w:ascii="Arial" w:hAnsi="Arial" w:cs="Arial"/>
          <w:sz w:val="20"/>
          <w:szCs w:val="20"/>
        </w:rPr>
        <w:t xml:space="preserve"> </w:t>
      </w:r>
      <w:r w:rsidR="00EE39C2" w:rsidRPr="00F52DED">
        <w:rPr>
          <w:rFonts w:ascii="Arial" w:hAnsi="Arial" w:cs="Arial"/>
          <w:sz w:val="20"/>
          <w:szCs w:val="20"/>
        </w:rPr>
        <w:t xml:space="preserve">support the efforts </w:t>
      </w:r>
      <w:r w:rsidR="002954C8" w:rsidRPr="00F52DED">
        <w:rPr>
          <w:rFonts w:ascii="Arial" w:hAnsi="Arial" w:cs="Arial"/>
          <w:sz w:val="20"/>
          <w:szCs w:val="20"/>
        </w:rPr>
        <w:t>towards</w:t>
      </w:r>
      <w:r w:rsidR="006C03B7" w:rsidRPr="00F52DED">
        <w:rPr>
          <w:rFonts w:ascii="Arial" w:hAnsi="Arial" w:cs="Arial"/>
          <w:sz w:val="20"/>
          <w:szCs w:val="20"/>
        </w:rPr>
        <w:t xml:space="preserve"> including earlier years</w:t>
      </w:r>
      <w:r w:rsidR="002954C8" w:rsidRPr="00F52DED">
        <w:rPr>
          <w:rFonts w:ascii="Arial" w:hAnsi="Arial" w:cs="Arial"/>
          <w:sz w:val="20"/>
          <w:szCs w:val="20"/>
        </w:rPr>
        <w:t>, as those years have achieved</w:t>
      </w:r>
      <w:r w:rsidR="00F34000" w:rsidRPr="00F52DED">
        <w:rPr>
          <w:rFonts w:ascii="Arial" w:hAnsi="Arial" w:cs="Arial"/>
          <w:sz w:val="20"/>
          <w:szCs w:val="20"/>
        </w:rPr>
        <w:t xml:space="preserve"> similar response rates</w:t>
      </w:r>
      <w:r w:rsidR="006C03B7" w:rsidRPr="00F52DED">
        <w:rPr>
          <w:rFonts w:ascii="Arial" w:hAnsi="Arial" w:cs="Arial"/>
          <w:sz w:val="20"/>
          <w:szCs w:val="20"/>
        </w:rPr>
        <w:t xml:space="preserve">.  </w:t>
      </w:r>
      <w:r w:rsidR="005900D9" w:rsidRPr="00F52DED">
        <w:rPr>
          <w:rFonts w:ascii="Arial" w:hAnsi="Arial" w:cs="Arial"/>
          <w:sz w:val="20"/>
          <w:szCs w:val="20"/>
        </w:rPr>
        <w:t>It is understood that</w:t>
      </w:r>
      <w:r w:rsidR="006C03B7" w:rsidRPr="00F52DED">
        <w:rPr>
          <w:rFonts w:ascii="Arial" w:hAnsi="Arial" w:cs="Arial"/>
          <w:sz w:val="20"/>
          <w:szCs w:val="20"/>
        </w:rPr>
        <w:t xml:space="preserve"> including </w:t>
      </w:r>
      <w:r w:rsidR="00EE39C2" w:rsidRPr="00F52DED">
        <w:rPr>
          <w:rFonts w:ascii="Arial" w:hAnsi="Arial" w:cs="Arial"/>
          <w:sz w:val="20"/>
          <w:szCs w:val="20"/>
        </w:rPr>
        <w:t xml:space="preserve">the three </w:t>
      </w:r>
      <w:r w:rsidR="006C03B7" w:rsidRPr="00F52DED">
        <w:rPr>
          <w:rFonts w:ascii="Arial" w:hAnsi="Arial" w:cs="Arial"/>
          <w:sz w:val="20"/>
          <w:szCs w:val="20"/>
        </w:rPr>
        <w:t>program years that ended as far back as 2003 will be</w:t>
      </w:r>
      <w:r w:rsidR="005900D9" w:rsidRPr="00F52DED">
        <w:rPr>
          <w:rFonts w:ascii="Arial" w:hAnsi="Arial" w:cs="Arial"/>
          <w:sz w:val="20"/>
          <w:szCs w:val="20"/>
        </w:rPr>
        <w:t xml:space="preserve"> more </w:t>
      </w:r>
      <w:r w:rsidR="002954C8" w:rsidRPr="00F52DED">
        <w:rPr>
          <w:rFonts w:ascii="Arial" w:hAnsi="Arial" w:cs="Arial"/>
          <w:sz w:val="20"/>
          <w:szCs w:val="20"/>
        </w:rPr>
        <w:t xml:space="preserve">of a </w:t>
      </w:r>
      <w:r w:rsidR="00F34000" w:rsidRPr="00F52DED">
        <w:rPr>
          <w:rFonts w:ascii="Arial" w:hAnsi="Arial" w:cs="Arial"/>
          <w:sz w:val="20"/>
          <w:szCs w:val="20"/>
        </w:rPr>
        <w:t>challenge;</w:t>
      </w:r>
      <w:r w:rsidR="005900D9" w:rsidRPr="00F52DED">
        <w:rPr>
          <w:rFonts w:ascii="Arial" w:hAnsi="Arial" w:cs="Arial"/>
          <w:sz w:val="20"/>
          <w:szCs w:val="20"/>
        </w:rPr>
        <w:t xml:space="preserve"> however</w:t>
      </w:r>
      <w:r w:rsidR="002954C8" w:rsidRPr="00F52DED">
        <w:rPr>
          <w:rFonts w:ascii="Arial" w:hAnsi="Arial" w:cs="Arial"/>
          <w:sz w:val="20"/>
          <w:szCs w:val="20"/>
        </w:rPr>
        <w:t xml:space="preserve"> the need to include </w:t>
      </w:r>
      <w:r w:rsidR="00EE39C2" w:rsidRPr="00F52DED">
        <w:rPr>
          <w:rFonts w:ascii="Arial" w:hAnsi="Arial" w:cs="Arial"/>
          <w:sz w:val="20"/>
          <w:szCs w:val="20"/>
        </w:rPr>
        <w:t>them</w:t>
      </w:r>
      <w:r w:rsidR="002954C8" w:rsidRPr="00F52DED">
        <w:rPr>
          <w:rFonts w:ascii="Arial" w:hAnsi="Arial" w:cs="Arial"/>
          <w:sz w:val="20"/>
          <w:szCs w:val="20"/>
        </w:rPr>
        <w:t xml:space="preserve"> is due to the</w:t>
      </w:r>
      <w:r w:rsidR="00EE39C2" w:rsidRPr="00F52DED">
        <w:rPr>
          <w:rFonts w:ascii="Arial" w:hAnsi="Arial" w:cs="Arial"/>
          <w:sz w:val="20"/>
          <w:szCs w:val="20"/>
        </w:rPr>
        <w:t xml:space="preserve"> scope of the evaluation which encompasses </w:t>
      </w:r>
      <w:r w:rsidR="002954C8" w:rsidRPr="00F52DED">
        <w:rPr>
          <w:rFonts w:ascii="Arial" w:hAnsi="Arial" w:cs="Arial"/>
          <w:sz w:val="20"/>
          <w:szCs w:val="20"/>
        </w:rPr>
        <w:t xml:space="preserve">looking for changes over time in the program long-term outcomes. </w:t>
      </w:r>
      <w:r w:rsidRPr="00F52DED">
        <w:rPr>
          <w:rFonts w:ascii="Arial" w:hAnsi="Arial" w:cs="Arial"/>
          <w:sz w:val="20"/>
          <w:szCs w:val="20"/>
        </w:rPr>
        <w:t>As a result, the survey will be administered using a census approach</w:t>
      </w:r>
      <w:r w:rsidR="002954C8" w:rsidRPr="00F52DED">
        <w:rPr>
          <w:rFonts w:ascii="Arial" w:hAnsi="Arial" w:cs="Arial"/>
          <w:sz w:val="20"/>
          <w:szCs w:val="20"/>
        </w:rPr>
        <w:t xml:space="preserve"> to ensure that the full span of the program is accounted for</w:t>
      </w:r>
      <w:r w:rsidRPr="00F52DED">
        <w:rPr>
          <w:rFonts w:ascii="Arial" w:hAnsi="Arial" w:cs="Arial"/>
          <w:sz w:val="20"/>
          <w:szCs w:val="20"/>
        </w:rPr>
        <w:t>.</w:t>
      </w:r>
      <w:r w:rsidRPr="00F52DED">
        <w:rPr>
          <w:rFonts w:ascii="Arial" w:hAnsi="Arial" w:cs="Arial"/>
          <w:color w:val="1F497D"/>
          <w:sz w:val="20"/>
          <w:szCs w:val="20"/>
        </w:rPr>
        <w:t xml:space="preserve"> </w:t>
      </w:r>
      <w:r w:rsidR="006C03B7" w:rsidRPr="00F52DED">
        <w:rPr>
          <w:rFonts w:ascii="Arial" w:hAnsi="Arial" w:cs="Arial"/>
          <w:color w:val="1F497D"/>
          <w:sz w:val="20"/>
          <w:szCs w:val="20"/>
        </w:rPr>
        <w:t xml:space="preserve"> </w:t>
      </w:r>
    </w:p>
    <w:p w:rsidR="006C709D" w:rsidRPr="00F52DED" w:rsidRDefault="006C709D">
      <w:pPr>
        <w:autoSpaceDE w:val="0"/>
        <w:autoSpaceDN w:val="0"/>
        <w:ind w:left="360"/>
        <w:rPr>
          <w:rFonts w:ascii="Arial" w:hAnsi="Arial" w:cs="Arial"/>
          <w:sz w:val="20"/>
          <w:szCs w:val="20"/>
        </w:rPr>
      </w:pPr>
    </w:p>
    <w:p w:rsidR="006C709D" w:rsidRPr="00F52DED" w:rsidRDefault="006C709D">
      <w:pPr>
        <w:autoSpaceDE w:val="0"/>
        <w:autoSpaceDN w:val="0"/>
        <w:ind w:left="360"/>
        <w:rPr>
          <w:rFonts w:ascii="Arial" w:hAnsi="Arial" w:cs="Arial"/>
          <w:sz w:val="20"/>
          <w:szCs w:val="20"/>
        </w:rPr>
      </w:pPr>
      <w:r w:rsidRPr="00F52DED">
        <w:rPr>
          <w:rFonts w:ascii="Arial" w:hAnsi="Arial" w:cs="Arial"/>
          <w:sz w:val="20"/>
          <w:szCs w:val="20"/>
        </w:rPr>
        <w:t xml:space="preserve">Furthermore the research team is quite confident that the potential respondent universe is a willing and capable target group. Even thought the universe includes individuals who participated in the program roughly ten years ago, they comprise Internet-savvy, digitally connected young professionals. All are American citizens, most of whom now reside in the United States. Thanks to the efforts of ECA’s alumni </w:t>
      </w:r>
      <w:r w:rsidR="003C7C72" w:rsidRPr="00F52DED">
        <w:rPr>
          <w:rFonts w:ascii="Arial" w:hAnsi="Arial" w:cs="Arial"/>
          <w:sz w:val="20"/>
          <w:szCs w:val="20"/>
        </w:rPr>
        <w:t xml:space="preserve">office </w:t>
      </w:r>
      <w:r w:rsidRPr="00F52DED">
        <w:rPr>
          <w:rFonts w:ascii="Arial" w:hAnsi="Arial" w:cs="Arial"/>
          <w:sz w:val="20"/>
          <w:szCs w:val="20"/>
        </w:rPr>
        <w:t xml:space="preserve">programming, which utilizes digital platforms to remain in touch with program participants, we have excellent contact information on these individuals </w:t>
      </w:r>
      <w:r w:rsidR="002B48FE" w:rsidRPr="00F52DED">
        <w:rPr>
          <w:rFonts w:ascii="Arial" w:hAnsi="Arial" w:cs="Arial"/>
          <w:sz w:val="20"/>
          <w:szCs w:val="20"/>
        </w:rPr>
        <w:t>and evidence that they are responsive to electronic communication.</w:t>
      </w:r>
      <w:r w:rsidRPr="00F52DED">
        <w:rPr>
          <w:rFonts w:ascii="Arial" w:hAnsi="Arial" w:cs="Arial"/>
          <w:sz w:val="20"/>
          <w:szCs w:val="20"/>
        </w:rPr>
        <w:t xml:space="preserve"> None of the usual concerns </w:t>
      </w:r>
      <w:r w:rsidR="002B48FE" w:rsidRPr="00F52DED">
        <w:rPr>
          <w:rFonts w:ascii="Arial" w:hAnsi="Arial" w:cs="Arial"/>
          <w:sz w:val="20"/>
          <w:szCs w:val="20"/>
        </w:rPr>
        <w:t>of trying to reach older program participants applies here.</w:t>
      </w:r>
    </w:p>
    <w:p w:rsidR="00436403" w:rsidRPr="00F52DED" w:rsidRDefault="00436403">
      <w:pPr>
        <w:autoSpaceDE w:val="0"/>
        <w:autoSpaceDN w:val="0"/>
        <w:rPr>
          <w:rFonts w:ascii="Arial" w:hAnsi="Arial" w:cs="Arial"/>
          <w:strike/>
          <w:sz w:val="20"/>
          <w:szCs w:val="20"/>
        </w:rPr>
      </w:pPr>
    </w:p>
    <w:p w:rsidR="00436403" w:rsidRPr="00F52DED" w:rsidRDefault="00436403">
      <w:pPr>
        <w:tabs>
          <w:tab w:val="left" w:pos="360"/>
        </w:tabs>
        <w:rPr>
          <w:rFonts w:ascii="Arial" w:hAnsi="Arial" w:cs="Arial"/>
          <w:sz w:val="20"/>
          <w:szCs w:val="20"/>
        </w:rPr>
      </w:pPr>
    </w:p>
    <w:p w:rsidR="00436403" w:rsidRPr="00F52DED" w:rsidRDefault="000823F9">
      <w:pPr>
        <w:numPr>
          <w:ilvl w:val="0"/>
          <w:numId w:val="11"/>
        </w:numPr>
        <w:ind w:left="360"/>
        <w:rPr>
          <w:rFonts w:ascii="Arial" w:hAnsi="Arial" w:cs="Arial"/>
          <w:sz w:val="20"/>
          <w:szCs w:val="20"/>
        </w:rPr>
      </w:pPr>
      <w:r w:rsidRPr="00F52DED">
        <w:rPr>
          <w:rFonts w:ascii="Arial" w:hAnsi="Arial" w:cs="Arial"/>
          <w:sz w:val="20"/>
          <w:szCs w:val="20"/>
        </w:rPr>
        <w:t xml:space="preserve">All </w:t>
      </w:r>
      <w:r w:rsidR="00984127" w:rsidRPr="00F52DED">
        <w:rPr>
          <w:rFonts w:ascii="Arial" w:hAnsi="Arial" w:cs="Arial"/>
          <w:sz w:val="20"/>
          <w:szCs w:val="20"/>
        </w:rPr>
        <w:t xml:space="preserve">ECA/P/V </w:t>
      </w:r>
      <w:r w:rsidRPr="00F52DED">
        <w:rPr>
          <w:rFonts w:ascii="Arial" w:hAnsi="Arial" w:cs="Arial"/>
          <w:sz w:val="20"/>
          <w:szCs w:val="20"/>
        </w:rPr>
        <w:t xml:space="preserve">data collection methods are tailored to fit the prevailing political, cultural, safety, security, and accessibility conditions in each country in which participants are located. </w:t>
      </w:r>
      <w:r w:rsidR="007A2412" w:rsidRPr="00F52DED">
        <w:rPr>
          <w:rFonts w:ascii="Arial" w:hAnsi="Arial" w:cs="Arial"/>
          <w:sz w:val="20"/>
          <w:szCs w:val="20"/>
        </w:rPr>
        <w:t>S</w:t>
      </w:r>
      <w:r w:rsidR="006921B9" w:rsidRPr="00F52DED">
        <w:rPr>
          <w:rFonts w:ascii="Arial" w:hAnsi="Arial" w:cs="Arial"/>
          <w:sz w:val="20"/>
          <w:szCs w:val="20"/>
        </w:rPr>
        <w:t>uccessfully contacting and achieving the highest possible response rates</w:t>
      </w:r>
      <w:r w:rsidR="007A2412" w:rsidRPr="00F52DED">
        <w:rPr>
          <w:rFonts w:ascii="Arial" w:hAnsi="Arial" w:cs="Arial"/>
          <w:sz w:val="20"/>
          <w:szCs w:val="20"/>
        </w:rPr>
        <w:t xml:space="preserve"> are the goals of survey administration</w:t>
      </w:r>
      <w:r w:rsidR="006921B9" w:rsidRPr="00F52DED">
        <w:rPr>
          <w:rFonts w:ascii="Arial" w:hAnsi="Arial" w:cs="Arial"/>
          <w:sz w:val="20"/>
          <w:szCs w:val="20"/>
        </w:rPr>
        <w:t xml:space="preserve">. Our </w:t>
      </w:r>
      <w:r w:rsidR="008E0965" w:rsidRPr="00F52DED">
        <w:rPr>
          <w:rFonts w:ascii="Arial" w:hAnsi="Arial" w:cs="Arial"/>
          <w:sz w:val="20"/>
          <w:szCs w:val="20"/>
        </w:rPr>
        <w:t xml:space="preserve">current </w:t>
      </w:r>
      <w:r w:rsidR="006921B9" w:rsidRPr="00F52DED">
        <w:rPr>
          <w:rFonts w:ascii="Arial" w:hAnsi="Arial" w:cs="Arial"/>
          <w:sz w:val="20"/>
          <w:szCs w:val="20"/>
        </w:rPr>
        <w:t xml:space="preserve">methods will include: </w:t>
      </w:r>
    </w:p>
    <w:p w:rsidR="00436403" w:rsidRPr="00F52DED" w:rsidRDefault="00436403">
      <w:pPr>
        <w:rPr>
          <w:rFonts w:ascii="Arial" w:hAnsi="Arial" w:cs="Arial"/>
          <w:b/>
          <w:sz w:val="20"/>
          <w:szCs w:val="20"/>
        </w:rPr>
      </w:pPr>
    </w:p>
    <w:p w:rsidR="00436403" w:rsidRPr="00F52DED" w:rsidRDefault="0069148F">
      <w:pPr>
        <w:numPr>
          <w:ilvl w:val="0"/>
          <w:numId w:val="21"/>
        </w:numPr>
        <w:ind w:left="1080"/>
        <w:rPr>
          <w:rFonts w:ascii="Arial" w:hAnsi="Arial" w:cs="Arial"/>
          <w:b/>
          <w:sz w:val="20"/>
          <w:szCs w:val="20"/>
        </w:rPr>
      </w:pPr>
      <w:r w:rsidRPr="00F52DED">
        <w:rPr>
          <w:rFonts w:ascii="Arial" w:hAnsi="Arial" w:cs="Arial"/>
          <w:b/>
          <w:sz w:val="20"/>
          <w:szCs w:val="20"/>
        </w:rPr>
        <w:t>Customized Intro</w:t>
      </w:r>
      <w:r w:rsidR="00501270" w:rsidRPr="00F52DED">
        <w:rPr>
          <w:rFonts w:ascii="Arial" w:hAnsi="Arial" w:cs="Arial"/>
          <w:b/>
          <w:sz w:val="20"/>
          <w:szCs w:val="20"/>
        </w:rPr>
        <w:t xml:space="preserve"> </w:t>
      </w:r>
      <w:r w:rsidR="00D34E82" w:rsidRPr="00F52DED">
        <w:rPr>
          <w:rFonts w:ascii="Arial" w:hAnsi="Arial" w:cs="Arial"/>
          <w:b/>
          <w:sz w:val="20"/>
          <w:szCs w:val="20"/>
        </w:rPr>
        <w:t>E-mail</w:t>
      </w:r>
      <w:r w:rsidRPr="00F52DED">
        <w:rPr>
          <w:rFonts w:ascii="Arial" w:hAnsi="Arial" w:cs="Arial"/>
          <w:b/>
          <w:sz w:val="20"/>
          <w:szCs w:val="20"/>
        </w:rPr>
        <w:t xml:space="preserve">: </w:t>
      </w:r>
      <w:r w:rsidR="00817B01" w:rsidRPr="00F52DED">
        <w:rPr>
          <w:rFonts w:ascii="Arial" w:hAnsi="Arial" w:cs="Arial"/>
          <w:sz w:val="20"/>
          <w:szCs w:val="20"/>
        </w:rPr>
        <w:t>A</w:t>
      </w:r>
      <w:r w:rsidR="00817B01" w:rsidRPr="00F52DED">
        <w:rPr>
          <w:rFonts w:ascii="Arial" w:hAnsi="Arial" w:cs="Arial"/>
          <w:b/>
          <w:sz w:val="20"/>
          <w:szCs w:val="20"/>
        </w:rPr>
        <w:t xml:space="preserve"> </w:t>
      </w:r>
      <w:r w:rsidR="00817B01" w:rsidRPr="00F52DED">
        <w:rPr>
          <w:rFonts w:ascii="Arial" w:hAnsi="Arial" w:cs="Arial"/>
          <w:sz w:val="20"/>
          <w:szCs w:val="20"/>
        </w:rPr>
        <w:t>c</w:t>
      </w:r>
      <w:r w:rsidRPr="00F52DED">
        <w:rPr>
          <w:rFonts w:ascii="Arial" w:hAnsi="Arial" w:cs="Arial"/>
          <w:sz w:val="20"/>
          <w:szCs w:val="20"/>
        </w:rPr>
        <w:t xml:space="preserve">ustomized </w:t>
      </w:r>
      <w:r w:rsidR="00130330" w:rsidRPr="00F52DED">
        <w:rPr>
          <w:rFonts w:ascii="Arial" w:hAnsi="Arial" w:cs="Arial"/>
          <w:sz w:val="20"/>
          <w:szCs w:val="20"/>
        </w:rPr>
        <w:t xml:space="preserve">intro </w:t>
      </w:r>
      <w:r w:rsidR="00D34E82" w:rsidRPr="00F52DED">
        <w:rPr>
          <w:rFonts w:ascii="Arial" w:hAnsi="Arial" w:cs="Arial"/>
          <w:sz w:val="20"/>
          <w:szCs w:val="20"/>
        </w:rPr>
        <w:t>e-mail</w:t>
      </w:r>
      <w:r w:rsidRPr="00F52DED">
        <w:rPr>
          <w:rFonts w:ascii="Arial" w:hAnsi="Arial" w:cs="Arial"/>
          <w:sz w:val="20"/>
          <w:szCs w:val="20"/>
        </w:rPr>
        <w:t xml:space="preserve"> will be sent </w:t>
      </w:r>
      <w:r w:rsidR="00130330" w:rsidRPr="00F52DED">
        <w:rPr>
          <w:rFonts w:ascii="Arial" w:hAnsi="Arial" w:cs="Arial"/>
          <w:sz w:val="20"/>
          <w:szCs w:val="20"/>
        </w:rPr>
        <w:t>at the start of</w:t>
      </w:r>
      <w:r w:rsidRPr="00F52DED">
        <w:rPr>
          <w:rFonts w:ascii="Arial" w:hAnsi="Arial" w:cs="Arial"/>
          <w:sz w:val="20"/>
          <w:szCs w:val="20"/>
        </w:rPr>
        <w:t xml:space="preserve"> survey administration to encourage respondent cooperation.  </w:t>
      </w:r>
      <w:r w:rsidR="00817B01" w:rsidRPr="00F52DED">
        <w:rPr>
          <w:rFonts w:ascii="Arial" w:hAnsi="Arial" w:cs="Arial"/>
          <w:sz w:val="20"/>
          <w:szCs w:val="20"/>
        </w:rPr>
        <w:t xml:space="preserve">This </w:t>
      </w:r>
      <w:r w:rsidR="00D34E82" w:rsidRPr="00F52DED">
        <w:rPr>
          <w:rFonts w:ascii="Arial" w:hAnsi="Arial" w:cs="Arial"/>
          <w:sz w:val="20"/>
          <w:szCs w:val="20"/>
        </w:rPr>
        <w:t>e-mail</w:t>
      </w:r>
      <w:r w:rsidRPr="00F52DED">
        <w:rPr>
          <w:rFonts w:ascii="Arial" w:hAnsi="Arial" w:cs="Arial"/>
          <w:sz w:val="20"/>
          <w:szCs w:val="20"/>
        </w:rPr>
        <w:t xml:space="preserve"> will inform them about the evaluation and will also provide ways for respondents to contact the evaluation’s contractor with any concerns or questions about the evaluation.</w:t>
      </w:r>
    </w:p>
    <w:p w:rsidR="00436403" w:rsidRPr="00F52DED" w:rsidRDefault="00436403">
      <w:pPr>
        <w:ind w:left="1080" w:hanging="360"/>
        <w:rPr>
          <w:rFonts w:ascii="Arial" w:hAnsi="Arial" w:cs="Arial"/>
          <w:b/>
          <w:sz w:val="20"/>
          <w:szCs w:val="20"/>
        </w:rPr>
      </w:pPr>
    </w:p>
    <w:p w:rsidR="00436403" w:rsidRPr="00F52DED" w:rsidRDefault="00330F9A">
      <w:pPr>
        <w:numPr>
          <w:ilvl w:val="0"/>
          <w:numId w:val="21"/>
        </w:numPr>
        <w:ind w:left="1080"/>
        <w:rPr>
          <w:rFonts w:ascii="Arial" w:hAnsi="Arial" w:cs="Arial"/>
          <w:b/>
          <w:sz w:val="20"/>
          <w:szCs w:val="20"/>
        </w:rPr>
      </w:pPr>
      <w:r w:rsidRPr="00F52DED">
        <w:rPr>
          <w:rFonts w:ascii="Arial" w:hAnsi="Arial" w:cs="Arial"/>
          <w:b/>
          <w:sz w:val="20"/>
          <w:szCs w:val="20"/>
        </w:rPr>
        <w:t>Participant Contact Information Verification:</w:t>
      </w:r>
      <w:r w:rsidR="00B306AC" w:rsidRPr="00F52DED">
        <w:rPr>
          <w:rFonts w:ascii="Arial" w:hAnsi="Arial" w:cs="Arial"/>
          <w:b/>
          <w:sz w:val="20"/>
          <w:szCs w:val="20"/>
        </w:rPr>
        <w:t xml:space="preserve"> </w:t>
      </w:r>
      <w:r w:rsidR="00B306AC" w:rsidRPr="00F52DED">
        <w:rPr>
          <w:rFonts w:ascii="Arial" w:hAnsi="Arial" w:cs="Arial"/>
          <w:sz w:val="20"/>
          <w:szCs w:val="20"/>
        </w:rPr>
        <w:t xml:space="preserve">Extensive contact lists for </w:t>
      </w:r>
      <w:r w:rsidR="00113606" w:rsidRPr="00F52DED">
        <w:rPr>
          <w:rFonts w:ascii="Arial" w:hAnsi="Arial" w:cs="Arial"/>
          <w:sz w:val="20"/>
          <w:szCs w:val="20"/>
        </w:rPr>
        <w:t>the</w:t>
      </w:r>
      <w:r w:rsidR="00B306AC" w:rsidRPr="00F52DED">
        <w:rPr>
          <w:rFonts w:ascii="Arial" w:hAnsi="Arial" w:cs="Arial"/>
          <w:sz w:val="20"/>
          <w:szCs w:val="20"/>
        </w:rPr>
        <w:t xml:space="preserve"> program were requested from the respective administering grantee organizations </w:t>
      </w:r>
      <w:r w:rsidR="003423EE" w:rsidRPr="00F52DED">
        <w:rPr>
          <w:rFonts w:ascii="Arial" w:hAnsi="Arial" w:cs="Arial"/>
          <w:sz w:val="20"/>
          <w:szCs w:val="20"/>
        </w:rPr>
        <w:t xml:space="preserve">and </w:t>
      </w:r>
      <w:r w:rsidR="00113606" w:rsidRPr="00F52DED">
        <w:rPr>
          <w:rFonts w:ascii="Arial" w:hAnsi="Arial" w:cs="Arial"/>
          <w:sz w:val="20"/>
          <w:szCs w:val="20"/>
        </w:rPr>
        <w:t>State Department program office</w:t>
      </w:r>
      <w:r w:rsidR="003423EE" w:rsidRPr="00F52DED">
        <w:rPr>
          <w:rFonts w:ascii="Arial" w:hAnsi="Arial" w:cs="Arial"/>
          <w:sz w:val="20"/>
          <w:szCs w:val="20"/>
        </w:rPr>
        <w:t xml:space="preserve"> </w:t>
      </w:r>
      <w:r w:rsidR="00B306AC" w:rsidRPr="00F52DED">
        <w:rPr>
          <w:rFonts w:ascii="Arial" w:hAnsi="Arial" w:cs="Arial"/>
          <w:sz w:val="20"/>
          <w:szCs w:val="20"/>
        </w:rPr>
        <w:t>t</w:t>
      </w:r>
      <w:r w:rsidR="003423EE" w:rsidRPr="00F52DED">
        <w:rPr>
          <w:rFonts w:ascii="Arial" w:hAnsi="Arial" w:cs="Arial"/>
          <w:sz w:val="20"/>
          <w:szCs w:val="20"/>
        </w:rPr>
        <w:t xml:space="preserve">o establish baseline participation in each program over the </w:t>
      </w:r>
      <w:r w:rsidR="007F778F" w:rsidRPr="00F52DED">
        <w:rPr>
          <w:rFonts w:ascii="Arial" w:hAnsi="Arial" w:cs="Arial"/>
          <w:sz w:val="20"/>
          <w:szCs w:val="20"/>
        </w:rPr>
        <w:t xml:space="preserve">2002 – 2011 </w:t>
      </w:r>
      <w:r w:rsidR="003423EE" w:rsidRPr="00F52DED">
        <w:rPr>
          <w:rFonts w:ascii="Arial" w:hAnsi="Arial" w:cs="Arial"/>
          <w:sz w:val="20"/>
          <w:szCs w:val="20"/>
        </w:rPr>
        <w:t xml:space="preserve">period and to obtain an initial set of contact data.  In addition, ECA/P/V queried the State Department’s Alumni databases </w:t>
      </w:r>
      <w:r w:rsidR="00F34000" w:rsidRPr="00F52DED">
        <w:rPr>
          <w:rFonts w:ascii="Arial" w:hAnsi="Arial" w:cs="Arial"/>
          <w:sz w:val="20"/>
          <w:szCs w:val="20"/>
        </w:rPr>
        <w:t xml:space="preserve">and alumni network </w:t>
      </w:r>
      <w:r w:rsidR="003423EE" w:rsidRPr="00F52DED">
        <w:rPr>
          <w:rFonts w:ascii="Arial" w:hAnsi="Arial" w:cs="Arial"/>
          <w:sz w:val="20"/>
          <w:szCs w:val="20"/>
        </w:rPr>
        <w:t xml:space="preserve">to obtain any additional or updated contact information in order to ensure that the contact lists are as accurate as possible. </w:t>
      </w:r>
    </w:p>
    <w:p w:rsidR="00330F9A" w:rsidRPr="00F52DED" w:rsidRDefault="00330F9A" w:rsidP="00D61AAA">
      <w:pPr>
        <w:pStyle w:val="ListParagraph"/>
        <w:rPr>
          <w:rFonts w:ascii="Arial" w:hAnsi="Arial" w:cs="Arial"/>
          <w:b/>
          <w:sz w:val="20"/>
          <w:szCs w:val="20"/>
        </w:rPr>
      </w:pPr>
    </w:p>
    <w:p w:rsidR="00436403" w:rsidRPr="00F52DED" w:rsidRDefault="00653C4E">
      <w:pPr>
        <w:numPr>
          <w:ilvl w:val="0"/>
          <w:numId w:val="21"/>
        </w:numPr>
        <w:ind w:left="1080"/>
        <w:rPr>
          <w:rFonts w:ascii="Arial" w:hAnsi="Arial" w:cs="Arial"/>
          <w:b/>
          <w:sz w:val="20"/>
          <w:szCs w:val="20"/>
        </w:rPr>
      </w:pPr>
      <w:r w:rsidRPr="00F52DED">
        <w:rPr>
          <w:rFonts w:ascii="Arial" w:hAnsi="Arial" w:cs="Arial"/>
          <w:b/>
          <w:sz w:val="20"/>
          <w:szCs w:val="20"/>
        </w:rPr>
        <w:lastRenderedPageBreak/>
        <w:t xml:space="preserve">Informing the Grantee Organizations: </w:t>
      </w:r>
      <w:r w:rsidRPr="00F52DED">
        <w:rPr>
          <w:rFonts w:ascii="Arial" w:hAnsi="Arial" w:cs="Arial"/>
          <w:sz w:val="20"/>
          <w:szCs w:val="20"/>
        </w:rPr>
        <w:t xml:space="preserve">Many program participants continue to </w:t>
      </w:r>
      <w:r w:rsidR="005C06B5" w:rsidRPr="00F52DED">
        <w:rPr>
          <w:rFonts w:ascii="Arial" w:hAnsi="Arial" w:cs="Arial"/>
          <w:sz w:val="20"/>
          <w:szCs w:val="20"/>
        </w:rPr>
        <w:t>be in communication with</w:t>
      </w:r>
      <w:r w:rsidRPr="00F52DED">
        <w:rPr>
          <w:rFonts w:ascii="Arial" w:hAnsi="Arial" w:cs="Arial"/>
          <w:sz w:val="20"/>
          <w:szCs w:val="20"/>
        </w:rPr>
        <w:t xml:space="preserve"> the grantee organization that administered their exchange program long after the program has ended.  Informing the grantee organizations in advance </w:t>
      </w:r>
      <w:r w:rsidR="006B7A06" w:rsidRPr="00F52DED">
        <w:rPr>
          <w:rFonts w:ascii="Arial" w:hAnsi="Arial" w:cs="Arial"/>
          <w:sz w:val="20"/>
          <w:szCs w:val="20"/>
        </w:rPr>
        <w:t xml:space="preserve">of the start of the evaluation’s data collection period </w:t>
      </w:r>
      <w:r w:rsidRPr="00F52DED">
        <w:rPr>
          <w:rFonts w:ascii="Arial" w:hAnsi="Arial" w:cs="Arial"/>
          <w:sz w:val="20"/>
          <w:szCs w:val="20"/>
        </w:rPr>
        <w:t xml:space="preserve">will allow </w:t>
      </w:r>
      <w:r w:rsidR="005C06B5" w:rsidRPr="00F52DED">
        <w:rPr>
          <w:rFonts w:ascii="Arial" w:hAnsi="Arial" w:cs="Arial"/>
          <w:sz w:val="20"/>
          <w:szCs w:val="20"/>
        </w:rPr>
        <w:t>the grantees</w:t>
      </w:r>
      <w:r w:rsidRPr="00F52DED">
        <w:rPr>
          <w:rFonts w:ascii="Arial" w:hAnsi="Arial" w:cs="Arial"/>
          <w:sz w:val="20"/>
          <w:szCs w:val="20"/>
        </w:rPr>
        <w:t xml:space="preserve"> to </w:t>
      </w:r>
      <w:r w:rsidR="006921B9" w:rsidRPr="00F52DED">
        <w:rPr>
          <w:rFonts w:ascii="Arial" w:hAnsi="Arial" w:cs="Arial"/>
          <w:sz w:val="20"/>
          <w:szCs w:val="20"/>
        </w:rPr>
        <w:t>vouch for the survey requests that get sent out</w:t>
      </w:r>
      <w:r w:rsidR="005C06B5" w:rsidRPr="00F52DED">
        <w:rPr>
          <w:rFonts w:ascii="Arial" w:hAnsi="Arial" w:cs="Arial"/>
          <w:sz w:val="20"/>
          <w:szCs w:val="20"/>
        </w:rPr>
        <w:t xml:space="preserve"> by the contractor</w:t>
      </w:r>
      <w:r w:rsidR="006921B9" w:rsidRPr="00F52DED">
        <w:rPr>
          <w:rFonts w:ascii="Arial" w:hAnsi="Arial" w:cs="Arial"/>
          <w:sz w:val="20"/>
          <w:szCs w:val="20"/>
        </w:rPr>
        <w:t>.</w:t>
      </w:r>
      <w:r w:rsidR="006B7A06" w:rsidRPr="00F52DED">
        <w:rPr>
          <w:rFonts w:ascii="Arial" w:hAnsi="Arial" w:cs="Arial"/>
          <w:sz w:val="20"/>
          <w:szCs w:val="20"/>
        </w:rPr>
        <w:t xml:space="preserve">  </w:t>
      </w:r>
      <w:r w:rsidR="00E832D7" w:rsidRPr="00F52DED">
        <w:rPr>
          <w:rFonts w:ascii="Arial" w:hAnsi="Arial" w:cs="Arial"/>
          <w:sz w:val="20"/>
          <w:szCs w:val="20"/>
        </w:rPr>
        <w:t xml:space="preserve">Doing this will only serve this purpose in the event any of the participants contact the grantee regarding any doubt as to the legitimacy of the initial intro </w:t>
      </w:r>
      <w:r w:rsidR="00D34E82" w:rsidRPr="00F52DED">
        <w:rPr>
          <w:rFonts w:ascii="Arial" w:hAnsi="Arial" w:cs="Arial"/>
          <w:sz w:val="20"/>
          <w:szCs w:val="20"/>
        </w:rPr>
        <w:t>e-mail</w:t>
      </w:r>
      <w:r w:rsidR="00E832D7" w:rsidRPr="00F52DED">
        <w:rPr>
          <w:rFonts w:ascii="Arial" w:hAnsi="Arial" w:cs="Arial"/>
          <w:sz w:val="20"/>
          <w:szCs w:val="20"/>
        </w:rPr>
        <w:t xml:space="preserve"> that will be sent by </w:t>
      </w:r>
      <w:r w:rsidR="007F778F" w:rsidRPr="00F52DED">
        <w:rPr>
          <w:rFonts w:ascii="Arial" w:hAnsi="Arial" w:cs="Arial"/>
          <w:sz w:val="20"/>
          <w:szCs w:val="20"/>
        </w:rPr>
        <w:t>Research Solutions International</w:t>
      </w:r>
      <w:r w:rsidR="00E832D7" w:rsidRPr="00F52DED">
        <w:rPr>
          <w:rFonts w:ascii="Arial" w:hAnsi="Arial" w:cs="Arial"/>
          <w:sz w:val="20"/>
          <w:szCs w:val="20"/>
        </w:rPr>
        <w:t>. No other information about the participants themselves will be provided to the grantee</w:t>
      </w:r>
      <w:r w:rsidR="006B7A06" w:rsidRPr="00F52DED">
        <w:rPr>
          <w:rFonts w:ascii="Arial" w:hAnsi="Arial" w:cs="Arial"/>
          <w:sz w:val="20"/>
          <w:szCs w:val="20"/>
        </w:rPr>
        <w:t xml:space="preserve">. </w:t>
      </w:r>
    </w:p>
    <w:p w:rsidR="00436403" w:rsidRPr="00F52DED" w:rsidRDefault="00436403">
      <w:pPr>
        <w:rPr>
          <w:rFonts w:ascii="Arial" w:hAnsi="Arial" w:cs="Arial"/>
          <w:b/>
          <w:sz w:val="20"/>
          <w:szCs w:val="20"/>
        </w:rPr>
      </w:pPr>
    </w:p>
    <w:p w:rsidR="00436403" w:rsidRPr="00F52DED" w:rsidRDefault="00130330">
      <w:pPr>
        <w:numPr>
          <w:ilvl w:val="0"/>
          <w:numId w:val="21"/>
        </w:numPr>
        <w:ind w:left="1080"/>
        <w:rPr>
          <w:rFonts w:ascii="Arial" w:hAnsi="Arial" w:cs="Arial"/>
          <w:sz w:val="20"/>
          <w:szCs w:val="20"/>
        </w:rPr>
      </w:pPr>
      <w:r w:rsidRPr="00F52DED">
        <w:rPr>
          <w:rFonts w:ascii="Arial" w:hAnsi="Arial" w:cs="Arial"/>
          <w:b/>
          <w:sz w:val="20"/>
          <w:szCs w:val="20"/>
        </w:rPr>
        <w:t>Survey</w:t>
      </w:r>
      <w:r w:rsidR="006921B9" w:rsidRPr="00F52DED">
        <w:rPr>
          <w:rFonts w:ascii="Arial" w:hAnsi="Arial" w:cs="Arial"/>
          <w:b/>
          <w:sz w:val="20"/>
          <w:szCs w:val="20"/>
        </w:rPr>
        <w:t xml:space="preserve"> </w:t>
      </w:r>
      <w:r w:rsidR="00653C4E" w:rsidRPr="00F52DED">
        <w:rPr>
          <w:rFonts w:ascii="Arial" w:hAnsi="Arial" w:cs="Arial"/>
          <w:b/>
          <w:sz w:val="20"/>
          <w:szCs w:val="20"/>
        </w:rPr>
        <w:t>Reminders:</w:t>
      </w:r>
      <w:r w:rsidR="00653C4E" w:rsidRPr="00F52DED">
        <w:rPr>
          <w:rFonts w:ascii="Arial" w:hAnsi="Arial" w:cs="Arial"/>
          <w:sz w:val="20"/>
          <w:szCs w:val="20"/>
        </w:rPr>
        <w:t xml:space="preserve"> </w:t>
      </w:r>
      <w:r w:rsidR="001A3320" w:rsidRPr="00F52DED">
        <w:rPr>
          <w:rFonts w:ascii="Arial" w:hAnsi="Arial" w:cs="Arial"/>
          <w:sz w:val="20"/>
          <w:szCs w:val="20"/>
        </w:rPr>
        <w:t xml:space="preserve">Besides the initial intro </w:t>
      </w:r>
      <w:r w:rsidR="00D34E82" w:rsidRPr="00F52DED">
        <w:rPr>
          <w:rFonts w:ascii="Arial" w:hAnsi="Arial" w:cs="Arial"/>
          <w:sz w:val="20"/>
          <w:szCs w:val="20"/>
        </w:rPr>
        <w:t>e-mail</w:t>
      </w:r>
      <w:r w:rsidR="001A3320" w:rsidRPr="00F52DED">
        <w:rPr>
          <w:rFonts w:ascii="Arial" w:hAnsi="Arial" w:cs="Arial"/>
          <w:sz w:val="20"/>
          <w:szCs w:val="20"/>
        </w:rPr>
        <w:t xml:space="preserve">, </w:t>
      </w:r>
      <w:r w:rsidR="003947E0" w:rsidRPr="00F52DED">
        <w:rPr>
          <w:rFonts w:ascii="Arial" w:hAnsi="Arial" w:cs="Arial"/>
          <w:sz w:val="20"/>
          <w:szCs w:val="20"/>
        </w:rPr>
        <w:t xml:space="preserve">three </w:t>
      </w:r>
      <w:r w:rsidR="001A3320" w:rsidRPr="00F52DED">
        <w:rPr>
          <w:rFonts w:ascii="Arial" w:hAnsi="Arial" w:cs="Arial"/>
          <w:sz w:val="20"/>
          <w:szCs w:val="20"/>
        </w:rPr>
        <w:t>f</w:t>
      </w:r>
      <w:r w:rsidR="00653C4E" w:rsidRPr="00F52DED">
        <w:rPr>
          <w:rFonts w:ascii="Arial" w:hAnsi="Arial" w:cs="Arial"/>
          <w:sz w:val="20"/>
          <w:szCs w:val="20"/>
        </w:rPr>
        <w:t xml:space="preserve">ollow-up reminders will be sent to non-respondents </w:t>
      </w:r>
      <w:r w:rsidR="006921B9" w:rsidRPr="00F52DED">
        <w:rPr>
          <w:rFonts w:ascii="Arial" w:hAnsi="Arial" w:cs="Arial"/>
          <w:sz w:val="20"/>
          <w:szCs w:val="20"/>
        </w:rPr>
        <w:t xml:space="preserve">to </w:t>
      </w:r>
      <w:r w:rsidR="00653C4E" w:rsidRPr="00F52DED">
        <w:rPr>
          <w:rFonts w:ascii="Arial" w:hAnsi="Arial" w:cs="Arial"/>
          <w:sz w:val="20"/>
          <w:szCs w:val="20"/>
        </w:rPr>
        <w:t>encourage them to respond</w:t>
      </w:r>
      <w:r w:rsidR="001A3320" w:rsidRPr="00F52DED">
        <w:rPr>
          <w:rFonts w:ascii="Arial" w:hAnsi="Arial" w:cs="Arial"/>
          <w:sz w:val="20"/>
          <w:szCs w:val="20"/>
        </w:rPr>
        <w:t xml:space="preserve"> over the course of the administration period</w:t>
      </w:r>
      <w:r w:rsidR="003947E0" w:rsidRPr="00F52DED">
        <w:rPr>
          <w:rFonts w:ascii="Arial" w:hAnsi="Arial" w:cs="Arial"/>
          <w:sz w:val="20"/>
          <w:szCs w:val="20"/>
        </w:rPr>
        <w:t>, including a final reminder as the survey comes to a close</w:t>
      </w:r>
      <w:r w:rsidR="0002023B" w:rsidRPr="00F52DED">
        <w:rPr>
          <w:rFonts w:ascii="Arial" w:hAnsi="Arial" w:cs="Arial"/>
          <w:sz w:val="20"/>
          <w:szCs w:val="20"/>
        </w:rPr>
        <w:t xml:space="preserve"> that will indicate the urgency</w:t>
      </w:r>
      <w:r w:rsidR="00653C4E" w:rsidRPr="00F52DED">
        <w:rPr>
          <w:rFonts w:ascii="Arial" w:hAnsi="Arial" w:cs="Arial"/>
          <w:sz w:val="20"/>
          <w:szCs w:val="20"/>
        </w:rPr>
        <w:t>.</w:t>
      </w:r>
      <w:r w:rsidR="003947E0" w:rsidRPr="00F52DED">
        <w:rPr>
          <w:rFonts w:ascii="Arial" w:hAnsi="Arial" w:cs="Arial"/>
          <w:sz w:val="20"/>
          <w:szCs w:val="20"/>
        </w:rPr>
        <w:t xml:space="preserve"> Response rates </w:t>
      </w:r>
      <w:r w:rsidR="0053758B" w:rsidRPr="00F52DED">
        <w:rPr>
          <w:rFonts w:ascii="Arial" w:hAnsi="Arial" w:cs="Arial"/>
          <w:sz w:val="20"/>
          <w:szCs w:val="20"/>
        </w:rPr>
        <w:t xml:space="preserve">and survey user feedback </w:t>
      </w:r>
      <w:r w:rsidR="003947E0" w:rsidRPr="00F52DED">
        <w:rPr>
          <w:rFonts w:ascii="Arial" w:hAnsi="Arial" w:cs="Arial"/>
          <w:sz w:val="20"/>
          <w:szCs w:val="20"/>
        </w:rPr>
        <w:t>will be monitored and recorded upon each biweekly reminder</w:t>
      </w:r>
      <w:r w:rsidR="0053758B" w:rsidRPr="00F52DED">
        <w:rPr>
          <w:rFonts w:ascii="Arial" w:hAnsi="Arial" w:cs="Arial"/>
          <w:sz w:val="20"/>
          <w:szCs w:val="20"/>
        </w:rPr>
        <w:t xml:space="preserve"> to ensure a satisfactory response</w:t>
      </w:r>
      <w:r w:rsidR="003947E0" w:rsidRPr="00F52DED">
        <w:rPr>
          <w:rFonts w:ascii="Arial" w:hAnsi="Arial" w:cs="Arial"/>
          <w:sz w:val="20"/>
          <w:szCs w:val="20"/>
        </w:rPr>
        <w:t>.</w:t>
      </w:r>
      <w:r w:rsidR="0002023B" w:rsidRPr="00F52DED">
        <w:rPr>
          <w:rFonts w:ascii="Arial" w:hAnsi="Arial" w:cs="Arial"/>
          <w:sz w:val="20"/>
          <w:szCs w:val="20"/>
        </w:rPr>
        <w:t xml:space="preserve">  ECA/P/V will also be ready to make a judgment call based on response rate status </w:t>
      </w:r>
      <w:r w:rsidR="00330F9A" w:rsidRPr="00F52DED">
        <w:rPr>
          <w:rFonts w:ascii="Arial" w:hAnsi="Arial" w:cs="Arial"/>
          <w:sz w:val="20"/>
          <w:szCs w:val="20"/>
        </w:rPr>
        <w:t xml:space="preserve">throughout the administration period </w:t>
      </w:r>
      <w:r w:rsidR="0002023B" w:rsidRPr="00F52DED">
        <w:rPr>
          <w:rFonts w:ascii="Arial" w:hAnsi="Arial" w:cs="Arial"/>
          <w:sz w:val="20"/>
          <w:szCs w:val="20"/>
        </w:rPr>
        <w:t xml:space="preserve">to </w:t>
      </w:r>
      <w:r w:rsidR="00330F9A" w:rsidRPr="00F52DED">
        <w:rPr>
          <w:rFonts w:ascii="Arial" w:hAnsi="Arial" w:cs="Arial"/>
          <w:sz w:val="20"/>
          <w:szCs w:val="20"/>
        </w:rPr>
        <w:t>both extend the</w:t>
      </w:r>
      <w:r w:rsidR="0002023B" w:rsidRPr="00F52DED">
        <w:rPr>
          <w:rFonts w:ascii="Arial" w:hAnsi="Arial" w:cs="Arial"/>
          <w:sz w:val="20"/>
          <w:szCs w:val="20"/>
        </w:rPr>
        <w:t xml:space="preserve"> administration period as deemed fit, </w:t>
      </w:r>
      <w:r w:rsidR="00330F9A" w:rsidRPr="00F52DED">
        <w:rPr>
          <w:rFonts w:ascii="Arial" w:hAnsi="Arial" w:cs="Arial"/>
          <w:sz w:val="20"/>
          <w:szCs w:val="20"/>
        </w:rPr>
        <w:t>as well as</w:t>
      </w:r>
      <w:r w:rsidR="0002023B" w:rsidRPr="00F52DED">
        <w:rPr>
          <w:rFonts w:ascii="Arial" w:hAnsi="Arial" w:cs="Arial"/>
          <w:sz w:val="20"/>
          <w:szCs w:val="20"/>
        </w:rPr>
        <w:t xml:space="preserve"> </w:t>
      </w:r>
      <w:r w:rsidR="00330F9A" w:rsidRPr="00F52DED">
        <w:rPr>
          <w:rFonts w:ascii="Arial" w:hAnsi="Arial" w:cs="Arial"/>
          <w:sz w:val="20"/>
          <w:szCs w:val="20"/>
        </w:rPr>
        <w:t>send an additional reminder.</w:t>
      </w:r>
    </w:p>
    <w:p w:rsidR="00436403" w:rsidRPr="00F52DED" w:rsidRDefault="00436403">
      <w:pPr>
        <w:ind w:left="1080" w:hanging="360"/>
        <w:rPr>
          <w:rFonts w:ascii="Arial" w:hAnsi="Arial" w:cs="Arial"/>
          <w:sz w:val="20"/>
          <w:szCs w:val="20"/>
        </w:rPr>
      </w:pPr>
    </w:p>
    <w:p w:rsidR="00436403" w:rsidRPr="00F52DED" w:rsidRDefault="007A2412">
      <w:pPr>
        <w:numPr>
          <w:ilvl w:val="0"/>
          <w:numId w:val="21"/>
        </w:numPr>
        <w:ind w:left="1080"/>
        <w:rPr>
          <w:rFonts w:ascii="Arial" w:hAnsi="Arial" w:cs="Arial"/>
          <w:sz w:val="20"/>
          <w:szCs w:val="20"/>
        </w:rPr>
      </w:pPr>
      <w:r w:rsidRPr="00F52DED">
        <w:rPr>
          <w:rFonts w:ascii="Arial" w:hAnsi="Arial" w:cs="Arial"/>
          <w:b/>
          <w:sz w:val="20"/>
          <w:szCs w:val="20"/>
        </w:rPr>
        <w:t>Pre-testing Survey:</w:t>
      </w:r>
      <w:r w:rsidR="001F5E4D" w:rsidRPr="00F52DED">
        <w:rPr>
          <w:rFonts w:ascii="Arial" w:hAnsi="Arial" w:cs="Arial"/>
          <w:sz w:val="20"/>
          <w:szCs w:val="20"/>
        </w:rPr>
        <w:t xml:space="preserve"> Pre-testing the survey</w:t>
      </w:r>
      <w:r w:rsidR="00BA623F" w:rsidRPr="00F52DED">
        <w:rPr>
          <w:rFonts w:ascii="Arial" w:hAnsi="Arial" w:cs="Arial"/>
          <w:sz w:val="20"/>
          <w:szCs w:val="20"/>
        </w:rPr>
        <w:t xml:space="preserve"> </w:t>
      </w:r>
      <w:r w:rsidR="0006465D" w:rsidRPr="00F52DED">
        <w:rPr>
          <w:rFonts w:ascii="Arial" w:hAnsi="Arial" w:cs="Arial"/>
          <w:sz w:val="20"/>
          <w:szCs w:val="20"/>
        </w:rPr>
        <w:t xml:space="preserve">was </w:t>
      </w:r>
      <w:r w:rsidR="00BA623F" w:rsidRPr="00F52DED">
        <w:rPr>
          <w:rFonts w:ascii="Arial" w:hAnsi="Arial" w:cs="Arial"/>
          <w:sz w:val="20"/>
          <w:szCs w:val="20"/>
        </w:rPr>
        <w:t>extremely useful for clarifying instructions and questions, refining the response categories, as well as ensuring clarity, brevity, relevance, user-friendliness, understandability, and sensitivity to a respondent’s culture and the political climate in which they live.</w:t>
      </w:r>
      <w:r w:rsidR="00C00B38" w:rsidRPr="00F52DED">
        <w:rPr>
          <w:rFonts w:ascii="Arial" w:hAnsi="Arial" w:cs="Arial"/>
          <w:sz w:val="20"/>
          <w:szCs w:val="20"/>
        </w:rPr>
        <w:t xml:space="preserve">  This in</w:t>
      </w:r>
      <w:r w:rsidR="00BA623F" w:rsidRPr="00F52DED">
        <w:rPr>
          <w:rFonts w:ascii="Arial" w:hAnsi="Arial" w:cs="Arial"/>
          <w:sz w:val="20"/>
          <w:szCs w:val="20"/>
        </w:rPr>
        <w:t xml:space="preserve"> turn </w:t>
      </w:r>
      <w:r w:rsidR="00326115" w:rsidRPr="00F52DED">
        <w:rPr>
          <w:rFonts w:ascii="Arial" w:hAnsi="Arial" w:cs="Arial"/>
          <w:sz w:val="20"/>
          <w:szCs w:val="20"/>
        </w:rPr>
        <w:t>allow</w:t>
      </w:r>
      <w:r w:rsidR="0006465D" w:rsidRPr="00F52DED">
        <w:rPr>
          <w:rFonts w:ascii="Arial" w:hAnsi="Arial" w:cs="Arial"/>
          <w:sz w:val="20"/>
          <w:szCs w:val="20"/>
        </w:rPr>
        <w:t>ed</w:t>
      </w:r>
      <w:r w:rsidR="008940F9" w:rsidRPr="00F52DED">
        <w:rPr>
          <w:rFonts w:ascii="Arial" w:hAnsi="Arial" w:cs="Arial"/>
          <w:sz w:val="20"/>
          <w:szCs w:val="20"/>
        </w:rPr>
        <w:t xml:space="preserve"> the survey</w:t>
      </w:r>
      <w:r w:rsidR="00817B01" w:rsidRPr="00F52DED">
        <w:rPr>
          <w:rFonts w:ascii="Arial" w:hAnsi="Arial" w:cs="Arial"/>
          <w:sz w:val="20"/>
          <w:szCs w:val="20"/>
        </w:rPr>
        <w:t>’s questions</w:t>
      </w:r>
      <w:r w:rsidR="008940F9" w:rsidRPr="00F52DED">
        <w:rPr>
          <w:rFonts w:ascii="Arial" w:hAnsi="Arial" w:cs="Arial"/>
          <w:sz w:val="20"/>
          <w:szCs w:val="20"/>
        </w:rPr>
        <w:t xml:space="preserve"> to be </w:t>
      </w:r>
      <w:r w:rsidR="00817B01" w:rsidRPr="00F52DED">
        <w:rPr>
          <w:rFonts w:ascii="Arial" w:hAnsi="Arial" w:cs="Arial"/>
          <w:sz w:val="20"/>
          <w:szCs w:val="20"/>
        </w:rPr>
        <w:t>designed</w:t>
      </w:r>
      <w:r w:rsidR="008940F9" w:rsidRPr="00F52DED">
        <w:rPr>
          <w:rFonts w:ascii="Arial" w:hAnsi="Arial" w:cs="Arial"/>
          <w:sz w:val="20"/>
          <w:szCs w:val="20"/>
        </w:rPr>
        <w:t xml:space="preserve"> in </w:t>
      </w:r>
      <w:r w:rsidR="00817B01" w:rsidRPr="00F52DED">
        <w:rPr>
          <w:rFonts w:ascii="Arial" w:hAnsi="Arial" w:cs="Arial"/>
          <w:sz w:val="20"/>
          <w:szCs w:val="20"/>
        </w:rPr>
        <w:t xml:space="preserve">a </w:t>
      </w:r>
      <w:r w:rsidR="008940F9" w:rsidRPr="00F52DED">
        <w:rPr>
          <w:rFonts w:ascii="Arial" w:hAnsi="Arial" w:cs="Arial"/>
          <w:sz w:val="20"/>
          <w:szCs w:val="20"/>
        </w:rPr>
        <w:t>way in which to</w:t>
      </w:r>
      <w:r w:rsidR="00BA623F" w:rsidRPr="00F52DED">
        <w:rPr>
          <w:rFonts w:ascii="Arial" w:hAnsi="Arial" w:cs="Arial"/>
          <w:sz w:val="20"/>
          <w:szCs w:val="20"/>
        </w:rPr>
        <w:t xml:space="preserve"> </w:t>
      </w:r>
      <w:r w:rsidR="008940F9" w:rsidRPr="00F52DED">
        <w:rPr>
          <w:rFonts w:ascii="Arial" w:hAnsi="Arial" w:cs="Arial"/>
          <w:sz w:val="20"/>
          <w:szCs w:val="20"/>
        </w:rPr>
        <w:t>minimize the</w:t>
      </w:r>
      <w:r w:rsidR="00BA623F" w:rsidRPr="00F52DED">
        <w:rPr>
          <w:rFonts w:ascii="Arial" w:hAnsi="Arial" w:cs="Arial"/>
          <w:sz w:val="20"/>
          <w:szCs w:val="20"/>
        </w:rPr>
        <w:t xml:space="preserve"> burden to respondents and encourage them to complete their survey.</w:t>
      </w:r>
    </w:p>
    <w:p w:rsidR="00436403" w:rsidRPr="00F52DED" w:rsidRDefault="00436403">
      <w:pPr>
        <w:ind w:left="360"/>
        <w:rPr>
          <w:rFonts w:ascii="Arial" w:hAnsi="Arial" w:cs="Arial"/>
          <w:sz w:val="20"/>
          <w:szCs w:val="20"/>
        </w:rPr>
      </w:pPr>
    </w:p>
    <w:p w:rsidR="00436403" w:rsidRPr="00F52DED" w:rsidRDefault="000823F9">
      <w:pPr>
        <w:ind w:left="360"/>
        <w:rPr>
          <w:rFonts w:ascii="Arial" w:hAnsi="Arial" w:cs="Arial"/>
          <w:sz w:val="20"/>
          <w:szCs w:val="20"/>
        </w:rPr>
      </w:pPr>
      <w:r w:rsidRPr="00F52DED">
        <w:rPr>
          <w:rFonts w:ascii="Arial" w:hAnsi="Arial" w:cs="Arial"/>
          <w:sz w:val="20"/>
          <w:szCs w:val="20"/>
        </w:rPr>
        <w:t>Using such methods has in our previous experiences stimulated response rates.</w:t>
      </w:r>
      <w:r w:rsidR="00D9067E" w:rsidRPr="00F52DED">
        <w:rPr>
          <w:rFonts w:ascii="Arial" w:hAnsi="Arial" w:cs="Arial"/>
          <w:sz w:val="20"/>
          <w:szCs w:val="20"/>
        </w:rPr>
        <w:t xml:space="preserve"> </w:t>
      </w:r>
    </w:p>
    <w:p w:rsidR="00436403" w:rsidRPr="00F52DED" w:rsidRDefault="00436403">
      <w:pPr>
        <w:ind w:left="360"/>
        <w:rPr>
          <w:rFonts w:ascii="Arial" w:hAnsi="Arial" w:cs="Arial"/>
          <w:sz w:val="20"/>
          <w:szCs w:val="20"/>
        </w:rPr>
      </w:pPr>
    </w:p>
    <w:p w:rsidR="00436403" w:rsidRPr="00F52DED" w:rsidRDefault="00D9067E">
      <w:pPr>
        <w:autoSpaceDE w:val="0"/>
        <w:autoSpaceDN w:val="0"/>
        <w:adjustRightInd w:val="0"/>
        <w:ind w:left="360"/>
        <w:rPr>
          <w:rFonts w:ascii="Arial" w:hAnsi="Arial" w:cs="Arial"/>
          <w:sz w:val="20"/>
          <w:szCs w:val="20"/>
        </w:rPr>
      </w:pPr>
      <w:r w:rsidRPr="00F52DED">
        <w:rPr>
          <w:rFonts w:ascii="Arial" w:hAnsi="Arial" w:cs="Arial"/>
          <w:sz w:val="20"/>
          <w:szCs w:val="20"/>
        </w:rPr>
        <w:t>This</w:t>
      </w:r>
      <w:r w:rsidR="00984127" w:rsidRPr="00F52DED">
        <w:rPr>
          <w:rFonts w:ascii="Arial" w:hAnsi="Arial" w:cs="Arial"/>
          <w:sz w:val="20"/>
          <w:szCs w:val="20"/>
        </w:rPr>
        <w:t xml:space="preserve"> </w:t>
      </w:r>
      <w:r w:rsidR="00A73F7A" w:rsidRPr="00F52DED">
        <w:rPr>
          <w:rFonts w:ascii="Arial" w:hAnsi="Arial" w:cs="Arial"/>
          <w:sz w:val="20"/>
          <w:szCs w:val="20"/>
        </w:rPr>
        <w:t xml:space="preserve">data </w:t>
      </w:r>
      <w:r w:rsidR="00984127" w:rsidRPr="00F52DED">
        <w:rPr>
          <w:rFonts w:ascii="Arial" w:hAnsi="Arial" w:cs="Arial"/>
          <w:sz w:val="20"/>
          <w:szCs w:val="20"/>
        </w:rPr>
        <w:t xml:space="preserve">collected </w:t>
      </w:r>
      <w:r w:rsidR="00A73F7A" w:rsidRPr="00F52DED">
        <w:rPr>
          <w:rFonts w:ascii="Arial" w:hAnsi="Arial" w:cs="Arial"/>
          <w:sz w:val="20"/>
          <w:szCs w:val="20"/>
        </w:rPr>
        <w:t xml:space="preserve">is only representative of the evaluation’s respondents and </w:t>
      </w:r>
      <w:r w:rsidR="000823F9" w:rsidRPr="00F52DED">
        <w:rPr>
          <w:rFonts w:ascii="Arial" w:hAnsi="Arial" w:cs="Arial"/>
          <w:sz w:val="20"/>
          <w:szCs w:val="20"/>
        </w:rPr>
        <w:t>all analysis of resu</w:t>
      </w:r>
      <w:r w:rsidR="00A73F7A" w:rsidRPr="00F52DED">
        <w:rPr>
          <w:rFonts w:ascii="Arial" w:hAnsi="Arial" w:cs="Arial"/>
          <w:sz w:val="20"/>
          <w:szCs w:val="20"/>
        </w:rPr>
        <w:t xml:space="preserve">lts and future reports will be clearly linked to only the universe that </w:t>
      </w:r>
      <w:r w:rsidR="00711B24" w:rsidRPr="00F52DED">
        <w:rPr>
          <w:rFonts w:ascii="Arial" w:hAnsi="Arial" w:cs="Arial"/>
          <w:sz w:val="20"/>
          <w:szCs w:val="20"/>
        </w:rPr>
        <w:t>was surveyed.</w:t>
      </w:r>
      <w:r w:rsidRPr="00F52DED">
        <w:rPr>
          <w:rFonts w:ascii="Arial" w:hAnsi="Arial" w:cs="Arial"/>
          <w:sz w:val="20"/>
          <w:szCs w:val="20"/>
        </w:rPr>
        <w:t xml:space="preserve"> We will </w:t>
      </w:r>
      <w:r w:rsidR="00985BA2" w:rsidRPr="00F52DED">
        <w:rPr>
          <w:rFonts w:ascii="Arial" w:hAnsi="Arial" w:cs="Arial"/>
          <w:sz w:val="20"/>
          <w:szCs w:val="20"/>
        </w:rPr>
        <w:t>monitor</w:t>
      </w:r>
      <w:r w:rsidRPr="00F52DED">
        <w:rPr>
          <w:rFonts w:ascii="Arial" w:hAnsi="Arial" w:cs="Arial"/>
          <w:sz w:val="20"/>
          <w:szCs w:val="20"/>
        </w:rPr>
        <w:t xml:space="preserve"> the </w:t>
      </w:r>
      <w:r w:rsidR="00AA11A2" w:rsidRPr="00F52DED">
        <w:rPr>
          <w:rFonts w:ascii="Arial" w:hAnsi="Arial" w:cs="Arial"/>
          <w:sz w:val="20"/>
          <w:szCs w:val="20"/>
        </w:rPr>
        <w:t xml:space="preserve">potential for </w:t>
      </w:r>
      <w:r w:rsidR="00D7108A" w:rsidRPr="00F52DED">
        <w:rPr>
          <w:rFonts w:ascii="Arial" w:hAnsi="Arial" w:cs="Arial"/>
          <w:sz w:val="20"/>
          <w:szCs w:val="20"/>
        </w:rPr>
        <w:t>non-</w:t>
      </w:r>
      <w:r w:rsidR="00AA11A2" w:rsidRPr="00F52DED">
        <w:rPr>
          <w:rFonts w:ascii="Arial" w:hAnsi="Arial" w:cs="Arial"/>
          <w:sz w:val="20"/>
          <w:szCs w:val="20"/>
        </w:rPr>
        <w:t>response bias</w:t>
      </w:r>
      <w:r w:rsidR="00D7108A" w:rsidRPr="00F52DED">
        <w:rPr>
          <w:rFonts w:ascii="Arial" w:hAnsi="Arial" w:cs="Arial"/>
          <w:sz w:val="20"/>
          <w:szCs w:val="20"/>
        </w:rPr>
        <w:t>, including tracking response rates by cohort over the collection period and reviewing both respondent and non-respondent demographics. These factors will be taken</w:t>
      </w:r>
      <w:r w:rsidR="00AA11A2" w:rsidRPr="00F52DED">
        <w:rPr>
          <w:rFonts w:ascii="Arial" w:hAnsi="Arial" w:cs="Arial"/>
          <w:sz w:val="20"/>
          <w:szCs w:val="20"/>
        </w:rPr>
        <w:t xml:space="preserve"> into account in our analysis and reporting of results, especially when disaggregating the data according to key demographics for which the number of respondents may be less than ideal.  </w:t>
      </w:r>
    </w:p>
    <w:p w:rsidR="00436403" w:rsidRPr="00F52DED" w:rsidRDefault="00436403">
      <w:pPr>
        <w:autoSpaceDE w:val="0"/>
        <w:autoSpaceDN w:val="0"/>
        <w:adjustRightInd w:val="0"/>
        <w:ind w:left="360"/>
        <w:rPr>
          <w:rFonts w:ascii="Arial" w:hAnsi="Arial" w:cs="Arial"/>
          <w:sz w:val="20"/>
          <w:szCs w:val="20"/>
        </w:rPr>
      </w:pPr>
    </w:p>
    <w:p w:rsidR="00436403" w:rsidRPr="00F52DED" w:rsidRDefault="005173A8">
      <w:pPr>
        <w:numPr>
          <w:ilvl w:val="0"/>
          <w:numId w:val="11"/>
        </w:numPr>
        <w:tabs>
          <w:tab w:val="left" w:pos="0"/>
        </w:tabs>
        <w:ind w:left="360"/>
        <w:rPr>
          <w:rFonts w:ascii="Arial" w:hAnsi="Arial" w:cs="Arial"/>
          <w:sz w:val="20"/>
          <w:szCs w:val="20"/>
        </w:rPr>
      </w:pPr>
      <w:r w:rsidRPr="00F52DED">
        <w:rPr>
          <w:rFonts w:ascii="Arial" w:hAnsi="Arial" w:cs="Arial"/>
          <w:sz w:val="20"/>
          <w:szCs w:val="20"/>
        </w:rPr>
        <w:t xml:space="preserve">To enhance </w:t>
      </w:r>
      <w:r w:rsidR="002A7D08" w:rsidRPr="00F52DED">
        <w:rPr>
          <w:rFonts w:ascii="Arial" w:hAnsi="Arial" w:cs="Arial"/>
          <w:sz w:val="20"/>
          <w:szCs w:val="20"/>
        </w:rPr>
        <w:t>the</w:t>
      </w:r>
      <w:r w:rsidR="006C5B2B" w:rsidRPr="00F52DED">
        <w:rPr>
          <w:rFonts w:ascii="Arial" w:hAnsi="Arial" w:cs="Arial"/>
          <w:sz w:val="20"/>
          <w:szCs w:val="20"/>
        </w:rPr>
        <w:t xml:space="preserve"> </w:t>
      </w:r>
      <w:r w:rsidRPr="00F52DED">
        <w:rPr>
          <w:rFonts w:ascii="Arial" w:hAnsi="Arial" w:cs="Arial"/>
          <w:sz w:val="20"/>
          <w:szCs w:val="20"/>
        </w:rPr>
        <w:t xml:space="preserve">questionnaire design, a small number of formative interviews </w:t>
      </w:r>
      <w:r w:rsidR="0006465D" w:rsidRPr="00F52DED">
        <w:rPr>
          <w:rFonts w:ascii="Arial" w:hAnsi="Arial" w:cs="Arial"/>
          <w:sz w:val="20"/>
          <w:szCs w:val="20"/>
        </w:rPr>
        <w:t>were</w:t>
      </w:r>
      <w:r w:rsidRPr="00F52DED">
        <w:rPr>
          <w:rFonts w:ascii="Arial" w:hAnsi="Arial" w:cs="Arial"/>
          <w:sz w:val="20"/>
          <w:szCs w:val="20"/>
        </w:rPr>
        <w:t xml:space="preserve"> conducted</w:t>
      </w:r>
      <w:r w:rsidR="006C5B2B" w:rsidRPr="00F52DED">
        <w:rPr>
          <w:rFonts w:ascii="Arial" w:hAnsi="Arial" w:cs="Arial"/>
          <w:sz w:val="20"/>
          <w:szCs w:val="20"/>
        </w:rPr>
        <w:t xml:space="preserve">. </w:t>
      </w:r>
      <w:r w:rsidR="00BA4BF0" w:rsidRPr="00F52DED">
        <w:rPr>
          <w:rFonts w:ascii="Arial" w:hAnsi="Arial" w:cs="Arial"/>
          <w:sz w:val="20"/>
          <w:szCs w:val="20"/>
        </w:rPr>
        <w:t>F</w:t>
      </w:r>
      <w:r w:rsidR="008A090A" w:rsidRPr="00F52DED">
        <w:rPr>
          <w:rFonts w:ascii="Arial" w:hAnsi="Arial" w:cs="Arial"/>
          <w:sz w:val="20"/>
          <w:szCs w:val="20"/>
        </w:rPr>
        <w:t>ive (</w:t>
      </w:r>
      <w:r w:rsidRPr="00F52DED">
        <w:rPr>
          <w:rFonts w:ascii="Arial" w:hAnsi="Arial" w:cs="Arial"/>
          <w:sz w:val="20"/>
          <w:szCs w:val="20"/>
        </w:rPr>
        <w:t>5</w:t>
      </w:r>
      <w:r w:rsidR="008A090A" w:rsidRPr="00F52DED">
        <w:rPr>
          <w:rFonts w:ascii="Arial" w:hAnsi="Arial" w:cs="Arial"/>
          <w:sz w:val="20"/>
          <w:szCs w:val="20"/>
        </w:rPr>
        <w:t>)</w:t>
      </w:r>
      <w:r w:rsidRPr="00F52DED">
        <w:rPr>
          <w:rFonts w:ascii="Arial" w:hAnsi="Arial" w:cs="Arial"/>
          <w:sz w:val="20"/>
          <w:szCs w:val="20"/>
        </w:rPr>
        <w:t xml:space="preserve"> former program participants</w:t>
      </w:r>
      <w:r w:rsidR="000049DB" w:rsidRPr="00F52DED">
        <w:rPr>
          <w:rFonts w:ascii="Arial" w:hAnsi="Arial" w:cs="Arial"/>
          <w:sz w:val="20"/>
          <w:szCs w:val="20"/>
        </w:rPr>
        <w:t xml:space="preserve"> </w:t>
      </w:r>
      <w:r w:rsidR="0006465D" w:rsidRPr="00F52DED">
        <w:rPr>
          <w:rFonts w:ascii="Arial" w:hAnsi="Arial" w:cs="Arial"/>
          <w:sz w:val="20"/>
          <w:szCs w:val="20"/>
        </w:rPr>
        <w:t>were</w:t>
      </w:r>
      <w:r w:rsidR="0002023B" w:rsidRPr="00F52DED">
        <w:rPr>
          <w:rFonts w:ascii="Arial" w:hAnsi="Arial" w:cs="Arial"/>
          <w:sz w:val="20"/>
          <w:szCs w:val="20"/>
        </w:rPr>
        <w:t xml:space="preserve"> interviewed</w:t>
      </w:r>
      <w:r w:rsidRPr="00F52DED">
        <w:rPr>
          <w:rFonts w:ascii="Arial" w:hAnsi="Arial" w:cs="Arial"/>
          <w:sz w:val="20"/>
          <w:szCs w:val="20"/>
        </w:rPr>
        <w:t xml:space="preserve"> prior to the survey development phase. These interviews </w:t>
      </w:r>
      <w:r w:rsidR="008E4FDA" w:rsidRPr="00F52DED">
        <w:rPr>
          <w:rFonts w:ascii="Arial" w:hAnsi="Arial" w:cs="Arial"/>
          <w:sz w:val="20"/>
          <w:szCs w:val="20"/>
        </w:rPr>
        <w:t>increase</w:t>
      </w:r>
      <w:r w:rsidR="0006465D" w:rsidRPr="00F52DED">
        <w:rPr>
          <w:rFonts w:ascii="Arial" w:hAnsi="Arial" w:cs="Arial"/>
          <w:sz w:val="20"/>
          <w:szCs w:val="20"/>
        </w:rPr>
        <w:t>d</w:t>
      </w:r>
      <w:r w:rsidRPr="00F52DED">
        <w:rPr>
          <w:rFonts w:ascii="Arial" w:hAnsi="Arial" w:cs="Arial"/>
          <w:sz w:val="20"/>
          <w:szCs w:val="20"/>
        </w:rPr>
        <w:t xml:space="preserve"> questionnaire designers’ level of understanding in regard to program participants’ experiences, particularly in terms of identifying the full range of activities, interactions, roles, and outcomes associa</w:t>
      </w:r>
      <w:r w:rsidR="000049DB" w:rsidRPr="00F52DED">
        <w:rPr>
          <w:rFonts w:ascii="Arial" w:hAnsi="Arial" w:cs="Arial"/>
          <w:sz w:val="20"/>
          <w:szCs w:val="20"/>
        </w:rPr>
        <w:t>ted with program participation.</w:t>
      </w:r>
      <w:r w:rsidRPr="00F52DED">
        <w:rPr>
          <w:rFonts w:ascii="Arial" w:hAnsi="Arial" w:cs="Arial"/>
          <w:sz w:val="20"/>
          <w:szCs w:val="20"/>
        </w:rPr>
        <w:t xml:space="preserve"> In addition to formative interviews prior to questionnaire design, a small number of cognitive/pre-test interviews </w:t>
      </w:r>
      <w:r w:rsidR="003C7C72" w:rsidRPr="00F52DED">
        <w:rPr>
          <w:rFonts w:ascii="Arial" w:hAnsi="Arial" w:cs="Arial"/>
          <w:sz w:val="20"/>
          <w:szCs w:val="20"/>
        </w:rPr>
        <w:t>(</w:t>
      </w:r>
      <w:r w:rsidR="00A96733" w:rsidRPr="00F52DED">
        <w:rPr>
          <w:rFonts w:ascii="Arial" w:hAnsi="Arial" w:cs="Arial"/>
          <w:sz w:val="20"/>
          <w:szCs w:val="20"/>
        </w:rPr>
        <w:t xml:space="preserve">6 interviews, </w:t>
      </w:r>
      <w:r w:rsidR="003C7C72" w:rsidRPr="00F52DED">
        <w:rPr>
          <w:rFonts w:ascii="Arial" w:hAnsi="Arial" w:cs="Arial"/>
          <w:sz w:val="20"/>
          <w:szCs w:val="20"/>
        </w:rPr>
        <w:t xml:space="preserve">which were </w:t>
      </w:r>
      <w:r w:rsidR="00A96733" w:rsidRPr="00F52DED">
        <w:rPr>
          <w:rFonts w:ascii="Arial" w:hAnsi="Arial" w:cs="Arial"/>
          <w:sz w:val="20"/>
          <w:szCs w:val="20"/>
        </w:rPr>
        <w:t xml:space="preserve">comprised of </w:t>
      </w:r>
      <w:r w:rsidR="003C7C72" w:rsidRPr="00F52DED">
        <w:rPr>
          <w:rFonts w:ascii="Arial" w:hAnsi="Arial" w:cs="Arial"/>
          <w:sz w:val="20"/>
          <w:szCs w:val="20"/>
        </w:rPr>
        <w:t>different questions from the formative</w:t>
      </w:r>
      <w:r w:rsidR="00A96733" w:rsidRPr="00F52DED">
        <w:rPr>
          <w:rFonts w:ascii="Arial" w:hAnsi="Arial" w:cs="Arial"/>
          <w:sz w:val="20"/>
          <w:szCs w:val="20"/>
        </w:rPr>
        <w:t xml:space="preserve"> interviews</w:t>
      </w:r>
      <w:r w:rsidR="003C7C72" w:rsidRPr="00F52DED">
        <w:rPr>
          <w:rFonts w:ascii="Arial" w:hAnsi="Arial" w:cs="Arial"/>
          <w:sz w:val="20"/>
          <w:szCs w:val="20"/>
        </w:rPr>
        <w:t>) were</w:t>
      </w:r>
      <w:r w:rsidRPr="00F52DED">
        <w:rPr>
          <w:rFonts w:ascii="Arial" w:hAnsi="Arial" w:cs="Arial"/>
          <w:sz w:val="20"/>
          <w:szCs w:val="20"/>
        </w:rPr>
        <w:t xml:space="preserve"> conducted upon completion of </w:t>
      </w:r>
      <w:r w:rsidR="000049DB" w:rsidRPr="00F52DED">
        <w:rPr>
          <w:rFonts w:ascii="Arial" w:hAnsi="Arial" w:cs="Arial"/>
          <w:sz w:val="20"/>
          <w:szCs w:val="20"/>
        </w:rPr>
        <w:t>the questionnaire design phase.</w:t>
      </w:r>
      <w:r w:rsidRPr="00F52DED">
        <w:rPr>
          <w:rFonts w:ascii="Arial" w:hAnsi="Arial" w:cs="Arial"/>
          <w:sz w:val="20"/>
          <w:szCs w:val="20"/>
        </w:rPr>
        <w:t xml:space="preserve"> As part of these interviews a small number of past program part</w:t>
      </w:r>
      <w:r w:rsidR="008E4FDA" w:rsidRPr="00F52DED">
        <w:rPr>
          <w:rFonts w:ascii="Arial" w:hAnsi="Arial" w:cs="Arial"/>
          <w:sz w:val="20"/>
          <w:szCs w:val="20"/>
        </w:rPr>
        <w:t>icipants complete</w:t>
      </w:r>
      <w:r w:rsidR="0006465D" w:rsidRPr="00F52DED">
        <w:rPr>
          <w:rFonts w:ascii="Arial" w:hAnsi="Arial" w:cs="Arial"/>
          <w:sz w:val="20"/>
          <w:szCs w:val="20"/>
        </w:rPr>
        <w:t>d</w:t>
      </w:r>
      <w:r w:rsidRPr="00F52DED">
        <w:rPr>
          <w:rFonts w:ascii="Arial" w:hAnsi="Arial" w:cs="Arial"/>
          <w:sz w:val="20"/>
          <w:szCs w:val="20"/>
        </w:rPr>
        <w:t xml:space="preserve"> a test version of the on-line survey and </w:t>
      </w:r>
      <w:r w:rsidR="0006465D" w:rsidRPr="00F52DED">
        <w:rPr>
          <w:rFonts w:ascii="Arial" w:hAnsi="Arial" w:cs="Arial"/>
          <w:sz w:val="20"/>
          <w:szCs w:val="20"/>
        </w:rPr>
        <w:t xml:space="preserve">were </w:t>
      </w:r>
      <w:r w:rsidRPr="00F52DED">
        <w:rPr>
          <w:rFonts w:ascii="Arial" w:hAnsi="Arial" w:cs="Arial"/>
          <w:sz w:val="20"/>
          <w:szCs w:val="20"/>
        </w:rPr>
        <w:t>later</w:t>
      </w:r>
      <w:r w:rsidR="008E4FDA" w:rsidRPr="00F52DED">
        <w:rPr>
          <w:rFonts w:ascii="Arial" w:hAnsi="Arial" w:cs="Arial"/>
          <w:sz w:val="20"/>
          <w:szCs w:val="20"/>
        </w:rPr>
        <w:t xml:space="preserve"> be</w:t>
      </w:r>
      <w:r w:rsidRPr="00F52DED">
        <w:rPr>
          <w:rFonts w:ascii="Arial" w:hAnsi="Arial" w:cs="Arial"/>
          <w:sz w:val="20"/>
          <w:szCs w:val="20"/>
        </w:rPr>
        <w:t xml:space="preserve"> de-briefed through </w:t>
      </w:r>
      <w:r w:rsidR="008A090A" w:rsidRPr="00F52DED">
        <w:rPr>
          <w:rFonts w:ascii="Arial" w:hAnsi="Arial" w:cs="Arial"/>
          <w:sz w:val="20"/>
          <w:szCs w:val="20"/>
        </w:rPr>
        <w:t>telephonic interviews or via e-</w:t>
      </w:r>
      <w:r w:rsidRPr="00F52DED">
        <w:rPr>
          <w:rFonts w:ascii="Arial" w:hAnsi="Arial" w:cs="Arial"/>
          <w:sz w:val="20"/>
          <w:szCs w:val="20"/>
        </w:rPr>
        <w:t>mail to identify any needed modifications to the instr</w:t>
      </w:r>
      <w:r w:rsidR="000049DB" w:rsidRPr="00F52DED">
        <w:rPr>
          <w:rFonts w:ascii="Arial" w:hAnsi="Arial" w:cs="Arial"/>
          <w:sz w:val="20"/>
          <w:szCs w:val="20"/>
        </w:rPr>
        <w:t xml:space="preserve">ument prior to OMB submission. </w:t>
      </w:r>
      <w:r w:rsidRPr="00F52DED">
        <w:rPr>
          <w:rFonts w:ascii="Arial" w:hAnsi="Arial" w:cs="Arial"/>
          <w:sz w:val="20"/>
          <w:szCs w:val="20"/>
        </w:rPr>
        <w:t>T</w:t>
      </w:r>
      <w:r w:rsidR="008E4FDA" w:rsidRPr="00F52DED">
        <w:rPr>
          <w:rFonts w:ascii="Arial" w:hAnsi="Arial" w:cs="Arial"/>
          <w:sz w:val="20"/>
          <w:szCs w:val="20"/>
        </w:rPr>
        <w:t>he debriefing interviews focus</w:t>
      </w:r>
      <w:r w:rsidR="0006465D" w:rsidRPr="00F52DED">
        <w:rPr>
          <w:rFonts w:ascii="Arial" w:hAnsi="Arial" w:cs="Arial"/>
          <w:sz w:val="20"/>
          <w:szCs w:val="20"/>
        </w:rPr>
        <w:t>ed</w:t>
      </w:r>
      <w:r w:rsidRPr="00F52DED">
        <w:rPr>
          <w:rFonts w:ascii="Arial" w:hAnsi="Arial" w:cs="Arial"/>
          <w:sz w:val="20"/>
          <w:szCs w:val="20"/>
        </w:rPr>
        <w:t xml:space="preserve"> on determining whether question wording was clear, conveyed its intended meaning, contained realistic and mutually exclusive response options, and presented scaling of magnitude, agreement/disagreement, etc. that is relevant and understandable to the respondents</w:t>
      </w:r>
      <w:r w:rsidRPr="00F52DED">
        <w:rPr>
          <w:rFonts w:ascii="Arial" w:hAnsi="Arial" w:cs="Arial"/>
        </w:rPr>
        <w:t>.</w:t>
      </w:r>
    </w:p>
    <w:p w:rsidR="00901C38" w:rsidRPr="00F52DED" w:rsidRDefault="00901C38" w:rsidP="00D61AAA">
      <w:pPr>
        <w:tabs>
          <w:tab w:val="left" w:pos="0"/>
        </w:tabs>
        <w:rPr>
          <w:rFonts w:ascii="Arial" w:hAnsi="Arial" w:cs="Arial"/>
          <w:sz w:val="20"/>
          <w:szCs w:val="20"/>
        </w:rPr>
      </w:pPr>
    </w:p>
    <w:p w:rsidR="00436403" w:rsidRPr="00F52DED" w:rsidRDefault="00A73F7A">
      <w:pPr>
        <w:numPr>
          <w:ilvl w:val="0"/>
          <w:numId w:val="11"/>
        </w:numPr>
        <w:ind w:left="360"/>
        <w:rPr>
          <w:rFonts w:ascii="Arial" w:hAnsi="Arial" w:cs="Arial"/>
          <w:sz w:val="20"/>
          <w:szCs w:val="20"/>
        </w:rPr>
      </w:pPr>
      <w:r w:rsidRPr="00F52DED">
        <w:rPr>
          <w:rFonts w:ascii="Arial" w:hAnsi="Arial" w:cs="Arial"/>
          <w:sz w:val="20"/>
          <w:szCs w:val="20"/>
        </w:rPr>
        <w:t>The ECA/P/V individual managing th</w:t>
      </w:r>
      <w:r w:rsidR="00DB20FA" w:rsidRPr="00F52DED">
        <w:rPr>
          <w:rFonts w:ascii="Arial" w:hAnsi="Arial" w:cs="Arial"/>
          <w:sz w:val="20"/>
          <w:szCs w:val="20"/>
        </w:rPr>
        <w:t xml:space="preserve">is </w:t>
      </w:r>
      <w:r w:rsidR="002A7D08" w:rsidRPr="00F52DED">
        <w:rPr>
          <w:rFonts w:ascii="Arial" w:hAnsi="Arial" w:cs="Arial"/>
          <w:sz w:val="20"/>
          <w:szCs w:val="20"/>
        </w:rPr>
        <w:t xml:space="preserve">evaluation’s external contractor, Research Solutions International, </w:t>
      </w:r>
      <w:r w:rsidRPr="00F52DED">
        <w:rPr>
          <w:rFonts w:ascii="Arial" w:hAnsi="Arial" w:cs="Arial"/>
          <w:sz w:val="20"/>
          <w:szCs w:val="20"/>
        </w:rPr>
        <w:t xml:space="preserve">who will be collecting the data and analyzing the information is </w:t>
      </w:r>
      <w:r w:rsidR="003D4E7A" w:rsidRPr="00F52DED">
        <w:rPr>
          <w:rFonts w:ascii="Arial" w:hAnsi="Arial" w:cs="Arial"/>
          <w:sz w:val="20"/>
          <w:szCs w:val="20"/>
        </w:rPr>
        <w:t>Eulynn Shiu</w:t>
      </w:r>
      <w:r w:rsidRPr="00F52DED">
        <w:rPr>
          <w:rFonts w:ascii="Arial" w:hAnsi="Arial" w:cs="Arial"/>
          <w:sz w:val="20"/>
          <w:szCs w:val="20"/>
        </w:rPr>
        <w:t>, 202-632-</w:t>
      </w:r>
      <w:r w:rsidR="00BA1446" w:rsidRPr="00F52DED">
        <w:rPr>
          <w:rFonts w:ascii="Arial" w:hAnsi="Arial" w:cs="Arial"/>
          <w:sz w:val="20"/>
          <w:szCs w:val="20"/>
        </w:rPr>
        <w:t>63</w:t>
      </w:r>
      <w:r w:rsidR="003D4E7A" w:rsidRPr="00F52DED">
        <w:rPr>
          <w:rFonts w:ascii="Arial" w:hAnsi="Arial" w:cs="Arial"/>
          <w:sz w:val="20"/>
          <w:szCs w:val="20"/>
        </w:rPr>
        <w:t>21</w:t>
      </w:r>
      <w:r w:rsidRPr="00F52DED">
        <w:rPr>
          <w:rFonts w:ascii="Arial" w:hAnsi="Arial" w:cs="Arial"/>
          <w:sz w:val="20"/>
          <w:szCs w:val="20"/>
        </w:rPr>
        <w:t>.</w:t>
      </w:r>
    </w:p>
    <w:sectPr w:rsidR="00436403" w:rsidRPr="00F52DED" w:rsidSect="00CE6EB2">
      <w:headerReference w:type="default" r:id="rId18"/>
      <w:footerReference w:type="even" r:id="rId19"/>
      <w:footerReference w:type="default" r:id="rId20"/>
      <w:pgSz w:w="12240" w:h="15840"/>
      <w:pgMar w:top="108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D41" w:rsidRDefault="00641D41">
      <w:r>
        <w:separator/>
      </w:r>
    </w:p>
  </w:endnote>
  <w:endnote w:type="continuationSeparator" w:id="0">
    <w:p w:rsidR="00641D41" w:rsidRDefault="00641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0D" w:rsidRDefault="00F20AF4" w:rsidP="00CE6EB2">
    <w:pPr>
      <w:pStyle w:val="Footer"/>
      <w:framePr w:wrap="around" w:vAnchor="text" w:hAnchor="margin" w:xAlign="center" w:y="1"/>
      <w:rPr>
        <w:rStyle w:val="PageNumber"/>
      </w:rPr>
    </w:pPr>
    <w:r>
      <w:rPr>
        <w:rStyle w:val="PageNumber"/>
      </w:rPr>
      <w:fldChar w:fldCharType="begin"/>
    </w:r>
    <w:r w:rsidR="00E4530D">
      <w:rPr>
        <w:rStyle w:val="PageNumber"/>
      </w:rPr>
      <w:instrText xml:space="preserve">PAGE  </w:instrText>
    </w:r>
    <w:r>
      <w:rPr>
        <w:rStyle w:val="PageNumber"/>
      </w:rPr>
      <w:fldChar w:fldCharType="end"/>
    </w:r>
  </w:p>
  <w:p w:rsidR="00E4530D" w:rsidRDefault="00E453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0D" w:rsidRDefault="00F20AF4" w:rsidP="00CE6EB2">
    <w:pPr>
      <w:pStyle w:val="Footer"/>
      <w:framePr w:wrap="around" w:vAnchor="text" w:hAnchor="margin" w:xAlign="center" w:y="1"/>
      <w:rPr>
        <w:rStyle w:val="PageNumber"/>
      </w:rPr>
    </w:pPr>
    <w:r>
      <w:rPr>
        <w:rStyle w:val="PageNumber"/>
      </w:rPr>
      <w:fldChar w:fldCharType="begin"/>
    </w:r>
    <w:r w:rsidR="00E4530D">
      <w:rPr>
        <w:rStyle w:val="PageNumber"/>
      </w:rPr>
      <w:instrText xml:space="preserve">PAGE  </w:instrText>
    </w:r>
    <w:r>
      <w:rPr>
        <w:rStyle w:val="PageNumber"/>
      </w:rPr>
      <w:fldChar w:fldCharType="separate"/>
    </w:r>
    <w:r w:rsidR="00FB620B">
      <w:rPr>
        <w:rStyle w:val="PageNumber"/>
        <w:noProof/>
      </w:rPr>
      <w:t>7</w:t>
    </w:r>
    <w:r>
      <w:rPr>
        <w:rStyle w:val="PageNumber"/>
      </w:rPr>
      <w:fldChar w:fldCharType="end"/>
    </w:r>
  </w:p>
  <w:p w:rsidR="00E4530D" w:rsidRDefault="00E453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D41" w:rsidRDefault="00641D41">
      <w:r>
        <w:separator/>
      </w:r>
    </w:p>
  </w:footnote>
  <w:footnote w:type="continuationSeparator" w:id="0">
    <w:p w:rsidR="00641D41" w:rsidRDefault="00641D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D41" w:rsidRDefault="00641D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1DAA"/>
    <w:multiLevelType w:val="hybridMultilevel"/>
    <w:tmpl w:val="58F4E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D34CC"/>
    <w:multiLevelType w:val="hybridMultilevel"/>
    <w:tmpl w:val="92E24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52A32"/>
    <w:multiLevelType w:val="hybridMultilevel"/>
    <w:tmpl w:val="DC4A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E5972"/>
    <w:multiLevelType w:val="hybridMultilevel"/>
    <w:tmpl w:val="0BCC1082"/>
    <w:lvl w:ilvl="0" w:tplc="ED78BD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2A46C5"/>
    <w:multiLevelType w:val="hybridMultilevel"/>
    <w:tmpl w:val="FB8E1FB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573DA8"/>
    <w:multiLevelType w:val="hybridMultilevel"/>
    <w:tmpl w:val="34565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603FB1"/>
    <w:multiLevelType w:val="hybridMultilevel"/>
    <w:tmpl w:val="EEA828EE"/>
    <w:lvl w:ilvl="0" w:tplc="209C5CA2">
      <w:start w:val="1"/>
      <w:numFmt w:val="decimal"/>
      <w:lvlText w:val="%1."/>
      <w:lvlJc w:val="left"/>
      <w:pPr>
        <w:ind w:left="720" w:hanging="360"/>
      </w:pPr>
      <w:rPr>
        <w:rFonts w:hint="default"/>
      </w:rPr>
    </w:lvl>
    <w:lvl w:ilvl="1" w:tplc="3A5889FE" w:tentative="1">
      <w:start w:val="1"/>
      <w:numFmt w:val="lowerLetter"/>
      <w:lvlText w:val="%2."/>
      <w:lvlJc w:val="left"/>
      <w:pPr>
        <w:ind w:left="1440" w:hanging="360"/>
      </w:pPr>
    </w:lvl>
    <w:lvl w:ilvl="2" w:tplc="34D65B8C" w:tentative="1">
      <w:start w:val="1"/>
      <w:numFmt w:val="lowerRoman"/>
      <w:lvlText w:val="%3."/>
      <w:lvlJc w:val="right"/>
      <w:pPr>
        <w:ind w:left="2160" w:hanging="180"/>
      </w:pPr>
    </w:lvl>
    <w:lvl w:ilvl="3" w:tplc="9AAE765A" w:tentative="1">
      <w:start w:val="1"/>
      <w:numFmt w:val="decimal"/>
      <w:lvlText w:val="%4."/>
      <w:lvlJc w:val="left"/>
      <w:pPr>
        <w:ind w:left="2880" w:hanging="360"/>
      </w:pPr>
    </w:lvl>
    <w:lvl w:ilvl="4" w:tplc="F2C2C736" w:tentative="1">
      <w:start w:val="1"/>
      <w:numFmt w:val="lowerLetter"/>
      <w:lvlText w:val="%5."/>
      <w:lvlJc w:val="left"/>
      <w:pPr>
        <w:ind w:left="3600" w:hanging="360"/>
      </w:pPr>
    </w:lvl>
    <w:lvl w:ilvl="5" w:tplc="E6806022" w:tentative="1">
      <w:start w:val="1"/>
      <w:numFmt w:val="lowerRoman"/>
      <w:lvlText w:val="%6."/>
      <w:lvlJc w:val="right"/>
      <w:pPr>
        <w:ind w:left="4320" w:hanging="180"/>
      </w:pPr>
    </w:lvl>
    <w:lvl w:ilvl="6" w:tplc="5F828EE4" w:tentative="1">
      <w:start w:val="1"/>
      <w:numFmt w:val="decimal"/>
      <w:lvlText w:val="%7."/>
      <w:lvlJc w:val="left"/>
      <w:pPr>
        <w:ind w:left="5040" w:hanging="360"/>
      </w:pPr>
    </w:lvl>
    <w:lvl w:ilvl="7" w:tplc="478E7D58" w:tentative="1">
      <w:start w:val="1"/>
      <w:numFmt w:val="lowerLetter"/>
      <w:lvlText w:val="%8."/>
      <w:lvlJc w:val="left"/>
      <w:pPr>
        <w:ind w:left="5760" w:hanging="360"/>
      </w:pPr>
    </w:lvl>
    <w:lvl w:ilvl="8" w:tplc="14A084B2" w:tentative="1">
      <w:start w:val="1"/>
      <w:numFmt w:val="lowerRoman"/>
      <w:lvlText w:val="%9."/>
      <w:lvlJc w:val="right"/>
      <w:pPr>
        <w:ind w:left="6480" w:hanging="180"/>
      </w:pPr>
    </w:lvl>
  </w:abstractNum>
  <w:abstractNum w:abstractNumId="7">
    <w:nsid w:val="148A1B8D"/>
    <w:multiLevelType w:val="hybridMultilevel"/>
    <w:tmpl w:val="6AB2CEF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0B0119"/>
    <w:multiLevelType w:val="hybridMultilevel"/>
    <w:tmpl w:val="846A6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BB0D29"/>
    <w:multiLevelType w:val="hybridMultilevel"/>
    <w:tmpl w:val="9578C490"/>
    <w:lvl w:ilvl="0" w:tplc="0409000F">
      <w:start w:val="1"/>
      <w:numFmt w:val="bullet"/>
      <w:lvlText w:val=""/>
      <w:lvlJc w:val="left"/>
      <w:pPr>
        <w:tabs>
          <w:tab w:val="num" w:pos="576"/>
        </w:tabs>
        <w:ind w:left="504" w:hanging="288"/>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1C496408"/>
    <w:multiLevelType w:val="hybridMultilevel"/>
    <w:tmpl w:val="DFEE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A81B5E"/>
    <w:multiLevelType w:val="hybridMultilevel"/>
    <w:tmpl w:val="D79C2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920882"/>
    <w:multiLevelType w:val="hybridMultilevel"/>
    <w:tmpl w:val="43BA8B9E"/>
    <w:lvl w:ilvl="0" w:tplc="F940AE84">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2E292113"/>
    <w:multiLevelType w:val="hybridMultilevel"/>
    <w:tmpl w:val="398E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B472EC"/>
    <w:multiLevelType w:val="hybridMultilevel"/>
    <w:tmpl w:val="C7CC4FBE"/>
    <w:lvl w:ilvl="0" w:tplc="0409000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756644"/>
    <w:multiLevelType w:val="hybridMultilevel"/>
    <w:tmpl w:val="2DAA1B1E"/>
    <w:lvl w:ilvl="0" w:tplc="570E0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AB52DE"/>
    <w:multiLevelType w:val="hybridMultilevel"/>
    <w:tmpl w:val="77381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DD6BA6"/>
    <w:multiLevelType w:val="hybridMultilevel"/>
    <w:tmpl w:val="27323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6CB185D"/>
    <w:multiLevelType w:val="hybridMultilevel"/>
    <w:tmpl w:val="D5827290"/>
    <w:lvl w:ilvl="0" w:tplc="0409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9678C8"/>
    <w:multiLevelType w:val="multilevel"/>
    <w:tmpl w:val="CD28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AC31DC"/>
    <w:multiLevelType w:val="hybridMultilevel"/>
    <w:tmpl w:val="FF727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407C5"/>
    <w:multiLevelType w:val="hybridMultilevel"/>
    <w:tmpl w:val="199498F4"/>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6D60C3"/>
    <w:multiLevelType w:val="hybridMultilevel"/>
    <w:tmpl w:val="A3127DD0"/>
    <w:lvl w:ilvl="0" w:tplc="0409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882D7F"/>
    <w:multiLevelType w:val="hybridMultilevel"/>
    <w:tmpl w:val="2E328BC8"/>
    <w:lvl w:ilvl="0" w:tplc="049AC8B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9B165F"/>
    <w:multiLevelType w:val="multilevel"/>
    <w:tmpl w:val="F4D4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8F240D"/>
    <w:multiLevelType w:val="hybridMultilevel"/>
    <w:tmpl w:val="90FC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A324F8"/>
    <w:multiLevelType w:val="hybridMultilevel"/>
    <w:tmpl w:val="D9D67F98"/>
    <w:lvl w:ilvl="0" w:tplc="0409000F">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nsid w:val="62274CDC"/>
    <w:multiLevelType w:val="hybridMultilevel"/>
    <w:tmpl w:val="67FA5D62"/>
    <w:lvl w:ilvl="0" w:tplc="0409000F">
      <w:start w:val="1"/>
      <w:numFmt w:val="decimal"/>
      <w:lvlText w:val="%1."/>
      <w:lvlJc w:val="left"/>
      <w:pPr>
        <w:ind w:left="720" w:hanging="360"/>
      </w:pPr>
      <w:rPr>
        <w:rFonts w:hint="default"/>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nsid w:val="768E726A"/>
    <w:multiLevelType w:val="hybridMultilevel"/>
    <w:tmpl w:val="5D0063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76CD6328"/>
    <w:multiLevelType w:val="hybridMultilevel"/>
    <w:tmpl w:val="9FBC99F4"/>
    <w:lvl w:ilvl="0" w:tplc="B082F10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CC109C"/>
    <w:multiLevelType w:val="hybridMultilevel"/>
    <w:tmpl w:val="2522F4E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8EB29D6"/>
    <w:multiLevelType w:val="hybridMultilevel"/>
    <w:tmpl w:val="E5FCA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F275BA3"/>
    <w:multiLevelType w:val="hybridMultilevel"/>
    <w:tmpl w:val="0BCAC272"/>
    <w:lvl w:ilvl="0" w:tplc="664AC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3B43AB"/>
    <w:multiLevelType w:val="hybridMultilevel"/>
    <w:tmpl w:val="624A35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9"/>
  </w:num>
  <w:num w:numId="3">
    <w:abstractNumId w:val="21"/>
  </w:num>
  <w:num w:numId="4">
    <w:abstractNumId w:val="14"/>
  </w:num>
  <w:num w:numId="5">
    <w:abstractNumId w:val="23"/>
  </w:num>
  <w:num w:numId="6">
    <w:abstractNumId w:val="6"/>
  </w:num>
  <w:num w:numId="7">
    <w:abstractNumId w:val="0"/>
  </w:num>
  <w:num w:numId="8">
    <w:abstractNumId w:val="25"/>
  </w:num>
  <w:num w:numId="9">
    <w:abstractNumId w:val="12"/>
  </w:num>
  <w:num w:numId="10">
    <w:abstractNumId w:val="22"/>
  </w:num>
  <w:num w:numId="11">
    <w:abstractNumId w:val="27"/>
  </w:num>
  <w:num w:numId="12">
    <w:abstractNumId w:val="32"/>
  </w:num>
  <w:num w:numId="13">
    <w:abstractNumId w:val="20"/>
  </w:num>
  <w:num w:numId="14">
    <w:abstractNumId w:val="29"/>
  </w:num>
  <w:num w:numId="15">
    <w:abstractNumId w:val="18"/>
  </w:num>
  <w:num w:numId="16">
    <w:abstractNumId w:val="26"/>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6"/>
  </w:num>
  <w:num w:numId="20">
    <w:abstractNumId w:val="3"/>
  </w:num>
  <w:num w:numId="21">
    <w:abstractNumId w:val="31"/>
  </w:num>
  <w:num w:numId="22">
    <w:abstractNumId w:val="10"/>
  </w:num>
  <w:num w:numId="23">
    <w:abstractNumId w:val="17"/>
  </w:num>
  <w:num w:numId="24">
    <w:abstractNumId w:val="4"/>
  </w:num>
  <w:num w:numId="25">
    <w:abstractNumId w:val="7"/>
  </w:num>
  <w:num w:numId="26">
    <w:abstractNumId w:val="8"/>
  </w:num>
  <w:num w:numId="27">
    <w:abstractNumId w:val="2"/>
  </w:num>
  <w:num w:numId="28">
    <w:abstractNumId w:val="33"/>
  </w:num>
  <w:num w:numId="29">
    <w:abstractNumId w:val="15"/>
  </w:num>
  <w:num w:numId="30">
    <w:abstractNumId w:val="28"/>
  </w:num>
  <w:num w:numId="31">
    <w:abstractNumId w:val="24"/>
  </w:num>
  <w:num w:numId="32">
    <w:abstractNumId w:val="1"/>
  </w:num>
  <w:num w:numId="33">
    <w:abstractNumId w:val="11"/>
  </w:num>
  <w:num w:numId="34">
    <w:abstractNumId w:val="13"/>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CE6EB2"/>
    <w:rsid w:val="00001A17"/>
    <w:rsid w:val="000035C3"/>
    <w:rsid w:val="000049CD"/>
    <w:rsid w:val="000049DB"/>
    <w:rsid w:val="00005B73"/>
    <w:rsid w:val="00010C8C"/>
    <w:rsid w:val="00010D2D"/>
    <w:rsid w:val="000136A4"/>
    <w:rsid w:val="0001483A"/>
    <w:rsid w:val="000201A6"/>
    <w:rsid w:val="0002023B"/>
    <w:rsid w:val="00026317"/>
    <w:rsid w:val="00026408"/>
    <w:rsid w:val="0003063B"/>
    <w:rsid w:val="00033F3B"/>
    <w:rsid w:val="0003549E"/>
    <w:rsid w:val="00036258"/>
    <w:rsid w:val="000410FC"/>
    <w:rsid w:val="00044CAF"/>
    <w:rsid w:val="000531A3"/>
    <w:rsid w:val="000535B7"/>
    <w:rsid w:val="0005480C"/>
    <w:rsid w:val="000564D0"/>
    <w:rsid w:val="0006402F"/>
    <w:rsid w:val="0006465D"/>
    <w:rsid w:val="000658C8"/>
    <w:rsid w:val="000702C8"/>
    <w:rsid w:val="00072250"/>
    <w:rsid w:val="00074ABE"/>
    <w:rsid w:val="000823F9"/>
    <w:rsid w:val="00085E36"/>
    <w:rsid w:val="00086D8E"/>
    <w:rsid w:val="00090FF1"/>
    <w:rsid w:val="00091E08"/>
    <w:rsid w:val="000A688D"/>
    <w:rsid w:val="000A7920"/>
    <w:rsid w:val="000B043C"/>
    <w:rsid w:val="000B4FF2"/>
    <w:rsid w:val="000B6078"/>
    <w:rsid w:val="000B63A9"/>
    <w:rsid w:val="000C16A7"/>
    <w:rsid w:val="000C663E"/>
    <w:rsid w:val="000D06E4"/>
    <w:rsid w:val="000D34D3"/>
    <w:rsid w:val="000D364C"/>
    <w:rsid w:val="000E3467"/>
    <w:rsid w:val="000F0788"/>
    <w:rsid w:val="000F2C82"/>
    <w:rsid w:val="000F2DF9"/>
    <w:rsid w:val="000F51DE"/>
    <w:rsid w:val="000F554A"/>
    <w:rsid w:val="000F6962"/>
    <w:rsid w:val="00101909"/>
    <w:rsid w:val="001106AD"/>
    <w:rsid w:val="00113606"/>
    <w:rsid w:val="00117830"/>
    <w:rsid w:val="0012094F"/>
    <w:rsid w:val="0012115D"/>
    <w:rsid w:val="00121878"/>
    <w:rsid w:val="00121965"/>
    <w:rsid w:val="001220C5"/>
    <w:rsid w:val="001224FF"/>
    <w:rsid w:val="001237B1"/>
    <w:rsid w:val="00125975"/>
    <w:rsid w:val="00130330"/>
    <w:rsid w:val="001315E3"/>
    <w:rsid w:val="001338C5"/>
    <w:rsid w:val="00133FAB"/>
    <w:rsid w:val="0013462B"/>
    <w:rsid w:val="0013746E"/>
    <w:rsid w:val="0014072E"/>
    <w:rsid w:val="0014204F"/>
    <w:rsid w:val="00143326"/>
    <w:rsid w:val="00151674"/>
    <w:rsid w:val="00153835"/>
    <w:rsid w:val="00154414"/>
    <w:rsid w:val="00155419"/>
    <w:rsid w:val="00155DD1"/>
    <w:rsid w:val="00160D96"/>
    <w:rsid w:val="00166F77"/>
    <w:rsid w:val="0017024E"/>
    <w:rsid w:val="00180507"/>
    <w:rsid w:val="001820B8"/>
    <w:rsid w:val="0018506B"/>
    <w:rsid w:val="00193F03"/>
    <w:rsid w:val="00195C53"/>
    <w:rsid w:val="001A3320"/>
    <w:rsid w:val="001A3F6E"/>
    <w:rsid w:val="001A50AF"/>
    <w:rsid w:val="001A6408"/>
    <w:rsid w:val="001A68B9"/>
    <w:rsid w:val="001B7DF5"/>
    <w:rsid w:val="001C03F1"/>
    <w:rsid w:val="001C0E2B"/>
    <w:rsid w:val="001C7AB6"/>
    <w:rsid w:val="001D0F1E"/>
    <w:rsid w:val="001D2A5D"/>
    <w:rsid w:val="001D3282"/>
    <w:rsid w:val="001D3917"/>
    <w:rsid w:val="001D6A68"/>
    <w:rsid w:val="001D6D39"/>
    <w:rsid w:val="001E03EF"/>
    <w:rsid w:val="001E52BA"/>
    <w:rsid w:val="001E6AF9"/>
    <w:rsid w:val="001E7F32"/>
    <w:rsid w:val="001F0488"/>
    <w:rsid w:val="001F131E"/>
    <w:rsid w:val="001F2A0C"/>
    <w:rsid w:val="001F3F7E"/>
    <w:rsid w:val="001F5E4D"/>
    <w:rsid w:val="001F67C6"/>
    <w:rsid w:val="002069DD"/>
    <w:rsid w:val="00211FBB"/>
    <w:rsid w:val="00216E20"/>
    <w:rsid w:val="00217924"/>
    <w:rsid w:val="00221B64"/>
    <w:rsid w:val="00221BB1"/>
    <w:rsid w:val="00225293"/>
    <w:rsid w:val="00246EC9"/>
    <w:rsid w:val="00253DA1"/>
    <w:rsid w:val="00256745"/>
    <w:rsid w:val="00261C6D"/>
    <w:rsid w:val="002737D9"/>
    <w:rsid w:val="00274D2E"/>
    <w:rsid w:val="00276170"/>
    <w:rsid w:val="002770A7"/>
    <w:rsid w:val="00287085"/>
    <w:rsid w:val="0028744E"/>
    <w:rsid w:val="00291066"/>
    <w:rsid w:val="00292253"/>
    <w:rsid w:val="002954C8"/>
    <w:rsid w:val="002962A7"/>
    <w:rsid w:val="002A6F0A"/>
    <w:rsid w:val="002A7D08"/>
    <w:rsid w:val="002B41B4"/>
    <w:rsid w:val="002B48FE"/>
    <w:rsid w:val="002B4B5A"/>
    <w:rsid w:val="002B5B25"/>
    <w:rsid w:val="002B707C"/>
    <w:rsid w:val="002C3160"/>
    <w:rsid w:val="002C38CC"/>
    <w:rsid w:val="002C39A7"/>
    <w:rsid w:val="002C61EC"/>
    <w:rsid w:val="002C7AA2"/>
    <w:rsid w:val="002D0261"/>
    <w:rsid w:val="002D217A"/>
    <w:rsid w:val="002D2EF2"/>
    <w:rsid w:val="002D3E92"/>
    <w:rsid w:val="002D3F65"/>
    <w:rsid w:val="002D49B5"/>
    <w:rsid w:val="002D5E4B"/>
    <w:rsid w:val="002E4049"/>
    <w:rsid w:val="002F5257"/>
    <w:rsid w:val="002F68AA"/>
    <w:rsid w:val="002F6A44"/>
    <w:rsid w:val="00304212"/>
    <w:rsid w:val="0030655C"/>
    <w:rsid w:val="00312143"/>
    <w:rsid w:val="003135DF"/>
    <w:rsid w:val="00315C2C"/>
    <w:rsid w:val="00326115"/>
    <w:rsid w:val="00327FA1"/>
    <w:rsid w:val="00330F9A"/>
    <w:rsid w:val="00333F26"/>
    <w:rsid w:val="0033561F"/>
    <w:rsid w:val="00337FD6"/>
    <w:rsid w:val="003423EE"/>
    <w:rsid w:val="003435DF"/>
    <w:rsid w:val="00344F8E"/>
    <w:rsid w:val="0034528B"/>
    <w:rsid w:val="00347CE3"/>
    <w:rsid w:val="00350F60"/>
    <w:rsid w:val="00351035"/>
    <w:rsid w:val="00351F2E"/>
    <w:rsid w:val="00354621"/>
    <w:rsid w:val="003552CD"/>
    <w:rsid w:val="00361DCA"/>
    <w:rsid w:val="00367C4A"/>
    <w:rsid w:val="003723DF"/>
    <w:rsid w:val="00372C1F"/>
    <w:rsid w:val="00372F72"/>
    <w:rsid w:val="00387532"/>
    <w:rsid w:val="00391A1C"/>
    <w:rsid w:val="00392D84"/>
    <w:rsid w:val="003947E0"/>
    <w:rsid w:val="00396C2E"/>
    <w:rsid w:val="003A055E"/>
    <w:rsid w:val="003A495D"/>
    <w:rsid w:val="003A4C86"/>
    <w:rsid w:val="003A4D49"/>
    <w:rsid w:val="003A60CE"/>
    <w:rsid w:val="003A7692"/>
    <w:rsid w:val="003B066B"/>
    <w:rsid w:val="003B130F"/>
    <w:rsid w:val="003B17CE"/>
    <w:rsid w:val="003B3926"/>
    <w:rsid w:val="003B5147"/>
    <w:rsid w:val="003B5416"/>
    <w:rsid w:val="003B6306"/>
    <w:rsid w:val="003C160F"/>
    <w:rsid w:val="003C5432"/>
    <w:rsid w:val="003C682B"/>
    <w:rsid w:val="003C7C72"/>
    <w:rsid w:val="003D4E7A"/>
    <w:rsid w:val="003D650D"/>
    <w:rsid w:val="003E74E7"/>
    <w:rsid w:val="003E7F4B"/>
    <w:rsid w:val="003E7F79"/>
    <w:rsid w:val="003F0B00"/>
    <w:rsid w:val="003F1ADA"/>
    <w:rsid w:val="003F33E3"/>
    <w:rsid w:val="003F3451"/>
    <w:rsid w:val="003F380C"/>
    <w:rsid w:val="003F392A"/>
    <w:rsid w:val="003F52D1"/>
    <w:rsid w:val="00405DF6"/>
    <w:rsid w:val="0040616A"/>
    <w:rsid w:val="004118B1"/>
    <w:rsid w:val="00413A86"/>
    <w:rsid w:val="00416C0B"/>
    <w:rsid w:val="00416FD2"/>
    <w:rsid w:val="00420B4F"/>
    <w:rsid w:val="00421501"/>
    <w:rsid w:val="00427DB2"/>
    <w:rsid w:val="00431B7A"/>
    <w:rsid w:val="00435FAA"/>
    <w:rsid w:val="00436403"/>
    <w:rsid w:val="0044321F"/>
    <w:rsid w:val="00447E4A"/>
    <w:rsid w:val="00450D82"/>
    <w:rsid w:val="00452D29"/>
    <w:rsid w:val="004545CD"/>
    <w:rsid w:val="004655ED"/>
    <w:rsid w:val="004657D5"/>
    <w:rsid w:val="004746A2"/>
    <w:rsid w:val="0047493A"/>
    <w:rsid w:val="00474ABA"/>
    <w:rsid w:val="00475A85"/>
    <w:rsid w:val="00476C4C"/>
    <w:rsid w:val="00477653"/>
    <w:rsid w:val="00480D54"/>
    <w:rsid w:val="004839C1"/>
    <w:rsid w:val="0048601C"/>
    <w:rsid w:val="00487291"/>
    <w:rsid w:val="00487314"/>
    <w:rsid w:val="004A01F9"/>
    <w:rsid w:val="004A2E38"/>
    <w:rsid w:val="004A5360"/>
    <w:rsid w:val="004B5A25"/>
    <w:rsid w:val="004C0929"/>
    <w:rsid w:val="004C3B5A"/>
    <w:rsid w:val="004C4E10"/>
    <w:rsid w:val="004C5CC2"/>
    <w:rsid w:val="004C7DD4"/>
    <w:rsid w:val="004D0B74"/>
    <w:rsid w:val="004D2D8F"/>
    <w:rsid w:val="004D2F52"/>
    <w:rsid w:val="004D700C"/>
    <w:rsid w:val="004E12E4"/>
    <w:rsid w:val="004F0008"/>
    <w:rsid w:val="004F05CC"/>
    <w:rsid w:val="004F2276"/>
    <w:rsid w:val="004F6B47"/>
    <w:rsid w:val="00500B14"/>
    <w:rsid w:val="00501270"/>
    <w:rsid w:val="00505E3E"/>
    <w:rsid w:val="00514D16"/>
    <w:rsid w:val="00517058"/>
    <w:rsid w:val="005173A8"/>
    <w:rsid w:val="005205DC"/>
    <w:rsid w:val="00525298"/>
    <w:rsid w:val="00536C85"/>
    <w:rsid w:val="0053758B"/>
    <w:rsid w:val="00541C8D"/>
    <w:rsid w:val="00543E24"/>
    <w:rsid w:val="00550F2A"/>
    <w:rsid w:val="00554463"/>
    <w:rsid w:val="00555287"/>
    <w:rsid w:val="005552A7"/>
    <w:rsid w:val="00555C3C"/>
    <w:rsid w:val="00560280"/>
    <w:rsid w:val="005605E5"/>
    <w:rsid w:val="00562180"/>
    <w:rsid w:val="005629F7"/>
    <w:rsid w:val="00566CE5"/>
    <w:rsid w:val="0056781E"/>
    <w:rsid w:val="00574B75"/>
    <w:rsid w:val="00577BBA"/>
    <w:rsid w:val="00584513"/>
    <w:rsid w:val="0058527A"/>
    <w:rsid w:val="005900D9"/>
    <w:rsid w:val="005953A7"/>
    <w:rsid w:val="0059583A"/>
    <w:rsid w:val="005A146A"/>
    <w:rsid w:val="005A2405"/>
    <w:rsid w:val="005A4F6B"/>
    <w:rsid w:val="005A63BD"/>
    <w:rsid w:val="005B0840"/>
    <w:rsid w:val="005B0B08"/>
    <w:rsid w:val="005B1089"/>
    <w:rsid w:val="005B1684"/>
    <w:rsid w:val="005B3296"/>
    <w:rsid w:val="005B3B83"/>
    <w:rsid w:val="005B78D3"/>
    <w:rsid w:val="005C06B5"/>
    <w:rsid w:val="005C0FBE"/>
    <w:rsid w:val="005C257A"/>
    <w:rsid w:val="005C3979"/>
    <w:rsid w:val="005C74E3"/>
    <w:rsid w:val="005D1078"/>
    <w:rsid w:val="005D5A22"/>
    <w:rsid w:val="005E2514"/>
    <w:rsid w:val="005E4905"/>
    <w:rsid w:val="005F1444"/>
    <w:rsid w:val="00602D98"/>
    <w:rsid w:val="00605EEF"/>
    <w:rsid w:val="006079FF"/>
    <w:rsid w:val="00613525"/>
    <w:rsid w:val="006154E9"/>
    <w:rsid w:val="00620302"/>
    <w:rsid w:val="006243EE"/>
    <w:rsid w:val="00624B59"/>
    <w:rsid w:val="00627907"/>
    <w:rsid w:val="006307D8"/>
    <w:rsid w:val="00641D41"/>
    <w:rsid w:val="00641FCF"/>
    <w:rsid w:val="006437E0"/>
    <w:rsid w:val="00644E74"/>
    <w:rsid w:val="006450F4"/>
    <w:rsid w:val="00653267"/>
    <w:rsid w:val="00653C4E"/>
    <w:rsid w:val="00654428"/>
    <w:rsid w:val="00654672"/>
    <w:rsid w:val="0065488C"/>
    <w:rsid w:val="0065757F"/>
    <w:rsid w:val="00662629"/>
    <w:rsid w:val="0066327F"/>
    <w:rsid w:val="0066603E"/>
    <w:rsid w:val="00671478"/>
    <w:rsid w:val="00672CE7"/>
    <w:rsid w:val="006807BA"/>
    <w:rsid w:val="00684AF8"/>
    <w:rsid w:val="006907F4"/>
    <w:rsid w:val="006909DF"/>
    <w:rsid w:val="0069148F"/>
    <w:rsid w:val="00691669"/>
    <w:rsid w:val="0069195A"/>
    <w:rsid w:val="006921B9"/>
    <w:rsid w:val="00694900"/>
    <w:rsid w:val="006A004E"/>
    <w:rsid w:val="006A2484"/>
    <w:rsid w:val="006A5BB5"/>
    <w:rsid w:val="006A5C94"/>
    <w:rsid w:val="006A7F1B"/>
    <w:rsid w:val="006B0E60"/>
    <w:rsid w:val="006B3D6A"/>
    <w:rsid w:val="006B6033"/>
    <w:rsid w:val="006B6D53"/>
    <w:rsid w:val="006B7A06"/>
    <w:rsid w:val="006C03B7"/>
    <w:rsid w:val="006C5B2B"/>
    <w:rsid w:val="006C66D0"/>
    <w:rsid w:val="006C709D"/>
    <w:rsid w:val="006D2391"/>
    <w:rsid w:val="006D642F"/>
    <w:rsid w:val="006E1241"/>
    <w:rsid w:val="006E4481"/>
    <w:rsid w:val="006E5500"/>
    <w:rsid w:val="006E6C1D"/>
    <w:rsid w:val="006E72B2"/>
    <w:rsid w:val="006F12E3"/>
    <w:rsid w:val="006F498A"/>
    <w:rsid w:val="006F684D"/>
    <w:rsid w:val="00702649"/>
    <w:rsid w:val="007029C9"/>
    <w:rsid w:val="0070500E"/>
    <w:rsid w:val="00705032"/>
    <w:rsid w:val="00711B24"/>
    <w:rsid w:val="00712FF4"/>
    <w:rsid w:val="00715208"/>
    <w:rsid w:val="00715A44"/>
    <w:rsid w:val="0071674F"/>
    <w:rsid w:val="00717108"/>
    <w:rsid w:val="00720826"/>
    <w:rsid w:val="00723F37"/>
    <w:rsid w:val="00725098"/>
    <w:rsid w:val="0073103B"/>
    <w:rsid w:val="00732CE3"/>
    <w:rsid w:val="0073469D"/>
    <w:rsid w:val="007350A3"/>
    <w:rsid w:val="00735A57"/>
    <w:rsid w:val="00742007"/>
    <w:rsid w:val="00742A93"/>
    <w:rsid w:val="00744358"/>
    <w:rsid w:val="007462A3"/>
    <w:rsid w:val="0074712A"/>
    <w:rsid w:val="00751BDB"/>
    <w:rsid w:val="00757FD9"/>
    <w:rsid w:val="0076122B"/>
    <w:rsid w:val="007627E1"/>
    <w:rsid w:val="00765537"/>
    <w:rsid w:val="00766AEF"/>
    <w:rsid w:val="007710B6"/>
    <w:rsid w:val="00771621"/>
    <w:rsid w:val="007743D8"/>
    <w:rsid w:val="0077514A"/>
    <w:rsid w:val="007760D9"/>
    <w:rsid w:val="00781DBF"/>
    <w:rsid w:val="00782BCC"/>
    <w:rsid w:val="00786411"/>
    <w:rsid w:val="00790F46"/>
    <w:rsid w:val="00793797"/>
    <w:rsid w:val="00794ECF"/>
    <w:rsid w:val="007A0D2B"/>
    <w:rsid w:val="007A17D5"/>
    <w:rsid w:val="007A2248"/>
    <w:rsid w:val="007A2412"/>
    <w:rsid w:val="007A3A0C"/>
    <w:rsid w:val="007A4BD1"/>
    <w:rsid w:val="007A7278"/>
    <w:rsid w:val="007A7F15"/>
    <w:rsid w:val="007C0D94"/>
    <w:rsid w:val="007C55CB"/>
    <w:rsid w:val="007C5A74"/>
    <w:rsid w:val="007C5AFC"/>
    <w:rsid w:val="007C6F29"/>
    <w:rsid w:val="007D09BA"/>
    <w:rsid w:val="007D0C43"/>
    <w:rsid w:val="007D2B66"/>
    <w:rsid w:val="007D38D2"/>
    <w:rsid w:val="007D3A4A"/>
    <w:rsid w:val="007D3E79"/>
    <w:rsid w:val="007D5237"/>
    <w:rsid w:val="007E3D19"/>
    <w:rsid w:val="007E41D7"/>
    <w:rsid w:val="007F3B21"/>
    <w:rsid w:val="007F3BE3"/>
    <w:rsid w:val="007F5B4A"/>
    <w:rsid w:val="007F778F"/>
    <w:rsid w:val="0081067D"/>
    <w:rsid w:val="00815D47"/>
    <w:rsid w:val="00817B01"/>
    <w:rsid w:val="00820F5D"/>
    <w:rsid w:val="008215F1"/>
    <w:rsid w:val="00824E89"/>
    <w:rsid w:val="00825521"/>
    <w:rsid w:val="00827D66"/>
    <w:rsid w:val="00840B95"/>
    <w:rsid w:val="008411DE"/>
    <w:rsid w:val="00844B44"/>
    <w:rsid w:val="008459B0"/>
    <w:rsid w:val="00850069"/>
    <w:rsid w:val="00855665"/>
    <w:rsid w:val="00860781"/>
    <w:rsid w:val="00864197"/>
    <w:rsid w:val="00865716"/>
    <w:rsid w:val="00867630"/>
    <w:rsid w:val="00876268"/>
    <w:rsid w:val="00880A05"/>
    <w:rsid w:val="00881798"/>
    <w:rsid w:val="008826FF"/>
    <w:rsid w:val="00890ED5"/>
    <w:rsid w:val="008912B1"/>
    <w:rsid w:val="008940F9"/>
    <w:rsid w:val="00895672"/>
    <w:rsid w:val="00895832"/>
    <w:rsid w:val="00897C5C"/>
    <w:rsid w:val="00897E47"/>
    <w:rsid w:val="008A090A"/>
    <w:rsid w:val="008A1EF0"/>
    <w:rsid w:val="008A31D2"/>
    <w:rsid w:val="008A386B"/>
    <w:rsid w:val="008A72FE"/>
    <w:rsid w:val="008C5604"/>
    <w:rsid w:val="008D0EC0"/>
    <w:rsid w:val="008D232B"/>
    <w:rsid w:val="008D67AA"/>
    <w:rsid w:val="008D6CB2"/>
    <w:rsid w:val="008E0965"/>
    <w:rsid w:val="008E2055"/>
    <w:rsid w:val="008E3106"/>
    <w:rsid w:val="008E4B97"/>
    <w:rsid w:val="008E4FDA"/>
    <w:rsid w:val="008F3298"/>
    <w:rsid w:val="008F4D1F"/>
    <w:rsid w:val="009000A0"/>
    <w:rsid w:val="0090062C"/>
    <w:rsid w:val="00901C38"/>
    <w:rsid w:val="009035EB"/>
    <w:rsid w:val="00903FC1"/>
    <w:rsid w:val="00905E49"/>
    <w:rsid w:val="00910088"/>
    <w:rsid w:val="00910BC1"/>
    <w:rsid w:val="00913A5D"/>
    <w:rsid w:val="00914A3D"/>
    <w:rsid w:val="009153C4"/>
    <w:rsid w:val="00920D58"/>
    <w:rsid w:val="00921753"/>
    <w:rsid w:val="00922C62"/>
    <w:rsid w:val="00930E37"/>
    <w:rsid w:val="009366CD"/>
    <w:rsid w:val="00942E0D"/>
    <w:rsid w:val="00943937"/>
    <w:rsid w:val="00947CAC"/>
    <w:rsid w:val="0095376C"/>
    <w:rsid w:val="0095699C"/>
    <w:rsid w:val="00963BD2"/>
    <w:rsid w:val="00964EDC"/>
    <w:rsid w:val="009653E8"/>
    <w:rsid w:val="00967897"/>
    <w:rsid w:val="00972537"/>
    <w:rsid w:val="00984127"/>
    <w:rsid w:val="009858BF"/>
    <w:rsid w:val="00985BA2"/>
    <w:rsid w:val="00986893"/>
    <w:rsid w:val="0098799E"/>
    <w:rsid w:val="0099328B"/>
    <w:rsid w:val="009936D0"/>
    <w:rsid w:val="00994444"/>
    <w:rsid w:val="009A3B54"/>
    <w:rsid w:val="009A3C9B"/>
    <w:rsid w:val="009A7D3F"/>
    <w:rsid w:val="009B02E5"/>
    <w:rsid w:val="009B4EBD"/>
    <w:rsid w:val="009B5B6C"/>
    <w:rsid w:val="009B7F96"/>
    <w:rsid w:val="009C263A"/>
    <w:rsid w:val="009D0F21"/>
    <w:rsid w:val="009D34FE"/>
    <w:rsid w:val="009D3649"/>
    <w:rsid w:val="009D6341"/>
    <w:rsid w:val="009E19AB"/>
    <w:rsid w:val="009F07D3"/>
    <w:rsid w:val="009F7137"/>
    <w:rsid w:val="00A01863"/>
    <w:rsid w:val="00A04814"/>
    <w:rsid w:val="00A04F69"/>
    <w:rsid w:val="00A11728"/>
    <w:rsid w:val="00A151E9"/>
    <w:rsid w:val="00A1576F"/>
    <w:rsid w:val="00A1593D"/>
    <w:rsid w:val="00A22107"/>
    <w:rsid w:val="00A227B8"/>
    <w:rsid w:val="00A22F82"/>
    <w:rsid w:val="00A27233"/>
    <w:rsid w:val="00A304A4"/>
    <w:rsid w:val="00A35A35"/>
    <w:rsid w:val="00A3631D"/>
    <w:rsid w:val="00A36D2C"/>
    <w:rsid w:val="00A43972"/>
    <w:rsid w:val="00A47949"/>
    <w:rsid w:val="00A50ED6"/>
    <w:rsid w:val="00A53222"/>
    <w:rsid w:val="00A54EC7"/>
    <w:rsid w:val="00A563AE"/>
    <w:rsid w:val="00A60126"/>
    <w:rsid w:val="00A667D2"/>
    <w:rsid w:val="00A6744E"/>
    <w:rsid w:val="00A72DB0"/>
    <w:rsid w:val="00A72E9C"/>
    <w:rsid w:val="00A73F7A"/>
    <w:rsid w:val="00A770DA"/>
    <w:rsid w:val="00A77590"/>
    <w:rsid w:val="00A821C0"/>
    <w:rsid w:val="00A8488E"/>
    <w:rsid w:val="00A85F13"/>
    <w:rsid w:val="00A908DF"/>
    <w:rsid w:val="00A90CB0"/>
    <w:rsid w:val="00A90EE2"/>
    <w:rsid w:val="00A95165"/>
    <w:rsid w:val="00A95346"/>
    <w:rsid w:val="00A9551A"/>
    <w:rsid w:val="00A96733"/>
    <w:rsid w:val="00A97764"/>
    <w:rsid w:val="00AA0CE1"/>
    <w:rsid w:val="00AA11A2"/>
    <w:rsid w:val="00AA21CF"/>
    <w:rsid w:val="00AA3C64"/>
    <w:rsid w:val="00AA684D"/>
    <w:rsid w:val="00AB0B4A"/>
    <w:rsid w:val="00AB3E98"/>
    <w:rsid w:val="00AC0DC1"/>
    <w:rsid w:val="00AC423B"/>
    <w:rsid w:val="00AC676F"/>
    <w:rsid w:val="00AD2A79"/>
    <w:rsid w:val="00AD6754"/>
    <w:rsid w:val="00AE12FB"/>
    <w:rsid w:val="00AE1F0D"/>
    <w:rsid w:val="00AE49F8"/>
    <w:rsid w:val="00AE6C94"/>
    <w:rsid w:val="00AE77E6"/>
    <w:rsid w:val="00AF21C3"/>
    <w:rsid w:val="00AF304D"/>
    <w:rsid w:val="00AF5748"/>
    <w:rsid w:val="00AF6567"/>
    <w:rsid w:val="00AF65B9"/>
    <w:rsid w:val="00B022B1"/>
    <w:rsid w:val="00B03E50"/>
    <w:rsid w:val="00B119C1"/>
    <w:rsid w:val="00B14554"/>
    <w:rsid w:val="00B21B30"/>
    <w:rsid w:val="00B23033"/>
    <w:rsid w:val="00B26763"/>
    <w:rsid w:val="00B26E26"/>
    <w:rsid w:val="00B306AC"/>
    <w:rsid w:val="00B3170C"/>
    <w:rsid w:val="00B36251"/>
    <w:rsid w:val="00B40F0E"/>
    <w:rsid w:val="00B4531A"/>
    <w:rsid w:val="00B50B18"/>
    <w:rsid w:val="00B511D8"/>
    <w:rsid w:val="00B51D07"/>
    <w:rsid w:val="00B55DE6"/>
    <w:rsid w:val="00B5715C"/>
    <w:rsid w:val="00B67A53"/>
    <w:rsid w:val="00B72881"/>
    <w:rsid w:val="00B741A1"/>
    <w:rsid w:val="00B82E0A"/>
    <w:rsid w:val="00B82E2E"/>
    <w:rsid w:val="00B8792F"/>
    <w:rsid w:val="00B914FF"/>
    <w:rsid w:val="00B93C55"/>
    <w:rsid w:val="00BA1446"/>
    <w:rsid w:val="00BA14F7"/>
    <w:rsid w:val="00BA2224"/>
    <w:rsid w:val="00BA4BF0"/>
    <w:rsid w:val="00BA623F"/>
    <w:rsid w:val="00BB30C5"/>
    <w:rsid w:val="00BB4F54"/>
    <w:rsid w:val="00BB57B9"/>
    <w:rsid w:val="00BB5F88"/>
    <w:rsid w:val="00BC2889"/>
    <w:rsid w:val="00BC6311"/>
    <w:rsid w:val="00BD3AF1"/>
    <w:rsid w:val="00BD6040"/>
    <w:rsid w:val="00BE094D"/>
    <w:rsid w:val="00BE39B5"/>
    <w:rsid w:val="00BF1185"/>
    <w:rsid w:val="00BF1335"/>
    <w:rsid w:val="00BF2886"/>
    <w:rsid w:val="00BF3EF8"/>
    <w:rsid w:val="00BF4092"/>
    <w:rsid w:val="00C00B38"/>
    <w:rsid w:val="00C02AB5"/>
    <w:rsid w:val="00C05DEB"/>
    <w:rsid w:val="00C11EE0"/>
    <w:rsid w:val="00C12BED"/>
    <w:rsid w:val="00C14F00"/>
    <w:rsid w:val="00C160EB"/>
    <w:rsid w:val="00C2084E"/>
    <w:rsid w:val="00C2085C"/>
    <w:rsid w:val="00C22D5D"/>
    <w:rsid w:val="00C278C7"/>
    <w:rsid w:val="00C30D7B"/>
    <w:rsid w:val="00C31CFE"/>
    <w:rsid w:val="00C32875"/>
    <w:rsid w:val="00C36BC1"/>
    <w:rsid w:val="00C42FAF"/>
    <w:rsid w:val="00C4307D"/>
    <w:rsid w:val="00C47517"/>
    <w:rsid w:val="00C47AAF"/>
    <w:rsid w:val="00C5168C"/>
    <w:rsid w:val="00C52DB3"/>
    <w:rsid w:val="00C52F1B"/>
    <w:rsid w:val="00C53A16"/>
    <w:rsid w:val="00C56145"/>
    <w:rsid w:val="00C5658A"/>
    <w:rsid w:val="00C622B3"/>
    <w:rsid w:val="00C632DF"/>
    <w:rsid w:val="00C6387F"/>
    <w:rsid w:val="00C76C68"/>
    <w:rsid w:val="00C832AD"/>
    <w:rsid w:val="00C83F16"/>
    <w:rsid w:val="00C84EA5"/>
    <w:rsid w:val="00C85EE6"/>
    <w:rsid w:val="00C91345"/>
    <w:rsid w:val="00C92BB5"/>
    <w:rsid w:val="00C94E02"/>
    <w:rsid w:val="00C96AA1"/>
    <w:rsid w:val="00CA08A7"/>
    <w:rsid w:val="00CA1FB8"/>
    <w:rsid w:val="00CB6B1B"/>
    <w:rsid w:val="00CC21A2"/>
    <w:rsid w:val="00CC62AE"/>
    <w:rsid w:val="00CC6712"/>
    <w:rsid w:val="00CC69E7"/>
    <w:rsid w:val="00CD09A9"/>
    <w:rsid w:val="00CD1531"/>
    <w:rsid w:val="00CD3664"/>
    <w:rsid w:val="00CD40C8"/>
    <w:rsid w:val="00CD75B1"/>
    <w:rsid w:val="00CD7B39"/>
    <w:rsid w:val="00CE6EB2"/>
    <w:rsid w:val="00CF3D27"/>
    <w:rsid w:val="00CF5084"/>
    <w:rsid w:val="00CF742B"/>
    <w:rsid w:val="00CF7D9E"/>
    <w:rsid w:val="00D038FA"/>
    <w:rsid w:val="00D04560"/>
    <w:rsid w:val="00D05BED"/>
    <w:rsid w:val="00D06D4D"/>
    <w:rsid w:val="00D0759B"/>
    <w:rsid w:val="00D07DEC"/>
    <w:rsid w:val="00D1369A"/>
    <w:rsid w:val="00D15CE6"/>
    <w:rsid w:val="00D17402"/>
    <w:rsid w:val="00D21A28"/>
    <w:rsid w:val="00D243D2"/>
    <w:rsid w:val="00D25332"/>
    <w:rsid w:val="00D25C12"/>
    <w:rsid w:val="00D33710"/>
    <w:rsid w:val="00D34AED"/>
    <w:rsid w:val="00D34E82"/>
    <w:rsid w:val="00D3560F"/>
    <w:rsid w:val="00D36C2D"/>
    <w:rsid w:val="00D470E2"/>
    <w:rsid w:val="00D472CF"/>
    <w:rsid w:val="00D50711"/>
    <w:rsid w:val="00D61AAA"/>
    <w:rsid w:val="00D620A6"/>
    <w:rsid w:val="00D62BAF"/>
    <w:rsid w:val="00D6351B"/>
    <w:rsid w:val="00D65D99"/>
    <w:rsid w:val="00D65EE0"/>
    <w:rsid w:val="00D66599"/>
    <w:rsid w:val="00D7108A"/>
    <w:rsid w:val="00D7243F"/>
    <w:rsid w:val="00D72488"/>
    <w:rsid w:val="00D73FD7"/>
    <w:rsid w:val="00D752D0"/>
    <w:rsid w:val="00D76A5D"/>
    <w:rsid w:val="00D805B7"/>
    <w:rsid w:val="00D81A66"/>
    <w:rsid w:val="00D83C38"/>
    <w:rsid w:val="00D83D76"/>
    <w:rsid w:val="00D9067E"/>
    <w:rsid w:val="00D954E3"/>
    <w:rsid w:val="00D971CC"/>
    <w:rsid w:val="00D977D9"/>
    <w:rsid w:val="00DA30A1"/>
    <w:rsid w:val="00DA64D3"/>
    <w:rsid w:val="00DA7AA5"/>
    <w:rsid w:val="00DB0876"/>
    <w:rsid w:val="00DB20FA"/>
    <w:rsid w:val="00DB38C3"/>
    <w:rsid w:val="00DB3B6B"/>
    <w:rsid w:val="00DB46DE"/>
    <w:rsid w:val="00DC0B03"/>
    <w:rsid w:val="00DC2CF5"/>
    <w:rsid w:val="00DC3971"/>
    <w:rsid w:val="00DC6898"/>
    <w:rsid w:val="00DD298C"/>
    <w:rsid w:val="00DD7444"/>
    <w:rsid w:val="00DE1325"/>
    <w:rsid w:val="00DE431A"/>
    <w:rsid w:val="00DF1F03"/>
    <w:rsid w:val="00DF615E"/>
    <w:rsid w:val="00DF6A91"/>
    <w:rsid w:val="00DF72B0"/>
    <w:rsid w:val="00DF7620"/>
    <w:rsid w:val="00E05278"/>
    <w:rsid w:val="00E0694B"/>
    <w:rsid w:val="00E0717A"/>
    <w:rsid w:val="00E07F7F"/>
    <w:rsid w:val="00E10219"/>
    <w:rsid w:val="00E13033"/>
    <w:rsid w:val="00E13068"/>
    <w:rsid w:val="00E15689"/>
    <w:rsid w:val="00E23151"/>
    <w:rsid w:val="00E34A6D"/>
    <w:rsid w:val="00E34CE4"/>
    <w:rsid w:val="00E36AF7"/>
    <w:rsid w:val="00E414E5"/>
    <w:rsid w:val="00E448C9"/>
    <w:rsid w:val="00E4530D"/>
    <w:rsid w:val="00E647D2"/>
    <w:rsid w:val="00E713EB"/>
    <w:rsid w:val="00E727E9"/>
    <w:rsid w:val="00E73B04"/>
    <w:rsid w:val="00E74F41"/>
    <w:rsid w:val="00E807A8"/>
    <w:rsid w:val="00E81084"/>
    <w:rsid w:val="00E81775"/>
    <w:rsid w:val="00E826F1"/>
    <w:rsid w:val="00E832D7"/>
    <w:rsid w:val="00E8336A"/>
    <w:rsid w:val="00E919F1"/>
    <w:rsid w:val="00E91DAC"/>
    <w:rsid w:val="00E96A0C"/>
    <w:rsid w:val="00EA2A66"/>
    <w:rsid w:val="00EA2CCE"/>
    <w:rsid w:val="00EA3660"/>
    <w:rsid w:val="00EA3DCC"/>
    <w:rsid w:val="00EA5A6C"/>
    <w:rsid w:val="00EB0BD9"/>
    <w:rsid w:val="00EB4C66"/>
    <w:rsid w:val="00EB64DF"/>
    <w:rsid w:val="00EB78AC"/>
    <w:rsid w:val="00EC189A"/>
    <w:rsid w:val="00EC283B"/>
    <w:rsid w:val="00ED3421"/>
    <w:rsid w:val="00EE385D"/>
    <w:rsid w:val="00EE387E"/>
    <w:rsid w:val="00EE39C2"/>
    <w:rsid w:val="00EE4F5E"/>
    <w:rsid w:val="00EE6A63"/>
    <w:rsid w:val="00EF55A6"/>
    <w:rsid w:val="00EF7FD5"/>
    <w:rsid w:val="00F02FBC"/>
    <w:rsid w:val="00F04BFA"/>
    <w:rsid w:val="00F120BE"/>
    <w:rsid w:val="00F13E74"/>
    <w:rsid w:val="00F150B3"/>
    <w:rsid w:val="00F1672E"/>
    <w:rsid w:val="00F16D02"/>
    <w:rsid w:val="00F1783E"/>
    <w:rsid w:val="00F20AF4"/>
    <w:rsid w:val="00F20F78"/>
    <w:rsid w:val="00F22A51"/>
    <w:rsid w:val="00F26EBE"/>
    <w:rsid w:val="00F34000"/>
    <w:rsid w:val="00F400DB"/>
    <w:rsid w:val="00F410E4"/>
    <w:rsid w:val="00F410F2"/>
    <w:rsid w:val="00F43CAA"/>
    <w:rsid w:val="00F46CD8"/>
    <w:rsid w:val="00F476AE"/>
    <w:rsid w:val="00F52DED"/>
    <w:rsid w:val="00F55796"/>
    <w:rsid w:val="00F56978"/>
    <w:rsid w:val="00F601DF"/>
    <w:rsid w:val="00F648B3"/>
    <w:rsid w:val="00F668B2"/>
    <w:rsid w:val="00F70265"/>
    <w:rsid w:val="00F707CE"/>
    <w:rsid w:val="00F72FA5"/>
    <w:rsid w:val="00F73D21"/>
    <w:rsid w:val="00F74855"/>
    <w:rsid w:val="00F77A52"/>
    <w:rsid w:val="00F824D1"/>
    <w:rsid w:val="00F87691"/>
    <w:rsid w:val="00F91811"/>
    <w:rsid w:val="00F91E5D"/>
    <w:rsid w:val="00F928CD"/>
    <w:rsid w:val="00F962A9"/>
    <w:rsid w:val="00F97240"/>
    <w:rsid w:val="00FA6D11"/>
    <w:rsid w:val="00FA714D"/>
    <w:rsid w:val="00FA7416"/>
    <w:rsid w:val="00FA7FFC"/>
    <w:rsid w:val="00FB3718"/>
    <w:rsid w:val="00FB5687"/>
    <w:rsid w:val="00FB620B"/>
    <w:rsid w:val="00FB6874"/>
    <w:rsid w:val="00FC12EA"/>
    <w:rsid w:val="00FC419F"/>
    <w:rsid w:val="00FC440D"/>
    <w:rsid w:val="00FD010E"/>
    <w:rsid w:val="00FD3546"/>
    <w:rsid w:val="00FD4046"/>
    <w:rsid w:val="00FD6A13"/>
    <w:rsid w:val="00FE121C"/>
    <w:rsid w:val="00FE2BFC"/>
    <w:rsid w:val="00FE5F9C"/>
    <w:rsid w:val="00FF3575"/>
    <w:rsid w:val="00FF3846"/>
    <w:rsid w:val="00FF70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6EB2"/>
    <w:rPr>
      <w:sz w:val="24"/>
      <w:szCs w:val="24"/>
    </w:rPr>
  </w:style>
  <w:style w:type="paragraph" w:styleId="Heading1">
    <w:name w:val="heading 1"/>
    <w:basedOn w:val="Normal"/>
    <w:qFormat/>
    <w:rsid w:val="00CE6EB2"/>
    <w:pPr>
      <w:spacing w:before="100" w:beforeAutospacing="1" w:after="100" w:afterAutospacing="1"/>
      <w:outlineLvl w:val="0"/>
    </w:pPr>
    <w:rPr>
      <w:b/>
      <w:bCs/>
      <w:kern w:val="36"/>
      <w:sz w:val="48"/>
      <w:szCs w:val="48"/>
    </w:rPr>
  </w:style>
  <w:style w:type="paragraph" w:styleId="Heading2">
    <w:name w:val="heading 2"/>
    <w:basedOn w:val="Normal"/>
    <w:qFormat/>
    <w:rsid w:val="00CE6EB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6E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CE6EB2"/>
    <w:rPr>
      <w:sz w:val="20"/>
      <w:szCs w:val="20"/>
    </w:rPr>
  </w:style>
  <w:style w:type="character" w:styleId="FootnoteReference">
    <w:name w:val="footnote reference"/>
    <w:semiHidden/>
    <w:rsid w:val="00CE6EB2"/>
    <w:rPr>
      <w:vertAlign w:val="superscript"/>
    </w:rPr>
  </w:style>
  <w:style w:type="paragraph" w:styleId="Footer">
    <w:name w:val="footer"/>
    <w:basedOn w:val="Normal"/>
    <w:rsid w:val="00CE6EB2"/>
    <w:pPr>
      <w:tabs>
        <w:tab w:val="center" w:pos="4320"/>
        <w:tab w:val="right" w:pos="8640"/>
      </w:tabs>
    </w:pPr>
  </w:style>
  <w:style w:type="character" w:styleId="PageNumber">
    <w:name w:val="page number"/>
    <w:basedOn w:val="DefaultParagraphFont"/>
    <w:rsid w:val="00CE6EB2"/>
  </w:style>
  <w:style w:type="character" w:styleId="Hyperlink">
    <w:name w:val="Hyperlink"/>
    <w:rsid w:val="00CE6EB2"/>
    <w:rPr>
      <w:color w:val="0000FF"/>
      <w:u w:val="single"/>
    </w:rPr>
  </w:style>
  <w:style w:type="paragraph" w:styleId="HTMLPreformatted">
    <w:name w:val="HTML Preformatted"/>
    <w:basedOn w:val="Normal"/>
    <w:rsid w:val="00CE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Indent">
    <w:name w:val="Body Text Indent"/>
    <w:basedOn w:val="Normal"/>
    <w:rsid w:val="00CE6EB2"/>
    <w:pPr>
      <w:spacing w:before="40"/>
      <w:ind w:left="-90"/>
    </w:pPr>
    <w:rPr>
      <w:szCs w:val="20"/>
    </w:rPr>
  </w:style>
  <w:style w:type="paragraph" w:customStyle="1" w:styleId="Default">
    <w:name w:val="Default"/>
    <w:rsid w:val="00CE6EB2"/>
    <w:pPr>
      <w:autoSpaceDE w:val="0"/>
      <w:autoSpaceDN w:val="0"/>
      <w:adjustRightInd w:val="0"/>
    </w:pPr>
    <w:rPr>
      <w:color w:val="000000"/>
      <w:sz w:val="24"/>
      <w:szCs w:val="24"/>
    </w:rPr>
  </w:style>
  <w:style w:type="paragraph" w:styleId="CommentText">
    <w:name w:val="annotation text"/>
    <w:basedOn w:val="Normal"/>
    <w:link w:val="CommentTextChar"/>
    <w:uiPriority w:val="99"/>
    <w:semiHidden/>
    <w:rsid w:val="00CE6EB2"/>
    <w:rPr>
      <w:sz w:val="20"/>
      <w:szCs w:val="20"/>
    </w:rPr>
  </w:style>
  <w:style w:type="paragraph" w:styleId="Header">
    <w:name w:val="header"/>
    <w:basedOn w:val="Normal"/>
    <w:link w:val="HeaderChar"/>
    <w:rsid w:val="003B17CE"/>
    <w:pPr>
      <w:tabs>
        <w:tab w:val="center" w:pos="4680"/>
        <w:tab w:val="right" w:pos="9360"/>
      </w:tabs>
    </w:pPr>
  </w:style>
  <w:style w:type="character" w:customStyle="1" w:styleId="HeaderChar">
    <w:name w:val="Header Char"/>
    <w:link w:val="Header"/>
    <w:rsid w:val="003B17CE"/>
    <w:rPr>
      <w:sz w:val="24"/>
      <w:szCs w:val="24"/>
    </w:rPr>
  </w:style>
  <w:style w:type="paragraph" w:styleId="ListParagraph">
    <w:name w:val="List Paragraph"/>
    <w:basedOn w:val="Normal"/>
    <w:uiPriority w:val="34"/>
    <w:qFormat/>
    <w:rsid w:val="003B17CE"/>
    <w:pPr>
      <w:ind w:left="720"/>
    </w:pPr>
  </w:style>
  <w:style w:type="character" w:styleId="CommentReference">
    <w:name w:val="annotation reference"/>
    <w:uiPriority w:val="99"/>
    <w:rsid w:val="00D243D2"/>
    <w:rPr>
      <w:sz w:val="16"/>
      <w:szCs w:val="16"/>
    </w:rPr>
  </w:style>
  <w:style w:type="paragraph" w:styleId="CommentSubject">
    <w:name w:val="annotation subject"/>
    <w:basedOn w:val="CommentText"/>
    <w:next w:val="CommentText"/>
    <w:link w:val="CommentSubjectChar"/>
    <w:rsid w:val="00D243D2"/>
    <w:rPr>
      <w:b/>
      <w:bCs/>
    </w:rPr>
  </w:style>
  <w:style w:type="character" w:customStyle="1" w:styleId="CommentTextChar">
    <w:name w:val="Comment Text Char"/>
    <w:basedOn w:val="DefaultParagraphFont"/>
    <w:link w:val="CommentText"/>
    <w:uiPriority w:val="99"/>
    <w:semiHidden/>
    <w:rsid w:val="00D243D2"/>
  </w:style>
  <w:style w:type="character" w:customStyle="1" w:styleId="CommentSubjectChar">
    <w:name w:val="Comment Subject Char"/>
    <w:basedOn w:val="CommentTextChar"/>
    <w:link w:val="CommentSubject"/>
    <w:rsid w:val="00D243D2"/>
  </w:style>
  <w:style w:type="paragraph" w:styleId="BalloonText">
    <w:name w:val="Balloon Text"/>
    <w:basedOn w:val="Normal"/>
    <w:link w:val="BalloonTextChar"/>
    <w:rsid w:val="00D243D2"/>
    <w:rPr>
      <w:rFonts w:ascii="Tahoma" w:hAnsi="Tahoma"/>
      <w:sz w:val="16"/>
      <w:szCs w:val="16"/>
    </w:rPr>
  </w:style>
  <w:style w:type="character" w:customStyle="1" w:styleId="BalloonTextChar">
    <w:name w:val="Balloon Text Char"/>
    <w:link w:val="BalloonText"/>
    <w:rsid w:val="00D243D2"/>
    <w:rPr>
      <w:rFonts w:ascii="Tahoma" w:hAnsi="Tahoma" w:cs="Tahoma"/>
      <w:sz w:val="16"/>
      <w:szCs w:val="16"/>
    </w:rPr>
  </w:style>
  <w:style w:type="character" w:styleId="FollowedHyperlink">
    <w:name w:val="FollowedHyperlink"/>
    <w:rsid w:val="008D0EC0"/>
    <w:rPr>
      <w:color w:val="800080"/>
      <w:u w:val="single"/>
    </w:rPr>
  </w:style>
  <w:style w:type="paragraph" w:styleId="Revision">
    <w:name w:val="Revision"/>
    <w:hidden/>
    <w:uiPriority w:val="99"/>
    <w:semiHidden/>
    <w:rsid w:val="00B50B18"/>
    <w:rPr>
      <w:sz w:val="24"/>
      <w:szCs w:val="24"/>
    </w:rPr>
  </w:style>
  <w:style w:type="paragraph" w:styleId="NormalWeb">
    <w:name w:val="Normal (Web)"/>
    <w:basedOn w:val="Normal"/>
    <w:uiPriority w:val="99"/>
    <w:unhideWhenUsed/>
    <w:rsid w:val="00723F37"/>
    <w:pPr>
      <w:spacing w:before="100" w:beforeAutospacing="1" w:after="100" w:afterAutospacing="1"/>
    </w:pPr>
  </w:style>
  <w:style w:type="paragraph" w:customStyle="1" w:styleId="s4-wptoptable1">
    <w:name w:val="s4-wptoptable1"/>
    <w:basedOn w:val="Normal"/>
    <w:rsid w:val="00723F3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2504097">
      <w:bodyDiv w:val="1"/>
      <w:marLeft w:val="0"/>
      <w:marRight w:val="0"/>
      <w:marTop w:val="0"/>
      <w:marBottom w:val="0"/>
      <w:divBdr>
        <w:top w:val="none" w:sz="0" w:space="0" w:color="auto"/>
        <w:left w:val="none" w:sz="0" w:space="0" w:color="auto"/>
        <w:bottom w:val="none" w:sz="0" w:space="0" w:color="auto"/>
        <w:right w:val="none" w:sz="0" w:space="0" w:color="auto"/>
      </w:divBdr>
      <w:divsChild>
        <w:div w:id="1034572853">
          <w:marLeft w:val="0"/>
          <w:marRight w:val="0"/>
          <w:marTop w:val="0"/>
          <w:marBottom w:val="0"/>
          <w:divBdr>
            <w:top w:val="none" w:sz="0" w:space="0" w:color="auto"/>
            <w:left w:val="none" w:sz="0" w:space="0" w:color="auto"/>
            <w:bottom w:val="none" w:sz="0" w:space="0" w:color="auto"/>
            <w:right w:val="none" w:sz="0" w:space="0" w:color="auto"/>
          </w:divBdr>
          <w:divsChild>
            <w:div w:id="1618558081">
              <w:marLeft w:val="0"/>
              <w:marRight w:val="0"/>
              <w:marTop w:val="0"/>
              <w:marBottom w:val="0"/>
              <w:divBdr>
                <w:top w:val="none" w:sz="0" w:space="0" w:color="auto"/>
                <w:left w:val="none" w:sz="0" w:space="0" w:color="auto"/>
                <w:bottom w:val="none" w:sz="0" w:space="0" w:color="auto"/>
                <w:right w:val="none" w:sz="0" w:space="0" w:color="auto"/>
              </w:divBdr>
              <w:divsChild>
                <w:div w:id="1418214113">
                  <w:marLeft w:val="0"/>
                  <w:marRight w:val="0"/>
                  <w:marTop w:val="0"/>
                  <w:marBottom w:val="0"/>
                  <w:divBdr>
                    <w:top w:val="none" w:sz="0" w:space="0" w:color="auto"/>
                    <w:left w:val="none" w:sz="0" w:space="0" w:color="auto"/>
                    <w:bottom w:val="none" w:sz="0" w:space="0" w:color="auto"/>
                    <w:right w:val="none" w:sz="0" w:space="0" w:color="auto"/>
                  </w:divBdr>
                  <w:divsChild>
                    <w:div w:id="903836195">
                      <w:marLeft w:val="0"/>
                      <w:marRight w:val="0"/>
                      <w:marTop w:val="0"/>
                      <w:marBottom w:val="0"/>
                      <w:divBdr>
                        <w:top w:val="none" w:sz="0" w:space="0" w:color="auto"/>
                        <w:left w:val="none" w:sz="0" w:space="0" w:color="auto"/>
                        <w:bottom w:val="none" w:sz="0" w:space="0" w:color="auto"/>
                        <w:right w:val="none" w:sz="0" w:space="0" w:color="auto"/>
                      </w:divBdr>
                      <w:divsChild>
                        <w:div w:id="2056389173">
                          <w:marLeft w:val="0"/>
                          <w:marRight w:val="0"/>
                          <w:marTop w:val="0"/>
                          <w:marBottom w:val="0"/>
                          <w:divBdr>
                            <w:top w:val="none" w:sz="0" w:space="0" w:color="auto"/>
                            <w:left w:val="none" w:sz="0" w:space="0" w:color="auto"/>
                            <w:bottom w:val="none" w:sz="0" w:space="0" w:color="auto"/>
                            <w:right w:val="none" w:sz="0" w:space="0" w:color="auto"/>
                          </w:divBdr>
                          <w:divsChild>
                            <w:div w:id="1243368850">
                              <w:marLeft w:val="0"/>
                              <w:marRight w:val="0"/>
                              <w:marTop w:val="0"/>
                              <w:marBottom w:val="0"/>
                              <w:divBdr>
                                <w:top w:val="none" w:sz="0" w:space="0" w:color="auto"/>
                                <w:left w:val="none" w:sz="0" w:space="0" w:color="auto"/>
                                <w:bottom w:val="none" w:sz="0" w:space="0" w:color="auto"/>
                                <w:right w:val="none" w:sz="0" w:space="0" w:color="auto"/>
                              </w:divBdr>
                              <w:divsChild>
                                <w:div w:id="1278873266">
                                  <w:marLeft w:val="0"/>
                                  <w:marRight w:val="0"/>
                                  <w:marTop w:val="0"/>
                                  <w:marBottom w:val="0"/>
                                  <w:divBdr>
                                    <w:top w:val="none" w:sz="0" w:space="0" w:color="auto"/>
                                    <w:left w:val="none" w:sz="0" w:space="0" w:color="auto"/>
                                    <w:bottom w:val="none" w:sz="0" w:space="0" w:color="auto"/>
                                    <w:right w:val="none" w:sz="0" w:space="0" w:color="auto"/>
                                  </w:divBdr>
                                  <w:divsChild>
                                    <w:div w:id="1069158903">
                                      <w:marLeft w:val="0"/>
                                      <w:marRight w:val="0"/>
                                      <w:marTop w:val="0"/>
                                      <w:marBottom w:val="0"/>
                                      <w:divBdr>
                                        <w:top w:val="none" w:sz="0" w:space="0" w:color="auto"/>
                                        <w:left w:val="none" w:sz="0" w:space="0" w:color="auto"/>
                                        <w:bottom w:val="none" w:sz="0" w:space="0" w:color="auto"/>
                                        <w:right w:val="none" w:sz="0" w:space="0" w:color="auto"/>
                                      </w:divBdr>
                                      <w:divsChild>
                                        <w:div w:id="1469473447">
                                          <w:marLeft w:val="0"/>
                                          <w:marRight w:val="0"/>
                                          <w:marTop w:val="0"/>
                                          <w:marBottom w:val="0"/>
                                          <w:divBdr>
                                            <w:top w:val="none" w:sz="0" w:space="0" w:color="auto"/>
                                            <w:left w:val="none" w:sz="0" w:space="0" w:color="auto"/>
                                            <w:bottom w:val="none" w:sz="0" w:space="0" w:color="auto"/>
                                            <w:right w:val="none" w:sz="0" w:space="0" w:color="auto"/>
                                          </w:divBdr>
                                          <w:divsChild>
                                            <w:div w:id="472019601">
                                              <w:marLeft w:val="0"/>
                                              <w:marRight w:val="0"/>
                                              <w:marTop w:val="0"/>
                                              <w:marBottom w:val="0"/>
                                              <w:divBdr>
                                                <w:top w:val="none" w:sz="0" w:space="0" w:color="auto"/>
                                                <w:left w:val="none" w:sz="0" w:space="0" w:color="auto"/>
                                                <w:bottom w:val="none" w:sz="0" w:space="0" w:color="auto"/>
                                                <w:right w:val="none" w:sz="0" w:space="0" w:color="auto"/>
                                              </w:divBdr>
                                              <w:divsChild>
                                                <w:div w:id="433090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664812">
      <w:bodyDiv w:val="1"/>
      <w:marLeft w:val="0"/>
      <w:marRight w:val="0"/>
      <w:marTop w:val="0"/>
      <w:marBottom w:val="0"/>
      <w:divBdr>
        <w:top w:val="none" w:sz="0" w:space="0" w:color="auto"/>
        <w:left w:val="none" w:sz="0" w:space="0" w:color="auto"/>
        <w:bottom w:val="none" w:sz="0" w:space="0" w:color="auto"/>
        <w:right w:val="none" w:sz="0" w:space="0" w:color="auto"/>
      </w:divBdr>
      <w:divsChild>
        <w:div w:id="894974600">
          <w:marLeft w:val="0"/>
          <w:marRight w:val="0"/>
          <w:marTop w:val="0"/>
          <w:marBottom w:val="0"/>
          <w:divBdr>
            <w:top w:val="none" w:sz="0" w:space="0" w:color="auto"/>
            <w:left w:val="none" w:sz="0" w:space="0" w:color="auto"/>
            <w:bottom w:val="none" w:sz="0" w:space="0" w:color="auto"/>
            <w:right w:val="none" w:sz="0" w:space="0" w:color="auto"/>
          </w:divBdr>
          <w:divsChild>
            <w:div w:id="577178966">
              <w:marLeft w:val="0"/>
              <w:marRight w:val="0"/>
              <w:marTop w:val="0"/>
              <w:marBottom w:val="0"/>
              <w:divBdr>
                <w:top w:val="none" w:sz="0" w:space="0" w:color="auto"/>
                <w:left w:val="none" w:sz="0" w:space="0" w:color="auto"/>
                <w:bottom w:val="none" w:sz="0" w:space="0" w:color="auto"/>
                <w:right w:val="none" w:sz="0" w:space="0" w:color="auto"/>
              </w:divBdr>
              <w:divsChild>
                <w:div w:id="1980525116">
                  <w:marLeft w:val="0"/>
                  <w:marRight w:val="0"/>
                  <w:marTop w:val="0"/>
                  <w:marBottom w:val="0"/>
                  <w:divBdr>
                    <w:top w:val="none" w:sz="0" w:space="0" w:color="auto"/>
                    <w:left w:val="none" w:sz="0" w:space="0" w:color="auto"/>
                    <w:bottom w:val="none" w:sz="0" w:space="0" w:color="auto"/>
                    <w:right w:val="none" w:sz="0" w:space="0" w:color="auto"/>
                  </w:divBdr>
                  <w:divsChild>
                    <w:div w:id="985092098">
                      <w:marLeft w:val="0"/>
                      <w:marRight w:val="0"/>
                      <w:marTop w:val="0"/>
                      <w:marBottom w:val="0"/>
                      <w:divBdr>
                        <w:top w:val="none" w:sz="0" w:space="0" w:color="auto"/>
                        <w:left w:val="none" w:sz="0" w:space="0" w:color="auto"/>
                        <w:bottom w:val="none" w:sz="0" w:space="0" w:color="auto"/>
                        <w:right w:val="none" w:sz="0" w:space="0" w:color="auto"/>
                      </w:divBdr>
                      <w:divsChild>
                        <w:div w:id="9110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579395">
      <w:bodyDiv w:val="1"/>
      <w:marLeft w:val="0"/>
      <w:marRight w:val="0"/>
      <w:marTop w:val="0"/>
      <w:marBottom w:val="0"/>
      <w:divBdr>
        <w:top w:val="none" w:sz="0" w:space="0" w:color="auto"/>
        <w:left w:val="none" w:sz="0" w:space="0" w:color="auto"/>
        <w:bottom w:val="none" w:sz="0" w:space="0" w:color="auto"/>
        <w:right w:val="none" w:sz="0" w:space="0" w:color="auto"/>
      </w:divBdr>
    </w:div>
    <w:div w:id="630475441">
      <w:bodyDiv w:val="1"/>
      <w:marLeft w:val="0"/>
      <w:marRight w:val="0"/>
      <w:marTop w:val="0"/>
      <w:marBottom w:val="0"/>
      <w:divBdr>
        <w:top w:val="none" w:sz="0" w:space="0" w:color="auto"/>
        <w:left w:val="none" w:sz="0" w:space="0" w:color="auto"/>
        <w:bottom w:val="none" w:sz="0" w:space="0" w:color="auto"/>
        <w:right w:val="none" w:sz="0" w:space="0" w:color="auto"/>
      </w:divBdr>
      <w:divsChild>
        <w:div w:id="130641038">
          <w:marLeft w:val="0"/>
          <w:marRight w:val="0"/>
          <w:marTop w:val="0"/>
          <w:marBottom w:val="0"/>
          <w:divBdr>
            <w:top w:val="none" w:sz="0" w:space="0" w:color="auto"/>
            <w:left w:val="none" w:sz="0" w:space="0" w:color="auto"/>
            <w:bottom w:val="none" w:sz="0" w:space="0" w:color="auto"/>
            <w:right w:val="none" w:sz="0" w:space="0" w:color="auto"/>
          </w:divBdr>
          <w:divsChild>
            <w:div w:id="375660036">
              <w:marLeft w:val="0"/>
              <w:marRight w:val="0"/>
              <w:marTop w:val="0"/>
              <w:marBottom w:val="0"/>
              <w:divBdr>
                <w:top w:val="none" w:sz="0" w:space="0" w:color="auto"/>
                <w:left w:val="none" w:sz="0" w:space="0" w:color="auto"/>
                <w:bottom w:val="none" w:sz="0" w:space="0" w:color="auto"/>
                <w:right w:val="none" w:sz="0" w:space="0" w:color="auto"/>
              </w:divBdr>
              <w:divsChild>
                <w:div w:id="412816653">
                  <w:marLeft w:val="0"/>
                  <w:marRight w:val="0"/>
                  <w:marTop w:val="0"/>
                  <w:marBottom w:val="0"/>
                  <w:divBdr>
                    <w:top w:val="none" w:sz="0" w:space="0" w:color="auto"/>
                    <w:left w:val="none" w:sz="0" w:space="0" w:color="auto"/>
                    <w:bottom w:val="none" w:sz="0" w:space="0" w:color="auto"/>
                    <w:right w:val="none" w:sz="0" w:space="0" w:color="auto"/>
                  </w:divBdr>
                  <w:divsChild>
                    <w:div w:id="702368350">
                      <w:marLeft w:val="0"/>
                      <w:marRight w:val="0"/>
                      <w:marTop w:val="0"/>
                      <w:marBottom w:val="0"/>
                      <w:divBdr>
                        <w:top w:val="none" w:sz="0" w:space="0" w:color="auto"/>
                        <w:left w:val="none" w:sz="0" w:space="0" w:color="auto"/>
                        <w:bottom w:val="none" w:sz="0" w:space="0" w:color="auto"/>
                        <w:right w:val="none" w:sz="0" w:space="0" w:color="auto"/>
                      </w:divBdr>
                      <w:divsChild>
                        <w:div w:id="1133984860">
                          <w:marLeft w:val="0"/>
                          <w:marRight w:val="0"/>
                          <w:marTop w:val="0"/>
                          <w:marBottom w:val="0"/>
                          <w:divBdr>
                            <w:top w:val="none" w:sz="0" w:space="0" w:color="auto"/>
                            <w:left w:val="none" w:sz="0" w:space="0" w:color="auto"/>
                            <w:bottom w:val="none" w:sz="0" w:space="0" w:color="auto"/>
                            <w:right w:val="none" w:sz="0" w:space="0" w:color="auto"/>
                          </w:divBdr>
                          <w:divsChild>
                            <w:div w:id="1457025430">
                              <w:marLeft w:val="0"/>
                              <w:marRight w:val="0"/>
                              <w:marTop w:val="0"/>
                              <w:marBottom w:val="0"/>
                              <w:divBdr>
                                <w:top w:val="none" w:sz="0" w:space="0" w:color="auto"/>
                                <w:left w:val="none" w:sz="0" w:space="0" w:color="auto"/>
                                <w:bottom w:val="none" w:sz="0" w:space="0" w:color="auto"/>
                                <w:right w:val="none" w:sz="0" w:space="0" w:color="auto"/>
                              </w:divBdr>
                              <w:divsChild>
                                <w:div w:id="1908802452">
                                  <w:marLeft w:val="0"/>
                                  <w:marRight w:val="0"/>
                                  <w:marTop w:val="0"/>
                                  <w:marBottom w:val="0"/>
                                  <w:divBdr>
                                    <w:top w:val="none" w:sz="0" w:space="0" w:color="auto"/>
                                    <w:left w:val="none" w:sz="0" w:space="0" w:color="auto"/>
                                    <w:bottom w:val="none" w:sz="0" w:space="0" w:color="auto"/>
                                    <w:right w:val="none" w:sz="0" w:space="0" w:color="auto"/>
                                  </w:divBdr>
                                  <w:divsChild>
                                    <w:div w:id="423919281">
                                      <w:marLeft w:val="0"/>
                                      <w:marRight w:val="0"/>
                                      <w:marTop w:val="0"/>
                                      <w:marBottom w:val="0"/>
                                      <w:divBdr>
                                        <w:top w:val="none" w:sz="0" w:space="0" w:color="auto"/>
                                        <w:left w:val="none" w:sz="0" w:space="0" w:color="auto"/>
                                        <w:bottom w:val="none" w:sz="0" w:space="0" w:color="auto"/>
                                        <w:right w:val="none" w:sz="0" w:space="0" w:color="auto"/>
                                      </w:divBdr>
                                      <w:divsChild>
                                        <w:div w:id="1715227971">
                                          <w:marLeft w:val="0"/>
                                          <w:marRight w:val="0"/>
                                          <w:marTop w:val="0"/>
                                          <w:marBottom w:val="0"/>
                                          <w:divBdr>
                                            <w:top w:val="none" w:sz="0" w:space="0" w:color="auto"/>
                                            <w:left w:val="none" w:sz="0" w:space="0" w:color="auto"/>
                                            <w:bottom w:val="none" w:sz="0" w:space="0" w:color="auto"/>
                                            <w:right w:val="none" w:sz="0" w:space="0" w:color="auto"/>
                                          </w:divBdr>
                                          <w:divsChild>
                                            <w:div w:id="1711343716">
                                              <w:marLeft w:val="0"/>
                                              <w:marRight w:val="0"/>
                                              <w:marTop w:val="0"/>
                                              <w:marBottom w:val="0"/>
                                              <w:divBdr>
                                                <w:top w:val="none" w:sz="0" w:space="0" w:color="auto"/>
                                                <w:left w:val="none" w:sz="0" w:space="0" w:color="auto"/>
                                                <w:bottom w:val="none" w:sz="0" w:space="0" w:color="auto"/>
                                                <w:right w:val="none" w:sz="0" w:space="0" w:color="auto"/>
                                              </w:divBdr>
                                              <w:divsChild>
                                                <w:div w:id="150794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403312">
      <w:bodyDiv w:val="1"/>
      <w:marLeft w:val="0"/>
      <w:marRight w:val="0"/>
      <w:marTop w:val="0"/>
      <w:marBottom w:val="0"/>
      <w:divBdr>
        <w:top w:val="none" w:sz="0" w:space="0" w:color="auto"/>
        <w:left w:val="none" w:sz="0" w:space="0" w:color="auto"/>
        <w:bottom w:val="none" w:sz="0" w:space="0" w:color="auto"/>
        <w:right w:val="none" w:sz="0" w:space="0" w:color="auto"/>
      </w:divBdr>
    </w:div>
    <w:div w:id="787158982">
      <w:bodyDiv w:val="1"/>
      <w:marLeft w:val="0"/>
      <w:marRight w:val="0"/>
      <w:marTop w:val="0"/>
      <w:marBottom w:val="0"/>
      <w:divBdr>
        <w:top w:val="none" w:sz="0" w:space="0" w:color="auto"/>
        <w:left w:val="none" w:sz="0" w:space="0" w:color="auto"/>
        <w:bottom w:val="none" w:sz="0" w:space="0" w:color="auto"/>
        <w:right w:val="none" w:sz="0" w:space="0" w:color="auto"/>
      </w:divBdr>
      <w:divsChild>
        <w:div w:id="71314116">
          <w:marLeft w:val="0"/>
          <w:marRight w:val="0"/>
          <w:marTop w:val="0"/>
          <w:marBottom w:val="0"/>
          <w:divBdr>
            <w:top w:val="none" w:sz="0" w:space="0" w:color="auto"/>
            <w:left w:val="none" w:sz="0" w:space="0" w:color="auto"/>
            <w:bottom w:val="none" w:sz="0" w:space="0" w:color="auto"/>
            <w:right w:val="none" w:sz="0" w:space="0" w:color="auto"/>
          </w:divBdr>
          <w:divsChild>
            <w:div w:id="1165586740">
              <w:marLeft w:val="0"/>
              <w:marRight w:val="0"/>
              <w:marTop w:val="0"/>
              <w:marBottom w:val="0"/>
              <w:divBdr>
                <w:top w:val="none" w:sz="0" w:space="0" w:color="auto"/>
                <w:left w:val="none" w:sz="0" w:space="0" w:color="auto"/>
                <w:bottom w:val="none" w:sz="0" w:space="0" w:color="auto"/>
                <w:right w:val="none" w:sz="0" w:space="0" w:color="auto"/>
              </w:divBdr>
              <w:divsChild>
                <w:div w:id="146942110">
                  <w:marLeft w:val="0"/>
                  <w:marRight w:val="0"/>
                  <w:marTop w:val="0"/>
                  <w:marBottom w:val="0"/>
                  <w:divBdr>
                    <w:top w:val="none" w:sz="0" w:space="0" w:color="auto"/>
                    <w:left w:val="none" w:sz="0" w:space="0" w:color="auto"/>
                    <w:bottom w:val="none" w:sz="0" w:space="0" w:color="auto"/>
                    <w:right w:val="none" w:sz="0" w:space="0" w:color="auto"/>
                  </w:divBdr>
                  <w:divsChild>
                    <w:div w:id="120343651">
                      <w:marLeft w:val="0"/>
                      <w:marRight w:val="0"/>
                      <w:marTop w:val="0"/>
                      <w:marBottom w:val="0"/>
                      <w:divBdr>
                        <w:top w:val="none" w:sz="0" w:space="0" w:color="auto"/>
                        <w:left w:val="none" w:sz="0" w:space="0" w:color="auto"/>
                        <w:bottom w:val="none" w:sz="0" w:space="0" w:color="auto"/>
                        <w:right w:val="none" w:sz="0" w:space="0" w:color="auto"/>
                      </w:divBdr>
                      <w:divsChild>
                        <w:div w:id="1289123358">
                          <w:marLeft w:val="0"/>
                          <w:marRight w:val="0"/>
                          <w:marTop w:val="0"/>
                          <w:marBottom w:val="0"/>
                          <w:divBdr>
                            <w:top w:val="none" w:sz="0" w:space="0" w:color="auto"/>
                            <w:left w:val="none" w:sz="0" w:space="0" w:color="auto"/>
                            <w:bottom w:val="none" w:sz="0" w:space="0" w:color="auto"/>
                            <w:right w:val="none" w:sz="0" w:space="0" w:color="auto"/>
                          </w:divBdr>
                          <w:divsChild>
                            <w:div w:id="1720320339">
                              <w:marLeft w:val="0"/>
                              <w:marRight w:val="0"/>
                              <w:marTop w:val="0"/>
                              <w:marBottom w:val="0"/>
                              <w:divBdr>
                                <w:top w:val="none" w:sz="0" w:space="0" w:color="auto"/>
                                <w:left w:val="none" w:sz="0" w:space="0" w:color="auto"/>
                                <w:bottom w:val="none" w:sz="0" w:space="0" w:color="auto"/>
                                <w:right w:val="none" w:sz="0" w:space="0" w:color="auto"/>
                              </w:divBdr>
                              <w:divsChild>
                                <w:div w:id="830875273">
                                  <w:marLeft w:val="0"/>
                                  <w:marRight w:val="0"/>
                                  <w:marTop w:val="0"/>
                                  <w:marBottom w:val="0"/>
                                  <w:divBdr>
                                    <w:top w:val="none" w:sz="0" w:space="0" w:color="auto"/>
                                    <w:left w:val="none" w:sz="0" w:space="0" w:color="auto"/>
                                    <w:bottom w:val="none" w:sz="0" w:space="0" w:color="auto"/>
                                    <w:right w:val="none" w:sz="0" w:space="0" w:color="auto"/>
                                  </w:divBdr>
                                  <w:divsChild>
                                    <w:div w:id="1965305460">
                                      <w:marLeft w:val="0"/>
                                      <w:marRight w:val="0"/>
                                      <w:marTop w:val="0"/>
                                      <w:marBottom w:val="0"/>
                                      <w:divBdr>
                                        <w:top w:val="none" w:sz="0" w:space="0" w:color="auto"/>
                                        <w:left w:val="none" w:sz="0" w:space="0" w:color="auto"/>
                                        <w:bottom w:val="none" w:sz="0" w:space="0" w:color="auto"/>
                                        <w:right w:val="none" w:sz="0" w:space="0" w:color="auto"/>
                                      </w:divBdr>
                                      <w:divsChild>
                                        <w:div w:id="1868518289">
                                          <w:marLeft w:val="0"/>
                                          <w:marRight w:val="0"/>
                                          <w:marTop w:val="0"/>
                                          <w:marBottom w:val="0"/>
                                          <w:divBdr>
                                            <w:top w:val="none" w:sz="0" w:space="0" w:color="auto"/>
                                            <w:left w:val="none" w:sz="0" w:space="0" w:color="auto"/>
                                            <w:bottom w:val="none" w:sz="0" w:space="0" w:color="auto"/>
                                            <w:right w:val="none" w:sz="0" w:space="0" w:color="auto"/>
                                          </w:divBdr>
                                          <w:divsChild>
                                            <w:div w:id="629945754">
                                              <w:marLeft w:val="0"/>
                                              <w:marRight w:val="0"/>
                                              <w:marTop w:val="0"/>
                                              <w:marBottom w:val="0"/>
                                              <w:divBdr>
                                                <w:top w:val="none" w:sz="0" w:space="0" w:color="auto"/>
                                                <w:left w:val="none" w:sz="0" w:space="0" w:color="auto"/>
                                                <w:bottom w:val="none" w:sz="0" w:space="0" w:color="auto"/>
                                                <w:right w:val="none" w:sz="0" w:space="0" w:color="auto"/>
                                              </w:divBdr>
                                              <w:divsChild>
                                                <w:div w:id="1529029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8163018">
      <w:bodyDiv w:val="1"/>
      <w:marLeft w:val="0"/>
      <w:marRight w:val="0"/>
      <w:marTop w:val="0"/>
      <w:marBottom w:val="0"/>
      <w:divBdr>
        <w:top w:val="none" w:sz="0" w:space="0" w:color="auto"/>
        <w:left w:val="none" w:sz="0" w:space="0" w:color="auto"/>
        <w:bottom w:val="none" w:sz="0" w:space="0" w:color="auto"/>
        <w:right w:val="none" w:sz="0" w:space="0" w:color="auto"/>
      </w:divBdr>
    </w:div>
    <w:div w:id="1307469359">
      <w:bodyDiv w:val="1"/>
      <w:marLeft w:val="0"/>
      <w:marRight w:val="0"/>
      <w:marTop w:val="0"/>
      <w:marBottom w:val="0"/>
      <w:divBdr>
        <w:top w:val="none" w:sz="0" w:space="0" w:color="auto"/>
        <w:left w:val="none" w:sz="0" w:space="0" w:color="auto"/>
        <w:bottom w:val="none" w:sz="0" w:space="0" w:color="auto"/>
        <w:right w:val="none" w:sz="0" w:space="0" w:color="auto"/>
      </w:divBdr>
      <w:divsChild>
        <w:div w:id="1806702879">
          <w:marLeft w:val="0"/>
          <w:marRight w:val="0"/>
          <w:marTop w:val="0"/>
          <w:marBottom w:val="0"/>
          <w:divBdr>
            <w:top w:val="none" w:sz="0" w:space="0" w:color="auto"/>
            <w:left w:val="none" w:sz="0" w:space="0" w:color="auto"/>
            <w:bottom w:val="none" w:sz="0" w:space="0" w:color="auto"/>
            <w:right w:val="none" w:sz="0" w:space="0" w:color="auto"/>
          </w:divBdr>
          <w:divsChild>
            <w:div w:id="1817526996">
              <w:marLeft w:val="0"/>
              <w:marRight w:val="0"/>
              <w:marTop w:val="0"/>
              <w:marBottom w:val="0"/>
              <w:divBdr>
                <w:top w:val="none" w:sz="0" w:space="0" w:color="auto"/>
                <w:left w:val="none" w:sz="0" w:space="0" w:color="auto"/>
                <w:bottom w:val="none" w:sz="0" w:space="0" w:color="auto"/>
                <w:right w:val="none" w:sz="0" w:space="0" w:color="auto"/>
              </w:divBdr>
              <w:divsChild>
                <w:div w:id="2075395942">
                  <w:marLeft w:val="0"/>
                  <w:marRight w:val="0"/>
                  <w:marTop w:val="0"/>
                  <w:marBottom w:val="0"/>
                  <w:divBdr>
                    <w:top w:val="none" w:sz="0" w:space="0" w:color="auto"/>
                    <w:left w:val="none" w:sz="0" w:space="0" w:color="auto"/>
                    <w:bottom w:val="none" w:sz="0" w:space="0" w:color="auto"/>
                    <w:right w:val="none" w:sz="0" w:space="0" w:color="auto"/>
                  </w:divBdr>
                  <w:divsChild>
                    <w:div w:id="2021278164">
                      <w:marLeft w:val="0"/>
                      <w:marRight w:val="0"/>
                      <w:marTop w:val="0"/>
                      <w:marBottom w:val="0"/>
                      <w:divBdr>
                        <w:top w:val="none" w:sz="0" w:space="0" w:color="auto"/>
                        <w:left w:val="none" w:sz="0" w:space="0" w:color="auto"/>
                        <w:bottom w:val="none" w:sz="0" w:space="0" w:color="auto"/>
                        <w:right w:val="none" w:sz="0" w:space="0" w:color="auto"/>
                      </w:divBdr>
                      <w:divsChild>
                        <w:div w:id="18842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204730">
      <w:bodyDiv w:val="1"/>
      <w:marLeft w:val="0"/>
      <w:marRight w:val="0"/>
      <w:marTop w:val="0"/>
      <w:marBottom w:val="0"/>
      <w:divBdr>
        <w:top w:val="none" w:sz="0" w:space="0" w:color="auto"/>
        <w:left w:val="none" w:sz="0" w:space="0" w:color="auto"/>
        <w:bottom w:val="none" w:sz="0" w:space="0" w:color="auto"/>
        <w:right w:val="none" w:sz="0" w:space="0" w:color="auto"/>
      </w:divBdr>
    </w:div>
    <w:div w:id="13426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hitehouse.gov/omb/mgmt-gpra/gplaw2m.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2.ed.gov/about/offices/list/ope/iegps/fulbrighthaysact.pdf" TargetMode="External"/><Relationship Id="rId17" Type="http://schemas.openxmlformats.org/officeDocument/2006/relationships/hyperlink" Target="http://www.bls.gov/ncs/ocs/sp/nctb1475.pdf" TargetMode="External"/><Relationship Id="rId2" Type="http://schemas.openxmlformats.org/officeDocument/2006/relationships/customXml" Target="../customXml/item2.xml"/><Relationship Id="rId16" Type="http://schemas.openxmlformats.org/officeDocument/2006/relationships/hyperlink" Target="http://www.bls.gov/ncs/ncswage201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whitehouse.gov/sites/default/files/omb/assets/memoranda_2010/m10-01.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hitehouse.gov/omb/performance/gprm-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0" ma:contentTypeDescription="Create a new document." ma:contentTypeScope="" ma:versionID="b26c77e01320ad46a962bacd7b3c425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1344E-26A8-4086-820F-190E71B33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3B3EBA9-271F-4698-95B9-087FECD77CA2}">
  <ds:schemaRefs>
    <ds:schemaRef ds:uri="http://schemas.microsoft.com/sharepoint/v3/contenttype/forms"/>
  </ds:schemaRefs>
</ds:datastoreItem>
</file>

<file path=customXml/itemProps3.xml><?xml version="1.0" encoding="utf-8"?>
<ds:datastoreItem xmlns:ds="http://schemas.openxmlformats.org/officeDocument/2006/customXml" ds:itemID="{2B1CBD76-B74B-495B-8573-716A44B7F6AD}">
  <ds:schemaRefs>
    <ds:schemaRef ds:uri="http://schemas.microsoft.com/office/2006/metadata/properties"/>
  </ds:schemaRefs>
</ds:datastoreItem>
</file>

<file path=customXml/itemProps4.xml><?xml version="1.0" encoding="utf-8"?>
<ds:datastoreItem xmlns:ds="http://schemas.openxmlformats.org/officeDocument/2006/customXml" ds:itemID="{C8C836BD-7BAB-4EBE-8AC2-B74B5012B70F}">
  <ds:schemaRefs>
    <ds:schemaRef ds:uri="http://schemas.openxmlformats.org/officeDocument/2006/bibliography"/>
  </ds:schemaRefs>
</ds:datastoreItem>
</file>

<file path=customXml/itemProps5.xml><?xml version="1.0" encoding="utf-8"?>
<ds:datastoreItem xmlns:ds="http://schemas.openxmlformats.org/officeDocument/2006/customXml" ds:itemID="{A2758EF6-B1A8-4174-8749-FFAB2D946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7</Pages>
  <Words>3367</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Department of State</Company>
  <LinksUpToDate>false</LinksUpToDate>
  <CharactersWithSpaces>23595</CharactersWithSpaces>
  <SharedDoc>false</SharedDoc>
  <HLinks>
    <vt:vector size="24" baseType="variant">
      <vt:variant>
        <vt:i4>2621464</vt:i4>
      </vt:variant>
      <vt:variant>
        <vt:i4>9</vt:i4>
      </vt:variant>
      <vt:variant>
        <vt:i4>0</vt:i4>
      </vt:variant>
      <vt:variant>
        <vt:i4>5</vt:i4>
      </vt:variant>
      <vt:variant>
        <vt:lpwstr>http://www.whitehouse.gov/sites/default/files/omb/assets/memoranda_2010/m10-01.pdf</vt:lpwstr>
      </vt:variant>
      <vt:variant>
        <vt:lpwstr/>
      </vt:variant>
      <vt:variant>
        <vt:i4>3407992</vt:i4>
      </vt:variant>
      <vt:variant>
        <vt:i4>6</vt:i4>
      </vt:variant>
      <vt:variant>
        <vt:i4>0</vt:i4>
      </vt:variant>
      <vt:variant>
        <vt:i4>5</vt:i4>
      </vt:variant>
      <vt:variant>
        <vt:lpwstr>http://www.whitehouse.gov/omb/performance/gprm-act</vt:lpwstr>
      </vt:variant>
      <vt:variant>
        <vt:lpwstr/>
      </vt:variant>
      <vt:variant>
        <vt:i4>6029312</vt:i4>
      </vt:variant>
      <vt:variant>
        <vt:i4>3</vt:i4>
      </vt:variant>
      <vt:variant>
        <vt:i4>0</vt:i4>
      </vt:variant>
      <vt:variant>
        <vt:i4>5</vt:i4>
      </vt:variant>
      <vt:variant>
        <vt:lpwstr>http://www.whitehouse.gov/omb/mgmt-gpra/gplaw2m.html</vt:lpwstr>
      </vt:variant>
      <vt:variant>
        <vt:lpwstr/>
      </vt:variant>
      <vt:variant>
        <vt:i4>4325376</vt:i4>
      </vt:variant>
      <vt:variant>
        <vt:i4>0</vt:i4>
      </vt:variant>
      <vt:variant>
        <vt:i4>0</vt:i4>
      </vt:variant>
      <vt:variant>
        <vt:i4>5</vt:i4>
      </vt:variant>
      <vt:variant>
        <vt:lpwstr>http://www2.ed.gov/about/offices/list/ope/iegps/fulbrighthaysact.pdf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Crowleyml</dc:creator>
  <cp:lastModifiedBy>halemj2</cp:lastModifiedBy>
  <cp:revision>3</cp:revision>
  <cp:lastPrinted>2012-08-15T13:15:00Z</cp:lastPrinted>
  <dcterms:created xsi:type="dcterms:W3CDTF">2013-05-22T15:49:00Z</dcterms:created>
  <dcterms:modified xsi:type="dcterms:W3CDTF">2013-07-02T19:04:00Z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y fmtid="{D5CDD505-2E9C-101B-9397-08002B2CF9AE}" pid="3" name="_NewReviewCycle">
    <vt:lpwstr/>
  </property>
</Properties>
</file>