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7EC" w:rsidRPr="00373ED8" w:rsidRDefault="00F919C2" w:rsidP="00373ED8">
      <w:pPr>
        <w:tabs>
          <w:tab w:val="center" w:pos="4680"/>
        </w:tabs>
        <w:rPr>
          <w:rFonts w:ascii="Times New Roman" w:hAnsi="Times New Roman"/>
          <w:b/>
          <w:bCs/>
        </w:rPr>
      </w:pPr>
      <w:r>
        <w:rPr>
          <w:rFonts w:ascii="Times New Roman" w:hAnsi="Times New Roman"/>
        </w:rPr>
        <w:t xml:space="preserve">                                                         </w:t>
      </w:r>
      <w:r w:rsidR="00EA17EC" w:rsidRPr="00373ED8">
        <w:rPr>
          <w:rFonts w:ascii="Times New Roman" w:hAnsi="Times New Roman"/>
        </w:rPr>
        <w:tab/>
      </w:r>
      <w:r w:rsidR="00EA17EC" w:rsidRPr="00373ED8">
        <w:rPr>
          <w:rFonts w:ascii="Times New Roman" w:hAnsi="Times New Roman"/>
          <w:b/>
          <w:bCs/>
        </w:rPr>
        <w:t>Supporting Statement</w:t>
      </w:r>
      <w:r w:rsidR="005F2224">
        <w:rPr>
          <w:rFonts w:ascii="Times New Roman" w:hAnsi="Times New Roman"/>
          <w:b/>
          <w:bCs/>
        </w:rPr>
        <w:t xml:space="preserve"> A</w:t>
      </w:r>
    </w:p>
    <w:p w:rsidR="00EA17EC" w:rsidRPr="00373ED8" w:rsidRDefault="00EA4151" w:rsidP="0016712A">
      <w:pPr>
        <w:tabs>
          <w:tab w:val="center" w:pos="4680"/>
        </w:tabs>
        <w:jc w:val="center"/>
        <w:rPr>
          <w:rFonts w:ascii="Times New Roman" w:hAnsi="Times New Roman"/>
          <w:b/>
        </w:rPr>
      </w:pPr>
      <w:r>
        <w:rPr>
          <w:rFonts w:ascii="Times New Roman" w:hAnsi="Times New Roman"/>
          <w:b/>
        </w:rPr>
        <w:t xml:space="preserve">Appraisals for </w:t>
      </w:r>
      <w:r w:rsidR="00764BA9" w:rsidRPr="00373ED8">
        <w:rPr>
          <w:rFonts w:ascii="Times New Roman" w:hAnsi="Times New Roman"/>
          <w:b/>
        </w:rPr>
        <w:t>Higher-</w:t>
      </w:r>
      <w:r>
        <w:rPr>
          <w:rFonts w:ascii="Times New Roman" w:hAnsi="Times New Roman"/>
          <w:b/>
        </w:rPr>
        <w:t>Priced Mortgage Loans</w:t>
      </w:r>
      <w:r w:rsidR="005F2224">
        <w:rPr>
          <w:rFonts w:ascii="Times New Roman" w:hAnsi="Times New Roman"/>
          <w:b/>
        </w:rPr>
        <w:t xml:space="preserve"> – Supplemental Proposal</w:t>
      </w:r>
    </w:p>
    <w:p w:rsidR="00E67B7F" w:rsidRDefault="00E67B7F" w:rsidP="00E67B7F">
      <w:pPr>
        <w:pStyle w:val="Heading1"/>
        <w:rPr>
          <w:rFonts w:ascii="Times New Roman" w:hAnsi="Times New Roman"/>
        </w:rPr>
      </w:pPr>
      <w:r>
        <w:rPr>
          <w:rFonts w:ascii="Times New Roman" w:hAnsi="Times New Roman"/>
        </w:rPr>
        <w:t>OMB Control No.</w:t>
      </w:r>
      <w:r w:rsidRPr="00373ED8">
        <w:rPr>
          <w:rFonts w:ascii="Times New Roman" w:hAnsi="Times New Roman"/>
        </w:rPr>
        <w:t xml:space="preserve"> 1557-</w:t>
      </w:r>
      <w:r>
        <w:rPr>
          <w:rFonts w:ascii="Times New Roman" w:hAnsi="Times New Roman"/>
        </w:rPr>
        <w:t>0313</w:t>
      </w:r>
    </w:p>
    <w:p w:rsidR="00EA17EC" w:rsidRPr="00373ED8" w:rsidRDefault="00EA17EC" w:rsidP="00373ED8">
      <w:pPr>
        <w:rPr>
          <w:rFonts w:ascii="Times New Roman" w:hAnsi="Times New Roman"/>
        </w:rPr>
      </w:pPr>
    </w:p>
    <w:p w:rsidR="00EA17EC" w:rsidRPr="00373ED8" w:rsidRDefault="00EA17EC" w:rsidP="00373ED8">
      <w:pPr>
        <w:rPr>
          <w:rFonts w:ascii="Times New Roman" w:hAnsi="Times New Roman"/>
          <w:bCs/>
        </w:rPr>
      </w:pPr>
    </w:p>
    <w:p w:rsidR="00EA17EC" w:rsidRPr="00373ED8" w:rsidRDefault="00EA17EC" w:rsidP="00373ED8">
      <w:pPr>
        <w:tabs>
          <w:tab w:val="left" w:pos="-1440"/>
        </w:tabs>
        <w:ind w:left="720" w:hanging="720"/>
        <w:rPr>
          <w:rFonts w:ascii="Times New Roman" w:hAnsi="Times New Roman"/>
        </w:rPr>
      </w:pPr>
      <w:r w:rsidRPr="00373ED8">
        <w:rPr>
          <w:rFonts w:ascii="Times New Roman" w:hAnsi="Times New Roman"/>
        </w:rPr>
        <w:t>A.</w:t>
      </w:r>
      <w:r w:rsidRPr="00373ED8">
        <w:rPr>
          <w:rFonts w:ascii="Times New Roman" w:hAnsi="Times New Roman"/>
        </w:rPr>
        <w:tab/>
      </w:r>
      <w:r w:rsidRPr="00373ED8">
        <w:rPr>
          <w:rFonts w:ascii="Times New Roman" w:hAnsi="Times New Roman"/>
          <w:u w:val="single"/>
        </w:rPr>
        <w:t>Justification.</w:t>
      </w:r>
    </w:p>
    <w:p w:rsidR="00EA17EC" w:rsidRPr="00373ED8" w:rsidRDefault="00EA17EC" w:rsidP="00373ED8">
      <w:pPr>
        <w:rPr>
          <w:rFonts w:ascii="Times New Roman" w:hAnsi="Times New Roman"/>
        </w:rPr>
      </w:pPr>
    </w:p>
    <w:p w:rsidR="00EA17EC" w:rsidRPr="00373ED8" w:rsidRDefault="00EA17EC" w:rsidP="00373ED8">
      <w:pPr>
        <w:tabs>
          <w:tab w:val="left" w:pos="-1440"/>
        </w:tabs>
        <w:ind w:left="720" w:hanging="720"/>
        <w:rPr>
          <w:rFonts w:ascii="Times New Roman" w:hAnsi="Times New Roman"/>
        </w:rPr>
      </w:pPr>
      <w:r w:rsidRPr="00373ED8">
        <w:rPr>
          <w:rFonts w:ascii="Times New Roman" w:hAnsi="Times New Roman"/>
        </w:rPr>
        <w:t>1.</w:t>
      </w:r>
      <w:r w:rsidRPr="00373ED8">
        <w:rPr>
          <w:rFonts w:ascii="Times New Roman" w:hAnsi="Times New Roman"/>
        </w:rPr>
        <w:tab/>
      </w:r>
      <w:r w:rsidRPr="00373ED8">
        <w:rPr>
          <w:rFonts w:ascii="Times New Roman" w:hAnsi="Times New Roman"/>
          <w:u w:val="single"/>
        </w:rPr>
        <w:t>Circumstances that make the collection necessary:</w:t>
      </w:r>
    </w:p>
    <w:p w:rsidR="00EA17EC" w:rsidRPr="00373ED8" w:rsidRDefault="00EA17EC" w:rsidP="00373ED8">
      <w:pPr>
        <w:rPr>
          <w:rFonts w:ascii="Times New Roman" w:hAnsi="Times New Roman"/>
        </w:rPr>
      </w:pPr>
    </w:p>
    <w:p w:rsidR="008612BA" w:rsidRDefault="008612BA" w:rsidP="007800F7">
      <w:pPr>
        <w:ind w:left="720"/>
        <w:rPr>
          <w:rFonts w:ascii="Times New Roman" w:hAnsi="Times New Roman"/>
        </w:rPr>
      </w:pPr>
      <w:r>
        <w:rPr>
          <w:rFonts w:ascii="Times New Roman" w:hAnsi="Times New Roman"/>
        </w:rPr>
        <w:t>Thi</w:t>
      </w:r>
      <w:r w:rsidR="0016712A">
        <w:rPr>
          <w:rFonts w:ascii="Times New Roman" w:hAnsi="Times New Roman"/>
        </w:rPr>
        <w:t>s information collection relates</w:t>
      </w:r>
      <w:r>
        <w:rPr>
          <w:rFonts w:ascii="Times New Roman" w:hAnsi="Times New Roman"/>
        </w:rPr>
        <w:t xml:space="preserve"> to a notice of proposed rulemaking issued by the Agencies pursuant to Dodd-Frank.</w:t>
      </w:r>
    </w:p>
    <w:p w:rsidR="008612BA" w:rsidRDefault="008612BA" w:rsidP="007800F7">
      <w:pPr>
        <w:ind w:left="720"/>
        <w:rPr>
          <w:rFonts w:ascii="Times New Roman" w:hAnsi="Times New Roman"/>
        </w:rPr>
      </w:pPr>
    </w:p>
    <w:p w:rsidR="00645D67" w:rsidRDefault="008612BA" w:rsidP="007800F7">
      <w:pPr>
        <w:ind w:left="720"/>
        <w:rPr>
          <w:rFonts w:ascii="Times New Roman" w:hAnsi="Times New Roman"/>
        </w:rPr>
      </w:pPr>
      <w:r>
        <w:rPr>
          <w:rFonts w:ascii="Times New Roman" w:hAnsi="Times New Roman"/>
        </w:rPr>
        <w:t>T</w:t>
      </w:r>
      <w:r w:rsidR="00790477">
        <w:rPr>
          <w:rFonts w:ascii="Times New Roman" w:hAnsi="Times New Roman"/>
        </w:rPr>
        <w:t xml:space="preserve">he Supplemental </w:t>
      </w:r>
      <w:r w:rsidR="00790477">
        <w:rPr>
          <w:rFonts w:ascii="Times New Roman" w:eastAsia="Calibri" w:hAnsi="Times New Roman"/>
          <w:szCs w:val="20"/>
        </w:rPr>
        <w:t>P</w:t>
      </w:r>
      <w:r w:rsidR="00790477" w:rsidRPr="00790477">
        <w:rPr>
          <w:rFonts w:ascii="Times New Roman" w:eastAsia="Calibri" w:hAnsi="Times New Roman"/>
          <w:szCs w:val="20"/>
        </w:rPr>
        <w:t xml:space="preserve">roposal relates to a final rule issued by </w:t>
      </w:r>
      <w:r w:rsidR="00790477">
        <w:rPr>
          <w:rFonts w:ascii="Times New Roman" w:eastAsia="Calibri" w:hAnsi="Times New Roman"/>
          <w:szCs w:val="20"/>
        </w:rPr>
        <w:t>t</w:t>
      </w:r>
      <w:r w:rsidR="00790477" w:rsidRPr="00790477">
        <w:rPr>
          <w:rFonts w:ascii="Times New Roman" w:eastAsia="Calibri" w:hAnsi="Times New Roman"/>
          <w:szCs w:val="20"/>
        </w:rPr>
        <w:t xml:space="preserve">he OCC, Board, Bureau, FDIC, and NCUA (the Agencies) on January 18, 2013 (2013 Interagency Appraisals Final Rule), which goes into effect on January 18, 2014.  </w:t>
      </w:r>
      <w:r w:rsidR="00790477" w:rsidRPr="00790477">
        <w:rPr>
          <w:rFonts w:ascii="Times New Roman" w:eastAsia="Calibri" w:hAnsi="Times New Roman"/>
          <w:i/>
          <w:szCs w:val="20"/>
        </w:rPr>
        <w:t xml:space="preserve">See </w:t>
      </w:r>
      <w:r w:rsidR="00790477" w:rsidRPr="00790477">
        <w:rPr>
          <w:rFonts w:ascii="Times New Roman" w:eastAsia="Calibri" w:hAnsi="Times New Roman"/>
          <w:szCs w:val="20"/>
        </w:rPr>
        <w:t xml:space="preserve">78 FR 10368 (Feb. 13, 2013).  </w:t>
      </w:r>
    </w:p>
    <w:p w:rsidR="00645D67" w:rsidRDefault="00645D67" w:rsidP="00645D67">
      <w:pPr>
        <w:rPr>
          <w:rFonts w:ascii="Times New Roman" w:hAnsi="Times New Roman"/>
        </w:rPr>
      </w:pPr>
    </w:p>
    <w:p w:rsidR="00B46F07" w:rsidRDefault="00790477" w:rsidP="007800F7">
      <w:pPr>
        <w:ind w:left="720"/>
        <w:rPr>
          <w:rFonts w:ascii="Times New Roman" w:hAnsi="Times New Roman"/>
        </w:rPr>
      </w:pPr>
      <w:r>
        <w:rPr>
          <w:rFonts w:ascii="Times New Roman" w:hAnsi="Times New Roman"/>
        </w:rPr>
        <w:t>S</w:t>
      </w:r>
      <w:r w:rsidRPr="00645D67">
        <w:rPr>
          <w:rFonts w:ascii="Times New Roman" w:hAnsi="Times New Roman"/>
        </w:rPr>
        <w:t>ection 1471 of the Dodd-Frank Act created new</w:t>
      </w:r>
      <w:r w:rsidR="006023E3">
        <w:rPr>
          <w:rFonts w:ascii="Times New Roman" w:hAnsi="Times New Roman"/>
        </w:rPr>
        <w:t xml:space="preserve"> Truth in Lending Act</w:t>
      </w:r>
      <w:r w:rsidRPr="00645D67">
        <w:rPr>
          <w:rFonts w:ascii="Times New Roman" w:hAnsi="Times New Roman"/>
        </w:rPr>
        <w:t xml:space="preserve"> </w:t>
      </w:r>
      <w:r w:rsidR="006023E3">
        <w:rPr>
          <w:rFonts w:ascii="Times New Roman" w:hAnsi="Times New Roman"/>
        </w:rPr>
        <w:t>(</w:t>
      </w:r>
      <w:r w:rsidRPr="00645D67">
        <w:rPr>
          <w:rFonts w:ascii="Times New Roman" w:hAnsi="Times New Roman"/>
        </w:rPr>
        <w:t>TILA</w:t>
      </w:r>
      <w:r w:rsidR="006023E3">
        <w:rPr>
          <w:rFonts w:ascii="Times New Roman" w:hAnsi="Times New Roman"/>
        </w:rPr>
        <w:t>)</w:t>
      </w:r>
      <w:r w:rsidRPr="00645D67">
        <w:rPr>
          <w:rFonts w:ascii="Times New Roman" w:hAnsi="Times New Roman"/>
        </w:rPr>
        <w:t xml:space="preserve"> section 129H, which establishes special appraisal requirement</w:t>
      </w:r>
      <w:r w:rsidR="00B46F07">
        <w:rPr>
          <w:rFonts w:ascii="Times New Roman" w:hAnsi="Times New Roman"/>
        </w:rPr>
        <w:t>s for “higher-risk mortgages.</w:t>
      </w:r>
      <w:r>
        <w:rPr>
          <w:rFonts w:ascii="Times New Roman" w:hAnsi="Times New Roman"/>
        </w:rPr>
        <w:t xml:space="preserve">” </w:t>
      </w:r>
      <w:r w:rsidR="00B46F07" w:rsidRPr="00B46F07">
        <w:rPr>
          <w:rFonts w:ascii="Times New Roman" w:hAnsi="Times New Roman"/>
        </w:rPr>
        <w:t xml:space="preserve">For certain mortgages with an annual percentage rate that exceeds the average prime offer rate by a specified percentage, </w:t>
      </w:r>
      <w:r w:rsidR="00B46F07">
        <w:rPr>
          <w:rFonts w:ascii="Times New Roman" w:hAnsi="Times New Roman"/>
        </w:rPr>
        <w:t>t</w:t>
      </w:r>
      <w:r w:rsidR="00EC6A3B" w:rsidRPr="00EC6A3B">
        <w:rPr>
          <w:rFonts w:ascii="Times New Roman" w:hAnsi="Times New Roman"/>
        </w:rPr>
        <w:t xml:space="preserve">he </w:t>
      </w:r>
      <w:r w:rsidR="00B46F07">
        <w:rPr>
          <w:rFonts w:ascii="Times New Roman" w:hAnsi="Times New Roman"/>
        </w:rPr>
        <w:t xml:space="preserve">2013 Interagency Appraisals </w:t>
      </w:r>
      <w:r w:rsidR="00EC6A3B" w:rsidRPr="00EC6A3B">
        <w:rPr>
          <w:rFonts w:ascii="Times New Roman" w:hAnsi="Times New Roman"/>
        </w:rPr>
        <w:t xml:space="preserve">Final Rule requires creditors to obtain an appraisal or appraisals meeting certain specified standards, provide applicants with a notification regarding the use of the appraisals, and give applicants a copy of the written appraisals used.  </w:t>
      </w:r>
    </w:p>
    <w:p w:rsidR="00B46F07" w:rsidRDefault="00B46F07" w:rsidP="00645D67">
      <w:pPr>
        <w:rPr>
          <w:rFonts w:ascii="Times New Roman" w:hAnsi="Times New Roman"/>
        </w:rPr>
      </w:pPr>
    </w:p>
    <w:p w:rsidR="00B46F07" w:rsidRDefault="00EC6A3B" w:rsidP="0016712A">
      <w:pPr>
        <w:ind w:left="720"/>
        <w:rPr>
          <w:rFonts w:ascii="Times New Roman" w:hAnsi="Times New Roman"/>
        </w:rPr>
      </w:pPr>
      <w:r w:rsidRPr="00EC6A3B">
        <w:rPr>
          <w:rFonts w:ascii="Times New Roman" w:hAnsi="Times New Roman"/>
        </w:rPr>
        <w:t xml:space="preserve">The Agencies </w:t>
      </w:r>
      <w:r w:rsidR="00F50C7A">
        <w:rPr>
          <w:rFonts w:ascii="Times New Roman" w:hAnsi="Times New Roman"/>
        </w:rPr>
        <w:t>are proposing</w:t>
      </w:r>
      <w:r w:rsidRPr="00EC6A3B">
        <w:rPr>
          <w:rFonts w:ascii="Times New Roman" w:hAnsi="Times New Roman"/>
        </w:rPr>
        <w:t xml:space="preserve"> amendments to the </w:t>
      </w:r>
      <w:r w:rsidR="0016712A">
        <w:rPr>
          <w:rFonts w:ascii="Times New Roman" w:hAnsi="Times New Roman"/>
        </w:rPr>
        <w:t xml:space="preserve">2013 </w:t>
      </w:r>
      <w:r w:rsidR="007A12D6">
        <w:rPr>
          <w:rFonts w:ascii="Times New Roman" w:hAnsi="Times New Roman"/>
        </w:rPr>
        <w:t xml:space="preserve">Interagency Appraisals </w:t>
      </w:r>
      <w:r w:rsidRPr="00EC6A3B">
        <w:rPr>
          <w:rFonts w:ascii="Times New Roman" w:hAnsi="Times New Roman"/>
        </w:rPr>
        <w:t>Final Rule imp</w:t>
      </w:r>
      <w:r w:rsidR="00305A30">
        <w:rPr>
          <w:rFonts w:ascii="Times New Roman" w:hAnsi="Times New Roman"/>
        </w:rPr>
        <w:t>lementing these requirements,</w:t>
      </w:r>
      <w:r w:rsidRPr="00EC6A3B">
        <w:rPr>
          <w:rFonts w:ascii="Times New Roman" w:hAnsi="Times New Roman"/>
        </w:rPr>
        <w:t xml:space="preserve"> specifically,</w:t>
      </w:r>
      <w:r w:rsidR="00F50C7A">
        <w:rPr>
          <w:rFonts w:ascii="Times New Roman" w:hAnsi="Times New Roman"/>
        </w:rPr>
        <w:t xml:space="preserve"> exemptions from the rules </w:t>
      </w:r>
      <w:proofErr w:type="gramStart"/>
      <w:r w:rsidR="00F50C7A">
        <w:rPr>
          <w:rFonts w:ascii="Times New Roman" w:hAnsi="Times New Roman"/>
        </w:rPr>
        <w:t>for</w:t>
      </w:r>
      <w:proofErr w:type="gramEnd"/>
      <w:r w:rsidR="00F50C7A">
        <w:rPr>
          <w:rFonts w:ascii="Times New Roman" w:hAnsi="Times New Roman"/>
        </w:rPr>
        <w:t>:</w:t>
      </w:r>
      <w:r w:rsidRPr="00EC6A3B">
        <w:rPr>
          <w:rFonts w:ascii="Times New Roman" w:hAnsi="Times New Roman"/>
        </w:rPr>
        <w:t xml:space="preserve"> </w:t>
      </w:r>
    </w:p>
    <w:p w:rsidR="00F50C7A" w:rsidRDefault="00F50C7A" w:rsidP="00645D67">
      <w:pPr>
        <w:rPr>
          <w:rFonts w:ascii="Times New Roman" w:hAnsi="Times New Roman"/>
          <w:i/>
        </w:rPr>
      </w:pPr>
    </w:p>
    <w:p w:rsidR="00F50C7A" w:rsidRDefault="00645D67" w:rsidP="00F50C7A">
      <w:pPr>
        <w:pStyle w:val="ListParagraph"/>
        <w:numPr>
          <w:ilvl w:val="0"/>
          <w:numId w:val="12"/>
        </w:numPr>
        <w:rPr>
          <w:i/>
        </w:rPr>
      </w:pPr>
      <w:r w:rsidRPr="003B45B3">
        <w:rPr>
          <w:i/>
        </w:rPr>
        <w:t>Transactions Secured Solely by an Existing Manufactured Home and Not Land</w:t>
      </w:r>
    </w:p>
    <w:p w:rsidR="00F50C7A" w:rsidRDefault="00645D67" w:rsidP="00F50C7A">
      <w:pPr>
        <w:pStyle w:val="ListParagraph"/>
        <w:numPr>
          <w:ilvl w:val="0"/>
          <w:numId w:val="12"/>
        </w:numPr>
        <w:rPr>
          <w:i/>
        </w:rPr>
      </w:pPr>
      <w:r w:rsidRPr="00F50C7A">
        <w:rPr>
          <w:i/>
        </w:rPr>
        <w:t>Certain</w:t>
      </w:r>
      <w:r w:rsidR="00305A30">
        <w:rPr>
          <w:i/>
        </w:rPr>
        <w:t xml:space="preserve"> “streamlined”</w:t>
      </w:r>
      <w:r w:rsidRPr="00F50C7A">
        <w:rPr>
          <w:i/>
        </w:rPr>
        <w:t xml:space="preserve"> </w:t>
      </w:r>
      <w:proofErr w:type="spellStart"/>
      <w:r w:rsidRPr="00F50C7A">
        <w:rPr>
          <w:i/>
        </w:rPr>
        <w:t>Refinancings</w:t>
      </w:r>
      <w:proofErr w:type="spellEnd"/>
    </w:p>
    <w:p w:rsidR="00645D67" w:rsidRPr="00F50C7A" w:rsidRDefault="00645D67" w:rsidP="00F50C7A">
      <w:pPr>
        <w:pStyle w:val="ListParagraph"/>
        <w:numPr>
          <w:ilvl w:val="0"/>
          <w:numId w:val="12"/>
        </w:numPr>
        <w:rPr>
          <w:i/>
        </w:rPr>
      </w:pPr>
      <w:r w:rsidRPr="00F50C7A">
        <w:rPr>
          <w:i/>
        </w:rPr>
        <w:t>Extensions of Credit of $25,000 or Less</w:t>
      </w:r>
    </w:p>
    <w:p w:rsidR="003B45B3" w:rsidRPr="003B45B3" w:rsidRDefault="003B45B3" w:rsidP="003B45B3">
      <w:pPr>
        <w:ind w:left="360"/>
        <w:rPr>
          <w:i/>
        </w:rPr>
      </w:pPr>
    </w:p>
    <w:p w:rsidR="00EA17EC" w:rsidRPr="00373ED8" w:rsidRDefault="00EA17EC" w:rsidP="003B45B3">
      <w:pPr>
        <w:rPr>
          <w:rFonts w:ascii="Times New Roman" w:hAnsi="Times New Roman"/>
        </w:rPr>
      </w:pPr>
      <w:r w:rsidRPr="00373ED8">
        <w:rPr>
          <w:rFonts w:ascii="Times New Roman" w:hAnsi="Times New Roman"/>
        </w:rPr>
        <w:t>2.</w:t>
      </w:r>
      <w:r w:rsidRPr="00373ED8">
        <w:rPr>
          <w:rFonts w:ascii="Times New Roman" w:hAnsi="Times New Roman"/>
        </w:rPr>
        <w:tab/>
      </w:r>
      <w:r w:rsidRPr="00373ED8">
        <w:rPr>
          <w:rFonts w:ascii="Times New Roman" w:hAnsi="Times New Roman"/>
          <w:u w:val="single"/>
        </w:rPr>
        <w:t>Use of the information:</w:t>
      </w:r>
    </w:p>
    <w:p w:rsidR="00EA17EC" w:rsidRPr="00373ED8" w:rsidRDefault="00EA17EC" w:rsidP="00373ED8">
      <w:pPr>
        <w:rPr>
          <w:rFonts w:ascii="Times New Roman" w:hAnsi="Times New Roman"/>
        </w:rPr>
      </w:pPr>
    </w:p>
    <w:p w:rsidR="00305A30" w:rsidRDefault="00FF6220" w:rsidP="009B39DC">
      <w:pPr>
        <w:ind w:left="720"/>
        <w:rPr>
          <w:rFonts w:ascii="Times New Roman" w:hAnsi="Times New Roman"/>
        </w:rPr>
      </w:pPr>
      <w:r w:rsidRPr="00FF6220">
        <w:rPr>
          <w:rFonts w:ascii="Times New Roman" w:hAnsi="Times New Roman"/>
        </w:rPr>
        <w:t xml:space="preserve">The collection of information requirements in the 2013 </w:t>
      </w:r>
      <w:r w:rsidR="007A12D6">
        <w:rPr>
          <w:rFonts w:ascii="Times New Roman" w:hAnsi="Times New Roman"/>
        </w:rPr>
        <w:t xml:space="preserve">Interagency Appraisals </w:t>
      </w:r>
      <w:r w:rsidRPr="00FF6220">
        <w:rPr>
          <w:rFonts w:ascii="Times New Roman" w:hAnsi="Times New Roman"/>
        </w:rPr>
        <w:t xml:space="preserve">Final Rule are found in paragraphs </w:t>
      </w:r>
      <w:r w:rsidR="00721656">
        <w:rPr>
          <w:rFonts w:ascii="Times New Roman" w:hAnsi="Times New Roman"/>
        </w:rPr>
        <w:t>(c</w:t>
      </w:r>
      <w:r>
        <w:rPr>
          <w:rFonts w:ascii="Times New Roman" w:hAnsi="Times New Roman"/>
        </w:rPr>
        <w:t xml:space="preserve">)(1), (c)(2),(d), (e) and (f) </w:t>
      </w:r>
      <w:r w:rsidRPr="00373ED8">
        <w:rPr>
          <w:rFonts w:ascii="Times New Roman" w:hAnsi="Times New Roman"/>
        </w:rPr>
        <w:t xml:space="preserve">of 12 CFR </w:t>
      </w:r>
      <w:r>
        <w:rPr>
          <w:rFonts w:ascii="Times New Roman" w:hAnsi="Times New Roman"/>
        </w:rPr>
        <w:t xml:space="preserve">34.203. </w:t>
      </w:r>
      <w:r w:rsidR="00B04B76" w:rsidRPr="00373ED8">
        <w:rPr>
          <w:rFonts w:ascii="Times New Roman" w:hAnsi="Times New Roman"/>
        </w:rPr>
        <w:t xml:space="preserve">This information is </w:t>
      </w:r>
      <w:r w:rsidR="0063340F">
        <w:rPr>
          <w:rFonts w:ascii="Times New Roman" w:hAnsi="Times New Roman"/>
        </w:rPr>
        <w:t>needed t</w:t>
      </w:r>
      <w:r w:rsidR="00B04B76" w:rsidRPr="00373ED8">
        <w:rPr>
          <w:rFonts w:ascii="Times New Roman" w:hAnsi="Times New Roman"/>
        </w:rPr>
        <w:t xml:space="preserve">o protect consumers and promotes the safety and soundness of creditors making higher-risk mortgage loans.  This information will be used by creditors to evaluate real estate collateral in higher-risk mortgage loan transactions and by consumers entering these transactions.  The collections of information are mandatory for creditors making higher-risk mortgage loans.  </w:t>
      </w:r>
      <w:r w:rsidR="00240373">
        <w:rPr>
          <w:rFonts w:ascii="Times New Roman" w:hAnsi="Times New Roman"/>
        </w:rPr>
        <w:t xml:space="preserve">While this rule imposes requirements on creditors, because of statutory exemptions and the exemptions from the </w:t>
      </w:r>
      <w:r w:rsidR="007800F7">
        <w:rPr>
          <w:rFonts w:ascii="Times New Roman" w:hAnsi="Times New Roman"/>
        </w:rPr>
        <w:t>requirements included</w:t>
      </w:r>
      <w:r w:rsidR="00240373">
        <w:rPr>
          <w:rFonts w:ascii="Times New Roman" w:hAnsi="Times New Roman"/>
        </w:rPr>
        <w:t xml:space="preserve"> in the final rule, staff at the agencies believe that the </w:t>
      </w:r>
      <w:r w:rsidR="007800F7">
        <w:rPr>
          <w:rFonts w:ascii="Times New Roman" w:hAnsi="Times New Roman"/>
        </w:rPr>
        <w:t>majority of</w:t>
      </w:r>
      <w:r w:rsidR="00240373">
        <w:rPr>
          <w:rFonts w:ascii="Times New Roman" w:hAnsi="Times New Roman"/>
        </w:rPr>
        <w:t xml:space="preserve"> </w:t>
      </w:r>
      <w:r w:rsidR="007800F7">
        <w:rPr>
          <w:rFonts w:ascii="Times New Roman" w:hAnsi="Times New Roman"/>
        </w:rPr>
        <w:t>loans will</w:t>
      </w:r>
      <w:r w:rsidR="00240373">
        <w:rPr>
          <w:rFonts w:ascii="Times New Roman" w:hAnsi="Times New Roman"/>
        </w:rPr>
        <w:t xml:space="preserve"> not be subject to these requirements.</w:t>
      </w:r>
    </w:p>
    <w:p w:rsidR="006023E3" w:rsidRPr="00373ED8" w:rsidRDefault="006023E3" w:rsidP="009B39DC">
      <w:pPr>
        <w:ind w:left="720"/>
        <w:rPr>
          <w:rFonts w:ascii="Times New Roman" w:hAnsi="Times New Roman"/>
        </w:rPr>
      </w:pPr>
    </w:p>
    <w:p w:rsidR="00691C16" w:rsidRPr="00D2740F" w:rsidRDefault="00691C16" w:rsidP="006D0DDB">
      <w:pPr>
        <w:pStyle w:val="ListParagraph"/>
        <w:ind w:left="1080"/>
      </w:pPr>
    </w:p>
    <w:p w:rsidR="00EA17EC" w:rsidRPr="00373ED8" w:rsidRDefault="00EA17EC" w:rsidP="00373ED8">
      <w:pPr>
        <w:tabs>
          <w:tab w:val="left" w:pos="-1440"/>
        </w:tabs>
        <w:ind w:left="720" w:hanging="720"/>
        <w:rPr>
          <w:rFonts w:ascii="Times New Roman" w:hAnsi="Times New Roman"/>
        </w:rPr>
      </w:pPr>
      <w:r w:rsidRPr="00373ED8">
        <w:rPr>
          <w:rFonts w:ascii="Times New Roman" w:hAnsi="Times New Roman"/>
        </w:rPr>
        <w:lastRenderedPageBreak/>
        <w:t>3.</w:t>
      </w:r>
      <w:r w:rsidRPr="00373ED8">
        <w:rPr>
          <w:rFonts w:ascii="Times New Roman" w:hAnsi="Times New Roman"/>
        </w:rPr>
        <w:tab/>
      </w:r>
      <w:r w:rsidRPr="00373ED8">
        <w:rPr>
          <w:rFonts w:ascii="Times New Roman" w:hAnsi="Times New Roman"/>
          <w:u w:val="single"/>
        </w:rPr>
        <w:t>Consideration of the use of improved information technology:</w:t>
      </w:r>
    </w:p>
    <w:p w:rsidR="00EA17EC" w:rsidRPr="00373ED8" w:rsidRDefault="00EA17EC" w:rsidP="00373ED8">
      <w:pPr>
        <w:rPr>
          <w:rFonts w:ascii="Times New Roman" w:hAnsi="Times New Roman"/>
        </w:rPr>
      </w:pPr>
    </w:p>
    <w:p w:rsidR="008349A5" w:rsidRDefault="00D061A7" w:rsidP="009B39DC">
      <w:pPr>
        <w:ind w:left="720"/>
        <w:rPr>
          <w:rFonts w:ascii="Times New Roman" w:hAnsi="Times New Roman"/>
        </w:rPr>
      </w:pPr>
      <w:r>
        <w:rPr>
          <w:rFonts w:ascii="Times New Roman" w:hAnsi="Times New Roman"/>
        </w:rPr>
        <w:t>Respondents may use any type of improved information technology they have available to meet the requirements of this regulation.</w:t>
      </w:r>
    </w:p>
    <w:p w:rsidR="007A12D6" w:rsidRPr="00373ED8" w:rsidRDefault="007A12D6" w:rsidP="009B39DC">
      <w:pPr>
        <w:ind w:left="720"/>
        <w:rPr>
          <w:rFonts w:ascii="Times New Roman" w:hAnsi="Times New Roman"/>
        </w:rPr>
      </w:pPr>
    </w:p>
    <w:p w:rsidR="00EA17EC" w:rsidRPr="00373ED8" w:rsidRDefault="00EA17EC" w:rsidP="00373ED8">
      <w:pPr>
        <w:tabs>
          <w:tab w:val="left" w:pos="-1440"/>
        </w:tabs>
        <w:ind w:left="720" w:hanging="720"/>
        <w:rPr>
          <w:rFonts w:ascii="Times New Roman" w:hAnsi="Times New Roman"/>
        </w:rPr>
      </w:pPr>
      <w:r w:rsidRPr="00373ED8">
        <w:rPr>
          <w:rFonts w:ascii="Times New Roman" w:hAnsi="Times New Roman"/>
        </w:rPr>
        <w:t>4.</w:t>
      </w:r>
      <w:r w:rsidRPr="00373ED8">
        <w:rPr>
          <w:rFonts w:ascii="Times New Roman" w:hAnsi="Times New Roman"/>
        </w:rPr>
        <w:tab/>
      </w:r>
      <w:r w:rsidRPr="00373ED8">
        <w:rPr>
          <w:rFonts w:ascii="Times New Roman" w:hAnsi="Times New Roman"/>
          <w:u w:val="single"/>
        </w:rPr>
        <w:t>Efforts to identify duplication:</w:t>
      </w:r>
    </w:p>
    <w:p w:rsidR="00EA17EC" w:rsidRPr="00373ED8" w:rsidRDefault="00EA17EC" w:rsidP="00373ED8">
      <w:pPr>
        <w:rPr>
          <w:rFonts w:ascii="Times New Roman" w:hAnsi="Times New Roman"/>
        </w:rPr>
      </w:pPr>
    </w:p>
    <w:p w:rsidR="00EA17EC" w:rsidRDefault="00D061A7" w:rsidP="00373ED8">
      <w:pPr>
        <w:rPr>
          <w:rFonts w:ascii="Times New Roman" w:hAnsi="Times New Roman"/>
        </w:rPr>
      </w:pPr>
      <w:r>
        <w:rPr>
          <w:rFonts w:ascii="Times New Roman" w:hAnsi="Times New Roman"/>
        </w:rPr>
        <w:tab/>
        <w:t>This information is not available elsewhere.</w:t>
      </w:r>
    </w:p>
    <w:p w:rsidR="00D061A7" w:rsidRPr="00373ED8" w:rsidRDefault="00D061A7" w:rsidP="00373ED8">
      <w:pPr>
        <w:rPr>
          <w:rFonts w:ascii="Times New Roman" w:hAnsi="Times New Roman"/>
        </w:rPr>
      </w:pPr>
    </w:p>
    <w:p w:rsidR="00EA17EC" w:rsidRPr="00373ED8" w:rsidRDefault="00EA17EC" w:rsidP="00373ED8">
      <w:pPr>
        <w:tabs>
          <w:tab w:val="left" w:pos="-1440"/>
        </w:tabs>
        <w:ind w:left="720" w:hanging="720"/>
        <w:rPr>
          <w:rFonts w:ascii="Times New Roman" w:hAnsi="Times New Roman"/>
        </w:rPr>
      </w:pPr>
      <w:r w:rsidRPr="00373ED8">
        <w:rPr>
          <w:rFonts w:ascii="Times New Roman" w:hAnsi="Times New Roman"/>
        </w:rPr>
        <w:t>5.</w:t>
      </w:r>
      <w:r w:rsidRPr="00373ED8">
        <w:rPr>
          <w:rFonts w:ascii="Times New Roman" w:hAnsi="Times New Roman"/>
        </w:rPr>
        <w:tab/>
      </w:r>
      <w:r w:rsidRPr="00373ED8">
        <w:rPr>
          <w:rFonts w:ascii="Times New Roman" w:hAnsi="Times New Roman"/>
          <w:u w:val="single"/>
        </w:rPr>
        <w:t>Methods used to minimize burden if the collection has a significant impact on substantial number of small entities:</w:t>
      </w:r>
    </w:p>
    <w:p w:rsidR="00EA17EC" w:rsidRPr="00373ED8" w:rsidRDefault="00EA17EC" w:rsidP="00373ED8">
      <w:pPr>
        <w:rPr>
          <w:rFonts w:ascii="Times New Roman" w:hAnsi="Times New Roman"/>
        </w:rPr>
      </w:pPr>
    </w:p>
    <w:p w:rsidR="00EA17EC" w:rsidRDefault="00D061A7" w:rsidP="003B45B3">
      <w:pPr>
        <w:ind w:left="720"/>
        <w:rPr>
          <w:rFonts w:ascii="Times New Roman" w:hAnsi="Times New Roman"/>
        </w:rPr>
      </w:pPr>
      <w:r>
        <w:rPr>
          <w:rFonts w:ascii="Times New Roman" w:hAnsi="Times New Roman"/>
        </w:rPr>
        <w:t>This collection does not have a significant impact on a substantial number of small entities.</w:t>
      </w:r>
    </w:p>
    <w:p w:rsidR="00D061A7" w:rsidRPr="00373ED8" w:rsidRDefault="00D061A7" w:rsidP="00373ED8">
      <w:pPr>
        <w:rPr>
          <w:rFonts w:ascii="Times New Roman" w:hAnsi="Times New Roman"/>
        </w:rPr>
      </w:pPr>
    </w:p>
    <w:p w:rsidR="00EA17EC" w:rsidRPr="00373ED8" w:rsidRDefault="00EA17EC" w:rsidP="00373ED8">
      <w:pPr>
        <w:tabs>
          <w:tab w:val="left" w:pos="-1440"/>
        </w:tabs>
        <w:ind w:left="720" w:hanging="720"/>
        <w:rPr>
          <w:rFonts w:ascii="Times New Roman" w:hAnsi="Times New Roman"/>
        </w:rPr>
      </w:pPr>
      <w:r w:rsidRPr="00373ED8">
        <w:rPr>
          <w:rFonts w:ascii="Times New Roman" w:hAnsi="Times New Roman"/>
        </w:rPr>
        <w:t>6.</w:t>
      </w:r>
      <w:r w:rsidRPr="00373ED8">
        <w:rPr>
          <w:rFonts w:ascii="Times New Roman" w:hAnsi="Times New Roman"/>
        </w:rPr>
        <w:tab/>
      </w:r>
      <w:r w:rsidRPr="00373ED8">
        <w:rPr>
          <w:rFonts w:ascii="Times New Roman" w:hAnsi="Times New Roman"/>
          <w:u w:val="single"/>
        </w:rPr>
        <w:t>Consequences to the Federal program if the collection were conducted less frequently:</w:t>
      </w:r>
    </w:p>
    <w:p w:rsidR="00EA17EC" w:rsidRDefault="00EA17EC" w:rsidP="00373ED8">
      <w:pPr>
        <w:rPr>
          <w:rFonts w:ascii="Times New Roman" w:hAnsi="Times New Roman"/>
        </w:rPr>
      </w:pPr>
    </w:p>
    <w:p w:rsidR="00D061A7" w:rsidRPr="00373ED8" w:rsidRDefault="00D061A7" w:rsidP="00373ED8">
      <w:pPr>
        <w:rPr>
          <w:rFonts w:ascii="Times New Roman" w:hAnsi="Times New Roman"/>
        </w:rPr>
      </w:pPr>
      <w:r>
        <w:rPr>
          <w:rFonts w:ascii="Times New Roman" w:hAnsi="Times New Roman"/>
        </w:rPr>
        <w:tab/>
        <w:t>Less frequent collection would result in safety and soundness concerns.</w:t>
      </w:r>
    </w:p>
    <w:p w:rsidR="00EA17EC" w:rsidRPr="00373ED8" w:rsidRDefault="00EA17EC" w:rsidP="00373ED8">
      <w:pPr>
        <w:rPr>
          <w:rFonts w:ascii="Times New Roman" w:hAnsi="Times New Roman"/>
        </w:rPr>
      </w:pPr>
    </w:p>
    <w:p w:rsidR="00EA17EC" w:rsidRPr="00373ED8" w:rsidRDefault="00EA17EC" w:rsidP="00373ED8">
      <w:pPr>
        <w:tabs>
          <w:tab w:val="left" w:pos="-1440"/>
        </w:tabs>
        <w:ind w:left="720" w:hanging="720"/>
        <w:rPr>
          <w:rFonts w:ascii="Times New Roman" w:hAnsi="Times New Roman"/>
        </w:rPr>
      </w:pPr>
      <w:r w:rsidRPr="00373ED8">
        <w:rPr>
          <w:rFonts w:ascii="Times New Roman" w:hAnsi="Times New Roman"/>
        </w:rPr>
        <w:t>7.</w:t>
      </w:r>
      <w:r w:rsidRPr="00373ED8">
        <w:rPr>
          <w:rFonts w:ascii="Times New Roman" w:hAnsi="Times New Roman"/>
        </w:rPr>
        <w:tab/>
      </w:r>
      <w:r w:rsidRPr="00373ED8">
        <w:rPr>
          <w:rFonts w:ascii="Times New Roman" w:hAnsi="Times New Roman"/>
          <w:u w:val="single"/>
        </w:rPr>
        <w:t>Special circumstances necessitating collection inconsistent with 5 CFR Part 1320:</w:t>
      </w:r>
    </w:p>
    <w:p w:rsidR="00EA17EC" w:rsidRPr="00373ED8" w:rsidRDefault="00EA17EC" w:rsidP="00373ED8">
      <w:pPr>
        <w:rPr>
          <w:rFonts w:ascii="Times New Roman" w:hAnsi="Times New Roman"/>
        </w:rPr>
      </w:pPr>
    </w:p>
    <w:p w:rsidR="00EA17EC" w:rsidRPr="00373ED8" w:rsidRDefault="00EA17EC" w:rsidP="00D061A7">
      <w:pPr>
        <w:ind w:firstLine="720"/>
        <w:rPr>
          <w:rFonts w:ascii="Times New Roman" w:hAnsi="Times New Roman"/>
        </w:rPr>
      </w:pPr>
      <w:r w:rsidRPr="00373ED8">
        <w:rPr>
          <w:rFonts w:ascii="Times New Roman" w:hAnsi="Times New Roman"/>
        </w:rPr>
        <w:t xml:space="preserve">This collection is conducted in accordance with the guidelines in </w:t>
      </w:r>
      <w:proofErr w:type="gramStart"/>
      <w:r w:rsidRPr="00373ED8">
        <w:rPr>
          <w:rFonts w:ascii="Times New Roman" w:hAnsi="Times New Roman"/>
        </w:rPr>
        <w:t>5</w:t>
      </w:r>
      <w:proofErr w:type="gramEnd"/>
      <w:r w:rsidRPr="00373ED8">
        <w:rPr>
          <w:rFonts w:ascii="Times New Roman" w:hAnsi="Times New Roman"/>
        </w:rPr>
        <w:t xml:space="preserve"> CFR 1320.6.</w:t>
      </w:r>
    </w:p>
    <w:p w:rsidR="00EA17EC" w:rsidRPr="00373ED8" w:rsidRDefault="00EA17EC" w:rsidP="00373ED8">
      <w:pPr>
        <w:rPr>
          <w:rFonts w:ascii="Times New Roman" w:hAnsi="Times New Roman"/>
        </w:rPr>
      </w:pPr>
    </w:p>
    <w:p w:rsidR="00EA17EC" w:rsidRPr="00373ED8" w:rsidRDefault="00EA17EC" w:rsidP="00373ED8">
      <w:pPr>
        <w:tabs>
          <w:tab w:val="left" w:pos="-1440"/>
        </w:tabs>
        <w:ind w:left="720" w:hanging="720"/>
        <w:rPr>
          <w:rFonts w:ascii="Times New Roman" w:hAnsi="Times New Roman"/>
        </w:rPr>
      </w:pPr>
      <w:r w:rsidRPr="00373ED8">
        <w:rPr>
          <w:rFonts w:ascii="Times New Roman" w:hAnsi="Times New Roman"/>
        </w:rPr>
        <w:t>8.</w:t>
      </w:r>
      <w:r w:rsidRPr="00373ED8">
        <w:rPr>
          <w:rFonts w:ascii="Times New Roman" w:hAnsi="Times New Roman"/>
        </w:rPr>
        <w:tab/>
      </w:r>
      <w:r w:rsidRPr="00373ED8">
        <w:rPr>
          <w:rFonts w:ascii="Times New Roman" w:hAnsi="Times New Roman"/>
          <w:u w:val="single"/>
        </w:rPr>
        <w:t>Efforts to consult with persons outside the agency:</w:t>
      </w:r>
    </w:p>
    <w:p w:rsidR="00EA17EC" w:rsidRPr="00373ED8" w:rsidRDefault="00EA17EC" w:rsidP="00373ED8">
      <w:pPr>
        <w:widowControl/>
        <w:rPr>
          <w:rFonts w:ascii="Times New Roman" w:hAnsi="Times New Roman"/>
        </w:rPr>
      </w:pPr>
    </w:p>
    <w:p w:rsidR="00EA17EC" w:rsidRDefault="00D061A7" w:rsidP="003B45B3">
      <w:pPr>
        <w:pStyle w:val="Heading2"/>
        <w:ind w:left="720"/>
        <w:jc w:val="left"/>
        <w:rPr>
          <w:rFonts w:ascii="Times New Roman" w:hAnsi="Times New Roman"/>
          <w:i w:val="0"/>
          <w:iCs/>
          <w:szCs w:val="24"/>
        </w:rPr>
      </w:pPr>
      <w:r>
        <w:rPr>
          <w:rFonts w:ascii="Times New Roman" w:hAnsi="Times New Roman"/>
          <w:i w:val="0"/>
          <w:iCs/>
          <w:szCs w:val="24"/>
        </w:rPr>
        <w:t xml:space="preserve">On </w:t>
      </w:r>
      <w:r w:rsidR="000348F8">
        <w:rPr>
          <w:rFonts w:ascii="Times New Roman" w:hAnsi="Times New Roman"/>
          <w:i w:val="0"/>
          <w:iCs/>
          <w:szCs w:val="24"/>
        </w:rPr>
        <w:t xml:space="preserve">August 8, 2013, </w:t>
      </w:r>
      <w:r>
        <w:rPr>
          <w:rFonts w:ascii="Times New Roman" w:hAnsi="Times New Roman"/>
          <w:i w:val="0"/>
          <w:iCs/>
          <w:szCs w:val="24"/>
        </w:rPr>
        <w:t xml:space="preserve">the </w:t>
      </w:r>
      <w:r w:rsidR="00800BC5">
        <w:rPr>
          <w:rFonts w:ascii="Times New Roman" w:hAnsi="Times New Roman"/>
          <w:i w:val="0"/>
          <w:iCs/>
          <w:szCs w:val="24"/>
        </w:rPr>
        <w:t>Agencies</w:t>
      </w:r>
      <w:r>
        <w:rPr>
          <w:rFonts w:ascii="Times New Roman" w:hAnsi="Times New Roman"/>
          <w:i w:val="0"/>
          <w:iCs/>
          <w:szCs w:val="24"/>
        </w:rPr>
        <w:t xml:space="preserve"> issued a no</w:t>
      </w:r>
      <w:r w:rsidR="00683D1B">
        <w:rPr>
          <w:rFonts w:ascii="Times New Roman" w:hAnsi="Times New Roman"/>
          <w:i w:val="0"/>
          <w:iCs/>
          <w:szCs w:val="24"/>
        </w:rPr>
        <w:t xml:space="preserve">tice of proposed rulemaking </w:t>
      </w:r>
      <w:r w:rsidR="000348F8">
        <w:rPr>
          <w:rFonts w:ascii="Times New Roman" w:hAnsi="Times New Roman"/>
          <w:i w:val="0"/>
          <w:iCs/>
          <w:szCs w:val="24"/>
        </w:rPr>
        <w:t>(</w:t>
      </w:r>
      <w:r w:rsidR="000348F8">
        <w:rPr>
          <w:rFonts w:ascii="Times New Roman" w:hAnsi="Times New Roman"/>
          <w:i w:val="0"/>
          <w:iCs/>
          <w:szCs w:val="24"/>
        </w:rPr>
        <w:t>78 FR 48548</w:t>
      </w:r>
      <w:r w:rsidR="000348F8">
        <w:rPr>
          <w:rFonts w:ascii="Times New Roman" w:hAnsi="Times New Roman"/>
          <w:i w:val="0"/>
          <w:iCs/>
          <w:szCs w:val="24"/>
        </w:rPr>
        <w:t>)</w:t>
      </w:r>
      <w:r w:rsidR="000348F8">
        <w:rPr>
          <w:rFonts w:ascii="Times New Roman" w:hAnsi="Times New Roman"/>
          <w:i w:val="0"/>
          <w:iCs/>
          <w:szCs w:val="24"/>
        </w:rPr>
        <w:t xml:space="preserve">. </w:t>
      </w:r>
      <w:r w:rsidR="00683D1B">
        <w:rPr>
          <w:rFonts w:ascii="Times New Roman" w:hAnsi="Times New Roman"/>
          <w:i w:val="0"/>
          <w:iCs/>
          <w:szCs w:val="24"/>
        </w:rPr>
        <w:t xml:space="preserve">for </w:t>
      </w:r>
      <w:r w:rsidR="00BD30A0">
        <w:rPr>
          <w:rFonts w:ascii="Times New Roman" w:hAnsi="Times New Roman"/>
          <w:i w:val="0"/>
          <w:iCs/>
          <w:szCs w:val="24"/>
        </w:rPr>
        <w:t xml:space="preserve">comment.  </w:t>
      </w:r>
      <w:bookmarkStart w:id="0" w:name="_GoBack"/>
      <w:bookmarkEnd w:id="0"/>
    </w:p>
    <w:p w:rsidR="00D061A7" w:rsidRPr="00D061A7" w:rsidRDefault="00D061A7" w:rsidP="00D061A7"/>
    <w:p w:rsidR="00EA17EC" w:rsidRPr="00373ED8" w:rsidRDefault="00EA17EC" w:rsidP="00373ED8">
      <w:pPr>
        <w:rPr>
          <w:rFonts w:ascii="Times New Roman" w:hAnsi="Times New Roman"/>
          <w:u w:val="single"/>
        </w:rPr>
      </w:pPr>
      <w:r w:rsidRPr="00373ED8">
        <w:rPr>
          <w:rFonts w:ascii="Times New Roman" w:hAnsi="Times New Roman"/>
        </w:rPr>
        <w:t>9.</w:t>
      </w:r>
      <w:r w:rsidRPr="00373ED8">
        <w:rPr>
          <w:rFonts w:ascii="Times New Roman" w:hAnsi="Times New Roman"/>
        </w:rPr>
        <w:tab/>
      </w:r>
      <w:r w:rsidRPr="00373ED8">
        <w:rPr>
          <w:rFonts w:ascii="Times New Roman" w:hAnsi="Times New Roman"/>
          <w:u w:val="single"/>
        </w:rPr>
        <w:t>Payment to respondents.</w:t>
      </w:r>
    </w:p>
    <w:p w:rsidR="00EA17EC" w:rsidRPr="00373ED8" w:rsidRDefault="00EA17EC" w:rsidP="00373ED8">
      <w:pPr>
        <w:rPr>
          <w:rFonts w:ascii="Times New Roman" w:hAnsi="Times New Roman"/>
          <w:u w:val="single"/>
        </w:rPr>
      </w:pPr>
    </w:p>
    <w:p w:rsidR="00EA17EC" w:rsidRPr="00373ED8" w:rsidRDefault="00EA17EC" w:rsidP="00373ED8">
      <w:pPr>
        <w:ind w:firstLine="720"/>
        <w:rPr>
          <w:rFonts w:ascii="Times New Roman" w:hAnsi="Times New Roman"/>
        </w:rPr>
      </w:pPr>
      <w:r w:rsidRPr="00373ED8">
        <w:rPr>
          <w:rFonts w:ascii="Times New Roman" w:hAnsi="Times New Roman"/>
        </w:rPr>
        <w:t>There is no payment to respondents.</w:t>
      </w:r>
    </w:p>
    <w:p w:rsidR="003B45B3" w:rsidRDefault="003B45B3" w:rsidP="00FA5900">
      <w:pPr>
        <w:tabs>
          <w:tab w:val="left" w:pos="-1440"/>
        </w:tabs>
        <w:rPr>
          <w:rFonts w:ascii="Times New Roman" w:hAnsi="Times New Roman"/>
        </w:rPr>
      </w:pPr>
    </w:p>
    <w:p w:rsidR="00EA17EC" w:rsidRPr="00373ED8" w:rsidRDefault="00EA17EC" w:rsidP="00373ED8">
      <w:pPr>
        <w:tabs>
          <w:tab w:val="left" w:pos="-1440"/>
        </w:tabs>
        <w:ind w:left="720" w:hanging="720"/>
        <w:rPr>
          <w:rFonts w:ascii="Times New Roman" w:hAnsi="Times New Roman"/>
        </w:rPr>
      </w:pPr>
      <w:r w:rsidRPr="00373ED8">
        <w:rPr>
          <w:rFonts w:ascii="Times New Roman" w:hAnsi="Times New Roman"/>
        </w:rPr>
        <w:t>10.</w:t>
      </w:r>
      <w:r w:rsidRPr="00373ED8">
        <w:rPr>
          <w:rFonts w:ascii="Times New Roman" w:hAnsi="Times New Roman"/>
        </w:rPr>
        <w:tab/>
      </w:r>
      <w:r w:rsidRPr="00373ED8">
        <w:rPr>
          <w:rFonts w:ascii="Times New Roman" w:hAnsi="Times New Roman"/>
          <w:u w:val="single"/>
        </w:rPr>
        <w:t>Any assurance of confidentiality:</w:t>
      </w:r>
    </w:p>
    <w:p w:rsidR="00EA17EC" w:rsidRPr="00373ED8" w:rsidRDefault="00EA17EC" w:rsidP="00373ED8">
      <w:pPr>
        <w:rPr>
          <w:rFonts w:ascii="Times New Roman" w:hAnsi="Times New Roman"/>
        </w:rPr>
      </w:pPr>
    </w:p>
    <w:p w:rsidR="00EA17EC" w:rsidRPr="00373ED8" w:rsidRDefault="003B45B3" w:rsidP="00373ED8">
      <w:pPr>
        <w:ind w:firstLine="720"/>
        <w:rPr>
          <w:rFonts w:ascii="Times New Roman" w:hAnsi="Times New Roman"/>
        </w:rPr>
      </w:pPr>
      <w:r>
        <w:rPr>
          <w:rFonts w:ascii="Times New Roman" w:hAnsi="Times New Roman"/>
        </w:rPr>
        <w:t>There is n</w:t>
      </w:r>
      <w:r w:rsidR="00EA17EC" w:rsidRPr="00373ED8">
        <w:rPr>
          <w:rFonts w:ascii="Times New Roman" w:hAnsi="Times New Roman"/>
        </w:rPr>
        <w:t>o assurance of confidentiality</w:t>
      </w:r>
      <w:r>
        <w:rPr>
          <w:rFonts w:ascii="Times New Roman" w:hAnsi="Times New Roman"/>
        </w:rPr>
        <w:t>.</w:t>
      </w:r>
      <w:r w:rsidR="00EA17EC" w:rsidRPr="00373ED8">
        <w:rPr>
          <w:rFonts w:ascii="Times New Roman" w:hAnsi="Times New Roman"/>
        </w:rPr>
        <w:tab/>
      </w:r>
    </w:p>
    <w:p w:rsidR="00EA17EC" w:rsidRPr="00373ED8" w:rsidRDefault="00EA17EC" w:rsidP="00373ED8">
      <w:pPr>
        <w:rPr>
          <w:rFonts w:ascii="Times New Roman" w:hAnsi="Times New Roman"/>
        </w:rPr>
      </w:pPr>
    </w:p>
    <w:p w:rsidR="00EA17EC" w:rsidRPr="00373ED8" w:rsidRDefault="00EA17EC" w:rsidP="00373ED8">
      <w:pPr>
        <w:tabs>
          <w:tab w:val="left" w:pos="-1440"/>
        </w:tabs>
        <w:ind w:left="720" w:hanging="720"/>
        <w:rPr>
          <w:rFonts w:ascii="Times New Roman" w:hAnsi="Times New Roman"/>
        </w:rPr>
      </w:pPr>
      <w:r w:rsidRPr="00373ED8">
        <w:rPr>
          <w:rFonts w:ascii="Times New Roman" w:hAnsi="Times New Roman"/>
        </w:rPr>
        <w:t>11.</w:t>
      </w:r>
      <w:r w:rsidRPr="00373ED8">
        <w:rPr>
          <w:rFonts w:ascii="Times New Roman" w:hAnsi="Times New Roman"/>
        </w:rPr>
        <w:tab/>
      </w:r>
      <w:r w:rsidRPr="00373ED8">
        <w:rPr>
          <w:rFonts w:ascii="Times New Roman" w:hAnsi="Times New Roman"/>
          <w:u w:val="single"/>
        </w:rPr>
        <w:t>Justification for questions of a sensitive nature:</w:t>
      </w:r>
    </w:p>
    <w:p w:rsidR="00EA17EC" w:rsidRPr="00373ED8" w:rsidRDefault="00EA17EC" w:rsidP="00373ED8">
      <w:pPr>
        <w:rPr>
          <w:rFonts w:ascii="Times New Roman" w:hAnsi="Times New Roman"/>
        </w:rPr>
      </w:pPr>
    </w:p>
    <w:p w:rsidR="00FA5900" w:rsidRDefault="003B45B3" w:rsidP="009B39DC">
      <w:pPr>
        <w:ind w:firstLine="720"/>
        <w:rPr>
          <w:rFonts w:ascii="Times New Roman" w:hAnsi="Times New Roman"/>
        </w:rPr>
      </w:pPr>
      <w:r>
        <w:rPr>
          <w:rFonts w:ascii="Times New Roman" w:hAnsi="Times New Roman"/>
        </w:rPr>
        <w:t>There are no questions of a sensitive nature.</w:t>
      </w:r>
    </w:p>
    <w:p w:rsidR="00FA5900" w:rsidRDefault="00FA5900" w:rsidP="009B39DC">
      <w:pPr>
        <w:tabs>
          <w:tab w:val="left" w:pos="-1440"/>
        </w:tabs>
        <w:rPr>
          <w:rFonts w:ascii="Times New Roman" w:hAnsi="Times New Roman"/>
        </w:rPr>
      </w:pPr>
    </w:p>
    <w:p w:rsidR="00D37F01" w:rsidRDefault="00D37F01" w:rsidP="00373ED8">
      <w:pPr>
        <w:tabs>
          <w:tab w:val="left" w:pos="-1440"/>
        </w:tabs>
        <w:ind w:left="720" w:hanging="720"/>
        <w:rPr>
          <w:rFonts w:ascii="Times New Roman" w:hAnsi="Times New Roman"/>
        </w:rPr>
      </w:pPr>
    </w:p>
    <w:p w:rsidR="00D37F01" w:rsidRDefault="00D37F01" w:rsidP="00373ED8">
      <w:pPr>
        <w:tabs>
          <w:tab w:val="left" w:pos="-1440"/>
        </w:tabs>
        <w:ind w:left="720" w:hanging="720"/>
        <w:rPr>
          <w:rFonts w:ascii="Times New Roman" w:hAnsi="Times New Roman"/>
        </w:rPr>
      </w:pPr>
    </w:p>
    <w:p w:rsidR="00D37F01" w:rsidRDefault="00D37F01" w:rsidP="00373ED8">
      <w:pPr>
        <w:tabs>
          <w:tab w:val="left" w:pos="-1440"/>
        </w:tabs>
        <w:ind w:left="720" w:hanging="720"/>
        <w:rPr>
          <w:rFonts w:ascii="Times New Roman" w:hAnsi="Times New Roman"/>
        </w:rPr>
      </w:pPr>
    </w:p>
    <w:p w:rsidR="006023E3" w:rsidRDefault="006023E3" w:rsidP="006023E3">
      <w:pPr>
        <w:tabs>
          <w:tab w:val="left" w:pos="-1440"/>
        </w:tabs>
        <w:rPr>
          <w:rFonts w:ascii="Times New Roman" w:hAnsi="Times New Roman"/>
        </w:rPr>
      </w:pPr>
    </w:p>
    <w:p w:rsidR="00EA17EC" w:rsidRDefault="00EA17EC" w:rsidP="006023E3">
      <w:pPr>
        <w:tabs>
          <w:tab w:val="left" w:pos="-1440"/>
        </w:tabs>
        <w:rPr>
          <w:rFonts w:ascii="Times New Roman" w:hAnsi="Times New Roman"/>
          <w:u w:val="single"/>
        </w:rPr>
      </w:pPr>
      <w:r w:rsidRPr="00373ED8">
        <w:rPr>
          <w:rFonts w:ascii="Times New Roman" w:hAnsi="Times New Roman"/>
        </w:rPr>
        <w:t>12.</w:t>
      </w:r>
      <w:r w:rsidRPr="00373ED8">
        <w:rPr>
          <w:rFonts w:ascii="Times New Roman" w:hAnsi="Times New Roman"/>
        </w:rPr>
        <w:tab/>
      </w:r>
      <w:r w:rsidR="00A04829" w:rsidRPr="00A04829">
        <w:rPr>
          <w:rFonts w:ascii="Times New Roman" w:hAnsi="Times New Roman"/>
          <w:u w:val="single"/>
        </w:rPr>
        <w:t>Estimate of Hour</w:t>
      </w:r>
      <w:r w:rsidR="00A04829">
        <w:rPr>
          <w:rFonts w:ascii="Times New Roman" w:hAnsi="Times New Roman"/>
        </w:rPr>
        <w:t xml:space="preserve"> </w:t>
      </w:r>
      <w:r w:rsidRPr="00373ED8">
        <w:rPr>
          <w:rFonts w:ascii="Times New Roman" w:hAnsi="Times New Roman"/>
          <w:u w:val="single"/>
        </w:rPr>
        <w:t xml:space="preserve">Burden </w:t>
      </w:r>
      <w:r w:rsidR="00A04829">
        <w:rPr>
          <w:rFonts w:ascii="Times New Roman" w:hAnsi="Times New Roman"/>
          <w:u w:val="single"/>
        </w:rPr>
        <w:t>Including Annualized Hourly Costs</w:t>
      </w:r>
      <w:r w:rsidRPr="00373ED8">
        <w:rPr>
          <w:rFonts w:ascii="Times New Roman" w:hAnsi="Times New Roman"/>
          <w:u w:val="single"/>
        </w:rPr>
        <w:t>:</w:t>
      </w:r>
    </w:p>
    <w:p w:rsidR="00C94DAC" w:rsidRDefault="00C94DAC" w:rsidP="00373ED8">
      <w:pPr>
        <w:tabs>
          <w:tab w:val="left" w:pos="-1440"/>
        </w:tabs>
        <w:ind w:left="720" w:hanging="720"/>
        <w:rPr>
          <w:rFonts w:ascii="Times New Roman" w:hAnsi="Times New Roman"/>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1245"/>
        <w:gridCol w:w="1310"/>
        <w:gridCol w:w="1153"/>
      </w:tblGrid>
      <w:tr w:rsidR="004B3230" w:rsidRPr="004B3230" w:rsidTr="00B022BB">
        <w:tc>
          <w:tcPr>
            <w:tcW w:w="2218" w:type="pct"/>
            <w:shd w:val="clear" w:color="auto" w:fill="C4BC96"/>
          </w:tcPr>
          <w:p w:rsidR="004B3230" w:rsidRPr="004B3230" w:rsidRDefault="004B3230" w:rsidP="004B3230">
            <w:pPr>
              <w:autoSpaceDE/>
              <w:autoSpaceDN/>
              <w:adjustRightInd/>
              <w:jc w:val="center"/>
              <w:rPr>
                <w:rFonts w:ascii="Times New Roman" w:hAnsi="Times New Roman"/>
                <w:b/>
                <w:snapToGrid w:val="0"/>
              </w:rPr>
            </w:pPr>
            <w:r>
              <w:rPr>
                <w:rFonts w:ascii="Times New Roman" w:hAnsi="Times New Roman"/>
                <w:b/>
                <w:snapToGrid w:val="0"/>
              </w:rPr>
              <w:t>HPML –Exemptions in Supplemental Proposal</w:t>
            </w:r>
          </w:p>
        </w:tc>
        <w:tc>
          <w:tcPr>
            <w:tcW w:w="846" w:type="pct"/>
            <w:shd w:val="clear" w:color="auto" w:fill="C4BC96"/>
          </w:tcPr>
          <w:p w:rsidR="004B3230" w:rsidRPr="004B3230" w:rsidRDefault="004B3230" w:rsidP="004B3230">
            <w:pPr>
              <w:autoSpaceDE/>
              <w:autoSpaceDN/>
              <w:adjustRightInd/>
              <w:jc w:val="center"/>
              <w:rPr>
                <w:rFonts w:ascii="Times New Roman" w:hAnsi="Times New Roman"/>
                <w:b/>
                <w:snapToGrid w:val="0"/>
              </w:rPr>
            </w:pPr>
            <w:r w:rsidRPr="004B3230">
              <w:rPr>
                <w:rFonts w:ascii="Times New Roman" w:hAnsi="Times New Roman"/>
                <w:b/>
                <w:snapToGrid w:val="0"/>
              </w:rPr>
              <w:t>No. of</w:t>
            </w:r>
          </w:p>
          <w:p w:rsidR="004B3230" w:rsidRPr="004B3230" w:rsidRDefault="004B3230" w:rsidP="004B3230">
            <w:pPr>
              <w:autoSpaceDE/>
              <w:autoSpaceDN/>
              <w:adjustRightInd/>
              <w:jc w:val="center"/>
              <w:rPr>
                <w:rFonts w:ascii="Times New Roman" w:hAnsi="Times New Roman"/>
                <w:b/>
                <w:snapToGrid w:val="0"/>
              </w:rPr>
            </w:pPr>
            <w:r w:rsidRPr="004B3230">
              <w:rPr>
                <w:rFonts w:ascii="Times New Roman" w:hAnsi="Times New Roman"/>
                <w:b/>
                <w:snapToGrid w:val="0"/>
              </w:rPr>
              <w:t>Respondents</w:t>
            </w:r>
          </w:p>
        </w:tc>
        <w:tc>
          <w:tcPr>
            <w:tcW w:w="650" w:type="pct"/>
            <w:shd w:val="clear" w:color="auto" w:fill="C4BC96"/>
          </w:tcPr>
          <w:p w:rsidR="004B3230" w:rsidRPr="004B3230" w:rsidRDefault="004B3230" w:rsidP="004B3230">
            <w:pPr>
              <w:autoSpaceDE/>
              <w:autoSpaceDN/>
              <w:adjustRightInd/>
              <w:jc w:val="center"/>
              <w:rPr>
                <w:rFonts w:ascii="Times New Roman" w:hAnsi="Times New Roman"/>
                <w:b/>
                <w:snapToGrid w:val="0"/>
              </w:rPr>
            </w:pPr>
            <w:r w:rsidRPr="004B3230">
              <w:rPr>
                <w:rFonts w:ascii="Times New Roman" w:hAnsi="Times New Roman"/>
                <w:b/>
                <w:snapToGrid w:val="0"/>
              </w:rPr>
              <w:t>Hours Per</w:t>
            </w:r>
          </w:p>
          <w:p w:rsidR="004B3230" w:rsidRPr="004B3230" w:rsidRDefault="004B3230" w:rsidP="004B3230">
            <w:pPr>
              <w:autoSpaceDE/>
              <w:autoSpaceDN/>
              <w:adjustRightInd/>
              <w:jc w:val="center"/>
              <w:rPr>
                <w:rFonts w:ascii="Times New Roman" w:hAnsi="Times New Roman"/>
                <w:b/>
                <w:snapToGrid w:val="0"/>
              </w:rPr>
            </w:pPr>
            <w:r w:rsidRPr="004B3230">
              <w:rPr>
                <w:rFonts w:ascii="Times New Roman" w:hAnsi="Times New Roman"/>
                <w:b/>
                <w:snapToGrid w:val="0"/>
              </w:rPr>
              <w:t>Response</w:t>
            </w:r>
          </w:p>
        </w:tc>
        <w:tc>
          <w:tcPr>
            <w:tcW w:w="684" w:type="pct"/>
            <w:shd w:val="clear" w:color="auto" w:fill="C4BC96"/>
          </w:tcPr>
          <w:p w:rsidR="004B3230" w:rsidRPr="004B3230" w:rsidRDefault="004B3230" w:rsidP="004B3230">
            <w:pPr>
              <w:autoSpaceDE/>
              <w:autoSpaceDN/>
              <w:adjustRightInd/>
              <w:jc w:val="center"/>
              <w:rPr>
                <w:rFonts w:ascii="Times New Roman" w:hAnsi="Times New Roman"/>
                <w:b/>
                <w:snapToGrid w:val="0"/>
              </w:rPr>
            </w:pPr>
            <w:r w:rsidRPr="004B3230">
              <w:rPr>
                <w:rFonts w:ascii="Times New Roman" w:hAnsi="Times New Roman"/>
                <w:b/>
                <w:snapToGrid w:val="0"/>
              </w:rPr>
              <w:t>Frequency</w:t>
            </w:r>
          </w:p>
          <w:p w:rsidR="004B3230" w:rsidRPr="004B3230" w:rsidRDefault="004B3230" w:rsidP="004B3230">
            <w:pPr>
              <w:autoSpaceDE/>
              <w:autoSpaceDN/>
              <w:adjustRightInd/>
              <w:jc w:val="center"/>
              <w:rPr>
                <w:rFonts w:ascii="Times New Roman" w:hAnsi="Times New Roman"/>
                <w:b/>
                <w:snapToGrid w:val="0"/>
              </w:rPr>
            </w:pPr>
            <w:r w:rsidRPr="004B3230">
              <w:rPr>
                <w:rFonts w:ascii="Times New Roman" w:hAnsi="Times New Roman"/>
                <w:b/>
                <w:snapToGrid w:val="0"/>
              </w:rPr>
              <w:t>Of Response</w:t>
            </w:r>
          </w:p>
        </w:tc>
        <w:tc>
          <w:tcPr>
            <w:tcW w:w="602" w:type="pct"/>
            <w:shd w:val="clear" w:color="auto" w:fill="C4BC96"/>
          </w:tcPr>
          <w:p w:rsidR="004B3230" w:rsidRPr="004B3230" w:rsidRDefault="004B3230" w:rsidP="004B3230">
            <w:pPr>
              <w:autoSpaceDE/>
              <w:autoSpaceDN/>
              <w:adjustRightInd/>
              <w:jc w:val="center"/>
              <w:rPr>
                <w:rFonts w:ascii="Times New Roman" w:hAnsi="Times New Roman"/>
                <w:b/>
                <w:snapToGrid w:val="0"/>
              </w:rPr>
            </w:pPr>
            <w:r w:rsidRPr="004B3230">
              <w:rPr>
                <w:rFonts w:ascii="Times New Roman" w:hAnsi="Times New Roman"/>
                <w:b/>
                <w:snapToGrid w:val="0"/>
              </w:rPr>
              <w:t>Total</w:t>
            </w:r>
          </w:p>
          <w:p w:rsidR="004B3230" w:rsidRPr="004B3230" w:rsidRDefault="004B3230" w:rsidP="004B3230">
            <w:pPr>
              <w:autoSpaceDE/>
              <w:autoSpaceDN/>
              <w:adjustRightInd/>
              <w:jc w:val="center"/>
              <w:rPr>
                <w:rFonts w:ascii="Times New Roman" w:hAnsi="Times New Roman"/>
                <w:b/>
                <w:snapToGrid w:val="0"/>
              </w:rPr>
            </w:pPr>
            <w:r w:rsidRPr="004B3230">
              <w:rPr>
                <w:rFonts w:ascii="Times New Roman" w:hAnsi="Times New Roman"/>
                <w:b/>
                <w:snapToGrid w:val="0"/>
              </w:rPr>
              <w:t>Burden Hours</w:t>
            </w:r>
          </w:p>
        </w:tc>
      </w:tr>
      <w:tr w:rsidR="004B3230" w:rsidRPr="004B3230" w:rsidTr="00B022BB">
        <w:tc>
          <w:tcPr>
            <w:tcW w:w="2218" w:type="pct"/>
          </w:tcPr>
          <w:p w:rsidR="004B3230" w:rsidRPr="004B3230" w:rsidRDefault="004B3230" w:rsidP="004B3230">
            <w:pPr>
              <w:autoSpaceDE/>
              <w:autoSpaceDN/>
              <w:adjustRightInd/>
              <w:rPr>
                <w:rFonts w:ascii="Times New Roman" w:hAnsi="Times New Roman"/>
                <w:snapToGrid w:val="0"/>
              </w:rPr>
            </w:pPr>
            <w:r w:rsidRPr="004B3230">
              <w:rPr>
                <w:rFonts w:ascii="Times New Roman" w:hAnsi="Times New Roman"/>
                <w:snapToGrid w:val="0"/>
              </w:rPr>
              <w:t>One-Time Review of Instructions and Legal Guidance; Training</w:t>
            </w:r>
            <w:r w:rsidR="00380888">
              <w:rPr>
                <w:rFonts w:ascii="Times New Roman" w:hAnsi="Times New Roman"/>
                <w:snapToGrid w:val="0"/>
              </w:rPr>
              <w:t xml:space="preserve"> (Record Keeping)</w:t>
            </w:r>
          </w:p>
        </w:tc>
        <w:tc>
          <w:tcPr>
            <w:tcW w:w="846" w:type="pct"/>
          </w:tcPr>
          <w:p w:rsidR="004B3230" w:rsidRPr="004B3230" w:rsidRDefault="004B3230" w:rsidP="004B3230">
            <w:pPr>
              <w:autoSpaceDE/>
              <w:autoSpaceDN/>
              <w:adjustRightInd/>
              <w:rPr>
                <w:rFonts w:ascii="Times New Roman" w:hAnsi="Times New Roman"/>
                <w:snapToGrid w:val="0"/>
              </w:rPr>
            </w:pPr>
            <w:r>
              <w:rPr>
                <w:rFonts w:ascii="Times New Roman" w:hAnsi="Times New Roman"/>
                <w:snapToGrid w:val="0"/>
              </w:rPr>
              <w:t>1</w:t>
            </w:r>
            <w:r w:rsidR="00380888">
              <w:rPr>
                <w:rFonts w:ascii="Times New Roman" w:hAnsi="Times New Roman"/>
                <w:snapToGrid w:val="0"/>
              </w:rPr>
              <w:t>,</w:t>
            </w:r>
            <w:r>
              <w:rPr>
                <w:rFonts w:ascii="Times New Roman" w:hAnsi="Times New Roman"/>
                <w:snapToGrid w:val="0"/>
              </w:rPr>
              <w:t>399</w:t>
            </w:r>
          </w:p>
        </w:tc>
        <w:tc>
          <w:tcPr>
            <w:tcW w:w="650" w:type="pct"/>
          </w:tcPr>
          <w:p w:rsidR="004B3230" w:rsidRPr="004B3230" w:rsidRDefault="00380888" w:rsidP="004B3230">
            <w:pPr>
              <w:autoSpaceDE/>
              <w:autoSpaceDN/>
              <w:adjustRightInd/>
              <w:jc w:val="center"/>
              <w:rPr>
                <w:rFonts w:ascii="Times New Roman" w:hAnsi="Times New Roman"/>
                <w:snapToGrid w:val="0"/>
              </w:rPr>
            </w:pPr>
            <w:r>
              <w:rPr>
                <w:rFonts w:ascii="Times New Roman" w:hAnsi="Times New Roman"/>
                <w:snapToGrid w:val="0"/>
              </w:rPr>
              <w:t>1</w:t>
            </w:r>
          </w:p>
        </w:tc>
        <w:tc>
          <w:tcPr>
            <w:tcW w:w="684" w:type="pct"/>
          </w:tcPr>
          <w:p w:rsidR="004B3230" w:rsidRPr="004B3230" w:rsidRDefault="00380888" w:rsidP="004B3230">
            <w:pPr>
              <w:autoSpaceDE/>
              <w:autoSpaceDN/>
              <w:adjustRightInd/>
              <w:rPr>
                <w:rFonts w:ascii="Times New Roman" w:hAnsi="Times New Roman"/>
                <w:snapToGrid w:val="0"/>
              </w:rPr>
            </w:pPr>
            <w:r>
              <w:rPr>
                <w:rFonts w:ascii="Times New Roman" w:hAnsi="Times New Roman"/>
                <w:snapToGrid w:val="0"/>
              </w:rPr>
              <w:t>14 Hours</w:t>
            </w:r>
          </w:p>
          <w:p w:rsidR="004B3230" w:rsidRPr="004B3230" w:rsidRDefault="004B3230" w:rsidP="004B3230">
            <w:pPr>
              <w:autoSpaceDE/>
              <w:autoSpaceDN/>
              <w:adjustRightInd/>
              <w:rPr>
                <w:rFonts w:ascii="Times New Roman" w:hAnsi="Times New Roman"/>
                <w:snapToGrid w:val="0"/>
              </w:rPr>
            </w:pPr>
          </w:p>
        </w:tc>
        <w:tc>
          <w:tcPr>
            <w:tcW w:w="602" w:type="pct"/>
          </w:tcPr>
          <w:p w:rsidR="004B3230" w:rsidRPr="004B3230" w:rsidRDefault="00380888" w:rsidP="005F2224">
            <w:pPr>
              <w:autoSpaceDE/>
              <w:autoSpaceDN/>
              <w:adjustRightInd/>
              <w:jc w:val="right"/>
              <w:rPr>
                <w:rFonts w:ascii="Times New Roman" w:hAnsi="Times New Roman"/>
                <w:snapToGrid w:val="0"/>
              </w:rPr>
            </w:pPr>
            <w:r>
              <w:rPr>
                <w:rFonts w:ascii="Times New Roman" w:hAnsi="Times New Roman"/>
                <w:snapToGrid w:val="0"/>
              </w:rPr>
              <w:t>19,586</w:t>
            </w:r>
          </w:p>
        </w:tc>
      </w:tr>
      <w:tr w:rsidR="004B3230" w:rsidRPr="004B3230" w:rsidTr="00B022BB">
        <w:tc>
          <w:tcPr>
            <w:tcW w:w="2218" w:type="pct"/>
          </w:tcPr>
          <w:p w:rsidR="004B3230" w:rsidRPr="004B3230" w:rsidRDefault="004B3230" w:rsidP="004B3230">
            <w:pPr>
              <w:autoSpaceDE/>
              <w:autoSpaceDN/>
              <w:adjustRightInd/>
              <w:rPr>
                <w:rFonts w:ascii="Times New Roman" w:hAnsi="Times New Roman"/>
                <w:snapToGrid w:val="0"/>
              </w:rPr>
            </w:pPr>
            <w:r w:rsidRPr="004B3230">
              <w:rPr>
                <w:rFonts w:ascii="Times New Roman" w:hAnsi="Times New Roman"/>
                <w:snapToGrid w:val="0"/>
              </w:rPr>
              <w:t>Review and Provide a Copy of a Full Interior Appraisal</w:t>
            </w:r>
          </w:p>
        </w:tc>
        <w:tc>
          <w:tcPr>
            <w:tcW w:w="846" w:type="pct"/>
          </w:tcPr>
          <w:p w:rsidR="004B3230" w:rsidRPr="004B3230" w:rsidRDefault="004B3230" w:rsidP="004B3230">
            <w:pPr>
              <w:autoSpaceDE/>
              <w:autoSpaceDN/>
              <w:adjustRightInd/>
              <w:rPr>
                <w:rFonts w:ascii="Times New Roman" w:hAnsi="Times New Roman"/>
                <w:snapToGrid w:val="0"/>
              </w:rPr>
            </w:pPr>
            <w:r>
              <w:rPr>
                <w:rFonts w:ascii="Times New Roman" w:hAnsi="Times New Roman"/>
                <w:snapToGrid w:val="0"/>
              </w:rPr>
              <w:t>1</w:t>
            </w:r>
            <w:r w:rsidR="00380888">
              <w:rPr>
                <w:rFonts w:ascii="Times New Roman" w:hAnsi="Times New Roman"/>
                <w:snapToGrid w:val="0"/>
              </w:rPr>
              <w:t>,</w:t>
            </w:r>
            <w:r>
              <w:rPr>
                <w:rFonts w:ascii="Times New Roman" w:hAnsi="Times New Roman"/>
                <w:snapToGrid w:val="0"/>
              </w:rPr>
              <w:t>399</w:t>
            </w:r>
          </w:p>
        </w:tc>
        <w:tc>
          <w:tcPr>
            <w:tcW w:w="650" w:type="pct"/>
          </w:tcPr>
          <w:p w:rsidR="004B3230" w:rsidRPr="004B3230" w:rsidRDefault="00380888" w:rsidP="004B3230">
            <w:pPr>
              <w:autoSpaceDE/>
              <w:autoSpaceDN/>
              <w:adjustRightInd/>
              <w:jc w:val="center"/>
              <w:rPr>
                <w:rFonts w:ascii="Times New Roman" w:hAnsi="Times New Roman"/>
                <w:snapToGrid w:val="0"/>
              </w:rPr>
            </w:pPr>
            <w:r>
              <w:rPr>
                <w:rFonts w:ascii="Times New Roman" w:hAnsi="Times New Roman"/>
                <w:snapToGrid w:val="0"/>
              </w:rPr>
              <w:t>.16</w:t>
            </w:r>
          </w:p>
        </w:tc>
        <w:tc>
          <w:tcPr>
            <w:tcW w:w="684" w:type="pct"/>
          </w:tcPr>
          <w:p w:rsidR="004B3230" w:rsidRPr="004B3230" w:rsidRDefault="00380888" w:rsidP="004B3230">
            <w:pPr>
              <w:autoSpaceDE/>
              <w:autoSpaceDN/>
              <w:adjustRightInd/>
              <w:rPr>
                <w:rFonts w:ascii="Times New Roman" w:hAnsi="Times New Roman"/>
                <w:snapToGrid w:val="0"/>
              </w:rPr>
            </w:pPr>
            <w:r>
              <w:rPr>
                <w:rFonts w:ascii="Times New Roman" w:hAnsi="Times New Roman"/>
                <w:snapToGrid w:val="0"/>
              </w:rPr>
              <w:t>.25 Hours</w:t>
            </w:r>
          </w:p>
        </w:tc>
        <w:tc>
          <w:tcPr>
            <w:tcW w:w="602" w:type="pct"/>
          </w:tcPr>
          <w:p w:rsidR="004B3230" w:rsidRPr="004B3230" w:rsidRDefault="00380888" w:rsidP="005F2224">
            <w:pPr>
              <w:autoSpaceDE/>
              <w:autoSpaceDN/>
              <w:adjustRightInd/>
              <w:jc w:val="right"/>
              <w:rPr>
                <w:rFonts w:ascii="Times New Roman" w:hAnsi="Times New Roman"/>
                <w:snapToGrid w:val="0"/>
              </w:rPr>
            </w:pPr>
            <w:r>
              <w:rPr>
                <w:rFonts w:ascii="Times New Roman" w:hAnsi="Times New Roman"/>
                <w:snapToGrid w:val="0"/>
              </w:rPr>
              <w:t>56</w:t>
            </w:r>
          </w:p>
        </w:tc>
      </w:tr>
      <w:tr w:rsidR="004B3230" w:rsidRPr="004B3230" w:rsidTr="00B022BB">
        <w:tc>
          <w:tcPr>
            <w:tcW w:w="2218" w:type="pct"/>
          </w:tcPr>
          <w:p w:rsidR="004B3230" w:rsidRPr="004B3230" w:rsidRDefault="004B3230" w:rsidP="004B3230">
            <w:pPr>
              <w:autoSpaceDE/>
              <w:autoSpaceDN/>
              <w:adjustRightInd/>
              <w:rPr>
                <w:rFonts w:ascii="Times New Roman" w:hAnsi="Times New Roman"/>
                <w:snapToGrid w:val="0"/>
              </w:rPr>
            </w:pPr>
            <w:r w:rsidRPr="004B3230">
              <w:rPr>
                <w:rFonts w:ascii="Times New Roman" w:hAnsi="Times New Roman"/>
                <w:snapToGrid w:val="0"/>
              </w:rPr>
              <w:t>Investigate and Verify Requirement for Second Appraisal</w:t>
            </w:r>
          </w:p>
        </w:tc>
        <w:tc>
          <w:tcPr>
            <w:tcW w:w="846" w:type="pct"/>
          </w:tcPr>
          <w:p w:rsidR="004B3230" w:rsidRPr="004B3230" w:rsidRDefault="004B3230" w:rsidP="004B3230">
            <w:pPr>
              <w:autoSpaceDE/>
              <w:autoSpaceDN/>
              <w:adjustRightInd/>
              <w:rPr>
                <w:rFonts w:ascii="Times New Roman" w:hAnsi="Times New Roman"/>
                <w:snapToGrid w:val="0"/>
              </w:rPr>
            </w:pPr>
            <w:r>
              <w:rPr>
                <w:rFonts w:ascii="Times New Roman" w:hAnsi="Times New Roman"/>
                <w:snapToGrid w:val="0"/>
              </w:rPr>
              <w:t>1</w:t>
            </w:r>
            <w:r w:rsidR="00380888">
              <w:rPr>
                <w:rFonts w:ascii="Times New Roman" w:hAnsi="Times New Roman"/>
                <w:snapToGrid w:val="0"/>
              </w:rPr>
              <w:t>,</w:t>
            </w:r>
            <w:r>
              <w:rPr>
                <w:rFonts w:ascii="Times New Roman" w:hAnsi="Times New Roman"/>
                <w:snapToGrid w:val="0"/>
              </w:rPr>
              <w:t>399</w:t>
            </w:r>
          </w:p>
        </w:tc>
        <w:tc>
          <w:tcPr>
            <w:tcW w:w="650" w:type="pct"/>
          </w:tcPr>
          <w:p w:rsidR="004B3230" w:rsidRPr="004B3230" w:rsidRDefault="00380888" w:rsidP="004B3230">
            <w:pPr>
              <w:autoSpaceDE/>
              <w:autoSpaceDN/>
              <w:adjustRightInd/>
              <w:jc w:val="center"/>
              <w:rPr>
                <w:rFonts w:ascii="Times New Roman" w:hAnsi="Times New Roman"/>
                <w:snapToGrid w:val="0"/>
              </w:rPr>
            </w:pPr>
            <w:r>
              <w:rPr>
                <w:rFonts w:ascii="Times New Roman" w:hAnsi="Times New Roman"/>
                <w:snapToGrid w:val="0"/>
              </w:rPr>
              <w:t>.85</w:t>
            </w:r>
          </w:p>
        </w:tc>
        <w:tc>
          <w:tcPr>
            <w:tcW w:w="684" w:type="pct"/>
          </w:tcPr>
          <w:p w:rsidR="004B3230" w:rsidRPr="004B3230" w:rsidRDefault="00380888" w:rsidP="004B3230">
            <w:pPr>
              <w:autoSpaceDE/>
              <w:autoSpaceDN/>
              <w:adjustRightInd/>
              <w:rPr>
                <w:rFonts w:ascii="Times New Roman" w:hAnsi="Times New Roman"/>
                <w:snapToGrid w:val="0"/>
              </w:rPr>
            </w:pPr>
            <w:r>
              <w:rPr>
                <w:rFonts w:ascii="Times New Roman" w:hAnsi="Times New Roman"/>
                <w:snapToGrid w:val="0"/>
              </w:rPr>
              <w:t>.25 Hours</w:t>
            </w:r>
          </w:p>
        </w:tc>
        <w:tc>
          <w:tcPr>
            <w:tcW w:w="602" w:type="pct"/>
          </w:tcPr>
          <w:p w:rsidR="004B3230" w:rsidRPr="004B3230" w:rsidRDefault="00380888" w:rsidP="005F2224">
            <w:pPr>
              <w:autoSpaceDE/>
              <w:autoSpaceDN/>
              <w:adjustRightInd/>
              <w:jc w:val="right"/>
              <w:rPr>
                <w:rFonts w:ascii="Times New Roman" w:hAnsi="Times New Roman"/>
                <w:snapToGrid w:val="0"/>
              </w:rPr>
            </w:pPr>
            <w:r>
              <w:rPr>
                <w:rFonts w:ascii="Times New Roman" w:hAnsi="Times New Roman"/>
                <w:snapToGrid w:val="0"/>
              </w:rPr>
              <w:t>297</w:t>
            </w:r>
          </w:p>
        </w:tc>
      </w:tr>
      <w:tr w:rsidR="004B3230" w:rsidRPr="004B3230" w:rsidTr="00B022BB">
        <w:tc>
          <w:tcPr>
            <w:tcW w:w="2218" w:type="pct"/>
          </w:tcPr>
          <w:p w:rsidR="004B3230" w:rsidRPr="004B3230" w:rsidRDefault="004B3230" w:rsidP="004B3230">
            <w:pPr>
              <w:autoSpaceDE/>
              <w:autoSpaceDN/>
              <w:adjustRightInd/>
              <w:rPr>
                <w:rFonts w:ascii="Times New Roman" w:hAnsi="Times New Roman"/>
                <w:snapToGrid w:val="0"/>
              </w:rPr>
            </w:pPr>
            <w:r w:rsidRPr="004B3230">
              <w:rPr>
                <w:rFonts w:ascii="Times New Roman" w:hAnsi="Times New Roman"/>
                <w:snapToGrid w:val="0"/>
              </w:rPr>
              <w:t>Conduct and Provide Second Appraisal</w:t>
            </w:r>
          </w:p>
        </w:tc>
        <w:tc>
          <w:tcPr>
            <w:tcW w:w="846" w:type="pct"/>
          </w:tcPr>
          <w:p w:rsidR="004B3230" w:rsidRPr="004B3230" w:rsidRDefault="004B3230" w:rsidP="004B3230">
            <w:pPr>
              <w:autoSpaceDE/>
              <w:autoSpaceDN/>
              <w:adjustRightInd/>
              <w:rPr>
                <w:rFonts w:ascii="Times New Roman" w:hAnsi="Times New Roman"/>
                <w:snapToGrid w:val="0"/>
              </w:rPr>
            </w:pPr>
            <w:r>
              <w:rPr>
                <w:rFonts w:ascii="Times New Roman" w:hAnsi="Times New Roman"/>
                <w:snapToGrid w:val="0"/>
              </w:rPr>
              <w:t>1</w:t>
            </w:r>
            <w:r w:rsidR="00380888">
              <w:rPr>
                <w:rFonts w:ascii="Times New Roman" w:hAnsi="Times New Roman"/>
                <w:snapToGrid w:val="0"/>
              </w:rPr>
              <w:t>,</w:t>
            </w:r>
            <w:r>
              <w:rPr>
                <w:rFonts w:ascii="Times New Roman" w:hAnsi="Times New Roman"/>
                <w:snapToGrid w:val="0"/>
              </w:rPr>
              <w:t>399</w:t>
            </w:r>
          </w:p>
        </w:tc>
        <w:tc>
          <w:tcPr>
            <w:tcW w:w="650" w:type="pct"/>
          </w:tcPr>
          <w:p w:rsidR="004B3230" w:rsidRPr="004B3230" w:rsidRDefault="00380888" w:rsidP="004B3230">
            <w:pPr>
              <w:autoSpaceDE/>
              <w:autoSpaceDN/>
              <w:adjustRightInd/>
              <w:jc w:val="center"/>
              <w:rPr>
                <w:rFonts w:ascii="Times New Roman" w:hAnsi="Times New Roman"/>
                <w:snapToGrid w:val="0"/>
              </w:rPr>
            </w:pPr>
            <w:r>
              <w:rPr>
                <w:rFonts w:ascii="Times New Roman" w:hAnsi="Times New Roman"/>
                <w:snapToGrid w:val="0"/>
              </w:rPr>
              <w:t>.02</w:t>
            </w:r>
          </w:p>
        </w:tc>
        <w:tc>
          <w:tcPr>
            <w:tcW w:w="684" w:type="pct"/>
          </w:tcPr>
          <w:p w:rsidR="004B3230" w:rsidRPr="004B3230" w:rsidRDefault="00380888" w:rsidP="004B3230">
            <w:pPr>
              <w:autoSpaceDE/>
              <w:autoSpaceDN/>
              <w:adjustRightInd/>
              <w:rPr>
                <w:rFonts w:ascii="Times New Roman" w:hAnsi="Times New Roman"/>
                <w:snapToGrid w:val="0"/>
              </w:rPr>
            </w:pPr>
            <w:r>
              <w:rPr>
                <w:rFonts w:ascii="Times New Roman" w:hAnsi="Times New Roman"/>
                <w:snapToGrid w:val="0"/>
              </w:rPr>
              <w:t>.25 Hours</w:t>
            </w:r>
          </w:p>
        </w:tc>
        <w:tc>
          <w:tcPr>
            <w:tcW w:w="602" w:type="pct"/>
          </w:tcPr>
          <w:p w:rsidR="004B3230" w:rsidRPr="004B3230" w:rsidRDefault="005F2224" w:rsidP="005F2224">
            <w:pPr>
              <w:autoSpaceDE/>
              <w:autoSpaceDN/>
              <w:adjustRightInd/>
              <w:jc w:val="right"/>
              <w:rPr>
                <w:rFonts w:ascii="Times New Roman" w:hAnsi="Times New Roman"/>
                <w:snapToGrid w:val="0"/>
              </w:rPr>
            </w:pPr>
            <w:r>
              <w:rPr>
                <w:rFonts w:ascii="Times New Roman" w:hAnsi="Times New Roman"/>
                <w:snapToGrid w:val="0"/>
              </w:rPr>
              <w:t>7</w:t>
            </w:r>
          </w:p>
        </w:tc>
      </w:tr>
      <w:tr w:rsidR="004B3230" w:rsidRPr="004B3230" w:rsidTr="00B022BB">
        <w:tc>
          <w:tcPr>
            <w:tcW w:w="2218" w:type="pct"/>
          </w:tcPr>
          <w:p w:rsidR="004B3230" w:rsidRPr="005F2224" w:rsidRDefault="004B3230" w:rsidP="005F2224">
            <w:pPr>
              <w:autoSpaceDE/>
              <w:autoSpaceDN/>
              <w:adjustRightInd/>
              <w:rPr>
                <w:rFonts w:ascii="Times New Roman" w:hAnsi="Times New Roman"/>
                <w:b/>
                <w:snapToGrid w:val="0"/>
              </w:rPr>
            </w:pPr>
            <w:r w:rsidRPr="005F2224">
              <w:rPr>
                <w:rFonts w:ascii="Times New Roman" w:hAnsi="Times New Roman"/>
                <w:b/>
                <w:snapToGrid w:val="0"/>
              </w:rPr>
              <w:t>TOTAL</w:t>
            </w:r>
          </w:p>
        </w:tc>
        <w:tc>
          <w:tcPr>
            <w:tcW w:w="846" w:type="pct"/>
          </w:tcPr>
          <w:p w:rsidR="004B3230" w:rsidRPr="004B3230" w:rsidRDefault="004B3230" w:rsidP="004B3230">
            <w:pPr>
              <w:autoSpaceDE/>
              <w:autoSpaceDN/>
              <w:adjustRightInd/>
              <w:rPr>
                <w:rFonts w:ascii="Times New Roman" w:hAnsi="Times New Roman"/>
                <w:snapToGrid w:val="0"/>
              </w:rPr>
            </w:pPr>
          </w:p>
        </w:tc>
        <w:tc>
          <w:tcPr>
            <w:tcW w:w="650" w:type="pct"/>
          </w:tcPr>
          <w:p w:rsidR="004B3230" w:rsidRPr="004B3230" w:rsidRDefault="004B3230" w:rsidP="004B3230">
            <w:pPr>
              <w:autoSpaceDE/>
              <w:autoSpaceDN/>
              <w:adjustRightInd/>
              <w:jc w:val="center"/>
              <w:rPr>
                <w:rFonts w:ascii="Times New Roman" w:hAnsi="Times New Roman"/>
                <w:snapToGrid w:val="0"/>
              </w:rPr>
            </w:pPr>
          </w:p>
        </w:tc>
        <w:tc>
          <w:tcPr>
            <w:tcW w:w="684" w:type="pct"/>
          </w:tcPr>
          <w:p w:rsidR="004B3230" w:rsidRPr="004B3230" w:rsidRDefault="004B3230" w:rsidP="004B3230">
            <w:pPr>
              <w:autoSpaceDE/>
              <w:autoSpaceDN/>
              <w:adjustRightInd/>
              <w:rPr>
                <w:rFonts w:ascii="Times New Roman" w:hAnsi="Times New Roman"/>
                <w:snapToGrid w:val="0"/>
              </w:rPr>
            </w:pPr>
          </w:p>
        </w:tc>
        <w:tc>
          <w:tcPr>
            <w:tcW w:w="602" w:type="pct"/>
          </w:tcPr>
          <w:p w:rsidR="004B3230" w:rsidRPr="005F2224" w:rsidRDefault="005F2224" w:rsidP="005F2224">
            <w:pPr>
              <w:autoSpaceDE/>
              <w:autoSpaceDN/>
              <w:adjustRightInd/>
              <w:jc w:val="right"/>
              <w:rPr>
                <w:rFonts w:ascii="Times New Roman" w:hAnsi="Times New Roman"/>
                <w:b/>
                <w:snapToGrid w:val="0"/>
              </w:rPr>
            </w:pPr>
            <w:r w:rsidRPr="005F2224">
              <w:rPr>
                <w:rFonts w:ascii="Times New Roman" w:hAnsi="Times New Roman"/>
                <w:b/>
                <w:snapToGrid w:val="0"/>
              </w:rPr>
              <w:t>19,946</w:t>
            </w:r>
          </w:p>
        </w:tc>
      </w:tr>
    </w:tbl>
    <w:p w:rsidR="00FA5900" w:rsidRDefault="00FA5900" w:rsidP="00FA5900">
      <w:pPr>
        <w:tabs>
          <w:tab w:val="left" w:pos="-1440"/>
        </w:tabs>
        <w:rPr>
          <w:rFonts w:ascii="Times New Roman" w:hAnsi="Times New Roman"/>
          <w:u w:val="single"/>
        </w:rPr>
      </w:pPr>
    </w:p>
    <w:p w:rsidR="00FA5900" w:rsidRPr="00FA5900" w:rsidRDefault="00FA5900" w:rsidP="00FA5900">
      <w:pPr>
        <w:tabs>
          <w:tab w:val="left" w:pos="-1440"/>
        </w:tabs>
        <w:rPr>
          <w:rFonts w:ascii="Times New Roman" w:hAnsi="Times New Roman"/>
          <w:u w:val="single"/>
        </w:rPr>
      </w:pPr>
      <w:r w:rsidRPr="00FA5900">
        <w:rPr>
          <w:rFonts w:ascii="Times New Roman" w:hAnsi="Times New Roman"/>
          <w:u w:val="single"/>
        </w:rPr>
        <w:t xml:space="preserve">Calculation of Estimated Burden </w:t>
      </w:r>
    </w:p>
    <w:p w:rsidR="00FA5900" w:rsidRDefault="00FA5900" w:rsidP="00FA5900">
      <w:pPr>
        <w:tabs>
          <w:tab w:val="left" w:pos="-1440"/>
        </w:tabs>
        <w:ind w:left="720" w:hanging="720"/>
        <w:rPr>
          <w:rFonts w:ascii="Times New Roman" w:hAnsi="Times New Roman"/>
          <w:u w:val="single"/>
        </w:rPr>
      </w:pPr>
    </w:p>
    <w:p w:rsidR="00D37F01" w:rsidRDefault="00D37F01" w:rsidP="00D37F01">
      <w:pPr>
        <w:ind w:left="720"/>
        <w:rPr>
          <w:rFonts w:ascii="Times New Roman" w:hAnsi="Times New Roman"/>
          <w:sz w:val="22"/>
          <w:szCs w:val="22"/>
          <w:vertAlign w:val="superscript"/>
        </w:rPr>
      </w:pPr>
      <w:r w:rsidRPr="00D37F01">
        <w:rPr>
          <w:rFonts w:ascii="Times New Roman" w:hAnsi="Times New Roman"/>
        </w:rPr>
        <w:t xml:space="preserve">In the 2013 </w:t>
      </w:r>
      <w:r w:rsidR="007A12D6">
        <w:rPr>
          <w:rFonts w:ascii="Times New Roman" w:hAnsi="Times New Roman"/>
        </w:rPr>
        <w:t xml:space="preserve">Interagency Appraisals </w:t>
      </w:r>
      <w:r w:rsidRPr="00D37F01">
        <w:rPr>
          <w:rFonts w:ascii="Times New Roman" w:hAnsi="Times New Roman"/>
        </w:rPr>
        <w:t>Final Rule</w:t>
      </w:r>
      <w:r>
        <w:rPr>
          <w:rFonts w:ascii="Times New Roman" w:hAnsi="Times New Roman"/>
        </w:rPr>
        <w:t>, u</w:t>
      </w:r>
      <w:r w:rsidRPr="00373ED8">
        <w:rPr>
          <w:rFonts w:ascii="Times New Roman" w:hAnsi="Times New Roman"/>
        </w:rPr>
        <w:t xml:space="preserve">nder the </w:t>
      </w:r>
      <w:r>
        <w:rPr>
          <w:rFonts w:ascii="Times New Roman" w:hAnsi="Times New Roman"/>
        </w:rPr>
        <w:t>i</w:t>
      </w:r>
      <w:r w:rsidRPr="00373ED8">
        <w:rPr>
          <w:rFonts w:ascii="Times New Roman" w:hAnsi="Times New Roman"/>
        </w:rPr>
        <w:t xml:space="preserve">nitial </w:t>
      </w:r>
      <w:r>
        <w:rPr>
          <w:rFonts w:ascii="Times New Roman" w:hAnsi="Times New Roman"/>
        </w:rPr>
        <w:t>a</w:t>
      </w:r>
      <w:r w:rsidRPr="00373ED8">
        <w:rPr>
          <w:rFonts w:ascii="Times New Roman" w:hAnsi="Times New Roman"/>
        </w:rPr>
        <w:t xml:space="preserve">ppraisal </w:t>
      </w:r>
      <w:r>
        <w:rPr>
          <w:rFonts w:ascii="Times New Roman" w:hAnsi="Times New Roman"/>
        </w:rPr>
        <w:t>process for higher-risk mortgage loans,</w:t>
      </w:r>
      <w:r w:rsidRPr="006A0AE9">
        <w:rPr>
          <w:rStyle w:val="FootnoteReference"/>
          <w:rFonts w:ascii="Times New Roman" w:hAnsi="Times New Roman"/>
          <w:vertAlign w:val="superscript"/>
        </w:rPr>
        <w:footnoteReference w:id="1"/>
      </w:r>
      <w:r w:rsidRPr="00373ED8">
        <w:rPr>
          <w:rFonts w:ascii="Times New Roman" w:hAnsi="Times New Roman"/>
        </w:rPr>
        <w:t xml:space="preserve"> the creditor would be required to provide a short, written disclosure within three days of application.  Because the disclosure may be classified as a warning label supplied by the Federal government, the Agencies are assigning it no burden for purposes of this PRA analysis.</w:t>
      </w:r>
      <w:r w:rsidRPr="00B32622">
        <w:rPr>
          <w:rStyle w:val="FootnoteReference"/>
          <w:rFonts w:ascii="Times New Roman" w:hAnsi="Times New Roman"/>
          <w:sz w:val="22"/>
          <w:szCs w:val="22"/>
          <w:vertAlign w:val="superscript"/>
        </w:rPr>
        <w:footnoteReference w:id="2"/>
      </w:r>
      <w:r w:rsidRPr="00B32622">
        <w:rPr>
          <w:rFonts w:ascii="Times New Roman" w:hAnsi="Times New Roman"/>
          <w:sz w:val="22"/>
          <w:szCs w:val="22"/>
          <w:vertAlign w:val="superscript"/>
        </w:rPr>
        <w:t xml:space="preserve">  </w:t>
      </w:r>
    </w:p>
    <w:p w:rsidR="00D37F01" w:rsidRDefault="00D37F01" w:rsidP="00D37F01">
      <w:pPr>
        <w:ind w:firstLine="720"/>
        <w:rPr>
          <w:rFonts w:ascii="Times New Roman" w:hAnsi="Times New Roman"/>
          <w:sz w:val="22"/>
          <w:szCs w:val="22"/>
          <w:vertAlign w:val="superscript"/>
        </w:rPr>
      </w:pPr>
    </w:p>
    <w:p w:rsidR="00D37F01" w:rsidRPr="00373ED8" w:rsidRDefault="00D37F01" w:rsidP="00D37F01">
      <w:pPr>
        <w:ind w:left="720"/>
        <w:rPr>
          <w:rFonts w:ascii="Times New Roman" w:hAnsi="Times New Roman"/>
        </w:rPr>
      </w:pPr>
      <w:r w:rsidRPr="00373ED8">
        <w:rPr>
          <w:rFonts w:ascii="Times New Roman" w:hAnsi="Times New Roman"/>
        </w:rPr>
        <w:t>In addition, the</w:t>
      </w:r>
      <w:r w:rsidRPr="00373ED8">
        <w:rPr>
          <w:rStyle w:val="CommentReference"/>
          <w:sz w:val="24"/>
        </w:rPr>
        <w:t xml:space="preserve"> </w:t>
      </w:r>
      <w:r w:rsidRPr="00373ED8">
        <w:rPr>
          <w:rFonts w:ascii="Times New Roman" w:hAnsi="Times New Roman"/>
        </w:rPr>
        <w:t xml:space="preserve">Agencies contemplate that once the TILA-RESPA integrated disclosure forms are finalized, the </w:t>
      </w:r>
      <w:r>
        <w:rPr>
          <w:rFonts w:ascii="Times New Roman" w:hAnsi="Times New Roman"/>
        </w:rPr>
        <w:t xml:space="preserve">initial </w:t>
      </w:r>
      <w:r w:rsidRPr="00373ED8">
        <w:rPr>
          <w:rFonts w:ascii="Times New Roman" w:hAnsi="Times New Roman"/>
        </w:rPr>
        <w:t>appraisal-related disclosure will be given as part of those forms.  As such, this disclosure should not impose additional costs on creditors.</w:t>
      </w:r>
    </w:p>
    <w:p w:rsidR="00FA5900" w:rsidRDefault="00FA5900" w:rsidP="00FA5900">
      <w:pPr>
        <w:tabs>
          <w:tab w:val="left" w:pos="-1440"/>
        </w:tabs>
        <w:ind w:left="720" w:hanging="720"/>
        <w:rPr>
          <w:rFonts w:ascii="Times New Roman" w:hAnsi="Times New Roman"/>
        </w:rPr>
      </w:pPr>
    </w:p>
    <w:p w:rsidR="007A12D6" w:rsidRDefault="00FA5900" w:rsidP="00D37F01">
      <w:pPr>
        <w:tabs>
          <w:tab w:val="left" w:pos="-1440"/>
        </w:tabs>
        <w:ind w:left="720" w:hanging="720"/>
        <w:rPr>
          <w:rFonts w:ascii="Times New Roman" w:hAnsi="Times New Roman"/>
        </w:rPr>
      </w:pPr>
      <w:r>
        <w:rPr>
          <w:rFonts w:ascii="Times New Roman" w:hAnsi="Times New Roman"/>
        </w:rPr>
        <w:tab/>
      </w:r>
      <w:r w:rsidRPr="00FA5900">
        <w:rPr>
          <w:rFonts w:ascii="Times New Roman" w:hAnsi="Times New Roman"/>
        </w:rPr>
        <w:t>The estimated burden for the Written Appraisal requirements includes the creditor’s burden of reviewing the Written Appraisal in order to satisfy the safe harbor criteria set forth in the rule and providing a copy of the Writ</w:t>
      </w:r>
      <w:r w:rsidR="00305A30">
        <w:rPr>
          <w:rFonts w:ascii="Times New Roman" w:hAnsi="Times New Roman"/>
        </w:rPr>
        <w:t>ten Appraisal to the consumer.</w:t>
      </w:r>
      <w:r w:rsidR="00D37F01">
        <w:rPr>
          <w:rFonts w:ascii="Times New Roman" w:hAnsi="Times New Roman"/>
        </w:rPr>
        <w:t xml:space="preserve"> </w:t>
      </w:r>
      <w:r w:rsidRPr="00FA5900">
        <w:rPr>
          <w:rFonts w:ascii="Times New Roman" w:hAnsi="Times New Roman"/>
        </w:rPr>
        <w:t xml:space="preserve">Additionally, an Additional Written Appraisal containing additional analyses is required in certain circumstances.  The Additional Written Appraisal must meet the standards of the Written Appraisal.  The Additional Written Appraisal </w:t>
      </w:r>
      <w:proofErr w:type="gramStart"/>
      <w:r w:rsidRPr="00FA5900">
        <w:rPr>
          <w:rFonts w:ascii="Times New Roman" w:hAnsi="Times New Roman"/>
        </w:rPr>
        <w:t>is also required to be prepared</w:t>
      </w:r>
      <w:proofErr w:type="gramEnd"/>
      <w:r w:rsidRPr="00FA5900">
        <w:rPr>
          <w:rFonts w:ascii="Times New Roman" w:hAnsi="Times New Roman"/>
        </w:rPr>
        <w:t xml:space="preserve"> by a certified or licensed appraiser different from the appraiser performing the Written Appraisal, and a copy of the Additional Written Appraisal must be provided to the </w:t>
      </w:r>
      <w:r w:rsidRPr="00FA5900">
        <w:rPr>
          <w:rFonts w:ascii="Times New Roman" w:hAnsi="Times New Roman"/>
        </w:rPr>
        <w:lastRenderedPageBreak/>
        <w:t xml:space="preserve">consumer.  The creditor must separately review the Additional Written Appraisal in order to qualify for the safe harbor provided in the 2013 </w:t>
      </w:r>
      <w:r w:rsidR="007A12D6">
        <w:rPr>
          <w:rFonts w:ascii="Times New Roman" w:hAnsi="Times New Roman"/>
        </w:rPr>
        <w:t xml:space="preserve">Interagency Appraisals </w:t>
      </w:r>
      <w:r w:rsidRPr="00FA5900">
        <w:rPr>
          <w:rFonts w:ascii="Times New Roman" w:hAnsi="Times New Roman"/>
        </w:rPr>
        <w:t xml:space="preserve">Final Rule. </w:t>
      </w:r>
    </w:p>
    <w:p w:rsidR="00D37F01" w:rsidRDefault="00FA5900" w:rsidP="00D37F01">
      <w:pPr>
        <w:tabs>
          <w:tab w:val="left" w:pos="-1440"/>
        </w:tabs>
        <w:ind w:left="720" w:hanging="720"/>
        <w:rPr>
          <w:rFonts w:ascii="Times New Roman" w:hAnsi="Times New Roman"/>
        </w:rPr>
      </w:pPr>
      <w:r w:rsidRPr="00FA5900">
        <w:rPr>
          <w:rFonts w:ascii="Times New Roman" w:hAnsi="Times New Roman"/>
        </w:rPr>
        <w:t xml:space="preserve"> </w:t>
      </w:r>
    </w:p>
    <w:p w:rsidR="00FA5900" w:rsidRPr="00FA5900" w:rsidRDefault="00D37F01" w:rsidP="00D37F01">
      <w:pPr>
        <w:tabs>
          <w:tab w:val="left" w:pos="-1440"/>
        </w:tabs>
        <w:ind w:left="720" w:hanging="720"/>
        <w:rPr>
          <w:rFonts w:ascii="Times New Roman" w:hAnsi="Times New Roman"/>
        </w:rPr>
      </w:pPr>
      <w:r>
        <w:rPr>
          <w:rFonts w:ascii="Times New Roman" w:hAnsi="Times New Roman"/>
        </w:rPr>
        <w:tab/>
      </w:r>
      <w:r w:rsidR="00FA5900" w:rsidRPr="00FA5900">
        <w:rPr>
          <w:rFonts w:ascii="Times New Roman" w:hAnsi="Times New Roman"/>
        </w:rPr>
        <w:t xml:space="preserve">The Agencies continue to estimate that respondents will take, on average, 15 minutes for each HPML to review the Written Appraisal and to provide a copy of the Written Appraisal.  The Agencies continue to estimate that respondents will take, on average, 15 minutes for each HPML to investigate and verify the need for an Additional Written Appraisal and, where necessary, an additional 15 minutes to review the Additional Written Appraisal and to provide a copy of the Additional Written Appraisal.  For the small fraction of loans requiring an Additional Written Appraisal, the burden is similar to that of the Written Appraisal.  </w:t>
      </w:r>
    </w:p>
    <w:p w:rsidR="00FA5900" w:rsidRDefault="00FA5900" w:rsidP="00FA5900">
      <w:pPr>
        <w:tabs>
          <w:tab w:val="left" w:pos="-1440"/>
        </w:tabs>
        <w:ind w:left="720" w:hanging="720"/>
        <w:rPr>
          <w:rFonts w:ascii="Times New Roman" w:hAnsi="Times New Roman"/>
        </w:rPr>
      </w:pPr>
    </w:p>
    <w:p w:rsidR="00FA5900" w:rsidRDefault="00FA5900" w:rsidP="00FA5900">
      <w:pPr>
        <w:tabs>
          <w:tab w:val="left" w:pos="-1440"/>
        </w:tabs>
        <w:ind w:left="720" w:hanging="720"/>
        <w:rPr>
          <w:rFonts w:ascii="Times New Roman" w:hAnsi="Times New Roman"/>
        </w:rPr>
      </w:pPr>
      <w:r>
        <w:rPr>
          <w:rFonts w:ascii="Times New Roman" w:hAnsi="Times New Roman"/>
        </w:rPr>
        <w:tab/>
      </w:r>
      <w:r w:rsidRPr="00FA5900">
        <w:rPr>
          <w:rFonts w:ascii="Times New Roman" w:hAnsi="Times New Roman"/>
        </w:rPr>
        <w:t xml:space="preserve">The estimated number of appraisals per respondent for the OCC respondents </w:t>
      </w:r>
      <w:proofErr w:type="gramStart"/>
      <w:r w:rsidRPr="00FA5900">
        <w:rPr>
          <w:rFonts w:ascii="Times New Roman" w:hAnsi="Times New Roman"/>
        </w:rPr>
        <w:t>has been updated</w:t>
      </w:r>
      <w:proofErr w:type="gramEnd"/>
      <w:r w:rsidRPr="00FA5900">
        <w:rPr>
          <w:rFonts w:ascii="Times New Roman" w:hAnsi="Times New Roman"/>
        </w:rPr>
        <w:t xml:space="preserve"> to account for the exemption for qualified mortgages adopted in the 2013 Final Rule, which had not been accounted for in the table published at that time, as discussed in the PRA section of the </w:t>
      </w:r>
      <w:r w:rsidR="00D00BAD">
        <w:rPr>
          <w:rFonts w:ascii="Times New Roman" w:hAnsi="Times New Roman"/>
        </w:rPr>
        <w:t xml:space="preserve">2013 </w:t>
      </w:r>
      <w:r w:rsidR="007A12D6">
        <w:rPr>
          <w:rFonts w:ascii="Times New Roman" w:hAnsi="Times New Roman"/>
        </w:rPr>
        <w:t xml:space="preserve">Interagency Appraisals </w:t>
      </w:r>
      <w:r w:rsidRPr="00FA5900">
        <w:rPr>
          <w:rFonts w:ascii="Times New Roman" w:hAnsi="Times New Roman"/>
        </w:rPr>
        <w:t xml:space="preserve">Final Rule.  See 78 FR 10368, 10430-31 (February 13, 2013). </w:t>
      </w:r>
    </w:p>
    <w:p w:rsidR="00FA5900" w:rsidRDefault="00FA5900" w:rsidP="00FA5900">
      <w:pPr>
        <w:tabs>
          <w:tab w:val="left" w:pos="-1440"/>
        </w:tabs>
        <w:ind w:left="720" w:hanging="720"/>
        <w:rPr>
          <w:rFonts w:ascii="Times New Roman" w:hAnsi="Times New Roman"/>
        </w:rPr>
      </w:pPr>
    </w:p>
    <w:p w:rsidR="00FA5900" w:rsidRDefault="00FA5900" w:rsidP="00FA5900">
      <w:pPr>
        <w:tabs>
          <w:tab w:val="left" w:pos="-1440"/>
        </w:tabs>
        <w:ind w:left="720" w:hanging="720"/>
        <w:rPr>
          <w:rFonts w:ascii="Times New Roman" w:hAnsi="Times New Roman"/>
        </w:rPr>
      </w:pPr>
      <w:r>
        <w:rPr>
          <w:rFonts w:ascii="Times New Roman" w:hAnsi="Times New Roman"/>
        </w:rPr>
        <w:tab/>
      </w:r>
      <w:r w:rsidRPr="00FA5900">
        <w:rPr>
          <w:rFonts w:ascii="Times New Roman" w:hAnsi="Times New Roman"/>
        </w:rPr>
        <w:t>In addition, the impact of the proposed rule has been considered as follows:</w:t>
      </w:r>
    </w:p>
    <w:p w:rsidR="00FA5900" w:rsidRPr="00FA5900" w:rsidRDefault="00FA5900" w:rsidP="00FA5900">
      <w:pPr>
        <w:tabs>
          <w:tab w:val="left" w:pos="-1440"/>
        </w:tabs>
        <w:ind w:left="720" w:hanging="720"/>
        <w:rPr>
          <w:rFonts w:ascii="Times New Roman" w:hAnsi="Times New Roman"/>
        </w:rPr>
      </w:pPr>
    </w:p>
    <w:p w:rsidR="00D00BAD" w:rsidRDefault="00FA5900" w:rsidP="00FA5900">
      <w:pPr>
        <w:tabs>
          <w:tab w:val="left" w:pos="-1440"/>
        </w:tabs>
        <w:ind w:left="720" w:hanging="720"/>
        <w:rPr>
          <w:rFonts w:ascii="Times New Roman" w:hAnsi="Times New Roman"/>
        </w:rPr>
      </w:pPr>
      <w:r>
        <w:rPr>
          <w:rFonts w:ascii="Times New Roman" w:hAnsi="Times New Roman"/>
        </w:rPr>
        <w:tab/>
      </w:r>
      <w:r w:rsidRPr="00FA5900">
        <w:rPr>
          <w:rFonts w:ascii="Times New Roman" w:hAnsi="Times New Roman"/>
        </w:rPr>
        <w:t xml:space="preserve">First, the Agencies find that, currently, only a small minority of refinances involves cash out beyond the levels eligible for this proposed exemption, and as a </w:t>
      </w:r>
      <w:proofErr w:type="gramStart"/>
      <w:r w:rsidRPr="00FA5900">
        <w:rPr>
          <w:rFonts w:ascii="Times New Roman" w:hAnsi="Times New Roman"/>
        </w:rPr>
        <w:t>result</w:t>
      </w:r>
      <w:proofErr w:type="gramEnd"/>
      <w:r w:rsidRPr="00FA5900">
        <w:rPr>
          <w:rFonts w:ascii="Times New Roman" w:hAnsi="Times New Roman"/>
        </w:rPr>
        <w:t xml:space="preserve"> most refinance loans may qualify for this exemption.  The Agencies</w:t>
      </w:r>
      <w:r w:rsidR="00D00BAD">
        <w:rPr>
          <w:rFonts w:ascii="Times New Roman" w:hAnsi="Times New Roman"/>
        </w:rPr>
        <w:t>,</w:t>
      </w:r>
      <w:r w:rsidRPr="00FA5900">
        <w:rPr>
          <w:rFonts w:ascii="Times New Roman" w:hAnsi="Times New Roman"/>
        </w:rPr>
        <w:t xml:space="preserve"> therefore</w:t>
      </w:r>
      <w:r w:rsidR="00D00BAD">
        <w:rPr>
          <w:rFonts w:ascii="Times New Roman" w:hAnsi="Times New Roman"/>
        </w:rPr>
        <w:t>,</w:t>
      </w:r>
      <w:r w:rsidRPr="00FA5900">
        <w:rPr>
          <w:rFonts w:ascii="Times New Roman" w:hAnsi="Times New Roman"/>
        </w:rPr>
        <w:t xml:space="preserve"> assume that the proposed </w:t>
      </w:r>
      <w:proofErr w:type="gramStart"/>
      <w:r w:rsidRPr="00FA5900">
        <w:rPr>
          <w:rFonts w:ascii="Times New Roman" w:hAnsi="Times New Roman"/>
        </w:rPr>
        <w:t>exemption for certain</w:t>
      </w:r>
      <w:proofErr w:type="gramEnd"/>
      <w:r w:rsidRPr="00FA5900">
        <w:rPr>
          <w:rFonts w:ascii="Times New Roman" w:hAnsi="Times New Roman"/>
        </w:rPr>
        <w:t xml:space="preserve"> refinances affects all the refinance </w:t>
      </w:r>
      <w:r w:rsidR="00D00BAD">
        <w:rPr>
          <w:rFonts w:ascii="Times New Roman" w:hAnsi="Times New Roman"/>
        </w:rPr>
        <w:t xml:space="preserve">loans discussed in </w:t>
      </w:r>
      <w:r w:rsidRPr="00FA5900">
        <w:rPr>
          <w:rFonts w:ascii="Times New Roman" w:hAnsi="Times New Roman"/>
        </w:rPr>
        <w:t xml:space="preserve">2013 Final Rule, and thus would eliminate all of the approximately 1,200 new appraisals that had been estimated to result from these refinances as a result of </w:t>
      </w:r>
      <w:r w:rsidR="007A12D6">
        <w:rPr>
          <w:rFonts w:ascii="Times New Roman" w:hAnsi="Times New Roman"/>
        </w:rPr>
        <w:t xml:space="preserve">the Interagency Appraisal </w:t>
      </w:r>
      <w:r w:rsidRPr="00FA5900">
        <w:rPr>
          <w:rFonts w:ascii="Times New Roman" w:hAnsi="Times New Roman"/>
        </w:rPr>
        <w:t>Final Rule</w:t>
      </w:r>
      <w:r w:rsidR="00D00BAD">
        <w:rPr>
          <w:rFonts w:ascii="Times New Roman" w:hAnsi="Times New Roman"/>
        </w:rPr>
        <w:t>.</w:t>
      </w:r>
    </w:p>
    <w:p w:rsidR="00D00BAD" w:rsidRDefault="00FA5900" w:rsidP="00FA5900">
      <w:pPr>
        <w:tabs>
          <w:tab w:val="left" w:pos="-1440"/>
        </w:tabs>
        <w:ind w:left="720" w:hanging="720"/>
        <w:rPr>
          <w:rFonts w:ascii="Times New Roman" w:hAnsi="Times New Roman"/>
        </w:rPr>
      </w:pPr>
      <w:r>
        <w:rPr>
          <w:rFonts w:ascii="Times New Roman" w:hAnsi="Times New Roman"/>
        </w:rPr>
        <w:tab/>
      </w:r>
    </w:p>
    <w:p w:rsidR="00FA5900" w:rsidRDefault="00D00BAD" w:rsidP="00FA5900">
      <w:pPr>
        <w:tabs>
          <w:tab w:val="left" w:pos="-1440"/>
        </w:tabs>
        <w:ind w:left="720" w:hanging="720"/>
        <w:rPr>
          <w:rFonts w:ascii="Times New Roman" w:hAnsi="Times New Roman"/>
        </w:rPr>
      </w:pPr>
      <w:r>
        <w:rPr>
          <w:rFonts w:ascii="Times New Roman" w:hAnsi="Times New Roman"/>
        </w:rPr>
        <w:tab/>
      </w:r>
      <w:r w:rsidR="00FA5900" w:rsidRPr="00FA5900">
        <w:rPr>
          <w:rFonts w:ascii="Times New Roman" w:hAnsi="Times New Roman"/>
        </w:rPr>
        <w:t>Second, based on the HMDA 2011 data, the Agencies find that 12 percent of all HPMLs are under $25,</w:t>
      </w:r>
      <w:r>
        <w:rPr>
          <w:rFonts w:ascii="Times New Roman" w:hAnsi="Times New Roman"/>
        </w:rPr>
        <w:t xml:space="preserve">000.  The Agencies believe </w:t>
      </w:r>
      <w:proofErr w:type="gramStart"/>
      <w:r>
        <w:rPr>
          <w:rFonts w:ascii="Times New Roman" w:hAnsi="Times New Roman"/>
        </w:rPr>
        <w:t>that</w:t>
      </w:r>
      <w:r w:rsidR="00375B0B">
        <w:rPr>
          <w:rFonts w:ascii="Times New Roman" w:hAnsi="Times New Roman"/>
        </w:rPr>
        <w:t xml:space="preserve"> there will be </w:t>
      </w:r>
      <w:r w:rsidR="00FA5900" w:rsidRPr="00FA5900">
        <w:rPr>
          <w:rFonts w:ascii="Times New Roman" w:hAnsi="Times New Roman"/>
        </w:rPr>
        <w:t>12 percent fewer appraisals based on the exemption for small dollar loans</w:t>
      </w:r>
      <w:proofErr w:type="gramEnd"/>
      <w:r w:rsidR="00FA5900" w:rsidRPr="00FA5900">
        <w:rPr>
          <w:rFonts w:ascii="Times New Roman" w:hAnsi="Times New Roman"/>
        </w:rPr>
        <w:t>.</w:t>
      </w:r>
    </w:p>
    <w:p w:rsidR="00FA5900" w:rsidRPr="00FA5900" w:rsidRDefault="00FA5900" w:rsidP="00FA5900">
      <w:pPr>
        <w:tabs>
          <w:tab w:val="left" w:pos="-1440"/>
        </w:tabs>
        <w:ind w:left="720" w:hanging="720"/>
        <w:rPr>
          <w:rFonts w:ascii="Times New Roman" w:hAnsi="Times New Roman"/>
        </w:rPr>
      </w:pPr>
    </w:p>
    <w:p w:rsidR="00FA5900" w:rsidRPr="00FA5900" w:rsidRDefault="00FA5900" w:rsidP="00FA5900">
      <w:pPr>
        <w:tabs>
          <w:tab w:val="left" w:pos="-1440"/>
        </w:tabs>
        <w:ind w:left="720" w:hanging="720"/>
        <w:rPr>
          <w:rFonts w:ascii="Times New Roman" w:hAnsi="Times New Roman"/>
        </w:rPr>
      </w:pPr>
      <w:r>
        <w:rPr>
          <w:rFonts w:ascii="Times New Roman" w:hAnsi="Times New Roman"/>
        </w:rPr>
        <w:tab/>
      </w:r>
      <w:r w:rsidRPr="00FA5900">
        <w:rPr>
          <w:rFonts w:ascii="Times New Roman" w:hAnsi="Times New Roman"/>
        </w:rPr>
        <w:t xml:space="preserve">Third, the Agencies find that many of the transactions secured by existing manufactured homes and not land involve either refinances (all of which are conservatively assumed to be covered by the proposed exemption for certain refinances), or smaller dollar loans (which cover many types of manufactured housing transactions).   While covered HPMLs above smaller dollar levels that are secured by existing manufactured homes and not land may be </w:t>
      </w:r>
      <w:proofErr w:type="gramStart"/>
      <w:r w:rsidRPr="00FA5900">
        <w:rPr>
          <w:rFonts w:ascii="Times New Roman" w:hAnsi="Times New Roman"/>
        </w:rPr>
        <w:t>newly-exempted</w:t>
      </w:r>
      <w:proofErr w:type="gramEnd"/>
      <w:r w:rsidRPr="00FA5900">
        <w:rPr>
          <w:rFonts w:ascii="Times New Roman" w:hAnsi="Times New Roman"/>
        </w:rPr>
        <w:t xml:space="preserve">, these transactions may need alternative valuations depending upon how the exemption is finalized.  </w:t>
      </w:r>
    </w:p>
    <w:p w:rsidR="00EA17EC" w:rsidRPr="00375B0B" w:rsidRDefault="007800F7" w:rsidP="00375B0B">
      <w:pPr>
        <w:tabs>
          <w:tab w:val="left" w:pos="-1440"/>
        </w:tabs>
        <w:ind w:left="720" w:hanging="720"/>
        <w:rPr>
          <w:rFonts w:ascii="Times New Roman" w:hAnsi="Times New Roman"/>
        </w:rPr>
      </w:pPr>
      <w:r>
        <w:rPr>
          <w:rFonts w:ascii="Times New Roman" w:hAnsi="Times New Roman"/>
        </w:rPr>
        <w:tab/>
      </w:r>
    </w:p>
    <w:p w:rsidR="00EA17EC" w:rsidRPr="00373ED8" w:rsidRDefault="00EA17EC" w:rsidP="00373ED8">
      <w:pPr>
        <w:tabs>
          <w:tab w:val="left" w:pos="-1440"/>
        </w:tabs>
        <w:ind w:left="720" w:hanging="720"/>
        <w:rPr>
          <w:rFonts w:ascii="Times New Roman" w:hAnsi="Times New Roman"/>
        </w:rPr>
      </w:pPr>
      <w:r w:rsidRPr="00373ED8">
        <w:rPr>
          <w:rFonts w:ascii="Times New Roman" w:hAnsi="Times New Roman"/>
        </w:rPr>
        <w:t>13.</w:t>
      </w:r>
      <w:r w:rsidRPr="00373ED8">
        <w:rPr>
          <w:rFonts w:ascii="Times New Roman" w:hAnsi="Times New Roman"/>
        </w:rPr>
        <w:tab/>
      </w:r>
      <w:r w:rsidRPr="00373ED8">
        <w:rPr>
          <w:rFonts w:ascii="Times New Roman" w:hAnsi="Times New Roman"/>
          <w:u w:val="single"/>
        </w:rPr>
        <w:t>Estimate of annualized costs to respondents:</w:t>
      </w:r>
    </w:p>
    <w:p w:rsidR="00EA17EC" w:rsidRPr="00373ED8" w:rsidRDefault="00EA17EC" w:rsidP="00373ED8">
      <w:pPr>
        <w:ind w:firstLine="720"/>
        <w:rPr>
          <w:rFonts w:ascii="Times New Roman" w:hAnsi="Times New Roman"/>
        </w:rPr>
      </w:pPr>
    </w:p>
    <w:p w:rsidR="00EA17EC" w:rsidRDefault="00EA17EC" w:rsidP="00373ED8">
      <w:pPr>
        <w:ind w:firstLine="720"/>
        <w:rPr>
          <w:rFonts w:ascii="Times New Roman" w:hAnsi="Times New Roman"/>
        </w:rPr>
      </w:pPr>
      <w:proofErr w:type="gramStart"/>
      <w:r w:rsidRPr="00373ED8">
        <w:rPr>
          <w:rFonts w:ascii="Times New Roman" w:hAnsi="Times New Roman"/>
        </w:rPr>
        <w:t>None.</w:t>
      </w:r>
      <w:proofErr w:type="gramEnd"/>
    </w:p>
    <w:p w:rsidR="00EB1837" w:rsidRPr="00373ED8" w:rsidRDefault="00EB1837" w:rsidP="00373ED8">
      <w:pPr>
        <w:ind w:firstLine="720"/>
        <w:rPr>
          <w:rFonts w:ascii="Times New Roman" w:hAnsi="Times New Roman"/>
        </w:rPr>
      </w:pPr>
    </w:p>
    <w:p w:rsidR="00EA17EC" w:rsidRPr="00373ED8" w:rsidRDefault="00EA17EC" w:rsidP="00373ED8">
      <w:pPr>
        <w:rPr>
          <w:rFonts w:ascii="Times New Roman" w:hAnsi="Times New Roman"/>
        </w:rPr>
      </w:pPr>
    </w:p>
    <w:p w:rsidR="00EA17EC" w:rsidRPr="00373ED8" w:rsidRDefault="00EA17EC" w:rsidP="00373ED8">
      <w:pPr>
        <w:rPr>
          <w:rFonts w:ascii="Times New Roman" w:hAnsi="Times New Roman"/>
        </w:rPr>
      </w:pPr>
      <w:r w:rsidRPr="00373ED8">
        <w:rPr>
          <w:rFonts w:ascii="Times New Roman" w:hAnsi="Times New Roman"/>
        </w:rPr>
        <w:t xml:space="preserve">14.  </w:t>
      </w:r>
      <w:r w:rsidRPr="00373ED8">
        <w:rPr>
          <w:rFonts w:ascii="Times New Roman" w:hAnsi="Times New Roman"/>
          <w:u w:val="single"/>
        </w:rPr>
        <w:t>Estimate of annualized costs to the government:</w:t>
      </w:r>
    </w:p>
    <w:p w:rsidR="00EA17EC" w:rsidRPr="00373ED8" w:rsidRDefault="00EA17EC" w:rsidP="00373ED8">
      <w:pPr>
        <w:rPr>
          <w:rFonts w:ascii="Times New Roman" w:hAnsi="Times New Roman"/>
        </w:rPr>
      </w:pPr>
    </w:p>
    <w:p w:rsidR="00EA17EC" w:rsidRDefault="00EA17EC" w:rsidP="00373ED8">
      <w:pPr>
        <w:ind w:firstLine="720"/>
        <w:rPr>
          <w:rFonts w:ascii="Times New Roman" w:hAnsi="Times New Roman"/>
        </w:rPr>
      </w:pPr>
      <w:proofErr w:type="gramStart"/>
      <w:r w:rsidRPr="00373ED8">
        <w:rPr>
          <w:rFonts w:ascii="Times New Roman" w:hAnsi="Times New Roman"/>
        </w:rPr>
        <w:t>None.</w:t>
      </w:r>
      <w:proofErr w:type="gramEnd"/>
    </w:p>
    <w:p w:rsidR="00EA17EC" w:rsidRPr="00373ED8" w:rsidRDefault="00EA17EC" w:rsidP="00373ED8">
      <w:pPr>
        <w:rPr>
          <w:rFonts w:ascii="Times New Roman" w:hAnsi="Times New Roman"/>
        </w:rPr>
      </w:pPr>
    </w:p>
    <w:p w:rsidR="00EA17EC" w:rsidRDefault="00EA17EC" w:rsidP="00373ED8">
      <w:pPr>
        <w:tabs>
          <w:tab w:val="left" w:pos="-1440"/>
        </w:tabs>
        <w:ind w:left="720" w:hanging="720"/>
        <w:rPr>
          <w:rFonts w:ascii="Times New Roman" w:hAnsi="Times New Roman"/>
          <w:u w:val="single"/>
        </w:rPr>
      </w:pPr>
      <w:r w:rsidRPr="00373ED8">
        <w:rPr>
          <w:rFonts w:ascii="Times New Roman" w:hAnsi="Times New Roman"/>
        </w:rPr>
        <w:t>15.</w:t>
      </w:r>
      <w:r w:rsidRPr="00373ED8">
        <w:rPr>
          <w:rFonts w:ascii="Times New Roman" w:hAnsi="Times New Roman"/>
        </w:rPr>
        <w:tab/>
      </w:r>
      <w:r w:rsidRPr="00373ED8">
        <w:rPr>
          <w:rFonts w:ascii="Times New Roman" w:hAnsi="Times New Roman"/>
          <w:u w:val="single"/>
        </w:rPr>
        <w:t>Changes in burden:</w:t>
      </w:r>
    </w:p>
    <w:p w:rsidR="00344D0B" w:rsidRDefault="00344D0B" w:rsidP="000D602E">
      <w:pPr>
        <w:tabs>
          <w:tab w:val="left" w:pos="-1440"/>
        </w:tabs>
        <w:rPr>
          <w:rFonts w:ascii="Times New Roman" w:hAnsi="Times New Roman"/>
          <w:u w:val="single"/>
        </w:rPr>
      </w:pPr>
    </w:p>
    <w:p w:rsidR="00EA17EC" w:rsidRDefault="00344D0B" w:rsidP="006A0AE9">
      <w:pPr>
        <w:ind w:left="720"/>
        <w:rPr>
          <w:rFonts w:ascii="Times New Roman" w:hAnsi="Times New Roman"/>
        </w:rPr>
      </w:pPr>
      <w:r>
        <w:rPr>
          <w:rFonts w:ascii="Times New Roman" w:hAnsi="Times New Roman"/>
        </w:rPr>
        <w:t>The</w:t>
      </w:r>
      <w:r w:rsidR="009B39DC">
        <w:rPr>
          <w:rFonts w:ascii="Times New Roman" w:hAnsi="Times New Roman"/>
        </w:rPr>
        <w:t xml:space="preserve"> decrease from</w:t>
      </w:r>
      <w:r>
        <w:rPr>
          <w:rFonts w:ascii="Times New Roman" w:hAnsi="Times New Roman"/>
        </w:rPr>
        <w:t xml:space="preserve"> </w:t>
      </w:r>
      <w:r w:rsidR="006A0AE9">
        <w:rPr>
          <w:rStyle w:val="documentbody1"/>
          <w:rFonts w:ascii="Times New Roman" w:hAnsi="Times New Roman"/>
          <w:color w:val="000000"/>
          <w:sz w:val="24"/>
          <w:szCs w:val="24"/>
        </w:rPr>
        <w:t xml:space="preserve">44,768 </w:t>
      </w:r>
      <w:r w:rsidR="000D602E" w:rsidRPr="00D81536">
        <w:rPr>
          <w:rStyle w:val="documentbody1"/>
          <w:rFonts w:ascii="Times New Roman" w:hAnsi="Times New Roman"/>
          <w:color w:val="000000"/>
          <w:sz w:val="24"/>
          <w:szCs w:val="24"/>
        </w:rPr>
        <w:t>hour</w:t>
      </w:r>
      <w:r w:rsidR="009B39DC">
        <w:rPr>
          <w:rStyle w:val="documentbody1"/>
          <w:rFonts w:ascii="Times New Roman" w:hAnsi="Times New Roman"/>
          <w:color w:val="000000"/>
          <w:sz w:val="24"/>
          <w:szCs w:val="24"/>
        </w:rPr>
        <w:t>s to 19,946</w:t>
      </w:r>
      <w:r w:rsidR="00375B0B">
        <w:rPr>
          <w:rFonts w:ascii="Times New Roman" w:hAnsi="Times New Roman"/>
        </w:rPr>
        <w:t xml:space="preserve"> is due to the exemptions provided by the Supplemental Proposal.</w:t>
      </w:r>
    </w:p>
    <w:p w:rsidR="006A0AE9" w:rsidRPr="000D602E" w:rsidRDefault="006A0AE9" w:rsidP="006A0AE9">
      <w:pPr>
        <w:rPr>
          <w:rFonts w:ascii="Times New Roman" w:hAnsi="Times New Roman"/>
          <w:color w:val="000000"/>
        </w:rPr>
      </w:pPr>
    </w:p>
    <w:p w:rsidR="00EA17EC" w:rsidRPr="00373ED8" w:rsidRDefault="00EA17EC" w:rsidP="00373ED8">
      <w:pPr>
        <w:tabs>
          <w:tab w:val="left" w:pos="-1440"/>
        </w:tabs>
        <w:ind w:left="720" w:hanging="720"/>
        <w:rPr>
          <w:rFonts w:ascii="Times New Roman" w:hAnsi="Times New Roman"/>
        </w:rPr>
      </w:pPr>
      <w:r w:rsidRPr="00373ED8">
        <w:rPr>
          <w:rFonts w:ascii="Times New Roman" w:hAnsi="Times New Roman"/>
        </w:rPr>
        <w:t>16.</w:t>
      </w:r>
      <w:r w:rsidRPr="00373ED8">
        <w:rPr>
          <w:rFonts w:ascii="Times New Roman" w:hAnsi="Times New Roman"/>
        </w:rPr>
        <w:tab/>
      </w:r>
      <w:r w:rsidRPr="00373ED8">
        <w:rPr>
          <w:rFonts w:ascii="Times New Roman" w:hAnsi="Times New Roman"/>
          <w:u w:val="single"/>
        </w:rPr>
        <w:t>Information regarding collections whose results are planned to be published for statistical use:</w:t>
      </w:r>
    </w:p>
    <w:p w:rsidR="00EA17EC" w:rsidRPr="00373ED8" w:rsidRDefault="00EA17EC" w:rsidP="00373ED8">
      <w:pPr>
        <w:rPr>
          <w:rFonts w:ascii="Times New Roman" w:hAnsi="Times New Roman"/>
        </w:rPr>
      </w:pPr>
    </w:p>
    <w:p w:rsidR="00EA17EC" w:rsidRDefault="00EA17EC" w:rsidP="00373ED8">
      <w:pPr>
        <w:ind w:firstLine="720"/>
        <w:rPr>
          <w:rFonts w:ascii="Times New Roman" w:hAnsi="Times New Roman"/>
        </w:rPr>
      </w:pPr>
      <w:r w:rsidRPr="00373ED8">
        <w:rPr>
          <w:rFonts w:ascii="Times New Roman" w:hAnsi="Times New Roman"/>
        </w:rPr>
        <w:t>The OCC has no plans to publish the information for statistical use.</w:t>
      </w:r>
    </w:p>
    <w:p w:rsidR="00EA17EC" w:rsidRPr="00373ED8" w:rsidRDefault="00EA17EC" w:rsidP="00373ED8">
      <w:pPr>
        <w:rPr>
          <w:rFonts w:ascii="Times New Roman" w:hAnsi="Times New Roman"/>
        </w:rPr>
      </w:pPr>
    </w:p>
    <w:p w:rsidR="00EA17EC" w:rsidRPr="00373ED8" w:rsidRDefault="00EA17EC" w:rsidP="00373ED8">
      <w:pPr>
        <w:rPr>
          <w:rFonts w:ascii="Times New Roman" w:hAnsi="Times New Roman"/>
          <w:u w:val="single"/>
        </w:rPr>
      </w:pPr>
      <w:r w:rsidRPr="00373ED8">
        <w:rPr>
          <w:rFonts w:ascii="Times New Roman" w:hAnsi="Times New Roman"/>
        </w:rPr>
        <w:t>17.</w:t>
      </w:r>
      <w:r w:rsidRPr="00373ED8">
        <w:rPr>
          <w:rFonts w:ascii="Times New Roman" w:hAnsi="Times New Roman"/>
        </w:rPr>
        <w:tab/>
      </w:r>
      <w:r w:rsidRPr="00373ED8">
        <w:rPr>
          <w:rFonts w:ascii="Times New Roman" w:hAnsi="Times New Roman"/>
          <w:u w:val="single"/>
        </w:rPr>
        <w:t>Display of expiration date.</w:t>
      </w:r>
    </w:p>
    <w:p w:rsidR="00EA17EC" w:rsidRPr="00373ED8" w:rsidRDefault="00EA17EC" w:rsidP="00373ED8">
      <w:pPr>
        <w:ind w:firstLine="720"/>
        <w:rPr>
          <w:rFonts w:ascii="Times New Roman" w:hAnsi="Times New Roman"/>
          <w:u w:val="single"/>
        </w:rPr>
      </w:pPr>
    </w:p>
    <w:p w:rsidR="00EA17EC" w:rsidRPr="00373ED8" w:rsidRDefault="00EA17EC" w:rsidP="00373ED8">
      <w:pPr>
        <w:ind w:firstLine="720"/>
        <w:rPr>
          <w:rFonts w:ascii="Times New Roman" w:hAnsi="Times New Roman"/>
        </w:rPr>
      </w:pPr>
      <w:r w:rsidRPr="00373ED8">
        <w:rPr>
          <w:rFonts w:ascii="Times New Roman" w:hAnsi="Times New Roman"/>
        </w:rPr>
        <w:t>Not applicable.</w:t>
      </w:r>
    </w:p>
    <w:p w:rsidR="00EA17EC" w:rsidRPr="00373ED8" w:rsidRDefault="00EA17EC" w:rsidP="00373ED8">
      <w:pPr>
        <w:rPr>
          <w:rFonts w:ascii="Times New Roman" w:hAnsi="Times New Roman"/>
        </w:rPr>
      </w:pPr>
    </w:p>
    <w:p w:rsidR="00EA17EC" w:rsidRPr="00373ED8" w:rsidRDefault="00EA17EC" w:rsidP="00373ED8">
      <w:pPr>
        <w:rPr>
          <w:rFonts w:ascii="Times New Roman" w:hAnsi="Times New Roman"/>
        </w:rPr>
      </w:pPr>
      <w:r w:rsidRPr="00373ED8">
        <w:rPr>
          <w:rFonts w:ascii="Times New Roman" w:hAnsi="Times New Roman"/>
        </w:rPr>
        <w:t>18.</w:t>
      </w:r>
      <w:r w:rsidRPr="00373ED8">
        <w:rPr>
          <w:rFonts w:ascii="Times New Roman" w:hAnsi="Times New Roman"/>
        </w:rPr>
        <w:tab/>
      </w:r>
      <w:r w:rsidRPr="00373ED8">
        <w:rPr>
          <w:rFonts w:ascii="Times New Roman" w:hAnsi="Times New Roman"/>
          <w:u w:val="single"/>
        </w:rPr>
        <w:t>Exceptions to certification statement.</w:t>
      </w:r>
    </w:p>
    <w:p w:rsidR="00EA17EC" w:rsidRPr="00373ED8" w:rsidRDefault="00EA17EC" w:rsidP="00373ED8">
      <w:pPr>
        <w:rPr>
          <w:rFonts w:ascii="Times New Roman" w:hAnsi="Times New Roman"/>
        </w:rPr>
      </w:pPr>
    </w:p>
    <w:p w:rsidR="00EA17EC" w:rsidRPr="00373ED8" w:rsidRDefault="00EA17EC" w:rsidP="00373ED8">
      <w:pPr>
        <w:ind w:firstLine="720"/>
        <w:rPr>
          <w:rFonts w:ascii="Times New Roman" w:hAnsi="Times New Roman"/>
          <w:u w:val="single"/>
        </w:rPr>
      </w:pPr>
      <w:proofErr w:type="gramStart"/>
      <w:r w:rsidRPr="00373ED8">
        <w:rPr>
          <w:rFonts w:ascii="Times New Roman" w:hAnsi="Times New Roman"/>
        </w:rPr>
        <w:t>None.</w:t>
      </w:r>
      <w:proofErr w:type="gramEnd"/>
      <w:r w:rsidRPr="00373ED8">
        <w:rPr>
          <w:rFonts w:ascii="Times New Roman" w:hAnsi="Times New Roman"/>
        </w:rPr>
        <w:t xml:space="preserve"> </w:t>
      </w:r>
    </w:p>
    <w:p w:rsidR="00EA17EC" w:rsidRPr="00373ED8" w:rsidRDefault="00EA17EC" w:rsidP="00373ED8">
      <w:pPr>
        <w:rPr>
          <w:rFonts w:ascii="Times New Roman" w:hAnsi="Times New Roman"/>
          <w:u w:val="single"/>
        </w:rPr>
      </w:pPr>
    </w:p>
    <w:p w:rsidR="00EA17EC" w:rsidRPr="00373ED8" w:rsidRDefault="00EA17EC" w:rsidP="00373ED8">
      <w:pPr>
        <w:tabs>
          <w:tab w:val="left" w:pos="-1440"/>
        </w:tabs>
        <w:ind w:left="720" w:hanging="720"/>
        <w:rPr>
          <w:rFonts w:ascii="Times New Roman" w:hAnsi="Times New Roman"/>
          <w:u w:val="single"/>
        </w:rPr>
      </w:pPr>
      <w:r w:rsidRPr="00373ED8">
        <w:rPr>
          <w:rFonts w:ascii="Times New Roman" w:hAnsi="Times New Roman"/>
        </w:rPr>
        <w:t>B.</w:t>
      </w:r>
      <w:r w:rsidRPr="00373ED8">
        <w:rPr>
          <w:rFonts w:ascii="Times New Roman" w:hAnsi="Times New Roman"/>
        </w:rPr>
        <w:tab/>
      </w:r>
      <w:r w:rsidRPr="00373ED8">
        <w:rPr>
          <w:rFonts w:ascii="Times New Roman" w:hAnsi="Times New Roman"/>
          <w:u w:val="single"/>
        </w:rPr>
        <w:t>Collections of Information Employing Statistical Methods.</w:t>
      </w:r>
    </w:p>
    <w:p w:rsidR="00EA17EC" w:rsidRPr="00373ED8" w:rsidRDefault="00EA17EC" w:rsidP="00373ED8">
      <w:pPr>
        <w:rPr>
          <w:rFonts w:ascii="Times New Roman" w:hAnsi="Times New Roman"/>
          <w:u w:val="single"/>
        </w:rPr>
      </w:pPr>
    </w:p>
    <w:p w:rsidR="00EA17EC" w:rsidRPr="00373ED8" w:rsidRDefault="00EA17EC" w:rsidP="00373ED8">
      <w:pPr>
        <w:ind w:firstLine="720"/>
        <w:rPr>
          <w:rFonts w:ascii="Times New Roman" w:hAnsi="Times New Roman"/>
        </w:rPr>
      </w:pPr>
      <w:r w:rsidRPr="00373ED8">
        <w:rPr>
          <w:rFonts w:ascii="Times New Roman" w:hAnsi="Times New Roman"/>
        </w:rPr>
        <w:t>Not applicable.</w:t>
      </w:r>
    </w:p>
    <w:p w:rsidR="00EA17EC" w:rsidRPr="00B02EF3" w:rsidRDefault="00EA17EC" w:rsidP="00B02EF3">
      <w:pPr>
        <w:rPr>
          <w:rFonts w:ascii="Times New Roman" w:hAnsi="Times New Roman"/>
        </w:rPr>
      </w:pPr>
    </w:p>
    <w:sectPr w:rsidR="00EA17EC" w:rsidRPr="00B02EF3" w:rsidSect="00F01C5E">
      <w:headerReference w:type="default" r:id="rId9"/>
      <w:footerReference w:type="even" r:id="rId10"/>
      <w:footerReference w:type="default" r:id="rId11"/>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656" w:rsidRDefault="00721656">
      <w:r>
        <w:separator/>
      </w:r>
    </w:p>
  </w:endnote>
  <w:endnote w:type="continuationSeparator" w:id="0">
    <w:p w:rsidR="00721656" w:rsidRDefault="0072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357878" w:rsidP="00087F1F">
    <w:pPr>
      <w:pStyle w:val="Footer"/>
      <w:framePr w:wrap="around" w:vAnchor="text" w:hAnchor="margin" w:xAlign="center" w:y="1"/>
      <w:rPr>
        <w:rStyle w:val="PageNumber"/>
      </w:rPr>
    </w:pPr>
    <w:r>
      <w:rPr>
        <w:rStyle w:val="PageNumber"/>
      </w:rPr>
      <w:fldChar w:fldCharType="begin"/>
    </w:r>
    <w:r w:rsidR="00721656">
      <w:rPr>
        <w:rStyle w:val="PageNumber"/>
      </w:rPr>
      <w:instrText xml:space="preserve">PAGE  </w:instrText>
    </w:r>
    <w:r>
      <w:rPr>
        <w:rStyle w:val="PageNumber"/>
      </w:rPr>
      <w:fldChar w:fldCharType="end"/>
    </w:r>
  </w:p>
  <w:p w:rsidR="00721656" w:rsidRDefault="007216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357878" w:rsidP="00087F1F">
    <w:pPr>
      <w:pStyle w:val="Footer"/>
      <w:framePr w:wrap="around" w:vAnchor="text" w:hAnchor="margin" w:xAlign="center" w:y="1"/>
      <w:rPr>
        <w:rStyle w:val="PageNumber"/>
      </w:rPr>
    </w:pPr>
    <w:r>
      <w:rPr>
        <w:rStyle w:val="PageNumber"/>
      </w:rPr>
      <w:fldChar w:fldCharType="begin"/>
    </w:r>
    <w:r w:rsidR="00721656">
      <w:rPr>
        <w:rStyle w:val="PageNumber"/>
      </w:rPr>
      <w:instrText xml:space="preserve">PAGE  </w:instrText>
    </w:r>
    <w:r>
      <w:rPr>
        <w:rStyle w:val="PageNumber"/>
      </w:rPr>
      <w:fldChar w:fldCharType="separate"/>
    </w:r>
    <w:r w:rsidR="000348F8">
      <w:rPr>
        <w:rStyle w:val="PageNumber"/>
        <w:noProof/>
      </w:rPr>
      <w:t>2</w:t>
    </w:r>
    <w:r>
      <w:rPr>
        <w:rStyle w:val="PageNumber"/>
      </w:rPr>
      <w:fldChar w:fldCharType="end"/>
    </w:r>
  </w:p>
  <w:p w:rsidR="00721656" w:rsidRDefault="00721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656" w:rsidRDefault="00721656">
      <w:r>
        <w:separator/>
      </w:r>
    </w:p>
  </w:footnote>
  <w:footnote w:type="continuationSeparator" w:id="0">
    <w:p w:rsidR="00721656" w:rsidRDefault="00721656">
      <w:r>
        <w:continuationSeparator/>
      </w:r>
    </w:p>
  </w:footnote>
  <w:footnote w:id="1">
    <w:p w:rsidR="00D37F01" w:rsidRPr="00307470" w:rsidRDefault="00D37F01" w:rsidP="00D37F01">
      <w:pPr>
        <w:pStyle w:val="FootnoteText"/>
      </w:pPr>
      <w:r w:rsidRPr="006A0AE9">
        <w:rPr>
          <w:rStyle w:val="FootnoteReference"/>
          <w:vertAlign w:val="superscript"/>
        </w:rPr>
        <w:footnoteRef/>
      </w:r>
      <w:r w:rsidRPr="006A0AE9">
        <w:rPr>
          <w:vertAlign w:val="superscript"/>
        </w:rPr>
        <w:t xml:space="preserve"> </w:t>
      </w:r>
      <w:r>
        <w:t xml:space="preserve">The current appraisal process for all federally related transactions originated by national banks or Federal savings associations is codified in 12 CFR 34 and 12 CFR 164, respectively and has been approved under OMB control number </w:t>
      </w:r>
      <w:r w:rsidRPr="00C74802">
        <w:t>1557-0190</w:t>
      </w:r>
      <w:r w:rsidRPr="00307470">
        <w:t>.</w:t>
      </w:r>
      <w:r>
        <w:t xml:space="preserve">   </w:t>
      </w:r>
    </w:p>
    <w:p w:rsidR="00D37F01" w:rsidRDefault="00D37F01" w:rsidP="00D37F01">
      <w:pPr>
        <w:pStyle w:val="FootnoteText"/>
      </w:pPr>
    </w:p>
  </w:footnote>
  <w:footnote w:id="2">
    <w:p w:rsidR="00D37F01" w:rsidRPr="00764BA9" w:rsidRDefault="00D37F01" w:rsidP="00D37F01">
      <w:pPr>
        <w:rPr>
          <w:rFonts w:ascii="Times New Roman" w:hAnsi="Times New Roman"/>
          <w:sz w:val="20"/>
        </w:rPr>
      </w:pPr>
      <w:r w:rsidRPr="00764BA9">
        <w:rPr>
          <w:rStyle w:val="FootnoteReference"/>
          <w:rFonts w:ascii="Times New Roman" w:hAnsi="Times New Roman"/>
          <w:sz w:val="20"/>
          <w:vertAlign w:val="superscript"/>
        </w:rPr>
        <w:footnoteRef/>
      </w:r>
      <w:r w:rsidRPr="00764BA9">
        <w:rPr>
          <w:rFonts w:ascii="Times New Roman" w:hAnsi="Times New Roman"/>
          <w:sz w:val="20"/>
          <w:vertAlign w:val="superscript"/>
        </w:rPr>
        <w:t xml:space="preserve"> </w:t>
      </w:r>
      <w:r w:rsidRPr="00764BA9">
        <w:rPr>
          <w:rFonts w:ascii="Times New Roman" w:hAnsi="Times New Roman"/>
          <w:sz w:val="20"/>
        </w:rPr>
        <w:t>The public disclosure of information originally supplied by the Federal government to the recipient for the</w:t>
      </w:r>
    </w:p>
    <w:p w:rsidR="00D37F01" w:rsidRPr="00764BA9" w:rsidRDefault="00D37F01" w:rsidP="00D37F01">
      <w:pPr>
        <w:rPr>
          <w:rFonts w:ascii="Times New Roman" w:hAnsi="Times New Roman"/>
          <w:sz w:val="20"/>
        </w:rPr>
      </w:pPr>
      <w:proofErr w:type="gramStart"/>
      <w:r w:rsidRPr="00764BA9">
        <w:rPr>
          <w:rFonts w:ascii="Times New Roman" w:hAnsi="Times New Roman"/>
          <w:sz w:val="20"/>
        </w:rPr>
        <w:t>purpose</w:t>
      </w:r>
      <w:proofErr w:type="gramEnd"/>
      <w:r w:rsidRPr="00764BA9">
        <w:rPr>
          <w:rFonts w:ascii="Times New Roman" w:hAnsi="Times New Roman"/>
          <w:sz w:val="20"/>
        </w:rPr>
        <w:t xml:space="preserve"> of disclosure to th</w:t>
      </w:r>
      <w:r>
        <w:rPr>
          <w:rFonts w:ascii="Times New Roman" w:hAnsi="Times New Roman"/>
          <w:sz w:val="20"/>
        </w:rPr>
        <w:t>e public is not included within</w:t>
      </w:r>
      <w:r w:rsidRPr="00764BA9">
        <w:rPr>
          <w:rFonts w:ascii="Times New Roman" w:hAnsi="Times New Roman"/>
          <w:sz w:val="20"/>
        </w:rPr>
        <w:t xml:space="preserve"> the definition of “collection of information.”  5 CFR</w:t>
      </w:r>
    </w:p>
    <w:p w:rsidR="00D37F01" w:rsidRPr="00764BA9" w:rsidRDefault="00D37F01" w:rsidP="00D37F01">
      <w:pPr>
        <w:rPr>
          <w:rFonts w:ascii="Times New Roman" w:hAnsi="Times New Roman"/>
        </w:rPr>
      </w:pPr>
      <w:r w:rsidRPr="00764BA9">
        <w:rPr>
          <w:rFonts w:ascii="Times New Roman" w:hAnsi="Times New Roman"/>
          <w:sz w:val="20"/>
        </w:rPr>
        <w:t>1320.3(c</w:t>
      </w:r>
      <w:proofErr w:type="gramStart"/>
      <w:r w:rsidRPr="00764BA9">
        <w:rPr>
          <w:rFonts w:ascii="Times New Roman" w:hAnsi="Times New Roman"/>
          <w:sz w:val="20"/>
        </w:rPr>
        <w:t>)(</w:t>
      </w:r>
      <w:proofErr w:type="gramEnd"/>
      <w:r w:rsidRPr="00764BA9">
        <w:rPr>
          <w:rFonts w:ascii="Times New Roman" w:hAnsi="Times New Roman"/>
          <w:sz w:val="20"/>
        </w:rPr>
        <w:t>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721656"/>
  <w:p w:rsidR="00721656" w:rsidRDefault="0072165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137"/>
    <w:multiLevelType w:val="hybridMultilevel"/>
    <w:tmpl w:val="212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C3B61"/>
    <w:multiLevelType w:val="hybridMultilevel"/>
    <w:tmpl w:val="250A375A"/>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0A2405"/>
    <w:multiLevelType w:val="hybridMultilevel"/>
    <w:tmpl w:val="092C1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BD0B0B"/>
    <w:multiLevelType w:val="hybridMultilevel"/>
    <w:tmpl w:val="AAFCF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E4704B"/>
    <w:multiLevelType w:val="hybridMultilevel"/>
    <w:tmpl w:val="1D409022"/>
    <w:lvl w:ilvl="0" w:tplc="991E90EE">
      <w:start w:val="1"/>
      <w:numFmt w:val="bullet"/>
      <w:lvlText w:val=""/>
      <w:lvlJc w:val="left"/>
      <w:pPr>
        <w:tabs>
          <w:tab w:val="num" w:pos="2106"/>
        </w:tabs>
        <w:ind w:left="210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553376"/>
    <w:multiLevelType w:val="hybridMultilevel"/>
    <w:tmpl w:val="A1BA0F8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18C7D97"/>
    <w:multiLevelType w:val="hybridMultilevel"/>
    <w:tmpl w:val="CC7C5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42929AC"/>
    <w:multiLevelType w:val="hybridMultilevel"/>
    <w:tmpl w:val="12522958"/>
    <w:lvl w:ilvl="0" w:tplc="991E90E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D242070"/>
    <w:multiLevelType w:val="hybridMultilevel"/>
    <w:tmpl w:val="1F7678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D2C5665"/>
    <w:multiLevelType w:val="hybridMultilevel"/>
    <w:tmpl w:val="823CA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FA10D68"/>
    <w:multiLevelType w:val="hybridMultilevel"/>
    <w:tmpl w:val="27E4E45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6"/>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3C"/>
    <w:rsid w:val="0000014C"/>
    <w:rsid w:val="000348F8"/>
    <w:rsid w:val="00087F1F"/>
    <w:rsid w:val="000915DD"/>
    <w:rsid w:val="000971BE"/>
    <w:rsid w:val="000D602E"/>
    <w:rsid w:val="000E510A"/>
    <w:rsid w:val="00106526"/>
    <w:rsid w:val="00136AC6"/>
    <w:rsid w:val="001403B3"/>
    <w:rsid w:val="001635C1"/>
    <w:rsid w:val="00164BC1"/>
    <w:rsid w:val="0016712A"/>
    <w:rsid w:val="00186793"/>
    <w:rsid w:val="001924CE"/>
    <w:rsid w:val="001A1BDF"/>
    <w:rsid w:val="001B282D"/>
    <w:rsid w:val="001D028F"/>
    <w:rsid w:val="001D6A9B"/>
    <w:rsid w:val="001D7A47"/>
    <w:rsid w:val="001E02AE"/>
    <w:rsid w:val="00202514"/>
    <w:rsid w:val="00204553"/>
    <w:rsid w:val="0022097C"/>
    <w:rsid w:val="00240373"/>
    <w:rsid w:val="00294E05"/>
    <w:rsid w:val="002A359A"/>
    <w:rsid w:val="002B6089"/>
    <w:rsid w:val="002B6E8E"/>
    <w:rsid w:val="002C47CD"/>
    <w:rsid w:val="002C73B8"/>
    <w:rsid w:val="002D73D8"/>
    <w:rsid w:val="002E0DD5"/>
    <w:rsid w:val="002F549C"/>
    <w:rsid w:val="00305A30"/>
    <w:rsid w:val="00307470"/>
    <w:rsid w:val="00315977"/>
    <w:rsid w:val="0032536B"/>
    <w:rsid w:val="00331859"/>
    <w:rsid w:val="003342B6"/>
    <w:rsid w:val="00344D0B"/>
    <w:rsid w:val="0035537C"/>
    <w:rsid w:val="00357878"/>
    <w:rsid w:val="0036427A"/>
    <w:rsid w:val="00373ED8"/>
    <w:rsid w:val="00375B0B"/>
    <w:rsid w:val="00380888"/>
    <w:rsid w:val="00382642"/>
    <w:rsid w:val="00391009"/>
    <w:rsid w:val="003A5AF4"/>
    <w:rsid w:val="003B45B3"/>
    <w:rsid w:val="00434E1A"/>
    <w:rsid w:val="00440C41"/>
    <w:rsid w:val="00442AE0"/>
    <w:rsid w:val="00443E6B"/>
    <w:rsid w:val="00464677"/>
    <w:rsid w:val="0046618F"/>
    <w:rsid w:val="004915AB"/>
    <w:rsid w:val="00492B27"/>
    <w:rsid w:val="00495B4D"/>
    <w:rsid w:val="004B3230"/>
    <w:rsid w:val="004C486D"/>
    <w:rsid w:val="00500358"/>
    <w:rsid w:val="00531EB9"/>
    <w:rsid w:val="00585685"/>
    <w:rsid w:val="005A6600"/>
    <w:rsid w:val="005A6A67"/>
    <w:rsid w:val="005B15B3"/>
    <w:rsid w:val="005B4065"/>
    <w:rsid w:val="005D017A"/>
    <w:rsid w:val="005D7286"/>
    <w:rsid w:val="005E5398"/>
    <w:rsid w:val="005F2224"/>
    <w:rsid w:val="006023E3"/>
    <w:rsid w:val="00602E5F"/>
    <w:rsid w:val="006062D4"/>
    <w:rsid w:val="00630182"/>
    <w:rsid w:val="00631F74"/>
    <w:rsid w:val="0063340F"/>
    <w:rsid w:val="0064380D"/>
    <w:rsid w:val="00645D67"/>
    <w:rsid w:val="00647188"/>
    <w:rsid w:val="00651021"/>
    <w:rsid w:val="00662669"/>
    <w:rsid w:val="0067139A"/>
    <w:rsid w:val="006776BD"/>
    <w:rsid w:val="00681B4F"/>
    <w:rsid w:val="00683D1B"/>
    <w:rsid w:val="00690B8A"/>
    <w:rsid w:val="00691C16"/>
    <w:rsid w:val="006A0172"/>
    <w:rsid w:val="006A0AE9"/>
    <w:rsid w:val="006B248D"/>
    <w:rsid w:val="006B6BC9"/>
    <w:rsid w:val="006D0DDB"/>
    <w:rsid w:val="006D33C2"/>
    <w:rsid w:val="00706B9C"/>
    <w:rsid w:val="00721656"/>
    <w:rsid w:val="00764BA9"/>
    <w:rsid w:val="00766A67"/>
    <w:rsid w:val="00777581"/>
    <w:rsid w:val="007800F7"/>
    <w:rsid w:val="00790477"/>
    <w:rsid w:val="00793D1A"/>
    <w:rsid w:val="007A12D6"/>
    <w:rsid w:val="007B7D30"/>
    <w:rsid w:val="00800BC5"/>
    <w:rsid w:val="00802328"/>
    <w:rsid w:val="008349A5"/>
    <w:rsid w:val="008431F8"/>
    <w:rsid w:val="00846AB9"/>
    <w:rsid w:val="00851B76"/>
    <w:rsid w:val="008612BA"/>
    <w:rsid w:val="00865155"/>
    <w:rsid w:val="00890725"/>
    <w:rsid w:val="00891805"/>
    <w:rsid w:val="008B6732"/>
    <w:rsid w:val="009016DB"/>
    <w:rsid w:val="009072BB"/>
    <w:rsid w:val="00916514"/>
    <w:rsid w:val="009236AB"/>
    <w:rsid w:val="00923BFE"/>
    <w:rsid w:val="00934CFC"/>
    <w:rsid w:val="00937BF8"/>
    <w:rsid w:val="009679AC"/>
    <w:rsid w:val="00970EDA"/>
    <w:rsid w:val="00972C7A"/>
    <w:rsid w:val="009833CB"/>
    <w:rsid w:val="00990B52"/>
    <w:rsid w:val="009B39DC"/>
    <w:rsid w:val="009C2833"/>
    <w:rsid w:val="009D7FEC"/>
    <w:rsid w:val="009E3364"/>
    <w:rsid w:val="009F1182"/>
    <w:rsid w:val="009F515F"/>
    <w:rsid w:val="00A04829"/>
    <w:rsid w:val="00A24402"/>
    <w:rsid w:val="00A42F4E"/>
    <w:rsid w:val="00A53B50"/>
    <w:rsid w:val="00A87148"/>
    <w:rsid w:val="00A91744"/>
    <w:rsid w:val="00AB2FCB"/>
    <w:rsid w:val="00AB571B"/>
    <w:rsid w:val="00AC3B5E"/>
    <w:rsid w:val="00B02EF3"/>
    <w:rsid w:val="00B04B76"/>
    <w:rsid w:val="00B27249"/>
    <w:rsid w:val="00B32622"/>
    <w:rsid w:val="00B46F07"/>
    <w:rsid w:val="00B57DB6"/>
    <w:rsid w:val="00B80B6D"/>
    <w:rsid w:val="00B925AB"/>
    <w:rsid w:val="00BA19E0"/>
    <w:rsid w:val="00BA28F7"/>
    <w:rsid w:val="00BD1427"/>
    <w:rsid w:val="00BD30A0"/>
    <w:rsid w:val="00BE2FE5"/>
    <w:rsid w:val="00BE73EE"/>
    <w:rsid w:val="00BF7430"/>
    <w:rsid w:val="00C15B4D"/>
    <w:rsid w:val="00C2768E"/>
    <w:rsid w:val="00C74802"/>
    <w:rsid w:val="00C94DAC"/>
    <w:rsid w:val="00C96381"/>
    <w:rsid w:val="00CA433A"/>
    <w:rsid w:val="00CC1ABF"/>
    <w:rsid w:val="00CD6943"/>
    <w:rsid w:val="00CF1CEC"/>
    <w:rsid w:val="00CF36D1"/>
    <w:rsid w:val="00D00BAD"/>
    <w:rsid w:val="00D061A7"/>
    <w:rsid w:val="00D102B3"/>
    <w:rsid w:val="00D12B0D"/>
    <w:rsid w:val="00D2740F"/>
    <w:rsid w:val="00D3059E"/>
    <w:rsid w:val="00D37F01"/>
    <w:rsid w:val="00D522BD"/>
    <w:rsid w:val="00D72CD5"/>
    <w:rsid w:val="00D81536"/>
    <w:rsid w:val="00D97538"/>
    <w:rsid w:val="00DD05A5"/>
    <w:rsid w:val="00DF51E3"/>
    <w:rsid w:val="00E021BB"/>
    <w:rsid w:val="00E34636"/>
    <w:rsid w:val="00E36E75"/>
    <w:rsid w:val="00E67B7F"/>
    <w:rsid w:val="00E77D5A"/>
    <w:rsid w:val="00E820E5"/>
    <w:rsid w:val="00EA17EC"/>
    <w:rsid w:val="00EA2835"/>
    <w:rsid w:val="00EA4151"/>
    <w:rsid w:val="00EA715B"/>
    <w:rsid w:val="00EB1837"/>
    <w:rsid w:val="00EC6A3B"/>
    <w:rsid w:val="00ED0AD1"/>
    <w:rsid w:val="00EF2338"/>
    <w:rsid w:val="00F01C5E"/>
    <w:rsid w:val="00F04D5C"/>
    <w:rsid w:val="00F10019"/>
    <w:rsid w:val="00F17B20"/>
    <w:rsid w:val="00F50C7A"/>
    <w:rsid w:val="00F5216D"/>
    <w:rsid w:val="00F919C2"/>
    <w:rsid w:val="00F9781B"/>
    <w:rsid w:val="00FA2B32"/>
    <w:rsid w:val="00FA5900"/>
    <w:rsid w:val="00FA6C9F"/>
    <w:rsid w:val="00FA703C"/>
    <w:rsid w:val="00FB7D1D"/>
    <w:rsid w:val="00FC1194"/>
    <w:rsid w:val="00FC3D5F"/>
    <w:rsid w:val="00FD4DCD"/>
    <w:rsid w:val="00FF55A6"/>
    <w:rsid w:val="00FF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uiPriority w:val="99"/>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uiPriority w:val="99"/>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uiPriority w:val="99"/>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uiPriority w:val="99"/>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9800">
      <w:bodyDiv w:val="1"/>
      <w:marLeft w:val="0"/>
      <w:marRight w:val="0"/>
      <w:marTop w:val="0"/>
      <w:marBottom w:val="0"/>
      <w:divBdr>
        <w:top w:val="none" w:sz="0" w:space="0" w:color="auto"/>
        <w:left w:val="none" w:sz="0" w:space="0" w:color="auto"/>
        <w:bottom w:val="none" w:sz="0" w:space="0" w:color="auto"/>
        <w:right w:val="none" w:sz="0" w:space="0" w:color="auto"/>
      </w:divBdr>
    </w:div>
    <w:div w:id="46393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737D0-C74D-4D23-8313-37C71DCB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1761</TotalTime>
  <Pages>5</Pages>
  <Words>1291</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juanmanuel.vilela</cp:lastModifiedBy>
  <cp:revision>10</cp:revision>
  <cp:lastPrinted>2013-07-11T16:56:00Z</cp:lastPrinted>
  <dcterms:created xsi:type="dcterms:W3CDTF">2013-07-08T14:38:00Z</dcterms:created>
  <dcterms:modified xsi:type="dcterms:W3CDTF">2013-08-08T13:09:00Z</dcterms:modified>
</cp:coreProperties>
</file>