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CB" w:rsidRPr="00F87040" w:rsidRDefault="006D6CF3" w:rsidP="00112FAD">
      <w:pPr>
        <w:pStyle w:val="Heading4"/>
        <w:jc w:val="left"/>
        <w:rPr>
          <w:noProof/>
          <w:color w:val="auto"/>
          <w:sz w:val="12"/>
          <w:szCs w:val="12"/>
        </w:rPr>
      </w:pPr>
      <w:r>
        <w:rPr>
          <w:noProof/>
          <w:sz w:val="12"/>
          <w:szCs w:val="12"/>
        </w:rPr>
        <w:drawing>
          <wp:anchor distT="36576" distB="36576" distL="36576" distR="36576" simplePos="0" relativeHeight="251654144" behindDoc="0" locked="0" layoutInCell="1" allowOverlap="1">
            <wp:simplePos x="0" y="0"/>
            <wp:positionH relativeFrom="column">
              <wp:posOffset>-847725</wp:posOffset>
            </wp:positionH>
            <wp:positionV relativeFrom="paragraph">
              <wp:posOffset>-911860</wp:posOffset>
            </wp:positionV>
            <wp:extent cx="7848600" cy="899160"/>
            <wp:effectExtent l="19050" t="0" r="0" b="0"/>
            <wp:wrapNone/>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0000"/>
                    </a:blip>
                    <a:srcRect/>
                    <a:stretch>
                      <a:fillRect/>
                    </a:stretch>
                  </pic:blipFill>
                  <pic:spPr bwMode="auto">
                    <a:xfrm>
                      <a:off x="0" y="0"/>
                      <a:ext cx="7848600" cy="899160"/>
                    </a:xfrm>
                    <a:prstGeom prst="rect">
                      <a:avLst/>
                    </a:prstGeom>
                    <a:noFill/>
                    <a:ln w="9525" algn="in">
                      <a:noFill/>
                      <a:miter lim="800000"/>
                      <a:headEnd/>
                      <a:tailEnd/>
                    </a:ln>
                  </pic:spPr>
                </pic:pic>
              </a:graphicData>
            </a:graphic>
          </wp:anchor>
        </w:drawing>
      </w:r>
    </w:p>
    <w:p w:rsidR="00DE0493" w:rsidRDefault="00DE0493" w:rsidP="007A322B">
      <w:pPr>
        <w:rPr>
          <w:rFonts w:ascii="Verdana" w:hAnsi="Verdana"/>
          <w:noProof/>
          <w:sz w:val="32"/>
          <w:szCs w:val="32"/>
        </w:rPr>
      </w:pPr>
    </w:p>
    <w:p w:rsidR="00DE0493" w:rsidRDefault="006D6CF3" w:rsidP="007A322B">
      <w:pPr>
        <w:rPr>
          <w:rFonts w:ascii="Verdana" w:hAnsi="Verdana"/>
          <w:noProof/>
          <w:sz w:val="32"/>
          <w:szCs w:val="32"/>
        </w:rPr>
      </w:pPr>
      <w:r>
        <w:rPr>
          <w:rFonts w:ascii="Verdana" w:hAnsi="Verdana"/>
          <w:noProof/>
          <w:sz w:val="32"/>
          <w:szCs w:val="32"/>
        </w:rPr>
        <w:drawing>
          <wp:anchor distT="0" distB="0" distL="114300" distR="114300" simplePos="0" relativeHeight="251657216" behindDoc="1" locked="0" layoutInCell="1" allowOverlap="1">
            <wp:simplePos x="0" y="0"/>
            <wp:positionH relativeFrom="column">
              <wp:posOffset>-19050</wp:posOffset>
            </wp:positionH>
            <wp:positionV relativeFrom="paragraph">
              <wp:posOffset>-274955</wp:posOffset>
            </wp:positionV>
            <wp:extent cx="2278380" cy="690245"/>
            <wp:effectExtent l="19050" t="0" r="7620" b="0"/>
            <wp:wrapNone/>
            <wp:docPr id="45" name="Picture 38"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HS_Sig_for_MS_Word_Memo"/>
                    <pic:cNvPicPr>
                      <a:picLocks noChangeAspect="1" noChangeArrowheads="1"/>
                    </pic:cNvPicPr>
                  </pic:nvPicPr>
                  <pic:blipFill>
                    <a:blip r:embed="rId8" cstate="print"/>
                    <a:srcRect/>
                    <a:stretch>
                      <a:fillRect/>
                    </a:stretch>
                  </pic:blipFill>
                  <pic:spPr bwMode="auto">
                    <a:xfrm>
                      <a:off x="0" y="0"/>
                      <a:ext cx="2278380" cy="690245"/>
                    </a:xfrm>
                    <a:prstGeom prst="rect">
                      <a:avLst/>
                    </a:prstGeom>
                    <a:noFill/>
                    <a:ln w="9525">
                      <a:noFill/>
                      <a:miter lim="800000"/>
                      <a:headEnd/>
                      <a:tailEnd/>
                    </a:ln>
                  </pic:spPr>
                </pic:pic>
              </a:graphicData>
            </a:graphic>
          </wp:anchor>
        </w:drawing>
      </w:r>
    </w:p>
    <w:p w:rsidR="00DE0493" w:rsidRDefault="00DE0493" w:rsidP="007A322B">
      <w:pPr>
        <w:rPr>
          <w:rFonts w:ascii="Verdana" w:hAnsi="Verdana"/>
          <w:noProof/>
          <w:sz w:val="32"/>
          <w:szCs w:val="32"/>
        </w:rPr>
      </w:pPr>
    </w:p>
    <w:p w:rsidR="00B071EA" w:rsidRPr="007851EE" w:rsidRDefault="00B071EA" w:rsidP="007A322B">
      <w:pPr>
        <w:rPr>
          <w:b/>
          <w:color w:val="0000FF"/>
          <w:sz w:val="12"/>
          <w:szCs w:val="12"/>
        </w:rPr>
      </w:pPr>
    </w:p>
    <w:p w:rsidR="00A74EAA" w:rsidRPr="00DE0493" w:rsidRDefault="00C45DBD" w:rsidP="005252F7">
      <w:pPr>
        <w:spacing w:after="120"/>
        <w:rPr>
          <w:rFonts w:ascii="Verdana" w:hAnsi="Verdana"/>
          <w:sz w:val="32"/>
          <w:szCs w:val="32"/>
        </w:rPr>
      </w:pPr>
      <w:r w:rsidRPr="004000AA">
        <w:rPr>
          <w:rFonts w:ascii="Verdana" w:hAnsi="Verdana" w:cs="Arial"/>
          <w:b/>
          <w:sz w:val="32"/>
          <w:szCs w:val="32"/>
        </w:rPr>
        <w:t>FY 2012</w:t>
      </w:r>
      <w:r w:rsidR="00E67F15" w:rsidRPr="004000AA">
        <w:rPr>
          <w:rFonts w:ascii="Verdana" w:hAnsi="Verdana" w:cs="Arial"/>
          <w:b/>
          <w:sz w:val="32"/>
          <w:szCs w:val="32"/>
        </w:rPr>
        <w:t xml:space="preserve"> </w:t>
      </w:r>
      <w:r w:rsidR="001B7FD6" w:rsidRPr="004000AA">
        <w:rPr>
          <w:rFonts w:ascii="Verdana" w:hAnsi="Verdana" w:cs="Arial"/>
          <w:b/>
          <w:sz w:val="32"/>
          <w:szCs w:val="32"/>
        </w:rPr>
        <w:t>Nonprofit Security Grant Program (NSGP)</w:t>
      </w:r>
    </w:p>
    <w:p w:rsidR="00DE2604" w:rsidRPr="006A01EB" w:rsidRDefault="00660635" w:rsidP="006C3C76">
      <w:pPr>
        <w:rPr>
          <w:rFonts w:ascii="Verdana" w:hAnsi="Verdana"/>
        </w:rPr>
      </w:pPr>
      <w:r w:rsidRPr="00660635">
        <w:rPr>
          <w:rFonts w:ascii="Verdana" w:hAnsi="Verdana"/>
          <w:iCs/>
          <w:noProof/>
        </w:rPr>
        <w:pict>
          <v:line id="Line 43" o:spid="_x0000_s1026" style="position:absolute;flip:y;z-index:251661312;visibility:visible" from="1.45pt,.45pt" to="487.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" strokecolor="#c00" strokeweight="2.25pt"/>
        </w:pict>
      </w:r>
    </w:p>
    <w:p w:rsidR="009133E5" w:rsidRDefault="00886AAF" w:rsidP="0014516C">
      <w:pPr>
        <w:spacing w:after="120"/>
        <w:rPr>
          <w:rFonts w:ascii="Verdana" w:hAnsi="Verdana" w:cs="Arial"/>
          <w:b/>
          <w:sz w:val="24"/>
          <w:szCs w:val="24"/>
        </w:rPr>
      </w:pPr>
      <w:r>
        <w:rPr>
          <w:rFonts w:ascii="Verdana" w:hAnsi="Verdana" w:cs="Arial"/>
          <w:b/>
          <w:sz w:val="24"/>
          <w:szCs w:val="24"/>
        </w:rPr>
        <w:t xml:space="preserve">Overview </w:t>
      </w:r>
    </w:p>
    <w:p w:rsidR="00066371" w:rsidRPr="00066371" w:rsidRDefault="00660635" w:rsidP="00410596">
      <w:pPr>
        <w:spacing w:after="120"/>
        <w:rPr>
          <w:rFonts w:ascii="Verdana" w:hAnsi="Verdana" w:cs="Arial"/>
          <w:b/>
        </w:rPr>
      </w:pPr>
      <w:r w:rsidRPr="00660635">
        <w:rPr>
          <w:rFonts w:ascii="Verdana" w:hAnsi="Verdana"/>
          <w:iCs/>
          <w:noProof/>
        </w:rPr>
        <w:pict>
          <v:shapetype id="_x0000_t202" coordsize="21600,21600" o:spt="202" path="m,l,21600r21600,l21600,xe">
            <v:stroke joinstyle="miter"/>
            <v:path gradientshapeok="t" o:connecttype="rect"/>
          </v:shapetype>
          <v:shape id="Text Box 25" o:spid="_x0000_s1031" type="#_x0000_t202" style="position:absolute;margin-left:294.45pt;margin-top:.2pt;width:189pt;height:11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" fillcolor="#069" strokecolor="silver">
            <v:textbox style="mso-next-textbox:#Text Box 25">
              <w:txbxContent>
                <w:p w:rsidR="004439F7" w:rsidRPr="00636AD7" w:rsidRDefault="004439F7" w:rsidP="00984B1A">
                  <w:pPr>
                    <w:jc w:val="center"/>
                    <w:rPr>
                      <w:rFonts w:ascii="Verdana" w:hAnsi="Verdana"/>
                      <w:b/>
                      <w:i/>
                      <w:color w:val="C0C0C0"/>
                      <w:sz w:val="22"/>
                      <w:szCs w:val="22"/>
                    </w:rPr>
                  </w:pPr>
                  <w:r w:rsidRPr="00427CB8">
                    <w:rPr>
                      <w:rFonts w:ascii="Verdana" w:hAnsi="Verdana"/>
                      <w:b/>
                      <w:i/>
                      <w:color w:val="C0C0C0"/>
                      <w:sz w:val="22"/>
                      <w:szCs w:val="22"/>
                    </w:rPr>
                    <w:t xml:space="preserve">In </w:t>
                  </w:r>
                  <w:r>
                    <w:rPr>
                      <w:rFonts w:ascii="Verdana" w:hAnsi="Verdana"/>
                      <w:b/>
                      <w:i/>
                      <w:color w:val="C0C0C0"/>
                      <w:sz w:val="22"/>
                      <w:szCs w:val="22"/>
                    </w:rPr>
                    <w:t>FY 2012</w:t>
                  </w:r>
                  <w:r w:rsidRPr="00427CB8">
                    <w:rPr>
                      <w:rFonts w:ascii="Verdana" w:hAnsi="Verdana"/>
                      <w:b/>
                      <w:i/>
                      <w:color w:val="C0C0C0"/>
                      <w:sz w:val="22"/>
                      <w:szCs w:val="22"/>
                    </w:rPr>
                    <w:t xml:space="preserve">, DHS will award </w:t>
                  </w:r>
                  <w:r w:rsidRPr="006A01EB">
                    <w:rPr>
                      <w:rFonts w:ascii="Verdana" w:hAnsi="Verdana"/>
                      <w:b/>
                      <w:i/>
                      <w:color w:val="C0C0C0"/>
                      <w:sz w:val="22"/>
                      <w:szCs w:val="22"/>
                    </w:rPr>
                    <w:t>$10,000,000</w:t>
                  </w:r>
                  <w:r>
                    <w:rPr>
                      <w:rFonts w:ascii="Verdana" w:hAnsi="Verdana"/>
                      <w:b/>
                      <w:i/>
                      <w:color w:val="C0C0C0"/>
                      <w:sz w:val="22"/>
                      <w:szCs w:val="22"/>
                    </w:rPr>
                    <w:t xml:space="preserve"> for target hardening activities to nonprofit organizations that are at high risk of terrorist attack and located within one of the specific UASI-eligible urban areas.</w:t>
                  </w:r>
                </w:p>
              </w:txbxContent>
            </v:textbox>
            <w10:wrap type="square"/>
          </v:shape>
        </w:pict>
      </w:r>
      <w:r w:rsidR="00E9358B" w:rsidRPr="008A79BD">
        <w:rPr>
          <w:rFonts w:ascii="Verdana" w:hAnsi="Verdana" w:cs="Arial"/>
        </w:rPr>
        <w:t xml:space="preserve">As appropriated by </w:t>
      </w:r>
      <w:r w:rsidR="00065018">
        <w:rPr>
          <w:rFonts w:ascii="Verdana" w:hAnsi="Verdana" w:cs="Arial"/>
        </w:rPr>
        <w:t>t</w:t>
      </w:r>
      <w:r w:rsidR="00E9358B" w:rsidRPr="00065018">
        <w:rPr>
          <w:rFonts w:ascii="Verdana" w:hAnsi="Verdana" w:cs="Arial"/>
        </w:rPr>
        <w:t>he</w:t>
      </w:r>
      <w:r w:rsidR="00E9358B" w:rsidRPr="00FB1CEA">
        <w:rPr>
          <w:rFonts w:ascii="Verdana" w:hAnsi="Verdana" w:cs="Arial"/>
          <w:i/>
        </w:rPr>
        <w:t xml:space="preserve"> </w:t>
      </w:r>
      <w:r w:rsidR="00E56765" w:rsidRPr="000B5DC4">
        <w:rPr>
          <w:rFonts w:ascii="Verdana" w:hAnsi="Verdana"/>
          <w:i/>
          <w:iCs/>
        </w:rPr>
        <w:t xml:space="preserve">Consolidated Appropriations Act, 2012, Division D </w:t>
      </w:r>
      <w:r w:rsidR="00E56765" w:rsidRPr="000B5DC4">
        <w:rPr>
          <w:rFonts w:ascii="Verdana" w:hAnsi="Verdana"/>
        </w:rPr>
        <w:t>(Public Law 112-74)</w:t>
      </w:r>
      <w:bookmarkStart w:id="0" w:name="_GoBack"/>
      <w:bookmarkEnd w:id="0"/>
      <w:r w:rsidR="00E9358B" w:rsidRPr="006D6CF3">
        <w:rPr>
          <w:rFonts w:ascii="Verdana" w:hAnsi="Verdana" w:cs="Arial"/>
        </w:rPr>
        <w:t>, t</w:t>
      </w:r>
      <w:r w:rsidR="00984B1A" w:rsidRPr="006D6CF3">
        <w:rPr>
          <w:rFonts w:ascii="Verdana" w:hAnsi="Verdana"/>
          <w:iCs/>
          <w:noProof/>
        </w:rPr>
        <w:t>h</w:t>
      </w:r>
      <w:r w:rsidR="00984B1A" w:rsidRPr="008A79BD">
        <w:rPr>
          <w:rFonts w:ascii="Verdana" w:hAnsi="Verdana"/>
          <w:iCs/>
          <w:noProof/>
        </w:rPr>
        <w:t>e Fiscal Year (FY) 201</w:t>
      </w:r>
      <w:r w:rsidR="00C45DBD">
        <w:rPr>
          <w:rFonts w:ascii="Verdana" w:hAnsi="Verdana"/>
          <w:iCs/>
          <w:noProof/>
        </w:rPr>
        <w:t>2</w:t>
      </w:r>
      <w:r w:rsidR="00984B1A" w:rsidRPr="008A79BD">
        <w:rPr>
          <w:rFonts w:ascii="Verdana" w:hAnsi="Verdana"/>
          <w:iCs/>
          <w:noProof/>
        </w:rPr>
        <w:t xml:space="preserve"> Urban Areas Security Initiative</w:t>
      </w:r>
      <w:r w:rsidR="00984B1A" w:rsidRPr="00984B1A">
        <w:rPr>
          <w:rFonts w:ascii="Verdana" w:hAnsi="Verdana"/>
          <w:iCs/>
          <w:noProof/>
        </w:rPr>
        <w:t xml:space="preserve"> (UASI) Nonprofit Security Grant Program (NSGP) provides funding support for </w:t>
      </w:r>
      <w:r w:rsidR="00066371" w:rsidRPr="00066371">
        <w:rPr>
          <w:rFonts w:ascii="Verdana" w:hAnsi="Verdana"/>
          <w:iCs/>
          <w:noProof/>
        </w:rPr>
        <w:t>target hardening and other physical security enhancements and activities to nonprofit organizations that are at high risk of terrorist attack</w:t>
      </w:r>
      <w:r w:rsidR="00066371">
        <w:rPr>
          <w:rFonts w:ascii="Verdana" w:hAnsi="Verdana"/>
          <w:iCs/>
          <w:noProof/>
        </w:rPr>
        <w:t xml:space="preserve">.  </w:t>
      </w:r>
      <w:r w:rsidR="00E9358B">
        <w:rPr>
          <w:rFonts w:ascii="Verdana" w:hAnsi="Verdana"/>
          <w:iCs/>
          <w:noProof/>
        </w:rPr>
        <w:t>T</w:t>
      </w:r>
      <w:r w:rsidR="00AB2730">
        <w:rPr>
          <w:rFonts w:ascii="Verdana" w:hAnsi="Verdana"/>
          <w:iCs/>
          <w:noProof/>
        </w:rPr>
        <w:t xml:space="preserve">he program provides funding specifically to high-risk nonprofit organizations </w:t>
      </w:r>
      <w:r w:rsidR="00E9358B">
        <w:rPr>
          <w:rFonts w:ascii="Verdana" w:hAnsi="Verdana"/>
          <w:iCs/>
          <w:noProof/>
        </w:rPr>
        <w:t xml:space="preserve">and </w:t>
      </w:r>
      <w:r w:rsidR="00AB2730" w:rsidRPr="00984B1A">
        <w:rPr>
          <w:rFonts w:ascii="Verdana" w:hAnsi="Verdana"/>
          <w:iCs/>
          <w:noProof/>
        </w:rPr>
        <w:t xml:space="preserve">seeks to integrate nonprofit </w:t>
      </w:r>
      <w:r w:rsidR="00AB2730" w:rsidRPr="00066371">
        <w:rPr>
          <w:rFonts w:ascii="Verdana" w:hAnsi="Verdana"/>
          <w:iCs/>
          <w:noProof/>
        </w:rPr>
        <w:t xml:space="preserve">preparedness activities with broader </w:t>
      </w:r>
      <w:r w:rsidR="003F3CB9" w:rsidRPr="00066371">
        <w:rPr>
          <w:rFonts w:ascii="Verdana" w:hAnsi="Verdana"/>
          <w:iCs/>
          <w:noProof/>
        </w:rPr>
        <w:t>s</w:t>
      </w:r>
      <w:r w:rsidR="00AB2730" w:rsidRPr="00066371">
        <w:rPr>
          <w:rFonts w:ascii="Verdana" w:hAnsi="Verdana"/>
          <w:iCs/>
          <w:noProof/>
        </w:rPr>
        <w:t xml:space="preserve">tate and local preparedness efforts.  The program is also designed </w:t>
      </w:r>
      <w:r w:rsidR="00066371" w:rsidRPr="00066371">
        <w:rPr>
          <w:rFonts w:ascii="Verdana" w:hAnsi="Verdana"/>
          <w:iCs/>
          <w:noProof/>
        </w:rPr>
        <w:t xml:space="preserve">to promote coordination and collaboration in emergency preparedness activities among public and private community representatives, as </w:t>
      </w:r>
      <w:r w:rsidR="00066371" w:rsidRPr="00066371">
        <w:rPr>
          <w:rFonts w:ascii="Verdana" w:hAnsi="Verdana" w:cs="Arial"/>
        </w:rPr>
        <w:t xml:space="preserve">well as </w:t>
      </w:r>
      <w:r w:rsidR="00B63543">
        <w:rPr>
          <w:rFonts w:ascii="Verdana" w:hAnsi="Verdana" w:cs="Arial"/>
        </w:rPr>
        <w:t>s</w:t>
      </w:r>
      <w:r w:rsidR="00066371" w:rsidRPr="00066371">
        <w:rPr>
          <w:rFonts w:ascii="Verdana" w:hAnsi="Verdana" w:cs="Arial"/>
        </w:rPr>
        <w:t>tate and local government agencies.</w:t>
      </w:r>
      <w:r w:rsidR="007A4FE5">
        <w:rPr>
          <w:rFonts w:ascii="Verdana" w:hAnsi="Verdana" w:cs="Arial"/>
        </w:rPr>
        <w:t xml:space="preserve">  </w:t>
      </w:r>
      <w:r w:rsidR="007A4FE5" w:rsidRPr="00980CE7">
        <w:rPr>
          <w:rFonts w:ascii="Verdana" w:hAnsi="Verdana"/>
        </w:rPr>
        <w:t xml:space="preserve">The FY 2012 NSGP plays an important role in the implementation of Presidential Policy Directive 8 (PPD-8) by supporting the development and sustainment of core capabilities to fulfill the </w:t>
      </w:r>
      <w:r w:rsidR="007A4FE5" w:rsidRPr="007A4FE5">
        <w:rPr>
          <w:rFonts w:ascii="Verdana" w:hAnsi="Verdana"/>
          <w:i/>
        </w:rPr>
        <w:t>National Preparedness Goal</w:t>
      </w:r>
      <w:r w:rsidR="007A4FE5">
        <w:rPr>
          <w:rFonts w:ascii="Verdana" w:hAnsi="Verdana"/>
          <w:i/>
        </w:rPr>
        <w:t xml:space="preserve"> </w:t>
      </w:r>
      <w:r w:rsidR="007A4FE5">
        <w:rPr>
          <w:rFonts w:ascii="Verdana" w:hAnsi="Verdana"/>
        </w:rPr>
        <w:t>(NPG)</w:t>
      </w:r>
      <w:r w:rsidR="007A4FE5" w:rsidRPr="00980CE7">
        <w:rPr>
          <w:rFonts w:ascii="Verdana" w:hAnsi="Verdana"/>
        </w:rPr>
        <w:t>.</w:t>
      </w:r>
      <w:r w:rsidR="007A4FE5" w:rsidRPr="00B025F0">
        <w:rPr>
          <w:rFonts w:ascii="Verdana" w:hAnsi="Verdana" w:cs="Arial"/>
        </w:rPr>
        <w:t xml:space="preserve">  </w:t>
      </w:r>
    </w:p>
    <w:p w:rsidR="00984B1A" w:rsidRPr="00066371" w:rsidRDefault="00AB2730" w:rsidP="00066371">
      <w:pPr>
        <w:spacing w:after="120"/>
        <w:rPr>
          <w:rFonts w:ascii="Verdana" w:hAnsi="Verdana" w:cs="Arial"/>
          <w:b/>
        </w:rPr>
      </w:pPr>
      <w:r w:rsidRPr="00066371">
        <w:rPr>
          <w:rFonts w:ascii="Verdana" w:hAnsi="Verdana" w:cs="Arial"/>
          <w:b/>
        </w:rPr>
        <w:t xml:space="preserve">  </w:t>
      </w:r>
      <w:r w:rsidR="00660635">
        <w:rPr>
          <w:rFonts w:ascii="Verdana" w:hAnsi="Verdana" w:cs="Arial"/>
          <w:b/>
        </w:rPr>
        <w:pict>
          <v:line id="Line 41" o:spid="_x0000_s1030" style="position:absolute;flip:y;z-index:251660288;visibility:visible;mso-position-horizontal-relative:text;mso-position-vertical-relative:text" from="2.25pt,4.2pt" to="488.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" strokecolor="#c00" strokeweight="2.25pt"/>
        </w:pict>
      </w:r>
    </w:p>
    <w:p w:rsidR="00A272D9" w:rsidRPr="00AD3C6E" w:rsidRDefault="009133E5" w:rsidP="00BA36CF">
      <w:pPr>
        <w:spacing w:after="120"/>
        <w:rPr>
          <w:rFonts w:ascii="Verdana" w:hAnsi="Verdana" w:cs="Arial"/>
          <w:b/>
          <w:sz w:val="24"/>
          <w:szCs w:val="24"/>
        </w:rPr>
      </w:pPr>
      <w:r>
        <w:rPr>
          <w:rFonts w:ascii="Verdana" w:hAnsi="Verdana" w:cs="Arial"/>
          <w:b/>
          <w:sz w:val="24"/>
          <w:szCs w:val="24"/>
        </w:rPr>
        <w:t>Funding</w:t>
      </w:r>
    </w:p>
    <w:p w:rsidR="0059438D" w:rsidRPr="0059438D" w:rsidRDefault="0059438D" w:rsidP="0059438D">
      <w:pPr>
        <w:pStyle w:val="PlainText"/>
        <w:spacing w:after="120"/>
        <w:rPr>
          <w:rFonts w:ascii="Verdana" w:hAnsi="Verdana"/>
          <w:iCs/>
          <w:noProof/>
        </w:rPr>
      </w:pPr>
      <w:r w:rsidRPr="0059438D">
        <w:rPr>
          <w:rFonts w:ascii="Verdana" w:hAnsi="Verdana"/>
          <w:iCs/>
          <w:noProof/>
        </w:rPr>
        <w:t xml:space="preserve">In </w:t>
      </w:r>
      <w:r w:rsidR="00C45DBD">
        <w:rPr>
          <w:rFonts w:ascii="Verdana" w:hAnsi="Verdana"/>
          <w:iCs/>
          <w:noProof/>
        </w:rPr>
        <w:t>FY 2012</w:t>
      </w:r>
      <w:r w:rsidRPr="0059438D">
        <w:rPr>
          <w:rFonts w:ascii="Verdana" w:hAnsi="Verdana"/>
          <w:iCs/>
          <w:noProof/>
        </w:rPr>
        <w:t xml:space="preserve">, the total amount of funds distributed under this grant program will be </w:t>
      </w:r>
      <w:r w:rsidR="00C45DBD" w:rsidRPr="006A01EB">
        <w:rPr>
          <w:rFonts w:ascii="Verdana" w:hAnsi="Verdana" w:cs="Arial"/>
          <w:color w:val="000000"/>
        </w:rPr>
        <w:t>$</w:t>
      </w:r>
      <w:r w:rsidR="00485508" w:rsidRPr="006A01EB">
        <w:rPr>
          <w:rFonts w:ascii="Verdana" w:hAnsi="Verdana" w:cs="Arial"/>
          <w:color w:val="000000"/>
        </w:rPr>
        <w:t>10</w:t>
      </w:r>
      <w:r w:rsidR="004000AA" w:rsidRPr="006A01EB">
        <w:rPr>
          <w:rFonts w:ascii="Verdana" w:hAnsi="Verdana" w:cs="Arial"/>
          <w:color w:val="000000"/>
        </w:rPr>
        <w:t>,000,000</w:t>
      </w:r>
      <w:r w:rsidRPr="006A01EB">
        <w:rPr>
          <w:rFonts w:ascii="Verdana" w:hAnsi="Verdana"/>
          <w:iCs/>
          <w:noProof/>
        </w:rPr>
        <w:t>.</w:t>
      </w:r>
      <w:r w:rsidRPr="0059438D">
        <w:rPr>
          <w:rFonts w:ascii="Verdana" w:hAnsi="Verdana"/>
          <w:iCs/>
          <w:noProof/>
        </w:rPr>
        <w:t xml:space="preserve">  Each nonprofit organization </w:t>
      </w:r>
      <w:r w:rsidR="0094546B">
        <w:rPr>
          <w:rFonts w:ascii="Verdana" w:hAnsi="Verdana"/>
          <w:iCs/>
          <w:noProof/>
        </w:rPr>
        <w:t>must</w:t>
      </w:r>
      <w:r w:rsidRPr="0059438D">
        <w:rPr>
          <w:rFonts w:ascii="Verdana" w:hAnsi="Verdana"/>
          <w:iCs/>
          <w:noProof/>
        </w:rPr>
        <w:t xml:space="preserve"> apply through their State Administrative Agency (SAA) for up to a </w:t>
      </w:r>
      <w:r w:rsidRPr="007F15E3">
        <w:rPr>
          <w:rFonts w:ascii="Verdana" w:hAnsi="Verdana"/>
          <w:iCs/>
          <w:noProof/>
        </w:rPr>
        <w:t>$75,000</w:t>
      </w:r>
      <w:r w:rsidRPr="0059438D">
        <w:rPr>
          <w:rFonts w:ascii="Verdana" w:hAnsi="Verdana"/>
          <w:iCs/>
          <w:noProof/>
        </w:rPr>
        <w:t xml:space="preserve"> grant award.  The </w:t>
      </w:r>
      <w:r w:rsidR="00C45DBD">
        <w:rPr>
          <w:rFonts w:ascii="Verdana" w:hAnsi="Verdana"/>
          <w:iCs/>
          <w:noProof/>
        </w:rPr>
        <w:t>FY 2012</w:t>
      </w:r>
      <w:r w:rsidRPr="0059438D">
        <w:rPr>
          <w:rFonts w:ascii="Verdana" w:hAnsi="Verdana"/>
          <w:iCs/>
          <w:noProof/>
        </w:rPr>
        <w:t xml:space="preserve"> NSGP funds will be allocated to high-risk nonprofit organizations, as described under section 501(c)(3) of the Internal Revenue Code of 1986, Title 26 of the U.S.C., and exempt from tax under section 501(a) of such Code.  </w:t>
      </w:r>
    </w:p>
    <w:p w:rsidR="002409D7" w:rsidRPr="00863D2A" w:rsidRDefault="00660635" w:rsidP="00863D2A">
      <w:pPr>
        <w:spacing w:after="120"/>
        <w:rPr>
          <w:rFonts w:ascii="Verdana" w:hAnsi="Verdana" w:cs="Arial"/>
          <w:b/>
        </w:rPr>
      </w:pPr>
      <w:r>
        <w:rPr>
          <w:rFonts w:ascii="Verdana" w:hAnsi="Verdana" w:cs="Arial"/>
          <w:b/>
          <w:noProof/>
        </w:rPr>
        <w:pict>
          <v:line id="Line 37" o:spid="_x0000_s1029" style="position:absolute;z-index:251656192;visibility:visible" from="2.25pt,6.2pt" to="48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" strokecolor="#c00" strokeweight="2.25pt"/>
        </w:pict>
      </w:r>
    </w:p>
    <w:p w:rsidR="002409D7" w:rsidRPr="007544CA" w:rsidRDefault="002409D7" w:rsidP="002409D7">
      <w:pPr>
        <w:spacing w:after="120"/>
        <w:rPr>
          <w:rFonts w:ascii="Verdana" w:hAnsi="Verdana"/>
          <w:b/>
          <w:noProof/>
          <w:sz w:val="24"/>
          <w:szCs w:val="24"/>
        </w:rPr>
      </w:pPr>
      <w:r>
        <w:rPr>
          <w:rFonts w:ascii="Verdana" w:hAnsi="Verdana" w:cs="Arial"/>
          <w:b/>
          <w:sz w:val="24"/>
          <w:szCs w:val="24"/>
        </w:rPr>
        <w:t>Eligibility</w:t>
      </w:r>
    </w:p>
    <w:p w:rsidR="00DA44D4" w:rsidRDefault="00DA44D4" w:rsidP="00DA44D4">
      <w:pPr>
        <w:pStyle w:val="PlainText"/>
        <w:spacing w:after="120"/>
        <w:rPr>
          <w:rFonts w:ascii="Verdana" w:hAnsi="Verdana"/>
          <w:iCs/>
          <w:noProof/>
        </w:rPr>
      </w:pPr>
      <w:r w:rsidRPr="00DA44D4">
        <w:rPr>
          <w:rFonts w:ascii="Verdana" w:hAnsi="Verdana"/>
          <w:iCs/>
          <w:noProof/>
        </w:rPr>
        <w:t xml:space="preserve">Applicants eligible to apply for and administer funds under the </w:t>
      </w:r>
      <w:r w:rsidR="00C45DBD">
        <w:rPr>
          <w:rFonts w:ascii="Verdana" w:hAnsi="Verdana"/>
          <w:iCs/>
          <w:noProof/>
        </w:rPr>
        <w:t>FY 2012</w:t>
      </w:r>
      <w:r w:rsidRPr="00DA44D4">
        <w:rPr>
          <w:rFonts w:ascii="Verdana" w:hAnsi="Verdana"/>
          <w:iCs/>
          <w:noProof/>
        </w:rPr>
        <w:t xml:space="preserve"> NSGP </w:t>
      </w:r>
      <w:r w:rsidR="005252F7">
        <w:rPr>
          <w:rFonts w:ascii="Verdana" w:hAnsi="Verdana"/>
          <w:iCs/>
          <w:noProof/>
        </w:rPr>
        <w:t>are</w:t>
      </w:r>
      <w:r w:rsidRPr="00DA44D4">
        <w:rPr>
          <w:rFonts w:ascii="Verdana" w:hAnsi="Verdana"/>
          <w:iCs/>
          <w:noProof/>
        </w:rPr>
        <w:t xml:space="preserve"> </w:t>
      </w:r>
      <w:r w:rsidR="00A3474F">
        <w:rPr>
          <w:rFonts w:ascii="Verdana" w:hAnsi="Verdana"/>
          <w:iCs/>
          <w:noProof/>
        </w:rPr>
        <w:t>SAAs</w:t>
      </w:r>
      <w:r w:rsidRPr="00DA44D4">
        <w:rPr>
          <w:rFonts w:ascii="Verdana" w:hAnsi="Verdana"/>
          <w:iCs/>
          <w:noProof/>
        </w:rPr>
        <w:t xml:space="preserve"> on beha</w:t>
      </w:r>
      <w:r w:rsidR="00A163B4">
        <w:rPr>
          <w:rFonts w:ascii="Verdana" w:hAnsi="Verdana"/>
          <w:iCs/>
          <w:noProof/>
        </w:rPr>
        <w:t xml:space="preserve">lf of nonprofit organizations.  </w:t>
      </w:r>
      <w:r w:rsidR="00A163B4" w:rsidRPr="00A163B4">
        <w:rPr>
          <w:rFonts w:ascii="Verdana" w:hAnsi="Verdana"/>
          <w:iCs/>
          <w:noProof/>
        </w:rPr>
        <w:t>Eligible nonprofit organizations (as described under section 501(c)(3) of the Internal Revenue Code of 1986) determined to be at high risk of terrorist attack and located within one of the designated FY 2012 UASI-eligible urban areas</w:t>
      </w:r>
      <w:r w:rsidRPr="00DA44D4">
        <w:rPr>
          <w:rFonts w:ascii="Verdana" w:hAnsi="Verdana"/>
          <w:iCs/>
          <w:noProof/>
        </w:rPr>
        <w:t xml:space="preserve"> </w:t>
      </w:r>
      <w:r w:rsidR="005252F7">
        <w:rPr>
          <w:rFonts w:ascii="Verdana" w:hAnsi="Verdana"/>
          <w:iCs/>
          <w:noProof/>
        </w:rPr>
        <w:t>will be</w:t>
      </w:r>
      <w:r w:rsidRPr="00DA44D4">
        <w:rPr>
          <w:rFonts w:ascii="Verdana" w:hAnsi="Verdana"/>
          <w:iCs/>
          <w:noProof/>
        </w:rPr>
        <w:t xml:space="preserve"> required to provide their applications to their respective SAA.  Applicants </w:t>
      </w:r>
      <w:r w:rsidR="005252F7">
        <w:rPr>
          <w:rFonts w:ascii="Verdana" w:hAnsi="Verdana"/>
          <w:iCs/>
          <w:noProof/>
        </w:rPr>
        <w:t>will also be</w:t>
      </w:r>
      <w:r w:rsidRPr="00DA44D4">
        <w:rPr>
          <w:rFonts w:ascii="Verdana" w:hAnsi="Verdana"/>
          <w:iCs/>
          <w:noProof/>
        </w:rPr>
        <w:t xml:space="preserve"> required to satisfy the eligibility requirements to apply for grants through their SAA. </w:t>
      </w:r>
    </w:p>
    <w:p w:rsidR="00DA44D4" w:rsidRPr="000A176A" w:rsidRDefault="00660635" w:rsidP="00863D2A">
      <w:pPr>
        <w:autoSpaceDE w:val="0"/>
        <w:autoSpaceDN w:val="0"/>
        <w:adjustRightInd w:val="0"/>
        <w:spacing w:after="120"/>
        <w:rPr>
          <w:rFonts w:ascii="Verdana" w:hAnsi="Verdana"/>
        </w:rPr>
      </w:pPr>
      <w:r>
        <w:rPr>
          <w:rFonts w:ascii="Verdana" w:hAnsi="Verdana"/>
          <w:noProof/>
        </w:rPr>
        <w:pict>
          <v:line id="Line 39" o:spid="_x0000_s1028" style="position:absolute;flip:y;z-index:251658240;visibility:visible" from="2.25pt,8.65pt" to="488.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PZHA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" strokecolor="#c00" strokeweight="2.25pt"/>
        </w:pict>
      </w:r>
    </w:p>
    <w:p w:rsidR="00380385" w:rsidRDefault="009F613F" w:rsidP="00BA36CF">
      <w:pPr>
        <w:pStyle w:val="BodyTextIndent"/>
        <w:ind w:left="0"/>
        <w:rPr>
          <w:rFonts w:ascii="Verdana" w:hAnsi="Verdana"/>
          <w:b/>
          <w:sz w:val="8"/>
          <w:szCs w:val="8"/>
        </w:rPr>
      </w:pPr>
      <w:r>
        <w:rPr>
          <w:rFonts w:ascii="Verdana" w:hAnsi="Verdana"/>
          <w:b/>
          <w:sz w:val="24"/>
          <w:szCs w:val="24"/>
        </w:rPr>
        <w:t>Funding Guidelines</w:t>
      </w:r>
    </w:p>
    <w:p w:rsidR="0086481C" w:rsidRPr="003F0D34" w:rsidRDefault="00C45DBD" w:rsidP="0086481C">
      <w:pPr>
        <w:autoSpaceDE w:val="0"/>
        <w:autoSpaceDN w:val="0"/>
        <w:adjustRightInd w:val="0"/>
        <w:spacing w:after="120"/>
        <w:rPr>
          <w:rFonts w:ascii="Verdana" w:hAnsi="Verdana" w:cs="Arial"/>
        </w:rPr>
      </w:pPr>
      <w:r>
        <w:rPr>
          <w:rFonts w:ascii="Verdana" w:hAnsi="Verdana" w:cs="Arial"/>
        </w:rPr>
        <w:t>FY 2012</w:t>
      </w:r>
      <w:r w:rsidR="005252F7" w:rsidRPr="003F0D34">
        <w:rPr>
          <w:rFonts w:ascii="Verdana" w:hAnsi="Verdana" w:cs="Arial"/>
        </w:rPr>
        <w:t xml:space="preserve"> NSGP allowable costs are focused on target hardening activities.  Thus, funding can be used for the acquisition and installation of security equipment on real property (including buildings and improvements) owned or leased by the nonprofit organization, specifically in prevention of and/or protection</w:t>
      </w:r>
      <w:r w:rsidR="003F0D34" w:rsidRPr="003F0D34">
        <w:rPr>
          <w:rFonts w:ascii="Verdana" w:hAnsi="Verdana" w:cs="Arial"/>
        </w:rPr>
        <w:t xml:space="preserve"> against the risk of a terrorist attack.  This equipment is limited to two categories of items on the Authorized Equipment List (AEL): Physical Security </w:t>
      </w:r>
      <w:r w:rsidR="003F0D34" w:rsidRPr="003F0D34">
        <w:rPr>
          <w:rFonts w:ascii="Verdana" w:hAnsi="Verdana" w:cs="Arial"/>
        </w:rPr>
        <w:lastRenderedPageBreak/>
        <w:t>Enhancement Equipment (Category 14) and Inspection and Screening Systems (Category 15).</w:t>
      </w:r>
      <w:r w:rsidR="0086481C">
        <w:rPr>
          <w:rFonts w:ascii="Verdana" w:hAnsi="Verdana" w:cs="Arial"/>
        </w:rPr>
        <w:t xml:space="preserve">  Additionally, a</w:t>
      </w:r>
      <w:r w:rsidR="0086481C">
        <w:rPr>
          <w:rFonts w:ascii="Verdana" w:hAnsi="Verdana" w:cs="Arial"/>
          <w:color w:val="000000"/>
        </w:rPr>
        <w:t xml:space="preserve"> </w:t>
      </w:r>
      <w:r w:rsidR="0086481C" w:rsidRPr="000B3389">
        <w:rPr>
          <w:rFonts w:ascii="Verdana" w:hAnsi="Verdana" w:cs="Arial"/>
        </w:rPr>
        <w:t xml:space="preserve">maximum of </w:t>
      </w:r>
      <w:r w:rsidR="00D86B7A">
        <w:rPr>
          <w:rFonts w:ascii="Verdana" w:hAnsi="Verdana" w:cs="Arial"/>
        </w:rPr>
        <w:t>five</w:t>
      </w:r>
      <w:r w:rsidR="0086481C" w:rsidRPr="005A779B">
        <w:rPr>
          <w:rFonts w:ascii="Verdana" w:hAnsi="Verdana" w:cs="Arial"/>
          <w:bCs/>
        </w:rPr>
        <w:t xml:space="preserve"> percent </w:t>
      </w:r>
      <w:r w:rsidR="0086481C" w:rsidRPr="00833D0A">
        <w:rPr>
          <w:rFonts w:ascii="Verdana" w:hAnsi="Verdana" w:cs="Arial"/>
          <w:bCs/>
        </w:rPr>
        <w:t>(5%)</w:t>
      </w:r>
      <w:r w:rsidR="0086481C" w:rsidRPr="000B3389">
        <w:rPr>
          <w:rFonts w:ascii="Verdana" w:hAnsi="Verdana" w:cs="Arial"/>
        </w:rPr>
        <w:t xml:space="preserve"> of</w:t>
      </w:r>
      <w:r w:rsidR="00B225EA">
        <w:rPr>
          <w:rFonts w:ascii="Verdana" w:hAnsi="Verdana" w:cs="Arial"/>
        </w:rPr>
        <w:t xml:space="preserve"> funds awarded may be used for m</w:t>
      </w:r>
      <w:r w:rsidR="0086481C" w:rsidRPr="000B3389">
        <w:rPr>
          <w:rFonts w:ascii="Verdana" w:hAnsi="Verdana" w:cs="Arial"/>
        </w:rPr>
        <w:t xml:space="preserve">anagement </w:t>
      </w:r>
      <w:r w:rsidR="00B225EA">
        <w:rPr>
          <w:rFonts w:ascii="Verdana" w:hAnsi="Verdana" w:cs="Arial"/>
        </w:rPr>
        <w:t>and a</w:t>
      </w:r>
      <w:r w:rsidR="0086481C" w:rsidRPr="000B3389">
        <w:rPr>
          <w:rFonts w:ascii="Verdana" w:hAnsi="Verdana" w:cs="Arial"/>
        </w:rPr>
        <w:t>dministration</w:t>
      </w:r>
      <w:r w:rsidR="0086481C">
        <w:rPr>
          <w:rFonts w:ascii="Verdana" w:hAnsi="Verdana" w:cs="Arial"/>
        </w:rPr>
        <w:t xml:space="preserve"> (M&amp;A)</w:t>
      </w:r>
      <w:r w:rsidR="0086481C" w:rsidRPr="000B3389">
        <w:rPr>
          <w:rFonts w:ascii="Verdana" w:hAnsi="Verdana" w:cs="Arial"/>
        </w:rPr>
        <w:t xml:space="preserve"> purposes associated with the grant award. </w:t>
      </w:r>
      <w:r w:rsidR="003F0D34" w:rsidRPr="003F0D34">
        <w:rPr>
          <w:rFonts w:ascii="Verdana" w:hAnsi="Verdana" w:cs="Arial"/>
        </w:rPr>
        <w:t xml:space="preserve">The period of performance for NSGP is </w:t>
      </w:r>
      <w:r w:rsidR="006D6CF3">
        <w:rPr>
          <w:rFonts w:ascii="Verdana" w:hAnsi="Verdana" w:cs="Arial"/>
        </w:rPr>
        <w:t>24</w:t>
      </w:r>
      <w:r w:rsidR="003F0D34" w:rsidRPr="003F0D34">
        <w:rPr>
          <w:rFonts w:ascii="Verdana" w:hAnsi="Verdana" w:cs="Arial"/>
        </w:rPr>
        <w:t xml:space="preserve"> months from the date of award.</w:t>
      </w:r>
    </w:p>
    <w:p w:rsidR="00065018" w:rsidRPr="00065018" w:rsidRDefault="00660635" w:rsidP="0019185D">
      <w:pPr>
        <w:tabs>
          <w:tab w:val="left" w:pos="5310"/>
        </w:tabs>
        <w:autoSpaceDE w:val="0"/>
        <w:autoSpaceDN w:val="0"/>
        <w:adjustRightInd w:val="0"/>
        <w:spacing w:after="120"/>
        <w:rPr>
          <w:rFonts w:ascii="Verdana" w:hAnsi="Verdana"/>
        </w:rPr>
      </w:pPr>
      <w:r>
        <w:rPr>
          <w:rFonts w:ascii="Verdana" w:hAnsi="Verdana"/>
          <w:noProof/>
        </w:rPr>
        <w:pict>
          <v:line id="_x0000_s1033" style="position:absolute;flip:y;z-index:251663360;visibility:visible" from="2.2pt,6.4pt" to="488.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BCHQ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" strokecolor="#c00" strokeweight="2.25pt"/>
        </w:pict>
      </w:r>
      <w:r w:rsidR="0019185D">
        <w:rPr>
          <w:rFonts w:ascii="Verdana" w:hAnsi="Verdana"/>
        </w:rPr>
        <w:tab/>
      </w:r>
    </w:p>
    <w:p w:rsidR="00065018" w:rsidRPr="0005603A" w:rsidRDefault="00065018" w:rsidP="00065018">
      <w:pPr>
        <w:spacing w:after="120"/>
        <w:rPr>
          <w:rFonts w:ascii="Verdana" w:hAnsi="Verdana" w:cs="Arial"/>
          <w:b/>
          <w:sz w:val="24"/>
          <w:szCs w:val="24"/>
        </w:rPr>
      </w:pPr>
      <w:r>
        <w:rPr>
          <w:rFonts w:ascii="Verdana" w:hAnsi="Verdana" w:cs="Arial"/>
          <w:b/>
          <w:sz w:val="24"/>
          <w:szCs w:val="24"/>
        </w:rPr>
        <w:t>Key FY 2012 NSGP Changes</w:t>
      </w:r>
    </w:p>
    <w:p w:rsidR="0019185D" w:rsidRPr="0019185D" w:rsidRDefault="0019185D" w:rsidP="001404B6">
      <w:pPr>
        <w:pStyle w:val="ListParagraph"/>
        <w:numPr>
          <w:ilvl w:val="0"/>
          <w:numId w:val="46"/>
        </w:numPr>
        <w:tabs>
          <w:tab w:val="left" w:pos="720"/>
          <w:tab w:val="left" w:pos="810"/>
        </w:tabs>
        <w:rPr>
          <w:rFonts w:ascii="Verdana" w:hAnsi="Verdana" w:cs="Arial"/>
          <w:color w:val="000000"/>
          <w:sz w:val="20"/>
          <w:szCs w:val="20"/>
        </w:rPr>
      </w:pPr>
      <w:r w:rsidRPr="0019185D">
        <w:rPr>
          <w:rFonts w:ascii="Verdana" w:hAnsi="Verdana" w:cs="Arial"/>
          <w:color w:val="000000"/>
          <w:sz w:val="20"/>
          <w:szCs w:val="20"/>
        </w:rPr>
        <w:t>In order to ensure standardization across all grant programs and cooperative agreements issued by DHS, NSGP’s Guidance was reformatted for consistency and renamed to Funding Opportunity Announcement (FOA)</w:t>
      </w:r>
    </w:p>
    <w:p w:rsidR="0019185D" w:rsidRPr="0019185D" w:rsidRDefault="0019185D" w:rsidP="001404B6">
      <w:pPr>
        <w:pStyle w:val="ListParagraph"/>
        <w:numPr>
          <w:ilvl w:val="0"/>
          <w:numId w:val="46"/>
        </w:numPr>
        <w:tabs>
          <w:tab w:val="left" w:pos="720"/>
          <w:tab w:val="left" w:pos="810"/>
        </w:tabs>
        <w:rPr>
          <w:rFonts w:ascii="Verdana" w:hAnsi="Verdana" w:cs="Arial"/>
          <w:color w:val="000000"/>
          <w:sz w:val="20"/>
          <w:szCs w:val="20"/>
        </w:rPr>
      </w:pPr>
      <w:r w:rsidRPr="0019185D">
        <w:rPr>
          <w:rFonts w:ascii="Verdana" w:hAnsi="Verdana" w:cs="Arial"/>
          <w:color w:val="000000"/>
          <w:sz w:val="20"/>
          <w:szCs w:val="20"/>
        </w:rPr>
        <w:t xml:space="preserve">Priorities for NSGP support the implementation of Presidential Policy Directive - 8 (PPD-8) and the NPG.  FY 2012 NSGP has been aligned to the five </w:t>
      </w:r>
      <w:r w:rsidR="00554359">
        <w:rPr>
          <w:rFonts w:ascii="Verdana" w:hAnsi="Verdana" w:cs="Arial"/>
          <w:color w:val="000000"/>
          <w:sz w:val="20"/>
          <w:szCs w:val="20"/>
        </w:rPr>
        <w:t>m</w:t>
      </w:r>
      <w:r w:rsidRPr="0019185D">
        <w:rPr>
          <w:rFonts w:ascii="Verdana" w:hAnsi="Verdana" w:cs="Arial"/>
          <w:color w:val="000000"/>
          <w:sz w:val="20"/>
          <w:szCs w:val="20"/>
        </w:rPr>
        <w:t xml:space="preserve">ission </w:t>
      </w:r>
      <w:r w:rsidR="00554359">
        <w:rPr>
          <w:rFonts w:ascii="Verdana" w:hAnsi="Verdana" w:cs="Arial"/>
          <w:color w:val="000000"/>
          <w:sz w:val="20"/>
          <w:szCs w:val="20"/>
        </w:rPr>
        <w:t>a</w:t>
      </w:r>
      <w:r w:rsidRPr="0019185D">
        <w:rPr>
          <w:rFonts w:ascii="Verdana" w:hAnsi="Verdana" w:cs="Arial"/>
          <w:color w:val="000000"/>
          <w:sz w:val="20"/>
          <w:szCs w:val="20"/>
        </w:rPr>
        <w:t xml:space="preserve">reas and supporting </w:t>
      </w:r>
      <w:r w:rsidR="00554359">
        <w:rPr>
          <w:rFonts w:ascii="Verdana" w:hAnsi="Verdana" w:cs="Arial"/>
          <w:color w:val="000000"/>
          <w:sz w:val="20"/>
          <w:szCs w:val="20"/>
        </w:rPr>
        <w:t>c</w:t>
      </w:r>
      <w:r w:rsidRPr="0019185D">
        <w:rPr>
          <w:rFonts w:ascii="Verdana" w:hAnsi="Verdana" w:cs="Arial"/>
          <w:color w:val="000000"/>
          <w:sz w:val="20"/>
          <w:szCs w:val="20"/>
        </w:rPr>
        <w:t xml:space="preserve">ore </w:t>
      </w:r>
      <w:r w:rsidR="00554359">
        <w:rPr>
          <w:rFonts w:ascii="Verdana" w:hAnsi="Verdana" w:cs="Arial"/>
          <w:color w:val="000000"/>
          <w:sz w:val="20"/>
          <w:szCs w:val="20"/>
        </w:rPr>
        <w:t>c</w:t>
      </w:r>
      <w:r w:rsidRPr="0019185D">
        <w:rPr>
          <w:rFonts w:ascii="Verdana" w:hAnsi="Verdana" w:cs="Arial"/>
          <w:color w:val="000000"/>
          <w:sz w:val="20"/>
          <w:szCs w:val="20"/>
        </w:rPr>
        <w:t>apabilities within the NPG</w:t>
      </w:r>
    </w:p>
    <w:p w:rsidR="0019185D" w:rsidRPr="0019185D" w:rsidRDefault="007A4FE5" w:rsidP="001404B6">
      <w:pPr>
        <w:pStyle w:val="ListParagraph"/>
        <w:numPr>
          <w:ilvl w:val="0"/>
          <w:numId w:val="46"/>
        </w:numPr>
        <w:tabs>
          <w:tab w:val="left" w:pos="720"/>
          <w:tab w:val="left" w:pos="810"/>
        </w:tabs>
        <w:rPr>
          <w:rFonts w:ascii="Verdana" w:hAnsi="Verdana" w:cs="Arial"/>
          <w:color w:val="000000"/>
          <w:sz w:val="20"/>
          <w:szCs w:val="20"/>
        </w:rPr>
      </w:pPr>
      <w:r w:rsidRPr="0019185D">
        <w:rPr>
          <w:rFonts w:ascii="Verdana" w:hAnsi="Verdana" w:cs="Arial"/>
          <w:color w:val="000000"/>
          <w:sz w:val="20"/>
          <w:szCs w:val="20"/>
        </w:rPr>
        <w:t>Reduce</w:t>
      </w:r>
      <w:r>
        <w:rPr>
          <w:rFonts w:ascii="Verdana" w:hAnsi="Verdana" w:cs="Arial"/>
          <w:color w:val="000000"/>
          <w:sz w:val="20"/>
          <w:szCs w:val="20"/>
        </w:rPr>
        <w:t>s</w:t>
      </w:r>
      <w:r w:rsidRPr="0019185D">
        <w:rPr>
          <w:rFonts w:ascii="Verdana" w:hAnsi="Verdana" w:cs="Arial"/>
          <w:color w:val="000000"/>
          <w:sz w:val="20"/>
          <w:szCs w:val="20"/>
        </w:rPr>
        <w:t xml:space="preserve"> </w:t>
      </w:r>
      <w:r w:rsidR="0019185D" w:rsidRPr="0019185D">
        <w:rPr>
          <w:rFonts w:ascii="Verdana" w:hAnsi="Verdana" w:cs="Arial"/>
          <w:color w:val="000000"/>
          <w:sz w:val="20"/>
          <w:szCs w:val="20"/>
        </w:rPr>
        <w:t>the period of performance from 36 months to 24 months</w:t>
      </w:r>
    </w:p>
    <w:p w:rsidR="0019185D" w:rsidRPr="0019185D" w:rsidRDefault="007A4FE5" w:rsidP="001404B6">
      <w:pPr>
        <w:pStyle w:val="ListParagraph"/>
        <w:numPr>
          <w:ilvl w:val="0"/>
          <w:numId w:val="46"/>
        </w:numPr>
        <w:tabs>
          <w:tab w:val="left" w:pos="720"/>
          <w:tab w:val="left" w:pos="810"/>
        </w:tabs>
        <w:rPr>
          <w:rFonts w:ascii="Verdana" w:hAnsi="Verdana" w:cs="Arial"/>
          <w:color w:val="000000"/>
          <w:sz w:val="20"/>
          <w:szCs w:val="20"/>
        </w:rPr>
      </w:pPr>
      <w:r w:rsidRPr="0019185D">
        <w:rPr>
          <w:rFonts w:ascii="Verdana" w:hAnsi="Verdana" w:cs="Arial"/>
          <w:color w:val="000000"/>
          <w:sz w:val="20"/>
          <w:szCs w:val="20"/>
        </w:rPr>
        <w:t>Remove</w:t>
      </w:r>
      <w:r>
        <w:rPr>
          <w:rFonts w:ascii="Verdana" w:hAnsi="Verdana" w:cs="Arial"/>
          <w:color w:val="000000"/>
          <w:sz w:val="20"/>
          <w:szCs w:val="20"/>
        </w:rPr>
        <w:t>s</w:t>
      </w:r>
      <w:r w:rsidRPr="0019185D">
        <w:rPr>
          <w:rFonts w:ascii="Verdana" w:hAnsi="Verdana" w:cs="Arial"/>
          <w:color w:val="000000"/>
          <w:sz w:val="20"/>
          <w:szCs w:val="20"/>
        </w:rPr>
        <w:t xml:space="preserve"> </w:t>
      </w:r>
      <w:r w:rsidR="0019185D" w:rsidRPr="0019185D">
        <w:rPr>
          <w:rFonts w:ascii="Verdana" w:hAnsi="Verdana" w:cs="Arial"/>
          <w:color w:val="000000"/>
          <w:sz w:val="20"/>
          <w:szCs w:val="20"/>
        </w:rPr>
        <w:t>the Semi-Annual Assistance Progress Report (SAPR) reporting requirement in lieu of the  Standard Form-Performance Progress Report (SF-PPR) to report on progress towards implementing program-specific performance measures</w:t>
      </w:r>
    </w:p>
    <w:p w:rsidR="00ED7B7B" w:rsidRPr="00ED7B7B" w:rsidRDefault="007A4FE5" w:rsidP="00ED7B7B">
      <w:pPr>
        <w:numPr>
          <w:ilvl w:val="0"/>
          <w:numId w:val="46"/>
        </w:numPr>
        <w:rPr>
          <w:rFonts w:ascii="Verdana" w:hAnsi="Verdana" w:cs="Arial"/>
          <w:color w:val="000000"/>
        </w:rPr>
      </w:pPr>
      <w:r w:rsidRPr="00ED7B7B">
        <w:rPr>
          <w:rFonts w:ascii="Verdana" w:hAnsi="Verdana" w:cs="Arial"/>
          <w:color w:val="000000"/>
        </w:rPr>
        <w:t>Expand</w:t>
      </w:r>
      <w:r>
        <w:rPr>
          <w:rFonts w:ascii="Verdana" w:hAnsi="Verdana" w:cs="Arial"/>
          <w:color w:val="000000"/>
        </w:rPr>
        <w:t>s</w:t>
      </w:r>
      <w:r w:rsidRPr="00ED7B7B">
        <w:rPr>
          <w:rFonts w:ascii="Verdana" w:hAnsi="Verdana" w:cs="Arial"/>
          <w:color w:val="000000"/>
        </w:rPr>
        <w:t xml:space="preserve"> </w:t>
      </w:r>
      <w:r w:rsidR="00ED7B7B" w:rsidRPr="00ED7B7B">
        <w:rPr>
          <w:rFonts w:ascii="Verdana" w:hAnsi="Verdana" w:cs="Arial"/>
          <w:color w:val="000000"/>
        </w:rPr>
        <w:t>the scope of maintenance and sustainment by allowing the support of equipment that has previously been purchased with both federal and other sources of funding as long as direct linkage can be provided to one of the core capabilities within the NPG</w:t>
      </w:r>
    </w:p>
    <w:p w:rsidR="0019185D" w:rsidRPr="0019185D" w:rsidRDefault="007A4FE5" w:rsidP="001404B6">
      <w:pPr>
        <w:pStyle w:val="ListParagraph"/>
        <w:numPr>
          <w:ilvl w:val="0"/>
          <w:numId w:val="46"/>
        </w:numPr>
        <w:tabs>
          <w:tab w:val="left" w:pos="720"/>
          <w:tab w:val="left" w:pos="810"/>
        </w:tabs>
        <w:rPr>
          <w:rFonts w:ascii="Verdana" w:hAnsi="Verdana" w:cs="Arial"/>
          <w:color w:val="000000"/>
          <w:sz w:val="20"/>
          <w:szCs w:val="20"/>
        </w:rPr>
      </w:pPr>
      <w:r w:rsidRPr="0019185D">
        <w:rPr>
          <w:rFonts w:ascii="Verdana" w:hAnsi="Verdana" w:cs="Arial"/>
          <w:color w:val="000000"/>
          <w:sz w:val="20"/>
          <w:szCs w:val="20"/>
        </w:rPr>
        <w:t>Remove</w:t>
      </w:r>
      <w:r>
        <w:rPr>
          <w:rFonts w:ascii="Verdana" w:hAnsi="Verdana" w:cs="Arial"/>
          <w:color w:val="000000"/>
          <w:sz w:val="20"/>
          <w:szCs w:val="20"/>
        </w:rPr>
        <w:t>s</w:t>
      </w:r>
      <w:r w:rsidRPr="0019185D">
        <w:rPr>
          <w:rFonts w:ascii="Verdana" w:hAnsi="Verdana" w:cs="Arial"/>
          <w:color w:val="000000"/>
          <w:sz w:val="20"/>
          <w:szCs w:val="20"/>
        </w:rPr>
        <w:t xml:space="preserve"> </w:t>
      </w:r>
      <w:r w:rsidR="0019185D" w:rsidRPr="0019185D">
        <w:rPr>
          <w:rFonts w:ascii="Verdana" w:hAnsi="Verdana" w:cs="Arial"/>
          <w:color w:val="000000"/>
          <w:sz w:val="20"/>
          <w:szCs w:val="20"/>
        </w:rPr>
        <w:t xml:space="preserve">optional 25 percent (25%) cost match as part of their Investment Justification which was previously </w:t>
      </w:r>
      <w:r>
        <w:rPr>
          <w:rFonts w:ascii="Verdana" w:hAnsi="Verdana" w:cs="Arial"/>
          <w:color w:val="000000"/>
          <w:sz w:val="20"/>
          <w:szCs w:val="20"/>
        </w:rPr>
        <w:t>allowed</w:t>
      </w:r>
      <w:r w:rsidRPr="0019185D">
        <w:rPr>
          <w:rFonts w:ascii="Verdana" w:hAnsi="Verdana" w:cs="Arial"/>
          <w:color w:val="000000"/>
          <w:sz w:val="20"/>
          <w:szCs w:val="20"/>
        </w:rPr>
        <w:t xml:space="preserve"> </w:t>
      </w:r>
      <w:r w:rsidR="0019185D" w:rsidRPr="0019185D">
        <w:rPr>
          <w:rFonts w:ascii="Verdana" w:hAnsi="Verdana" w:cs="Arial"/>
          <w:color w:val="000000"/>
          <w:sz w:val="20"/>
          <w:szCs w:val="20"/>
        </w:rPr>
        <w:t>under FY 2011 NSGP</w:t>
      </w:r>
    </w:p>
    <w:p w:rsidR="0019185D" w:rsidRPr="00CD2C49" w:rsidRDefault="0019185D" w:rsidP="004C10CB">
      <w:pPr>
        <w:pStyle w:val="ListParagraph"/>
        <w:numPr>
          <w:ilvl w:val="0"/>
          <w:numId w:val="46"/>
        </w:numPr>
        <w:tabs>
          <w:tab w:val="left" w:pos="720"/>
          <w:tab w:val="left" w:pos="810"/>
        </w:tabs>
        <w:rPr>
          <w:rFonts w:ascii="Verdana" w:hAnsi="Verdana" w:cs="Arial"/>
          <w:color w:val="000000"/>
          <w:sz w:val="20"/>
          <w:szCs w:val="20"/>
        </w:rPr>
      </w:pPr>
      <w:r w:rsidRPr="00CD2C49">
        <w:rPr>
          <w:rFonts w:ascii="Verdana" w:hAnsi="Verdana" w:cs="Arial"/>
          <w:color w:val="000000"/>
          <w:sz w:val="20"/>
          <w:szCs w:val="20"/>
        </w:rPr>
        <w:t xml:space="preserve">Highest weighted applicants are now defined as having “the highest risk of terrorism-related activity due to their </w:t>
      </w:r>
      <w:r w:rsidR="00C77239" w:rsidRPr="00CD2C49">
        <w:rPr>
          <w:rFonts w:ascii="Verdana" w:hAnsi="Verdana" w:cs="Arial"/>
          <w:color w:val="000000"/>
          <w:sz w:val="20"/>
          <w:szCs w:val="20"/>
        </w:rPr>
        <w:t>ideology</w:t>
      </w:r>
      <w:r w:rsidR="00F5667C" w:rsidRPr="00CD2C49">
        <w:rPr>
          <w:rFonts w:ascii="Verdana" w:hAnsi="Verdana" w:cs="Arial"/>
          <w:color w:val="000000"/>
          <w:sz w:val="20"/>
          <w:szCs w:val="20"/>
        </w:rPr>
        <w:t>,</w:t>
      </w:r>
      <w:r w:rsidR="00C77239" w:rsidRPr="00CD2C49">
        <w:rPr>
          <w:rFonts w:ascii="Verdana" w:hAnsi="Verdana" w:cs="Arial"/>
          <w:color w:val="000000"/>
          <w:sz w:val="20"/>
          <w:szCs w:val="20"/>
        </w:rPr>
        <w:t xml:space="preserve"> beliefs</w:t>
      </w:r>
      <w:r w:rsidR="00F5667C" w:rsidRPr="00CD2C49">
        <w:rPr>
          <w:rFonts w:ascii="Verdana" w:hAnsi="Verdana" w:cs="Arial"/>
          <w:color w:val="000000"/>
          <w:sz w:val="20"/>
          <w:szCs w:val="20"/>
        </w:rPr>
        <w:t xml:space="preserve"> and mission</w:t>
      </w:r>
      <w:r w:rsidRPr="00CD2C49">
        <w:rPr>
          <w:rFonts w:ascii="Verdana" w:hAnsi="Verdana" w:cs="Arial"/>
          <w:color w:val="000000"/>
          <w:sz w:val="20"/>
          <w:szCs w:val="20"/>
        </w:rPr>
        <w:t>”</w:t>
      </w:r>
      <w:r w:rsidR="007A4FE5">
        <w:rPr>
          <w:rFonts w:ascii="Verdana" w:hAnsi="Verdana" w:cs="Arial"/>
          <w:color w:val="000000"/>
          <w:sz w:val="20"/>
          <w:szCs w:val="20"/>
        </w:rPr>
        <w:t xml:space="preserve"> instead of those having a religious affiliation</w:t>
      </w:r>
      <w:r w:rsidRPr="00CD2C49">
        <w:rPr>
          <w:rFonts w:ascii="Verdana" w:hAnsi="Verdana" w:cs="Arial"/>
          <w:color w:val="000000"/>
          <w:sz w:val="20"/>
          <w:szCs w:val="20"/>
        </w:rPr>
        <w:t xml:space="preserve"> </w:t>
      </w:r>
    </w:p>
    <w:p w:rsidR="004C10CB" w:rsidRPr="004C10CB" w:rsidRDefault="007A4FE5" w:rsidP="004C10CB">
      <w:pPr>
        <w:pStyle w:val="ListParagraph"/>
        <w:numPr>
          <w:ilvl w:val="0"/>
          <w:numId w:val="46"/>
        </w:numPr>
        <w:rPr>
          <w:rFonts w:ascii="Verdana" w:hAnsi="Verdana"/>
          <w:sz w:val="20"/>
          <w:szCs w:val="20"/>
        </w:rPr>
      </w:pPr>
      <w:r w:rsidRPr="00CD2C49">
        <w:rPr>
          <w:rFonts w:ascii="Verdana" w:hAnsi="Verdana"/>
          <w:sz w:val="20"/>
          <w:szCs w:val="20"/>
        </w:rPr>
        <w:t>Remove</w:t>
      </w:r>
      <w:r>
        <w:rPr>
          <w:rFonts w:ascii="Verdana" w:hAnsi="Verdana"/>
          <w:sz w:val="20"/>
          <w:szCs w:val="20"/>
        </w:rPr>
        <w:t>s</w:t>
      </w:r>
      <w:r w:rsidRPr="00CD2C49">
        <w:rPr>
          <w:rFonts w:ascii="Verdana" w:hAnsi="Verdana"/>
          <w:sz w:val="20"/>
          <w:szCs w:val="20"/>
        </w:rPr>
        <w:t xml:space="preserve"> </w:t>
      </w:r>
      <w:r w:rsidR="004C10CB" w:rsidRPr="00CD2C49">
        <w:rPr>
          <w:rFonts w:ascii="Verdana" w:hAnsi="Verdana"/>
          <w:sz w:val="20"/>
          <w:szCs w:val="20"/>
        </w:rPr>
        <w:t>the  establishment of local Citizen Corps Council membership as an eligibility requirement</w:t>
      </w:r>
    </w:p>
    <w:p w:rsidR="00ED7B7B" w:rsidRPr="00ED7B7B" w:rsidRDefault="007A4FE5" w:rsidP="00ED7B7B">
      <w:pPr>
        <w:pStyle w:val="ListParagraph"/>
        <w:numPr>
          <w:ilvl w:val="0"/>
          <w:numId w:val="46"/>
        </w:numPr>
        <w:spacing w:after="120"/>
        <w:rPr>
          <w:rFonts w:ascii="Verdana" w:hAnsi="Verdana"/>
          <w:sz w:val="20"/>
          <w:szCs w:val="20"/>
        </w:rPr>
      </w:pPr>
      <w:r w:rsidRPr="00ED7B7B">
        <w:rPr>
          <w:rFonts w:ascii="Verdana" w:hAnsi="Verdana"/>
          <w:sz w:val="20"/>
          <w:szCs w:val="20"/>
        </w:rPr>
        <w:t>Require</w:t>
      </w:r>
      <w:r>
        <w:rPr>
          <w:rFonts w:ascii="Verdana" w:hAnsi="Verdana"/>
          <w:sz w:val="20"/>
          <w:szCs w:val="20"/>
        </w:rPr>
        <w:t>s</w:t>
      </w:r>
      <w:r w:rsidRPr="00ED7B7B">
        <w:rPr>
          <w:rFonts w:ascii="Verdana" w:hAnsi="Verdana"/>
          <w:sz w:val="20"/>
          <w:szCs w:val="20"/>
        </w:rPr>
        <w:t xml:space="preserve"> </w:t>
      </w:r>
      <w:r w:rsidR="00ED7B7B" w:rsidRPr="00ED7B7B">
        <w:rPr>
          <w:rFonts w:ascii="Verdana" w:hAnsi="Verdana"/>
          <w:sz w:val="20"/>
          <w:szCs w:val="20"/>
        </w:rPr>
        <w:t xml:space="preserve">NSGP recipients be located in Emergency Management Assistance Compact (EMAC) membership states in support of the NPG </w:t>
      </w:r>
    </w:p>
    <w:p w:rsidR="00DA44D4" w:rsidRPr="0019185D" w:rsidRDefault="00660635" w:rsidP="001D20E7">
      <w:pPr>
        <w:autoSpaceDE w:val="0"/>
        <w:autoSpaceDN w:val="0"/>
        <w:adjustRightInd w:val="0"/>
        <w:spacing w:after="120"/>
        <w:rPr>
          <w:rFonts w:ascii="Verdana" w:hAnsi="Verdana" w:cs="Arial"/>
        </w:rPr>
      </w:pPr>
      <w:r>
        <w:rPr>
          <w:rFonts w:ascii="Verdana" w:hAnsi="Verdana" w:cs="Arial"/>
        </w:rPr>
        <w:pict>
          <v:line id="Line 40" o:spid="_x0000_s1027" style="position:absolute;flip:y;z-index:251659264;visibility:visible" from="2.2pt,6.4pt" to="488.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BCHQ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" strokecolor="#c00" strokeweight="2.25pt"/>
        </w:pict>
      </w:r>
    </w:p>
    <w:p w:rsidR="00380385" w:rsidRDefault="000A176A" w:rsidP="00DA44D4">
      <w:pPr>
        <w:autoSpaceDE w:val="0"/>
        <w:autoSpaceDN w:val="0"/>
        <w:adjustRightInd w:val="0"/>
        <w:spacing w:after="120"/>
        <w:rPr>
          <w:rFonts w:ascii="Verdana" w:hAnsi="Verdana"/>
          <w:b/>
          <w:sz w:val="24"/>
          <w:szCs w:val="24"/>
        </w:rPr>
      </w:pPr>
      <w:r w:rsidRPr="00FB44A3">
        <w:rPr>
          <w:rFonts w:ascii="Verdana" w:hAnsi="Verdana"/>
          <w:b/>
          <w:sz w:val="24"/>
          <w:szCs w:val="24"/>
        </w:rPr>
        <w:t>Application Process and Evaluation Criteria</w:t>
      </w:r>
    </w:p>
    <w:p w:rsidR="00DA44D4" w:rsidRDefault="00CE3760" w:rsidP="00CE3760">
      <w:pPr>
        <w:autoSpaceDE w:val="0"/>
        <w:autoSpaceDN w:val="0"/>
        <w:adjustRightInd w:val="0"/>
        <w:rPr>
          <w:rFonts w:ascii="Verdana" w:hAnsi="Verdana" w:cs="Arial"/>
          <w:color w:val="000000"/>
        </w:rPr>
      </w:pPr>
      <w:r w:rsidRPr="00CE3760">
        <w:rPr>
          <w:rFonts w:ascii="Verdana" w:hAnsi="Verdana" w:cs="Arial"/>
          <w:color w:val="000000"/>
        </w:rPr>
        <w:t xml:space="preserve">Applications will be reviewed through a two-phased </w:t>
      </w:r>
      <w:r w:rsidR="00A228BF">
        <w:rPr>
          <w:rFonts w:ascii="Verdana" w:hAnsi="Verdana" w:cs="Arial"/>
          <w:color w:val="000000"/>
        </w:rPr>
        <w:t>s</w:t>
      </w:r>
      <w:r w:rsidRPr="00CE3760">
        <w:rPr>
          <w:rFonts w:ascii="Verdana" w:hAnsi="Verdana" w:cs="Arial"/>
          <w:color w:val="000000"/>
        </w:rPr>
        <w:t xml:space="preserve">tate and </w:t>
      </w:r>
      <w:r w:rsidR="00A228BF">
        <w:rPr>
          <w:rFonts w:ascii="Verdana" w:hAnsi="Verdana" w:cs="Arial"/>
          <w:color w:val="000000"/>
        </w:rPr>
        <w:t>f</w:t>
      </w:r>
      <w:r w:rsidRPr="00CE3760">
        <w:rPr>
          <w:rFonts w:ascii="Verdana" w:hAnsi="Verdana" w:cs="Arial"/>
          <w:color w:val="000000"/>
        </w:rPr>
        <w:t>ederal review process for completeness, adherence to programmatic guidelines, feasibility, and how well the Investment Justification (IJ) (project description and justification) addresses the identified risk</w:t>
      </w:r>
      <w:r>
        <w:rPr>
          <w:rFonts w:ascii="Verdana" w:hAnsi="Verdana" w:cs="Arial"/>
          <w:color w:val="000000"/>
        </w:rPr>
        <w:t>.</w:t>
      </w:r>
      <w:r w:rsidR="001D1EC8">
        <w:rPr>
          <w:rFonts w:ascii="Verdana" w:hAnsi="Verdana" w:cs="Arial"/>
          <w:color w:val="000000"/>
        </w:rPr>
        <w:t xml:space="preserve">  FY 2012 NSGP evaluation criteria include items such as:</w:t>
      </w:r>
    </w:p>
    <w:p w:rsidR="00CE3760" w:rsidRPr="00CE3760" w:rsidRDefault="00CE3760" w:rsidP="00CE3760">
      <w:pPr>
        <w:autoSpaceDE w:val="0"/>
        <w:autoSpaceDN w:val="0"/>
        <w:adjustRightInd w:val="0"/>
        <w:rPr>
          <w:rFonts w:ascii="Verdana" w:hAnsi="Verdana" w:cs="Arial"/>
          <w:color w:val="000000"/>
        </w:rPr>
      </w:pPr>
    </w:p>
    <w:p w:rsidR="003F0D34" w:rsidRPr="00CD2C49" w:rsidRDefault="003F0D34" w:rsidP="0002091E">
      <w:pPr>
        <w:numPr>
          <w:ilvl w:val="0"/>
          <w:numId w:val="44"/>
        </w:numPr>
        <w:autoSpaceDE w:val="0"/>
        <w:autoSpaceDN w:val="0"/>
        <w:adjustRightInd w:val="0"/>
        <w:rPr>
          <w:rFonts w:ascii="Verdana" w:hAnsi="Verdana" w:cs="Arial"/>
        </w:rPr>
      </w:pPr>
      <w:r w:rsidRPr="00CD2C49">
        <w:rPr>
          <w:rFonts w:ascii="Verdana" w:hAnsi="Verdana" w:cs="Arial"/>
        </w:rPr>
        <w:t>Identification and substantiation of prior threats or attacks (from within or outside the U.S.) by a terrorist organization, network, or cell against the applicant</w:t>
      </w:r>
    </w:p>
    <w:p w:rsidR="003F0D34" w:rsidRPr="00CD2C49" w:rsidRDefault="003F0D34" w:rsidP="0002091E">
      <w:pPr>
        <w:numPr>
          <w:ilvl w:val="0"/>
          <w:numId w:val="44"/>
        </w:numPr>
        <w:autoSpaceDE w:val="0"/>
        <w:autoSpaceDN w:val="0"/>
        <w:adjustRightInd w:val="0"/>
        <w:rPr>
          <w:rFonts w:ascii="Verdana" w:hAnsi="Verdana" w:cs="Arial"/>
        </w:rPr>
      </w:pPr>
      <w:r w:rsidRPr="00CD2C49">
        <w:rPr>
          <w:rFonts w:ascii="Verdana" w:hAnsi="Verdana" w:cs="Arial"/>
        </w:rPr>
        <w:t>Symbolic value of the site(s) as a highly recognized national or historical institution(s) that renders the site as possible target of terrorism</w:t>
      </w:r>
    </w:p>
    <w:p w:rsidR="003F0D34" w:rsidRPr="00CD2C49" w:rsidRDefault="003F0D34" w:rsidP="0002091E">
      <w:pPr>
        <w:numPr>
          <w:ilvl w:val="0"/>
          <w:numId w:val="44"/>
        </w:numPr>
        <w:autoSpaceDE w:val="0"/>
        <w:autoSpaceDN w:val="0"/>
        <w:adjustRightInd w:val="0"/>
        <w:rPr>
          <w:rFonts w:ascii="Verdana" w:hAnsi="Verdana" w:cs="Arial"/>
        </w:rPr>
      </w:pPr>
      <w:r w:rsidRPr="00CD2C49">
        <w:rPr>
          <w:rFonts w:ascii="Verdana" w:hAnsi="Verdana" w:cs="Arial"/>
        </w:rPr>
        <w:t>Role of the applicant nonprofit organization in responding to terrorist attacks</w:t>
      </w:r>
    </w:p>
    <w:p w:rsidR="003F0D34" w:rsidRPr="00CD2C49" w:rsidRDefault="003F0D34" w:rsidP="0002091E">
      <w:pPr>
        <w:numPr>
          <w:ilvl w:val="0"/>
          <w:numId w:val="44"/>
        </w:numPr>
        <w:autoSpaceDE w:val="0"/>
        <w:autoSpaceDN w:val="0"/>
        <w:adjustRightInd w:val="0"/>
        <w:rPr>
          <w:rFonts w:ascii="Verdana" w:hAnsi="Verdana" w:cs="Arial"/>
        </w:rPr>
      </w:pPr>
      <w:r w:rsidRPr="00CD2C49">
        <w:rPr>
          <w:rFonts w:ascii="Verdana" w:hAnsi="Verdana" w:cs="Arial"/>
        </w:rPr>
        <w:t xml:space="preserve">Findings from previously conducted threat and/or vulnerability assessments </w:t>
      </w:r>
    </w:p>
    <w:p w:rsidR="009331C0" w:rsidRPr="00CD2C49" w:rsidRDefault="003F0D34" w:rsidP="0002091E">
      <w:pPr>
        <w:numPr>
          <w:ilvl w:val="0"/>
          <w:numId w:val="44"/>
        </w:numPr>
        <w:autoSpaceDE w:val="0"/>
        <w:autoSpaceDN w:val="0"/>
        <w:adjustRightInd w:val="0"/>
        <w:rPr>
          <w:rFonts w:ascii="Verdana" w:hAnsi="Verdana" w:cs="Arial"/>
        </w:rPr>
      </w:pPr>
      <w:r w:rsidRPr="00CD2C49">
        <w:rPr>
          <w:rFonts w:ascii="Verdana" w:hAnsi="Verdana" w:cs="Arial"/>
        </w:rPr>
        <w:t xml:space="preserve">Integration of nonprofit preparedness with broader </w:t>
      </w:r>
      <w:r w:rsidR="00B848D9" w:rsidRPr="00CD2C49">
        <w:rPr>
          <w:rFonts w:ascii="Verdana" w:hAnsi="Verdana" w:cs="Arial"/>
        </w:rPr>
        <w:t>s</w:t>
      </w:r>
      <w:r w:rsidRPr="00CD2C49">
        <w:rPr>
          <w:rFonts w:ascii="Verdana" w:hAnsi="Verdana" w:cs="Arial"/>
        </w:rPr>
        <w:t>tate</w:t>
      </w:r>
      <w:r w:rsidR="009331C0" w:rsidRPr="00CD2C49">
        <w:rPr>
          <w:rFonts w:ascii="Verdana" w:hAnsi="Verdana" w:cs="Arial"/>
        </w:rPr>
        <w:t xml:space="preserve"> and local preparedness efforts</w:t>
      </w:r>
    </w:p>
    <w:p w:rsidR="003F0D34" w:rsidRPr="00CD2C49" w:rsidRDefault="003F0D34" w:rsidP="0002091E">
      <w:pPr>
        <w:numPr>
          <w:ilvl w:val="0"/>
          <w:numId w:val="44"/>
        </w:numPr>
        <w:autoSpaceDE w:val="0"/>
        <w:autoSpaceDN w:val="0"/>
        <w:adjustRightInd w:val="0"/>
        <w:rPr>
          <w:rFonts w:ascii="Verdana" w:hAnsi="Verdana" w:cs="Arial"/>
        </w:rPr>
      </w:pPr>
      <w:r w:rsidRPr="00CD2C49">
        <w:rPr>
          <w:rFonts w:ascii="Verdana" w:hAnsi="Verdana" w:cs="Arial"/>
        </w:rPr>
        <w:t>Complete, feasible Investment Justifications that address an identified risk, including threat and vulnerability</w:t>
      </w:r>
      <w:r w:rsidR="00554359" w:rsidRPr="00CD2C49">
        <w:rPr>
          <w:rFonts w:ascii="Verdana" w:hAnsi="Verdana" w:cs="Arial"/>
        </w:rPr>
        <w:t>, and build or sustain a core capability identified in the NPG</w:t>
      </w:r>
    </w:p>
    <w:p w:rsidR="002F7F7C" w:rsidRPr="00CD2C49" w:rsidRDefault="00410596" w:rsidP="002F7F7C">
      <w:pPr>
        <w:numPr>
          <w:ilvl w:val="0"/>
          <w:numId w:val="44"/>
        </w:numPr>
        <w:rPr>
          <w:rFonts w:ascii="Verdana" w:hAnsi="Verdana" w:cs="Arial"/>
        </w:rPr>
      </w:pPr>
      <w:r>
        <w:rPr>
          <w:rFonts w:ascii="Verdana" w:hAnsi="Verdana" w:cs="Arial"/>
        </w:rPr>
        <w:t xml:space="preserve">Not having received </w:t>
      </w:r>
      <w:r w:rsidR="002F7F7C" w:rsidRPr="00CD2C49">
        <w:rPr>
          <w:rFonts w:ascii="Verdana" w:hAnsi="Verdana" w:cs="Arial"/>
        </w:rPr>
        <w:t>prior years’ NSGP funding</w:t>
      </w:r>
    </w:p>
    <w:p w:rsidR="009331C0" w:rsidRPr="00CD2C49" w:rsidRDefault="009331C0" w:rsidP="009331C0">
      <w:pPr>
        <w:numPr>
          <w:ilvl w:val="0"/>
          <w:numId w:val="44"/>
        </w:numPr>
        <w:rPr>
          <w:rFonts w:ascii="Verdana" w:hAnsi="Verdana" w:cs="Arial"/>
        </w:rPr>
      </w:pPr>
      <w:r w:rsidRPr="00CD2C49">
        <w:rPr>
          <w:rFonts w:ascii="Verdana" w:hAnsi="Verdana" w:cs="Arial"/>
        </w:rPr>
        <w:t>Risk profile</w:t>
      </w:r>
    </w:p>
    <w:sectPr w:rsidR="009331C0" w:rsidRPr="00CD2C49" w:rsidSect="00AA150C">
      <w:footerReference w:type="default" r:id="rId9"/>
      <w:pgSz w:w="12240" w:h="15840" w:code="1"/>
      <w:pgMar w:top="1440" w:right="1296" w:bottom="135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E58" w:rsidRDefault="00101E58">
      <w:r>
        <w:separator/>
      </w:r>
    </w:p>
  </w:endnote>
  <w:endnote w:type="continuationSeparator" w:id="0">
    <w:p w:rsidR="00101E58" w:rsidRDefault="00101E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932"/>
      <w:gridCol w:w="4932"/>
    </w:tblGrid>
    <w:tr w:rsidR="004439F7" w:rsidRPr="002F180D" w:rsidTr="00641816">
      <w:tc>
        <w:tcPr>
          <w:tcW w:w="4932" w:type="dxa"/>
        </w:tcPr>
        <w:p w:rsidR="004439F7" w:rsidRPr="00641816" w:rsidRDefault="004439F7" w:rsidP="004B7903">
          <w:pPr>
            <w:pStyle w:val="BodyTextIndent"/>
            <w:spacing w:after="0"/>
            <w:ind w:left="0"/>
            <w:rPr>
              <w:rFonts w:ascii="Verdana" w:hAnsi="Verdana" w:cs="Arial"/>
              <w:sz w:val="14"/>
              <w:szCs w:val="14"/>
            </w:rPr>
          </w:pPr>
          <w:r>
            <w:rPr>
              <w:rFonts w:ascii="Verdana" w:hAnsi="Verdana" w:cs="Arial"/>
              <w:sz w:val="14"/>
              <w:szCs w:val="14"/>
            </w:rPr>
            <w:t>FY 2012</w:t>
          </w:r>
          <w:r w:rsidRPr="00641816">
            <w:rPr>
              <w:rFonts w:ascii="Verdana" w:hAnsi="Verdana" w:cs="Arial"/>
              <w:sz w:val="14"/>
              <w:szCs w:val="14"/>
            </w:rPr>
            <w:t xml:space="preserve"> NSGP </w:t>
          </w:r>
          <w:r>
            <w:rPr>
              <w:rFonts w:ascii="Verdana" w:hAnsi="Verdana" w:cs="Arial"/>
              <w:sz w:val="14"/>
              <w:szCs w:val="14"/>
            </w:rPr>
            <w:t>Fact Sheet</w:t>
          </w:r>
        </w:p>
      </w:tc>
      <w:tc>
        <w:tcPr>
          <w:tcW w:w="4932" w:type="dxa"/>
        </w:tcPr>
        <w:p w:rsidR="004439F7" w:rsidRPr="00641816" w:rsidRDefault="00660635" w:rsidP="004B7903">
          <w:pPr>
            <w:pStyle w:val="BodyTextIndent"/>
            <w:spacing w:after="0"/>
            <w:ind w:left="0"/>
            <w:rPr>
              <w:rFonts w:ascii="Verdana" w:hAnsi="Verdana" w:cs="Arial"/>
              <w:sz w:val="14"/>
              <w:szCs w:val="14"/>
            </w:rPr>
          </w:pPr>
          <w:r w:rsidRPr="00641816">
            <w:rPr>
              <w:rStyle w:val="PageNumber"/>
              <w:rFonts w:ascii="Verdana" w:hAnsi="Verdana"/>
              <w:sz w:val="14"/>
              <w:szCs w:val="14"/>
            </w:rPr>
            <w:fldChar w:fldCharType="begin"/>
          </w:r>
          <w:r w:rsidR="004439F7" w:rsidRPr="00641816">
            <w:rPr>
              <w:rStyle w:val="PageNumber"/>
              <w:rFonts w:ascii="Verdana" w:hAnsi="Verdana"/>
              <w:sz w:val="14"/>
              <w:szCs w:val="14"/>
            </w:rPr>
            <w:instrText xml:space="preserve"> PAGE </w:instrText>
          </w:r>
          <w:r w:rsidRPr="00641816">
            <w:rPr>
              <w:rStyle w:val="PageNumber"/>
              <w:rFonts w:ascii="Verdana" w:hAnsi="Verdana"/>
              <w:sz w:val="14"/>
              <w:szCs w:val="14"/>
            </w:rPr>
            <w:fldChar w:fldCharType="separate"/>
          </w:r>
          <w:r w:rsidR="00F41013">
            <w:rPr>
              <w:rStyle w:val="PageNumber"/>
              <w:rFonts w:ascii="Verdana" w:hAnsi="Verdana"/>
              <w:noProof/>
              <w:sz w:val="14"/>
              <w:szCs w:val="14"/>
            </w:rPr>
            <w:t>1</w:t>
          </w:r>
          <w:r w:rsidRPr="00641816">
            <w:rPr>
              <w:rStyle w:val="PageNumber"/>
              <w:rFonts w:ascii="Verdana" w:hAnsi="Verdana"/>
              <w:sz w:val="14"/>
              <w:szCs w:val="14"/>
            </w:rPr>
            <w:fldChar w:fldCharType="end"/>
          </w:r>
        </w:p>
      </w:tc>
    </w:tr>
  </w:tbl>
  <w:p w:rsidR="004439F7" w:rsidRDefault="004439F7" w:rsidP="002F180D">
    <w:pPr>
      <w:pStyle w:val="BodyTextIndent"/>
      <w:spacing w:after="0"/>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E58" w:rsidRDefault="00101E58">
      <w:r>
        <w:separator/>
      </w:r>
    </w:p>
  </w:footnote>
  <w:footnote w:type="continuationSeparator" w:id="0">
    <w:p w:rsidR="00101E58" w:rsidRDefault="00101E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815"/>
    <w:multiLevelType w:val="multilevel"/>
    <w:tmpl w:val="392EECB4"/>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5A67226"/>
    <w:multiLevelType w:val="hybridMultilevel"/>
    <w:tmpl w:val="E898993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12187B"/>
    <w:multiLevelType w:val="hybridMultilevel"/>
    <w:tmpl w:val="94EA6184"/>
    <w:lvl w:ilvl="0" w:tplc="CD1EB506">
      <w:start w:val="1"/>
      <w:numFmt w:val="bullet"/>
      <w:lvlText w:val=""/>
      <w:lvlJc w:val="left"/>
      <w:pPr>
        <w:tabs>
          <w:tab w:val="num" w:pos="360"/>
        </w:tabs>
        <w:ind w:left="360" w:hanging="360"/>
      </w:pPr>
      <w:rPr>
        <w:rFonts w:ascii="Wingdings" w:hAnsi="Wingdings" w:hint="default"/>
        <w:sz w:val="20"/>
        <w:szCs w:val="20"/>
      </w:rPr>
    </w:lvl>
    <w:lvl w:ilvl="1" w:tplc="4700301C">
      <w:start w:val="3"/>
      <w:numFmt w:val="bullet"/>
      <w:lvlText w:val=""/>
      <w:lvlJc w:val="left"/>
      <w:pPr>
        <w:tabs>
          <w:tab w:val="num" w:pos="936"/>
        </w:tabs>
        <w:ind w:left="720" w:hanging="72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D7E5F7D"/>
    <w:multiLevelType w:val="hybridMultilevel"/>
    <w:tmpl w:val="6DEA398A"/>
    <w:lvl w:ilvl="0" w:tplc="CD1EB506">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4A2ADD"/>
    <w:multiLevelType w:val="hybridMultilevel"/>
    <w:tmpl w:val="3FECD5A8"/>
    <w:lvl w:ilvl="0" w:tplc="04090005">
      <w:start w:val="1"/>
      <w:numFmt w:val="bullet"/>
      <w:lvlText w:val=""/>
      <w:lvlJc w:val="left"/>
      <w:pPr>
        <w:tabs>
          <w:tab w:val="num" w:pos="1080"/>
        </w:tabs>
        <w:ind w:left="1080" w:hanging="360"/>
      </w:pPr>
      <w:rPr>
        <w:rFonts w:ascii="Wingdings" w:hAnsi="Wingdings" w:hint="default"/>
      </w:rPr>
    </w:lvl>
    <w:lvl w:ilvl="1" w:tplc="4700301C">
      <w:start w:val="3"/>
      <w:numFmt w:val="bullet"/>
      <w:lvlText w:val=""/>
      <w:lvlJc w:val="left"/>
      <w:pPr>
        <w:tabs>
          <w:tab w:val="num" w:pos="1656"/>
        </w:tabs>
        <w:ind w:left="1440" w:hanging="72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676BE2"/>
    <w:multiLevelType w:val="hybridMultilevel"/>
    <w:tmpl w:val="CE7AAE2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1FE7A1E"/>
    <w:multiLevelType w:val="hybridMultilevel"/>
    <w:tmpl w:val="44F263A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C4232E"/>
    <w:multiLevelType w:val="hybridMultilevel"/>
    <w:tmpl w:val="936AE3C2"/>
    <w:lvl w:ilvl="0" w:tplc="CD1EB506">
      <w:start w:val="1"/>
      <w:numFmt w:val="bullet"/>
      <w:lvlText w:val=""/>
      <w:lvlJc w:val="left"/>
      <w:pPr>
        <w:tabs>
          <w:tab w:val="num" w:pos="360"/>
        </w:tabs>
        <w:ind w:left="360" w:hanging="360"/>
      </w:pPr>
      <w:rPr>
        <w:rFonts w:ascii="Wingdings" w:hAnsi="Wingdings" w:hint="default"/>
        <w:sz w:val="20"/>
        <w:szCs w:val="20"/>
      </w:rPr>
    </w:lvl>
    <w:lvl w:ilvl="1" w:tplc="4700301C">
      <w:start w:val="3"/>
      <w:numFmt w:val="bullet"/>
      <w:lvlText w:val=""/>
      <w:lvlJc w:val="left"/>
      <w:pPr>
        <w:tabs>
          <w:tab w:val="num" w:pos="936"/>
        </w:tabs>
        <w:ind w:left="720" w:hanging="72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15505103"/>
    <w:multiLevelType w:val="hybridMultilevel"/>
    <w:tmpl w:val="721893FA"/>
    <w:lvl w:ilvl="0" w:tplc="04090005">
      <w:start w:val="1"/>
      <w:numFmt w:val="bullet"/>
      <w:lvlText w:val=""/>
      <w:lvlJc w:val="left"/>
      <w:pPr>
        <w:tabs>
          <w:tab w:val="num" w:pos="1080"/>
        </w:tabs>
        <w:ind w:left="1080" w:hanging="360"/>
      </w:pPr>
      <w:rPr>
        <w:rFonts w:ascii="Wingdings" w:hAnsi="Wingdings" w:hint="default"/>
        <w:sz w:val="20"/>
        <w:szCs w:val="20"/>
      </w:rPr>
    </w:lvl>
    <w:lvl w:ilvl="1" w:tplc="4700301C">
      <w:start w:val="3"/>
      <w:numFmt w:val="bullet"/>
      <w:lvlText w:val=""/>
      <w:lvlJc w:val="left"/>
      <w:pPr>
        <w:tabs>
          <w:tab w:val="num" w:pos="1656"/>
        </w:tabs>
        <w:ind w:left="1440" w:hanging="72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76B2769"/>
    <w:multiLevelType w:val="hybridMultilevel"/>
    <w:tmpl w:val="40205ADC"/>
    <w:lvl w:ilvl="0" w:tplc="BC5CA518">
      <w:start w:val="3"/>
      <w:numFmt w:val="bullet"/>
      <w:lvlText w:val=""/>
      <w:lvlJc w:val="left"/>
      <w:pPr>
        <w:tabs>
          <w:tab w:val="num" w:pos="576"/>
        </w:tabs>
        <w:ind w:left="648" w:hanging="648"/>
      </w:pPr>
      <w:rPr>
        <w:rFonts w:ascii="Wingdings" w:hAnsi="Wingdings"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0B0DBA"/>
    <w:multiLevelType w:val="multilevel"/>
    <w:tmpl w:val="E898993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1DAE409D"/>
    <w:multiLevelType w:val="hybridMultilevel"/>
    <w:tmpl w:val="78A844A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F04865"/>
    <w:multiLevelType w:val="hybridMultilevel"/>
    <w:tmpl w:val="1D6AEF62"/>
    <w:lvl w:ilvl="0" w:tplc="04090005">
      <w:start w:val="1"/>
      <w:numFmt w:val="bullet"/>
      <w:lvlText w:val=""/>
      <w:lvlJc w:val="left"/>
      <w:pPr>
        <w:tabs>
          <w:tab w:val="num" w:pos="1080"/>
        </w:tabs>
        <w:ind w:left="1080" w:hanging="360"/>
      </w:pPr>
      <w:rPr>
        <w:rFonts w:ascii="Wingdings" w:hAnsi="Wingdings" w:hint="default"/>
      </w:rPr>
    </w:lvl>
    <w:lvl w:ilvl="1" w:tplc="4700301C">
      <w:start w:val="3"/>
      <w:numFmt w:val="bullet"/>
      <w:lvlText w:val=""/>
      <w:lvlJc w:val="left"/>
      <w:pPr>
        <w:tabs>
          <w:tab w:val="num" w:pos="2376"/>
        </w:tabs>
        <w:ind w:left="2160" w:hanging="72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110275E"/>
    <w:multiLevelType w:val="hybridMultilevel"/>
    <w:tmpl w:val="B3B22FE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24D2C93"/>
    <w:multiLevelType w:val="hybridMultilevel"/>
    <w:tmpl w:val="392EECB4"/>
    <w:lvl w:ilvl="0" w:tplc="CD1EB506">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3BC20A0"/>
    <w:multiLevelType w:val="hybridMultilevel"/>
    <w:tmpl w:val="B7AEFC40"/>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4B31C6"/>
    <w:multiLevelType w:val="hybridMultilevel"/>
    <w:tmpl w:val="8DF42AA2"/>
    <w:lvl w:ilvl="0" w:tplc="04090005">
      <w:start w:val="1"/>
      <w:numFmt w:val="bullet"/>
      <w:lvlText w:val=""/>
      <w:lvlJc w:val="left"/>
      <w:pPr>
        <w:tabs>
          <w:tab w:val="num" w:pos="1080"/>
        </w:tabs>
        <w:ind w:left="1080" w:hanging="360"/>
      </w:pPr>
      <w:rPr>
        <w:rFonts w:ascii="Wingdings" w:hAnsi="Wingdings" w:hint="default"/>
        <w:sz w:val="20"/>
        <w:szCs w:val="20"/>
      </w:rPr>
    </w:lvl>
    <w:lvl w:ilvl="1" w:tplc="4700301C">
      <w:start w:val="3"/>
      <w:numFmt w:val="bullet"/>
      <w:lvlText w:val=""/>
      <w:lvlJc w:val="left"/>
      <w:pPr>
        <w:tabs>
          <w:tab w:val="num" w:pos="1656"/>
        </w:tabs>
        <w:ind w:left="1440" w:hanging="72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A635B92"/>
    <w:multiLevelType w:val="hybridMultilevel"/>
    <w:tmpl w:val="4F08596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19E3A47"/>
    <w:multiLevelType w:val="hybridMultilevel"/>
    <w:tmpl w:val="FFEC8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4947DC"/>
    <w:multiLevelType w:val="hybridMultilevel"/>
    <w:tmpl w:val="1DB65608"/>
    <w:lvl w:ilvl="0" w:tplc="CD1EB506">
      <w:start w:val="1"/>
      <w:numFmt w:val="bullet"/>
      <w:lvlText w:val=""/>
      <w:lvlJc w:val="left"/>
      <w:pPr>
        <w:tabs>
          <w:tab w:val="num" w:pos="360"/>
        </w:tabs>
        <w:ind w:left="360" w:hanging="360"/>
      </w:pPr>
      <w:rPr>
        <w:rFonts w:ascii="Wingdings" w:hAnsi="Wingdings" w:hint="default"/>
        <w:sz w:val="20"/>
        <w:szCs w:val="20"/>
      </w:rPr>
    </w:lvl>
    <w:lvl w:ilvl="1" w:tplc="4700301C">
      <w:start w:val="3"/>
      <w:numFmt w:val="bullet"/>
      <w:lvlText w:val=""/>
      <w:lvlJc w:val="left"/>
      <w:pPr>
        <w:tabs>
          <w:tab w:val="num" w:pos="936"/>
        </w:tabs>
        <w:ind w:left="720" w:hanging="72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346B3702"/>
    <w:multiLevelType w:val="multilevel"/>
    <w:tmpl w:val="8BAE283C"/>
    <w:lvl w:ilvl="0">
      <w:start w:val="1"/>
      <w:numFmt w:val="bullet"/>
      <w:lvlText w:val=""/>
      <w:lvlJc w:val="left"/>
      <w:pPr>
        <w:tabs>
          <w:tab w:val="num" w:pos="1080"/>
        </w:tabs>
        <w:ind w:left="1080" w:hanging="360"/>
      </w:pPr>
      <w:rPr>
        <w:rFonts w:ascii="Wingdings" w:hAnsi="Wingdings" w:hint="default"/>
        <w:sz w:val="20"/>
        <w:szCs w:val="20"/>
      </w:rPr>
    </w:lvl>
    <w:lvl w:ilvl="1">
      <w:start w:val="3"/>
      <w:numFmt w:val="bullet"/>
      <w:lvlText w:val=""/>
      <w:lvlJc w:val="left"/>
      <w:pPr>
        <w:tabs>
          <w:tab w:val="num" w:pos="1656"/>
        </w:tabs>
        <w:ind w:left="1440" w:hanging="72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CB103F5"/>
    <w:multiLevelType w:val="hybridMultilevel"/>
    <w:tmpl w:val="97FC0A8C"/>
    <w:lvl w:ilvl="0" w:tplc="BC5CA518">
      <w:start w:val="3"/>
      <w:numFmt w:val="bullet"/>
      <w:lvlText w:val=""/>
      <w:lvlJc w:val="left"/>
      <w:pPr>
        <w:tabs>
          <w:tab w:val="num" w:pos="576"/>
        </w:tabs>
        <w:ind w:left="648" w:hanging="648"/>
      </w:pPr>
      <w:rPr>
        <w:rFonts w:ascii="Wingdings" w:hAnsi="Wingdings" w:hint="default"/>
      </w:rPr>
    </w:lvl>
    <w:lvl w:ilvl="1" w:tplc="4700301C">
      <w:start w:val="3"/>
      <w:numFmt w:val="bullet"/>
      <w:lvlText w:val=""/>
      <w:lvlJc w:val="left"/>
      <w:pPr>
        <w:tabs>
          <w:tab w:val="num" w:pos="1656"/>
        </w:tabs>
        <w:ind w:left="1440" w:hanging="72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EC552A9"/>
    <w:multiLevelType w:val="hybridMultilevel"/>
    <w:tmpl w:val="EEB670E4"/>
    <w:lvl w:ilvl="0" w:tplc="04090001">
      <w:start w:val="1"/>
      <w:numFmt w:val="bullet"/>
      <w:lvlText w:val=""/>
      <w:lvlJc w:val="left"/>
      <w:pPr>
        <w:ind w:left="360" w:hanging="360"/>
      </w:pPr>
      <w:rPr>
        <w:rFonts w:ascii="Symbol" w:hAnsi="Symbol" w:hint="default"/>
      </w:rPr>
    </w:lvl>
    <w:lvl w:ilvl="1" w:tplc="729EB16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2709A2"/>
    <w:multiLevelType w:val="hybridMultilevel"/>
    <w:tmpl w:val="601ED334"/>
    <w:lvl w:ilvl="0" w:tplc="04090001">
      <w:start w:val="1"/>
      <w:numFmt w:val="bullet"/>
      <w:lvlText w:val=""/>
      <w:lvlJc w:val="left"/>
      <w:pPr>
        <w:tabs>
          <w:tab w:val="num" w:pos="607"/>
        </w:tabs>
        <w:ind w:left="60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4">
    <w:nsid w:val="42D246F5"/>
    <w:multiLevelType w:val="hybridMultilevel"/>
    <w:tmpl w:val="D07CC48A"/>
    <w:lvl w:ilvl="0" w:tplc="CD1EB50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3E97F4B"/>
    <w:multiLevelType w:val="hybridMultilevel"/>
    <w:tmpl w:val="7804A5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7B4E8D"/>
    <w:multiLevelType w:val="hybridMultilevel"/>
    <w:tmpl w:val="8BAE283C"/>
    <w:lvl w:ilvl="0" w:tplc="04090005">
      <w:start w:val="1"/>
      <w:numFmt w:val="bullet"/>
      <w:lvlText w:val=""/>
      <w:lvlJc w:val="left"/>
      <w:pPr>
        <w:tabs>
          <w:tab w:val="num" w:pos="1080"/>
        </w:tabs>
        <w:ind w:left="1080" w:hanging="360"/>
      </w:pPr>
      <w:rPr>
        <w:rFonts w:ascii="Wingdings" w:hAnsi="Wingdings" w:hint="default"/>
        <w:sz w:val="20"/>
        <w:szCs w:val="20"/>
      </w:rPr>
    </w:lvl>
    <w:lvl w:ilvl="1" w:tplc="4700301C">
      <w:start w:val="3"/>
      <w:numFmt w:val="bullet"/>
      <w:lvlText w:val=""/>
      <w:lvlJc w:val="left"/>
      <w:pPr>
        <w:tabs>
          <w:tab w:val="num" w:pos="1656"/>
        </w:tabs>
        <w:ind w:left="1440" w:hanging="72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8F227E5"/>
    <w:multiLevelType w:val="hybridMultilevel"/>
    <w:tmpl w:val="66FADD8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90A569C"/>
    <w:multiLevelType w:val="hybridMultilevel"/>
    <w:tmpl w:val="EF786C78"/>
    <w:lvl w:ilvl="0" w:tplc="CD1EB50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9AF7BA0"/>
    <w:multiLevelType w:val="hybridMultilevel"/>
    <w:tmpl w:val="EB28030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24341A"/>
    <w:multiLevelType w:val="hybridMultilevel"/>
    <w:tmpl w:val="29E0D2D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896FC2"/>
    <w:multiLevelType w:val="hybridMultilevel"/>
    <w:tmpl w:val="06EA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BD5F7A"/>
    <w:multiLevelType w:val="hybridMultilevel"/>
    <w:tmpl w:val="0898168C"/>
    <w:lvl w:ilvl="0" w:tplc="CD1EB506">
      <w:start w:val="1"/>
      <w:numFmt w:val="bullet"/>
      <w:lvlText w:val=""/>
      <w:lvlJc w:val="left"/>
      <w:pPr>
        <w:tabs>
          <w:tab w:val="num" w:pos="360"/>
        </w:tabs>
        <w:ind w:left="360" w:hanging="360"/>
      </w:pPr>
      <w:rPr>
        <w:rFonts w:ascii="Wingdings" w:hAnsi="Wingdings" w:hint="default"/>
        <w:sz w:val="20"/>
        <w:szCs w:val="20"/>
      </w:rPr>
    </w:lvl>
    <w:lvl w:ilvl="1" w:tplc="4700301C">
      <w:start w:val="3"/>
      <w:numFmt w:val="bullet"/>
      <w:lvlText w:val=""/>
      <w:lvlJc w:val="left"/>
      <w:pPr>
        <w:tabs>
          <w:tab w:val="num" w:pos="936"/>
        </w:tabs>
        <w:ind w:left="720" w:hanging="72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nsid w:val="51685667"/>
    <w:multiLevelType w:val="hybridMultilevel"/>
    <w:tmpl w:val="255ECBAA"/>
    <w:lvl w:ilvl="0" w:tplc="04090005">
      <w:start w:val="1"/>
      <w:numFmt w:val="bullet"/>
      <w:lvlText w:val=""/>
      <w:lvlJc w:val="left"/>
      <w:pPr>
        <w:tabs>
          <w:tab w:val="num" w:pos="720"/>
        </w:tabs>
        <w:ind w:left="720" w:hanging="360"/>
      </w:pPr>
      <w:rPr>
        <w:rFonts w:ascii="Wingdings" w:hAnsi="Wingding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42C7196"/>
    <w:multiLevelType w:val="hybridMultilevel"/>
    <w:tmpl w:val="A3F6904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4D2368C"/>
    <w:multiLevelType w:val="hybridMultilevel"/>
    <w:tmpl w:val="8FE2792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E94200"/>
    <w:multiLevelType w:val="hybridMultilevel"/>
    <w:tmpl w:val="7A20B13C"/>
    <w:lvl w:ilvl="0" w:tplc="CD1EB506">
      <w:start w:val="1"/>
      <w:numFmt w:val="bullet"/>
      <w:lvlText w:val=""/>
      <w:lvlJc w:val="left"/>
      <w:pPr>
        <w:tabs>
          <w:tab w:val="num" w:pos="360"/>
        </w:tabs>
        <w:ind w:left="360" w:hanging="360"/>
      </w:pPr>
      <w:rPr>
        <w:rFonts w:ascii="Wingdings" w:hAnsi="Wingdings" w:hint="default"/>
        <w:sz w:val="20"/>
        <w:szCs w:val="20"/>
      </w:rPr>
    </w:lvl>
    <w:lvl w:ilvl="1" w:tplc="4700301C">
      <w:start w:val="3"/>
      <w:numFmt w:val="bullet"/>
      <w:lvlText w:val=""/>
      <w:lvlJc w:val="left"/>
      <w:pPr>
        <w:tabs>
          <w:tab w:val="num" w:pos="936"/>
        </w:tabs>
        <w:ind w:left="720" w:hanging="72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5FF8706F"/>
    <w:multiLevelType w:val="multilevel"/>
    <w:tmpl w:val="D07CC48A"/>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62F34E10"/>
    <w:multiLevelType w:val="hybridMultilevel"/>
    <w:tmpl w:val="F5A0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8A26C7"/>
    <w:multiLevelType w:val="hybridMultilevel"/>
    <w:tmpl w:val="B9BC0B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89439A2"/>
    <w:multiLevelType w:val="multilevel"/>
    <w:tmpl w:val="40205ADC"/>
    <w:lvl w:ilvl="0">
      <w:start w:val="3"/>
      <w:numFmt w:val="bullet"/>
      <w:lvlText w:val=""/>
      <w:lvlJc w:val="left"/>
      <w:pPr>
        <w:tabs>
          <w:tab w:val="num" w:pos="576"/>
        </w:tabs>
        <w:ind w:left="648" w:hanging="648"/>
      </w:pPr>
      <w:rPr>
        <w:rFonts w:ascii="Wingdings" w:hAnsi="Wingdings"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FAA2503"/>
    <w:multiLevelType w:val="hybridMultilevel"/>
    <w:tmpl w:val="37E0E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940C26"/>
    <w:multiLevelType w:val="hybridMultilevel"/>
    <w:tmpl w:val="89EA737E"/>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B82615"/>
    <w:multiLevelType w:val="hybridMultilevel"/>
    <w:tmpl w:val="5D029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BBE6BF0"/>
    <w:multiLevelType w:val="hybridMultilevel"/>
    <w:tmpl w:val="5D30544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982CB3"/>
    <w:multiLevelType w:val="hybridMultilevel"/>
    <w:tmpl w:val="21D4051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FE82B98"/>
    <w:multiLevelType w:val="hybridMultilevel"/>
    <w:tmpl w:val="20248B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3"/>
  </w:num>
  <w:num w:numId="3">
    <w:abstractNumId w:val="44"/>
  </w:num>
  <w:num w:numId="4">
    <w:abstractNumId w:val="29"/>
  </w:num>
  <w:num w:numId="5">
    <w:abstractNumId w:val="3"/>
  </w:num>
  <w:num w:numId="6">
    <w:abstractNumId w:val="21"/>
  </w:num>
  <w:num w:numId="7">
    <w:abstractNumId w:val="45"/>
  </w:num>
  <w:num w:numId="8">
    <w:abstractNumId w:val="35"/>
  </w:num>
  <w:num w:numId="9">
    <w:abstractNumId w:val="1"/>
  </w:num>
  <w:num w:numId="10">
    <w:abstractNumId w:val="14"/>
  </w:num>
  <w:num w:numId="11">
    <w:abstractNumId w:val="34"/>
  </w:num>
  <w:num w:numId="12">
    <w:abstractNumId w:val="4"/>
  </w:num>
  <w:num w:numId="13">
    <w:abstractNumId w:val="2"/>
  </w:num>
  <w:num w:numId="14">
    <w:abstractNumId w:val="16"/>
  </w:num>
  <w:num w:numId="15">
    <w:abstractNumId w:val="36"/>
  </w:num>
  <w:num w:numId="16">
    <w:abstractNumId w:val="8"/>
  </w:num>
  <w:num w:numId="17">
    <w:abstractNumId w:val="32"/>
  </w:num>
  <w:num w:numId="18">
    <w:abstractNumId w:val="26"/>
  </w:num>
  <w:num w:numId="19">
    <w:abstractNumId w:val="19"/>
  </w:num>
  <w:num w:numId="20">
    <w:abstractNumId w:val="12"/>
  </w:num>
  <w:num w:numId="21">
    <w:abstractNumId w:val="30"/>
  </w:num>
  <w:num w:numId="22">
    <w:abstractNumId w:val="25"/>
  </w:num>
  <w:num w:numId="23">
    <w:abstractNumId w:val="27"/>
  </w:num>
  <w:num w:numId="24">
    <w:abstractNumId w:val="17"/>
  </w:num>
  <w:num w:numId="25">
    <w:abstractNumId w:val="6"/>
  </w:num>
  <w:num w:numId="26">
    <w:abstractNumId w:val="42"/>
  </w:num>
  <w:num w:numId="27">
    <w:abstractNumId w:val="15"/>
  </w:num>
  <w:num w:numId="28">
    <w:abstractNumId w:val="20"/>
  </w:num>
  <w:num w:numId="29">
    <w:abstractNumId w:val="7"/>
  </w:num>
  <w:num w:numId="30">
    <w:abstractNumId w:val="10"/>
  </w:num>
  <w:num w:numId="31">
    <w:abstractNumId w:val="24"/>
  </w:num>
  <w:num w:numId="32">
    <w:abstractNumId w:val="37"/>
  </w:num>
  <w:num w:numId="33">
    <w:abstractNumId w:val="9"/>
  </w:num>
  <w:num w:numId="34">
    <w:abstractNumId w:val="40"/>
  </w:num>
  <w:num w:numId="35">
    <w:abstractNumId w:val="28"/>
  </w:num>
  <w:num w:numId="36">
    <w:abstractNumId w:val="0"/>
  </w:num>
  <w:num w:numId="37">
    <w:abstractNumId w:val="11"/>
  </w:num>
  <w:num w:numId="38">
    <w:abstractNumId w:val="46"/>
  </w:num>
  <w:num w:numId="39">
    <w:abstractNumId w:val="43"/>
  </w:num>
  <w:num w:numId="40">
    <w:abstractNumId w:val="18"/>
  </w:num>
  <w:num w:numId="41">
    <w:abstractNumId w:val="39"/>
  </w:num>
  <w:num w:numId="42">
    <w:abstractNumId w:val="23"/>
  </w:num>
  <w:num w:numId="43">
    <w:abstractNumId w:val="33"/>
  </w:num>
  <w:num w:numId="44">
    <w:abstractNumId w:val="41"/>
  </w:num>
  <w:num w:numId="45">
    <w:abstractNumId w:val="38"/>
  </w:num>
  <w:num w:numId="46">
    <w:abstractNumId w:val="31"/>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c00,#069"/>
    </o:shapedefaults>
  </w:hdrShapeDefaults>
  <w:footnotePr>
    <w:footnote w:id="-1"/>
    <w:footnote w:id="0"/>
  </w:footnotePr>
  <w:endnotePr>
    <w:endnote w:id="-1"/>
    <w:endnote w:id="0"/>
  </w:endnotePr>
  <w:compat/>
  <w:rsids>
    <w:rsidRoot w:val="007A322B"/>
    <w:rsid w:val="00000ECF"/>
    <w:rsid w:val="000011B8"/>
    <w:rsid w:val="00001A71"/>
    <w:rsid w:val="0000220C"/>
    <w:rsid w:val="00002442"/>
    <w:rsid w:val="00005F4E"/>
    <w:rsid w:val="000070B6"/>
    <w:rsid w:val="00007645"/>
    <w:rsid w:val="00007C34"/>
    <w:rsid w:val="0002091E"/>
    <w:rsid w:val="00025394"/>
    <w:rsid w:val="00027AA5"/>
    <w:rsid w:val="00030835"/>
    <w:rsid w:val="000314A1"/>
    <w:rsid w:val="000330B1"/>
    <w:rsid w:val="0003339A"/>
    <w:rsid w:val="000353C7"/>
    <w:rsid w:val="000406D1"/>
    <w:rsid w:val="00043C22"/>
    <w:rsid w:val="000458B7"/>
    <w:rsid w:val="00045937"/>
    <w:rsid w:val="000466A7"/>
    <w:rsid w:val="00050A89"/>
    <w:rsid w:val="00051614"/>
    <w:rsid w:val="0005294D"/>
    <w:rsid w:val="000530DD"/>
    <w:rsid w:val="00054FE8"/>
    <w:rsid w:val="000642AF"/>
    <w:rsid w:val="00065018"/>
    <w:rsid w:val="00066371"/>
    <w:rsid w:val="000710C9"/>
    <w:rsid w:val="00077920"/>
    <w:rsid w:val="00083F18"/>
    <w:rsid w:val="00084DE7"/>
    <w:rsid w:val="00084F43"/>
    <w:rsid w:val="000940D6"/>
    <w:rsid w:val="00096834"/>
    <w:rsid w:val="000A176A"/>
    <w:rsid w:val="000A73EE"/>
    <w:rsid w:val="000A7CB8"/>
    <w:rsid w:val="000B2302"/>
    <w:rsid w:val="000B4917"/>
    <w:rsid w:val="000B4F0E"/>
    <w:rsid w:val="000C0572"/>
    <w:rsid w:val="000C3F32"/>
    <w:rsid w:val="000C5A6C"/>
    <w:rsid w:val="000C6069"/>
    <w:rsid w:val="000D29FD"/>
    <w:rsid w:val="000D3B25"/>
    <w:rsid w:val="000D4A6C"/>
    <w:rsid w:val="000D75F0"/>
    <w:rsid w:val="000E261A"/>
    <w:rsid w:val="000E2A98"/>
    <w:rsid w:val="000E449E"/>
    <w:rsid w:val="000E53BB"/>
    <w:rsid w:val="000E5EAD"/>
    <w:rsid w:val="000E75D2"/>
    <w:rsid w:val="000E7CB3"/>
    <w:rsid w:val="000F08BF"/>
    <w:rsid w:val="000F09A1"/>
    <w:rsid w:val="000F264D"/>
    <w:rsid w:val="000F6562"/>
    <w:rsid w:val="00100982"/>
    <w:rsid w:val="00101E58"/>
    <w:rsid w:val="00105305"/>
    <w:rsid w:val="00106FE2"/>
    <w:rsid w:val="001122D7"/>
    <w:rsid w:val="00112307"/>
    <w:rsid w:val="001128DC"/>
    <w:rsid w:val="00112FAD"/>
    <w:rsid w:val="0011314C"/>
    <w:rsid w:val="001145B5"/>
    <w:rsid w:val="00114E80"/>
    <w:rsid w:val="00116100"/>
    <w:rsid w:val="00116578"/>
    <w:rsid w:val="00121017"/>
    <w:rsid w:val="001214BC"/>
    <w:rsid w:val="00123F5A"/>
    <w:rsid w:val="0013120A"/>
    <w:rsid w:val="00133096"/>
    <w:rsid w:val="00134580"/>
    <w:rsid w:val="00134E8A"/>
    <w:rsid w:val="00135E43"/>
    <w:rsid w:val="00136053"/>
    <w:rsid w:val="00137346"/>
    <w:rsid w:val="00140371"/>
    <w:rsid w:val="001404B6"/>
    <w:rsid w:val="0014516C"/>
    <w:rsid w:val="00146677"/>
    <w:rsid w:val="00146DDC"/>
    <w:rsid w:val="00151E0C"/>
    <w:rsid w:val="001539DC"/>
    <w:rsid w:val="00157DFA"/>
    <w:rsid w:val="001607E4"/>
    <w:rsid w:val="0016447A"/>
    <w:rsid w:val="00166993"/>
    <w:rsid w:val="00174883"/>
    <w:rsid w:val="00174ADD"/>
    <w:rsid w:val="001761E9"/>
    <w:rsid w:val="0017635C"/>
    <w:rsid w:val="00176656"/>
    <w:rsid w:val="0018392B"/>
    <w:rsid w:val="0018605F"/>
    <w:rsid w:val="00186674"/>
    <w:rsid w:val="001914EF"/>
    <w:rsid w:val="0019185D"/>
    <w:rsid w:val="001A20FC"/>
    <w:rsid w:val="001A36A2"/>
    <w:rsid w:val="001A4114"/>
    <w:rsid w:val="001A5901"/>
    <w:rsid w:val="001A7013"/>
    <w:rsid w:val="001B25AE"/>
    <w:rsid w:val="001B315F"/>
    <w:rsid w:val="001B31D1"/>
    <w:rsid w:val="001B386D"/>
    <w:rsid w:val="001B3E6E"/>
    <w:rsid w:val="001B4912"/>
    <w:rsid w:val="001B696C"/>
    <w:rsid w:val="001B7FD6"/>
    <w:rsid w:val="001C3B1D"/>
    <w:rsid w:val="001C48FF"/>
    <w:rsid w:val="001C5268"/>
    <w:rsid w:val="001C75BD"/>
    <w:rsid w:val="001D0336"/>
    <w:rsid w:val="001D1EC8"/>
    <w:rsid w:val="001D20E7"/>
    <w:rsid w:val="001D481A"/>
    <w:rsid w:val="001D6010"/>
    <w:rsid w:val="001E3191"/>
    <w:rsid w:val="001F6A4B"/>
    <w:rsid w:val="001F7B64"/>
    <w:rsid w:val="00207DEE"/>
    <w:rsid w:val="0021164C"/>
    <w:rsid w:val="0022194D"/>
    <w:rsid w:val="00222648"/>
    <w:rsid w:val="0022546D"/>
    <w:rsid w:val="00226316"/>
    <w:rsid w:val="00230AF6"/>
    <w:rsid w:val="00231BE1"/>
    <w:rsid w:val="00234902"/>
    <w:rsid w:val="00235E8F"/>
    <w:rsid w:val="002406F2"/>
    <w:rsid w:val="002409D7"/>
    <w:rsid w:val="00240AAC"/>
    <w:rsid w:val="00241264"/>
    <w:rsid w:val="0024500D"/>
    <w:rsid w:val="00252C89"/>
    <w:rsid w:val="00255519"/>
    <w:rsid w:val="002566D3"/>
    <w:rsid w:val="00260223"/>
    <w:rsid w:val="00262DFE"/>
    <w:rsid w:val="00265D94"/>
    <w:rsid w:val="002733E3"/>
    <w:rsid w:val="00276149"/>
    <w:rsid w:val="00277535"/>
    <w:rsid w:val="00280651"/>
    <w:rsid w:val="00280845"/>
    <w:rsid w:val="00280D02"/>
    <w:rsid w:val="0028744B"/>
    <w:rsid w:val="00287D68"/>
    <w:rsid w:val="00291844"/>
    <w:rsid w:val="002A4C09"/>
    <w:rsid w:val="002A5D7D"/>
    <w:rsid w:val="002A700A"/>
    <w:rsid w:val="002B1684"/>
    <w:rsid w:val="002B1B4F"/>
    <w:rsid w:val="002C3B4C"/>
    <w:rsid w:val="002C7564"/>
    <w:rsid w:val="002D063B"/>
    <w:rsid w:val="002D4399"/>
    <w:rsid w:val="002D7856"/>
    <w:rsid w:val="002E009D"/>
    <w:rsid w:val="002E37EF"/>
    <w:rsid w:val="002E6E6E"/>
    <w:rsid w:val="002F180D"/>
    <w:rsid w:val="002F1937"/>
    <w:rsid w:val="002F1B7A"/>
    <w:rsid w:val="002F5210"/>
    <w:rsid w:val="002F5AF5"/>
    <w:rsid w:val="002F60F7"/>
    <w:rsid w:val="002F7F7C"/>
    <w:rsid w:val="003006F8"/>
    <w:rsid w:val="0030086D"/>
    <w:rsid w:val="00302CCA"/>
    <w:rsid w:val="0030373D"/>
    <w:rsid w:val="003059B4"/>
    <w:rsid w:val="00312A71"/>
    <w:rsid w:val="00313C95"/>
    <w:rsid w:val="00315E85"/>
    <w:rsid w:val="0031641D"/>
    <w:rsid w:val="00316FEF"/>
    <w:rsid w:val="0031710D"/>
    <w:rsid w:val="0031759A"/>
    <w:rsid w:val="00323FA4"/>
    <w:rsid w:val="0032685C"/>
    <w:rsid w:val="003321BC"/>
    <w:rsid w:val="0034551D"/>
    <w:rsid w:val="00345580"/>
    <w:rsid w:val="00353281"/>
    <w:rsid w:val="00356DED"/>
    <w:rsid w:val="003609AC"/>
    <w:rsid w:val="0036305F"/>
    <w:rsid w:val="00365E44"/>
    <w:rsid w:val="00377E5B"/>
    <w:rsid w:val="00380385"/>
    <w:rsid w:val="00385242"/>
    <w:rsid w:val="00387868"/>
    <w:rsid w:val="003929FF"/>
    <w:rsid w:val="00395A45"/>
    <w:rsid w:val="0039664D"/>
    <w:rsid w:val="00397B41"/>
    <w:rsid w:val="003A7F2B"/>
    <w:rsid w:val="003B04CD"/>
    <w:rsid w:val="003B3C06"/>
    <w:rsid w:val="003B69ED"/>
    <w:rsid w:val="003B76EC"/>
    <w:rsid w:val="003C3058"/>
    <w:rsid w:val="003C3D69"/>
    <w:rsid w:val="003C43EC"/>
    <w:rsid w:val="003C4839"/>
    <w:rsid w:val="003C5CF4"/>
    <w:rsid w:val="003C63EB"/>
    <w:rsid w:val="003C7345"/>
    <w:rsid w:val="003C76B9"/>
    <w:rsid w:val="003C7E46"/>
    <w:rsid w:val="003E21CE"/>
    <w:rsid w:val="003E54BB"/>
    <w:rsid w:val="003F0D34"/>
    <w:rsid w:val="003F3CB9"/>
    <w:rsid w:val="003F5539"/>
    <w:rsid w:val="003F7C5D"/>
    <w:rsid w:val="004000AA"/>
    <w:rsid w:val="00403161"/>
    <w:rsid w:val="00403903"/>
    <w:rsid w:val="004050A8"/>
    <w:rsid w:val="004057E9"/>
    <w:rsid w:val="00410596"/>
    <w:rsid w:val="00412529"/>
    <w:rsid w:val="0041304E"/>
    <w:rsid w:val="0041326C"/>
    <w:rsid w:val="0041370A"/>
    <w:rsid w:val="00415850"/>
    <w:rsid w:val="00421C6E"/>
    <w:rsid w:val="0042633A"/>
    <w:rsid w:val="00426E0C"/>
    <w:rsid w:val="00427CB8"/>
    <w:rsid w:val="00430F22"/>
    <w:rsid w:val="00431F1B"/>
    <w:rsid w:val="00432B13"/>
    <w:rsid w:val="00434EBC"/>
    <w:rsid w:val="00440888"/>
    <w:rsid w:val="00441701"/>
    <w:rsid w:val="004439F7"/>
    <w:rsid w:val="00443C96"/>
    <w:rsid w:val="00444220"/>
    <w:rsid w:val="00444D8E"/>
    <w:rsid w:val="00452F51"/>
    <w:rsid w:val="004530E2"/>
    <w:rsid w:val="00453464"/>
    <w:rsid w:val="004534B8"/>
    <w:rsid w:val="00454678"/>
    <w:rsid w:val="00461BAA"/>
    <w:rsid w:val="0046223C"/>
    <w:rsid w:val="00463E29"/>
    <w:rsid w:val="004641C4"/>
    <w:rsid w:val="004647DC"/>
    <w:rsid w:val="00466121"/>
    <w:rsid w:val="00474D5D"/>
    <w:rsid w:val="00474EA4"/>
    <w:rsid w:val="004775DE"/>
    <w:rsid w:val="00481AE5"/>
    <w:rsid w:val="0048365D"/>
    <w:rsid w:val="00483D12"/>
    <w:rsid w:val="00485508"/>
    <w:rsid w:val="00485684"/>
    <w:rsid w:val="00485D9F"/>
    <w:rsid w:val="004860D3"/>
    <w:rsid w:val="00486B67"/>
    <w:rsid w:val="00491866"/>
    <w:rsid w:val="0049279A"/>
    <w:rsid w:val="00492D26"/>
    <w:rsid w:val="00493577"/>
    <w:rsid w:val="004953A8"/>
    <w:rsid w:val="00496742"/>
    <w:rsid w:val="00497825"/>
    <w:rsid w:val="004A4244"/>
    <w:rsid w:val="004A6FD1"/>
    <w:rsid w:val="004B1EEE"/>
    <w:rsid w:val="004B7903"/>
    <w:rsid w:val="004C10CB"/>
    <w:rsid w:val="004C31DA"/>
    <w:rsid w:val="004D0953"/>
    <w:rsid w:val="004D2DF5"/>
    <w:rsid w:val="004D42F3"/>
    <w:rsid w:val="004D5372"/>
    <w:rsid w:val="004E0ABD"/>
    <w:rsid w:val="004E2BD0"/>
    <w:rsid w:val="004E2D68"/>
    <w:rsid w:val="004F4AFD"/>
    <w:rsid w:val="004F51E6"/>
    <w:rsid w:val="004F5AE3"/>
    <w:rsid w:val="004F654A"/>
    <w:rsid w:val="00500C59"/>
    <w:rsid w:val="00501B32"/>
    <w:rsid w:val="00501C52"/>
    <w:rsid w:val="005037DB"/>
    <w:rsid w:val="00510383"/>
    <w:rsid w:val="00511804"/>
    <w:rsid w:val="00512245"/>
    <w:rsid w:val="00512689"/>
    <w:rsid w:val="00514D38"/>
    <w:rsid w:val="005241E2"/>
    <w:rsid w:val="005252F7"/>
    <w:rsid w:val="00530AD5"/>
    <w:rsid w:val="00530F69"/>
    <w:rsid w:val="0053107E"/>
    <w:rsid w:val="00536CF3"/>
    <w:rsid w:val="0054143F"/>
    <w:rsid w:val="005426D8"/>
    <w:rsid w:val="00542AA0"/>
    <w:rsid w:val="00543AED"/>
    <w:rsid w:val="00545242"/>
    <w:rsid w:val="0054667C"/>
    <w:rsid w:val="0055285C"/>
    <w:rsid w:val="00552DFF"/>
    <w:rsid w:val="00552EDB"/>
    <w:rsid w:val="00554359"/>
    <w:rsid w:val="005612F7"/>
    <w:rsid w:val="00561E08"/>
    <w:rsid w:val="005629C4"/>
    <w:rsid w:val="00564BB1"/>
    <w:rsid w:val="005671F8"/>
    <w:rsid w:val="00575A9E"/>
    <w:rsid w:val="0057611C"/>
    <w:rsid w:val="005834B8"/>
    <w:rsid w:val="00584498"/>
    <w:rsid w:val="00584882"/>
    <w:rsid w:val="0059438D"/>
    <w:rsid w:val="00594B40"/>
    <w:rsid w:val="00595B75"/>
    <w:rsid w:val="005964DA"/>
    <w:rsid w:val="005A00B0"/>
    <w:rsid w:val="005A1051"/>
    <w:rsid w:val="005A55E6"/>
    <w:rsid w:val="005A7317"/>
    <w:rsid w:val="005B095E"/>
    <w:rsid w:val="005B1644"/>
    <w:rsid w:val="005B22D0"/>
    <w:rsid w:val="005B4977"/>
    <w:rsid w:val="005C1AED"/>
    <w:rsid w:val="005D42E6"/>
    <w:rsid w:val="005D48DE"/>
    <w:rsid w:val="005D51E0"/>
    <w:rsid w:val="005E14E1"/>
    <w:rsid w:val="005E1C4C"/>
    <w:rsid w:val="005E5D80"/>
    <w:rsid w:val="005E70C5"/>
    <w:rsid w:val="005F2299"/>
    <w:rsid w:val="005F2BE4"/>
    <w:rsid w:val="005F3586"/>
    <w:rsid w:val="005F3878"/>
    <w:rsid w:val="005F42E8"/>
    <w:rsid w:val="005F4DA1"/>
    <w:rsid w:val="005F6DBB"/>
    <w:rsid w:val="005F7463"/>
    <w:rsid w:val="00602AC6"/>
    <w:rsid w:val="00603D33"/>
    <w:rsid w:val="00604C6B"/>
    <w:rsid w:val="006070BD"/>
    <w:rsid w:val="00611887"/>
    <w:rsid w:val="006147A4"/>
    <w:rsid w:val="00617ADF"/>
    <w:rsid w:val="00627407"/>
    <w:rsid w:val="00627C10"/>
    <w:rsid w:val="006300C4"/>
    <w:rsid w:val="00631A2E"/>
    <w:rsid w:val="00631D4A"/>
    <w:rsid w:val="00636AD7"/>
    <w:rsid w:val="00637E70"/>
    <w:rsid w:val="00641816"/>
    <w:rsid w:val="00643E58"/>
    <w:rsid w:val="00644CEE"/>
    <w:rsid w:val="00647957"/>
    <w:rsid w:val="00647C92"/>
    <w:rsid w:val="00656AC1"/>
    <w:rsid w:val="00660635"/>
    <w:rsid w:val="00664B53"/>
    <w:rsid w:val="0066546A"/>
    <w:rsid w:val="00665821"/>
    <w:rsid w:val="00665AB9"/>
    <w:rsid w:val="00666BB2"/>
    <w:rsid w:val="006700DB"/>
    <w:rsid w:val="0067106B"/>
    <w:rsid w:val="00671819"/>
    <w:rsid w:val="00671F75"/>
    <w:rsid w:val="00685545"/>
    <w:rsid w:val="00691C69"/>
    <w:rsid w:val="006934EE"/>
    <w:rsid w:val="00694EF4"/>
    <w:rsid w:val="006971B2"/>
    <w:rsid w:val="006A01EB"/>
    <w:rsid w:val="006A5821"/>
    <w:rsid w:val="006A6C93"/>
    <w:rsid w:val="006B6C7E"/>
    <w:rsid w:val="006C2ACF"/>
    <w:rsid w:val="006C2DEF"/>
    <w:rsid w:val="006C3C76"/>
    <w:rsid w:val="006C6BE6"/>
    <w:rsid w:val="006C6C6D"/>
    <w:rsid w:val="006C6DCB"/>
    <w:rsid w:val="006D6CF3"/>
    <w:rsid w:val="006E19B5"/>
    <w:rsid w:val="006E1ED6"/>
    <w:rsid w:val="006E2705"/>
    <w:rsid w:val="006F3DD1"/>
    <w:rsid w:val="006F510E"/>
    <w:rsid w:val="006F5515"/>
    <w:rsid w:val="006F6378"/>
    <w:rsid w:val="00700121"/>
    <w:rsid w:val="00701EC2"/>
    <w:rsid w:val="00707C8D"/>
    <w:rsid w:val="00707D03"/>
    <w:rsid w:val="00710774"/>
    <w:rsid w:val="007114E4"/>
    <w:rsid w:val="007144C7"/>
    <w:rsid w:val="00716AE5"/>
    <w:rsid w:val="00722BF2"/>
    <w:rsid w:val="00722F02"/>
    <w:rsid w:val="00723AFF"/>
    <w:rsid w:val="00723E55"/>
    <w:rsid w:val="007275FD"/>
    <w:rsid w:val="00732A40"/>
    <w:rsid w:val="00733EA4"/>
    <w:rsid w:val="007342A9"/>
    <w:rsid w:val="007345FB"/>
    <w:rsid w:val="007358A3"/>
    <w:rsid w:val="00736073"/>
    <w:rsid w:val="00743D55"/>
    <w:rsid w:val="00744F04"/>
    <w:rsid w:val="00745205"/>
    <w:rsid w:val="007544CA"/>
    <w:rsid w:val="00754CDD"/>
    <w:rsid w:val="00757E21"/>
    <w:rsid w:val="00767036"/>
    <w:rsid w:val="007748B0"/>
    <w:rsid w:val="00774BC5"/>
    <w:rsid w:val="0077525C"/>
    <w:rsid w:val="00775663"/>
    <w:rsid w:val="007800FE"/>
    <w:rsid w:val="007805C9"/>
    <w:rsid w:val="00782C17"/>
    <w:rsid w:val="007851EE"/>
    <w:rsid w:val="007872C8"/>
    <w:rsid w:val="0079003E"/>
    <w:rsid w:val="00792575"/>
    <w:rsid w:val="007A0CAC"/>
    <w:rsid w:val="007A322B"/>
    <w:rsid w:val="007A3FFD"/>
    <w:rsid w:val="007A4FE5"/>
    <w:rsid w:val="007A6381"/>
    <w:rsid w:val="007A6BDA"/>
    <w:rsid w:val="007B23D5"/>
    <w:rsid w:val="007B4249"/>
    <w:rsid w:val="007B66CC"/>
    <w:rsid w:val="007C2C54"/>
    <w:rsid w:val="007C5789"/>
    <w:rsid w:val="007C6854"/>
    <w:rsid w:val="007C73FE"/>
    <w:rsid w:val="007D71B3"/>
    <w:rsid w:val="007D78EB"/>
    <w:rsid w:val="007E1A0E"/>
    <w:rsid w:val="007E3F7E"/>
    <w:rsid w:val="007E7BF9"/>
    <w:rsid w:val="007F10E0"/>
    <w:rsid w:val="007F15E3"/>
    <w:rsid w:val="00803BB7"/>
    <w:rsid w:val="00804979"/>
    <w:rsid w:val="00806E81"/>
    <w:rsid w:val="0080760B"/>
    <w:rsid w:val="00810B92"/>
    <w:rsid w:val="00813235"/>
    <w:rsid w:val="008136CF"/>
    <w:rsid w:val="00816866"/>
    <w:rsid w:val="0082489B"/>
    <w:rsid w:val="00830380"/>
    <w:rsid w:val="00831F57"/>
    <w:rsid w:val="008323F2"/>
    <w:rsid w:val="00833E0B"/>
    <w:rsid w:val="00834B49"/>
    <w:rsid w:val="00843F94"/>
    <w:rsid w:val="008458AD"/>
    <w:rsid w:val="00845FB0"/>
    <w:rsid w:val="00854028"/>
    <w:rsid w:val="00857786"/>
    <w:rsid w:val="00863396"/>
    <w:rsid w:val="00863D2A"/>
    <w:rsid w:val="0086481C"/>
    <w:rsid w:val="00871D06"/>
    <w:rsid w:val="00873D86"/>
    <w:rsid w:val="00876D50"/>
    <w:rsid w:val="00880C47"/>
    <w:rsid w:val="00886AAF"/>
    <w:rsid w:val="0089222F"/>
    <w:rsid w:val="0089448A"/>
    <w:rsid w:val="0089610D"/>
    <w:rsid w:val="008A4442"/>
    <w:rsid w:val="008A79BD"/>
    <w:rsid w:val="008B523D"/>
    <w:rsid w:val="008C432F"/>
    <w:rsid w:val="008C5327"/>
    <w:rsid w:val="008C7FE7"/>
    <w:rsid w:val="008D0598"/>
    <w:rsid w:val="008D2CD0"/>
    <w:rsid w:val="008D3BA7"/>
    <w:rsid w:val="008D3EE2"/>
    <w:rsid w:val="008E05BF"/>
    <w:rsid w:val="008E3745"/>
    <w:rsid w:val="008F1647"/>
    <w:rsid w:val="008F1FB8"/>
    <w:rsid w:val="00903CDC"/>
    <w:rsid w:val="00903D93"/>
    <w:rsid w:val="00904246"/>
    <w:rsid w:val="00906B12"/>
    <w:rsid w:val="009112E1"/>
    <w:rsid w:val="00912D96"/>
    <w:rsid w:val="009133E5"/>
    <w:rsid w:val="009156CB"/>
    <w:rsid w:val="00915AF5"/>
    <w:rsid w:val="00922FCA"/>
    <w:rsid w:val="0092444B"/>
    <w:rsid w:val="0092602A"/>
    <w:rsid w:val="009331C0"/>
    <w:rsid w:val="009407C7"/>
    <w:rsid w:val="009424DF"/>
    <w:rsid w:val="009440CD"/>
    <w:rsid w:val="0094546B"/>
    <w:rsid w:val="0094550C"/>
    <w:rsid w:val="00945FAF"/>
    <w:rsid w:val="0094727B"/>
    <w:rsid w:val="009527ED"/>
    <w:rsid w:val="00952CCA"/>
    <w:rsid w:val="0095462A"/>
    <w:rsid w:val="00961639"/>
    <w:rsid w:val="00962D50"/>
    <w:rsid w:val="009668E0"/>
    <w:rsid w:val="0097029D"/>
    <w:rsid w:val="00975DE2"/>
    <w:rsid w:val="00981C96"/>
    <w:rsid w:val="009824C0"/>
    <w:rsid w:val="00983074"/>
    <w:rsid w:val="00984B1A"/>
    <w:rsid w:val="0098538D"/>
    <w:rsid w:val="00985D89"/>
    <w:rsid w:val="00987EBA"/>
    <w:rsid w:val="00991CA1"/>
    <w:rsid w:val="00991DAC"/>
    <w:rsid w:val="0099361F"/>
    <w:rsid w:val="009A5360"/>
    <w:rsid w:val="009B1D08"/>
    <w:rsid w:val="009B2287"/>
    <w:rsid w:val="009B3800"/>
    <w:rsid w:val="009B5EC7"/>
    <w:rsid w:val="009C135B"/>
    <w:rsid w:val="009C19D3"/>
    <w:rsid w:val="009D0712"/>
    <w:rsid w:val="009D5070"/>
    <w:rsid w:val="009E0745"/>
    <w:rsid w:val="009E2DC2"/>
    <w:rsid w:val="009E314F"/>
    <w:rsid w:val="009E75AB"/>
    <w:rsid w:val="009F006F"/>
    <w:rsid w:val="009F0710"/>
    <w:rsid w:val="009F16FE"/>
    <w:rsid w:val="009F35D7"/>
    <w:rsid w:val="009F613F"/>
    <w:rsid w:val="00A07E12"/>
    <w:rsid w:val="00A12648"/>
    <w:rsid w:val="00A14E3C"/>
    <w:rsid w:val="00A163B4"/>
    <w:rsid w:val="00A2073C"/>
    <w:rsid w:val="00A20D81"/>
    <w:rsid w:val="00A228BF"/>
    <w:rsid w:val="00A241F3"/>
    <w:rsid w:val="00A24211"/>
    <w:rsid w:val="00A2488E"/>
    <w:rsid w:val="00A272D9"/>
    <w:rsid w:val="00A27F95"/>
    <w:rsid w:val="00A3474F"/>
    <w:rsid w:val="00A34BC5"/>
    <w:rsid w:val="00A36051"/>
    <w:rsid w:val="00A36099"/>
    <w:rsid w:val="00A376CE"/>
    <w:rsid w:val="00A37A52"/>
    <w:rsid w:val="00A40FAA"/>
    <w:rsid w:val="00A41928"/>
    <w:rsid w:val="00A43A97"/>
    <w:rsid w:val="00A462C4"/>
    <w:rsid w:val="00A53F14"/>
    <w:rsid w:val="00A54022"/>
    <w:rsid w:val="00A62484"/>
    <w:rsid w:val="00A73783"/>
    <w:rsid w:val="00A74574"/>
    <w:rsid w:val="00A74DC6"/>
    <w:rsid w:val="00A74EAA"/>
    <w:rsid w:val="00A75796"/>
    <w:rsid w:val="00A770E1"/>
    <w:rsid w:val="00A81ECC"/>
    <w:rsid w:val="00A9020B"/>
    <w:rsid w:val="00A909AD"/>
    <w:rsid w:val="00A92465"/>
    <w:rsid w:val="00A928BE"/>
    <w:rsid w:val="00A92E57"/>
    <w:rsid w:val="00AA097F"/>
    <w:rsid w:val="00AA0FB1"/>
    <w:rsid w:val="00AA150C"/>
    <w:rsid w:val="00AA3A43"/>
    <w:rsid w:val="00AA4968"/>
    <w:rsid w:val="00AA4CB0"/>
    <w:rsid w:val="00AA6829"/>
    <w:rsid w:val="00AA7C06"/>
    <w:rsid w:val="00AB0EA3"/>
    <w:rsid w:val="00AB11F1"/>
    <w:rsid w:val="00AB185E"/>
    <w:rsid w:val="00AB2730"/>
    <w:rsid w:val="00AB30EE"/>
    <w:rsid w:val="00AB4E6E"/>
    <w:rsid w:val="00AB7C6B"/>
    <w:rsid w:val="00AC32A9"/>
    <w:rsid w:val="00AC4F90"/>
    <w:rsid w:val="00AC5C03"/>
    <w:rsid w:val="00AC7876"/>
    <w:rsid w:val="00AD045B"/>
    <w:rsid w:val="00AD1B7F"/>
    <w:rsid w:val="00AD3C6E"/>
    <w:rsid w:val="00AD5499"/>
    <w:rsid w:val="00AD66BF"/>
    <w:rsid w:val="00AE71C7"/>
    <w:rsid w:val="00AF2C8F"/>
    <w:rsid w:val="00AF43A9"/>
    <w:rsid w:val="00AF4D6F"/>
    <w:rsid w:val="00AF4F06"/>
    <w:rsid w:val="00AF5DE4"/>
    <w:rsid w:val="00AF684D"/>
    <w:rsid w:val="00B006FB"/>
    <w:rsid w:val="00B02AB7"/>
    <w:rsid w:val="00B03D8F"/>
    <w:rsid w:val="00B071EA"/>
    <w:rsid w:val="00B10B24"/>
    <w:rsid w:val="00B1313F"/>
    <w:rsid w:val="00B1650D"/>
    <w:rsid w:val="00B178C5"/>
    <w:rsid w:val="00B17BC6"/>
    <w:rsid w:val="00B225EA"/>
    <w:rsid w:val="00B2384E"/>
    <w:rsid w:val="00B24A89"/>
    <w:rsid w:val="00B256C8"/>
    <w:rsid w:val="00B31A54"/>
    <w:rsid w:val="00B34B81"/>
    <w:rsid w:val="00B47C65"/>
    <w:rsid w:val="00B51B88"/>
    <w:rsid w:val="00B54657"/>
    <w:rsid w:val="00B56F43"/>
    <w:rsid w:val="00B574AB"/>
    <w:rsid w:val="00B613F5"/>
    <w:rsid w:val="00B631F0"/>
    <w:rsid w:val="00B63543"/>
    <w:rsid w:val="00B66171"/>
    <w:rsid w:val="00B67725"/>
    <w:rsid w:val="00B73537"/>
    <w:rsid w:val="00B73D4A"/>
    <w:rsid w:val="00B76E8B"/>
    <w:rsid w:val="00B81430"/>
    <w:rsid w:val="00B81B92"/>
    <w:rsid w:val="00B8396F"/>
    <w:rsid w:val="00B83F0E"/>
    <w:rsid w:val="00B84018"/>
    <w:rsid w:val="00B848D9"/>
    <w:rsid w:val="00B9077D"/>
    <w:rsid w:val="00B90859"/>
    <w:rsid w:val="00B91C9A"/>
    <w:rsid w:val="00B92FEF"/>
    <w:rsid w:val="00B943AB"/>
    <w:rsid w:val="00B95E04"/>
    <w:rsid w:val="00BA36CF"/>
    <w:rsid w:val="00BA6EDA"/>
    <w:rsid w:val="00BB0FE3"/>
    <w:rsid w:val="00BB682F"/>
    <w:rsid w:val="00BC0FC0"/>
    <w:rsid w:val="00BC152E"/>
    <w:rsid w:val="00BC38E6"/>
    <w:rsid w:val="00BD09FC"/>
    <w:rsid w:val="00BD14F0"/>
    <w:rsid w:val="00BD16E3"/>
    <w:rsid w:val="00BD1844"/>
    <w:rsid w:val="00BD2419"/>
    <w:rsid w:val="00BD3231"/>
    <w:rsid w:val="00BE1AEF"/>
    <w:rsid w:val="00BF0050"/>
    <w:rsid w:val="00BF0AA9"/>
    <w:rsid w:val="00BF2102"/>
    <w:rsid w:val="00BF276D"/>
    <w:rsid w:val="00BF3325"/>
    <w:rsid w:val="00BF4790"/>
    <w:rsid w:val="00BF62CF"/>
    <w:rsid w:val="00C05AA0"/>
    <w:rsid w:val="00C1054F"/>
    <w:rsid w:val="00C1090B"/>
    <w:rsid w:val="00C153E0"/>
    <w:rsid w:val="00C2488B"/>
    <w:rsid w:val="00C27E60"/>
    <w:rsid w:val="00C30C1B"/>
    <w:rsid w:val="00C3484A"/>
    <w:rsid w:val="00C3624A"/>
    <w:rsid w:val="00C37A23"/>
    <w:rsid w:val="00C45DBD"/>
    <w:rsid w:val="00C519E0"/>
    <w:rsid w:val="00C53A0D"/>
    <w:rsid w:val="00C53A95"/>
    <w:rsid w:val="00C54A56"/>
    <w:rsid w:val="00C54C4E"/>
    <w:rsid w:val="00C57B93"/>
    <w:rsid w:val="00C609F2"/>
    <w:rsid w:val="00C60AA6"/>
    <w:rsid w:val="00C60CE5"/>
    <w:rsid w:val="00C62542"/>
    <w:rsid w:val="00C6369A"/>
    <w:rsid w:val="00C66E7E"/>
    <w:rsid w:val="00C70D18"/>
    <w:rsid w:val="00C70DDE"/>
    <w:rsid w:val="00C73BE0"/>
    <w:rsid w:val="00C7466C"/>
    <w:rsid w:val="00C77239"/>
    <w:rsid w:val="00C773F1"/>
    <w:rsid w:val="00C82DF1"/>
    <w:rsid w:val="00C8526A"/>
    <w:rsid w:val="00C9299F"/>
    <w:rsid w:val="00C96805"/>
    <w:rsid w:val="00C970A3"/>
    <w:rsid w:val="00CA263B"/>
    <w:rsid w:val="00CA3521"/>
    <w:rsid w:val="00CA3B83"/>
    <w:rsid w:val="00CA3EC4"/>
    <w:rsid w:val="00CA6B77"/>
    <w:rsid w:val="00CA6EF9"/>
    <w:rsid w:val="00CB056C"/>
    <w:rsid w:val="00CB21EA"/>
    <w:rsid w:val="00CB765A"/>
    <w:rsid w:val="00CC52D9"/>
    <w:rsid w:val="00CC7313"/>
    <w:rsid w:val="00CD03B3"/>
    <w:rsid w:val="00CD2499"/>
    <w:rsid w:val="00CD2C49"/>
    <w:rsid w:val="00CD41BB"/>
    <w:rsid w:val="00CD50D5"/>
    <w:rsid w:val="00CD5650"/>
    <w:rsid w:val="00CE12EB"/>
    <w:rsid w:val="00CE219D"/>
    <w:rsid w:val="00CE3760"/>
    <w:rsid w:val="00CE4D6C"/>
    <w:rsid w:val="00CF1700"/>
    <w:rsid w:val="00D02FE4"/>
    <w:rsid w:val="00D05B86"/>
    <w:rsid w:val="00D06FC7"/>
    <w:rsid w:val="00D1611C"/>
    <w:rsid w:val="00D24322"/>
    <w:rsid w:val="00D25D26"/>
    <w:rsid w:val="00D30210"/>
    <w:rsid w:val="00D324CC"/>
    <w:rsid w:val="00D32CEF"/>
    <w:rsid w:val="00D45567"/>
    <w:rsid w:val="00D45EB9"/>
    <w:rsid w:val="00D47063"/>
    <w:rsid w:val="00D549DE"/>
    <w:rsid w:val="00D64FB6"/>
    <w:rsid w:val="00D6538C"/>
    <w:rsid w:val="00D654E8"/>
    <w:rsid w:val="00D66B14"/>
    <w:rsid w:val="00D66F03"/>
    <w:rsid w:val="00D67684"/>
    <w:rsid w:val="00D67A05"/>
    <w:rsid w:val="00D72B77"/>
    <w:rsid w:val="00D74518"/>
    <w:rsid w:val="00D846CE"/>
    <w:rsid w:val="00D86B7A"/>
    <w:rsid w:val="00D914DF"/>
    <w:rsid w:val="00DA1348"/>
    <w:rsid w:val="00DA3A2F"/>
    <w:rsid w:val="00DA44D4"/>
    <w:rsid w:val="00DA5BA3"/>
    <w:rsid w:val="00DA6406"/>
    <w:rsid w:val="00DA6DFD"/>
    <w:rsid w:val="00DB2191"/>
    <w:rsid w:val="00DB64F2"/>
    <w:rsid w:val="00DC4D17"/>
    <w:rsid w:val="00DD0F3F"/>
    <w:rsid w:val="00DD1922"/>
    <w:rsid w:val="00DD2E37"/>
    <w:rsid w:val="00DD6A07"/>
    <w:rsid w:val="00DD7820"/>
    <w:rsid w:val="00DE0493"/>
    <w:rsid w:val="00DE2604"/>
    <w:rsid w:val="00DE3923"/>
    <w:rsid w:val="00DE7CE9"/>
    <w:rsid w:val="00DF1490"/>
    <w:rsid w:val="00DF2DAE"/>
    <w:rsid w:val="00DF544A"/>
    <w:rsid w:val="00DF7682"/>
    <w:rsid w:val="00DF7977"/>
    <w:rsid w:val="00E008E5"/>
    <w:rsid w:val="00E07FAA"/>
    <w:rsid w:val="00E10852"/>
    <w:rsid w:val="00E117C9"/>
    <w:rsid w:val="00E1482A"/>
    <w:rsid w:val="00E1628B"/>
    <w:rsid w:val="00E2242E"/>
    <w:rsid w:val="00E224F4"/>
    <w:rsid w:val="00E229CD"/>
    <w:rsid w:val="00E23411"/>
    <w:rsid w:val="00E23F1A"/>
    <w:rsid w:val="00E25120"/>
    <w:rsid w:val="00E269DD"/>
    <w:rsid w:val="00E35C15"/>
    <w:rsid w:val="00E40F64"/>
    <w:rsid w:val="00E43EEA"/>
    <w:rsid w:val="00E50FC2"/>
    <w:rsid w:val="00E51E3D"/>
    <w:rsid w:val="00E5439D"/>
    <w:rsid w:val="00E56765"/>
    <w:rsid w:val="00E60DE3"/>
    <w:rsid w:val="00E61083"/>
    <w:rsid w:val="00E62D70"/>
    <w:rsid w:val="00E64792"/>
    <w:rsid w:val="00E65622"/>
    <w:rsid w:val="00E67F15"/>
    <w:rsid w:val="00E750BE"/>
    <w:rsid w:val="00E83603"/>
    <w:rsid w:val="00E83BBE"/>
    <w:rsid w:val="00E8603A"/>
    <w:rsid w:val="00E8794C"/>
    <w:rsid w:val="00E91A40"/>
    <w:rsid w:val="00E9358B"/>
    <w:rsid w:val="00E9481A"/>
    <w:rsid w:val="00E97B8F"/>
    <w:rsid w:val="00EA2B45"/>
    <w:rsid w:val="00EA3E3C"/>
    <w:rsid w:val="00EA528B"/>
    <w:rsid w:val="00EA7716"/>
    <w:rsid w:val="00EB04BB"/>
    <w:rsid w:val="00EC114B"/>
    <w:rsid w:val="00EC40E5"/>
    <w:rsid w:val="00EC464C"/>
    <w:rsid w:val="00EC5434"/>
    <w:rsid w:val="00EC6B95"/>
    <w:rsid w:val="00ED2003"/>
    <w:rsid w:val="00ED492A"/>
    <w:rsid w:val="00ED5D95"/>
    <w:rsid w:val="00ED635A"/>
    <w:rsid w:val="00ED6506"/>
    <w:rsid w:val="00ED65CB"/>
    <w:rsid w:val="00ED78DA"/>
    <w:rsid w:val="00ED7B7B"/>
    <w:rsid w:val="00EE4D7D"/>
    <w:rsid w:val="00EF0DC0"/>
    <w:rsid w:val="00EF1D95"/>
    <w:rsid w:val="00EF2CA5"/>
    <w:rsid w:val="00EF51E9"/>
    <w:rsid w:val="00F00EC0"/>
    <w:rsid w:val="00F05027"/>
    <w:rsid w:val="00F05F78"/>
    <w:rsid w:val="00F06C10"/>
    <w:rsid w:val="00F139B2"/>
    <w:rsid w:val="00F202CD"/>
    <w:rsid w:val="00F250CF"/>
    <w:rsid w:val="00F30751"/>
    <w:rsid w:val="00F30B44"/>
    <w:rsid w:val="00F30FFE"/>
    <w:rsid w:val="00F3354F"/>
    <w:rsid w:val="00F343A5"/>
    <w:rsid w:val="00F35B4F"/>
    <w:rsid w:val="00F3627E"/>
    <w:rsid w:val="00F41013"/>
    <w:rsid w:val="00F43DD5"/>
    <w:rsid w:val="00F51ADB"/>
    <w:rsid w:val="00F52A98"/>
    <w:rsid w:val="00F542B3"/>
    <w:rsid w:val="00F5667C"/>
    <w:rsid w:val="00F575AB"/>
    <w:rsid w:val="00F576F8"/>
    <w:rsid w:val="00F62E6D"/>
    <w:rsid w:val="00F6576B"/>
    <w:rsid w:val="00F6609F"/>
    <w:rsid w:val="00F67DC2"/>
    <w:rsid w:val="00F722DE"/>
    <w:rsid w:val="00F74CF2"/>
    <w:rsid w:val="00F76EBB"/>
    <w:rsid w:val="00F77646"/>
    <w:rsid w:val="00F83B52"/>
    <w:rsid w:val="00F8552F"/>
    <w:rsid w:val="00F87040"/>
    <w:rsid w:val="00F871BA"/>
    <w:rsid w:val="00F93C7F"/>
    <w:rsid w:val="00F951F4"/>
    <w:rsid w:val="00FA181A"/>
    <w:rsid w:val="00FA36D0"/>
    <w:rsid w:val="00FA4FE7"/>
    <w:rsid w:val="00FA5309"/>
    <w:rsid w:val="00FA60DA"/>
    <w:rsid w:val="00FB013D"/>
    <w:rsid w:val="00FB09D7"/>
    <w:rsid w:val="00FB1C23"/>
    <w:rsid w:val="00FB1CEA"/>
    <w:rsid w:val="00FB44A3"/>
    <w:rsid w:val="00FB4936"/>
    <w:rsid w:val="00FB4C92"/>
    <w:rsid w:val="00FB5687"/>
    <w:rsid w:val="00FB7660"/>
    <w:rsid w:val="00FB793F"/>
    <w:rsid w:val="00FC1329"/>
    <w:rsid w:val="00FD55CD"/>
    <w:rsid w:val="00FE4792"/>
    <w:rsid w:val="00FE48DA"/>
    <w:rsid w:val="00FE6ED4"/>
    <w:rsid w:val="00FF7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00,#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0BE"/>
  </w:style>
  <w:style w:type="paragraph" w:styleId="Heading1">
    <w:name w:val="heading 1"/>
    <w:basedOn w:val="Normal"/>
    <w:next w:val="Normal"/>
    <w:qFormat/>
    <w:rsid w:val="00E750BE"/>
    <w:pPr>
      <w:keepNext/>
      <w:ind w:left="2790"/>
      <w:jc w:val="center"/>
      <w:outlineLvl w:val="0"/>
    </w:pPr>
    <w:rPr>
      <w:b/>
      <w:color w:val="808080"/>
      <w:sz w:val="24"/>
    </w:rPr>
  </w:style>
  <w:style w:type="paragraph" w:styleId="Heading2">
    <w:name w:val="heading 2"/>
    <w:basedOn w:val="Normal"/>
    <w:next w:val="Normal"/>
    <w:qFormat/>
    <w:rsid w:val="00E750BE"/>
    <w:pPr>
      <w:keepNext/>
      <w:ind w:left="2790"/>
      <w:outlineLvl w:val="1"/>
    </w:pPr>
    <w:rPr>
      <w:b/>
      <w:sz w:val="24"/>
    </w:rPr>
  </w:style>
  <w:style w:type="paragraph" w:styleId="Heading3">
    <w:name w:val="heading 3"/>
    <w:basedOn w:val="Normal"/>
    <w:next w:val="Normal"/>
    <w:qFormat/>
    <w:rsid w:val="00E750BE"/>
    <w:pPr>
      <w:keepNext/>
      <w:jc w:val="both"/>
      <w:outlineLvl w:val="2"/>
    </w:pPr>
    <w:rPr>
      <w:b/>
      <w:bCs/>
      <w:sz w:val="22"/>
    </w:rPr>
  </w:style>
  <w:style w:type="paragraph" w:styleId="Heading4">
    <w:name w:val="heading 4"/>
    <w:basedOn w:val="Normal"/>
    <w:next w:val="Normal"/>
    <w:qFormat/>
    <w:rsid w:val="00E750BE"/>
    <w:pPr>
      <w:keepNext/>
      <w:jc w:val="right"/>
      <w:outlineLvl w:val="3"/>
    </w:pPr>
    <w:rPr>
      <w:b/>
      <w:color w:val="C0C0C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0BE"/>
    <w:rPr>
      <w:sz w:val="22"/>
    </w:rPr>
  </w:style>
  <w:style w:type="paragraph" w:styleId="BodyText2">
    <w:name w:val="Body Text 2"/>
    <w:basedOn w:val="Normal"/>
    <w:rsid w:val="00E750BE"/>
    <w:pPr>
      <w:jc w:val="both"/>
    </w:pPr>
    <w:rPr>
      <w:sz w:val="22"/>
    </w:rPr>
  </w:style>
  <w:style w:type="paragraph" w:styleId="BodyText3">
    <w:name w:val="Body Text 3"/>
    <w:basedOn w:val="Normal"/>
    <w:rsid w:val="00E750BE"/>
    <w:pPr>
      <w:jc w:val="both"/>
    </w:pPr>
    <w:rPr>
      <w:color w:val="000000"/>
      <w:sz w:val="22"/>
    </w:rPr>
  </w:style>
  <w:style w:type="paragraph" w:styleId="BlockText">
    <w:name w:val="Block Text"/>
    <w:basedOn w:val="Normal"/>
    <w:rsid w:val="00E750BE"/>
    <w:pPr>
      <w:ind w:left="720" w:right="630"/>
      <w:jc w:val="both"/>
    </w:pPr>
  </w:style>
  <w:style w:type="paragraph" w:customStyle="1" w:styleId="centerbold">
    <w:name w:val="center bold"/>
    <w:aliases w:val="cbo"/>
    <w:basedOn w:val="Normal"/>
    <w:rsid w:val="004D42F3"/>
    <w:pPr>
      <w:jc w:val="center"/>
    </w:pPr>
    <w:rPr>
      <w:rFonts w:ascii="Book Antiqua" w:hAnsi="Book Antiqua"/>
      <w:b/>
      <w:sz w:val="24"/>
    </w:rPr>
  </w:style>
  <w:style w:type="paragraph" w:styleId="BodyTextIndent">
    <w:name w:val="Body Text Indent"/>
    <w:basedOn w:val="Normal"/>
    <w:rsid w:val="00EC464C"/>
    <w:pPr>
      <w:spacing w:after="120"/>
      <w:ind w:left="360"/>
    </w:pPr>
  </w:style>
  <w:style w:type="paragraph" w:styleId="Header">
    <w:name w:val="header"/>
    <w:basedOn w:val="Normal"/>
    <w:rsid w:val="003609AC"/>
    <w:pPr>
      <w:tabs>
        <w:tab w:val="center" w:pos="4320"/>
        <w:tab w:val="right" w:pos="8640"/>
      </w:tabs>
    </w:pPr>
  </w:style>
  <w:style w:type="paragraph" w:styleId="Footer">
    <w:name w:val="footer"/>
    <w:basedOn w:val="Normal"/>
    <w:rsid w:val="003609AC"/>
    <w:pPr>
      <w:tabs>
        <w:tab w:val="center" w:pos="4320"/>
        <w:tab w:val="right" w:pos="8640"/>
      </w:tabs>
    </w:pPr>
  </w:style>
  <w:style w:type="table" w:styleId="TableGrid">
    <w:name w:val="Table Grid"/>
    <w:basedOn w:val="TableNormal"/>
    <w:rsid w:val="00B95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05B86"/>
    <w:rPr>
      <w:rFonts w:ascii="Tahoma" w:hAnsi="Tahoma" w:cs="Tahoma"/>
      <w:sz w:val="16"/>
      <w:szCs w:val="16"/>
    </w:rPr>
  </w:style>
  <w:style w:type="character" w:styleId="CommentReference">
    <w:name w:val="annotation reference"/>
    <w:basedOn w:val="DefaultParagraphFont"/>
    <w:semiHidden/>
    <w:rsid w:val="00C1090B"/>
    <w:rPr>
      <w:sz w:val="16"/>
      <w:szCs w:val="16"/>
    </w:rPr>
  </w:style>
  <w:style w:type="paragraph" w:styleId="CommentText">
    <w:name w:val="annotation text"/>
    <w:basedOn w:val="Normal"/>
    <w:semiHidden/>
    <w:rsid w:val="00C1090B"/>
  </w:style>
  <w:style w:type="paragraph" w:styleId="CommentSubject">
    <w:name w:val="annotation subject"/>
    <w:basedOn w:val="CommentText"/>
    <w:next w:val="CommentText"/>
    <w:semiHidden/>
    <w:rsid w:val="00C1090B"/>
    <w:rPr>
      <w:b/>
      <w:bCs/>
    </w:rPr>
  </w:style>
  <w:style w:type="paragraph" w:styleId="FootnoteText">
    <w:name w:val="footnote text"/>
    <w:basedOn w:val="Normal"/>
    <w:semiHidden/>
    <w:rsid w:val="00666BB2"/>
  </w:style>
  <w:style w:type="character" w:styleId="FootnoteReference">
    <w:name w:val="footnote reference"/>
    <w:basedOn w:val="DefaultParagraphFont"/>
    <w:semiHidden/>
    <w:rsid w:val="00666BB2"/>
    <w:rPr>
      <w:vertAlign w:val="superscript"/>
    </w:rPr>
  </w:style>
  <w:style w:type="paragraph" w:styleId="PlainText">
    <w:name w:val="Plain Text"/>
    <w:basedOn w:val="Normal"/>
    <w:rsid w:val="00AD3C6E"/>
  </w:style>
  <w:style w:type="character" w:styleId="Hyperlink">
    <w:name w:val="Hyperlink"/>
    <w:basedOn w:val="DefaultParagraphFont"/>
    <w:rsid w:val="009F0710"/>
    <w:rPr>
      <w:color w:val="0000FF"/>
      <w:u w:val="single"/>
    </w:rPr>
  </w:style>
  <w:style w:type="character" w:styleId="PageNumber">
    <w:name w:val="page number"/>
    <w:basedOn w:val="DefaultParagraphFont"/>
    <w:rsid w:val="00BA36CF"/>
  </w:style>
  <w:style w:type="paragraph" w:styleId="DocumentMap">
    <w:name w:val="Document Map"/>
    <w:basedOn w:val="Normal"/>
    <w:semiHidden/>
    <w:rsid w:val="009E75AB"/>
    <w:pPr>
      <w:shd w:val="clear" w:color="auto" w:fill="000080"/>
    </w:pPr>
    <w:rPr>
      <w:rFonts w:ascii="Tahoma" w:hAnsi="Tahoma" w:cs="Tahoma"/>
    </w:rPr>
  </w:style>
  <w:style w:type="paragraph" w:customStyle="1" w:styleId="1Char">
    <w:name w:val="1 Char"/>
    <w:basedOn w:val="Normal"/>
    <w:semiHidden/>
    <w:rsid w:val="0082489B"/>
    <w:pPr>
      <w:spacing w:after="160" w:line="240" w:lineRule="exact"/>
    </w:pPr>
    <w:rPr>
      <w:sz w:val="24"/>
      <w:szCs w:val="24"/>
    </w:rPr>
  </w:style>
  <w:style w:type="paragraph" w:customStyle="1" w:styleId="Char5">
    <w:name w:val="Char5"/>
    <w:basedOn w:val="Normal"/>
    <w:semiHidden/>
    <w:rsid w:val="00595B75"/>
    <w:pPr>
      <w:spacing w:after="160" w:line="240" w:lineRule="exact"/>
    </w:pPr>
    <w:rPr>
      <w:sz w:val="24"/>
      <w:szCs w:val="24"/>
    </w:rPr>
  </w:style>
  <w:style w:type="paragraph" w:customStyle="1" w:styleId="Char">
    <w:name w:val="Char"/>
    <w:basedOn w:val="Normal"/>
    <w:semiHidden/>
    <w:rsid w:val="000A176A"/>
    <w:pPr>
      <w:spacing w:after="160" w:line="240" w:lineRule="exact"/>
    </w:pPr>
    <w:rPr>
      <w:sz w:val="24"/>
      <w:szCs w:val="24"/>
    </w:rPr>
  </w:style>
  <w:style w:type="paragraph" w:customStyle="1" w:styleId="Text">
    <w:name w:val="Text"/>
    <w:basedOn w:val="Normal"/>
    <w:link w:val="TextChar"/>
    <w:rsid w:val="003F0D34"/>
    <w:pPr>
      <w:spacing w:after="120"/>
    </w:pPr>
    <w:rPr>
      <w:rFonts w:ascii="Arial" w:hAnsi="Arial"/>
      <w:color w:val="000000"/>
      <w:sz w:val="24"/>
      <w:szCs w:val="24"/>
    </w:rPr>
  </w:style>
  <w:style w:type="character" w:customStyle="1" w:styleId="TextChar">
    <w:name w:val="Text Char"/>
    <w:basedOn w:val="DefaultParagraphFont"/>
    <w:link w:val="Text"/>
    <w:rsid w:val="003F0D34"/>
    <w:rPr>
      <w:rFonts w:ascii="Arial" w:hAnsi="Arial"/>
      <w:color w:val="000000"/>
      <w:sz w:val="24"/>
      <w:szCs w:val="24"/>
    </w:rPr>
  </w:style>
  <w:style w:type="paragraph" w:styleId="ListParagraph">
    <w:name w:val="List Paragraph"/>
    <w:basedOn w:val="Normal"/>
    <w:uiPriority w:val="34"/>
    <w:qFormat/>
    <w:rsid w:val="002F7F7C"/>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0BE"/>
  </w:style>
  <w:style w:type="paragraph" w:styleId="Heading1">
    <w:name w:val="heading 1"/>
    <w:basedOn w:val="Normal"/>
    <w:next w:val="Normal"/>
    <w:qFormat/>
    <w:rsid w:val="00E750BE"/>
    <w:pPr>
      <w:keepNext/>
      <w:ind w:left="2790"/>
      <w:jc w:val="center"/>
      <w:outlineLvl w:val="0"/>
    </w:pPr>
    <w:rPr>
      <w:b/>
      <w:color w:val="808080"/>
      <w:sz w:val="24"/>
    </w:rPr>
  </w:style>
  <w:style w:type="paragraph" w:styleId="Heading2">
    <w:name w:val="heading 2"/>
    <w:basedOn w:val="Normal"/>
    <w:next w:val="Normal"/>
    <w:qFormat/>
    <w:rsid w:val="00E750BE"/>
    <w:pPr>
      <w:keepNext/>
      <w:ind w:left="2790"/>
      <w:outlineLvl w:val="1"/>
    </w:pPr>
    <w:rPr>
      <w:b/>
      <w:sz w:val="24"/>
    </w:rPr>
  </w:style>
  <w:style w:type="paragraph" w:styleId="Heading3">
    <w:name w:val="heading 3"/>
    <w:basedOn w:val="Normal"/>
    <w:next w:val="Normal"/>
    <w:qFormat/>
    <w:rsid w:val="00E750BE"/>
    <w:pPr>
      <w:keepNext/>
      <w:jc w:val="both"/>
      <w:outlineLvl w:val="2"/>
    </w:pPr>
    <w:rPr>
      <w:b/>
      <w:bCs/>
      <w:sz w:val="22"/>
    </w:rPr>
  </w:style>
  <w:style w:type="paragraph" w:styleId="Heading4">
    <w:name w:val="heading 4"/>
    <w:basedOn w:val="Normal"/>
    <w:next w:val="Normal"/>
    <w:qFormat/>
    <w:rsid w:val="00E750BE"/>
    <w:pPr>
      <w:keepNext/>
      <w:jc w:val="right"/>
      <w:outlineLvl w:val="3"/>
    </w:pPr>
    <w:rPr>
      <w:b/>
      <w:color w:val="C0C0C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0BE"/>
    <w:rPr>
      <w:sz w:val="22"/>
    </w:rPr>
  </w:style>
  <w:style w:type="paragraph" w:styleId="BodyText2">
    <w:name w:val="Body Text 2"/>
    <w:basedOn w:val="Normal"/>
    <w:rsid w:val="00E750BE"/>
    <w:pPr>
      <w:jc w:val="both"/>
    </w:pPr>
    <w:rPr>
      <w:sz w:val="22"/>
    </w:rPr>
  </w:style>
  <w:style w:type="paragraph" w:styleId="BodyText3">
    <w:name w:val="Body Text 3"/>
    <w:basedOn w:val="Normal"/>
    <w:rsid w:val="00E750BE"/>
    <w:pPr>
      <w:jc w:val="both"/>
    </w:pPr>
    <w:rPr>
      <w:color w:val="000000"/>
      <w:sz w:val="22"/>
    </w:rPr>
  </w:style>
  <w:style w:type="paragraph" w:styleId="BlockText">
    <w:name w:val="Block Text"/>
    <w:basedOn w:val="Normal"/>
    <w:rsid w:val="00E750BE"/>
    <w:pPr>
      <w:ind w:left="720" w:right="630"/>
      <w:jc w:val="both"/>
    </w:pPr>
  </w:style>
  <w:style w:type="paragraph" w:customStyle="1" w:styleId="centerbold">
    <w:name w:val="center bold"/>
    <w:aliases w:val="cbo"/>
    <w:basedOn w:val="Normal"/>
    <w:rsid w:val="004D42F3"/>
    <w:pPr>
      <w:jc w:val="center"/>
    </w:pPr>
    <w:rPr>
      <w:rFonts w:ascii="Book Antiqua" w:hAnsi="Book Antiqua"/>
      <w:b/>
      <w:sz w:val="24"/>
    </w:rPr>
  </w:style>
  <w:style w:type="paragraph" w:styleId="BodyTextIndent">
    <w:name w:val="Body Text Indent"/>
    <w:basedOn w:val="Normal"/>
    <w:rsid w:val="00EC464C"/>
    <w:pPr>
      <w:spacing w:after="120"/>
      <w:ind w:left="360"/>
    </w:pPr>
  </w:style>
  <w:style w:type="paragraph" w:styleId="Header">
    <w:name w:val="header"/>
    <w:basedOn w:val="Normal"/>
    <w:rsid w:val="003609AC"/>
    <w:pPr>
      <w:tabs>
        <w:tab w:val="center" w:pos="4320"/>
        <w:tab w:val="right" w:pos="8640"/>
      </w:tabs>
    </w:pPr>
  </w:style>
  <w:style w:type="paragraph" w:styleId="Footer">
    <w:name w:val="footer"/>
    <w:basedOn w:val="Normal"/>
    <w:rsid w:val="003609AC"/>
    <w:pPr>
      <w:tabs>
        <w:tab w:val="center" w:pos="4320"/>
        <w:tab w:val="right" w:pos="8640"/>
      </w:tabs>
    </w:pPr>
  </w:style>
  <w:style w:type="table" w:styleId="TableGrid">
    <w:name w:val="Table Grid"/>
    <w:basedOn w:val="TableNormal"/>
    <w:rsid w:val="00B95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05B86"/>
    <w:rPr>
      <w:rFonts w:ascii="Tahoma" w:hAnsi="Tahoma" w:cs="Tahoma"/>
      <w:sz w:val="16"/>
      <w:szCs w:val="16"/>
    </w:rPr>
  </w:style>
  <w:style w:type="character" w:styleId="CommentReference">
    <w:name w:val="annotation reference"/>
    <w:basedOn w:val="DefaultParagraphFont"/>
    <w:semiHidden/>
    <w:rsid w:val="00C1090B"/>
    <w:rPr>
      <w:sz w:val="16"/>
      <w:szCs w:val="16"/>
    </w:rPr>
  </w:style>
  <w:style w:type="paragraph" w:styleId="CommentText">
    <w:name w:val="annotation text"/>
    <w:basedOn w:val="Normal"/>
    <w:semiHidden/>
    <w:rsid w:val="00C1090B"/>
  </w:style>
  <w:style w:type="paragraph" w:styleId="CommentSubject">
    <w:name w:val="annotation subject"/>
    <w:basedOn w:val="CommentText"/>
    <w:next w:val="CommentText"/>
    <w:semiHidden/>
    <w:rsid w:val="00C1090B"/>
    <w:rPr>
      <w:b/>
      <w:bCs/>
    </w:rPr>
  </w:style>
  <w:style w:type="paragraph" w:styleId="FootnoteText">
    <w:name w:val="footnote text"/>
    <w:basedOn w:val="Normal"/>
    <w:semiHidden/>
    <w:rsid w:val="00666BB2"/>
  </w:style>
  <w:style w:type="character" w:styleId="FootnoteReference">
    <w:name w:val="footnote reference"/>
    <w:basedOn w:val="DefaultParagraphFont"/>
    <w:semiHidden/>
    <w:rsid w:val="00666BB2"/>
    <w:rPr>
      <w:vertAlign w:val="superscript"/>
    </w:rPr>
  </w:style>
  <w:style w:type="paragraph" w:styleId="PlainText">
    <w:name w:val="Plain Text"/>
    <w:basedOn w:val="Normal"/>
    <w:rsid w:val="00AD3C6E"/>
  </w:style>
  <w:style w:type="character" w:styleId="Hyperlink">
    <w:name w:val="Hyperlink"/>
    <w:basedOn w:val="DefaultParagraphFont"/>
    <w:rsid w:val="009F0710"/>
    <w:rPr>
      <w:color w:val="0000FF"/>
      <w:u w:val="single"/>
    </w:rPr>
  </w:style>
  <w:style w:type="character" w:styleId="PageNumber">
    <w:name w:val="page number"/>
    <w:basedOn w:val="DefaultParagraphFont"/>
    <w:rsid w:val="00BA36CF"/>
  </w:style>
  <w:style w:type="paragraph" w:styleId="DocumentMap">
    <w:name w:val="Document Map"/>
    <w:basedOn w:val="Normal"/>
    <w:semiHidden/>
    <w:rsid w:val="009E75AB"/>
    <w:pPr>
      <w:shd w:val="clear" w:color="auto" w:fill="000080"/>
    </w:pPr>
    <w:rPr>
      <w:rFonts w:ascii="Tahoma" w:hAnsi="Tahoma" w:cs="Tahoma"/>
    </w:rPr>
  </w:style>
  <w:style w:type="paragraph" w:customStyle="1" w:styleId="1Char">
    <w:name w:val="1 Char"/>
    <w:basedOn w:val="Normal"/>
    <w:semiHidden/>
    <w:rsid w:val="0082489B"/>
    <w:pPr>
      <w:spacing w:after="160" w:line="240" w:lineRule="exact"/>
    </w:pPr>
    <w:rPr>
      <w:sz w:val="24"/>
      <w:szCs w:val="24"/>
    </w:rPr>
  </w:style>
  <w:style w:type="paragraph" w:customStyle="1" w:styleId="Char5">
    <w:name w:val="Char5"/>
    <w:basedOn w:val="Normal"/>
    <w:semiHidden/>
    <w:rsid w:val="00595B75"/>
    <w:pPr>
      <w:spacing w:after="160" w:line="240" w:lineRule="exact"/>
    </w:pPr>
    <w:rPr>
      <w:sz w:val="24"/>
      <w:szCs w:val="24"/>
    </w:rPr>
  </w:style>
  <w:style w:type="paragraph" w:customStyle="1" w:styleId="Char">
    <w:name w:val="Char"/>
    <w:basedOn w:val="Normal"/>
    <w:semiHidden/>
    <w:rsid w:val="000A176A"/>
    <w:pPr>
      <w:spacing w:after="160" w:line="240" w:lineRule="exact"/>
    </w:pPr>
    <w:rPr>
      <w:sz w:val="24"/>
      <w:szCs w:val="24"/>
    </w:rPr>
  </w:style>
  <w:style w:type="paragraph" w:customStyle="1" w:styleId="Text">
    <w:name w:val="Text"/>
    <w:basedOn w:val="Normal"/>
    <w:link w:val="TextChar"/>
    <w:rsid w:val="003F0D34"/>
    <w:pPr>
      <w:spacing w:after="120"/>
    </w:pPr>
    <w:rPr>
      <w:rFonts w:ascii="Arial" w:hAnsi="Arial"/>
      <w:color w:val="000000"/>
      <w:sz w:val="24"/>
      <w:szCs w:val="24"/>
    </w:rPr>
  </w:style>
  <w:style w:type="character" w:customStyle="1" w:styleId="TextChar">
    <w:name w:val="Text Char"/>
    <w:basedOn w:val="DefaultParagraphFont"/>
    <w:link w:val="Text"/>
    <w:rsid w:val="003F0D34"/>
    <w:rPr>
      <w:rFonts w:ascii="Arial" w:hAnsi="Arial"/>
      <w:color w:val="000000"/>
      <w:sz w:val="24"/>
      <w:szCs w:val="24"/>
    </w:rPr>
  </w:style>
  <w:style w:type="paragraph" w:styleId="ListParagraph">
    <w:name w:val="List Paragraph"/>
    <w:basedOn w:val="Normal"/>
    <w:uiPriority w:val="34"/>
    <w:qFormat/>
    <w:rsid w:val="002F7F7C"/>
    <w:pPr>
      <w:ind w:left="720"/>
    </w:pPr>
    <w:rPr>
      <w:sz w:val="24"/>
      <w:szCs w:val="24"/>
    </w:rPr>
  </w:style>
</w:styles>
</file>

<file path=word/webSettings.xml><?xml version="1.0" encoding="utf-8"?>
<w:webSettings xmlns:r="http://schemas.openxmlformats.org/officeDocument/2006/relationships" xmlns:w="http://schemas.openxmlformats.org/wordprocessingml/2006/main">
  <w:divs>
    <w:div w:id="25061846">
      <w:bodyDiv w:val="1"/>
      <w:marLeft w:val="0"/>
      <w:marRight w:val="0"/>
      <w:marTop w:val="0"/>
      <w:marBottom w:val="0"/>
      <w:divBdr>
        <w:top w:val="none" w:sz="0" w:space="0" w:color="auto"/>
        <w:left w:val="none" w:sz="0" w:space="0" w:color="auto"/>
        <w:bottom w:val="none" w:sz="0" w:space="0" w:color="auto"/>
        <w:right w:val="none" w:sz="0" w:space="0" w:color="auto"/>
      </w:divBdr>
      <w:divsChild>
        <w:div w:id="2083483405">
          <w:marLeft w:val="0"/>
          <w:marRight w:val="0"/>
          <w:marTop w:val="0"/>
          <w:marBottom w:val="0"/>
          <w:divBdr>
            <w:top w:val="none" w:sz="0" w:space="0" w:color="auto"/>
            <w:left w:val="none" w:sz="0" w:space="0" w:color="auto"/>
            <w:bottom w:val="none" w:sz="0" w:space="0" w:color="auto"/>
            <w:right w:val="none" w:sz="0" w:space="0" w:color="auto"/>
          </w:divBdr>
        </w:div>
      </w:divsChild>
    </w:div>
    <w:div w:id="33968320">
      <w:bodyDiv w:val="1"/>
      <w:marLeft w:val="0"/>
      <w:marRight w:val="0"/>
      <w:marTop w:val="0"/>
      <w:marBottom w:val="0"/>
      <w:divBdr>
        <w:top w:val="none" w:sz="0" w:space="0" w:color="auto"/>
        <w:left w:val="none" w:sz="0" w:space="0" w:color="auto"/>
        <w:bottom w:val="none" w:sz="0" w:space="0" w:color="auto"/>
        <w:right w:val="none" w:sz="0" w:space="0" w:color="auto"/>
      </w:divBdr>
    </w:div>
    <w:div w:id="277953217">
      <w:bodyDiv w:val="1"/>
      <w:marLeft w:val="0"/>
      <w:marRight w:val="0"/>
      <w:marTop w:val="0"/>
      <w:marBottom w:val="0"/>
      <w:divBdr>
        <w:top w:val="none" w:sz="0" w:space="0" w:color="auto"/>
        <w:left w:val="none" w:sz="0" w:space="0" w:color="auto"/>
        <w:bottom w:val="none" w:sz="0" w:space="0" w:color="auto"/>
        <w:right w:val="none" w:sz="0" w:space="0" w:color="auto"/>
      </w:divBdr>
      <w:divsChild>
        <w:div w:id="1044210599">
          <w:marLeft w:val="0"/>
          <w:marRight w:val="0"/>
          <w:marTop w:val="0"/>
          <w:marBottom w:val="0"/>
          <w:divBdr>
            <w:top w:val="none" w:sz="0" w:space="0" w:color="auto"/>
            <w:left w:val="none" w:sz="0" w:space="0" w:color="auto"/>
            <w:bottom w:val="none" w:sz="0" w:space="0" w:color="auto"/>
            <w:right w:val="none" w:sz="0" w:space="0" w:color="auto"/>
          </w:divBdr>
          <w:divsChild>
            <w:div w:id="546182028">
              <w:marLeft w:val="0"/>
              <w:marRight w:val="0"/>
              <w:marTop w:val="0"/>
              <w:marBottom w:val="0"/>
              <w:divBdr>
                <w:top w:val="none" w:sz="0" w:space="0" w:color="auto"/>
                <w:left w:val="none" w:sz="0" w:space="0" w:color="auto"/>
                <w:bottom w:val="none" w:sz="0" w:space="0" w:color="auto"/>
                <w:right w:val="none" w:sz="0" w:space="0" w:color="auto"/>
              </w:divBdr>
            </w:div>
            <w:div w:id="1152600189">
              <w:marLeft w:val="0"/>
              <w:marRight w:val="0"/>
              <w:marTop w:val="0"/>
              <w:marBottom w:val="0"/>
              <w:divBdr>
                <w:top w:val="none" w:sz="0" w:space="0" w:color="auto"/>
                <w:left w:val="none" w:sz="0" w:space="0" w:color="auto"/>
                <w:bottom w:val="none" w:sz="0" w:space="0" w:color="auto"/>
                <w:right w:val="none" w:sz="0" w:space="0" w:color="auto"/>
              </w:divBdr>
            </w:div>
            <w:div w:id="1390613076">
              <w:marLeft w:val="0"/>
              <w:marRight w:val="0"/>
              <w:marTop w:val="0"/>
              <w:marBottom w:val="0"/>
              <w:divBdr>
                <w:top w:val="none" w:sz="0" w:space="0" w:color="auto"/>
                <w:left w:val="none" w:sz="0" w:space="0" w:color="auto"/>
                <w:bottom w:val="none" w:sz="0" w:space="0" w:color="auto"/>
                <w:right w:val="none" w:sz="0" w:space="0" w:color="auto"/>
              </w:divBdr>
            </w:div>
            <w:div w:id="1551838490">
              <w:marLeft w:val="0"/>
              <w:marRight w:val="0"/>
              <w:marTop w:val="0"/>
              <w:marBottom w:val="0"/>
              <w:divBdr>
                <w:top w:val="none" w:sz="0" w:space="0" w:color="auto"/>
                <w:left w:val="none" w:sz="0" w:space="0" w:color="auto"/>
                <w:bottom w:val="none" w:sz="0" w:space="0" w:color="auto"/>
                <w:right w:val="none" w:sz="0" w:space="0" w:color="auto"/>
              </w:divBdr>
            </w:div>
            <w:div w:id="19820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3479">
      <w:bodyDiv w:val="1"/>
      <w:marLeft w:val="0"/>
      <w:marRight w:val="0"/>
      <w:marTop w:val="0"/>
      <w:marBottom w:val="0"/>
      <w:divBdr>
        <w:top w:val="none" w:sz="0" w:space="0" w:color="auto"/>
        <w:left w:val="none" w:sz="0" w:space="0" w:color="auto"/>
        <w:bottom w:val="none" w:sz="0" w:space="0" w:color="auto"/>
        <w:right w:val="none" w:sz="0" w:space="0" w:color="auto"/>
      </w:divBdr>
      <w:divsChild>
        <w:div w:id="1277056610">
          <w:marLeft w:val="0"/>
          <w:marRight w:val="0"/>
          <w:marTop w:val="0"/>
          <w:marBottom w:val="0"/>
          <w:divBdr>
            <w:top w:val="none" w:sz="0" w:space="0" w:color="auto"/>
            <w:left w:val="none" w:sz="0" w:space="0" w:color="auto"/>
            <w:bottom w:val="none" w:sz="0" w:space="0" w:color="auto"/>
            <w:right w:val="none" w:sz="0" w:space="0" w:color="auto"/>
          </w:divBdr>
          <w:divsChild>
            <w:div w:id="260995128">
              <w:marLeft w:val="0"/>
              <w:marRight w:val="0"/>
              <w:marTop w:val="0"/>
              <w:marBottom w:val="0"/>
              <w:divBdr>
                <w:top w:val="none" w:sz="0" w:space="0" w:color="auto"/>
                <w:left w:val="none" w:sz="0" w:space="0" w:color="auto"/>
                <w:bottom w:val="none" w:sz="0" w:space="0" w:color="auto"/>
                <w:right w:val="none" w:sz="0" w:space="0" w:color="auto"/>
              </w:divBdr>
            </w:div>
            <w:div w:id="415052244">
              <w:marLeft w:val="0"/>
              <w:marRight w:val="0"/>
              <w:marTop w:val="0"/>
              <w:marBottom w:val="0"/>
              <w:divBdr>
                <w:top w:val="none" w:sz="0" w:space="0" w:color="auto"/>
                <w:left w:val="none" w:sz="0" w:space="0" w:color="auto"/>
                <w:bottom w:val="none" w:sz="0" w:space="0" w:color="auto"/>
                <w:right w:val="none" w:sz="0" w:space="0" w:color="auto"/>
              </w:divBdr>
            </w:div>
            <w:div w:id="432213068">
              <w:marLeft w:val="0"/>
              <w:marRight w:val="0"/>
              <w:marTop w:val="0"/>
              <w:marBottom w:val="0"/>
              <w:divBdr>
                <w:top w:val="none" w:sz="0" w:space="0" w:color="auto"/>
                <w:left w:val="none" w:sz="0" w:space="0" w:color="auto"/>
                <w:bottom w:val="none" w:sz="0" w:space="0" w:color="auto"/>
                <w:right w:val="none" w:sz="0" w:space="0" w:color="auto"/>
              </w:divBdr>
            </w:div>
            <w:div w:id="7244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18775">
      <w:bodyDiv w:val="1"/>
      <w:marLeft w:val="0"/>
      <w:marRight w:val="0"/>
      <w:marTop w:val="0"/>
      <w:marBottom w:val="0"/>
      <w:divBdr>
        <w:top w:val="none" w:sz="0" w:space="0" w:color="auto"/>
        <w:left w:val="none" w:sz="0" w:space="0" w:color="auto"/>
        <w:bottom w:val="none" w:sz="0" w:space="0" w:color="auto"/>
        <w:right w:val="none" w:sz="0" w:space="0" w:color="auto"/>
      </w:divBdr>
      <w:divsChild>
        <w:div w:id="729427540">
          <w:marLeft w:val="0"/>
          <w:marRight w:val="0"/>
          <w:marTop w:val="0"/>
          <w:marBottom w:val="0"/>
          <w:divBdr>
            <w:top w:val="none" w:sz="0" w:space="0" w:color="auto"/>
            <w:left w:val="none" w:sz="0" w:space="0" w:color="auto"/>
            <w:bottom w:val="none" w:sz="0" w:space="0" w:color="auto"/>
            <w:right w:val="none" w:sz="0" w:space="0" w:color="auto"/>
          </w:divBdr>
          <w:divsChild>
            <w:div w:id="2919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0699">
      <w:bodyDiv w:val="1"/>
      <w:marLeft w:val="0"/>
      <w:marRight w:val="0"/>
      <w:marTop w:val="0"/>
      <w:marBottom w:val="0"/>
      <w:divBdr>
        <w:top w:val="none" w:sz="0" w:space="0" w:color="auto"/>
        <w:left w:val="none" w:sz="0" w:space="0" w:color="auto"/>
        <w:bottom w:val="none" w:sz="0" w:space="0" w:color="auto"/>
        <w:right w:val="none" w:sz="0" w:space="0" w:color="auto"/>
      </w:divBdr>
      <w:divsChild>
        <w:div w:id="1865634951">
          <w:marLeft w:val="0"/>
          <w:marRight w:val="0"/>
          <w:marTop w:val="0"/>
          <w:marBottom w:val="0"/>
          <w:divBdr>
            <w:top w:val="none" w:sz="0" w:space="0" w:color="auto"/>
            <w:left w:val="none" w:sz="0" w:space="0" w:color="auto"/>
            <w:bottom w:val="none" w:sz="0" w:space="0" w:color="auto"/>
            <w:right w:val="none" w:sz="0" w:space="0" w:color="auto"/>
          </w:divBdr>
          <w:divsChild>
            <w:div w:id="5701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79922">
      <w:bodyDiv w:val="1"/>
      <w:marLeft w:val="0"/>
      <w:marRight w:val="0"/>
      <w:marTop w:val="0"/>
      <w:marBottom w:val="0"/>
      <w:divBdr>
        <w:top w:val="none" w:sz="0" w:space="0" w:color="auto"/>
        <w:left w:val="none" w:sz="0" w:space="0" w:color="auto"/>
        <w:bottom w:val="none" w:sz="0" w:space="0" w:color="auto"/>
        <w:right w:val="none" w:sz="0" w:space="0" w:color="auto"/>
      </w:divBdr>
      <w:divsChild>
        <w:div w:id="1190069568">
          <w:marLeft w:val="0"/>
          <w:marRight w:val="0"/>
          <w:marTop w:val="0"/>
          <w:marBottom w:val="0"/>
          <w:divBdr>
            <w:top w:val="none" w:sz="0" w:space="0" w:color="auto"/>
            <w:left w:val="none" w:sz="0" w:space="0" w:color="auto"/>
            <w:bottom w:val="none" w:sz="0" w:space="0" w:color="auto"/>
            <w:right w:val="none" w:sz="0" w:space="0" w:color="auto"/>
          </w:divBdr>
        </w:div>
      </w:divsChild>
    </w:div>
    <w:div w:id="1791244083">
      <w:bodyDiv w:val="1"/>
      <w:marLeft w:val="0"/>
      <w:marRight w:val="0"/>
      <w:marTop w:val="0"/>
      <w:marBottom w:val="0"/>
      <w:divBdr>
        <w:top w:val="none" w:sz="0" w:space="0" w:color="auto"/>
        <w:left w:val="none" w:sz="0" w:space="0" w:color="auto"/>
        <w:bottom w:val="none" w:sz="0" w:space="0" w:color="auto"/>
        <w:right w:val="none" w:sz="0" w:space="0" w:color="auto"/>
      </w:divBdr>
      <w:divsChild>
        <w:div w:id="658652530">
          <w:marLeft w:val="0"/>
          <w:marRight w:val="0"/>
          <w:marTop w:val="0"/>
          <w:marBottom w:val="0"/>
          <w:divBdr>
            <w:top w:val="none" w:sz="0" w:space="0" w:color="auto"/>
            <w:left w:val="none" w:sz="0" w:space="0" w:color="auto"/>
            <w:bottom w:val="none" w:sz="0" w:space="0" w:color="auto"/>
            <w:right w:val="none" w:sz="0" w:space="0" w:color="auto"/>
          </w:divBdr>
          <w:divsChild>
            <w:div w:id="3137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9394">
      <w:bodyDiv w:val="1"/>
      <w:marLeft w:val="0"/>
      <w:marRight w:val="0"/>
      <w:marTop w:val="0"/>
      <w:marBottom w:val="0"/>
      <w:divBdr>
        <w:top w:val="none" w:sz="0" w:space="0" w:color="auto"/>
        <w:left w:val="none" w:sz="0" w:space="0" w:color="auto"/>
        <w:bottom w:val="none" w:sz="0" w:space="0" w:color="auto"/>
        <w:right w:val="none" w:sz="0" w:space="0" w:color="auto"/>
      </w:divBdr>
      <w:divsChild>
        <w:div w:id="428815723">
          <w:marLeft w:val="0"/>
          <w:marRight w:val="0"/>
          <w:marTop w:val="0"/>
          <w:marBottom w:val="0"/>
          <w:divBdr>
            <w:top w:val="none" w:sz="0" w:space="0" w:color="auto"/>
            <w:left w:val="none" w:sz="0" w:space="0" w:color="auto"/>
            <w:bottom w:val="none" w:sz="0" w:space="0" w:color="auto"/>
            <w:right w:val="none" w:sz="0" w:space="0" w:color="auto"/>
          </w:divBdr>
          <w:divsChild>
            <w:div w:id="20740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4073">
      <w:bodyDiv w:val="1"/>
      <w:marLeft w:val="0"/>
      <w:marRight w:val="0"/>
      <w:marTop w:val="0"/>
      <w:marBottom w:val="0"/>
      <w:divBdr>
        <w:top w:val="none" w:sz="0" w:space="0" w:color="auto"/>
        <w:left w:val="none" w:sz="0" w:space="0" w:color="auto"/>
        <w:bottom w:val="none" w:sz="0" w:space="0" w:color="auto"/>
        <w:right w:val="none" w:sz="0" w:space="0" w:color="auto"/>
      </w:divBdr>
      <w:divsChild>
        <w:div w:id="166211406">
          <w:marLeft w:val="0"/>
          <w:marRight w:val="0"/>
          <w:marTop w:val="0"/>
          <w:marBottom w:val="0"/>
          <w:divBdr>
            <w:top w:val="none" w:sz="0" w:space="0" w:color="auto"/>
            <w:left w:val="none" w:sz="0" w:space="0" w:color="auto"/>
            <w:bottom w:val="none" w:sz="0" w:space="0" w:color="auto"/>
            <w:right w:val="none" w:sz="0" w:space="0" w:color="auto"/>
          </w:divBdr>
        </w:div>
        <w:div w:id="235896520">
          <w:marLeft w:val="0"/>
          <w:marRight w:val="0"/>
          <w:marTop w:val="0"/>
          <w:marBottom w:val="0"/>
          <w:divBdr>
            <w:top w:val="none" w:sz="0" w:space="0" w:color="auto"/>
            <w:left w:val="none" w:sz="0" w:space="0" w:color="auto"/>
            <w:bottom w:val="none" w:sz="0" w:space="0" w:color="auto"/>
            <w:right w:val="none" w:sz="0" w:space="0" w:color="auto"/>
          </w:divBdr>
        </w:div>
        <w:div w:id="282352456">
          <w:marLeft w:val="0"/>
          <w:marRight w:val="0"/>
          <w:marTop w:val="0"/>
          <w:marBottom w:val="0"/>
          <w:divBdr>
            <w:top w:val="none" w:sz="0" w:space="0" w:color="auto"/>
            <w:left w:val="none" w:sz="0" w:space="0" w:color="auto"/>
            <w:bottom w:val="none" w:sz="0" w:space="0" w:color="auto"/>
            <w:right w:val="none" w:sz="0" w:space="0" w:color="auto"/>
          </w:divBdr>
        </w:div>
        <w:div w:id="317853824">
          <w:marLeft w:val="0"/>
          <w:marRight w:val="0"/>
          <w:marTop w:val="0"/>
          <w:marBottom w:val="0"/>
          <w:divBdr>
            <w:top w:val="none" w:sz="0" w:space="0" w:color="auto"/>
            <w:left w:val="none" w:sz="0" w:space="0" w:color="auto"/>
            <w:bottom w:val="none" w:sz="0" w:space="0" w:color="auto"/>
            <w:right w:val="none" w:sz="0" w:space="0" w:color="auto"/>
          </w:divBdr>
        </w:div>
        <w:div w:id="796024038">
          <w:marLeft w:val="0"/>
          <w:marRight w:val="0"/>
          <w:marTop w:val="0"/>
          <w:marBottom w:val="0"/>
          <w:divBdr>
            <w:top w:val="none" w:sz="0" w:space="0" w:color="auto"/>
            <w:left w:val="none" w:sz="0" w:space="0" w:color="auto"/>
            <w:bottom w:val="none" w:sz="0" w:space="0" w:color="auto"/>
            <w:right w:val="none" w:sz="0" w:space="0" w:color="auto"/>
          </w:divBdr>
        </w:div>
        <w:div w:id="1019507806">
          <w:marLeft w:val="0"/>
          <w:marRight w:val="0"/>
          <w:marTop w:val="0"/>
          <w:marBottom w:val="0"/>
          <w:divBdr>
            <w:top w:val="none" w:sz="0" w:space="0" w:color="auto"/>
            <w:left w:val="none" w:sz="0" w:space="0" w:color="auto"/>
            <w:bottom w:val="none" w:sz="0" w:space="0" w:color="auto"/>
            <w:right w:val="none" w:sz="0" w:space="0" w:color="auto"/>
          </w:divBdr>
        </w:div>
        <w:div w:id="1634754614">
          <w:marLeft w:val="0"/>
          <w:marRight w:val="0"/>
          <w:marTop w:val="0"/>
          <w:marBottom w:val="0"/>
          <w:divBdr>
            <w:top w:val="none" w:sz="0" w:space="0" w:color="auto"/>
            <w:left w:val="none" w:sz="0" w:space="0" w:color="auto"/>
            <w:bottom w:val="none" w:sz="0" w:space="0" w:color="auto"/>
            <w:right w:val="none" w:sz="0" w:space="0" w:color="auto"/>
          </w:divBdr>
        </w:div>
        <w:div w:id="1639333085">
          <w:marLeft w:val="0"/>
          <w:marRight w:val="0"/>
          <w:marTop w:val="0"/>
          <w:marBottom w:val="0"/>
          <w:divBdr>
            <w:top w:val="none" w:sz="0" w:space="0" w:color="auto"/>
            <w:left w:val="none" w:sz="0" w:space="0" w:color="auto"/>
            <w:bottom w:val="none" w:sz="0" w:space="0" w:color="auto"/>
            <w:right w:val="none" w:sz="0" w:space="0" w:color="auto"/>
          </w:divBdr>
        </w:div>
        <w:div w:id="1839464522">
          <w:marLeft w:val="0"/>
          <w:marRight w:val="0"/>
          <w:marTop w:val="0"/>
          <w:marBottom w:val="0"/>
          <w:divBdr>
            <w:top w:val="none" w:sz="0" w:space="0" w:color="auto"/>
            <w:left w:val="none" w:sz="0" w:space="0" w:color="auto"/>
            <w:bottom w:val="none" w:sz="0" w:space="0" w:color="auto"/>
            <w:right w:val="none" w:sz="0" w:space="0" w:color="auto"/>
          </w:divBdr>
        </w:div>
        <w:div w:id="203233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4769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c:creator>
  <cp:lastModifiedBy>khochste</cp:lastModifiedBy>
  <cp:revision>2</cp:revision>
  <cp:lastPrinted>2012-02-09T19:41:00Z</cp:lastPrinted>
  <dcterms:created xsi:type="dcterms:W3CDTF">2012-02-17T18:06:00Z</dcterms:created>
  <dcterms:modified xsi:type="dcterms:W3CDTF">2012-02-17T18:06:00Z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