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DCE69" w14:textId="77777777" w:rsidR="00EB3E6F" w:rsidRDefault="00FD66F1" w:rsidP="008A5F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Supporting Statement</w:t>
      </w:r>
    </w:p>
    <w:p w14:paraId="5ED512AC" w14:textId="77777777" w:rsidR="003414BF" w:rsidRDefault="00FD66F1" w:rsidP="008A5F46">
      <w:pPr>
        <w:spacing w:after="0" w:line="240" w:lineRule="auto"/>
        <w:jc w:val="center"/>
        <w:rPr>
          <w:rFonts w:ascii="Times New Roman" w:hAnsi="Times New Roman" w:cs="Times New Roman"/>
          <w:b/>
          <w:sz w:val="24"/>
          <w:szCs w:val="24"/>
        </w:rPr>
      </w:pPr>
      <w:r w:rsidRPr="00035845">
        <w:rPr>
          <w:rFonts w:ascii="Times New Roman" w:hAnsi="Times New Roman" w:cs="Times New Roman"/>
          <w:b/>
          <w:sz w:val="24"/>
          <w:szCs w:val="24"/>
        </w:rPr>
        <w:t>FERC-</w:t>
      </w:r>
      <w:r w:rsidR="00A469D6">
        <w:rPr>
          <w:rFonts w:ascii="Times New Roman" w:hAnsi="Times New Roman" w:cs="Times New Roman"/>
          <w:b/>
          <w:sz w:val="24"/>
          <w:szCs w:val="24"/>
        </w:rPr>
        <w:t>923,</w:t>
      </w:r>
      <w:r w:rsidRPr="00035845">
        <w:rPr>
          <w:rFonts w:ascii="Times New Roman" w:hAnsi="Times New Roman" w:cs="Times New Roman"/>
          <w:b/>
          <w:sz w:val="24"/>
          <w:szCs w:val="24"/>
        </w:rPr>
        <w:t xml:space="preserve"> </w:t>
      </w:r>
      <w:r w:rsidR="00A469D6" w:rsidRPr="00A469D6">
        <w:rPr>
          <w:rFonts w:ascii="Times New Roman" w:hAnsi="Times New Roman" w:cs="Times New Roman"/>
          <w:b/>
          <w:sz w:val="24"/>
          <w:szCs w:val="24"/>
        </w:rPr>
        <w:t xml:space="preserve">Communication of Operational Information </w:t>
      </w:r>
    </w:p>
    <w:p w14:paraId="673B138D" w14:textId="2F3A491F" w:rsidR="00A469D6" w:rsidRDefault="00A469D6" w:rsidP="008A5F46">
      <w:pPr>
        <w:spacing w:after="0" w:line="240" w:lineRule="auto"/>
        <w:jc w:val="center"/>
        <w:rPr>
          <w:rFonts w:ascii="Times New Roman" w:hAnsi="Times New Roman" w:cs="Times New Roman"/>
          <w:b/>
          <w:sz w:val="24"/>
          <w:szCs w:val="24"/>
        </w:rPr>
      </w:pPr>
      <w:proofErr w:type="gramStart"/>
      <w:r w:rsidRPr="00A469D6">
        <w:rPr>
          <w:rFonts w:ascii="Times New Roman" w:hAnsi="Times New Roman" w:cs="Times New Roman"/>
          <w:b/>
          <w:sz w:val="24"/>
          <w:szCs w:val="24"/>
        </w:rPr>
        <w:t>between</w:t>
      </w:r>
      <w:proofErr w:type="gramEnd"/>
      <w:r w:rsidRPr="00A469D6">
        <w:rPr>
          <w:rFonts w:ascii="Times New Roman" w:hAnsi="Times New Roman" w:cs="Times New Roman"/>
          <w:b/>
          <w:sz w:val="24"/>
          <w:szCs w:val="24"/>
        </w:rPr>
        <w:t xml:space="preserve"> Natural Gas Pipelines and Electric Transmission Operators</w:t>
      </w:r>
      <w:r w:rsidR="00CB7AD2">
        <w:rPr>
          <w:rFonts w:ascii="Times New Roman" w:hAnsi="Times New Roman" w:cs="Times New Roman"/>
          <w:b/>
          <w:sz w:val="24"/>
          <w:szCs w:val="24"/>
        </w:rPr>
        <w:t>,</w:t>
      </w:r>
    </w:p>
    <w:p w14:paraId="36BDCE6C" w14:textId="12EEE062" w:rsidR="00FD66F1" w:rsidRDefault="00CB7AD2" w:rsidP="008A5F46">
      <w:pPr>
        <w:spacing w:after="0" w:line="240" w:lineRule="auto"/>
        <w:jc w:val="center"/>
        <w:rPr>
          <w:rFonts w:ascii="Times New Roman" w:hAnsi="Times New Roman" w:cs="Times New Roman"/>
          <w:sz w:val="24"/>
          <w:szCs w:val="24"/>
        </w:rPr>
      </w:pP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w:t>
      </w:r>
      <w:r w:rsidR="005A5936">
        <w:rPr>
          <w:rFonts w:ascii="Times New Roman" w:hAnsi="Times New Roman" w:cs="Times New Roman"/>
          <w:b/>
          <w:sz w:val="24"/>
          <w:szCs w:val="24"/>
        </w:rPr>
        <w:t xml:space="preserve">Docket No. </w:t>
      </w:r>
      <w:r>
        <w:rPr>
          <w:rFonts w:ascii="Times New Roman" w:hAnsi="Times New Roman" w:cs="Times New Roman"/>
          <w:b/>
          <w:sz w:val="24"/>
          <w:szCs w:val="24"/>
        </w:rPr>
        <w:t>RM13-17</w:t>
      </w:r>
      <w:r w:rsidR="00A469D6" w:rsidRPr="00A469D6">
        <w:rPr>
          <w:rFonts w:ascii="Times New Roman" w:hAnsi="Times New Roman" w:cs="Times New Roman"/>
          <w:b/>
          <w:sz w:val="24"/>
          <w:szCs w:val="24"/>
        </w:rPr>
        <w:t xml:space="preserve">, </w:t>
      </w:r>
      <w:r w:rsidR="001C0937">
        <w:rPr>
          <w:rFonts w:ascii="Times New Roman" w:hAnsi="Times New Roman" w:cs="Times New Roman"/>
          <w:b/>
          <w:sz w:val="24"/>
          <w:szCs w:val="24"/>
        </w:rPr>
        <w:t xml:space="preserve">Notice of </w:t>
      </w:r>
      <w:r w:rsidR="00A469D6" w:rsidRPr="00A469D6">
        <w:rPr>
          <w:rFonts w:ascii="Times New Roman" w:hAnsi="Times New Roman" w:cs="Times New Roman"/>
          <w:b/>
          <w:sz w:val="24"/>
          <w:szCs w:val="24"/>
        </w:rPr>
        <w:t>Proposed Rule</w:t>
      </w:r>
      <w:r w:rsidR="001C0937">
        <w:rPr>
          <w:rFonts w:ascii="Times New Roman" w:hAnsi="Times New Roman" w:cs="Times New Roman"/>
          <w:b/>
          <w:sz w:val="24"/>
          <w:szCs w:val="24"/>
        </w:rPr>
        <w:t>making (NOPR</w:t>
      </w:r>
      <w:r w:rsidR="001C0937" w:rsidRPr="008A5F46">
        <w:rPr>
          <w:rFonts w:ascii="Times New Roman" w:hAnsi="Times New Roman" w:cs="Times New Roman"/>
          <w:b/>
          <w:sz w:val="24"/>
          <w:szCs w:val="24"/>
        </w:rPr>
        <w:t>)</w:t>
      </w:r>
      <w:r w:rsidR="008A5F46" w:rsidRPr="008A5F46">
        <w:rPr>
          <w:rStyle w:val="FootnoteReference"/>
          <w:rFonts w:ascii="Times New Roman" w:hAnsi="Times New Roman" w:cs="Times New Roman"/>
          <w:b/>
          <w:sz w:val="24"/>
          <w:szCs w:val="24"/>
          <w:vertAlign w:val="superscript"/>
        </w:rPr>
        <w:footnoteReference w:id="1"/>
      </w:r>
      <w:r w:rsidR="001C0937" w:rsidRPr="008A5F46">
        <w:rPr>
          <w:rFonts w:ascii="Times New Roman" w:hAnsi="Times New Roman" w:cs="Times New Roman"/>
          <w:b/>
          <w:sz w:val="24"/>
          <w:szCs w:val="24"/>
        </w:rPr>
        <w:t>,</w:t>
      </w:r>
      <w:r w:rsidR="00A469D6" w:rsidRPr="008A5F46">
        <w:rPr>
          <w:rFonts w:ascii="Times New Roman" w:hAnsi="Times New Roman" w:cs="Times New Roman"/>
          <w:b/>
          <w:sz w:val="24"/>
          <w:szCs w:val="24"/>
        </w:rPr>
        <w:t xml:space="preserve"> issued 7</w:t>
      </w:r>
      <w:r w:rsidR="008A5F46" w:rsidRPr="008A5F46">
        <w:rPr>
          <w:rFonts w:ascii="Times New Roman" w:hAnsi="Times New Roman" w:cs="Times New Roman"/>
          <w:b/>
          <w:sz w:val="24"/>
          <w:szCs w:val="24"/>
        </w:rPr>
        <w:t>/18/</w:t>
      </w:r>
      <w:r w:rsidR="00A469D6" w:rsidRPr="008A5F46">
        <w:rPr>
          <w:rFonts w:ascii="Times New Roman" w:hAnsi="Times New Roman" w:cs="Times New Roman"/>
          <w:b/>
          <w:sz w:val="24"/>
          <w:szCs w:val="24"/>
        </w:rPr>
        <w:t>2013</w:t>
      </w:r>
    </w:p>
    <w:p w14:paraId="36BDCE6E" w14:textId="77777777" w:rsidR="00A72E7B" w:rsidRDefault="00A72E7B" w:rsidP="008A5F46">
      <w:pPr>
        <w:spacing w:after="0" w:line="240" w:lineRule="auto"/>
        <w:rPr>
          <w:rFonts w:ascii="Times New Roman" w:hAnsi="Times New Roman" w:cs="Times New Roman"/>
          <w:sz w:val="24"/>
          <w:szCs w:val="24"/>
        </w:rPr>
      </w:pPr>
    </w:p>
    <w:p w14:paraId="2FBA8F0A" w14:textId="77777777" w:rsidR="00DC6E49" w:rsidRDefault="00DC6E49" w:rsidP="008A5F46">
      <w:pPr>
        <w:spacing w:after="0" w:line="240" w:lineRule="auto"/>
        <w:rPr>
          <w:rFonts w:ascii="Times New Roman" w:hAnsi="Times New Roman" w:cs="Times New Roman"/>
          <w:sz w:val="24"/>
          <w:szCs w:val="24"/>
        </w:rPr>
      </w:pPr>
    </w:p>
    <w:p w14:paraId="36BDCE6F" w14:textId="68575BC7" w:rsidR="0002242D" w:rsidRPr="000B0027" w:rsidRDefault="000B0027" w:rsidP="008A5F46">
      <w:pPr>
        <w:spacing w:after="0" w:line="240" w:lineRule="auto"/>
        <w:rPr>
          <w:rFonts w:ascii="Times New Roman" w:hAnsi="Times New Roman" w:cs="Times New Roman"/>
          <w:b/>
          <w:sz w:val="24"/>
          <w:szCs w:val="24"/>
        </w:rPr>
      </w:pPr>
      <w:r w:rsidRPr="000B0027">
        <w:rPr>
          <w:rFonts w:ascii="Times New Roman" w:hAnsi="Times New Roman" w:cs="Times New Roman"/>
          <w:b/>
          <w:sz w:val="24"/>
          <w:szCs w:val="24"/>
        </w:rPr>
        <w:t>Background</w:t>
      </w:r>
    </w:p>
    <w:p w14:paraId="48709765" w14:textId="785B5B5D" w:rsidR="007F534B" w:rsidRDefault="000B0027"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0B0027">
        <w:rPr>
          <w:rFonts w:ascii="Times New Roman" w:hAnsi="Times New Roman" w:cs="Times New Roman"/>
          <w:sz w:val="24"/>
          <w:szCs w:val="24"/>
        </w:rPr>
        <w:t xml:space="preserve">he </w:t>
      </w:r>
      <w:r>
        <w:rPr>
          <w:rFonts w:ascii="Times New Roman" w:hAnsi="Times New Roman" w:cs="Times New Roman"/>
          <w:sz w:val="24"/>
          <w:szCs w:val="24"/>
        </w:rPr>
        <w:t xml:space="preserve">Federal Energy Regulatory </w:t>
      </w:r>
      <w:r w:rsidRPr="000B0027">
        <w:rPr>
          <w:rFonts w:ascii="Times New Roman" w:hAnsi="Times New Roman" w:cs="Times New Roman"/>
          <w:sz w:val="24"/>
          <w:szCs w:val="24"/>
        </w:rPr>
        <w:t xml:space="preserve">Commission </w:t>
      </w:r>
      <w:r>
        <w:rPr>
          <w:rFonts w:ascii="Times New Roman" w:hAnsi="Times New Roman" w:cs="Times New Roman"/>
          <w:sz w:val="24"/>
          <w:szCs w:val="24"/>
        </w:rPr>
        <w:t xml:space="preserve">(FERC or Commission) </w:t>
      </w:r>
      <w:r w:rsidRPr="000B0027">
        <w:rPr>
          <w:rFonts w:ascii="Times New Roman" w:hAnsi="Times New Roman" w:cs="Times New Roman"/>
          <w:sz w:val="24"/>
          <w:szCs w:val="24"/>
        </w:rPr>
        <w:t xml:space="preserve">is proposing to revise </w:t>
      </w:r>
      <w:r>
        <w:rPr>
          <w:rFonts w:ascii="Times New Roman" w:hAnsi="Times New Roman" w:cs="Times New Roman"/>
          <w:sz w:val="24"/>
          <w:szCs w:val="24"/>
        </w:rPr>
        <w:t>its</w:t>
      </w:r>
      <w:r w:rsidRPr="000B0027">
        <w:rPr>
          <w:rFonts w:ascii="Times New Roman" w:hAnsi="Times New Roman" w:cs="Times New Roman"/>
          <w:sz w:val="24"/>
          <w:szCs w:val="24"/>
        </w:rPr>
        <w:t xml:space="preserve"> regulations </w:t>
      </w:r>
      <w:r w:rsidR="0029028C">
        <w:rPr>
          <w:rFonts w:ascii="Times New Roman" w:hAnsi="Times New Roman" w:cs="Times New Roman"/>
          <w:sz w:val="24"/>
          <w:szCs w:val="24"/>
        </w:rPr>
        <w:t xml:space="preserve">(at 18CFR38.2 and 284.12(b)(4)) </w:t>
      </w:r>
      <w:r w:rsidRPr="000B0027">
        <w:rPr>
          <w:rFonts w:ascii="Times New Roman" w:hAnsi="Times New Roman" w:cs="Times New Roman"/>
          <w:sz w:val="24"/>
          <w:szCs w:val="24"/>
        </w:rPr>
        <w:t xml:space="preserve">to provide explicit authority to interstate natural gas pipelines and public utilities that own, operate, or control facilities used for the transmission of electric energy in interstate commerce to share non-public, operational information with each other for the purpose of promoting reliable service and operational planning on either the pipeline’s </w:t>
      </w:r>
      <w:r w:rsidR="00E36E32">
        <w:rPr>
          <w:rFonts w:ascii="Times New Roman" w:hAnsi="Times New Roman" w:cs="Times New Roman"/>
          <w:sz w:val="24"/>
          <w:szCs w:val="24"/>
        </w:rPr>
        <w:t xml:space="preserve">or </w:t>
      </w:r>
      <w:r w:rsidR="00E36E32" w:rsidRPr="000B0027">
        <w:rPr>
          <w:rFonts w:ascii="Times New Roman" w:hAnsi="Times New Roman" w:cs="Times New Roman"/>
          <w:sz w:val="24"/>
          <w:szCs w:val="24"/>
        </w:rPr>
        <w:t xml:space="preserve">public utility’s </w:t>
      </w:r>
      <w:r w:rsidRPr="000B0027">
        <w:rPr>
          <w:rFonts w:ascii="Times New Roman" w:hAnsi="Times New Roman" w:cs="Times New Roman"/>
          <w:sz w:val="24"/>
          <w:szCs w:val="24"/>
        </w:rPr>
        <w:t>system.</w:t>
      </w:r>
      <w:r w:rsidR="002157DB" w:rsidRPr="002157DB">
        <w:rPr>
          <w:rStyle w:val="FootnoteReference"/>
          <w:rFonts w:ascii="Times New Roman" w:hAnsi="Times New Roman" w:cs="Times New Roman"/>
          <w:sz w:val="24"/>
          <w:szCs w:val="24"/>
          <w:vertAlign w:val="superscript"/>
        </w:rPr>
        <w:footnoteReference w:id="2"/>
      </w:r>
      <w:r w:rsidRPr="000B0027">
        <w:rPr>
          <w:rFonts w:ascii="Times New Roman" w:hAnsi="Times New Roman" w:cs="Times New Roman"/>
          <w:sz w:val="24"/>
          <w:szCs w:val="24"/>
        </w:rPr>
        <w:t xml:space="preserve">   </w:t>
      </w:r>
      <w:r w:rsidR="002157DB" w:rsidRPr="002157DB">
        <w:rPr>
          <w:rFonts w:ascii="Times New Roman" w:hAnsi="Times New Roman" w:cs="Times New Roman"/>
          <w:sz w:val="24"/>
          <w:szCs w:val="24"/>
        </w:rPr>
        <w:t xml:space="preserve">This proposal will help ensure the reliability of </w:t>
      </w:r>
      <w:r w:rsidR="0072049B">
        <w:rPr>
          <w:rFonts w:ascii="Times New Roman" w:hAnsi="Times New Roman" w:cs="Times New Roman"/>
          <w:sz w:val="24"/>
          <w:szCs w:val="24"/>
        </w:rPr>
        <w:t xml:space="preserve">natural gas </w:t>
      </w:r>
      <w:r w:rsidR="002157DB" w:rsidRPr="002157DB">
        <w:rPr>
          <w:rFonts w:ascii="Times New Roman" w:hAnsi="Times New Roman" w:cs="Times New Roman"/>
          <w:sz w:val="24"/>
          <w:szCs w:val="24"/>
        </w:rPr>
        <w:t xml:space="preserve">pipeline and public utility transmission service by permitting transmission operators to share the information that they deem necessary </w:t>
      </w:r>
      <w:r w:rsidR="0072049B" w:rsidRPr="002157DB">
        <w:rPr>
          <w:rFonts w:ascii="Times New Roman" w:hAnsi="Times New Roman" w:cs="Times New Roman"/>
          <w:sz w:val="24"/>
          <w:szCs w:val="24"/>
        </w:rPr>
        <w:t xml:space="preserve">with each other </w:t>
      </w:r>
      <w:r w:rsidR="002157DB" w:rsidRPr="002157DB">
        <w:rPr>
          <w:rFonts w:ascii="Times New Roman" w:hAnsi="Times New Roman" w:cs="Times New Roman"/>
          <w:sz w:val="24"/>
          <w:szCs w:val="24"/>
        </w:rPr>
        <w:t xml:space="preserve">to promote the reliability and integrity of their systems.  </w:t>
      </w:r>
      <w:r w:rsidR="00E36E32">
        <w:rPr>
          <w:rFonts w:ascii="Times New Roman" w:hAnsi="Times New Roman" w:cs="Times New Roman"/>
          <w:sz w:val="24"/>
          <w:szCs w:val="24"/>
        </w:rPr>
        <w:t xml:space="preserve"> </w:t>
      </w:r>
    </w:p>
    <w:p w14:paraId="442DD2BC" w14:textId="77777777" w:rsidR="007F534B" w:rsidRDefault="007F534B" w:rsidP="008A5F46">
      <w:pPr>
        <w:spacing w:after="0" w:line="240" w:lineRule="auto"/>
        <w:rPr>
          <w:rFonts w:ascii="Times New Roman" w:hAnsi="Times New Roman" w:cs="Times New Roman"/>
          <w:sz w:val="24"/>
          <w:szCs w:val="24"/>
        </w:rPr>
      </w:pPr>
    </w:p>
    <w:p w14:paraId="36BDCE70" w14:textId="018D03F1" w:rsidR="0002242D" w:rsidRDefault="0029028C" w:rsidP="008A5F46">
      <w:pPr>
        <w:spacing w:after="0" w:line="240" w:lineRule="auto"/>
        <w:rPr>
          <w:rFonts w:ascii="Times New Roman" w:hAnsi="Times New Roman" w:cs="Times New Roman"/>
          <w:sz w:val="24"/>
          <w:szCs w:val="24"/>
        </w:rPr>
      </w:pPr>
      <w:r w:rsidRPr="0029028C">
        <w:rPr>
          <w:rFonts w:ascii="Times New Roman" w:hAnsi="Times New Roman" w:cs="Times New Roman"/>
          <w:sz w:val="24"/>
          <w:szCs w:val="24"/>
        </w:rPr>
        <w:t xml:space="preserve">The information will not be submitted to FERC; rather the non-public information will be shared </w:t>
      </w:r>
      <w:proofErr w:type="gramStart"/>
      <w:r w:rsidRPr="0029028C">
        <w:rPr>
          <w:rFonts w:ascii="Times New Roman" w:hAnsi="Times New Roman" w:cs="Times New Roman"/>
          <w:sz w:val="24"/>
          <w:szCs w:val="24"/>
        </w:rPr>
        <w:t>voluntarily</w:t>
      </w:r>
      <w:proofErr w:type="gramEnd"/>
      <w:r w:rsidRPr="0029028C">
        <w:rPr>
          <w:rFonts w:ascii="Times New Roman" w:hAnsi="Times New Roman" w:cs="Times New Roman"/>
          <w:sz w:val="24"/>
          <w:szCs w:val="24"/>
        </w:rPr>
        <w:t xml:space="preserve"> between industry entities.  FERC is not prescribing the content, medium, format, or frequency for the information sharing and communications; those decisions will be made by the industry entities, depending on their needs and the situation.</w:t>
      </w:r>
    </w:p>
    <w:p w14:paraId="2F54DC9F" w14:textId="77777777" w:rsidR="009D7EB8" w:rsidRDefault="009D7EB8" w:rsidP="008A5F46">
      <w:pPr>
        <w:spacing w:after="0" w:line="240" w:lineRule="auto"/>
        <w:rPr>
          <w:rFonts w:ascii="Times New Roman" w:hAnsi="Times New Roman" w:cs="Times New Roman"/>
          <w:sz w:val="24"/>
          <w:szCs w:val="24"/>
        </w:rPr>
      </w:pPr>
    </w:p>
    <w:p w14:paraId="64936FE7" w14:textId="77777777" w:rsidR="000B0027" w:rsidRDefault="000B0027" w:rsidP="008A5F46">
      <w:pPr>
        <w:spacing w:after="0" w:line="240" w:lineRule="auto"/>
        <w:rPr>
          <w:rFonts w:ascii="Times New Roman" w:hAnsi="Times New Roman" w:cs="Times New Roman"/>
          <w:sz w:val="24"/>
          <w:szCs w:val="24"/>
        </w:rPr>
      </w:pPr>
    </w:p>
    <w:p w14:paraId="36BDCE71" w14:textId="77777777" w:rsidR="00A72E7B" w:rsidRPr="00EB3E6F" w:rsidRDefault="00A72E7B" w:rsidP="008A5F46">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25B4AF27" w14:textId="77777777" w:rsidR="00F00F78" w:rsidRPr="00EA01DB" w:rsidRDefault="00CA5FC3" w:rsidP="008A5F46">
      <w:pPr>
        <w:pStyle w:val="FERCparanumber"/>
        <w:numPr>
          <w:ilvl w:val="0"/>
          <w:numId w:val="0"/>
        </w:numPr>
        <w:spacing w:line="240" w:lineRule="auto"/>
        <w:rPr>
          <w:sz w:val="24"/>
        </w:rPr>
      </w:pPr>
      <w:r w:rsidRPr="00EA01DB">
        <w:rPr>
          <w:sz w:val="24"/>
        </w:rPr>
        <w:t>In recent years, reliance on natural gas as a fuel for electric generation has steadily increased.</w:t>
      </w:r>
      <w:r w:rsidR="002157DB" w:rsidRPr="00EA01DB">
        <w:rPr>
          <w:rStyle w:val="FootnoteReference"/>
          <w:sz w:val="24"/>
          <w:vertAlign w:val="superscript"/>
        </w:rPr>
        <w:footnoteReference w:id="3"/>
      </w:r>
      <w:r w:rsidRPr="00EA01DB">
        <w:rPr>
          <w:sz w:val="24"/>
          <w:vertAlign w:val="superscript"/>
        </w:rPr>
        <w:t xml:space="preserve">   </w:t>
      </w:r>
      <w:r w:rsidRPr="00EA01DB">
        <w:rPr>
          <w:sz w:val="24"/>
        </w:rPr>
        <w:t>This trend is expected to continue into the future, resulting in greater interdependence between the natural gas and electric industries.</w:t>
      </w:r>
      <w:r w:rsidR="00684A1D" w:rsidRPr="00EA01DB">
        <w:rPr>
          <w:rStyle w:val="FootnoteReference"/>
          <w:sz w:val="24"/>
          <w:vertAlign w:val="superscript"/>
        </w:rPr>
        <w:footnoteReference w:id="4"/>
      </w:r>
      <w:r w:rsidRPr="00EA01DB">
        <w:rPr>
          <w:sz w:val="24"/>
        </w:rPr>
        <w:t xml:space="preserve">   Several events over the last few years, such as the Southwest Cold Weather Event,</w:t>
      </w:r>
      <w:r w:rsidR="000A1A74" w:rsidRPr="00EA01DB">
        <w:rPr>
          <w:rStyle w:val="FootnoteReference"/>
          <w:sz w:val="24"/>
          <w:vertAlign w:val="superscript"/>
        </w:rPr>
        <w:footnoteReference w:id="5"/>
      </w:r>
      <w:r w:rsidRPr="00EA01DB">
        <w:rPr>
          <w:sz w:val="24"/>
          <w:vertAlign w:val="superscript"/>
        </w:rPr>
        <w:t xml:space="preserve"> </w:t>
      </w:r>
      <w:r w:rsidRPr="00EA01DB">
        <w:rPr>
          <w:sz w:val="24"/>
        </w:rPr>
        <w:t xml:space="preserve">demonstrated the crucial interconnection between natural gas pipelines and electric transmission operators and the need for robust communication between these industry sectors to ensure that both systems operate safely and effectively for the benefit of their customers.  </w:t>
      </w:r>
      <w:r w:rsidR="00F11F42" w:rsidRPr="00EA01DB">
        <w:rPr>
          <w:sz w:val="24"/>
        </w:rPr>
        <w:t xml:space="preserve"> </w:t>
      </w:r>
      <w:bookmarkStart w:id="0" w:name="_GoBack"/>
      <w:bookmarkEnd w:id="0"/>
    </w:p>
    <w:p w14:paraId="47DE54B3" w14:textId="77777777" w:rsidR="00F00F78" w:rsidRPr="00EA01DB" w:rsidRDefault="00F00F78" w:rsidP="008A5F46">
      <w:pPr>
        <w:pStyle w:val="FERCparanumber"/>
        <w:numPr>
          <w:ilvl w:val="0"/>
          <w:numId w:val="0"/>
        </w:numPr>
        <w:spacing w:line="240" w:lineRule="auto"/>
        <w:rPr>
          <w:sz w:val="24"/>
        </w:rPr>
      </w:pPr>
    </w:p>
    <w:p w14:paraId="29480438" w14:textId="77777777" w:rsidR="00EA01DB" w:rsidRDefault="009618EE" w:rsidP="008A5F46">
      <w:pPr>
        <w:spacing w:after="0" w:line="240" w:lineRule="auto"/>
        <w:rPr>
          <w:rFonts w:ascii="Times New Roman" w:hAnsi="Times New Roman" w:cs="Times New Roman"/>
          <w:sz w:val="24"/>
          <w:szCs w:val="24"/>
        </w:rPr>
      </w:pPr>
      <w:r w:rsidRPr="00EA01DB">
        <w:rPr>
          <w:rFonts w:ascii="Times New Roman" w:hAnsi="Times New Roman" w:cs="Times New Roman"/>
          <w:sz w:val="24"/>
          <w:szCs w:val="24"/>
        </w:rPr>
        <w:t>As highlighted further in # 8</w:t>
      </w:r>
      <w:r w:rsidR="004C1D01" w:rsidRPr="00EA01DB">
        <w:rPr>
          <w:rFonts w:ascii="Times New Roman" w:hAnsi="Times New Roman" w:cs="Times New Roman"/>
          <w:sz w:val="24"/>
          <w:szCs w:val="24"/>
        </w:rPr>
        <w:t xml:space="preserve"> below, the Commission</w:t>
      </w:r>
      <w:r w:rsidR="008A2913" w:rsidRPr="00EA01DB">
        <w:rPr>
          <w:rFonts w:ascii="Times New Roman" w:hAnsi="Times New Roman" w:cs="Times New Roman"/>
          <w:sz w:val="24"/>
          <w:szCs w:val="24"/>
        </w:rPr>
        <w:t xml:space="preserve"> has compiled inputs from the various entities to better understand the interface between the electric and natural gas pipeline industries and identify areas for improved coordination and communication</w:t>
      </w:r>
      <w:r w:rsidR="000F5F03" w:rsidRPr="00EA01DB">
        <w:rPr>
          <w:rFonts w:ascii="Times New Roman" w:hAnsi="Times New Roman" w:cs="Times New Roman"/>
          <w:sz w:val="24"/>
          <w:szCs w:val="24"/>
        </w:rPr>
        <w:t xml:space="preserve"> between their operators</w:t>
      </w:r>
      <w:r w:rsidR="008A2913" w:rsidRPr="00EA01DB">
        <w:rPr>
          <w:rFonts w:ascii="Times New Roman" w:hAnsi="Times New Roman" w:cs="Times New Roman"/>
          <w:sz w:val="24"/>
          <w:szCs w:val="24"/>
        </w:rPr>
        <w:t xml:space="preserve">. Specifically, and </w:t>
      </w:r>
      <w:r w:rsidR="000467C1" w:rsidRPr="00EA01DB">
        <w:rPr>
          <w:rFonts w:ascii="Times New Roman" w:hAnsi="Times New Roman" w:cs="Times New Roman"/>
          <w:sz w:val="24"/>
          <w:szCs w:val="24"/>
        </w:rPr>
        <w:t>after</w:t>
      </w:r>
      <w:r w:rsidR="008A2913" w:rsidRPr="00EA01DB">
        <w:rPr>
          <w:rFonts w:ascii="Times New Roman" w:hAnsi="Times New Roman" w:cs="Times New Roman"/>
          <w:sz w:val="24"/>
          <w:szCs w:val="24"/>
        </w:rPr>
        <w:t xml:space="preserve"> several </w:t>
      </w:r>
      <w:r w:rsidR="000F5F03" w:rsidRPr="00EA01DB">
        <w:rPr>
          <w:rFonts w:ascii="Times New Roman" w:hAnsi="Times New Roman" w:cs="Times New Roman"/>
          <w:sz w:val="24"/>
          <w:szCs w:val="24"/>
        </w:rPr>
        <w:t>regional conferences</w:t>
      </w:r>
      <w:r w:rsidR="00F77359" w:rsidRPr="00EA01DB">
        <w:rPr>
          <w:rFonts w:ascii="Times New Roman" w:hAnsi="Times New Roman" w:cs="Times New Roman"/>
          <w:sz w:val="24"/>
          <w:szCs w:val="24"/>
        </w:rPr>
        <w:t>, it was established that</w:t>
      </w:r>
      <w:r w:rsidR="00F11F42" w:rsidRPr="00EA01DB">
        <w:rPr>
          <w:rFonts w:ascii="Times New Roman" w:eastAsia="Times New Roman" w:hAnsi="Times New Roman" w:cs="Times New Roman"/>
          <w:sz w:val="24"/>
          <w:szCs w:val="24"/>
        </w:rPr>
        <w:t xml:space="preserve"> further sharing of non-public, operational information between transmission operators could enhance system reliability and contingency planning in both industries.  </w:t>
      </w:r>
      <w:r w:rsidR="00F77359" w:rsidRPr="00EA01DB">
        <w:rPr>
          <w:rFonts w:ascii="Times New Roman" w:eastAsia="Times New Roman" w:hAnsi="Times New Roman" w:cs="Times New Roman"/>
          <w:sz w:val="24"/>
          <w:szCs w:val="24"/>
        </w:rPr>
        <w:t>However, some members of the public have</w:t>
      </w:r>
      <w:r w:rsidR="00F77359" w:rsidRPr="00EA01DB">
        <w:rPr>
          <w:rFonts w:ascii="Times New Roman" w:hAnsi="Times New Roman" w:cs="Times New Roman"/>
          <w:sz w:val="24"/>
          <w:szCs w:val="24"/>
        </w:rPr>
        <w:t xml:space="preserve"> indicated</w:t>
      </w:r>
      <w:r w:rsidR="00BF7A12" w:rsidRPr="00EA01DB">
        <w:rPr>
          <w:rFonts w:ascii="Times New Roman" w:hAnsi="Times New Roman" w:cs="Times New Roman"/>
          <w:sz w:val="24"/>
          <w:szCs w:val="24"/>
        </w:rPr>
        <w:t xml:space="preserve"> that there is a real or perceived prohibition (statutory </w:t>
      </w:r>
      <w:r w:rsidR="00517510" w:rsidRPr="00EA01DB">
        <w:rPr>
          <w:rFonts w:ascii="Times New Roman" w:hAnsi="Times New Roman" w:cs="Times New Roman"/>
          <w:sz w:val="24"/>
          <w:szCs w:val="24"/>
        </w:rPr>
        <w:t>and/</w:t>
      </w:r>
      <w:r w:rsidR="00BF7A12" w:rsidRPr="00EA01DB">
        <w:rPr>
          <w:rFonts w:ascii="Times New Roman" w:hAnsi="Times New Roman" w:cs="Times New Roman"/>
          <w:sz w:val="24"/>
          <w:szCs w:val="24"/>
        </w:rPr>
        <w:t xml:space="preserve">or regulatory) on the sharing of certain non-public information.  </w:t>
      </w:r>
      <w:r w:rsidR="00AA4096" w:rsidRPr="00EA01DB">
        <w:rPr>
          <w:rFonts w:ascii="Times New Roman" w:hAnsi="Times New Roman" w:cs="Times New Roman"/>
          <w:sz w:val="24"/>
          <w:szCs w:val="24"/>
        </w:rPr>
        <w:t>For example, several transmission operators pointed out that there is general reluctance to share information because of concerns that do so could be a violation of current laws</w:t>
      </w:r>
      <w:r w:rsidR="00CB1A38" w:rsidRPr="00EA01DB">
        <w:rPr>
          <w:rFonts w:ascii="Times New Roman" w:hAnsi="Times New Roman" w:cs="Times New Roman"/>
          <w:sz w:val="24"/>
          <w:szCs w:val="24"/>
        </w:rPr>
        <w:t xml:space="preserve"> (Federal Power Act and Natural Gas Act)</w:t>
      </w:r>
      <w:r w:rsidR="00AA4096" w:rsidRPr="00EA01DB">
        <w:rPr>
          <w:rFonts w:ascii="Times New Roman" w:hAnsi="Times New Roman" w:cs="Times New Roman"/>
          <w:sz w:val="24"/>
          <w:szCs w:val="24"/>
        </w:rPr>
        <w:t xml:space="preserve">, regulations or tariffs.  Electric generators expressed concern about the communication of generator-specific information between an electric transmission operator and a pipeline operator without the generator’s knowledge.  </w:t>
      </w:r>
      <w:r w:rsidR="00EF7C9B" w:rsidRPr="00EA01DB">
        <w:rPr>
          <w:rFonts w:ascii="Times New Roman" w:hAnsi="Times New Roman" w:cs="Times New Roman"/>
          <w:sz w:val="24"/>
          <w:szCs w:val="24"/>
        </w:rPr>
        <w:t>Other comments expressed concern regarding the potential harm to industry participants or the potential for improper use of material resulting from increase</w:t>
      </w:r>
      <w:r w:rsidR="00176B28" w:rsidRPr="00EA01DB">
        <w:rPr>
          <w:rFonts w:ascii="Times New Roman" w:hAnsi="Times New Roman" w:cs="Times New Roman"/>
          <w:sz w:val="24"/>
          <w:szCs w:val="24"/>
        </w:rPr>
        <w:t>d</w:t>
      </w:r>
      <w:r w:rsidR="00EF7C9B" w:rsidRPr="00EA01DB">
        <w:rPr>
          <w:rFonts w:ascii="Times New Roman" w:hAnsi="Times New Roman" w:cs="Times New Roman"/>
          <w:sz w:val="24"/>
          <w:szCs w:val="24"/>
        </w:rPr>
        <w:t xml:space="preserve"> communication. This proceeding seeks to address those concerns</w:t>
      </w:r>
      <w:r w:rsidR="00731AC3" w:rsidRPr="00EA01DB">
        <w:rPr>
          <w:rFonts w:ascii="Times New Roman" w:hAnsi="Times New Roman" w:cs="Times New Roman"/>
          <w:sz w:val="24"/>
          <w:szCs w:val="24"/>
        </w:rPr>
        <w:t xml:space="preserve">, and the Commission is proposing to revise its regulations to authorize expressly the exchange of non-public, operational information between electric transmission operators and interstate natural gas pipelines.  </w:t>
      </w:r>
    </w:p>
    <w:p w14:paraId="242EE3EB" w14:textId="77777777" w:rsidR="00EA01DB" w:rsidRDefault="00EA01DB" w:rsidP="008A5F46">
      <w:pPr>
        <w:spacing w:after="0" w:line="240" w:lineRule="auto"/>
        <w:rPr>
          <w:rFonts w:ascii="Times New Roman" w:hAnsi="Times New Roman" w:cs="Times New Roman"/>
          <w:sz w:val="24"/>
          <w:szCs w:val="24"/>
        </w:rPr>
      </w:pPr>
    </w:p>
    <w:p w14:paraId="7DA709CB" w14:textId="4AD68EBE" w:rsidR="00731AC3" w:rsidRPr="00EA01DB" w:rsidRDefault="00731AC3" w:rsidP="008A5F46">
      <w:pPr>
        <w:spacing w:after="0" w:line="240" w:lineRule="auto"/>
        <w:rPr>
          <w:rFonts w:ascii="Times New Roman" w:hAnsi="Times New Roman" w:cs="Times New Roman"/>
          <w:sz w:val="24"/>
          <w:szCs w:val="24"/>
        </w:rPr>
      </w:pPr>
      <w:r w:rsidRPr="00EA01DB">
        <w:rPr>
          <w:rFonts w:ascii="Times New Roman" w:hAnsi="Times New Roman" w:cs="Times New Roman"/>
          <w:sz w:val="24"/>
          <w:szCs w:val="24"/>
        </w:rPr>
        <w:t xml:space="preserve">The revised regulations are </w:t>
      </w:r>
      <w:r w:rsidR="00A805A6" w:rsidRPr="00EA01DB">
        <w:rPr>
          <w:rFonts w:ascii="Times New Roman" w:hAnsi="Times New Roman" w:cs="Times New Roman"/>
          <w:sz w:val="24"/>
          <w:szCs w:val="24"/>
        </w:rPr>
        <w:t xml:space="preserve">in </w:t>
      </w:r>
      <w:r w:rsidRPr="00EA01DB">
        <w:rPr>
          <w:rFonts w:ascii="Times New Roman" w:hAnsi="Times New Roman" w:cs="Times New Roman"/>
          <w:sz w:val="24"/>
          <w:szCs w:val="24"/>
        </w:rPr>
        <w:t>section</w:t>
      </w:r>
      <w:r w:rsidR="00A805A6" w:rsidRPr="00EA01DB">
        <w:rPr>
          <w:rFonts w:ascii="Times New Roman" w:hAnsi="Times New Roman" w:cs="Times New Roman"/>
          <w:sz w:val="24"/>
          <w:szCs w:val="24"/>
        </w:rPr>
        <w:t>s</w:t>
      </w:r>
      <w:r w:rsidRPr="00EA01DB">
        <w:rPr>
          <w:rFonts w:ascii="Times New Roman" w:hAnsi="Times New Roman" w:cs="Times New Roman"/>
          <w:sz w:val="24"/>
          <w:szCs w:val="24"/>
        </w:rPr>
        <w:t xml:space="preserve"> 38.3</w:t>
      </w:r>
      <w:r w:rsidR="00A805A6" w:rsidRPr="00EA01DB">
        <w:rPr>
          <w:rFonts w:ascii="Times New Roman" w:hAnsi="Times New Roman" w:cs="Times New Roman"/>
          <w:sz w:val="24"/>
          <w:szCs w:val="24"/>
        </w:rPr>
        <w:t xml:space="preserve">(a) </w:t>
      </w:r>
      <w:r w:rsidRPr="00EA01DB">
        <w:rPr>
          <w:rFonts w:ascii="Times New Roman" w:hAnsi="Times New Roman" w:cs="Times New Roman"/>
          <w:sz w:val="24"/>
          <w:szCs w:val="24"/>
        </w:rPr>
        <w:t>which applies to any public utility that owns, operates, or controls facilities used for the transmission of electric energy in interstate commerce subject to a No-Conduit Rule</w:t>
      </w:r>
      <w:r w:rsidR="00A805A6" w:rsidRPr="00EA01DB">
        <w:rPr>
          <w:rFonts w:ascii="Times New Roman" w:hAnsi="Times New Roman" w:cs="Times New Roman"/>
          <w:sz w:val="24"/>
          <w:szCs w:val="24"/>
        </w:rPr>
        <w:t xml:space="preserve">, and to </w:t>
      </w:r>
      <w:r w:rsidRPr="00EA01DB">
        <w:rPr>
          <w:rFonts w:ascii="Times New Roman" w:hAnsi="Times New Roman" w:cs="Times New Roman"/>
          <w:sz w:val="24"/>
          <w:szCs w:val="24"/>
        </w:rPr>
        <w:t xml:space="preserve">section 284.12(b), which applies to any interstate pipeline. </w:t>
      </w:r>
      <w:r w:rsidR="00A805A6" w:rsidRPr="00EA01DB">
        <w:rPr>
          <w:rFonts w:ascii="Times New Roman" w:hAnsi="Times New Roman" w:cs="Times New Roman"/>
          <w:sz w:val="24"/>
          <w:szCs w:val="24"/>
        </w:rPr>
        <w:t xml:space="preserve"> The proposed changes in sections 38.3(a) and 284.12(b) will authorize public utilities providing transmission service and natural gas pipelines to share non-public, operational information when such information is for the purpose of promoting reliable service or operational planning.</w:t>
      </w:r>
    </w:p>
    <w:p w14:paraId="252B996C" w14:textId="77777777" w:rsidR="00BF7A12" w:rsidRPr="00EA01DB" w:rsidRDefault="00BF7A12" w:rsidP="008A5F46">
      <w:pPr>
        <w:spacing w:after="0" w:line="240" w:lineRule="auto"/>
        <w:rPr>
          <w:rFonts w:ascii="Times New Roman" w:hAnsi="Times New Roman" w:cs="Times New Roman"/>
          <w:sz w:val="24"/>
          <w:szCs w:val="24"/>
        </w:rPr>
      </w:pPr>
    </w:p>
    <w:p w14:paraId="36BDCE74" w14:textId="77777777" w:rsidR="00A72E7B" w:rsidRPr="00EB3E6F" w:rsidRDefault="00EB3E6F" w:rsidP="008A5F46">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36BDCE75" w14:textId="79C60549" w:rsidR="00EB3E6F" w:rsidRDefault="009D7EB8" w:rsidP="008A5F46">
      <w:pPr>
        <w:spacing w:after="0" w:line="240" w:lineRule="auto"/>
        <w:rPr>
          <w:rFonts w:ascii="Times New Roman" w:hAnsi="Times New Roman" w:cs="Times New Roman"/>
          <w:sz w:val="24"/>
          <w:szCs w:val="24"/>
        </w:rPr>
      </w:pPr>
      <w:r w:rsidRPr="009D7EB8">
        <w:rPr>
          <w:rFonts w:ascii="Times New Roman" w:hAnsi="Times New Roman" w:cs="Times New Roman"/>
          <w:sz w:val="24"/>
          <w:szCs w:val="24"/>
        </w:rPr>
        <w:t xml:space="preserve">Note that this </w:t>
      </w:r>
      <w:r>
        <w:rPr>
          <w:rFonts w:ascii="Times New Roman" w:hAnsi="Times New Roman" w:cs="Times New Roman"/>
          <w:sz w:val="24"/>
          <w:szCs w:val="24"/>
        </w:rPr>
        <w:t xml:space="preserve">non-public </w:t>
      </w:r>
      <w:r w:rsidRPr="009D7EB8">
        <w:rPr>
          <w:rFonts w:ascii="Times New Roman" w:hAnsi="Times New Roman" w:cs="Times New Roman"/>
          <w:sz w:val="24"/>
          <w:szCs w:val="24"/>
        </w:rPr>
        <w:t xml:space="preserve">information </w:t>
      </w:r>
      <w:r w:rsidR="00F54F21">
        <w:rPr>
          <w:rFonts w:ascii="Times New Roman" w:hAnsi="Times New Roman" w:cs="Times New Roman"/>
          <w:sz w:val="24"/>
          <w:szCs w:val="24"/>
        </w:rPr>
        <w:t xml:space="preserve">(FERC-923) </w:t>
      </w:r>
      <w:r w:rsidRPr="009D7EB8">
        <w:rPr>
          <w:rFonts w:ascii="Times New Roman" w:hAnsi="Times New Roman" w:cs="Times New Roman"/>
          <w:sz w:val="24"/>
          <w:szCs w:val="24"/>
        </w:rPr>
        <w:t xml:space="preserve">will be </w:t>
      </w:r>
      <w:r>
        <w:rPr>
          <w:rFonts w:ascii="Times New Roman" w:hAnsi="Times New Roman" w:cs="Times New Roman"/>
          <w:sz w:val="24"/>
          <w:szCs w:val="24"/>
        </w:rPr>
        <w:t xml:space="preserve">communicated and </w:t>
      </w:r>
      <w:r w:rsidRPr="009D7EB8">
        <w:rPr>
          <w:rFonts w:ascii="Times New Roman" w:hAnsi="Times New Roman" w:cs="Times New Roman"/>
          <w:sz w:val="24"/>
          <w:szCs w:val="24"/>
        </w:rPr>
        <w:t xml:space="preserve">shared between various </w:t>
      </w:r>
      <w:proofErr w:type="gramStart"/>
      <w:r w:rsidRPr="009D7EB8">
        <w:rPr>
          <w:rFonts w:ascii="Times New Roman" w:hAnsi="Times New Roman" w:cs="Times New Roman"/>
          <w:sz w:val="24"/>
          <w:szCs w:val="24"/>
        </w:rPr>
        <w:t>industry</w:t>
      </w:r>
      <w:proofErr w:type="gramEnd"/>
      <w:r w:rsidRPr="009D7EB8">
        <w:rPr>
          <w:rFonts w:ascii="Times New Roman" w:hAnsi="Times New Roman" w:cs="Times New Roman"/>
          <w:sz w:val="24"/>
          <w:szCs w:val="24"/>
        </w:rPr>
        <w:t xml:space="preserve"> entities and is not being submitted to FERC.</w:t>
      </w:r>
    </w:p>
    <w:p w14:paraId="61348A3F" w14:textId="77777777" w:rsidR="00C25AA2" w:rsidRDefault="00C25AA2" w:rsidP="008A5F46">
      <w:pPr>
        <w:spacing w:after="0" w:line="240" w:lineRule="auto"/>
        <w:rPr>
          <w:rFonts w:ascii="Times New Roman" w:hAnsi="Times New Roman" w:cs="Times New Roman"/>
          <w:sz w:val="24"/>
          <w:szCs w:val="24"/>
        </w:rPr>
      </w:pPr>
    </w:p>
    <w:p w14:paraId="36DBFF91" w14:textId="19C96876" w:rsidR="009D7EB8" w:rsidRDefault="00C25AA2"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CA5FC3">
        <w:rPr>
          <w:rFonts w:ascii="Times New Roman" w:hAnsi="Times New Roman" w:cs="Times New Roman"/>
          <w:sz w:val="24"/>
          <w:szCs w:val="24"/>
        </w:rPr>
        <w:t>ntities from both</w:t>
      </w:r>
      <w:r w:rsidR="0048685B">
        <w:rPr>
          <w:rFonts w:ascii="Times New Roman" w:hAnsi="Times New Roman" w:cs="Times New Roman"/>
          <w:sz w:val="24"/>
          <w:szCs w:val="24"/>
        </w:rPr>
        <w:t xml:space="preserve"> electric and natural gas</w:t>
      </w:r>
      <w:r w:rsidRPr="00CA5FC3">
        <w:rPr>
          <w:rFonts w:ascii="Times New Roman" w:hAnsi="Times New Roman" w:cs="Times New Roman"/>
          <w:sz w:val="24"/>
          <w:szCs w:val="24"/>
        </w:rPr>
        <w:t xml:space="preserve"> industries have already begun efforts to improve coordination, </w:t>
      </w:r>
      <w:r>
        <w:rPr>
          <w:rFonts w:ascii="Times New Roman" w:hAnsi="Times New Roman" w:cs="Times New Roman"/>
          <w:sz w:val="24"/>
          <w:szCs w:val="24"/>
        </w:rPr>
        <w:t xml:space="preserve">however </w:t>
      </w:r>
      <w:r w:rsidRPr="00CA5FC3">
        <w:rPr>
          <w:rFonts w:ascii="Times New Roman" w:hAnsi="Times New Roman" w:cs="Times New Roman"/>
          <w:sz w:val="24"/>
          <w:szCs w:val="24"/>
        </w:rPr>
        <w:t xml:space="preserve">further sharing of non-public, operational information between transmission operators could enhance system reliability and contingency planning in both industries.  </w:t>
      </w:r>
      <w:r w:rsidR="00AC74D9">
        <w:rPr>
          <w:rFonts w:ascii="Times New Roman" w:hAnsi="Times New Roman" w:cs="Times New Roman"/>
          <w:sz w:val="24"/>
          <w:szCs w:val="24"/>
        </w:rPr>
        <w:t>The information sharing and communications between industry entities are voluntary, although there are restrictions on providing the non-public information to third parties or marketing entities.</w:t>
      </w:r>
    </w:p>
    <w:p w14:paraId="36BDCE76" w14:textId="77777777" w:rsidR="00EB3E6F" w:rsidRPr="00EB3E6F" w:rsidRDefault="00EB3E6F" w:rsidP="008A5F46">
      <w:pPr>
        <w:spacing w:after="0" w:line="240" w:lineRule="auto"/>
        <w:rPr>
          <w:rFonts w:ascii="Times New Roman" w:hAnsi="Times New Roman" w:cs="Times New Roman"/>
          <w:sz w:val="24"/>
          <w:szCs w:val="24"/>
        </w:rPr>
      </w:pPr>
    </w:p>
    <w:p w14:paraId="36BDCE77" w14:textId="77777777" w:rsidR="00EB3E6F" w:rsidRPr="00EB3E6F" w:rsidRDefault="00EB3E6F" w:rsidP="008A5F46">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58413404" w14:textId="4E119653" w:rsidR="009900F8" w:rsidRDefault="009900F8"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t>FERC is removing actual or perceived impediments to the information sharing and communications between industry entities.</w:t>
      </w:r>
    </w:p>
    <w:p w14:paraId="29662120" w14:textId="77777777" w:rsidR="009900F8" w:rsidRDefault="009900F8" w:rsidP="008A5F46">
      <w:pPr>
        <w:spacing w:after="0" w:line="240" w:lineRule="auto"/>
        <w:rPr>
          <w:rFonts w:ascii="Times New Roman" w:hAnsi="Times New Roman" w:cs="Times New Roman"/>
          <w:sz w:val="24"/>
          <w:szCs w:val="24"/>
        </w:rPr>
      </w:pPr>
    </w:p>
    <w:p w14:paraId="36BDCE78" w14:textId="27BCD1DD" w:rsidR="00EB3E6F" w:rsidRDefault="00C25AA2"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FERC is not prescribing the </w:t>
      </w:r>
      <w:r w:rsidR="009900F8">
        <w:rPr>
          <w:rFonts w:ascii="Times New Roman" w:hAnsi="Times New Roman" w:cs="Times New Roman"/>
          <w:sz w:val="24"/>
          <w:szCs w:val="24"/>
        </w:rPr>
        <w:t xml:space="preserve">content, </w:t>
      </w:r>
      <w:r>
        <w:rPr>
          <w:rFonts w:ascii="Times New Roman" w:hAnsi="Times New Roman" w:cs="Times New Roman"/>
          <w:sz w:val="24"/>
          <w:szCs w:val="24"/>
        </w:rPr>
        <w:t>medium</w:t>
      </w:r>
      <w:r w:rsidR="009900F8">
        <w:rPr>
          <w:rFonts w:ascii="Times New Roman" w:hAnsi="Times New Roman" w:cs="Times New Roman"/>
          <w:sz w:val="24"/>
          <w:szCs w:val="24"/>
        </w:rPr>
        <w:t>,</w:t>
      </w:r>
      <w:r>
        <w:rPr>
          <w:rFonts w:ascii="Times New Roman" w:hAnsi="Times New Roman" w:cs="Times New Roman"/>
          <w:sz w:val="24"/>
          <w:szCs w:val="24"/>
        </w:rPr>
        <w:t xml:space="preserve"> format</w:t>
      </w:r>
      <w:r w:rsidR="009900F8">
        <w:rPr>
          <w:rFonts w:ascii="Times New Roman" w:hAnsi="Times New Roman" w:cs="Times New Roman"/>
          <w:sz w:val="24"/>
          <w:szCs w:val="24"/>
        </w:rPr>
        <w:t>,</w:t>
      </w:r>
      <w:r>
        <w:rPr>
          <w:rFonts w:ascii="Times New Roman" w:hAnsi="Times New Roman" w:cs="Times New Roman"/>
          <w:sz w:val="24"/>
          <w:szCs w:val="24"/>
        </w:rPr>
        <w:t xml:space="preserve"> </w:t>
      </w:r>
      <w:r w:rsidR="0048685B">
        <w:rPr>
          <w:rFonts w:ascii="Times New Roman" w:hAnsi="Times New Roman" w:cs="Times New Roman"/>
          <w:sz w:val="24"/>
          <w:szCs w:val="24"/>
        </w:rPr>
        <w:t>or</w:t>
      </w:r>
      <w:r>
        <w:rPr>
          <w:rFonts w:ascii="Times New Roman" w:hAnsi="Times New Roman" w:cs="Times New Roman"/>
          <w:sz w:val="24"/>
          <w:szCs w:val="24"/>
        </w:rPr>
        <w:t xml:space="preserve"> frequency for th</w:t>
      </w:r>
      <w:r w:rsidR="00D02C22">
        <w:rPr>
          <w:rFonts w:ascii="Times New Roman" w:hAnsi="Times New Roman" w:cs="Times New Roman"/>
          <w:sz w:val="24"/>
          <w:szCs w:val="24"/>
        </w:rPr>
        <w:t>e</w:t>
      </w:r>
      <w:r>
        <w:rPr>
          <w:rFonts w:ascii="Times New Roman" w:hAnsi="Times New Roman" w:cs="Times New Roman"/>
          <w:sz w:val="24"/>
          <w:szCs w:val="24"/>
        </w:rPr>
        <w:t xml:space="preserve"> information sharing</w:t>
      </w:r>
      <w:r w:rsidR="00D02C22">
        <w:rPr>
          <w:rFonts w:ascii="Times New Roman" w:hAnsi="Times New Roman" w:cs="Times New Roman"/>
          <w:sz w:val="24"/>
          <w:szCs w:val="24"/>
        </w:rPr>
        <w:t xml:space="preserve"> and communications</w:t>
      </w:r>
      <w:r>
        <w:rPr>
          <w:rFonts w:ascii="Times New Roman" w:hAnsi="Times New Roman" w:cs="Times New Roman"/>
          <w:sz w:val="24"/>
          <w:szCs w:val="24"/>
        </w:rPr>
        <w:t>.  The decisions</w:t>
      </w:r>
      <w:r w:rsidR="009900F8">
        <w:rPr>
          <w:rFonts w:ascii="Times New Roman" w:hAnsi="Times New Roman" w:cs="Times New Roman"/>
          <w:sz w:val="24"/>
          <w:szCs w:val="24"/>
        </w:rPr>
        <w:t xml:space="preserve"> on</w:t>
      </w:r>
      <w:r>
        <w:rPr>
          <w:rFonts w:ascii="Times New Roman" w:hAnsi="Times New Roman" w:cs="Times New Roman"/>
          <w:sz w:val="24"/>
          <w:szCs w:val="24"/>
        </w:rPr>
        <w:t xml:space="preserve"> </w:t>
      </w:r>
      <w:r w:rsidR="00F54F21" w:rsidRPr="00F54F21">
        <w:rPr>
          <w:rFonts w:ascii="Times New Roman" w:hAnsi="Times New Roman" w:cs="Times New Roman"/>
          <w:sz w:val="24"/>
          <w:szCs w:val="24"/>
        </w:rPr>
        <w:t xml:space="preserve">content, medium, format, </w:t>
      </w:r>
      <w:r w:rsidR="00F54F21">
        <w:rPr>
          <w:rFonts w:ascii="Times New Roman" w:hAnsi="Times New Roman" w:cs="Times New Roman"/>
          <w:sz w:val="24"/>
          <w:szCs w:val="24"/>
        </w:rPr>
        <w:t>and</w:t>
      </w:r>
      <w:r w:rsidR="00F54F21" w:rsidRPr="00F54F21">
        <w:rPr>
          <w:rFonts w:ascii="Times New Roman" w:hAnsi="Times New Roman" w:cs="Times New Roman"/>
          <w:sz w:val="24"/>
          <w:szCs w:val="24"/>
        </w:rPr>
        <w:t xml:space="preserve"> frequency </w:t>
      </w:r>
      <w:r>
        <w:rPr>
          <w:rFonts w:ascii="Times New Roman" w:hAnsi="Times New Roman" w:cs="Times New Roman"/>
          <w:sz w:val="24"/>
          <w:szCs w:val="24"/>
        </w:rPr>
        <w:t>will be made by the industry entities</w:t>
      </w:r>
      <w:r w:rsidR="00F54F21">
        <w:rPr>
          <w:rFonts w:ascii="Times New Roman" w:hAnsi="Times New Roman" w:cs="Times New Roman"/>
          <w:sz w:val="24"/>
          <w:szCs w:val="24"/>
        </w:rPr>
        <w:t>,</w:t>
      </w:r>
      <w:r w:rsidR="00AC74D9">
        <w:rPr>
          <w:rFonts w:ascii="Times New Roman" w:hAnsi="Times New Roman" w:cs="Times New Roman"/>
          <w:sz w:val="24"/>
          <w:szCs w:val="24"/>
        </w:rPr>
        <w:t xml:space="preserve"> depend</w:t>
      </w:r>
      <w:r w:rsidR="00F54F21">
        <w:rPr>
          <w:rFonts w:ascii="Times New Roman" w:hAnsi="Times New Roman" w:cs="Times New Roman"/>
          <w:sz w:val="24"/>
          <w:szCs w:val="24"/>
        </w:rPr>
        <w:t>ing</w:t>
      </w:r>
      <w:r w:rsidR="00AC74D9">
        <w:rPr>
          <w:rFonts w:ascii="Times New Roman" w:hAnsi="Times New Roman" w:cs="Times New Roman"/>
          <w:sz w:val="24"/>
          <w:szCs w:val="24"/>
        </w:rPr>
        <w:t xml:space="preserve"> on their needs.</w:t>
      </w:r>
      <w:r w:rsidR="009900F8">
        <w:rPr>
          <w:rFonts w:ascii="Times New Roman" w:hAnsi="Times New Roman" w:cs="Times New Roman"/>
          <w:sz w:val="24"/>
          <w:szCs w:val="24"/>
        </w:rPr>
        <w:t xml:space="preserve">  </w:t>
      </w:r>
    </w:p>
    <w:p w14:paraId="36BDCE79" w14:textId="77777777" w:rsidR="00EB3E6F" w:rsidRPr="00EB3E6F" w:rsidRDefault="00EB3E6F" w:rsidP="008A5F46">
      <w:pPr>
        <w:spacing w:after="0" w:line="240" w:lineRule="auto"/>
        <w:rPr>
          <w:rFonts w:ascii="Times New Roman" w:hAnsi="Times New Roman" w:cs="Times New Roman"/>
          <w:sz w:val="24"/>
          <w:szCs w:val="24"/>
        </w:rPr>
      </w:pPr>
    </w:p>
    <w:p w14:paraId="36BDCE7A" w14:textId="0BF7B7B3" w:rsidR="00EB3E6F" w:rsidRDefault="00EB3E6F" w:rsidP="008A5F46">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7B34CE">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87BF655" w14:textId="48E9CE11" w:rsidR="00FC57BC" w:rsidRDefault="00FC57BC" w:rsidP="008A5F46">
      <w:pPr>
        <w:pStyle w:val="ListParagraph"/>
        <w:tabs>
          <w:tab w:val="left" w:pos="90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As detailed in #8 below, the Commission has issued multiple notices and held several conferences to obtain public feedback and comments on the situation, challenges, issues, and possible areas for improvement.  The data the industry entities may choose to share are non-public and in many cases current or time-sensitive operational data.  The information is not available elsewhere.</w:t>
      </w:r>
    </w:p>
    <w:p w14:paraId="15174ADF" w14:textId="46A60833" w:rsidR="00FC57BC" w:rsidRPr="00FC57BC" w:rsidRDefault="00FC57BC" w:rsidP="008A5F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14:paraId="36BDCE7D" w14:textId="77777777" w:rsidR="00EB3E6F" w:rsidRPr="00EB3E6F" w:rsidRDefault="00EB3E6F" w:rsidP="008A5F46">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36BDCE7F" w14:textId="3A21C134" w:rsidR="00EB3E6F" w:rsidRDefault="0059392C"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sharing is voluntary and between industry entities that believe sharing the non-public information is useful for the purposes of reliability and operations.</w:t>
      </w:r>
    </w:p>
    <w:p w14:paraId="3BFDBB10" w14:textId="77777777" w:rsidR="00242B6B" w:rsidRDefault="00242B6B" w:rsidP="008A5F46">
      <w:pPr>
        <w:spacing w:after="0" w:line="240" w:lineRule="auto"/>
        <w:rPr>
          <w:rFonts w:ascii="Times New Roman" w:hAnsi="Times New Roman" w:cs="Times New Roman"/>
          <w:sz w:val="24"/>
          <w:szCs w:val="24"/>
        </w:rPr>
      </w:pPr>
    </w:p>
    <w:p w14:paraId="0FFE201E" w14:textId="030F6CF0" w:rsidR="00242B6B" w:rsidRDefault="00242B6B" w:rsidP="008A5F46">
      <w:pPr>
        <w:spacing w:after="0" w:line="240" w:lineRule="auto"/>
        <w:rPr>
          <w:rFonts w:ascii="Times New Roman" w:hAnsi="Times New Roman" w:cs="Times New Roman"/>
          <w:sz w:val="24"/>
          <w:szCs w:val="24"/>
        </w:rPr>
      </w:pPr>
      <w:r w:rsidRPr="00242B6B">
        <w:rPr>
          <w:rFonts w:ascii="Times New Roman" w:hAnsi="Times New Roman" w:cs="Times New Roman"/>
          <w:sz w:val="24"/>
          <w:szCs w:val="24"/>
        </w:rPr>
        <w:t>The SBA has established a size standard for electric utilities, electric power distribution, and electric bulk power transmission and control, stating that a firm is small if, including its affiliates, it is primarily engaged in the transmission, generation and/or distribution of electric energy for sale and its total electric output for the preceding fiscal year did not exceed four million megawatt hours.</w:t>
      </w:r>
      <w:r w:rsidRPr="00242B6B">
        <w:rPr>
          <w:rStyle w:val="FootnoteReference"/>
          <w:rFonts w:ascii="Times New Roman" w:hAnsi="Times New Roman" w:cs="Times New Roman"/>
          <w:sz w:val="24"/>
          <w:szCs w:val="24"/>
          <w:vertAlign w:val="superscript"/>
        </w:rPr>
        <w:footnoteReference w:id="6"/>
      </w:r>
      <w:r w:rsidRPr="00242B6B">
        <w:rPr>
          <w:rFonts w:ascii="Times New Roman" w:hAnsi="Times New Roman" w:cs="Times New Roman"/>
          <w:sz w:val="24"/>
          <w:szCs w:val="24"/>
        </w:rPr>
        <w:t xml:space="preserve">   For pipeline transportation of natural gas, the SBA defines a small entity as having a maximum annual receipt of $25.5 million dollars. </w:t>
      </w:r>
      <w:r w:rsidRPr="00242B6B">
        <w:rPr>
          <w:rStyle w:val="FootnoteReference"/>
          <w:rFonts w:ascii="Times New Roman" w:hAnsi="Times New Roman" w:cs="Times New Roman"/>
          <w:sz w:val="24"/>
          <w:szCs w:val="24"/>
          <w:vertAlign w:val="superscript"/>
        </w:rPr>
        <w:footnoteReference w:id="7"/>
      </w:r>
      <w:r w:rsidRPr="00242B6B">
        <w:rPr>
          <w:rFonts w:ascii="Times New Roman" w:hAnsi="Times New Roman" w:cs="Times New Roman"/>
          <w:sz w:val="24"/>
          <w:szCs w:val="24"/>
        </w:rPr>
        <w:t xml:space="preserve">   The Commission estimates a total of 13 “small” entities (or 5% out of the total 269 entities)</w:t>
      </w:r>
      <w:r w:rsidRPr="00A05BF1">
        <w:rPr>
          <w:rStyle w:val="FootnoteReference"/>
          <w:rFonts w:ascii="Times New Roman" w:hAnsi="Times New Roman" w:cs="Times New Roman"/>
          <w:sz w:val="24"/>
          <w:szCs w:val="24"/>
          <w:vertAlign w:val="superscript"/>
        </w:rPr>
        <w:footnoteReference w:id="8"/>
      </w:r>
      <w:r w:rsidRPr="00242B6B">
        <w:rPr>
          <w:rFonts w:ascii="Times New Roman" w:hAnsi="Times New Roman" w:cs="Times New Roman"/>
          <w:sz w:val="24"/>
          <w:szCs w:val="24"/>
        </w:rPr>
        <w:t xml:space="preserve"> </w:t>
      </w:r>
      <w:r w:rsidR="00A05BF1">
        <w:rPr>
          <w:rFonts w:ascii="Times New Roman" w:hAnsi="Times New Roman" w:cs="Times New Roman"/>
          <w:sz w:val="24"/>
          <w:szCs w:val="24"/>
        </w:rPr>
        <w:t xml:space="preserve">are </w:t>
      </w:r>
      <w:r w:rsidRPr="00242B6B">
        <w:rPr>
          <w:rFonts w:ascii="Times New Roman" w:hAnsi="Times New Roman" w:cs="Times New Roman"/>
          <w:sz w:val="24"/>
          <w:szCs w:val="24"/>
        </w:rPr>
        <w:t>affected by the NOPR.</w:t>
      </w:r>
      <w:r>
        <w:rPr>
          <w:rFonts w:ascii="Times New Roman" w:hAnsi="Times New Roman" w:cs="Times New Roman"/>
          <w:sz w:val="24"/>
          <w:szCs w:val="24"/>
        </w:rPr>
        <w:t xml:space="preserve">  </w:t>
      </w:r>
      <w:r w:rsidRPr="00242B6B">
        <w:rPr>
          <w:rFonts w:ascii="Times New Roman" w:hAnsi="Times New Roman" w:cs="Times New Roman"/>
          <w:sz w:val="24"/>
          <w:szCs w:val="24"/>
        </w:rPr>
        <w:t xml:space="preserve">The estimated annual cost of the proposal for each respondent, large or small, is $362.46.   </w:t>
      </w:r>
    </w:p>
    <w:p w14:paraId="2322E76E" w14:textId="77777777" w:rsidR="00242B6B" w:rsidRPr="00EB3E6F" w:rsidRDefault="00242B6B" w:rsidP="008A5F46">
      <w:pPr>
        <w:spacing w:after="0" w:line="240" w:lineRule="auto"/>
        <w:rPr>
          <w:rFonts w:ascii="Times New Roman" w:hAnsi="Times New Roman" w:cs="Times New Roman"/>
          <w:sz w:val="24"/>
          <w:szCs w:val="24"/>
        </w:rPr>
      </w:pPr>
    </w:p>
    <w:p w14:paraId="36BDCE80" w14:textId="77777777" w:rsidR="00EB3E6F" w:rsidRPr="00D80FBD" w:rsidRDefault="00EB3E6F" w:rsidP="008A5F46">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6BDCE81" w14:textId="0169C7F1" w:rsidR="00EB3E6F" w:rsidRDefault="005A7A97"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frequency and content </w:t>
      </w:r>
      <w:r w:rsidR="005140CA">
        <w:rPr>
          <w:rFonts w:ascii="Times New Roman" w:hAnsi="Times New Roman" w:cs="Times New Roman"/>
          <w:sz w:val="24"/>
          <w:szCs w:val="24"/>
        </w:rPr>
        <w:t xml:space="preserve">of the information </w:t>
      </w:r>
      <w:r>
        <w:rPr>
          <w:rFonts w:ascii="Times New Roman" w:hAnsi="Times New Roman" w:cs="Times New Roman"/>
          <w:sz w:val="24"/>
          <w:szCs w:val="24"/>
        </w:rPr>
        <w:t>being shared</w:t>
      </w:r>
      <w:r w:rsidR="005140CA">
        <w:rPr>
          <w:rFonts w:ascii="Times New Roman" w:hAnsi="Times New Roman" w:cs="Times New Roman"/>
          <w:sz w:val="24"/>
          <w:szCs w:val="24"/>
        </w:rPr>
        <w:t xml:space="preserve"> is not determined by FERC; rather it is determined by the affected entities based on operational circumstances.</w:t>
      </w:r>
    </w:p>
    <w:p w14:paraId="36BDCE82" w14:textId="77777777" w:rsidR="00EB3E6F" w:rsidRPr="00EB3E6F" w:rsidRDefault="00EB3E6F" w:rsidP="008A5F46">
      <w:pPr>
        <w:spacing w:after="0" w:line="240" w:lineRule="auto"/>
        <w:rPr>
          <w:rFonts w:ascii="Times New Roman" w:hAnsi="Times New Roman" w:cs="Times New Roman"/>
          <w:sz w:val="24"/>
          <w:szCs w:val="24"/>
        </w:rPr>
      </w:pPr>
    </w:p>
    <w:p w14:paraId="36BDCE83" w14:textId="77777777" w:rsidR="00EB3E6F" w:rsidRPr="00D80FBD" w:rsidRDefault="00EB3E6F" w:rsidP="008A5F46">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6BDCE84" w14:textId="45BEB681" w:rsidR="00EB3E6F" w:rsidRDefault="005140CA"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t>There are no special circumstances.</w:t>
      </w:r>
    </w:p>
    <w:p w14:paraId="36BDCE85" w14:textId="77777777" w:rsidR="00EB3E6F" w:rsidRPr="00EB3E6F" w:rsidRDefault="00EB3E6F" w:rsidP="008A5F46">
      <w:pPr>
        <w:spacing w:after="0" w:line="240" w:lineRule="auto"/>
        <w:rPr>
          <w:rFonts w:ascii="Times New Roman" w:hAnsi="Times New Roman" w:cs="Times New Roman"/>
          <w:sz w:val="24"/>
          <w:szCs w:val="24"/>
        </w:rPr>
      </w:pPr>
    </w:p>
    <w:p w14:paraId="36BDCE86" w14:textId="77777777" w:rsidR="00EB3E6F" w:rsidRPr="00117404" w:rsidRDefault="00EB3E6F" w:rsidP="008A5F46">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 xml:space="preserve">DESCRIBE EFFORTS TO CONSULT OUTSIDE THE AGENCY: SUMMARIZE </w:t>
      </w:r>
      <w:r w:rsidRPr="00117404">
        <w:rPr>
          <w:rFonts w:ascii="Times New Roman" w:hAnsi="Times New Roman" w:cs="Times New Roman"/>
          <w:b/>
          <w:sz w:val="24"/>
          <w:szCs w:val="24"/>
        </w:rPr>
        <w:t>PUBLIC COMMENTS AND THE AGENCY’S RESPONSE</w:t>
      </w:r>
    </w:p>
    <w:p w14:paraId="2697A526" w14:textId="11CBE667" w:rsidR="000549A8" w:rsidRPr="00117404" w:rsidRDefault="000549A8" w:rsidP="008A5F46">
      <w:pPr>
        <w:spacing w:after="0" w:line="240" w:lineRule="auto"/>
        <w:rPr>
          <w:rFonts w:ascii="Times New Roman" w:hAnsi="Times New Roman" w:cs="Times New Roman"/>
          <w:sz w:val="24"/>
          <w:szCs w:val="24"/>
        </w:rPr>
      </w:pPr>
      <w:r w:rsidRPr="00117404">
        <w:rPr>
          <w:rFonts w:ascii="Times New Roman" w:hAnsi="Times New Roman" w:cs="Times New Roman"/>
          <w:sz w:val="24"/>
          <w:szCs w:val="24"/>
        </w:rPr>
        <w:t>On February 15, 2012, the Commission issued a notice in Docket No. AD12-12-000 requesting comments on various aspects of gas-electric interdependence and coordination in response to questions posed by members of the Commission.   In order to better understand the interface between the electric and natural gas pipeline industries and identify areas for improved coordination, the questions covered a variety of topics including market structure and rules, scheduling, communications, infrastructure and reliability.  In response to the notice, the Commission received comments from 79 entities, with some raising concerns that current laws, regulations, or tariffs may hinder the sharing of such information.</w:t>
      </w:r>
    </w:p>
    <w:p w14:paraId="3E40639E" w14:textId="77777777" w:rsidR="000549A8" w:rsidRPr="00117404" w:rsidRDefault="000549A8" w:rsidP="008A5F46">
      <w:pPr>
        <w:spacing w:after="0" w:line="240" w:lineRule="auto"/>
        <w:rPr>
          <w:rFonts w:ascii="Times New Roman" w:hAnsi="Times New Roman" w:cs="Times New Roman"/>
          <w:sz w:val="24"/>
          <w:szCs w:val="24"/>
        </w:rPr>
      </w:pPr>
    </w:p>
    <w:p w14:paraId="6A12EADE" w14:textId="4386004C" w:rsidR="000549A8" w:rsidRPr="00117404" w:rsidRDefault="000549A8" w:rsidP="008A5F46">
      <w:pPr>
        <w:spacing w:after="0" w:line="240" w:lineRule="auto"/>
        <w:rPr>
          <w:rFonts w:ascii="Times New Roman" w:hAnsi="Times New Roman" w:cs="Times New Roman"/>
          <w:sz w:val="24"/>
          <w:szCs w:val="24"/>
          <w:vertAlign w:val="superscript"/>
        </w:rPr>
      </w:pPr>
      <w:r w:rsidRPr="00117404">
        <w:rPr>
          <w:rFonts w:ascii="Times New Roman" w:hAnsi="Times New Roman" w:cs="Times New Roman"/>
          <w:sz w:val="24"/>
          <w:szCs w:val="24"/>
        </w:rPr>
        <w:t xml:space="preserve">During August 2012, the Commission convened five regional conferences for the purpose of exploring these issues and obtaining further information from the electric and natural gas industries regarding coordination between the industries.  Representatives from a cross-section of both industries attended the regional conferences, with total attendance exceeding 1,200 registrants.  Among the topics discussed at the conferences were communications, coordination, and information-sharing.  Participants at multiple conferences again expressed concern that Commission rules and policies could be impeding further efforts to improve communication between the industries.   Some natural gas pipelines and Regional Transmission Organizations and Independent System Operators (RTOs/ISOs) also noted that, although they make significant amounts of operational information publicly available, there is reluctance to share information on a more granular level because of concerns about violating statutory prohibitions against undue preference for any customer or customer class.  </w:t>
      </w:r>
      <w:r w:rsidR="00117404" w:rsidRPr="00117404">
        <w:rPr>
          <w:rStyle w:val="FootnoteReference"/>
          <w:rFonts w:ascii="Times New Roman" w:hAnsi="Times New Roman" w:cs="Times New Roman"/>
          <w:sz w:val="24"/>
          <w:szCs w:val="24"/>
          <w:vertAlign w:val="superscript"/>
        </w:rPr>
        <w:footnoteReference w:id="9"/>
      </w:r>
    </w:p>
    <w:p w14:paraId="22A7712F" w14:textId="72C92BB9" w:rsidR="000549A8" w:rsidRPr="00117404" w:rsidRDefault="000549A8" w:rsidP="008A5F46">
      <w:pPr>
        <w:spacing w:after="0" w:line="240" w:lineRule="auto"/>
        <w:rPr>
          <w:rFonts w:ascii="Times New Roman" w:hAnsi="Times New Roman" w:cs="Times New Roman"/>
          <w:sz w:val="24"/>
          <w:szCs w:val="24"/>
        </w:rPr>
      </w:pPr>
      <w:r w:rsidRPr="00117404">
        <w:rPr>
          <w:rFonts w:ascii="Times New Roman" w:hAnsi="Times New Roman" w:cs="Times New Roman"/>
          <w:sz w:val="24"/>
          <w:szCs w:val="24"/>
        </w:rPr>
        <w:t xml:space="preserve"> </w:t>
      </w:r>
    </w:p>
    <w:p w14:paraId="0CADCB67" w14:textId="3DED050A" w:rsidR="000549A8" w:rsidRPr="00117404" w:rsidRDefault="000549A8" w:rsidP="008A5F46">
      <w:pPr>
        <w:spacing w:after="0" w:line="240" w:lineRule="auto"/>
        <w:rPr>
          <w:rFonts w:ascii="Times New Roman" w:hAnsi="Times New Roman" w:cs="Times New Roman"/>
          <w:sz w:val="24"/>
          <w:szCs w:val="24"/>
        </w:rPr>
      </w:pPr>
      <w:r w:rsidRPr="00117404">
        <w:rPr>
          <w:rFonts w:ascii="Times New Roman" w:hAnsi="Times New Roman" w:cs="Times New Roman"/>
          <w:sz w:val="24"/>
          <w:szCs w:val="24"/>
        </w:rPr>
        <w:t xml:space="preserve">On November 15, 2012, the Commission issued an order directing further technical conferences and reports.   In the November 15 Order, the Commission acknowledged the concerns regarding communications between the two industries, but found that there was little specific discussion of potential clarifications or potential changes to the Commission’s regulations.   The Commission, therefore, directed Commission staff to convene a technical conference to identify areas in which additional Commission guidance or potential regulatory changes could be considered. </w:t>
      </w:r>
      <w:r w:rsidR="00117404" w:rsidRPr="00117404">
        <w:rPr>
          <w:rStyle w:val="FootnoteReference"/>
          <w:rFonts w:ascii="Times New Roman" w:hAnsi="Times New Roman" w:cs="Times New Roman"/>
          <w:sz w:val="24"/>
          <w:szCs w:val="24"/>
          <w:vertAlign w:val="superscript"/>
        </w:rPr>
        <w:footnoteReference w:id="10"/>
      </w:r>
    </w:p>
    <w:p w14:paraId="1C881EED" w14:textId="77777777" w:rsidR="000549A8" w:rsidRPr="00117404" w:rsidRDefault="000549A8" w:rsidP="008A5F46">
      <w:pPr>
        <w:spacing w:after="0" w:line="240" w:lineRule="auto"/>
        <w:rPr>
          <w:rFonts w:ascii="Times New Roman" w:hAnsi="Times New Roman" w:cs="Times New Roman"/>
          <w:sz w:val="24"/>
          <w:szCs w:val="24"/>
        </w:rPr>
      </w:pPr>
    </w:p>
    <w:p w14:paraId="36BDCE88" w14:textId="551D9D9F" w:rsidR="00EB3E6F" w:rsidRPr="00117404" w:rsidRDefault="000549A8" w:rsidP="008A5F46">
      <w:pPr>
        <w:spacing w:after="0" w:line="240" w:lineRule="auto"/>
        <w:rPr>
          <w:rFonts w:ascii="Times New Roman" w:hAnsi="Times New Roman" w:cs="Times New Roman"/>
          <w:sz w:val="24"/>
          <w:szCs w:val="24"/>
        </w:rPr>
      </w:pPr>
      <w:r w:rsidRPr="00117404">
        <w:rPr>
          <w:rFonts w:ascii="Times New Roman" w:hAnsi="Times New Roman" w:cs="Times New Roman"/>
          <w:sz w:val="24"/>
          <w:szCs w:val="24"/>
        </w:rPr>
        <w:t>Pursuant to the November 15 Order, on December 7, 2012, a Notice of Request for Comments and Technical Conference to be held on February 13, 2013 was issued on information sharing and communication issues between the natural gas and electricity industries.</w:t>
      </w:r>
      <w:r w:rsidR="00117404" w:rsidRPr="00117404">
        <w:rPr>
          <w:rFonts w:ascii="Times New Roman" w:eastAsia="Times New Roman" w:hAnsi="Times New Roman" w:cs="Times New Roman"/>
          <w:b/>
          <w:sz w:val="26"/>
          <w:szCs w:val="26"/>
          <w:vertAlign w:val="superscript"/>
        </w:rPr>
        <w:t xml:space="preserve"> </w:t>
      </w:r>
      <w:r w:rsidR="00117404" w:rsidRPr="009A55A7">
        <w:rPr>
          <w:rFonts w:ascii="Times New Roman" w:eastAsia="Times New Roman" w:hAnsi="Times New Roman" w:cs="Times New Roman"/>
          <w:sz w:val="26"/>
          <w:szCs w:val="26"/>
          <w:vertAlign w:val="superscript"/>
        </w:rPr>
        <w:footnoteReference w:id="11"/>
      </w:r>
      <w:r w:rsidRPr="009A55A7">
        <w:rPr>
          <w:rFonts w:ascii="Times New Roman" w:hAnsi="Times New Roman" w:cs="Times New Roman"/>
          <w:sz w:val="24"/>
          <w:szCs w:val="24"/>
        </w:rPr>
        <w:t xml:space="preserve"> </w:t>
      </w:r>
      <w:r w:rsidRPr="00117404">
        <w:rPr>
          <w:rFonts w:ascii="Times New Roman" w:hAnsi="Times New Roman" w:cs="Times New Roman"/>
          <w:sz w:val="24"/>
          <w:szCs w:val="24"/>
        </w:rPr>
        <w:t xml:space="preserve">  Interested parties were asked to file comments prior to the technical conference on three questions related to communications and information sharing.  Twenty-seven comments were filed in response to the December 7 Notice, and more than 350 persons, representing a cross-section of industry, registered for the technical conference.       </w:t>
      </w:r>
    </w:p>
    <w:p w14:paraId="5C36A3CC" w14:textId="77777777" w:rsidR="000549A8" w:rsidRPr="00117404" w:rsidRDefault="000549A8" w:rsidP="008A5F46">
      <w:pPr>
        <w:spacing w:after="0" w:line="240" w:lineRule="auto"/>
        <w:rPr>
          <w:rFonts w:ascii="Times New Roman" w:hAnsi="Times New Roman" w:cs="Times New Roman"/>
          <w:sz w:val="24"/>
          <w:szCs w:val="24"/>
        </w:rPr>
      </w:pPr>
    </w:p>
    <w:p w14:paraId="06D550B7" w14:textId="617A55A8" w:rsidR="00F51425" w:rsidRDefault="00445E57" w:rsidP="008A5F46">
      <w:pPr>
        <w:spacing w:after="0" w:line="240" w:lineRule="auto"/>
        <w:rPr>
          <w:rFonts w:ascii="Times New Roman" w:hAnsi="Times New Roman" w:cs="Times New Roman"/>
          <w:sz w:val="24"/>
          <w:szCs w:val="24"/>
        </w:rPr>
      </w:pPr>
      <w:r w:rsidRPr="00117404">
        <w:rPr>
          <w:rFonts w:ascii="Times New Roman" w:hAnsi="Times New Roman" w:cs="Times New Roman"/>
          <w:sz w:val="24"/>
          <w:szCs w:val="24"/>
        </w:rPr>
        <w:t xml:space="preserve">The </w:t>
      </w:r>
      <w:r w:rsidR="00201242" w:rsidRPr="00117404">
        <w:rPr>
          <w:rFonts w:ascii="Times New Roman" w:hAnsi="Times New Roman" w:cs="Times New Roman"/>
          <w:sz w:val="24"/>
          <w:szCs w:val="24"/>
        </w:rPr>
        <w:t xml:space="preserve">public </w:t>
      </w:r>
      <w:r w:rsidRPr="00117404">
        <w:rPr>
          <w:rFonts w:ascii="Times New Roman" w:hAnsi="Times New Roman" w:cs="Times New Roman"/>
          <w:sz w:val="24"/>
          <w:szCs w:val="24"/>
        </w:rPr>
        <w:t>comments, presentations, staff report, notices, and agendas</w:t>
      </w:r>
      <w:r w:rsidR="00201242" w:rsidRPr="00117404">
        <w:rPr>
          <w:rFonts w:ascii="Times New Roman" w:hAnsi="Times New Roman" w:cs="Times New Roman"/>
          <w:sz w:val="24"/>
          <w:szCs w:val="24"/>
        </w:rPr>
        <w:t>, etc.</w:t>
      </w:r>
      <w:r w:rsidRPr="00117404">
        <w:rPr>
          <w:rFonts w:ascii="Times New Roman" w:hAnsi="Times New Roman" w:cs="Times New Roman"/>
          <w:sz w:val="24"/>
          <w:szCs w:val="24"/>
        </w:rPr>
        <w:t xml:space="preserve"> are available in FERC’s </w:t>
      </w:r>
      <w:proofErr w:type="spellStart"/>
      <w:r w:rsidRPr="00117404">
        <w:rPr>
          <w:rFonts w:ascii="Times New Roman" w:hAnsi="Times New Roman" w:cs="Times New Roman"/>
          <w:sz w:val="24"/>
          <w:szCs w:val="24"/>
        </w:rPr>
        <w:t>eLibrary</w:t>
      </w:r>
      <w:proofErr w:type="spellEnd"/>
      <w:r w:rsidRPr="00117404">
        <w:rPr>
          <w:rFonts w:ascii="Times New Roman" w:hAnsi="Times New Roman" w:cs="Times New Roman"/>
          <w:sz w:val="24"/>
          <w:szCs w:val="24"/>
        </w:rPr>
        <w:t xml:space="preserve"> system.</w:t>
      </w:r>
      <w:r w:rsidRPr="00117404">
        <w:rPr>
          <w:rStyle w:val="FootnoteReference"/>
          <w:rFonts w:ascii="Times New Roman" w:hAnsi="Times New Roman" w:cs="Times New Roman"/>
          <w:sz w:val="24"/>
          <w:szCs w:val="24"/>
          <w:vertAlign w:val="superscript"/>
        </w:rPr>
        <w:footnoteReference w:id="12"/>
      </w:r>
      <w:r w:rsidRPr="00445E57">
        <w:rPr>
          <w:rFonts w:ascii="Times New Roman" w:hAnsi="Times New Roman" w:cs="Times New Roman"/>
          <w:sz w:val="24"/>
          <w:szCs w:val="24"/>
          <w:vertAlign w:val="superscript"/>
        </w:rPr>
        <w:t xml:space="preserve"> </w:t>
      </w:r>
    </w:p>
    <w:p w14:paraId="40863906" w14:textId="77777777" w:rsidR="00F51425" w:rsidRPr="00EB3E6F" w:rsidRDefault="00F51425" w:rsidP="008A5F46">
      <w:pPr>
        <w:spacing w:after="0" w:line="240" w:lineRule="auto"/>
        <w:rPr>
          <w:rFonts w:ascii="Times New Roman" w:hAnsi="Times New Roman" w:cs="Times New Roman"/>
          <w:sz w:val="24"/>
          <w:szCs w:val="24"/>
        </w:rPr>
      </w:pPr>
    </w:p>
    <w:p w14:paraId="36BDCE89" w14:textId="77777777" w:rsidR="00EB3E6F" w:rsidRPr="00D80FBD" w:rsidRDefault="00D80FBD" w:rsidP="008A5F46">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6BDCE8A" w14:textId="52416CA3" w:rsidR="00D80FBD" w:rsidRDefault="00280FB6" w:rsidP="008A5F46">
      <w:pPr>
        <w:spacing w:after="0" w:line="240" w:lineRule="auto"/>
        <w:rPr>
          <w:rFonts w:ascii="Times New Roman" w:hAnsi="Times New Roman" w:cs="Times New Roman"/>
          <w:sz w:val="24"/>
          <w:szCs w:val="24"/>
        </w:rPr>
      </w:pPr>
      <w:r w:rsidRPr="00280FB6">
        <w:rPr>
          <w:rFonts w:ascii="Times New Roman" w:hAnsi="Times New Roman" w:cs="Times New Roman"/>
          <w:sz w:val="24"/>
          <w:szCs w:val="24"/>
        </w:rPr>
        <w:t>The Commission does not make payments or provide gifts for respondents related to this collection.</w:t>
      </w:r>
    </w:p>
    <w:p w14:paraId="36BDCE8B" w14:textId="77777777" w:rsidR="00D80FBD" w:rsidRPr="00D80FBD" w:rsidRDefault="00D80FBD" w:rsidP="008A5F46">
      <w:pPr>
        <w:spacing w:after="0" w:line="240" w:lineRule="auto"/>
        <w:rPr>
          <w:rFonts w:ascii="Times New Roman" w:hAnsi="Times New Roman" w:cs="Times New Roman"/>
          <w:sz w:val="24"/>
          <w:szCs w:val="24"/>
        </w:rPr>
      </w:pPr>
    </w:p>
    <w:p w14:paraId="36BDCE8C" w14:textId="77777777" w:rsidR="00D80FBD" w:rsidRPr="00D80FBD" w:rsidRDefault="00D80FBD" w:rsidP="008A5F46">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36BDCE8D" w14:textId="58642B53" w:rsidR="00D80FBD" w:rsidRDefault="00C0689E"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t>The sharing of the non-public data occurs between industry entities; the data are not provided to FERC.</w:t>
      </w:r>
      <w:r w:rsidR="00E320B0">
        <w:rPr>
          <w:rFonts w:ascii="Times New Roman" w:hAnsi="Times New Roman" w:cs="Times New Roman"/>
          <w:sz w:val="24"/>
          <w:szCs w:val="24"/>
        </w:rPr>
        <w:t xml:space="preserve">  </w:t>
      </w:r>
      <w:r w:rsidR="002F2CF6">
        <w:rPr>
          <w:rFonts w:ascii="Times New Roman" w:hAnsi="Times New Roman" w:cs="Times New Roman"/>
          <w:sz w:val="24"/>
          <w:szCs w:val="24"/>
        </w:rPr>
        <w:t>Based on the NOPR, r</w:t>
      </w:r>
      <w:r w:rsidR="00E320B0" w:rsidRPr="00E320B0">
        <w:rPr>
          <w:rFonts w:ascii="Times New Roman" w:hAnsi="Times New Roman" w:cs="Times New Roman"/>
          <w:sz w:val="24"/>
          <w:szCs w:val="24"/>
        </w:rPr>
        <w:t>ecipients of th</w:t>
      </w:r>
      <w:r w:rsidR="002145E2">
        <w:rPr>
          <w:rFonts w:ascii="Times New Roman" w:hAnsi="Times New Roman" w:cs="Times New Roman"/>
          <w:sz w:val="24"/>
          <w:szCs w:val="24"/>
        </w:rPr>
        <w:t>e</w:t>
      </w:r>
      <w:r w:rsidR="00E320B0" w:rsidRPr="00E320B0">
        <w:rPr>
          <w:rFonts w:ascii="Times New Roman" w:hAnsi="Times New Roman" w:cs="Times New Roman"/>
          <w:sz w:val="24"/>
          <w:szCs w:val="24"/>
        </w:rPr>
        <w:t xml:space="preserve"> non-public, operational information would be subject to a No-Conduit Rule that prohibits subsequent disclosure of that information to an affiliate or third party.</w:t>
      </w:r>
    </w:p>
    <w:p w14:paraId="36BDCE8E" w14:textId="77777777" w:rsidR="00D80FBD" w:rsidRPr="00D80FBD" w:rsidRDefault="00D80FBD" w:rsidP="008A5F46">
      <w:pPr>
        <w:spacing w:after="0" w:line="240" w:lineRule="auto"/>
        <w:rPr>
          <w:rFonts w:ascii="Times New Roman" w:hAnsi="Times New Roman" w:cs="Times New Roman"/>
          <w:sz w:val="24"/>
          <w:szCs w:val="24"/>
        </w:rPr>
      </w:pPr>
    </w:p>
    <w:p w14:paraId="36BDCE8F" w14:textId="77777777" w:rsidR="00D80FBD" w:rsidRPr="00D80FBD" w:rsidRDefault="00D80FBD" w:rsidP="008A5F46">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14:paraId="36BDCE91" w14:textId="653578F5" w:rsidR="00D80FBD" w:rsidRDefault="00C0689E" w:rsidP="008A5F46">
      <w:pPr>
        <w:spacing w:after="0" w:line="240" w:lineRule="auto"/>
        <w:rPr>
          <w:rFonts w:ascii="Times New Roman" w:hAnsi="Times New Roman" w:cs="Times New Roman"/>
          <w:sz w:val="24"/>
          <w:szCs w:val="24"/>
        </w:rPr>
      </w:pPr>
      <w:r w:rsidRPr="00C0689E">
        <w:rPr>
          <w:rFonts w:ascii="Times New Roman" w:hAnsi="Times New Roman" w:cs="Times New Roman"/>
          <w:sz w:val="24"/>
          <w:szCs w:val="24"/>
        </w:rPr>
        <w:t>The sharing of the non-public data occurs between industry entities; the data are not provided to FERC.</w:t>
      </w:r>
      <w:r>
        <w:rPr>
          <w:rFonts w:ascii="Times New Roman" w:hAnsi="Times New Roman" w:cs="Times New Roman"/>
          <w:sz w:val="24"/>
          <w:szCs w:val="24"/>
        </w:rPr>
        <w:t xml:space="preserve">  The content of the data being shared is determined by the entities involved </w:t>
      </w:r>
      <w:r w:rsidR="002F2CF6">
        <w:rPr>
          <w:rFonts w:ascii="Times New Roman" w:hAnsi="Times New Roman" w:cs="Times New Roman"/>
          <w:sz w:val="24"/>
          <w:szCs w:val="24"/>
        </w:rPr>
        <w:t>based on</w:t>
      </w:r>
      <w:r>
        <w:rPr>
          <w:rFonts w:ascii="Times New Roman" w:hAnsi="Times New Roman" w:cs="Times New Roman"/>
          <w:sz w:val="24"/>
          <w:szCs w:val="24"/>
        </w:rPr>
        <w:t xml:space="preserve"> reliability needs and the operational situation.</w:t>
      </w:r>
    </w:p>
    <w:p w14:paraId="64FC753F" w14:textId="77777777" w:rsidR="00C0689E" w:rsidRPr="00D80FBD" w:rsidRDefault="00C0689E" w:rsidP="008A5F46">
      <w:pPr>
        <w:spacing w:after="0" w:line="240" w:lineRule="auto"/>
        <w:rPr>
          <w:rFonts w:ascii="Times New Roman" w:hAnsi="Times New Roman" w:cs="Times New Roman"/>
          <w:sz w:val="24"/>
          <w:szCs w:val="24"/>
        </w:rPr>
      </w:pPr>
    </w:p>
    <w:p w14:paraId="36BDCE92" w14:textId="77777777" w:rsidR="00D80FBD" w:rsidRPr="00D80FBD" w:rsidRDefault="00D80FBD" w:rsidP="008A5F46">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2D383621" w14:textId="77777777" w:rsidR="0077597A" w:rsidRDefault="0077597A" w:rsidP="008A5F46">
      <w:pPr>
        <w:pStyle w:val="FERCparanumber"/>
        <w:numPr>
          <w:ilvl w:val="0"/>
          <w:numId w:val="0"/>
        </w:numPr>
        <w:spacing w:line="240" w:lineRule="auto"/>
      </w:pPr>
      <w:r w:rsidRPr="00971799">
        <w:t xml:space="preserve">The proposed communications and information sharing are voluntary, take place between various industry entities (and are not submitted to the Commission), and are intended to promote reliable service and operational planning.  While the extent of such communications likely will vary significantly across the country, the following estimates represent an expected average.  The annual estimates reflect burden for operational contacts and emergencies. </w:t>
      </w:r>
    </w:p>
    <w:p w14:paraId="780FDC3A" w14:textId="77777777" w:rsidR="00E53611" w:rsidRPr="00971799" w:rsidRDefault="00E53611" w:rsidP="008A5F46">
      <w:pPr>
        <w:pStyle w:val="FERCparanumber"/>
        <w:numPr>
          <w:ilvl w:val="0"/>
          <w:numId w:val="0"/>
        </w:numPr>
        <w:spacing w:line="240" w:lineRule="auto"/>
      </w:pP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523"/>
        <w:gridCol w:w="1590"/>
        <w:gridCol w:w="1177"/>
        <w:gridCol w:w="1713"/>
        <w:gridCol w:w="2376"/>
      </w:tblGrid>
      <w:tr w:rsidR="0077597A" w:rsidRPr="0077597A" w14:paraId="275DC778" w14:textId="77777777" w:rsidTr="00BD1694">
        <w:tc>
          <w:tcPr>
            <w:tcW w:w="10515" w:type="dxa"/>
            <w:gridSpan w:val="6"/>
            <w:shd w:val="clear" w:color="auto" w:fill="D9D9D9"/>
          </w:tcPr>
          <w:p w14:paraId="608167E1"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 xml:space="preserve">FERC-923, Communication of Operational Information Between </w:t>
            </w:r>
          </w:p>
          <w:p w14:paraId="5F7AFF0C" w14:textId="572EF1BD"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Natural Gas Pipelines and Electric Transmission Operators,</w:t>
            </w:r>
          </w:p>
          <w:p w14:paraId="0C97672C"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proofErr w:type="gramStart"/>
            <w:r w:rsidRPr="0077597A">
              <w:rPr>
                <w:rFonts w:ascii="Times New Roman" w:hAnsi="Times New Roman" w:cs="Times New Roman"/>
                <w:b/>
                <w:sz w:val="24"/>
                <w:szCs w:val="24"/>
              </w:rPr>
              <w:t>as</w:t>
            </w:r>
            <w:proofErr w:type="gramEnd"/>
            <w:r w:rsidRPr="0077597A">
              <w:rPr>
                <w:rFonts w:ascii="Times New Roman" w:hAnsi="Times New Roman" w:cs="Times New Roman"/>
                <w:b/>
                <w:sz w:val="24"/>
                <w:szCs w:val="24"/>
              </w:rPr>
              <w:t xml:space="preserve"> proposed in NOPR in Docket No. RM13-17</w:t>
            </w:r>
            <w:r w:rsidRPr="0077597A">
              <w:rPr>
                <w:rFonts w:ascii="Times New Roman" w:hAnsi="Times New Roman" w:cs="Times New Roman"/>
                <w:b/>
                <w:sz w:val="24"/>
                <w:szCs w:val="24"/>
                <w:vertAlign w:val="superscript"/>
              </w:rPr>
              <w:footnoteReference w:id="13"/>
            </w:r>
          </w:p>
        </w:tc>
      </w:tr>
      <w:tr w:rsidR="0077597A" w:rsidRPr="0077597A" w14:paraId="66EBA9B7" w14:textId="77777777" w:rsidTr="00BD1694">
        <w:tc>
          <w:tcPr>
            <w:tcW w:w="2136" w:type="dxa"/>
            <w:shd w:val="clear" w:color="auto" w:fill="D9D9D9"/>
            <w:vAlign w:val="bottom"/>
            <w:hideMark/>
          </w:tcPr>
          <w:p w14:paraId="53BA212E"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Type of Entity</w:t>
            </w:r>
          </w:p>
          <w:p w14:paraId="2697D2B4"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(1)</w:t>
            </w:r>
          </w:p>
        </w:tc>
        <w:tc>
          <w:tcPr>
            <w:tcW w:w="1523" w:type="dxa"/>
            <w:shd w:val="clear" w:color="auto" w:fill="D9D9D9"/>
            <w:vAlign w:val="bottom"/>
          </w:tcPr>
          <w:p w14:paraId="297B19EF"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 xml:space="preserve">No. of Respondents </w:t>
            </w:r>
          </w:p>
          <w:p w14:paraId="729EB7CB"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(2)</w:t>
            </w:r>
          </w:p>
        </w:tc>
        <w:tc>
          <w:tcPr>
            <w:tcW w:w="1590" w:type="dxa"/>
            <w:shd w:val="clear" w:color="auto" w:fill="D9D9D9"/>
            <w:vAlign w:val="bottom"/>
            <w:hideMark/>
          </w:tcPr>
          <w:p w14:paraId="4DFDDC02"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Number of Responses  Per Respondent</w:t>
            </w:r>
            <w:r w:rsidRPr="0077597A">
              <w:rPr>
                <w:rFonts w:ascii="Times New Roman" w:hAnsi="Times New Roman" w:cs="Times New Roman"/>
                <w:b/>
                <w:sz w:val="24"/>
                <w:szCs w:val="24"/>
                <w:vertAlign w:val="superscript"/>
              </w:rPr>
              <w:footnoteReference w:id="14"/>
            </w:r>
          </w:p>
          <w:p w14:paraId="1EEE1CE8"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(3)</w:t>
            </w:r>
          </w:p>
        </w:tc>
        <w:tc>
          <w:tcPr>
            <w:tcW w:w="1177" w:type="dxa"/>
            <w:shd w:val="clear" w:color="auto" w:fill="D9D9D9"/>
            <w:vAlign w:val="bottom"/>
            <w:hideMark/>
          </w:tcPr>
          <w:p w14:paraId="2FD7C481"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Average</w:t>
            </w:r>
          </w:p>
          <w:p w14:paraId="039A42A3"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Burden Hours per Response</w:t>
            </w:r>
          </w:p>
          <w:p w14:paraId="4FFB1C6A"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(4)</w:t>
            </w:r>
          </w:p>
        </w:tc>
        <w:tc>
          <w:tcPr>
            <w:tcW w:w="1713" w:type="dxa"/>
            <w:shd w:val="clear" w:color="auto" w:fill="D9D9D9"/>
            <w:vAlign w:val="bottom"/>
            <w:hideMark/>
          </w:tcPr>
          <w:p w14:paraId="6F7DE6FF"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Total Annual Burden Hours</w:t>
            </w:r>
          </w:p>
          <w:p w14:paraId="4C13B255"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(2)*(3)*(4)=(5)</w:t>
            </w:r>
          </w:p>
        </w:tc>
        <w:tc>
          <w:tcPr>
            <w:tcW w:w="2376" w:type="dxa"/>
            <w:shd w:val="clear" w:color="auto" w:fill="D9D9D9"/>
            <w:vAlign w:val="bottom"/>
          </w:tcPr>
          <w:p w14:paraId="2AAD3DB9"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Total Annual Cost)</w:t>
            </w:r>
            <w:r w:rsidRPr="0077597A">
              <w:rPr>
                <w:rFonts w:ascii="Times New Roman" w:hAnsi="Times New Roman" w:cs="Times New Roman"/>
                <w:b/>
                <w:sz w:val="24"/>
                <w:szCs w:val="24"/>
                <w:vertAlign w:val="superscript"/>
              </w:rPr>
              <w:footnoteReference w:id="15"/>
            </w:r>
          </w:p>
          <w:p w14:paraId="5325A9B0" w14:textId="77777777" w:rsidR="0077597A" w:rsidRPr="0077597A" w:rsidRDefault="0077597A" w:rsidP="008A5F46">
            <w:pPr>
              <w:tabs>
                <w:tab w:val="left" w:pos="720"/>
              </w:tabs>
              <w:spacing w:after="0" w:line="240" w:lineRule="auto"/>
              <w:jc w:val="center"/>
              <w:rPr>
                <w:rFonts w:ascii="Times New Roman" w:hAnsi="Times New Roman" w:cs="Times New Roman"/>
                <w:b/>
                <w:sz w:val="24"/>
                <w:szCs w:val="24"/>
              </w:rPr>
            </w:pPr>
            <w:r w:rsidRPr="0077597A">
              <w:rPr>
                <w:rFonts w:ascii="Times New Roman" w:hAnsi="Times New Roman" w:cs="Times New Roman"/>
                <w:b/>
                <w:sz w:val="24"/>
                <w:szCs w:val="24"/>
              </w:rPr>
              <w:t>(5)*($60.41/hr.)=(6)</w:t>
            </w:r>
          </w:p>
        </w:tc>
      </w:tr>
      <w:tr w:rsidR="0077597A" w:rsidRPr="0077597A" w14:paraId="1B7CFA0B" w14:textId="77777777" w:rsidTr="00BD1694">
        <w:trPr>
          <w:trHeight w:val="1134"/>
        </w:trPr>
        <w:tc>
          <w:tcPr>
            <w:tcW w:w="2136" w:type="dxa"/>
            <w:vAlign w:val="bottom"/>
          </w:tcPr>
          <w:p w14:paraId="79DAB714" w14:textId="77777777" w:rsidR="0077597A" w:rsidRPr="0077597A" w:rsidRDefault="0077597A" w:rsidP="008A5F46">
            <w:pPr>
              <w:tabs>
                <w:tab w:val="left" w:pos="720"/>
              </w:tabs>
              <w:spacing w:after="0" w:line="240" w:lineRule="auto"/>
              <w:rPr>
                <w:rFonts w:ascii="Times New Roman" w:hAnsi="Times New Roman" w:cs="Times New Roman"/>
                <w:b/>
                <w:sz w:val="24"/>
                <w:szCs w:val="24"/>
              </w:rPr>
            </w:pPr>
            <w:r w:rsidRPr="0077597A">
              <w:rPr>
                <w:rFonts w:ascii="Times New Roman" w:hAnsi="Times New Roman" w:cs="Times New Roman"/>
                <w:b/>
                <w:sz w:val="24"/>
                <w:szCs w:val="24"/>
              </w:rPr>
              <w:lastRenderedPageBreak/>
              <w:t>Public Utility Transmission Provider</w:t>
            </w:r>
          </w:p>
        </w:tc>
        <w:tc>
          <w:tcPr>
            <w:tcW w:w="1523" w:type="dxa"/>
            <w:vAlign w:val="bottom"/>
          </w:tcPr>
          <w:p w14:paraId="56AE8628"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132</w:t>
            </w:r>
            <w:r w:rsidRPr="0077597A">
              <w:rPr>
                <w:rFonts w:ascii="Times New Roman" w:hAnsi="Times New Roman" w:cs="Times New Roman"/>
                <w:sz w:val="24"/>
                <w:szCs w:val="24"/>
                <w:vertAlign w:val="superscript"/>
              </w:rPr>
              <w:footnoteReference w:id="16"/>
            </w:r>
          </w:p>
        </w:tc>
        <w:tc>
          <w:tcPr>
            <w:tcW w:w="1590" w:type="dxa"/>
            <w:vAlign w:val="bottom"/>
          </w:tcPr>
          <w:p w14:paraId="005D8B2B"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12</w:t>
            </w:r>
          </w:p>
        </w:tc>
        <w:tc>
          <w:tcPr>
            <w:tcW w:w="1177" w:type="dxa"/>
            <w:vAlign w:val="bottom"/>
          </w:tcPr>
          <w:p w14:paraId="1FB0B3E9"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0.50</w:t>
            </w:r>
          </w:p>
        </w:tc>
        <w:tc>
          <w:tcPr>
            <w:tcW w:w="1713" w:type="dxa"/>
            <w:vAlign w:val="bottom"/>
          </w:tcPr>
          <w:p w14:paraId="58F2A977"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792</w:t>
            </w:r>
          </w:p>
        </w:tc>
        <w:tc>
          <w:tcPr>
            <w:tcW w:w="2376" w:type="dxa"/>
            <w:vAlign w:val="bottom"/>
          </w:tcPr>
          <w:p w14:paraId="705C2ED1"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$47,845</w:t>
            </w:r>
          </w:p>
        </w:tc>
      </w:tr>
      <w:tr w:rsidR="0077597A" w:rsidRPr="0077597A" w14:paraId="691219ED" w14:textId="77777777" w:rsidTr="00BD1694">
        <w:trPr>
          <w:trHeight w:val="602"/>
        </w:trPr>
        <w:tc>
          <w:tcPr>
            <w:tcW w:w="2136" w:type="dxa"/>
            <w:vAlign w:val="bottom"/>
          </w:tcPr>
          <w:p w14:paraId="2491440D" w14:textId="77777777" w:rsidR="0077597A" w:rsidRPr="0077597A" w:rsidRDefault="0077597A" w:rsidP="008A5F46">
            <w:pPr>
              <w:tabs>
                <w:tab w:val="left" w:pos="720"/>
              </w:tabs>
              <w:spacing w:after="0" w:line="240" w:lineRule="auto"/>
              <w:rPr>
                <w:rFonts w:ascii="Times New Roman" w:hAnsi="Times New Roman" w:cs="Times New Roman"/>
                <w:b/>
                <w:sz w:val="24"/>
                <w:szCs w:val="24"/>
              </w:rPr>
            </w:pPr>
            <w:r w:rsidRPr="0077597A">
              <w:rPr>
                <w:rFonts w:ascii="Times New Roman" w:hAnsi="Times New Roman" w:cs="Times New Roman"/>
                <w:b/>
                <w:sz w:val="24"/>
                <w:szCs w:val="24"/>
              </w:rPr>
              <w:t>Interstate Natural Gas Pipelines</w:t>
            </w:r>
          </w:p>
        </w:tc>
        <w:tc>
          <w:tcPr>
            <w:tcW w:w="1523" w:type="dxa"/>
            <w:vAlign w:val="bottom"/>
          </w:tcPr>
          <w:p w14:paraId="73EC6835" w14:textId="77777777" w:rsidR="0077597A" w:rsidRPr="0077597A" w:rsidRDefault="0077597A" w:rsidP="008A5F46">
            <w:pPr>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137</w:t>
            </w:r>
            <w:r w:rsidRPr="0077597A">
              <w:rPr>
                <w:rFonts w:ascii="Times New Roman" w:hAnsi="Times New Roman" w:cs="Times New Roman"/>
                <w:sz w:val="24"/>
                <w:szCs w:val="24"/>
                <w:vertAlign w:val="superscript"/>
              </w:rPr>
              <w:footnoteReference w:id="17"/>
            </w:r>
          </w:p>
        </w:tc>
        <w:tc>
          <w:tcPr>
            <w:tcW w:w="1590" w:type="dxa"/>
            <w:vAlign w:val="bottom"/>
          </w:tcPr>
          <w:p w14:paraId="4F66B004"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12</w:t>
            </w:r>
          </w:p>
        </w:tc>
        <w:tc>
          <w:tcPr>
            <w:tcW w:w="1177" w:type="dxa"/>
            <w:vAlign w:val="bottom"/>
          </w:tcPr>
          <w:p w14:paraId="317B5F8C"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0.50</w:t>
            </w:r>
          </w:p>
        </w:tc>
        <w:tc>
          <w:tcPr>
            <w:tcW w:w="1713" w:type="dxa"/>
            <w:vAlign w:val="bottom"/>
          </w:tcPr>
          <w:p w14:paraId="650D4C62"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822</w:t>
            </w:r>
          </w:p>
        </w:tc>
        <w:tc>
          <w:tcPr>
            <w:tcW w:w="2376" w:type="dxa"/>
            <w:vAlign w:val="bottom"/>
          </w:tcPr>
          <w:p w14:paraId="4A38333A"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$49,657</w:t>
            </w:r>
          </w:p>
        </w:tc>
      </w:tr>
      <w:tr w:rsidR="0077597A" w:rsidRPr="0077597A" w14:paraId="3102B32A" w14:textId="77777777" w:rsidTr="00BD1694">
        <w:tc>
          <w:tcPr>
            <w:tcW w:w="2136" w:type="dxa"/>
            <w:vAlign w:val="center"/>
          </w:tcPr>
          <w:p w14:paraId="76797B7A" w14:textId="77777777" w:rsidR="0077597A" w:rsidRPr="0077597A" w:rsidRDefault="0077597A" w:rsidP="008A5F46">
            <w:pPr>
              <w:tabs>
                <w:tab w:val="left" w:pos="720"/>
              </w:tabs>
              <w:spacing w:after="0" w:line="240" w:lineRule="auto"/>
              <w:rPr>
                <w:rFonts w:ascii="Times New Roman" w:hAnsi="Times New Roman" w:cs="Times New Roman"/>
                <w:b/>
                <w:sz w:val="24"/>
                <w:szCs w:val="24"/>
              </w:rPr>
            </w:pPr>
            <w:r w:rsidRPr="0077597A">
              <w:rPr>
                <w:rFonts w:ascii="Times New Roman" w:hAnsi="Times New Roman" w:cs="Times New Roman"/>
                <w:b/>
                <w:sz w:val="24"/>
                <w:szCs w:val="24"/>
              </w:rPr>
              <w:t>Total</w:t>
            </w:r>
          </w:p>
        </w:tc>
        <w:tc>
          <w:tcPr>
            <w:tcW w:w="1523" w:type="dxa"/>
            <w:vAlign w:val="bottom"/>
          </w:tcPr>
          <w:p w14:paraId="2D82E41E"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269</w:t>
            </w:r>
          </w:p>
        </w:tc>
        <w:tc>
          <w:tcPr>
            <w:tcW w:w="1590" w:type="dxa"/>
            <w:vAlign w:val="bottom"/>
          </w:tcPr>
          <w:p w14:paraId="117622DA"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12</w:t>
            </w:r>
          </w:p>
        </w:tc>
        <w:tc>
          <w:tcPr>
            <w:tcW w:w="1177" w:type="dxa"/>
            <w:vAlign w:val="bottom"/>
          </w:tcPr>
          <w:p w14:paraId="7C23B166"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0.50</w:t>
            </w:r>
          </w:p>
        </w:tc>
        <w:tc>
          <w:tcPr>
            <w:tcW w:w="1713" w:type="dxa"/>
            <w:vAlign w:val="bottom"/>
          </w:tcPr>
          <w:p w14:paraId="00599CB4"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1,614</w:t>
            </w:r>
          </w:p>
        </w:tc>
        <w:tc>
          <w:tcPr>
            <w:tcW w:w="2376" w:type="dxa"/>
            <w:vAlign w:val="bottom"/>
          </w:tcPr>
          <w:p w14:paraId="08DD689B" w14:textId="77777777" w:rsidR="0077597A" w:rsidRPr="0077597A" w:rsidRDefault="0077597A" w:rsidP="008A5F46">
            <w:pPr>
              <w:tabs>
                <w:tab w:val="left" w:pos="720"/>
              </w:tabs>
              <w:spacing w:after="0" w:line="240" w:lineRule="auto"/>
              <w:jc w:val="right"/>
              <w:rPr>
                <w:rFonts w:ascii="Times New Roman" w:hAnsi="Times New Roman" w:cs="Times New Roman"/>
                <w:sz w:val="24"/>
                <w:szCs w:val="24"/>
              </w:rPr>
            </w:pPr>
            <w:r w:rsidRPr="0077597A">
              <w:rPr>
                <w:rFonts w:ascii="Times New Roman" w:hAnsi="Times New Roman" w:cs="Times New Roman"/>
                <w:sz w:val="24"/>
                <w:szCs w:val="24"/>
              </w:rPr>
              <w:t>$97,502</w:t>
            </w:r>
          </w:p>
        </w:tc>
      </w:tr>
    </w:tbl>
    <w:p w14:paraId="36BDCE93" w14:textId="77777777" w:rsidR="00D80FBD" w:rsidRDefault="00D80FBD" w:rsidP="008A5F46">
      <w:pPr>
        <w:spacing w:after="0" w:line="240" w:lineRule="auto"/>
        <w:rPr>
          <w:rFonts w:ascii="Times New Roman" w:hAnsi="Times New Roman" w:cs="Times New Roman"/>
          <w:sz w:val="24"/>
          <w:szCs w:val="24"/>
        </w:rPr>
      </w:pPr>
    </w:p>
    <w:p w14:paraId="36BDCE94" w14:textId="77777777" w:rsidR="00D80FBD" w:rsidRPr="00D80FBD" w:rsidRDefault="00D80FBD" w:rsidP="008A5F46">
      <w:pPr>
        <w:spacing w:after="0" w:line="240" w:lineRule="auto"/>
        <w:rPr>
          <w:rFonts w:ascii="Times New Roman" w:hAnsi="Times New Roman" w:cs="Times New Roman"/>
          <w:sz w:val="24"/>
          <w:szCs w:val="24"/>
        </w:rPr>
      </w:pPr>
    </w:p>
    <w:p w14:paraId="36BDCE95" w14:textId="77777777" w:rsidR="00D80FBD" w:rsidRPr="00414F32" w:rsidRDefault="00E636D7" w:rsidP="008A5F46">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6BDCE96" w14:textId="2914D246" w:rsidR="00E636D7" w:rsidRDefault="00F54C4C" w:rsidP="008A5F46">
      <w:pPr>
        <w:spacing w:after="0" w:line="240" w:lineRule="auto"/>
        <w:rPr>
          <w:rFonts w:ascii="Times New Roman" w:hAnsi="Times New Roman" w:cs="Times New Roman"/>
          <w:sz w:val="24"/>
          <w:szCs w:val="24"/>
        </w:rPr>
      </w:pPr>
      <w:r w:rsidRPr="00F54C4C">
        <w:rPr>
          <w:rFonts w:ascii="Times New Roman" w:hAnsi="Times New Roman" w:cs="Times New Roman"/>
          <w:sz w:val="24"/>
          <w:szCs w:val="24"/>
        </w:rPr>
        <w:t xml:space="preserve">There </w:t>
      </w:r>
      <w:r w:rsidR="00392BC6">
        <w:rPr>
          <w:rFonts w:ascii="Times New Roman" w:hAnsi="Times New Roman" w:cs="Times New Roman"/>
          <w:sz w:val="24"/>
          <w:szCs w:val="24"/>
        </w:rPr>
        <w:t>are</w:t>
      </w:r>
      <w:r w:rsidRPr="00F54C4C">
        <w:rPr>
          <w:rFonts w:ascii="Times New Roman" w:hAnsi="Times New Roman" w:cs="Times New Roman"/>
          <w:sz w:val="24"/>
          <w:szCs w:val="24"/>
        </w:rPr>
        <w:t xml:space="preserve"> no start-up</w:t>
      </w:r>
      <w:r w:rsidR="00392BC6">
        <w:rPr>
          <w:rFonts w:ascii="Times New Roman" w:hAnsi="Times New Roman" w:cs="Times New Roman"/>
          <w:sz w:val="24"/>
          <w:szCs w:val="24"/>
        </w:rPr>
        <w:t>, capital,</w:t>
      </w:r>
      <w:r w:rsidRPr="00F54C4C">
        <w:rPr>
          <w:rFonts w:ascii="Times New Roman" w:hAnsi="Times New Roman" w:cs="Times New Roman"/>
          <w:sz w:val="24"/>
          <w:szCs w:val="24"/>
        </w:rPr>
        <w:t xml:space="preserve"> or other non-labor hour cost associated wit</w:t>
      </w:r>
      <w:r w:rsidR="00392BC6">
        <w:rPr>
          <w:rFonts w:ascii="Times New Roman" w:hAnsi="Times New Roman" w:cs="Times New Roman"/>
          <w:sz w:val="24"/>
          <w:szCs w:val="24"/>
        </w:rPr>
        <w:t>h the proposed FERC-923</w:t>
      </w:r>
      <w:r w:rsidRPr="00F54C4C">
        <w:rPr>
          <w:rFonts w:ascii="Times New Roman" w:hAnsi="Times New Roman" w:cs="Times New Roman"/>
          <w:sz w:val="24"/>
          <w:szCs w:val="24"/>
        </w:rPr>
        <w:t xml:space="preserve">.  </w:t>
      </w:r>
    </w:p>
    <w:p w14:paraId="36BDCE97" w14:textId="77777777" w:rsidR="00E636D7" w:rsidRPr="00E636D7" w:rsidRDefault="00E636D7" w:rsidP="008A5F46">
      <w:pPr>
        <w:spacing w:after="0" w:line="240" w:lineRule="auto"/>
        <w:rPr>
          <w:rFonts w:ascii="Times New Roman" w:hAnsi="Times New Roman" w:cs="Times New Roman"/>
          <w:sz w:val="24"/>
          <w:szCs w:val="24"/>
        </w:rPr>
      </w:pPr>
    </w:p>
    <w:p w14:paraId="36BDCE98" w14:textId="77777777" w:rsidR="00E636D7" w:rsidRPr="00414F32" w:rsidRDefault="00A276F5" w:rsidP="008A5F46">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2303943C" w14:textId="60F38C15" w:rsidR="00F54C4C" w:rsidRPr="00F54C4C" w:rsidRDefault="00F54C4C" w:rsidP="008A5F46">
      <w:pPr>
        <w:spacing w:line="240" w:lineRule="auto"/>
        <w:rPr>
          <w:rFonts w:ascii="Times New Roman" w:hAnsi="Times New Roman" w:cs="Times New Roman"/>
          <w:sz w:val="24"/>
        </w:rPr>
      </w:pPr>
      <w:r w:rsidRPr="00F54C4C">
        <w:rPr>
          <w:rFonts w:ascii="Times New Roman" w:hAnsi="Times New Roman" w:cs="Times New Roman"/>
          <w:sz w:val="24"/>
        </w:rPr>
        <w:t xml:space="preserve">The estimated </w:t>
      </w:r>
      <w:r w:rsidR="00392BC6">
        <w:rPr>
          <w:rFonts w:ascii="Times New Roman" w:hAnsi="Times New Roman" w:cs="Times New Roman"/>
          <w:sz w:val="24"/>
        </w:rPr>
        <w:t>f</w:t>
      </w:r>
      <w:r w:rsidRPr="00F54C4C">
        <w:rPr>
          <w:rFonts w:ascii="Times New Roman" w:hAnsi="Times New Roman" w:cs="Times New Roman"/>
          <w:sz w:val="24"/>
        </w:rPr>
        <w:t xml:space="preserve">ederal </w:t>
      </w:r>
      <w:r w:rsidR="00392BC6">
        <w:rPr>
          <w:rFonts w:ascii="Times New Roman" w:hAnsi="Times New Roman" w:cs="Times New Roman"/>
          <w:sz w:val="24"/>
        </w:rPr>
        <w:t>c</w:t>
      </w:r>
      <w:r w:rsidRPr="00F54C4C">
        <w:rPr>
          <w:rFonts w:ascii="Times New Roman" w:hAnsi="Times New Roman" w:cs="Times New Roman"/>
          <w:sz w:val="24"/>
        </w:rPr>
        <w:t xml:space="preserve">ost follows.  </w:t>
      </w:r>
    </w:p>
    <w:tbl>
      <w:tblPr>
        <w:tblStyle w:val="TableGrid"/>
        <w:tblW w:w="0" w:type="auto"/>
        <w:tblLook w:val="01E0" w:firstRow="1" w:lastRow="1" w:firstColumn="1" w:lastColumn="1" w:noHBand="0" w:noVBand="0"/>
      </w:tblPr>
      <w:tblGrid>
        <w:gridCol w:w="3222"/>
        <w:gridCol w:w="4266"/>
      </w:tblGrid>
      <w:tr w:rsidR="00F557D5" w14:paraId="25E1739C" w14:textId="77777777" w:rsidTr="00F557D5">
        <w:tc>
          <w:tcPr>
            <w:tcW w:w="3222"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5B5A8C0D" w14:textId="77777777" w:rsidR="00F557D5" w:rsidRDefault="00F557D5" w:rsidP="008A5F46">
            <w:pPr>
              <w:rPr>
                <w:b/>
                <w:sz w:val="24"/>
                <w:szCs w:val="24"/>
              </w:rPr>
            </w:pPr>
            <w:r>
              <w:rPr>
                <w:b/>
                <w:sz w:val="24"/>
              </w:rPr>
              <w:t>Type of Cost</w:t>
            </w:r>
          </w:p>
        </w:tc>
        <w:tc>
          <w:tcPr>
            <w:tcW w:w="4266" w:type="dxa"/>
            <w:tcBorders>
              <w:top w:val="single" w:sz="4" w:space="0" w:color="auto"/>
              <w:left w:val="single" w:sz="4" w:space="0" w:color="auto"/>
              <w:bottom w:val="single" w:sz="4" w:space="0" w:color="auto"/>
              <w:right w:val="single" w:sz="4" w:space="0" w:color="auto"/>
            </w:tcBorders>
            <w:shd w:val="clear" w:color="auto" w:fill="CCCCCC"/>
            <w:hideMark/>
          </w:tcPr>
          <w:p w14:paraId="29470D99" w14:textId="77777777" w:rsidR="00F557D5" w:rsidRDefault="00F557D5" w:rsidP="008A5F46">
            <w:pPr>
              <w:rPr>
                <w:b/>
                <w:sz w:val="24"/>
                <w:szCs w:val="24"/>
              </w:rPr>
            </w:pPr>
            <w:r>
              <w:rPr>
                <w:b/>
                <w:sz w:val="24"/>
              </w:rPr>
              <w:t>Estimated Annual Federal Cost</w:t>
            </w:r>
            <w:r>
              <w:rPr>
                <w:b/>
                <w:sz w:val="24"/>
                <w:vertAlign w:val="superscript"/>
              </w:rPr>
              <w:footnoteReference w:id="18"/>
            </w:r>
          </w:p>
        </w:tc>
      </w:tr>
      <w:tr w:rsidR="00F557D5" w14:paraId="3E29BEC6" w14:textId="77777777" w:rsidTr="00F557D5">
        <w:tc>
          <w:tcPr>
            <w:tcW w:w="3222" w:type="dxa"/>
            <w:tcBorders>
              <w:top w:val="single" w:sz="4" w:space="0" w:color="auto"/>
              <w:left w:val="single" w:sz="4" w:space="0" w:color="auto"/>
              <w:bottom w:val="single" w:sz="4" w:space="0" w:color="auto"/>
              <w:right w:val="single" w:sz="4" w:space="0" w:color="auto"/>
            </w:tcBorders>
            <w:hideMark/>
          </w:tcPr>
          <w:p w14:paraId="551CF705" w14:textId="77777777" w:rsidR="00F557D5" w:rsidRDefault="00F557D5" w:rsidP="008A5F46">
            <w:pPr>
              <w:rPr>
                <w:sz w:val="24"/>
                <w:szCs w:val="24"/>
              </w:rPr>
            </w:pPr>
            <w:r>
              <w:rPr>
                <w:sz w:val="24"/>
              </w:rPr>
              <w:t>PRA Administration Cost</w:t>
            </w:r>
            <w:r>
              <w:rPr>
                <w:sz w:val="24"/>
                <w:vertAlign w:val="superscript"/>
              </w:rPr>
              <w:footnoteReference w:id="19"/>
            </w:r>
          </w:p>
        </w:tc>
        <w:tc>
          <w:tcPr>
            <w:tcW w:w="4266" w:type="dxa"/>
            <w:tcBorders>
              <w:top w:val="single" w:sz="4" w:space="0" w:color="auto"/>
              <w:left w:val="single" w:sz="4" w:space="0" w:color="auto"/>
              <w:bottom w:val="single" w:sz="4" w:space="0" w:color="auto"/>
              <w:right w:val="single" w:sz="4" w:space="0" w:color="auto"/>
            </w:tcBorders>
            <w:vAlign w:val="bottom"/>
            <w:hideMark/>
          </w:tcPr>
          <w:p w14:paraId="74F38B09" w14:textId="77777777" w:rsidR="00F557D5" w:rsidRDefault="00F557D5" w:rsidP="008A5F46">
            <w:pPr>
              <w:jc w:val="right"/>
              <w:rPr>
                <w:sz w:val="24"/>
                <w:szCs w:val="24"/>
              </w:rPr>
            </w:pPr>
            <w:r>
              <w:rPr>
                <w:sz w:val="24"/>
              </w:rPr>
              <w:t>$2,250</w:t>
            </w:r>
          </w:p>
        </w:tc>
      </w:tr>
      <w:tr w:rsidR="00F557D5" w14:paraId="07E465A2" w14:textId="77777777" w:rsidTr="00F557D5">
        <w:tc>
          <w:tcPr>
            <w:tcW w:w="3222" w:type="dxa"/>
            <w:tcBorders>
              <w:top w:val="single" w:sz="4" w:space="0" w:color="auto"/>
              <w:left w:val="single" w:sz="4" w:space="0" w:color="auto"/>
              <w:bottom w:val="single" w:sz="4" w:space="0" w:color="auto"/>
              <w:right w:val="single" w:sz="4" w:space="0" w:color="auto"/>
            </w:tcBorders>
            <w:hideMark/>
          </w:tcPr>
          <w:p w14:paraId="7F4C941D" w14:textId="77777777" w:rsidR="00F557D5" w:rsidRDefault="00F557D5" w:rsidP="008A5F46">
            <w:pPr>
              <w:rPr>
                <w:b/>
                <w:sz w:val="24"/>
                <w:szCs w:val="24"/>
              </w:rPr>
            </w:pPr>
            <w:r>
              <w:rPr>
                <w:b/>
                <w:sz w:val="24"/>
              </w:rPr>
              <w:t>FERC Total</w:t>
            </w:r>
          </w:p>
        </w:tc>
        <w:tc>
          <w:tcPr>
            <w:tcW w:w="4266" w:type="dxa"/>
            <w:tcBorders>
              <w:top w:val="single" w:sz="4" w:space="0" w:color="auto"/>
              <w:left w:val="single" w:sz="4" w:space="0" w:color="auto"/>
              <w:bottom w:val="single" w:sz="4" w:space="0" w:color="auto"/>
              <w:right w:val="single" w:sz="4" w:space="0" w:color="auto"/>
            </w:tcBorders>
            <w:vAlign w:val="bottom"/>
            <w:hideMark/>
          </w:tcPr>
          <w:p w14:paraId="68AE75A7" w14:textId="41F05DAE" w:rsidR="00F557D5" w:rsidRDefault="00F557D5" w:rsidP="008A5F46">
            <w:pPr>
              <w:jc w:val="right"/>
              <w:rPr>
                <w:sz w:val="24"/>
                <w:szCs w:val="24"/>
              </w:rPr>
            </w:pPr>
            <w:r>
              <w:rPr>
                <w:sz w:val="24"/>
                <w:szCs w:val="24"/>
              </w:rPr>
              <w:t>$2,250</w:t>
            </w:r>
          </w:p>
        </w:tc>
      </w:tr>
    </w:tbl>
    <w:p w14:paraId="4D288A2F" w14:textId="77777777" w:rsidR="00F23CBD" w:rsidRDefault="00F23CBD" w:rsidP="008A5F46">
      <w:pPr>
        <w:spacing w:after="0" w:line="240" w:lineRule="auto"/>
        <w:rPr>
          <w:rFonts w:ascii="Times New Roman" w:hAnsi="Times New Roman" w:cs="Times New Roman"/>
          <w:sz w:val="24"/>
          <w:szCs w:val="24"/>
        </w:rPr>
      </w:pPr>
    </w:p>
    <w:p w14:paraId="36BDCE9A" w14:textId="107A86C6" w:rsidR="00A276F5" w:rsidRDefault="00CE02F7"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(Because the information is not submitted to FERC, there is no federal cost associated with processing and analysis of the data.) </w:t>
      </w:r>
    </w:p>
    <w:p w14:paraId="36BDCE9B" w14:textId="77777777" w:rsidR="00A276F5" w:rsidRPr="00A276F5" w:rsidRDefault="00A276F5" w:rsidP="008A5F46">
      <w:pPr>
        <w:spacing w:after="0" w:line="240" w:lineRule="auto"/>
        <w:rPr>
          <w:rFonts w:ascii="Times New Roman" w:hAnsi="Times New Roman" w:cs="Times New Roman"/>
          <w:sz w:val="24"/>
          <w:szCs w:val="24"/>
        </w:rPr>
      </w:pPr>
    </w:p>
    <w:p w14:paraId="36BDCE9C" w14:textId="77777777" w:rsidR="00A276F5" w:rsidRPr="00414F32" w:rsidRDefault="00A276F5" w:rsidP="008A5F46">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6BDCE9E" w14:textId="091B35E1" w:rsidR="00C01698" w:rsidRDefault="00577386" w:rsidP="008A5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public comments received since 2/15/2012, the Commission is removing perceived or actual barriers for information sharing between gas and electric industry transmission operators for the purposes of reliability and operational planning.  The information sharing and communications are voluntary between industry participants and are not provided to FERC.  </w:t>
      </w:r>
    </w:p>
    <w:p w14:paraId="36BDCE9F" w14:textId="77777777" w:rsidR="00970FE4" w:rsidRPr="00A276F5" w:rsidRDefault="00970FE4" w:rsidP="008A5F46">
      <w:pPr>
        <w:spacing w:after="0" w:line="240" w:lineRule="auto"/>
        <w:rPr>
          <w:rFonts w:ascii="Times New Roman" w:hAnsi="Times New Roman" w:cs="Times New Roman"/>
          <w:sz w:val="24"/>
          <w:szCs w:val="24"/>
        </w:rPr>
      </w:pPr>
    </w:p>
    <w:p w14:paraId="36BDCEA0" w14:textId="77777777" w:rsidR="00A276F5" w:rsidRPr="00414F32" w:rsidRDefault="00414F32" w:rsidP="008A5F46">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36BDCEA1" w14:textId="1081950E" w:rsidR="00414F32" w:rsidRDefault="00280FB6" w:rsidP="008A5F46">
      <w:pPr>
        <w:spacing w:after="0" w:line="240" w:lineRule="auto"/>
        <w:rPr>
          <w:rFonts w:ascii="Times New Roman" w:hAnsi="Times New Roman" w:cs="Times New Roman"/>
          <w:sz w:val="24"/>
          <w:szCs w:val="24"/>
        </w:rPr>
      </w:pPr>
      <w:r w:rsidRPr="00280FB6">
        <w:rPr>
          <w:rFonts w:ascii="Times New Roman" w:hAnsi="Times New Roman" w:cs="Times New Roman"/>
          <w:sz w:val="24"/>
          <w:szCs w:val="24"/>
        </w:rPr>
        <w:t>The Commission does not make payments or provide gifts for respondents related to this collection.</w:t>
      </w:r>
    </w:p>
    <w:p w14:paraId="36BDCEA2" w14:textId="77777777" w:rsidR="00414F32" w:rsidRPr="00414F32" w:rsidRDefault="00414F32" w:rsidP="008A5F46">
      <w:pPr>
        <w:spacing w:after="0" w:line="240" w:lineRule="auto"/>
        <w:rPr>
          <w:rFonts w:ascii="Times New Roman" w:hAnsi="Times New Roman" w:cs="Times New Roman"/>
          <w:sz w:val="24"/>
          <w:szCs w:val="24"/>
        </w:rPr>
      </w:pPr>
    </w:p>
    <w:p w14:paraId="36BDCEA3" w14:textId="77777777" w:rsidR="00414F32" w:rsidRPr="00414F32" w:rsidRDefault="00414F32" w:rsidP="008A5F46">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36BDCEA4" w14:textId="71E36DA7" w:rsidR="00414F32" w:rsidRDefault="00280FB6" w:rsidP="008A5F46">
      <w:pPr>
        <w:spacing w:after="0" w:line="240" w:lineRule="auto"/>
        <w:rPr>
          <w:rFonts w:ascii="Times New Roman" w:hAnsi="Times New Roman" w:cs="Times New Roman"/>
          <w:sz w:val="24"/>
          <w:szCs w:val="24"/>
        </w:rPr>
      </w:pPr>
      <w:r w:rsidRPr="00280FB6">
        <w:rPr>
          <w:rFonts w:ascii="Times New Roman" w:hAnsi="Times New Roman" w:cs="Times New Roman"/>
          <w:sz w:val="24"/>
          <w:szCs w:val="24"/>
        </w:rPr>
        <w:t xml:space="preserve">It is not appropriate to display the expiration date because the information is not collected on a preformatted form or in any format that would allow for such a display.  </w:t>
      </w:r>
    </w:p>
    <w:p w14:paraId="36BDCEA5" w14:textId="77777777" w:rsidR="00414F32" w:rsidRPr="00414F32" w:rsidRDefault="00414F32" w:rsidP="008A5F46">
      <w:pPr>
        <w:spacing w:after="0" w:line="240" w:lineRule="auto"/>
        <w:rPr>
          <w:rFonts w:ascii="Times New Roman" w:hAnsi="Times New Roman" w:cs="Times New Roman"/>
          <w:sz w:val="24"/>
          <w:szCs w:val="24"/>
        </w:rPr>
      </w:pPr>
    </w:p>
    <w:p w14:paraId="36BDCEA6" w14:textId="77777777" w:rsidR="00414F32" w:rsidRDefault="00414F32" w:rsidP="008A5F46">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lastRenderedPageBreak/>
        <w:t>EXCEPTIONS TO THE CERTIFICATION STATEMENT</w:t>
      </w:r>
    </w:p>
    <w:p w14:paraId="36BDCEA7" w14:textId="5EAA068B" w:rsidR="0057700F" w:rsidRPr="00280FB6" w:rsidRDefault="00280FB6" w:rsidP="008A5F46">
      <w:pPr>
        <w:spacing w:after="0" w:line="240" w:lineRule="auto"/>
        <w:rPr>
          <w:rFonts w:ascii="Times New Roman" w:hAnsi="Times New Roman" w:cs="Times New Roman"/>
          <w:sz w:val="24"/>
          <w:szCs w:val="24"/>
        </w:rPr>
      </w:pPr>
      <w:r w:rsidRPr="00280FB6">
        <w:rPr>
          <w:rFonts w:ascii="Times New Roman" w:hAnsi="Times New Roman" w:cs="Times New Roman"/>
          <w:sz w:val="24"/>
          <w:szCs w:val="24"/>
        </w:rPr>
        <w:t xml:space="preserve">The Commission does not use statistical methods for this collection.  Therefore the Commission does not certify that the collection uses statistical methods.    </w:t>
      </w:r>
    </w:p>
    <w:p w14:paraId="36BDCEA8" w14:textId="77777777" w:rsidR="00970FE4" w:rsidRDefault="00970FE4" w:rsidP="008A5F46">
      <w:pPr>
        <w:spacing w:after="0" w:line="240" w:lineRule="auto"/>
        <w:rPr>
          <w:rFonts w:ascii="Times New Roman" w:hAnsi="Times New Roman" w:cs="Times New Roman"/>
          <w:sz w:val="24"/>
          <w:szCs w:val="24"/>
        </w:rPr>
      </w:pPr>
    </w:p>
    <w:p w14:paraId="36BDCEA9" w14:textId="77777777" w:rsidR="00414F32" w:rsidRPr="007A2F92" w:rsidRDefault="00414F32" w:rsidP="008A5F46">
      <w:pPr>
        <w:spacing w:after="0" w:line="240" w:lineRule="auto"/>
        <w:rPr>
          <w:rFonts w:ascii="Times New Roman" w:hAnsi="Times New Roman" w:cs="Times New Roman"/>
          <w:sz w:val="24"/>
          <w:szCs w:val="24"/>
        </w:rPr>
      </w:pPr>
    </w:p>
    <w:sectPr w:rsidR="00414F32" w:rsidRPr="007A2F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15E48" w14:textId="77777777" w:rsidR="00EF3EF8" w:rsidRDefault="00EF3EF8" w:rsidP="00FD66F1">
      <w:pPr>
        <w:spacing w:after="0" w:line="240" w:lineRule="auto"/>
      </w:pPr>
      <w:r>
        <w:separator/>
      </w:r>
    </w:p>
  </w:endnote>
  <w:endnote w:type="continuationSeparator" w:id="0">
    <w:p w14:paraId="6E6E432A" w14:textId="77777777" w:rsidR="00EF3EF8" w:rsidRDefault="00EF3EF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F5F07" w14:textId="77777777" w:rsidR="00F709D8" w:rsidRDefault="00F70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36BDCEB2" w14:textId="77777777" w:rsidR="00C25AA2" w:rsidRDefault="00C25AA2">
        <w:pPr>
          <w:pStyle w:val="Footer"/>
          <w:jc w:val="right"/>
        </w:pPr>
        <w:r>
          <w:fldChar w:fldCharType="begin"/>
        </w:r>
        <w:r>
          <w:instrText xml:space="preserve"> PAGE   \* MERGEFORMAT </w:instrText>
        </w:r>
        <w:r>
          <w:fldChar w:fldCharType="separate"/>
        </w:r>
        <w:r w:rsidR="00C31245">
          <w:rPr>
            <w:noProof/>
          </w:rPr>
          <w:t>1</w:t>
        </w:r>
        <w:r>
          <w:rPr>
            <w:noProof/>
          </w:rPr>
          <w:fldChar w:fldCharType="end"/>
        </w:r>
      </w:p>
    </w:sdtContent>
  </w:sdt>
  <w:p w14:paraId="36BDCEB3" w14:textId="77777777" w:rsidR="00C25AA2" w:rsidRDefault="00C25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0304D" w14:textId="77777777" w:rsidR="00F709D8" w:rsidRDefault="00F70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53B0E" w14:textId="77777777" w:rsidR="00EF3EF8" w:rsidRDefault="00EF3EF8" w:rsidP="00FD66F1">
      <w:pPr>
        <w:spacing w:after="0" w:line="240" w:lineRule="auto"/>
      </w:pPr>
      <w:r>
        <w:separator/>
      </w:r>
    </w:p>
  </w:footnote>
  <w:footnote w:type="continuationSeparator" w:id="0">
    <w:p w14:paraId="57391DB0" w14:textId="77777777" w:rsidR="00EF3EF8" w:rsidRDefault="00EF3EF8" w:rsidP="00FD66F1">
      <w:pPr>
        <w:spacing w:after="0" w:line="240" w:lineRule="auto"/>
      </w:pPr>
      <w:r>
        <w:continuationSeparator/>
      </w:r>
    </w:p>
  </w:footnote>
  <w:footnote w:id="1">
    <w:p w14:paraId="7122CC37" w14:textId="7AF1E39E" w:rsidR="008A5F46" w:rsidRPr="00C31245" w:rsidRDefault="008A5F46">
      <w:pPr>
        <w:pStyle w:val="FootnoteText"/>
        <w:rPr>
          <w:sz w:val="24"/>
          <w:szCs w:val="24"/>
        </w:rPr>
      </w:pPr>
      <w:r w:rsidRPr="00C31245">
        <w:rPr>
          <w:rStyle w:val="FootnoteReference"/>
          <w:sz w:val="24"/>
          <w:szCs w:val="24"/>
          <w:vertAlign w:val="superscript"/>
        </w:rPr>
        <w:footnoteRef/>
      </w:r>
      <w:r w:rsidRPr="00C31245">
        <w:rPr>
          <w:sz w:val="24"/>
          <w:szCs w:val="24"/>
        </w:rPr>
        <w:t xml:space="preserve"> </w:t>
      </w:r>
      <w:hyperlink r:id="rId1" w:history="1">
        <w:r w:rsidRPr="00C31245">
          <w:rPr>
            <w:rStyle w:val="Hyperlink"/>
            <w:sz w:val="24"/>
            <w:szCs w:val="24"/>
          </w:rPr>
          <w:t>http://elibrary.ferc.gov/idmws/common/opennat.asp?fileID=13308690</w:t>
        </w:r>
      </w:hyperlink>
      <w:r w:rsidRPr="00C31245">
        <w:rPr>
          <w:sz w:val="24"/>
          <w:szCs w:val="24"/>
        </w:rPr>
        <w:t xml:space="preserve"> </w:t>
      </w:r>
    </w:p>
  </w:footnote>
  <w:footnote w:id="2">
    <w:p w14:paraId="481504DC" w14:textId="61367AA6" w:rsidR="002157DB" w:rsidRPr="002157DB" w:rsidRDefault="002157DB">
      <w:pPr>
        <w:pStyle w:val="FootnoteText"/>
        <w:rPr>
          <w:sz w:val="24"/>
          <w:szCs w:val="24"/>
        </w:rPr>
      </w:pPr>
      <w:r w:rsidRPr="002157DB">
        <w:rPr>
          <w:rStyle w:val="FootnoteReference"/>
          <w:sz w:val="24"/>
          <w:szCs w:val="24"/>
          <w:vertAlign w:val="superscript"/>
        </w:rPr>
        <w:footnoteRef/>
      </w:r>
      <w:r w:rsidRPr="002157DB">
        <w:rPr>
          <w:sz w:val="24"/>
          <w:szCs w:val="24"/>
        </w:rPr>
        <w:t xml:space="preserve"> For ease of reference, we will refer to these </w:t>
      </w:r>
      <w:r w:rsidR="0072049B">
        <w:rPr>
          <w:sz w:val="24"/>
          <w:szCs w:val="24"/>
        </w:rPr>
        <w:t>entities</w:t>
      </w:r>
      <w:r w:rsidRPr="002157DB">
        <w:rPr>
          <w:sz w:val="24"/>
          <w:szCs w:val="24"/>
        </w:rPr>
        <w:t xml:space="preserve"> collectively as “transmission operators.”</w:t>
      </w:r>
    </w:p>
  </w:footnote>
  <w:footnote w:id="3">
    <w:p w14:paraId="679A371B" w14:textId="4D1D2B58" w:rsidR="002157DB" w:rsidRPr="002157DB" w:rsidRDefault="002157DB">
      <w:pPr>
        <w:pStyle w:val="FootnoteText"/>
        <w:rPr>
          <w:sz w:val="24"/>
          <w:szCs w:val="24"/>
        </w:rPr>
      </w:pPr>
      <w:r w:rsidRPr="002157DB">
        <w:rPr>
          <w:rStyle w:val="FootnoteReference"/>
          <w:sz w:val="24"/>
          <w:szCs w:val="24"/>
          <w:vertAlign w:val="superscript"/>
        </w:rPr>
        <w:footnoteRef/>
      </w:r>
      <w:r w:rsidRPr="002157DB">
        <w:rPr>
          <w:sz w:val="24"/>
          <w:szCs w:val="24"/>
        </w:rPr>
        <w:t xml:space="preserve"> </w:t>
      </w:r>
      <w:r w:rsidRPr="00684A1D">
        <w:rPr>
          <w:sz w:val="24"/>
          <w:szCs w:val="24"/>
        </w:rPr>
        <w:t>See, e.g</w:t>
      </w:r>
      <w:r w:rsidRPr="002157DB">
        <w:rPr>
          <w:i/>
          <w:sz w:val="24"/>
          <w:szCs w:val="24"/>
        </w:rPr>
        <w:t>.</w:t>
      </w:r>
      <w:proofErr w:type="gramStart"/>
      <w:r w:rsidRPr="002157DB">
        <w:rPr>
          <w:i/>
          <w:sz w:val="24"/>
          <w:szCs w:val="24"/>
        </w:rPr>
        <w:t xml:space="preserve">,  </w:t>
      </w:r>
      <w:r w:rsidRPr="002157DB">
        <w:rPr>
          <w:sz w:val="24"/>
          <w:szCs w:val="24"/>
        </w:rPr>
        <w:t>Energy</w:t>
      </w:r>
      <w:proofErr w:type="gramEnd"/>
      <w:r w:rsidRPr="002157DB">
        <w:rPr>
          <w:sz w:val="24"/>
          <w:szCs w:val="24"/>
        </w:rPr>
        <w:t xml:space="preserve"> Information Administration,</w:t>
      </w:r>
      <w:r w:rsidRPr="002157DB">
        <w:rPr>
          <w:i/>
          <w:iCs/>
          <w:color w:val="222222"/>
          <w:sz w:val="24"/>
          <w:szCs w:val="24"/>
          <w:shd w:val="clear" w:color="auto" w:fill="FFFFFF"/>
        </w:rPr>
        <w:t xml:space="preserve">  Fuel Competition in Power Generation and </w:t>
      </w:r>
      <w:proofErr w:type="spellStart"/>
      <w:r w:rsidRPr="002157DB">
        <w:rPr>
          <w:i/>
          <w:iCs/>
          <w:color w:val="222222"/>
          <w:sz w:val="24"/>
          <w:szCs w:val="24"/>
          <w:shd w:val="clear" w:color="auto" w:fill="FFFFFF"/>
        </w:rPr>
        <w:t>Elasticities</w:t>
      </w:r>
      <w:proofErr w:type="spellEnd"/>
      <w:r w:rsidRPr="002157DB">
        <w:rPr>
          <w:i/>
          <w:iCs/>
          <w:color w:val="222222"/>
          <w:sz w:val="24"/>
          <w:szCs w:val="24"/>
          <w:shd w:val="clear" w:color="auto" w:fill="FFFFFF"/>
        </w:rPr>
        <w:t xml:space="preserve"> of Substitution</w:t>
      </w:r>
      <w:r w:rsidRPr="002157DB">
        <w:rPr>
          <w:rStyle w:val="apple-converted-space"/>
          <w:i/>
          <w:iCs/>
          <w:color w:val="222222"/>
          <w:sz w:val="24"/>
          <w:szCs w:val="24"/>
          <w:shd w:val="clear" w:color="auto" w:fill="FFFFFF"/>
        </w:rPr>
        <w:t> </w:t>
      </w:r>
      <w:r w:rsidRPr="002157DB">
        <w:rPr>
          <w:color w:val="222222"/>
          <w:sz w:val="24"/>
          <w:szCs w:val="24"/>
          <w:shd w:val="clear" w:color="auto" w:fill="FFFFFF"/>
        </w:rPr>
        <w:t>(June 2012</w:t>
      </w:r>
      <w:r>
        <w:rPr>
          <w:color w:val="222222"/>
          <w:sz w:val="24"/>
          <w:szCs w:val="24"/>
          <w:shd w:val="clear" w:color="auto" w:fill="FFFFFF"/>
        </w:rPr>
        <w:t>).  Other references are provided in the NOPR.</w:t>
      </w:r>
    </w:p>
  </w:footnote>
  <w:footnote w:id="4">
    <w:p w14:paraId="6507CA2F" w14:textId="2E1FA5C7" w:rsidR="00684A1D" w:rsidRPr="00684A1D" w:rsidRDefault="00684A1D">
      <w:pPr>
        <w:pStyle w:val="FootnoteText"/>
        <w:rPr>
          <w:sz w:val="24"/>
          <w:szCs w:val="24"/>
        </w:rPr>
      </w:pPr>
      <w:r w:rsidRPr="00684A1D">
        <w:rPr>
          <w:rStyle w:val="FootnoteReference"/>
          <w:sz w:val="24"/>
          <w:szCs w:val="24"/>
          <w:vertAlign w:val="superscript"/>
        </w:rPr>
        <w:footnoteRef/>
      </w:r>
      <w:r w:rsidRPr="00684A1D">
        <w:rPr>
          <w:sz w:val="24"/>
          <w:szCs w:val="24"/>
        </w:rPr>
        <w:t xml:space="preserve"> See, e.g., North American Electric Reliability Corporation, 2013 Special Reliability Assessment:  Accommodating an Increased Dependence on Natural Gas for Electric Power; Phase II:  A Vulnerability and Scenario Assessment for the North American Bulk Power System at 1 (May 2013).</w:t>
      </w:r>
    </w:p>
  </w:footnote>
  <w:footnote w:id="5">
    <w:p w14:paraId="769703F1" w14:textId="39A55D10" w:rsidR="000A1A74" w:rsidRPr="002157DB" w:rsidRDefault="000A1A74">
      <w:pPr>
        <w:pStyle w:val="FootnoteText"/>
        <w:rPr>
          <w:sz w:val="24"/>
          <w:szCs w:val="24"/>
        </w:rPr>
      </w:pPr>
      <w:r w:rsidRPr="002157DB">
        <w:rPr>
          <w:rStyle w:val="FootnoteReference"/>
          <w:sz w:val="24"/>
          <w:szCs w:val="24"/>
          <w:vertAlign w:val="superscript"/>
        </w:rPr>
        <w:footnoteRef/>
      </w:r>
      <w:r w:rsidRPr="002157DB">
        <w:rPr>
          <w:sz w:val="24"/>
          <w:szCs w:val="24"/>
        </w:rPr>
        <w:t xml:space="preserve"> Additional information </w:t>
      </w:r>
      <w:r w:rsidRPr="002157DB">
        <w:rPr>
          <w:rFonts w:eastAsiaTheme="minorHAnsi"/>
          <w:sz w:val="24"/>
          <w:szCs w:val="24"/>
        </w:rPr>
        <w:t xml:space="preserve">on the Southwest Cold Weather Event (of February 1-5, 2011) is available on ferc.gov </w:t>
      </w:r>
      <w:r w:rsidR="00684A1D">
        <w:rPr>
          <w:rFonts w:eastAsiaTheme="minorHAnsi"/>
          <w:sz w:val="24"/>
          <w:szCs w:val="24"/>
        </w:rPr>
        <w:t>(R</w:t>
      </w:r>
      <w:r w:rsidRPr="002157DB">
        <w:rPr>
          <w:rFonts w:eastAsiaTheme="minorHAnsi"/>
          <w:sz w:val="24"/>
          <w:szCs w:val="24"/>
        </w:rPr>
        <w:t xml:space="preserve">eport </w:t>
      </w:r>
      <w:r w:rsidRPr="002157DB">
        <w:rPr>
          <w:rFonts w:eastAsiaTheme="minorHAnsi"/>
          <w:noProof/>
          <w:sz w:val="24"/>
          <w:szCs w:val="24"/>
        </w:rPr>
        <w:t xml:space="preserve">at </w:t>
      </w:r>
      <w:hyperlink r:id="rId2" w:history="1">
        <w:r w:rsidRPr="002157DB">
          <w:rPr>
            <w:rStyle w:val="Hyperlink"/>
            <w:rFonts w:eastAsiaTheme="minorHAnsi"/>
            <w:sz w:val="24"/>
            <w:szCs w:val="24"/>
          </w:rPr>
          <w:t>http://www.ferc.gov/legal/staff-reports/08-16-11-report.pdf</w:t>
        </w:r>
      </w:hyperlink>
      <w:r w:rsidRPr="002157DB">
        <w:rPr>
          <w:rFonts w:eastAsiaTheme="minorHAnsi"/>
          <w:sz w:val="24"/>
          <w:szCs w:val="24"/>
        </w:rPr>
        <w:t xml:space="preserve">, </w:t>
      </w:r>
      <w:r w:rsidR="00684A1D">
        <w:rPr>
          <w:rFonts w:eastAsiaTheme="minorHAnsi"/>
          <w:sz w:val="24"/>
          <w:szCs w:val="24"/>
        </w:rPr>
        <w:t>and</w:t>
      </w:r>
      <w:r w:rsidRPr="002157DB">
        <w:rPr>
          <w:rFonts w:eastAsiaTheme="minorHAnsi"/>
          <w:sz w:val="24"/>
          <w:szCs w:val="24"/>
        </w:rPr>
        <w:t xml:space="preserve"> Presentation at </w:t>
      </w:r>
      <w:hyperlink r:id="rId3" w:history="1">
        <w:r w:rsidRPr="002157DB">
          <w:rPr>
            <w:rStyle w:val="Hyperlink"/>
            <w:rFonts w:eastAsiaTheme="minorHAnsi"/>
            <w:sz w:val="24"/>
            <w:szCs w:val="24"/>
          </w:rPr>
          <w:t>http://www.ferc.gov/EventCalendar/Files/20110915110000-A-4-presentation.pdf</w:t>
        </w:r>
      </w:hyperlink>
      <w:r w:rsidR="00684A1D">
        <w:rPr>
          <w:rStyle w:val="Hyperlink"/>
          <w:rFonts w:eastAsiaTheme="minorHAnsi"/>
          <w:sz w:val="24"/>
          <w:szCs w:val="24"/>
        </w:rPr>
        <w:t>)</w:t>
      </w:r>
      <w:r w:rsidRPr="002157DB">
        <w:rPr>
          <w:rFonts w:eastAsiaTheme="minorHAnsi"/>
          <w:sz w:val="24"/>
          <w:szCs w:val="24"/>
        </w:rPr>
        <w:t>.</w:t>
      </w:r>
    </w:p>
  </w:footnote>
  <w:footnote w:id="6">
    <w:p w14:paraId="27B7FC03" w14:textId="1AF515C9" w:rsidR="00242B6B" w:rsidRDefault="00242B6B">
      <w:pPr>
        <w:pStyle w:val="FootnoteText"/>
      </w:pPr>
      <w:r w:rsidRPr="00242B6B">
        <w:rPr>
          <w:rStyle w:val="FootnoteReference"/>
          <w:vertAlign w:val="superscript"/>
        </w:rPr>
        <w:footnoteRef/>
      </w:r>
      <w:r>
        <w:t xml:space="preserve"> </w:t>
      </w:r>
      <w:proofErr w:type="gramStart"/>
      <w:r w:rsidRPr="00242B6B">
        <w:t>13 CFR 121.201, Sector 22, Subsector 221, Utilities &amp; n.1.</w:t>
      </w:r>
      <w:proofErr w:type="gramEnd"/>
    </w:p>
  </w:footnote>
  <w:footnote w:id="7">
    <w:p w14:paraId="1D74C208" w14:textId="16AEF25C" w:rsidR="00242B6B" w:rsidRDefault="00242B6B">
      <w:pPr>
        <w:pStyle w:val="FootnoteText"/>
      </w:pPr>
      <w:r w:rsidRPr="00242B6B">
        <w:rPr>
          <w:rStyle w:val="FootnoteReference"/>
          <w:vertAlign w:val="superscript"/>
        </w:rPr>
        <w:footnoteRef/>
      </w:r>
      <w:r>
        <w:t xml:space="preserve"> </w:t>
      </w:r>
      <w:r w:rsidRPr="00242B6B">
        <w:t>Based on 13 CFR 121.201, Sectors 48-49, Subsector 486, Pipeline Transportation, the annual receipts indicate the maximum allowed for a concern and its affiliates to be considered “small.”</w:t>
      </w:r>
    </w:p>
  </w:footnote>
  <w:footnote w:id="8">
    <w:p w14:paraId="05990017" w14:textId="77777777" w:rsidR="00242B6B" w:rsidRDefault="00242B6B" w:rsidP="00242B6B">
      <w:pPr>
        <w:pStyle w:val="FootnoteText"/>
      </w:pPr>
      <w:r w:rsidRPr="00242B6B">
        <w:rPr>
          <w:rStyle w:val="FootnoteReference"/>
          <w:vertAlign w:val="superscript"/>
        </w:rPr>
        <w:footnoteRef/>
      </w:r>
      <w:r>
        <w:t xml:space="preserve"> Based on the SBA definitions and including affiliates, the number of “small” entities is estimated to be:</w:t>
      </w:r>
    </w:p>
    <w:p w14:paraId="59A52B60" w14:textId="77777777" w:rsidR="00242B6B" w:rsidRDefault="00242B6B" w:rsidP="00242B6B">
      <w:pPr>
        <w:pStyle w:val="FootnoteText"/>
      </w:pPr>
      <w:r>
        <w:t>•</w:t>
      </w:r>
      <w:r>
        <w:tab/>
        <w:t>for public utility transmission providers, 5 small public utilities; and</w:t>
      </w:r>
    </w:p>
    <w:p w14:paraId="6C9A906B" w14:textId="68B31E05" w:rsidR="00242B6B" w:rsidRDefault="00242B6B" w:rsidP="00242B6B">
      <w:pPr>
        <w:pStyle w:val="FootnoteText"/>
      </w:pPr>
      <w:r>
        <w:t>•</w:t>
      </w:r>
      <w:r>
        <w:tab/>
      </w:r>
      <w:proofErr w:type="gramStart"/>
      <w:r>
        <w:t>for</w:t>
      </w:r>
      <w:proofErr w:type="gramEnd"/>
      <w:r>
        <w:t xml:space="preserve"> natural gas pipelines, 8 small interstate natural gas pipelines. </w:t>
      </w:r>
    </w:p>
  </w:footnote>
  <w:footnote w:id="9">
    <w:p w14:paraId="06C648EB" w14:textId="00FD0E15" w:rsidR="00117404" w:rsidRDefault="00117404">
      <w:pPr>
        <w:pStyle w:val="FootnoteText"/>
      </w:pPr>
      <w:r w:rsidRPr="00117404">
        <w:rPr>
          <w:rStyle w:val="FootnoteReference"/>
          <w:vertAlign w:val="superscript"/>
        </w:rPr>
        <w:footnoteRef/>
      </w:r>
      <w:r w:rsidRPr="00117404">
        <w:rPr>
          <w:vertAlign w:val="superscript"/>
        </w:rPr>
        <w:t xml:space="preserve"> </w:t>
      </w:r>
      <w:r w:rsidRPr="00117404">
        <w:t>See FERC Staff Report on Gas-Electric Coordination Technical Conferences (Nov. 2012), available at http://www.ferc.gov/legal/staff-reports/11-15-12-coordination.pdf (November 15 Staff Report).</w:t>
      </w:r>
    </w:p>
  </w:footnote>
  <w:footnote w:id="10">
    <w:p w14:paraId="0059869E" w14:textId="06B8DEAD" w:rsidR="00117404" w:rsidRDefault="00117404">
      <w:pPr>
        <w:pStyle w:val="FootnoteText"/>
      </w:pPr>
      <w:r w:rsidRPr="00117404">
        <w:rPr>
          <w:rStyle w:val="FootnoteReference"/>
          <w:vertAlign w:val="superscript"/>
        </w:rPr>
        <w:footnoteRef/>
      </w:r>
      <w:r w:rsidRPr="00117404">
        <w:rPr>
          <w:vertAlign w:val="superscript"/>
        </w:rPr>
        <w:t xml:space="preserve"> </w:t>
      </w:r>
      <w:proofErr w:type="gramStart"/>
      <w:r w:rsidRPr="00117404">
        <w:t>Coordination between Natural Gas and Electricity Markets, 141 FERC ¶ 61,125 (2012) (November 15 Order).</w:t>
      </w:r>
      <w:proofErr w:type="gramEnd"/>
      <w:r w:rsidRPr="00117404">
        <w:t xml:space="preserve">   </w:t>
      </w:r>
    </w:p>
  </w:footnote>
  <w:footnote w:id="11">
    <w:p w14:paraId="56BE144C" w14:textId="77777777" w:rsidR="00117404" w:rsidRDefault="00117404" w:rsidP="00117404">
      <w:pPr>
        <w:pStyle w:val="FootnoteText"/>
      </w:pPr>
      <w:r w:rsidRPr="00F54C4C">
        <w:rPr>
          <w:rStyle w:val="FootnoteReference"/>
          <w:vertAlign w:val="superscript"/>
        </w:rPr>
        <w:footnoteRef/>
      </w:r>
      <w:r w:rsidRPr="00F54C4C">
        <w:rPr>
          <w:vertAlign w:val="superscript"/>
        </w:rPr>
        <w:t xml:space="preserve"> </w:t>
      </w:r>
      <w:r w:rsidRPr="00246724">
        <w:rPr>
          <w:i/>
        </w:rPr>
        <w:t>Coordination between Natural Gas and Electricity Markets</w:t>
      </w:r>
      <w:r>
        <w:t xml:space="preserve">, Docket No. AD12-12-000 (Dec. 7, 2012) (Notice </w:t>
      </w:r>
      <w:proofErr w:type="gramStart"/>
      <w:r>
        <w:t>Of</w:t>
      </w:r>
      <w:proofErr w:type="gramEnd"/>
      <w:r>
        <w:t xml:space="preserve"> Request for Comments and Technical Conference) (</w:t>
      </w:r>
      <w:r w:rsidRPr="005B499C">
        <w:t>http://www.ferc.gov/EventCalendar/Files/20121207134434-AD12-12-000TC1.pdf</w:t>
      </w:r>
      <w:r>
        <w:t xml:space="preserve">); 77 Fed. </w:t>
      </w:r>
      <w:proofErr w:type="gramStart"/>
      <w:r>
        <w:t>Reg. 74180 (Dec. 13, 2012) (</w:t>
      </w:r>
      <w:r w:rsidRPr="00265857">
        <w:t>http://www.gpo.gov/fdsys/pkg/FR-2012-12-13/pdf/2012-30063.pdf</w:t>
      </w:r>
      <w:r>
        <w:t>).</w:t>
      </w:r>
      <w:proofErr w:type="gramEnd"/>
    </w:p>
  </w:footnote>
  <w:footnote w:id="12">
    <w:p w14:paraId="11D8FB68" w14:textId="7756BF24" w:rsidR="00C25AA2" w:rsidRPr="00F54C4C" w:rsidRDefault="00C25AA2" w:rsidP="00E320B0">
      <w:pPr>
        <w:pStyle w:val="FootnoteText"/>
        <w:jc w:val="both"/>
      </w:pPr>
      <w:r w:rsidRPr="00F54C4C">
        <w:rPr>
          <w:rStyle w:val="FootnoteReference"/>
          <w:vertAlign w:val="superscript"/>
        </w:rPr>
        <w:footnoteRef/>
      </w:r>
      <w:r w:rsidRPr="00F54C4C">
        <w:rPr>
          <w:vertAlign w:val="superscript"/>
        </w:rPr>
        <w:t xml:space="preserve"> </w:t>
      </w:r>
      <w:r w:rsidRPr="00F54C4C">
        <w:t xml:space="preserve">In the </w:t>
      </w:r>
      <w:proofErr w:type="spellStart"/>
      <w:r w:rsidRPr="00F54C4C">
        <w:t>eLibrary</w:t>
      </w:r>
      <w:proofErr w:type="spellEnd"/>
      <w:r w:rsidRPr="00F54C4C">
        <w:t xml:space="preserve"> system at </w:t>
      </w:r>
      <w:hyperlink r:id="rId4" w:history="1">
        <w:r w:rsidRPr="00F54C4C">
          <w:rPr>
            <w:rStyle w:val="Hyperlink"/>
          </w:rPr>
          <w:t>http://elibrary.ferc.gov/idmws/search/fercadvsearch.asp</w:t>
        </w:r>
      </w:hyperlink>
      <w:r w:rsidRPr="00F54C4C">
        <w:t>,</w:t>
      </w:r>
      <w:r w:rsidR="00E320B0">
        <w:t xml:space="preserve"> </w:t>
      </w:r>
      <w:proofErr w:type="gramStart"/>
      <w:r w:rsidRPr="00F54C4C">
        <w:t>do a docket</w:t>
      </w:r>
      <w:proofErr w:type="gramEnd"/>
      <w:r w:rsidRPr="00F54C4C">
        <w:t xml:space="preserve"> search on AD12-12.</w:t>
      </w:r>
    </w:p>
  </w:footnote>
  <w:footnote w:id="13">
    <w:p w14:paraId="4DA8BDB6" w14:textId="77777777" w:rsidR="0077597A" w:rsidRPr="0002569A" w:rsidRDefault="0077597A" w:rsidP="0077597A">
      <w:pPr>
        <w:pStyle w:val="FootnoteText"/>
        <w:rPr>
          <w:szCs w:val="26"/>
        </w:rPr>
      </w:pPr>
      <w:r w:rsidRPr="00117404">
        <w:rPr>
          <w:rStyle w:val="FootnoteReference"/>
          <w:vertAlign w:val="superscript"/>
        </w:rPr>
        <w:footnoteRef/>
      </w:r>
      <w:r w:rsidRPr="0002569A">
        <w:rPr>
          <w:szCs w:val="26"/>
        </w:rPr>
        <w:t xml:space="preserve"> Columns 5 and 6 are rounded.</w:t>
      </w:r>
    </w:p>
  </w:footnote>
  <w:footnote w:id="14">
    <w:p w14:paraId="5D82D338" w14:textId="77777777" w:rsidR="0077597A" w:rsidRPr="0002569A" w:rsidRDefault="0077597A" w:rsidP="0077597A">
      <w:pPr>
        <w:pStyle w:val="FootnoteText"/>
        <w:rPr>
          <w:szCs w:val="26"/>
        </w:rPr>
      </w:pPr>
      <w:r w:rsidRPr="00231E0F">
        <w:rPr>
          <w:rStyle w:val="FootnoteReference"/>
          <w:vertAlign w:val="superscript"/>
        </w:rPr>
        <w:footnoteRef/>
      </w:r>
      <w:r w:rsidRPr="0002569A">
        <w:rPr>
          <w:szCs w:val="26"/>
        </w:rPr>
        <w:t xml:space="preserve"> The Commission estimates an annual average per entity of 12 responses (including electricity and gas emergency and/or operational contacts). </w:t>
      </w:r>
    </w:p>
  </w:footnote>
  <w:footnote w:id="15">
    <w:p w14:paraId="7EEDFEF4" w14:textId="77777777" w:rsidR="0077597A" w:rsidRPr="006B7615" w:rsidRDefault="0077597A" w:rsidP="0077597A">
      <w:pPr>
        <w:pStyle w:val="FootnoteText"/>
        <w:rPr>
          <w:sz w:val="24"/>
          <w:szCs w:val="24"/>
        </w:rPr>
      </w:pPr>
      <w:r w:rsidRPr="00231E0F">
        <w:rPr>
          <w:rStyle w:val="FootnoteReference"/>
          <w:vertAlign w:val="superscript"/>
        </w:rPr>
        <w:footnoteRef/>
      </w:r>
      <w:r w:rsidRPr="0002569A">
        <w:rPr>
          <w:szCs w:val="26"/>
        </w:rPr>
        <w:t xml:space="preserve"> The hourly costs (for salary plus benefits) are based on the Bureau of Labor Statistics Occupational Outlook Handbook, 2012-2013 edition (</w:t>
      </w:r>
      <w:proofErr w:type="gramStart"/>
      <w:r w:rsidRPr="0002569A">
        <w:rPr>
          <w:szCs w:val="26"/>
        </w:rPr>
        <w:t xml:space="preserve">at </w:t>
      </w:r>
      <w:r w:rsidRPr="00237B0B">
        <w:rPr>
          <w:szCs w:val="26"/>
        </w:rPr>
        <w:t xml:space="preserve"> </w:t>
      </w:r>
      <w:proofErr w:type="gramEnd"/>
      <w:hyperlink r:id="rId5" w:history="1">
        <w:r w:rsidRPr="0002569A">
          <w:rPr>
            <w:rStyle w:val="Hyperlink"/>
            <w:szCs w:val="26"/>
          </w:rPr>
          <w:t>http://www.bls.gov/ooh/</w:t>
        </w:r>
      </w:hyperlink>
      <w:r w:rsidRPr="0002569A">
        <w:rPr>
          <w:szCs w:val="26"/>
        </w:rPr>
        <w:t>).  The estimated costs are $125,647 annually or $60.41 hourly.</w:t>
      </w:r>
      <w:r>
        <w:rPr>
          <w:sz w:val="24"/>
          <w:szCs w:val="24"/>
        </w:rPr>
        <w:t xml:space="preserve">  </w:t>
      </w:r>
    </w:p>
  </w:footnote>
  <w:footnote w:id="16">
    <w:p w14:paraId="0B5AE143" w14:textId="1D75D992" w:rsidR="0077597A" w:rsidRPr="0002569A" w:rsidRDefault="0077597A" w:rsidP="0077597A">
      <w:pPr>
        <w:pStyle w:val="FootnoteText"/>
        <w:rPr>
          <w:szCs w:val="26"/>
        </w:rPr>
      </w:pPr>
      <w:r w:rsidRPr="00231E0F">
        <w:rPr>
          <w:rStyle w:val="FootnoteReference"/>
          <w:vertAlign w:val="superscript"/>
        </w:rPr>
        <w:footnoteRef/>
      </w:r>
      <w:r w:rsidRPr="0002569A">
        <w:rPr>
          <w:szCs w:val="26"/>
        </w:rPr>
        <w:t xml:space="preserve"> Of the 132 public utility transmission providers, </w:t>
      </w:r>
      <w:r w:rsidR="00F23CBD">
        <w:rPr>
          <w:szCs w:val="26"/>
        </w:rPr>
        <w:t>five (</w:t>
      </w:r>
      <w:r>
        <w:rPr>
          <w:szCs w:val="26"/>
        </w:rPr>
        <w:t>5</w:t>
      </w:r>
      <w:r w:rsidR="00F23CBD">
        <w:rPr>
          <w:szCs w:val="26"/>
        </w:rPr>
        <w:t>)</w:t>
      </w:r>
      <w:r w:rsidRPr="0002569A">
        <w:rPr>
          <w:szCs w:val="26"/>
        </w:rPr>
        <w:t xml:space="preserve"> are considered “small” using the SBA definition.</w:t>
      </w:r>
    </w:p>
  </w:footnote>
  <w:footnote w:id="17">
    <w:p w14:paraId="38807C2A" w14:textId="77777777" w:rsidR="0077597A" w:rsidRPr="00237B0B" w:rsidRDefault="0077597A" w:rsidP="0077597A">
      <w:pPr>
        <w:pStyle w:val="FootnoteText"/>
        <w:rPr>
          <w:szCs w:val="26"/>
        </w:rPr>
      </w:pPr>
      <w:r w:rsidRPr="00231E0F">
        <w:rPr>
          <w:rStyle w:val="FootnoteReference"/>
          <w:vertAlign w:val="superscript"/>
        </w:rPr>
        <w:footnoteRef/>
      </w:r>
      <w:r w:rsidRPr="00231E0F">
        <w:rPr>
          <w:szCs w:val="26"/>
          <w:vertAlign w:val="superscript"/>
        </w:rPr>
        <w:t xml:space="preserve"> </w:t>
      </w:r>
      <w:r w:rsidRPr="0002569A">
        <w:rPr>
          <w:szCs w:val="26"/>
        </w:rPr>
        <w:t>The 2012 filings of the Forms 2 and 2A indicated that there are 137 interstate natural gas pipelines.  Of those pipelines, eight (8) are considered small using the definition of the Small Business Administration (at 13 CFR 121.301), including the affiliate.</w:t>
      </w:r>
    </w:p>
  </w:footnote>
  <w:footnote w:id="18">
    <w:p w14:paraId="1F40D5EF" w14:textId="77777777" w:rsidR="00F557D5" w:rsidRDefault="00F557D5" w:rsidP="00F54C4C">
      <w:pPr>
        <w:pStyle w:val="FootnoteText"/>
      </w:pPr>
      <w:r w:rsidRPr="00231E0F">
        <w:rPr>
          <w:rStyle w:val="FootnoteReference"/>
          <w:vertAlign w:val="superscript"/>
        </w:rPr>
        <w:footnoteRef/>
      </w:r>
      <w:r w:rsidRPr="00231E0F">
        <w:rPr>
          <w:vertAlign w:val="superscript"/>
        </w:rPr>
        <w:t xml:space="preserve"> </w:t>
      </w:r>
      <w:r>
        <w:t>Based on 2013 cost per FTE of $145,818</w:t>
      </w:r>
    </w:p>
  </w:footnote>
  <w:footnote w:id="19">
    <w:p w14:paraId="155BEE4B" w14:textId="77777777" w:rsidR="00F557D5" w:rsidRDefault="00F557D5" w:rsidP="00F54C4C">
      <w:pPr>
        <w:pStyle w:val="FootnoteText"/>
        <w:rPr>
          <w:sz w:val="26"/>
        </w:rPr>
      </w:pPr>
      <w:r w:rsidRPr="00231E0F">
        <w:rPr>
          <w:rStyle w:val="FootnoteReference"/>
          <w:vertAlign w:val="superscript"/>
        </w:rPr>
        <w:footnoteRef/>
      </w:r>
      <w:r>
        <w:t xml:space="preserve"> The PRA Administration Cost is based on the Commission’s estimated staff time and resources to comply with the requirements of the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AFFC" w14:textId="77777777" w:rsidR="00F709D8" w:rsidRDefault="00F70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BA879" w14:textId="4B576384" w:rsidR="00C25AA2" w:rsidRPr="00F709D8" w:rsidRDefault="00C25AA2" w:rsidP="00A469D6">
    <w:pPr>
      <w:pStyle w:val="Header"/>
      <w:rPr>
        <w:rFonts w:ascii="Times New Roman" w:hAnsi="Times New Roman"/>
        <w:sz w:val="24"/>
        <w:szCs w:val="24"/>
      </w:rPr>
    </w:pPr>
    <w:r w:rsidRPr="00F709D8">
      <w:rPr>
        <w:rFonts w:ascii="Times New Roman" w:hAnsi="Times New Roman"/>
        <w:sz w:val="24"/>
        <w:szCs w:val="24"/>
      </w:rPr>
      <w:t>Proposed FERC-923 (OMB Control No. 1902-TBD)</w:t>
    </w:r>
  </w:p>
  <w:p w14:paraId="15DB0EE3" w14:textId="0952745C" w:rsidR="00C25AA2" w:rsidRPr="00F709D8" w:rsidRDefault="00C25AA2" w:rsidP="00A469D6">
    <w:pPr>
      <w:pStyle w:val="Header"/>
      <w:rPr>
        <w:rFonts w:ascii="Times New Roman" w:hAnsi="Times New Roman"/>
        <w:sz w:val="24"/>
        <w:szCs w:val="24"/>
      </w:rPr>
    </w:pPr>
    <w:r w:rsidRPr="00F709D8">
      <w:rPr>
        <w:rFonts w:ascii="Times New Roman" w:hAnsi="Times New Roman"/>
        <w:sz w:val="24"/>
        <w:szCs w:val="24"/>
      </w:rPr>
      <w:t>Docket No. RM13-17-000, Proposed Rule issued 7/</w:t>
    </w:r>
    <w:r w:rsidR="00847A71" w:rsidRPr="00F709D8">
      <w:rPr>
        <w:rFonts w:ascii="Times New Roman" w:hAnsi="Times New Roman"/>
        <w:sz w:val="24"/>
        <w:szCs w:val="24"/>
      </w:rPr>
      <w:t>18</w:t>
    </w:r>
    <w:r w:rsidRPr="00F709D8">
      <w:rPr>
        <w:rFonts w:ascii="Times New Roman" w:hAnsi="Times New Roman"/>
        <w:sz w:val="24"/>
        <w:szCs w:val="24"/>
      </w:rPr>
      <w:t xml:space="preserve">/2013 </w:t>
    </w:r>
  </w:p>
  <w:p w14:paraId="0FD6E7A5" w14:textId="030FD98D" w:rsidR="00C25AA2" w:rsidRDefault="00C25AA2" w:rsidP="00A469D6">
    <w:pPr>
      <w:pStyle w:val="Header"/>
      <w:rPr>
        <w:rFonts w:ascii="Times New Roman" w:hAnsi="Times New Roman"/>
        <w:sz w:val="24"/>
        <w:szCs w:val="24"/>
      </w:rPr>
    </w:pPr>
    <w:r w:rsidRPr="00F709D8">
      <w:rPr>
        <w:rFonts w:ascii="Times New Roman" w:hAnsi="Times New Roman"/>
        <w:sz w:val="24"/>
        <w:szCs w:val="24"/>
      </w:rPr>
      <w:t xml:space="preserve">RIN: </w:t>
    </w:r>
    <w:r w:rsidR="00F709D8" w:rsidRPr="00F709D8">
      <w:rPr>
        <w:rFonts w:ascii="Times New Roman" w:hAnsi="Times New Roman"/>
        <w:sz w:val="24"/>
        <w:szCs w:val="24"/>
      </w:rPr>
      <w:t>1902-AE72</w:t>
    </w:r>
  </w:p>
  <w:p w14:paraId="36BDCEB0" w14:textId="77777777" w:rsidR="00C25AA2" w:rsidRDefault="00C25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4959B" w14:textId="77777777" w:rsidR="00F709D8" w:rsidRDefault="00F70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C1D39"/>
    <w:multiLevelType w:val="hybridMultilevel"/>
    <w:tmpl w:val="45EE5318"/>
    <w:lvl w:ilvl="0" w:tplc="3140BEE6">
      <w:start w:val="1"/>
      <w:numFmt w:val="decimal"/>
      <w:pStyle w:val="FERCparanumber"/>
      <w:lvlText w:val="%1."/>
      <w:lvlJc w:val="left"/>
      <w:pPr>
        <w:tabs>
          <w:tab w:val="num" w:pos="720"/>
        </w:tabs>
        <w:ind w:left="0" w:firstLine="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FE"/>
    <w:rsid w:val="0002242D"/>
    <w:rsid w:val="0003240B"/>
    <w:rsid w:val="00035845"/>
    <w:rsid w:val="000467C1"/>
    <w:rsid w:val="000549A8"/>
    <w:rsid w:val="00096928"/>
    <w:rsid w:val="000A1A74"/>
    <w:rsid w:val="000B0027"/>
    <w:rsid w:val="000B0C37"/>
    <w:rsid w:val="000C2251"/>
    <w:rsid w:val="000F5F03"/>
    <w:rsid w:val="000F60CC"/>
    <w:rsid w:val="00117404"/>
    <w:rsid w:val="00143103"/>
    <w:rsid w:val="0017345A"/>
    <w:rsid w:val="00176B28"/>
    <w:rsid w:val="00181727"/>
    <w:rsid w:val="00185730"/>
    <w:rsid w:val="001C0937"/>
    <w:rsid w:val="00201242"/>
    <w:rsid w:val="002145E2"/>
    <w:rsid w:val="002157DB"/>
    <w:rsid w:val="00231E0F"/>
    <w:rsid w:val="00242B6B"/>
    <w:rsid w:val="00251AB2"/>
    <w:rsid w:val="0026674D"/>
    <w:rsid w:val="00280FB6"/>
    <w:rsid w:val="0029028C"/>
    <w:rsid w:val="002A7D34"/>
    <w:rsid w:val="002B13E2"/>
    <w:rsid w:val="002F2CF6"/>
    <w:rsid w:val="00310FC4"/>
    <w:rsid w:val="00315289"/>
    <w:rsid w:val="003414BF"/>
    <w:rsid w:val="00382622"/>
    <w:rsid w:val="00392BC6"/>
    <w:rsid w:val="003D226A"/>
    <w:rsid w:val="003F30FB"/>
    <w:rsid w:val="00414F32"/>
    <w:rsid w:val="00445E57"/>
    <w:rsid w:val="0048685B"/>
    <w:rsid w:val="004C1D01"/>
    <w:rsid w:val="004C4C89"/>
    <w:rsid w:val="004E6F82"/>
    <w:rsid w:val="004E75F1"/>
    <w:rsid w:val="004F6977"/>
    <w:rsid w:val="005140CA"/>
    <w:rsid w:val="00517510"/>
    <w:rsid w:val="00522F69"/>
    <w:rsid w:val="0053287C"/>
    <w:rsid w:val="00553D91"/>
    <w:rsid w:val="00571C5E"/>
    <w:rsid w:val="0057700F"/>
    <w:rsid w:val="00577386"/>
    <w:rsid w:val="0059392C"/>
    <w:rsid w:val="005A2792"/>
    <w:rsid w:val="005A5936"/>
    <w:rsid w:val="005A7A97"/>
    <w:rsid w:val="005B77CE"/>
    <w:rsid w:val="005D186C"/>
    <w:rsid w:val="005F1C3C"/>
    <w:rsid w:val="00604E1C"/>
    <w:rsid w:val="006166FA"/>
    <w:rsid w:val="00663AE0"/>
    <w:rsid w:val="00663F59"/>
    <w:rsid w:val="00664BC0"/>
    <w:rsid w:val="00684A1D"/>
    <w:rsid w:val="00690136"/>
    <w:rsid w:val="0071115F"/>
    <w:rsid w:val="0072049B"/>
    <w:rsid w:val="00731AC3"/>
    <w:rsid w:val="00744539"/>
    <w:rsid w:val="00773AEB"/>
    <w:rsid w:val="0077597A"/>
    <w:rsid w:val="00787670"/>
    <w:rsid w:val="007A2F92"/>
    <w:rsid w:val="007B34CE"/>
    <w:rsid w:val="007D5EC0"/>
    <w:rsid w:val="007E7C0F"/>
    <w:rsid w:val="007F534B"/>
    <w:rsid w:val="008300B5"/>
    <w:rsid w:val="00847A71"/>
    <w:rsid w:val="008619E1"/>
    <w:rsid w:val="00876F75"/>
    <w:rsid w:val="008A21A4"/>
    <w:rsid w:val="008A2913"/>
    <w:rsid w:val="008A5F46"/>
    <w:rsid w:val="008B703B"/>
    <w:rsid w:val="008C288D"/>
    <w:rsid w:val="008E70CD"/>
    <w:rsid w:val="009102AF"/>
    <w:rsid w:val="00913A8B"/>
    <w:rsid w:val="009618EE"/>
    <w:rsid w:val="00970FE4"/>
    <w:rsid w:val="00984A2A"/>
    <w:rsid w:val="009900F8"/>
    <w:rsid w:val="009A55A7"/>
    <w:rsid w:val="009D7EB8"/>
    <w:rsid w:val="009E1190"/>
    <w:rsid w:val="00A05BF1"/>
    <w:rsid w:val="00A276F5"/>
    <w:rsid w:val="00A469D6"/>
    <w:rsid w:val="00A72E7B"/>
    <w:rsid w:val="00A805A6"/>
    <w:rsid w:val="00A96B65"/>
    <w:rsid w:val="00AA4096"/>
    <w:rsid w:val="00AB630E"/>
    <w:rsid w:val="00AC74D9"/>
    <w:rsid w:val="00AD3DE5"/>
    <w:rsid w:val="00BA0C9C"/>
    <w:rsid w:val="00BA1C7D"/>
    <w:rsid w:val="00BA7C56"/>
    <w:rsid w:val="00BF7A12"/>
    <w:rsid w:val="00C01698"/>
    <w:rsid w:val="00C0689E"/>
    <w:rsid w:val="00C151A5"/>
    <w:rsid w:val="00C25AA2"/>
    <w:rsid w:val="00C31245"/>
    <w:rsid w:val="00C510DD"/>
    <w:rsid w:val="00CA495F"/>
    <w:rsid w:val="00CA59C3"/>
    <w:rsid w:val="00CA5FC3"/>
    <w:rsid w:val="00CB1A38"/>
    <w:rsid w:val="00CB7AD2"/>
    <w:rsid w:val="00CE02F7"/>
    <w:rsid w:val="00CF4A2E"/>
    <w:rsid w:val="00D02C22"/>
    <w:rsid w:val="00D35DA6"/>
    <w:rsid w:val="00D80FBD"/>
    <w:rsid w:val="00DC4E36"/>
    <w:rsid w:val="00DC6E49"/>
    <w:rsid w:val="00E04653"/>
    <w:rsid w:val="00E11CA6"/>
    <w:rsid w:val="00E14565"/>
    <w:rsid w:val="00E20612"/>
    <w:rsid w:val="00E320B0"/>
    <w:rsid w:val="00E36E32"/>
    <w:rsid w:val="00E53611"/>
    <w:rsid w:val="00E636D7"/>
    <w:rsid w:val="00E87A4F"/>
    <w:rsid w:val="00E9601F"/>
    <w:rsid w:val="00EA01DB"/>
    <w:rsid w:val="00EB3E6F"/>
    <w:rsid w:val="00ED5560"/>
    <w:rsid w:val="00EF3EF8"/>
    <w:rsid w:val="00EF7C9B"/>
    <w:rsid w:val="00F00F78"/>
    <w:rsid w:val="00F11F42"/>
    <w:rsid w:val="00F12DC2"/>
    <w:rsid w:val="00F152DF"/>
    <w:rsid w:val="00F23CBD"/>
    <w:rsid w:val="00F51425"/>
    <w:rsid w:val="00F54C4C"/>
    <w:rsid w:val="00F54F21"/>
    <w:rsid w:val="00F557D5"/>
    <w:rsid w:val="00F709D8"/>
    <w:rsid w:val="00F77359"/>
    <w:rsid w:val="00F9163A"/>
    <w:rsid w:val="00FC57BC"/>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BD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Footnote Text Char Char Char Char,Footnote Text Char1 Char1,Footnote Text Char Char Char1,Style 13 Char,Footnote Text MRP Char,Footnote Text Char3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445E57"/>
    <w:rPr>
      <w:color w:val="0000FF" w:themeColor="hyperlink"/>
      <w:u w:val="single"/>
    </w:rPr>
  </w:style>
  <w:style w:type="character" w:customStyle="1" w:styleId="apple-converted-space">
    <w:name w:val="apple-converted-space"/>
    <w:basedOn w:val="DefaultParagraphFont"/>
    <w:rsid w:val="002157DB"/>
  </w:style>
  <w:style w:type="paragraph" w:customStyle="1" w:styleId="FERCparanumber">
    <w:name w:val="FERC paranumber"/>
    <w:basedOn w:val="Normal"/>
    <w:qFormat/>
    <w:rsid w:val="0077597A"/>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table" w:styleId="TableGrid">
    <w:name w:val="Table Grid"/>
    <w:basedOn w:val="TableNormal"/>
    <w:uiPriority w:val="59"/>
    <w:rsid w:val="00F54C4C"/>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Footnote Text Char Char Char Char,Footnote Text Char1 Char1,Footnote Text Char Char Char1,Style 13 Char,Footnote Text MRP Char,Footnote Text Char3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445E57"/>
    <w:rPr>
      <w:color w:val="0000FF" w:themeColor="hyperlink"/>
      <w:u w:val="single"/>
    </w:rPr>
  </w:style>
  <w:style w:type="character" w:customStyle="1" w:styleId="apple-converted-space">
    <w:name w:val="apple-converted-space"/>
    <w:basedOn w:val="DefaultParagraphFont"/>
    <w:rsid w:val="002157DB"/>
  </w:style>
  <w:style w:type="paragraph" w:customStyle="1" w:styleId="FERCparanumber">
    <w:name w:val="FERC paranumber"/>
    <w:basedOn w:val="Normal"/>
    <w:qFormat/>
    <w:rsid w:val="0077597A"/>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table" w:styleId="TableGrid">
    <w:name w:val="Table Grid"/>
    <w:basedOn w:val="TableNormal"/>
    <w:uiPriority w:val="59"/>
    <w:rsid w:val="00F54C4C"/>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85952">
      <w:bodyDiv w:val="1"/>
      <w:marLeft w:val="0"/>
      <w:marRight w:val="0"/>
      <w:marTop w:val="0"/>
      <w:marBottom w:val="0"/>
      <w:divBdr>
        <w:top w:val="none" w:sz="0" w:space="0" w:color="auto"/>
        <w:left w:val="none" w:sz="0" w:space="0" w:color="auto"/>
        <w:bottom w:val="none" w:sz="0" w:space="0" w:color="auto"/>
        <w:right w:val="none" w:sz="0" w:space="0" w:color="auto"/>
      </w:divBdr>
    </w:div>
    <w:div w:id="196654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EventCalendar/Files/20110915110000-A-4-presentation.pdf" TargetMode="External"/><Relationship Id="rId2" Type="http://schemas.openxmlformats.org/officeDocument/2006/relationships/hyperlink" Target="http://www.ferc.gov/legal/staff-reports/08-16-11-report.pdf" TargetMode="External"/><Relationship Id="rId1" Type="http://schemas.openxmlformats.org/officeDocument/2006/relationships/hyperlink" Target="http://elibrary.ferc.gov/idmws/common/opennat.asp?fileID=13308690" TargetMode="External"/><Relationship Id="rId5" Type="http://schemas.openxmlformats.org/officeDocument/2006/relationships/hyperlink" Target="http://www.bls.gov/ooh/" TargetMode="External"/><Relationship Id="rId4" Type="http://schemas.openxmlformats.org/officeDocument/2006/relationships/hyperlink" Target="http://elibrary.ferc.gov/idmws/search/fercadv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FCD2-AF07-4C1B-9433-23EF1FC6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9</cp:revision>
  <cp:lastPrinted>2013-07-11T12:41:00Z</cp:lastPrinted>
  <dcterms:created xsi:type="dcterms:W3CDTF">2013-07-17T18:40:00Z</dcterms:created>
  <dcterms:modified xsi:type="dcterms:W3CDTF">2013-07-30T12:04:00Z</dcterms:modified>
</cp:coreProperties>
</file>