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30" w:rsidRDefault="00F87930" w:rsidP="00623316">
      <w:bookmarkStart w:id="0" w:name="_GoBack"/>
      <w:bookmarkEnd w:id="0"/>
      <w:r>
        <w:t>UNITED STATES OF AMERICA</w:t>
      </w:r>
    </w:p>
    <w:p w:rsidR="00F87930" w:rsidRDefault="00F87930" w:rsidP="00623316">
      <w:r>
        <w:t>FEDERAL ENERGY REGULATORY COMMISSION</w:t>
      </w:r>
    </w:p>
    <w:p w:rsidR="000A0BD1" w:rsidRDefault="000A0BD1" w:rsidP="00623316"/>
    <w:p w:rsidR="008B43AC" w:rsidRDefault="008B43AC" w:rsidP="00623316"/>
    <w:p w:rsidR="00623316" w:rsidRDefault="00623316" w:rsidP="00623316">
      <w:r>
        <w:t>[</w:t>
      </w:r>
      <w:r w:rsidRPr="00623316">
        <w:t xml:space="preserve">Docket Nos. RM11-24-000 and AD10-13-000; Order No. </w:t>
      </w:r>
      <w:r>
        <w:t>784</w:t>
      </w:r>
      <w:r w:rsidRPr="00623316">
        <w:t>]</w:t>
      </w:r>
    </w:p>
    <w:p w:rsidR="00623316" w:rsidRDefault="00623316" w:rsidP="00623316"/>
    <w:p w:rsidR="00623316" w:rsidRDefault="00623316" w:rsidP="00623316">
      <w:r w:rsidRPr="00623316">
        <w:t>Third-Party Provision of Ancillary Services; Accounting and Financial Reporting for New Electric Storage Technologies</w:t>
      </w:r>
    </w:p>
    <w:p w:rsidR="003B0450" w:rsidRDefault="00AF08FF" w:rsidP="00623316">
      <w:r>
        <w:tab/>
      </w:r>
      <w:r>
        <w:tab/>
      </w:r>
      <w:r>
        <w:tab/>
      </w:r>
      <w:r>
        <w:tab/>
      </w:r>
      <w:r>
        <w:tab/>
      </w:r>
    </w:p>
    <w:p w:rsidR="007116B2" w:rsidRDefault="007116B2" w:rsidP="00623316"/>
    <w:p w:rsidR="00F87930" w:rsidRDefault="00F16D1B" w:rsidP="00623316">
      <w:r>
        <w:t>ERRATA</w:t>
      </w:r>
      <w:r w:rsidR="00F901D4">
        <w:t xml:space="preserve"> NOTICE</w:t>
      </w:r>
    </w:p>
    <w:p w:rsidR="00F87930" w:rsidRDefault="00F87930" w:rsidP="00623316"/>
    <w:p w:rsidR="00F87930" w:rsidRDefault="00AF08FF" w:rsidP="00623316">
      <w:r>
        <w:t>(Ju</w:t>
      </w:r>
      <w:r w:rsidR="00623316">
        <w:t>ly</w:t>
      </w:r>
      <w:r>
        <w:t xml:space="preserve"> 2</w:t>
      </w:r>
      <w:r w:rsidR="00F901D4">
        <w:t>5</w:t>
      </w:r>
      <w:r>
        <w:t>, 2013</w:t>
      </w:r>
      <w:r w:rsidR="00F87930">
        <w:t>)</w:t>
      </w:r>
    </w:p>
    <w:p w:rsidR="00F87930" w:rsidRDefault="00F87930" w:rsidP="00623316"/>
    <w:p w:rsidR="005E02E6" w:rsidRDefault="002D5D78" w:rsidP="00623316">
      <w:pPr>
        <w:jc w:val="left"/>
      </w:pPr>
      <w:r>
        <w:tab/>
        <w:t xml:space="preserve"> On </w:t>
      </w:r>
      <w:r w:rsidR="00AF08FF">
        <w:t>Ju</w:t>
      </w:r>
      <w:r w:rsidR="00623316">
        <w:t>ly</w:t>
      </w:r>
      <w:r w:rsidR="00AF08FF">
        <w:t xml:space="preserve"> </w:t>
      </w:r>
      <w:r w:rsidR="00623316">
        <w:t>18</w:t>
      </w:r>
      <w:r w:rsidR="00AF08FF">
        <w:t>, 2013</w:t>
      </w:r>
      <w:r w:rsidR="00114E05">
        <w:t>,</w:t>
      </w:r>
      <w:r w:rsidR="00B3500F">
        <w:t xml:space="preserve"> </w:t>
      </w:r>
      <w:r w:rsidR="00F87930">
        <w:t xml:space="preserve">the Commission issued </w:t>
      </w:r>
      <w:r w:rsidR="00623316">
        <w:t>Order No. 784</w:t>
      </w:r>
      <w:r w:rsidR="00F87930">
        <w:t xml:space="preserve">.  This </w:t>
      </w:r>
      <w:r w:rsidR="00F16D1B">
        <w:t>Errata Notice</w:t>
      </w:r>
      <w:r>
        <w:t xml:space="preserve"> </w:t>
      </w:r>
      <w:r w:rsidR="00B3500F">
        <w:t>is being issued to</w:t>
      </w:r>
      <w:r w:rsidR="00054D7C">
        <w:t xml:space="preserve"> correct</w:t>
      </w:r>
      <w:r w:rsidR="00B3500F">
        <w:t xml:space="preserve"> </w:t>
      </w:r>
      <w:r w:rsidR="00FF1639">
        <w:t>the</w:t>
      </w:r>
      <w:r w:rsidR="00AF08FF">
        <w:t xml:space="preserve"> </w:t>
      </w:r>
      <w:r w:rsidR="00623316">
        <w:t>revised regulation under § 35.37(c)(1)</w:t>
      </w:r>
      <w:r w:rsidR="00AF08FF">
        <w:t xml:space="preserve"> on page </w:t>
      </w:r>
      <w:r w:rsidR="00623316">
        <w:t>140</w:t>
      </w:r>
      <w:r w:rsidR="00AF08FF">
        <w:t xml:space="preserve"> of </w:t>
      </w:r>
      <w:r w:rsidR="00623316">
        <w:t>Order No. 784</w:t>
      </w:r>
      <w:r w:rsidR="00AF08FF">
        <w:t xml:space="preserve">.  </w:t>
      </w:r>
      <w:r w:rsidR="00FF1639">
        <w:t xml:space="preserve"> </w:t>
      </w:r>
      <w:r w:rsidR="009F4BF0">
        <w:t xml:space="preserve">The </w:t>
      </w:r>
      <w:r w:rsidR="00C5490A">
        <w:t>regulation</w:t>
      </w:r>
      <w:r w:rsidR="00EB6B45">
        <w:t xml:space="preserve"> is </w:t>
      </w:r>
      <w:r w:rsidR="009F4BF0">
        <w:t xml:space="preserve">corrected </w:t>
      </w:r>
      <w:r w:rsidR="00EB6B45">
        <w:t xml:space="preserve">to read </w:t>
      </w:r>
      <w:r w:rsidR="009F4BF0">
        <w:t>as follows</w:t>
      </w:r>
      <w:r w:rsidR="005E02E6">
        <w:t>:</w:t>
      </w:r>
    </w:p>
    <w:p w:rsidR="00AF08FF" w:rsidRDefault="00AF08FF" w:rsidP="00623316">
      <w:pPr>
        <w:jc w:val="left"/>
      </w:pPr>
    </w:p>
    <w:p w:rsidR="00C5490A" w:rsidRPr="00C5490A" w:rsidRDefault="00C5490A" w:rsidP="00C5490A">
      <w:pPr>
        <w:jc w:val="left"/>
        <w:rPr>
          <w:b/>
        </w:rPr>
      </w:pPr>
      <w:r w:rsidRPr="00C5490A">
        <w:tab/>
      </w:r>
      <w:r w:rsidRPr="00C5490A">
        <w:rPr>
          <w:b/>
        </w:rPr>
        <w:t>§ 35.37 Market power analysis required.</w:t>
      </w:r>
    </w:p>
    <w:p w:rsidR="00C5490A" w:rsidRPr="00C5490A" w:rsidRDefault="00C5490A" w:rsidP="00C5490A">
      <w:pPr>
        <w:jc w:val="left"/>
        <w:rPr>
          <w:b/>
        </w:rPr>
      </w:pPr>
    </w:p>
    <w:p w:rsidR="00C5490A" w:rsidRPr="00C5490A" w:rsidRDefault="00C5490A" w:rsidP="00C5490A">
      <w:pPr>
        <w:jc w:val="left"/>
      </w:pPr>
      <w:r w:rsidRPr="00C5490A">
        <w:t>*</w:t>
      </w:r>
      <w:r w:rsidRPr="00C5490A">
        <w:tab/>
        <w:t>*</w:t>
      </w:r>
      <w:r w:rsidRPr="00C5490A">
        <w:tab/>
        <w:t>*</w:t>
      </w:r>
      <w:r w:rsidRPr="00C5490A">
        <w:tab/>
        <w:t>*</w:t>
      </w:r>
      <w:r w:rsidRPr="00C5490A">
        <w:tab/>
        <w:t>*</w:t>
      </w:r>
      <w:r w:rsidRPr="00C5490A">
        <w:tab/>
      </w:r>
    </w:p>
    <w:p w:rsidR="00C5490A" w:rsidRPr="00C5490A" w:rsidRDefault="00C5490A" w:rsidP="00C5490A">
      <w:pPr>
        <w:jc w:val="left"/>
      </w:pPr>
    </w:p>
    <w:p w:rsidR="00C5490A" w:rsidRPr="00C5490A" w:rsidRDefault="00C5490A" w:rsidP="00C5490A">
      <w:pPr>
        <w:spacing w:line="480" w:lineRule="auto"/>
        <w:jc w:val="left"/>
      </w:pPr>
      <w:r w:rsidRPr="00C5490A">
        <w:t xml:space="preserve">(c)(1)  There will be a rebuttable presumption that a Seller lacks horizontal market power with respect to sales of energy, capacity, energy imbalance, </w:t>
      </w:r>
      <w:r w:rsidRPr="004A56AE">
        <w:t xml:space="preserve">and </w:t>
      </w:r>
      <w:r w:rsidRPr="00C5490A">
        <w:t>generator imbalance services if it passes two indicative market power screens:  a pivotal supplier analysis based on annual peak demand of the relevant market, and a market share analysis applied on a seasonal basis.</w:t>
      </w:r>
      <w:r w:rsidRPr="004A56AE">
        <w:t xml:space="preserve">  </w:t>
      </w:r>
      <w:r w:rsidR="001347CF" w:rsidRPr="004A56AE">
        <w:t>There will be</w:t>
      </w:r>
      <w:r w:rsidRPr="004A56AE">
        <w:t xml:space="preserve"> a rebuttable presumption that a Seller lacks horizontal market power with respect to sales of operating reserve-spinning and operating reserve-supplemental services if</w:t>
      </w:r>
      <w:r w:rsidR="00C14B7B" w:rsidRPr="004A56AE">
        <w:rPr>
          <w:szCs w:val="26"/>
        </w:rPr>
        <w:t xml:space="preserve"> </w:t>
      </w:r>
      <w:r w:rsidR="00C14B7B" w:rsidRPr="004A56AE">
        <w:t>the Seller</w:t>
      </w:r>
      <w:r w:rsidR="001347CF" w:rsidRPr="004A56AE">
        <w:t xml:space="preserve"> passes the</w:t>
      </w:r>
      <w:r w:rsidR="00421E03">
        <w:t>se</w:t>
      </w:r>
      <w:r w:rsidR="001347CF" w:rsidRPr="004A56AE">
        <w:t xml:space="preserve"> two indicative market power screens and</w:t>
      </w:r>
      <w:r w:rsidR="00C14B7B" w:rsidRPr="004A56AE">
        <w:t xml:space="preserve"> demonstrate</w:t>
      </w:r>
      <w:r w:rsidR="001347CF" w:rsidRPr="004A56AE">
        <w:t>s</w:t>
      </w:r>
      <w:r w:rsidR="00C14B7B" w:rsidRPr="004A56AE">
        <w:t xml:space="preserve"> in its market-based rate application how the scheduling practices in its region support the delivery of operating reserve resources from one balancing authority area to another.</w:t>
      </w:r>
      <w:r w:rsidRPr="00C5490A">
        <w:t xml:space="preserve">  There will be a rebuttable presumption that a seller possesses horizontal market power with respect to sales of energy, capacity, energy imbalance, generator </w:t>
      </w:r>
      <w:r w:rsidRPr="00C5490A">
        <w:lastRenderedPageBreak/>
        <w:t>imbalance, operating reserve-spinning, and operating reserve-supplemental services if it fails either screen.</w:t>
      </w:r>
    </w:p>
    <w:p w:rsidR="00AF08FF" w:rsidRDefault="00C5490A" w:rsidP="00C5490A">
      <w:pPr>
        <w:jc w:val="left"/>
      </w:pPr>
      <w:r w:rsidRPr="00C5490A">
        <w:t>*</w:t>
      </w:r>
      <w:r w:rsidRPr="00C5490A">
        <w:tab/>
        <w:t>*</w:t>
      </w:r>
      <w:r w:rsidRPr="00C5490A">
        <w:tab/>
        <w:t>*</w:t>
      </w:r>
      <w:r w:rsidRPr="00C5490A">
        <w:tab/>
        <w:t>*</w:t>
      </w:r>
      <w:r w:rsidRPr="00C5490A">
        <w:tab/>
        <w:t>*</w:t>
      </w:r>
    </w:p>
    <w:p w:rsidR="00E9292D" w:rsidRDefault="00E9292D" w:rsidP="00623316"/>
    <w:p w:rsidR="007116B2" w:rsidRDefault="007116B2" w:rsidP="00623316"/>
    <w:p w:rsidR="00526EFB" w:rsidRDefault="00526EFB" w:rsidP="00623316"/>
    <w:p w:rsidR="002F79E5" w:rsidRDefault="002D5D78" w:rsidP="00C74BD5">
      <w:pPr>
        <w:pStyle w:val="FootnoteText"/>
        <w:jc w:val="left"/>
        <w:rPr>
          <w:szCs w:val="26"/>
        </w:rPr>
      </w:pPr>
      <w:r>
        <w:tab/>
      </w:r>
      <w:r>
        <w:tab/>
        <w:t xml:space="preserve">    </w:t>
      </w:r>
      <w:r w:rsidR="00B3500F">
        <w:tab/>
      </w:r>
      <w:r w:rsidR="00B3500F">
        <w:tab/>
      </w:r>
      <w:r>
        <w:t xml:space="preserve"> </w:t>
      </w:r>
    </w:p>
    <w:p w:rsidR="002A41AA" w:rsidRDefault="002A41AA" w:rsidP="002A41AA">
      <w:pPr>
        <w:jc w:val="left"/>
      </w:pPr>
    </w:p>
    <w:p w:rsidR="002A41AA" w:rsidRDefault="002A41AA" w:rsidP="002A41AA">
      <w:pPr>
        <w:jc w:val="left"/>
      </w:pPr>
    </w:p>
    <w:p w:rsidR="002A41AA" w:rsidRDefault="002A41AA" w:rsidP="002A41AA">
      <w:pPr>
        <w:jc w:val="left"/>
      </w:pPr>
    </w:p>
    <w:p w:rsidR="00C74BD5" w:rsidRPr="00C74BD5" w:rsidRDefault="00C74BD5" w:rsidP="00C74BD5">
      <w:pPr>
        <w:ind w:left="2880" w:firstLine="720"/>
        <w:jc w:val="left"/>
      </w:pPr>
      <w:r w:rsidRPr="00C74BD5">
        <w:t>Nathaniel J. Davis, Sr.,</w:t>
      </w:r>
    </w:p>
    <w:p w:rsidR="00B3500F" w:rsidRPr="00AC33C2" w:rsidRDefault="00C74BD5" w:rsidP="00C74BD5">
      <w:pPr>
        <w:ind w:left="2880" w:firstLine="720"/>
        <w:jc w:val="left"/>
      </w:pPr>
      <w:r w:rsidRPr="00C74BD5">
        <w:t>Deputy Secretary.</w:t>
      </w:r>
    </w:p>
    <w:p w:rsidR="002D5D78" w:rsidRDefault="002D5D78" w:rsidP="00623316"/>
    <w:p w:rsidR="00F87930" w:rsidRDefault="00F87930" w:rsidP="00623316"/>
    <w:p w:rsidR="00F87930" w:rsidRDefault="00F87930" w:rsidP="00623316"/>
    <w:p w:rsidR="00F87930" w:rsidRDefault="00F87930" w:rsidP="00623316"/>
    <w:p w:rsidR="00F87930" w:rsidRDefault="00F87930" w:rsidP="00623316"/>
    <w:p w:rsidR="00F87930" w:rsidRPr="00F87930" w:rsidRDefault="00F87930" w:rsidP="00623316"/>
    <w:sectPr w:rsidR="00F87930" w:rsidRPr="00F87930" w:rsidSect="00786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6D43"/>
    <w:multiLevelType w:val="multilevel"/>
    <w:tmpl w:val="8152A0FA"/>
    <w:lvl w:ilvl="0">
      <w:start w:val="1"/>
      <w:numFmt w:val="decimal"/>
      <w:pStyle w:val="LegalForma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7E4E4DD3"/>
    <w:multiLevelType w:val="hybridMultilevel"/>
    <w:tmpl w:val="DFBE2616"/>
    <w:lvl w:ilvl="0" w:tplc="BA3E5ED2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56"/>
    <w:rsid w:val="000011AD"/>
    <w:rsid w:val="00006C71"/>
    <w:rsid w:val="00054D7C"/>
    <w:rsid w:val="000554A3"/>
    <w:rsid w:val="000A0BD1"/>
    <w:rsid w:val="000D2918"/>
    <w:rsid w:val="001118A7"/>
    <w:rsid w:val="00112740"/>
    <w:rsid w:val="00114E05"/>
    <w:rsid w:val="001221AE"/>
    <w:rsid w:val="00124E9D"/>
    <w:rsid w:val="001347CF"/>
    <w:rsid w:val="00136995"/>
    <w:rsid w:val="00174767"/>
    <w:rsid w:val="0018386A"/>
    <w:rsid w:val="001A5962"/>
    <w:rsid w:val="00240156"/>
    <w:rsid w:val="00242851"/>
    <w:rsid w:val="002443A9"/>
    <w:rsid w:val="00252536"/>
    <w:rsid w:val="00252C8B"/>
    <w:rsid w:val="002A41AA"/>
    <w:rsid w:val="002A6EA0"/>
    <w:rsid w:val="002B096B"/>
    <w:rsid w:val="002B27CF"/>
    <w:rsid w:val="002C414C"/>
    <w:rsid w:val="002D5D78"/>
    <w:rsid w:val="002E053F"/>
    <w:rsid w:val="002F79E5"/>
    <w:rsid w:val="0037134A"/>
    <w:rsid w:val="003735A7"/>
    <w:rsid w:val="00381E48"/>
    <w:rsid w:val="00392D1F"/>
    <w:rsid w:val="003B0450"/>
    <w:rsid w:val="003C5FA7"/>
    <w:rsid w:val="003E3C7B"/>
    <w:rsid w:val="003E4B4A"/>
    <w:rsid w:val="00404625"/>
    <w:rsid w:val="00421E03"/>
    <w:rsid w:val="00433DCC"/>
    <w:rsid w:val="0043405C"/>
    <w:rsid w:val="00467409"/>
    <w:rsid w:val="004A56AE"/>
    <w:rsid w:val="004D1BD2"/>
    <w:rsid w:val="005248CF"/>
    <w:rsid w:val="00526EFB"/>
    <w:rsid w:val="00532FE2"/>
    <w:rsid w:val="005339AC"/>
    <w:rsid w:val="005B48A6"/>
    <w:rsid w:val="005E02E6"/>
    <w:rsid w:val="005E5824"/>
    <w:rsid w:val="0060060F"/>
    <w:rsid w:val="00623316"/>
    <w:rsid w:val="00640A6A"/>
    <w:rsid w:val="00641C27"/>
    <w:rsid w:val="00643128"/>
    <w:rsid w:val="00693363"/>
    <w:rsid w:val="007116B2"/>
    <w:rsid w:val="0076567B"/>
    <w:rsid w:val="007869E0"/>
    <w:rsid w:val="007B779C"/>
    <w:rsid w:val="007D0E49"/>
    <w:rsid w:val="007D23C7"/>
    <w:rsid w:val="007E2DF0"/>
    <w:rsid w:val="007F03AF"/>
    <w:rsid w:val="008213E3"/>
    <w:rsid w:val="00836D4E"/>
    <w:rsid w:val="00890E35"/>
    <w:rsid w:val="008B43AC"/>
    <w:rsid w:val="008F1467"/>
    <w:rsid w:val="0097409C"/>
    <w:rsid w:val="0098233C"/>
    <w:rsid w:val="009A3BB5"/>
    <w:rsid w:val="009F44F5"/>
    <w:rsid w:val="009F4BF0"/>
    <w:rsid w:val="00A016FF"/>
    <w:rsid w:val="00A11056"/>
    <w:rsid w:val="00A47D92"/>
    <w:rsid w:val="00A746A4"/>
    <w:rsid w:val="00A93A43"/>
    <w:rsid w:val="00AC33C2"/>
    <w:rsid w:val="00AD268E"/>
    <w:rsid w:val="00AF08FF"/>
    <w:rsid w:val="00B00C9F"/>
    <w:rsid w:val="00B26823"/>
    <w:rsid w:val="00B3500F"/>
    <w:rsid w:val="00B54367"/>
    <w:rsid w:val="00B64B2C"/>
    <w:rsid w:val="00B76B8F"/>
    <w:rsid w:val="00B81FF7"/>
    <w:rsid w:val="00BA07A7"/>
    <w:rsid w:val="00BB25B4"/>
    <w:rsid w:val="00C14B7B"/>
    <w:rsid w:val="00C50E89"/>
    <w:rsid w:val="00C5490A"/>
    <w:rsid w:val="00C67307"/>
    <w:rsid w:val="00C74BD5"/>
    <w:rsid w:val="00CC2962"/>
    <w:rsid w:val="00CD35E6"/>
    <w:rsid w:val="00CE576C"/>
    <w:rsid w:val="00D74848"/>
    <w:rsid w:val="00DD17BC"/>
    <w:rsid w:val="00DE3443"/>
    <w:rsid w:val="00E35DBF"/>
    <w:rsid w:val="00E43CC5"/>
    <w:rsid w:val="00E517E3"/>
    <w:rsid w:val="00E63DC1"/>
    <w:rsid w:val="00E9292D"/>
    <w:rsid w:val="00EB4041"/>
    <w:rsid w:val="00EB5414"/>
    <w:rsid w:val="00EB6B45"/>
    <w:rsid w:val="00F16D1B"/>
    <w:rsid w:val="00F178C5"/>
    <w:rsid w:val="00F44307"/>
    <w:rsid w:val="00F87930"/>
    <w:rsid w:val="00F901D4"/>
    <w:rsid w:val="00FE387F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623316"/>
    <w:pPr>
      <w:widowControl w:val="0"/>
      <w:autoSpaceDE w:val="0"/>
      <w:autoSpaceDN w:val="0"/>
      <w:adjustRightInd w:val="0"/>
      <w:jc w:val="center"/>
    </w:pPr>
    <w:rPr>
      <w:sz w:val="26"/>
      <w:szCs w:val="24"/>
    </w:rPr>
  </w:style>
  <w:style w:type="paragraph" w:styleId="Heading1">
    <w:name w:val="heading 1"/>
    <w:basedOn w:val="Normal"/>
    <w:next w:val="Normal"/>
    <w:qFormat/>
    <w:rsid w:val="00F879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Footnote">
    <w:name w:val="Body Footnote"/>
    <w:basedOn w:val="FootnoteText"/>
    <w:autoRedefine/>
    <w:rsid w:val="00404625"/>
    <w:rPr>
      <w:szCs w:val="26"/>
    </w:rPr>
  </w:style>
  <w:style w:type="paragraph" w:styleId="FootnoteText">
    <w:name w:val="footnote text"/>
    <w:aliases w:val="Footnote Text Char1,Footnote Text Char Char,Footnote Text Char"/>
    <w:basedOn w:val="Normal"/>
    <w:autoRedefine/>
    <w:rsid w:val="007D23C7"/>
    <w:pPr>
      <w:ind w:firstLine="720"/>
    </w:pPr>
    <w:rPr>
      <w:szCs w:val="20"/>
    </w:rPr>
  </w:style>
  <w:style w:type="character" w:styleId="FootnoteReference">
    <w:name w:val="footnote reference"/>
    <w:semiHidden/>
    <w:rsid w:val="00404625"/>
    <w:rPr>
      <w:rFonts w:ascii="Times New Roman" w:hAnsi="Times New Roman"/>
      <w:b/>
      <w:sz w:val="26"/>
      <w:szCs w:val="26"/>
      <w:vertAlign w:val="superscript"/>
    </w:rPr>
  </w:style>
  <w:style w:type="paragraph" w:styleId="ListContinue">
    <w:name w:val="List Continue"/>
    <w:basedOn w:val="Normal"/>
    <w:semiHidden/>
    <w:rsid w:val="00404625"/>
    <w:pPr>
      <w:widowControl/>
      <w:autoSpaceDE/>
      <w:autoSpaceDN/>
      <w:adjustRightInd/>
      <w:spacing w:after="120"/>
      <w:ind w:left="360"/>
    </w:pPr>
  </w:style>
  <w:style w:type="paragraph" w:customStyle="1" w:styleId="LegalFormat">
    <w:name w:val="Legal Format"/>
    <w:basedOn w:val="ListContinue"/>
    <w:autoRedefine/>
    <w:rsid w:val="00404625"/>
    <w:pPr>
      <w:numPr>
        <w:numId w:val="1"/>
      </w:numPr>
      <w:tabs>
        <w:tab w:val="clear" w:pos="360"/>
        <w:tab w:val="num" w:pos="720"/>
      </w:tabs>
      <w:spacing w:after="0"/>
      <w:ind w:left="720" w:hanging="720"/>
    </w:pPr>
  </w:style>
  <w:style w:type="paragraph" w:styleId="Footer">
    <w:name w:val="footer"/>
    <w:basedOn w:val="Normal"/>
    <w:rsid w:val="0040462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046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625"/>
  </w:style>
  <w:style w:type="paragraph" w:customStyle="1" w:styleId="FERCparanumber">
    <w:name w:val="FERC paranumber"/>
    <w:basedOn w:val="Normal"/>
    <w:rsid w:val="007D23C7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623316"/>
    <w:pPr>
      <w:widowControl w:val="0"/>
      <w:autoSpaceDE w:val="0"/>
      <w:autoSpaceDN w:val="0"/>
      <w:adjustRightInd w:val="0"/>
      <w:jc w:val="center"/>
    </w:pPr>
    <w:rPr>
      <w:sz w:val="26"/>
      <w:szCs w:val="24"/>
    </w:rPr>
  </w:style>
  <w:style w:type="paragraph" w:styleId="Heading1">
    <w:name w:val="heading 1"/>
    <w:basedOn w:val="Normal"/>
    <w:next w:val="Normal"/>
    <w:qFormat/>
    <w:rsid w:val="00F879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Footnote">
    <w:name w:val="Body Footnote"/>
    <w:basedOn w:val="FootnoteText"/>
    <w:autoRedefine/>
    <w:rsid w:val="00404625"/>
    <w:rPr>
      <w:szCs w:val="26"/>
    </w:rPr>
  </w:style>
  <w:style w:type="paragraph" w:styleId="FootnoteText">
    <w:name w:val="footnote text"/>
    <w:aliases w:val="Footnote Text Char1,Footnote Text Char Char,Footnote Text Char"/>
    <w:basedOn w:val="Normal"/>
    <w:autoRedefine/>
    <w:rsid w:val="007D23C7"/>
    <w:pPr>
      <w:ind w:firstLine="720"/>
    </w:pPr>
    <w:rPr>
      <w:szCs w:val="20"/>
    </w:rPr>
  </w:style>
  <w:style w:type="character" w:styleId="FootnoteReference">
    <w:name w:val="footnote reference"/>
    <w:semiHidden/>
    <w:rsid w:val="00404625"/>
    <w:rPr>
      <w:rFonts w:ascii="Times New Roman" w:hAnsi="Times New Roman"/>
      <w:b/>
      <w:sz w:val="26"/>
      <w:szCs w:val="26"/>
      <w:vertAlign w:val="superscript"/>
    </w:rPr>
  </w:style>
  <w:style w:type="paragraph" w:styleId="ListContinue">
    <w:name w:val="List Continue"/>
    <w:basedOn w:val="Normal"/>
    <w:semiHidden/>
    <w:rsid w:val="00404625"/>
    <w:pPr>
      <w:widowControl/>
      <w:autoSpaceDE/>
      <w:autoSpaceDN/>
      <w:adjustRightInd/>
      <w:spacing w:after="120"/>
      <w:ind w:left="360"/>
    </w:pPr>
  </w:style>
  <w:style w:type="paragraph" w:customStyle="1" w:styleId="LegalFormat">
    <w:name w:val="Legal Format"/>
    <w:basedOn w:val="ListContinue"/>
    <w:autoRedefine/>
    <w:rsid w:val="00404625"/>
    <w:pPr>
      <w:numPr>
        <w:numId w:val="1"/>
      </w:numPr>
      <w:tabs>
        <w:tab w:val="clear" w:pos="360"/>
        <w:tab w:val="num" w:pos="720"/>
      </w:tabs>
      <w:spacing w:after="0"/>
      <w:ind w:left="720" w:hanging="720"/>
    </w:pPr>
  </w:style>
  <w:style w:type="paragraph" w:styleId="Footer">
    <w:name w:val="footer"/>
    <w:basedOn w:val="Normal"/>
    <w:rsid w:val="0040462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046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625"/>
  </w:style>
  <w:style w:type="paragraph" w:customStyle="1" w:styleId="FERCparanumber">
    <w:name w:val="FERC paranumber"/>
    <w:basedOn w:val="Normal"/>
    <w:rsid w:val="007D23C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D5B81388B9B44B6E43689F613E80D" ma:contentTypeVersion="6" ma:contentTypeDescription="Create a new document." ma:contentTypeScope="" ma:versionID="fd10e40fdd8d34887fe725f24d69ba36">
  <xsd:schema xmlns:xsd="http://www.w3.org/2001/XMLSchema" xmlns:p="http://schemas.microsoft.com/office/2006/metadata/properties" targetNamespace="http://schemas.microsoft.com/office/2006/metadata/properties" ma:root="true" ma:fieldsID="faf52faaa31b79efcee5e183bc2d1a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0AE81-6BEB-4496-B8ED-A1983DC63BFF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0B7FE2-3465-46C8-8486-2C5CAB5E0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EE5BD4A-ACD6-4B56-813F-7DCD0F674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F3A1A27A</Template>
  <TotalTime>1</TotalTime>
  <Pages>2</Pages>
  <Words>251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FERC</Company>
  <LinksUpToDate>false</LinksUpToDate>
  <CharactersWithSpaces>1713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ferc</dc:creator>
  <cp:lastModifiedBy>ferc</cp:lastModifiedBy>
  <cp:revision>2</cp:revision>
  <cp:lastPrinted>2013-06-27T13:54:00Z</cp:lastPrinted>
  <dcterms:created xsi:type="dcterms:W3CDTF">2013-07-31T18:14:00Z</dcterms:created>
  <dcterms:modified xsi:type="dcterms:W3CDTF">2013-07-31T18:14:00Z</dcterms:modified>
  <dc:identifier/>
  <cp:version/>
</cp:coreProperties>
</file>