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Supporting Statement</w:t>
      </w:r>
    </w:p>
    <w:p w:rsidR="000D3D0F"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r w:rsidR="000D3D0F" w:rsidRPr="005A42CF">
        <w:rPr>
          <w:rFonts w:ascii="Times New Roman" w:hAnsi="Times New Roman"/>
          <w:b/>
          <w:sz w:val="24"/>
          <w:szCs w:val="24"/>
        </w:rPr>
        <w:t xml:space="preserve"> Mandatory Reliability Standards for the Bulk Electric System</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FERC-725B, Mandatory Reliability Standards for Critical Infrastructure Protection</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FERC-725D, Facilities, Design, Connections, and Maintenance Reliability Standards</w:t>
      </w:r>
    </w:p>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 xml:space="preserve">Modifications to </w:t>
      </w:r>
      <w:r w:rsidR="004C5155" w:rsidRPr="005A42CF">
        <w:rPr>
          <w:rFonts w:ascii="Times New Roman" w:hAnsi="Times New Roman"/>
          <w:sz w:val="24"/>
          <w:szCs w:val="24"/>
        </w:rPr>
        <w:t>the collection due to the Proposed Rule in RM13-8</w:t>
      </w:r>
      <w:r w:rsidRPr="005A42CF">
        <w:rPr>
          <w:rFonts w:ascii="Times New Roman" w:hAnsi="Times New Roman"/>
          <w:sz w:val="24"/>
          <w:szCs w:val="24"/>
        </w:rPr>
        <w:t>-000</w:t>
      </w:r>
      <w:r w:rsidR="00CE6556">
        <w:rPr>
          <w:rFonts w:ascii="Times New Roman" w:hAnsi="Times New Roman"/>
          <w:sz w:val="24"/>
          <w:szCs w:val="24"/>
        </w:rPr>
        <w:t xml:space="preserve">, </w:t>
      </w:r>
    </w:p>
    <w:p w:rsidR="000D3D0F" w:rsidRPr="005A42CF" w:rsidRDefault="000D3D0F" w:rsidP="004C5155">
      <w:pPr>
        <w:spacing w:after="0" w:line="240" w:lineRule="auto"/>
        <w:jc w:val="center"/>
        <w:rPr>
          <w:rFonts w:ascii="Times New Roman" w:hAnsi="Times New Roman"/>
          <w:sz w:val="24"/>
          <w:szCs w:val="24"/>
        </w:rPr>
      </w:pPr>
      <w:r w:rsidRPr="005A42CF">
        <w:rPr>
          <w:rFonts w:ascii="Times New Roman" w:hAnsi="Times New Roman"/>
          <w:sz w:val="24"/>
          <w:szCs w:val="24"/>
        </w:rPr>
        <w:t>“</w:t>
      </w:r>
      <w:r w:rsidR="004C5155" w:rsidRPr="005A42CF">
        <w:rPr>
          <w:rFonts w:ascii="Times New Roman" w:hAnsi="Times New Roman"/>
          <w:sz w:val="24"/>
          <w:szCs w:val="24"/>
        </w:rPr>
        <w:t>Electric Reliability Organization Proposal to Retire Requirements in Reliability Standards</w:t>
      </w:r>
      <w:r w:rsidRPr="005A42CF">
        <w:rPr>
          <w:rFonts w:ascii="Times New Roman" w:hAnsi="Times New Roman"/>
          <w:sz w:val="24"/>
          <w:szCs w:val="24"/>
        </w:rPr>
        <w:t>”</w:t>
      </w:r>
    </w:p>
    <w:p w:rsidR="000D3D0F" w:rsidRPr="005A42CF" w:rsidRDefault="000D3D0F">
      <w:pPr>
        <w:spacing w:after="0" w:line="240" w:lineRule="auto"/>
        <w:jc w:val="center"/>
        <w:rPr>
          <w:rFonts w:ascii="Times New Roman" w:hAnsi="Times New Roman"/>
          <w:sz w:val="24"/>
          <w:szCs w:val="24"/>
        </w:rPr>
      </w:pPr>
    </w:p>
    <w:p w:rsidR="00DC05B2" w:rsidRDefault="000D3D0F">
      <w:pPr>
        <w:spacing w:after="0" w:line="240" w:lineRule="auto"/>
        <w:rPr>
          <w:rFonts w:ascii="Times New Roman" w:hAnsi="Times New Roman"/>
          <w:sz w:val="24"/>
          <w:szCs w:val="24"/>
        </w:rPr>
      </w:pPr>
      <w:r w:rsidRPr="005A42CF">
        <w:rPr>
          <w:rFonts w:ascii="Times New Roman" w:hAnsi="Times New Roman"/>
          <w:sz w:val="24"/>
          <w:szCs w:val="24"/>
        </w:rPr>
        <w:t>In this supporting statement</w:t>
      </w:r>
      <w:r w:rsidR="004D39C9" w:rsidRPr="005A42CF">
        <w:rPr>
          <w:rFonts w:ascii="Times New Roman" w:hAnsi="Times New Roman"/>
          <w:sz w:val="24"/>
          <w:szCs w:val="24"/>
        </w:rPr>
        <w:t>,</w:t>
      </w:r>
      <w:r w:rsidRPr="005A42CF">
        <w:rPr>
          <w:rFonts w:ascii="Times New Roman" w:hAnsi="Times New Roman"/>
          <w:sz w:val="24"/>
          <w:szCs w:val="24"/>
        </w:rPr>
        <w:t xml:space="preserve"> the Commission describes the</w:t>
      </w:r>
      <w:r w:rsidR="004C5155" w:rsidRPr="005A42CF">
        <w:rPr>
          <w:rFonts w:ascii="Times New Roman" w:hAnsi="Times New Roman"/>
          <w:sz w:val="24"/>
          <w:szCs w:val="24"/>
        </w:rPr>
        <w:t xml:space="preserve"> changes </w:t>
      </w:r>
      <w:r w:rsidR="00F06E36" w:rsidRPr="005A42CF">
        <w:rPr>
          <w:rFonts w:ascii="Times New Roman" w:hAnsi="Times New Roman"/>
          <w:sz w:val="24"/>
          <w:szCs w:val="24"/>
        </w:rPr>
        <w:t>to</w:t>
      </w:r>
      <w:r w:rsidR="001C2400" w:rsidRPr="005A42CF">
        <w:rPr>
          <w:rFonts w:ascii="Times New Roman" w:hAnsi="Times New Roman"/>
          <w:sz w:val="24"/>
          <w:szCs w:val="24"/>
        </w:rPr>
        <w:t xml:space="preserve"> several FERC collections due to North American Electric Reliability Organization’s (NERC) </w:t>
      </w:r>
      <w:r w:rsidR="00F06E36" w:rsidRPr="005A42CF">
        <w:rPr>
          <w:rFonts w:ascii="Times New Roman" w:hAnsi="Times New Roman"/>
          <w:sz w:val="24"/>
          <w:szCs w:val="24"/>
        </w:rPr>
        <w:t xml:space="preserve">request </w:t>
      </w:r>
      <w:r w:rsidR="001C2400" w:rsidRPr="005A42CF">
        <w:rPr>
          <w:rFonts w:ascii="Times New Roman" w:hAnsi="Times New Roman"/>
          <w:sz w:val="24"/>
          <w:szCs w:val="24"/>
        </w:rPr>
        <w:t xml:space="preserve">to retire 34 requirements within 19 Reliability Standards. </w:t>
      </w:r>
    </w:p>
    <w:p w:rsidR="00DC05B2" w:rsidRDefault="00DC05B2">
      <w:pPr>
        <w:spacing w:after="0" w:line="240" w:lineRule="auto"/>
        <w:rPr>
          <w:rFonts w:ascii="Times New Roman" w:hAnsi="Times New Roman"/>
          <w:sz w:val="24"/>
          <w:szCs w:val="24"/>
        </w:rPr>
      </w:pPr>
    </w:p>
    <w:p w:rsidR="000D3D0F" w:rsidRDefault="00AD6E3B">
      <w:pPr>
        <w:spacing w:after="0" w:line="240" w:lineRule="auto"/>
        <w:rPr>
          <w:rFonts w:ascii="Times New Roman" w:hAnsi="Times New Roman"/>
          <w:sz w:val="24"/>
          <w:szCs w:val="24"/>
        </w:rPr>
      </w:pPr>
      <w:r w:rsidRPr="00AD6E3B">
        <w:rPr>
          <w:rFonts w:ascii="Times New Roman" w:hAnsi="Times New Roman"/>
          <w:sz w:val="24"/>
          <w:szCs w:val="24"/>
          <w:highlight w:val="lightGray"/>
        </w:rPr>
        <w:t>FERC is using a consolidated supporting statement because the proposed rule affects three distinct collections</w:t>
      </w:r>
      <w:r w:rsidR="00CE524F">
        <w:rPr>
          <w:rFonts w:ascii="Times New Roman" w:hAnsi="Times New Roman"/>
          <w:sz w:val="24"/>
          <w:szCs w:val="24"/>
          <w:highlight w:val="lightGray"/>
        </w:rPr>
        <w:t xml:space="preserve"> (and OMB Control numbers).  Each collection has</w:t>
      </w:r>
      <w:r w:rsidRPr="00AD6E3B">
        <w:rPr>
          <w:rFonts w:ascii="Times New Roman" w:hAnsi="Times New Roman"/>
          <w:sz w:val="24"/>
          <w:szCs w:val="24"/>
          <w:highlight w:val="lightGray"/>
        </w:rPr>
        <w:t xml:space="preserve"> its own Information Collection Request (ICR); one for each of the </w:t>
      </w:r>
      <w:r w:rsidR="00CE6556">
        <w:rPr>
          <w:rFonts w:ascii="Times New Roman" w:hAnsi="Times New Roman"/>
          <w:sz w:val="24"/>
          <w:szCs w:val="24"/>
          <w:highlight w:val="lightGray"/>
        </w:rPr>
        <w:t>a</w:t>
      </w:r>
      <w:r w:rsidRPr="00AD6E3B">
        <w:rPr>
          <w:rFonts w:ascii="Times New Roman" w:hAnsi="Times New Roman"/>
          <w:sz w:val="24"/>
          <w:szCs w:val="24"/>
          <w:highlight w:val="lightGray"/>
        </w:rPr>
        <w:t xml:space="preserve">ffected collections (725A, 725B, and 725D).  </w:t>
      </w:r>
    </w:p>
    <w:p w:rsidR="00AD6E3B" w:rsidRPr="005A42CF" w:rsidRDefault="00AD6E3B">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CIRCUMSTANCES THAT MAKE THE COLLECTION OF INFORMATION NECESSARY</w:t>
      </w:r>
    </w:p>
    <w:p w:rsidR="000D3D0F" w:rsidRPr="005A42CF" w:rsidRDefault="000D3D0F">
      <w:pPr>
        <w:spacing w:after="0" w:line="240" w:lineRule="auto"/>
        <w:rPr>
          <w:rFonts w:ascii="Times New Roman" w:hAnsi="Times New Roman"/>
          <w:b/>
          <w:sz w:val="24"/>
          <w:szCs w:val="24"/>
        </w:rPr>
      </w:pPr>
    </w:p>
    <w:p w:rsidR="000D3D0F" w:rsidRPr="005A42CF" w:rsidRDefault="000D3D0F" w:rsidP="005A42CF">
      <w:pPr>
        <w:pStyle w:val="FERCparanumber"/>
        <w:widowControl/>
        <w:numPr>
          <w:ilvl w:val="0"/>
          <w:numId w:val="0"/>
        </w:numPr>
        <w:spacing w:line="240" w:lineRule="auto"/>
        <w:rPr>
          <w:sz w:val="24"/>
        </w:rPr>
      </w:pPr>
      <w:r w:rsidRPr="005A42CF">
        <w:rPr>
          <w:sz w:val="24"/>
        </w:rPr>
        <w:t>On August 8, 2005, The Electricity Modernization Act of 2005, which is Title XII of the Energy Policy Act of 2005 (EPAct 2005), was enacted into law.</w:t>
      </w:r>
      <w:r w:rsidRPr="005A42CF">
        <w:rPr>
          <w:rStyle w:val="FootnoteReference"/>
          <w:sz w:val="24"/>
          <w:vertAlign w:val="superscript"/>
        </w:rPr>
        <w:footnoteReference w:id="1"/>
      </w:r>
      <w:r w:rsidRPr="005A42CF">
        <w:rPr>
          <w:sz w:val="24"/>
        </w:rPr>
        <w:t xml:space="preserve">  EPAct 2005 added a new </w:t>
      </w:r>
      <w:r w:rsidR="00504605">
        <w:rPr>
          <w:sz w:val="24"/>
        </w:rPr>
        <w:t>S</w:t>
      </w:r>
      <w:r w:rsidRPr="005A42CF">
        <w:rPr>
          <w:sz w:val="24"/>
        </w:rPr>
        <w:t xml:space="preserve">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0D3D0F" w:rsidRPr="005A42CF" w:rsidRDefault="000D3D0F">
      <w:pPr>
        <w:spacing w:after="0" w:line="240" w:lineRule="auto"/>
        <w:rPr>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FERC-725A</w:t>
      </w:r>
    </w:p>
    <w:p w:rsidR="00FD3E78" w:rsidRPr="005A42CF" w:rsidRDefault="00FD3E78">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On March 16, 2007, in Order No. 693, pursuant to </w:t>
      </w:r>
      <w:r w:rsidR="00504605">
        <w:rPr>
          <w:rFonts w:ascii="Times New Roman" w:hAnsi="Times New Roman"/>
          <w:sz w:val="24"/>
          <w:szCs w:val="24"/>
        </w:rPr>
        <w:t>S</w:t>
      </w:r>
      <w:r w:rsidRPr="005A42CF">
        <w:rPr>
          <w:rFonts w:ascii="Times New Roman" w:hAnsi="Times New Roman"/>
          <w:sz w:val="24"/>
          <w:szCs w:val="24"/>
        </w:rPr>
        <w:t xml:space="preserve">ection 215(d) of the FPA, the Commission approved 83 of 107 proposed Reliability Standards, six of the eight proposed regional differences, and the North American Electric Reliability Corporation (NERC) </w:t>
      </w:r>
      <w:r w:rsidRPr="005A42CF">
        <w:rPr>
          <w:rFonts w:ascii="Times New Roman" w:hAnsi="Times New Roman"/>
          <w:i/>
          <w:sz w:val="24"/>
          <w:szCs w:val="24"/>
        </w:rPr>
        <w:t>Glossary of Terms Used in Reliability Standards</w:t>
      </w:r>
      <w:r w:rsidRPr="005A42CF">
        <w:rPr>
          <w:rFonts w:ascii="Times New Roman" w:hAnsi="Times New Roman"/>
          <w:sz w:val="24"/>
          <w:szCs w:val="24"/>
        </w:rPr>
        <w:t xml:space="preserve"> (NERC Glossary), which includes </w:t>
      </w:r>
      <w:r w:rsidR="00FD3E78" w:rsidRPr="005A42CF">
        <w:rPr>
          <w:rFonts w:ascii="Times New Roman" w:hAnsi="Times New Roman"/>
          <w:sz w:val="24"/>
          <w:szCs w:val="24"/>
        </w:rPr>
        <w:t xml:space="preserve">the standards and information collection requirements in FERC-725A. </w:t>
      </w:r>
    </w:p>
    <w:p w:rsidR="000D3D0F" w:rsidRPr="005A42CF" w:rsidRDefault="000D3D0F">
      <w:pPr>
        <w:spacing w:after="0" w:line="240" w:lineRule="auto"/>
        <w:rPr>
          <w:rFonts w:ascii="Times New Roman" w:hAnsi="Times New Roman"/>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FERC-725B</w:t>
      </w:r>
    </w:p>
    <w:p w:rsidR="00FD3E78" w:rsidRPr="005A42CF" w:rsidRDefault="00FD3E78">
      <w:pPr>
        <w:spacing w:after="0" w:line="240" w:lineRule="auto"/>
        <w:rPr>
          <w:rFonts w:ascii="Times New Roman" w:hAnsi="Times New Roman"/>
          <w:sz w:val="24"/>
          <w:szCs w:val="24"/>
          <w:u w:val="single"/>
        </w:rPr>
      </w:pPr>
    </w:p>
    <w:p w:rsidR="00FD3E78" w:rsidRPr="005A42CF" w:rsidRDefault="00FD3E78" w:rsidP="005A42CF">
      <w:pPr>
        <w:spacing w:after="0" w:line="240" w:lineRule="auto"/>
        <w:rPr>
          <w:rFonts w:ascii="Times New Roman" w:hAnsi="Times New Roman"/>
          <w:sz w:val="24"/>
          <w:szCs w:val="24"/>
        </w:rPr>
      </w:pPr>
      <w:r w:rsidRPr="005A42CF">
        <w:rPr>
          <w:rFonts w:ascii="Times New Roman" w:hAnsi="Times New Roman"/>
          <w:sz w:val="24"/>
          <w:szCs w:val="24"/>
        </w:rPr>
        <w:t>On January 18, 2008, the Commission issued Order No. 706, which approved the CIP version 1 Standards to address cyber security of the Bulk-Power System.</w:t>
      </w:r>
      <w:r w:rsidRPr="005A42CF">
        <w:rPr>
          <w:rFonts w:ascii="Times New Roman" w:hAnsi="Times New Roman"/>
          <w:b/>
          <w:sz w:val="24"/>
          <w:szCs w:val="24"/>
          <w:vertAlign w:val="superscript"/>
        </w:rPr>
        <w:footnoteReference w:id="2"/>
      </w:r>
      <w:r w:rsidRPr="005A42CF">
        <w:rPr>
          <w:rFonts w:ascii="Times New Roman" w:hAnsi="Times New Roman"/>
          <w:sz w:val="24"/>
          <w:szCs w:val="24"/>
        </w:rPr>
        <w:t xml:space="preserve">  In Order No. 706, the </w:t>
      </w:r>
      <w:r w:rsidRPr="005A42CF">
        <w:rPr>
          <w:rFonts w:ascii="Times New Roman" w:hAnsi="Times New Roman"/>
          <w:sz w:val="24"/>
          <w:szCs w:val="24"/>
        </w:rPr>
        <w:lastRenderedPageBreak/>
        <w:t>Commission approved eight CIP Reliability Standards (CIP-002-1 through CIP-009-1).  On April 19, 2012, the Commission issued Order No. 761, which approved the CIP version 4 Standards (CIP-002-4 through CIP-009-4).</w:t>
      </w:r>
      <w:r w:rsidRPr="005A42CF">
        <w:rPr>
          <w:rFonts w:ascii="Times New Roman" w:hAnsi="Times New Roman"/>
          <w:b/>
          <w:sz w:val="24"/>
          <w:szCs w:val="24"/>
          <w:vertAlign w:val="superscript"/>
        </w:rPr>
        <w:footnoteReference w:id="3"/>
      </w:r>
      <w:r w:rsidRPr="005A42CF">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5A42CF">
        <w:rPr>
          <w:rStyle w:val="FootnoteReference"/>
          <w:rFonts w:ascii="Times New Roman" w:hAnsi="Times New Roman"/>
          <w:sz w:val="24"/>
          <w:szCs w:val="24"/>
          <w:vertAlign w:val="superscript"/>
        </w:rPr>
        <w:footnoteReference w:id="4"/>
      </w:r>
      <w:r w:rsidRPr="005A42CF">
        <w:rPr>
          <w:rFonts w:ascii="Times New Roman" w:hAnsi="Times New Roman"/>
          <w:sz w:val="24"/>
          <w:szCs w:val="24"/>
          <w:vertAlign w:val="superscript"/>
        </w:rPr>
        <w:t xml:space="preserve"> </w:t>
      </w:r>
      <w:r w:rsidRPr="005A42CF">
        <w:rPr>
          <w:rFonts w:ascii="Times New Roman" w:hAnsi="Times New Roman"/>
          <w:sz w:val="24"/>
          <w:szCs w:val="24"/>
        </w:rPr>
        <w:t xml:space="preserve"> </w:t>
      </w:r>
    </w:p>
    <w:p w:rsidR="00FD3E78" w:rsidRPr="005A42CF" w:rsidRDefault="00FD3E78" w:rsidP="005A42CF">
      <w:pPr>
        <w:spacing w:after="0" w:line="240" w:lineRule="auto"/>
        <w:rPr>
          <w:rFonts w:ascii="Times New Roman" w:hAnsi="Times New Roman"/>
          <w:sz w:val="24"/>
          <w:szCs w:val="24"/>
        </w:rPr>
      </w:pPr>
    </w:p>
    <w:p w:rsidR="00FD3E78" w:rsidRPr="005A42CF" w:rsidRDefault="004E3DF3" w:rsidP="005A42CF">
      <w:pPr>
        <w:spacing w:after="0" w:line="240" w:lineRule="auto"/>
        <w:rPr>
          <w:rFonts w:ascii="Times New Roman" w:hAnsi="Times New Roman"/>
          <w:sz w:val="24"/>
          <w:szCs w:val="24"/>
        </w:rPr>
      </w:pPr>
      <w:r w:rsidRPr="005A42CF">
        <w:rPr>
          <w:rFonts w:ascii="Times New Roman" w:hAnsi="Times New Roman"/>
          <w:sz w:val="24"/>
          <w:szCs w:val="24"/>
        </w:rPr>
        <w:t xml:space="preserve">On April 18, 2013, the Commission issued a proposed rule, proposing to approve the </w:t>
      </w:r>
      <w:r w:rsidR="00FD3E78" w:rsidRPr="005A42CF">
        <w:rPr>
          <w:rFonts w:ascii="Times New Roman" w:hAnsi="Times New Roman"/>
          <w:sz w:val="24"/>
          <w:szCs w:val="24"/>
        </w:rPr>
        <w:t>CIP version 5 standards</w:t>
      </w:r>
      <w:r w:rsidRPr="005A42CF">
        <w:rPr>
          <w:rFonts w:ascii="Times New Roman" w:hAnsi="Times New Roman"/>
          <w:sz w:val="24"/>
          <w:szCs w:val="24"/>
        </w:rPr>
        <w:t xml:space="preserve">.  In drafting these standards, </w:t>
      </w:r>
      <w:r w:rsidR="00FD3E78" w:rsidRPr="005A42CF">
        <w:rPr>
          <w:rFonts w:ascii="Times New Roman" w:hAnsi="Times New Roman"/>
          <w:sz w:val="24"/>
          <w:szCs w:val="24"/>
        </w:rPr>
        <w:t>NERC states 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FD3E78" w:rsidRPr="005A42CF">
        <w:rPr>
          <w:rStyle w:val="FootnoteReference"/>
          <w:rFonts w:ascii="Times New Roman" w:hAnsi="Times New Roman"/>
          <w:sz w:val="24"/>
          <w:szCs w:val="24"/>
          <w:vertAlign w:val="superscript"/>
        </w:rPr>
        <w:footnoteReference w:id="5"/>
      </w:r>
    </w:p>
    <w:p w:rsidR="00FD3E78" w:rsidRPr="005A42CF" w:rsidRDefault="00FD3E78" w:rsidP="00FD3E78">
      <w:pPr>
        <w:spacing w:after="0"/>
        <w:rPr>
          <w:rFonts w:ascii="Times New Roman" w:hAnsi="Times New Roman"/>
          <w:sz w:val="24"/>
          <w:szCs w:val="24"/>
        </w:rPr>
      </w:pPr>
    </w:p>
    <w:p w:rsidR="00FD3E78" w:rsidRPr="005A42CF" w:rsidRDefault="00FD3E78" w:rsidP="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FERC-725D</w:t>
      </w:r>
    </w:p>
    <w:p w:rsidR="00FD3E78" w:rsidRPr="005A42CF" w:rsidRDefault="00FD3E78" w:rsidP="00FD3E78">
      <w:pPr>
        <w:spacing w:after="0" w:line="240" w:lineRule="auto"/>
        <w:rPr>
          <w:rFonts w:ascii="Times New Roman" w:hAnsi="Times New Roman"/>
          <w:sz w:val="24"/>
          <w:szCs w:val="24"/>
          <w:u w:val="single"/>
        </w:rPr>
      </w:pPr>
    </w:p>
    <w:p w:rsidR="00FD3E78"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December 27, 2007 the Commission approved the three</w:t>
      </w:r>
      <w:r w:rsidR="004E3DF3" w:rsidRPr="005A42CF">
        <w:rPr>
          <w:rFonts w:ascii="Times New Roman" w:hAnsi="Times New Roman"/>
          <w:sz w:val="24"/>
          <w:szCs w:val="24"/>
        </w:rPr>
        <w:t xml:space="preserve"> Facilities Design, Connections and Maintenance (FAC)</w:t>
      </w:r>
      <w:r w:rsidRPr="005A42CF">
        <w:rPr>
          <w:rFonts w:ascii="Times New Roman" w:hAnsi="Times New Roman"/>
          <w:sz w:val="24"/>
          <w:szCs w:val="24"/>
        </w:rPr>
        <w:t xml:space="preserve"> Reliability Standards tha</w:t>
      </w:r>
      <w:r w:rsidR="004E3DF3" w:rsidRPr="005A42CF">
        <w:rPr>
          <w:rFonts w:ascii="Times New Roman" w:hAnsi="Times New Roman"/>
          <w:sz w:val="24"/>
          <w:szCs w:val="24"/>
        </w:rPr>
        <w:t>t were developed by the NERC</w:t>
      </w:r>
      <w:r w:rsidRPr="005A42CF">
        <w:rPr>
          <w:rFonts w:ascii="Times New Roman" w:hAnsi="Times New Roman"/>
          <w:sz w:val="24"/>
          <w:szCs w:val="24"/>
        </w:rPr>
        <w:t xml:space="preserve">.  In addition, the Commission </w:t>
      </w:r>
      <w:r w:rsidRPr="005A42CF">
        <w:rPr>
          <w:rFonts w:ascii="Times New Roman" w:hAnsi="Times New Roman"/>
          <w:bCs/>
          <w:sz w:val="24"/>
          <w:szCs w:val="24"/>
        </w:rPr>
        <w:t xml:space="preserve">directed </w:t>
      </w:r>
      <w:r w:rsidR="004E3DF3" w:rsidRPr="005A42CF">
        <w:rPr>
          <w:rFonts w:ascii="Times New Roman" w:hAnsi="Times New Roman"/>
          <w:bCs/>
          <w:sz w:val="24"/>
          <w:szCs w:val="24"/>
        </w:rPr>
        <w:t>NERC</w:t>
      </w:r>
      <w:r w:rsidRPr="005A42CF">
        <w:rPr>
          <w:rFonts w:ascii="Times New Roman" w:hAnsi="Times New Roman"/>
          <w:bCs/>
          <w:sz w:val="24"/>
          <w:szCs w:val="24"/>
        </w:rPr>
        <w:t xml:space="preserve"> to develop a modification to one of the three Reliability Standards that was approved as mandatory and enforceable.  </w:t>
      </w:r>
      <w:r w:rsidRPr="005A42CF">
        <w:rPr>
          <w:rFonts w:ascii="Times New Roman" w:hAnsi="Times New Roman"/>
          <w:sz w:val="24"/>
          <w:szCs w:val="24"/>
        </w:rPr>
        <w:t xml:space="preserve">The Commission also approved a regional difference for the Western Interconnection administered by the Western Electricity Coordinating Council (WECC) which is incorporated into FAC-010-1 and FAC-011-1.  Lastly, the Commission accepted three new terms for the NERC Glossary of Terms Used in Reliability Standards, and sent back another proposed term, and directed </w:t>
      </w:r>
      <w:r w:rsidR="004E3DF3" w:rsidRPr="005A42CF">
        <w:rPr>
          <w:rFonts w:ascii="Times New Roman" w:hAnsi="Times New Roman"/>
          <w:sz w:val="24"/>
          <w:szCs w:val="24"/>
        </w:rPr>
        <w:t>NERC</w:t>
      </w:r>
      <w:r w:rsidRPr="005A42CF">
        <w:rPr>
          <w:rFonts w:ascii="Times New Roman" w:hAnsi="Times New Roman"/>
          <w:sz w:val="24"/>
          <w:szCs w:val="24"/>
        </w:rPr>
        <w:t xml:space="preserve"> to submit modifications to its proposed Violation Risk Factors consistent with the Commission’s prior orders.  </w:t>
      </w:r>
    </w:p>
    <w:p w:rsidR="00FD3E78" w:rsidRPr="005A42CF" w:rsidRDefault="00FD3E78" w:rsidP="00FD3E78">
      <w:pPr>
        <w:spacing w:after="0" w:line="240" w:lineRule="auto"/>
        <w:rPr>
          <w:rFonts w:ascii="Times New Roman" w:hAnsi="Times New Roman"/>
          <w:sz w:val="24"/>
          <w:szCs w:val="24"/>
        </w:rPr>
      </w:pPr>
    </w:p>
    <w:p w:rsidR="000D3D0F"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October 16, 2008, the Commission proposed to approve revisions to the three</w:t>
      </w:r>
      <w:r w:rsidR="00AD1932" w:rsidRPr="005A42CF">
        <w:rPr>
          <w:rFonts w:ascii="Times New Roman" w:hAnsi="Times New Roman"/>
          <w:sz w:val="24"/>
          <w:szCs w:val="24"/>
        </w:rPr>
        <w:t xml:space="preserve"> </w:t>
      </w:r>
      <w:r w:rsidRPr="005A42CF">
        <w:rPr>
          <w:rFonts w:ascii="Times New Roman" w:hAnsi="Times New Roman"/>
          <w:sz w:val="24"/>
          <w:szCs w:val="24"/>
        </w:rPr>
        <w:t>Reliability Standards</w:t>
      </w:r>
      <w:r w:rsidR="00AD1932" w:rsidRPr="005A42CF">
        <w:rPr>
          <w:rFonts w:ascii="Times New Roman" w:hAnsi="Times New Roman"/>
          <w:sz w:val="24"/>
          <w:szCs w:val="24"/>
        </w:rPr>
        <w:t xml:space="preserve"> in FERC-725D.  </w:t>
      </w:r>
      <w:r w:rsidRPr="005A42CF">
        <w:rPr>
          <w:rFonts w:ascii="Times New Roman" w:hAnsi="Times New Roman"/>
          <w:sz w:val="24"/>
          <w:szCs w:val="24"/>
        </w:rPr>
        <w:t>These revised standards as de</w:t>
      </w:r>
      <w:r w:rsidR="00AD1932" w:rsidRPr="005A42CF">
        <w:rPr>
          <w:rFonts w:ascii="Times New Roman" w:hAnsi="Times New Roman"/>
          <w:sz w:val="24"/>
          <w:szCs w:val="24"/>
        </w:rPr>
        <w:t xml:space="preserve">veloped by NERC </w:t>
      </w:r>
      <w:r w:rsidRPr="005A42CF">
        <w:rPr>
          <w:rFonts w:ascii="Times New Roman" w:hAnsi="Times New Roman"/>
          <w:sz w:val="24"/>
          <w:szCs w:val="24"/>
        </w:rPr>
        <w:t xml:space="preserve">are designated as FAC-010-2, FAC-011-2 and </w:t>
      </w:r>
      <w:bookmarkStart w:id="0" w:name="OLE_LINK3"/>
      <w:r w:rsidRPr="005A42CF">
        <w:rPr>
          <w:rFonts w:ascii="Times New Roman" w:hAnsi="Times New Roman"/>
          <w:sz w:val="24"/>
          <w:szCs w:val="24"/>
        </w:rPr>
        <w:t>FAC-014</w:t>
      </w:r>
      <w:bookmarkEnd w:id="0"/>
      <w:r w:rsidRPr="005A42CF">
        <w:rPr>
          <w:rFonts w:ascii="Times New Roman" w:hAnsi="Times New Roman"/>
          <w:sz w:val="24"/>
          <w:szCs w:val="24"/>
        </w:rPr>
        <w:t xml:space="preserve">-2.  These standards direct planning authorities and reliability coordinators to establish methodologies to determine system operating limits (SOLs) for the Bulk-Power System in the planning and operation horizons.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HOW, BY WHOM, AND FOR WHAT PURPOSE THE INFORMATION IS TO BE USED AND THE CONSEQUENCES OF NOT COLLECTING THE INFORMATION</w:t>
      </w:r>
    </w:p>
    <w:p w:rsidR="000D3D0F" w:rsidRPr="005A42CF" w:rsidRDefault="000D3D0F">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ab/>
      </w:r>
    </w:p>
    <w:p w:rsidR="00AD1932" w:rsidRPr="005A42CF" w:rsidRDefault="00AD1932">
      <w:pPr>
        <w:tabs>
          <w:tab w:val="left" w:pos="3705"/>
        </w:tabs>
        <w:spacing w:after="0" w:line="240" w:lineRule="auto"/>
        <w:rPr>
          <w:rFonts w:ascii="Times New Roman" w:hAnsi="Times New Roman"/>
          <w:sz w:val="24"/>
          <w:szCs w:val="24"/>
        </w:rPr>
      </w:pPr>
      <w:r w:rsidRPr="005A42CF">
        <w:rPr>
          <w:rFonts w:ascii="Times New Roman" w:hAnsi="Times New Roman"/>
          <w:sz w:val="24"/>
          <w:szCs w:val="24"/>
        </w:rPr>
        <w:lastRenderedPageBreak/>
        <w:t>In the NOPR</w:t>
      </w:r>
      <w:r w:rsidR="00504605">
        <w:rPr>
          <w:rFonts w:ascii="Times New Roman" w:hAnsi="Times New Roman"/>
          <w:sz w:val="24"/>
          <w:szCs w:val="24"/>
        </w:rPr>
        <w:t>,</w:t>
      </w:r>
      <w:r w:rsidRPr="005A42CF">
        <w:rPr>
          <w:rFonts w:ascii="Times New Roman" w:hAnsi="Times New Roman"/>
          <w:sz w:val="24"/>
          <w:szCs w:val="24"/>
        </w:rPr>
        <w:t xml:space="preserve"> the Commission proposes to approve the retirement of 34 requirements within 19 Reliability Standards identified by the NERC.  The requirements proposed for retirement either: (1) provide little protection for Bulk-Power System reliability or (2) are redundant with other aspects of the Reliability Standards.</w:t>
      </w:r>
    </w:p>
    <w:p w:rsidR="00AD1932" w:rsidRPr="005A42CF" w:rsidRDefault="00AD1932">
      <w:pPr>
        <w:tabs>
          <w:tab w:val="left" w:pos="3705"/>
        </w:tabs>
        <w:spacing w:after="0" w:line="240" w:lineRule="auto"/>
        <w:rPr>
          <w:rFonts w:ascii="Times New Roman" w:hAnsi="Times New Roman"/>
          <w:sz w:val="24"/>
          <w:szCs w:val="24"/>
        </w:rPr>
      </w:pPr>
    </w:p>
    <w:p w:rsidR="000D3D0F" w:rsidRPr="005A42CF" w:rsidRDefault="00AD1932">
      <w:pPr>
        <w:spacing w:after="0" w:line="240" w:lineRule="auto"/>
        <w:rPr>
          <w:rFonts w:ascii="Times New Roman" w:hAnsi="Times New Roman"/>
          <w:sz w:val="24"/>
          <w:szCs w:val="24"/>
        </w:rPr>
      </w:pPr>
      <w:r w:rsidRPr="005A42CF">
        <w:rPr>
          <w:rFonts w:ascii="Times New Roman" w:hAnsi="Times New Roman"/>
          <w:sz w:val="24"/>
          <w:szCs w:val="24"/>
        </w:rPr>
        <w:t>The requirements proposed fo</w:t>
      </w:r>
      <w:r w:rsidR="00426357" w:rsidRPr="005A42CF">
        <w:rPr>
          <w:rFonts w:ascii="Times New Roman" w:hAnsi="Times New Roman"/>
          <w:sz w:val="24"/>
          <w:szCs w:val="24"/>
        </w:rPr>
        <w:t>r retirement currently affect many of the entities currently subject to reliability standards.</w:t>
      </w:r>
      <w:r w:rsidR="00B30F29" w:rsidRPr="00B30F29">
        <w:rPr>
          <w:rStyle w:val="FootnoteReference"/>
          <w:rFonts w:ascii="Times New Roman" w:hAnsi="Times New Roman"/>
          <w:sz w:val="24"/>
          <w:szCs w:val="24"/>
          <w:vertAlign w:val="superscript"/>
        </w:rPr>
        <w:footnoteReference w:id="6"/>
      </w:r>
      <w:r w:rsidR="00B30F29">
        <w:rPr>
          <w:rFonts w:ascii="Times New Roman" w:hAnsi="Times New Roman"/>
          <w:sz w:val="24"/>
          <w:szCs w:val="24"/>
        </w:rPr>
        <w:t xml:space="preserve">  There are no consequences for not collecting the information since this rule proposes to eliminate information collection requirements.</w:t>
      </w:r>
      <w:r w:rsidR="00B30F29" w:rsidRPr="00B30F29">
        <w:rPr>
          <w:rFonts w:ascii="Times New Roman" w:hAnsi="Times New Roman"/>
          <w:sz w:val="24"/>
          <w:szCs w:val="24"/>
          <w:vertAlign w:val="superscript"/>
        </w:rPr>
        <w:t xml:space="preserve"> </w:t>
      </w:r>
      <w:r w:rsidR="00B30F29">
        <w:rPr>
          <w:rFonts w:ascii="Times New Roman" w:hAnsi="Times New Roman"/>
          <w:sz w:val="24"/>
          <w:szCs w:val="24"/>
        </w:rPr>
        <w:t xml:space="preserve"> </w:t>
      </w:r>
    </w:p>
    <w:p w:rsidR="00AD1932" w:rsidRPr="005A42CF" w:rsidRDefault="00AD1932">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CONSIDERATION OF THE USE OF IMPROVED INFORMATION TECHNOLOGY TO REDUCE THE BURDEN AND TECHNICAL OR LEGAL OBSTACLES TO REDUCING BURDEN</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use of current or improved technology is not covered in the Reliability Standard</w:t>
      </w:r>
      <w:r w:rsidR="00CB6886">
        <w:rPr>
          <w:rFonts w:ascii="Times New Roman" w:hAnsi="Times New Roman"/>
          <w:sz w:val="24"/>
          <w:szCs w:val="24"/>
        </w:rPr>
        <w:t>s</w:t>
      </w:r>
      <w:r w:rsidRPr="005A42CF">
        <w:rPr>
          <w:rFonts w:ascii="Times New Roman" w:hAnsi="Times New Roman"/>
          <w:sz w:val="24"/>
          <w:szCs w:val="24"/>
        </w:rPr>
        <w:t xml:space="preserve"> and is</w:t>
      </w:r>
      <w:r w:rsidR="00A31B7F">
        <w:rPr>
          <w:rFonts w:ascii="Times New Roman" w:hAnsi="Times New Roman"/>
          <w:sz w:val="24"/>
          <w:szCs w:val="24"/>
        </w:rPr>
        <w:t>,</w:t>
      </w:r>
      <w:r w:rsidR="00F72D6E">
        <w:rPr>
          <w:rFonts w:ascii="Times New Roman" w:hAnsi="Times New Roman"/>
          <w:sz w:val="24"/>
          <w:szCs w:val="24"/>
        </w:rPr>
        <w:t xml:space="preserve"> </w:t>
      </w:r>
      <w:r w:rsidRPr="005A42CF">
        <w:rPr>
          <w:rFonts w:ascii="Times New Roman" w:hAnsi="Times New Roman"/>
          <w:sz w:val="24"/>
          <w:szCs w:val="24"/>
        </w:rPr>
        <w:t>therefore</w:t>
      </w:r>
      <w:r w:rsidR="00A31B7F">
        <w:rPr>
          <w:rFonts w:ascii="Times New Roman" w:hAnsi="Times New Roman"/>
          <w:sz w:val="24"/>
          <w:szCs w:val="24"/>
        </w:rPr>
        <w:t>,</w:t>
      </w:r>
      <w:r w:rsidRPr="005A42CF">
        <w:rPr>
          <w:rFonts w:ascii="Times New Roman" w:hAnsi="Times New Roman"/>
          <w:sz w:val="24"/>
          <w:szCs w:val="24"/>
        </w:rPr>
        <w:t xml:space="preserve"> left to the discretion of each regional and reporting entity.</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0D3D0F" w:rsidRPr="005A42CF" w:rsidRDefault="000D3D0F">
      <w:pPr>
        <w:spacing w:after="0" w:line="240" w:lineRule="auto"/>
        <w:rPr>
          <w:rFonts w:ascii="Times New Roman" w:hAnsi="Times New Roman"/>
          <w:sz w:val="24"/>
          <w:szCs w:val="24"/>
        </w:rPr>
      </w:pPr>
    </w:p>
    <w:p w:rsid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 xml:space="preserve">In </w:t>
      </w:r>
      <w:r>
        <w:rPr>
          <w:rFonts w:ascii="Times New Roman" w:hAnsi="Times New Roman"/>
          <w:sz w:val="24"/>
          <w:szCs w:val="24"/>
        </w:rPr>
        <w:t>a</w:t>
      </w:r>
      <w:r w:rsidRPr="00703660">
        <w:rPr>
          <w:rFonts w:ascii="Times New Roman" w:hAnsi="Times New Roman"/>
          <w:sz w:val="24"/>
          <w:szCs w:val="24"/>
        </w:rPr>
        <w:t xml:space="preserve"> March 2012 Order, the Commission accepted, with conditions, NERC’s “Find, Fix, Track and Report” (FFT) initiative.  The FFT process, </w:t>
      </w:r>
      <w:r w:rsidRPr="00703660">
        <w:rPr>
          <w:rFonts w:ascii="Times New Roman" w:hAnsi="Times New Roman"/>
          <w:i/>
          <w:sz w:val="24"/>
          <w:szCs w:val="24"/>
        </w:rPr>
        <w:t>inter alia</w:t>
      </w:r>
      <w:r w:rsidRPr="00703660">
        <w:rPr>
          <w:rFonts w:ascii="Times New Roman" w:hAnsi="Times New Roman"/>
          <w:sz w:val="24"/>
          <w:szCs w:val="24"/>
        </w:rPr>
        <w:t>, provides NERC and the Regional Entities the flexibility to address lower-risk possible violations through an FFT informational filing as opposed to issuing and filing a Notice of Penalty.  In addition, the Commission raised the prospect of revising or removing requirements of Reliability Standards that “provide little protection for Bulk-Power System reliability or may be redundant.”</w:t>
      </w:r>
      <w:r w:rsidRPr="00703660">
        <w:rPr>
          <w:rFonts w:ascii="Times New Roman" w:hAnsi="Times New Roman"/>
          <w:b/>
          <w:sz w:val="24"/>
          <w:szCs w:val="24"/>
          <w:vertAlign w:val="superscript"/>
        </w:rPr>
        <w:footnoteReference w:id="7"/>
      </w:r>
      <w:r w:rsidRPr="00703660">
        <w:rPr>
          <w:rFonts w:ascii="Times New Roman" w:hAnsi="Times New Roman"/>
          <w:sz w:val="24"/>
          <w:szCs w:val="24"/>
        </w:rPr>
        <w:t xml:space="preserve">  Specifically, the Commission stated:</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ind w:left="720"/>
        <w:rPr>
          <w:rFonts w:ascii="Times New Roman" w:hAnsi="Times New Roman"/>
          <w:sz w:val="24"/>
          <w:szCs w:val="24"/>
        </w:rPr>
      </w:pPr>
      <w:r w:rsidRPr="00703660">
        <w:rPr>
          <w:rFonts w:ascii="Times New Roman" w:hAnsi="Times New Roman"/>
          <w:sz w:val="24"/>
          <w:szCs w:val="24"/>
        </w:rPr>
        <w:t xml:space="preserve">The Commission notes that NERC’s FFT initiative is predicated on the view that many violations of requirements currently included in Reliability Standards pose lesser risk to the Bulk-Power System.  If so, some current requirements likely provide little protection for Bulk-Power System reliability or may be redundant.  The Commission is interested in obtaining views on whether such requirements could be removed from the Reliability Standards with little effect on reliability and an increase in efficiency of the ERO compliance program.  If NERC believes that specific Reliability Standards or specific requirements within certain Standards should be revised or removed, we invite NERC to make specific proposals to the Commission identifying the Standards or requirements and setting forth in detail the technical basis for its belief.  In addition, or in the alternative, </w:t>
      </w:r>
      <w:r w:rsidRPr="00703660">
        <w:rPr>
          <w:rFonts w:ascii="Times New Roman" w:hAnsi="Times New Roman"/>
          <w:sz w:val="24"/>
          <w:szCs w:val="24"/>
        </w:rPr>
        <w:lastRenderedPageBreak/>
        <w:t>we invite NERC, the Regional Entities and other interested entities to propose appropriate mechanisms to identify and remove from the Commission-approved Reliability Standards unnecessary or redundant requirements.  We will not impose a deadline on when these comments should be submitted, but ask that to the extent such comments are submitted NERC, the Regional Entities, and interested entities coordinate to submit their respective comments concurrently.</w:t>
      </w:r>
      <w:r w:rsidRPr="00703660">
        <w:rPr>
          <w:rFonts w:ascii="Times New Roman" w:hAnsi="Times New Roman"/>
          <w:b/>
          <w:sz w:val="24"/>
          <w:szCs w:val="24"/>
          <w:vertAlign w:val="superscript"/>
        </w:rPr>
        <w:footnoteReference w:id="8"/>
      </w:r>
      <w:r w:rsidRPr="00703660">
        <w:rPr>
          <w:rFonts w:ascii="Times New Roman" w:hAnsi="Times New Roman"/>
          <w:sz w:val="24"/>
          <w:szCs w:val="24"/>
        </w:rPr>
        <w:t xml:space="preserve"> </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In response, NERC initiated a review, referred to as the “P 81 project,” to identify requirements that could be removed from Reliability Standards without impacting the reliability of the Bulk-Power System.</w:t>
      </w:r>
      <w:r w:rsidR="00A31B7F">
        <w:rPr>
          <w:rFonts w:ascii="Times New Roman" w:hAnsi="Times New Roman"/>
          <w:sz w:val="24"/>
          <w:szCs w:val="24"/>
        </w:rPr>
        <w:br/>
      </w:r>
      <w:r w:rsidRPr="00703660">
        <w:rPr>
          <w:rFonts w:ascii="Times New Roman" w:hAnsi="Times New Roman"/>
          <w:sz w:val="24"/>
          <w:szCs w:val="24"/>
        </w:rPr>
        <w:t xml:space="preserve">    </w:t>
      </w:r>
    </w:p>
    <w:p w:rsidR="00703660" w:rsidRDefault="00703660">
      <w:pPr>
        <w:spacing w:after="0" w:line="240" w:lineRule="auto"/>
        <w:rPr>
          <w:rFonts w:ascii="Times New Roman" w:hAnsi="Times New Roman"/>
          <w:sz w:val="24"/>
          <w:szCs w:val="24"/>
        </w:rPr>
      </w:pPr>
      <w:r w:rsidRPr="00703660">
        <w:rPr>
          <w:rFonts w:ascii="Times New Roman" w:hAnsi="Times New Roman"/>
          <w:sz w:val="24"/>
          <w:szCs w:val="24"/>
        </w:rPr>
        <w:t>In its February 28, 2013 petition, NERC seeks Commission approval of the retirement of 34 requirements within 19 Reliability Standards.  NERC asserts that the 34 requirements proposed for retirement “are redundant or otherwise unnecessary” and that “violations of these requirements … pose a lesser risk to the reliability of the Bulk-Power System.”</w:t>
      </w:r>
      <w:r w:rsidRPr="00703660">
        <w:rPr>
          <w:rFonts w:ascii="Times New Roman" w:hAnsi="Times New Roman"/>
          <w:b/>
          <w:sz w:val="24"/>
          <w:szCs w:val="24"/>
          <w:vertAlign w:val="superscript"/>
        </w:rPr>
        <w:footnoteReference w:id="9"/>
      </w:r>
    </w:p>
    <w:p w:rsidR="00B30F29" w:rsidRPr="005A42CF" w:rsidRDefault="00B30F29">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METHODS USED TO MINIMIZE THE BURDEN IN COLLECTION OF INFORMATION INVOLVING SMALL ENTITIES</w:t>
      </w:r>
    </w:p>
    <w:p w:rsidR="000D3D0F" w:rsidRPr="005A42CF" w:rsidRDefault="000D3D0F">
      <w:pPr>
        <w:spacing w:after="0" w:line="240" w:lineRule="auto"/>
        <w:rPr>
          <w:rFonts w:ascii="Times New Roman" w:hAnsi="Times New Roman"/>
          <w:sz w:val="24"/>
          <w:szCs w:val="24"/>
        </w:rPr>
      </w:pPr>
    </w:p>
    <w:p w:rsidR="000D3D0F" w:rsidRPr="005A42CF" w:rsidRDefault="003354E7">
      <w:pPr>
        <w:spacing w:after="0" w:line="240" w:lineRule="auto"/>
        <w:rPr>
          <w:rFonts w:ascii="Times New Roman" w:hAnsi="Times New Roman"/>
          <w:sz w:val="24"/>
          <w:szCs w:val="24"/>
        </w:rPr>
      </w:pPr>
      <w:r w:rsidRPr="00703660">
        <w:rPr>
          <w:rFonts w:ascii="Times New Roman" w:hAnsi="Times New Roman"/>
          <w:sz w:val="24"/>
          <w:szCs w:val="24"/>
        </w:rPr>
        <w:t>This NOPR will</w:t>
      </w:r>
      <w:r w:rsidR="00223741" w:rsidRPr="00703660">
        <w:rPr>
          <w:rFonts w:ascii="Times New Roman" w:hAnsi="Times New Roman"/>
          <w:sz w:val="24"/>
          <w:szCs w:val="24"/>
        </w:rPr>
        <w:t xml:space="preserve"> reduce </w:t>
      </w:r>
      <w:r w:rsidR="00703660" w:rsidRPr="00703660">
        <w:rPr>
          <w:rFonts w:ascii="Times New Roman" w:hAnsi="Times New Roman"/>
          <w:sz w:val="24"/>
          <w:szCs w:val="24"/>
        </w:rPr>
        <w:t>burden on small entities because it is eliminating unnecessary Reliability Standard requirements.</w:t>
      </w:r>
      <w:r w:rsidR="00703660">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CONSEQUENCE TO FEDERAL PROGRAM IF COLLECTION WERE CONDUCTED LESS FREQUENTLY</w:t>
      </w:r>
    </w:p>
    <w:p w:rsidR="000D3D0F" w:rsidRPr="005A42CF" w:rsidRDefault="000D3D0F">
      <w:pPr>
        <w:tabs>
          <w:tab w:val="left" w:pos="3705"/>
        </w:tabs>
        <w:spacing w:after="0" w:line="240" w:lineRule="auto"/>
        <w:rPr>
          <w:rFonts w:ascii="Times New Roman" w:hAnsi="Times New Roman"/>
          <w:sz w:val="24"/>
          <w:szCs w:val="24"/>
        </w:rPr>
      </w:pPr>
    </w:p>
    <w:p w:rsidR="000D3D0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In general, information collection requirements in Reliability Standards help maintain reliability on the bulk power system.  </w:t>
      </w:r>
    </w:p>
    <w:p w:rsidR="00703660" w:rsidRDefault="00703660">
      <w:pPr>
        <w:tabs>
          <w:tab w:val="left" w:pos="3705"/>
        </w:tabs>
        <w:spacing w:after="0" w:line="240" w:lineRule="auto"/>
        <w:rPr>
          <w:rFonts w:ascii="Times New Roman" w:hAnsi="Times New Roman"/>
          <w:sz w:val="24"/>
          <w:szCs w:val="24"/>
        </w:rPr>
      </w:pPr>
    </w:p>
    <w:p w:rsidR="00703660" w:rsidRPr="005A42C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The NOPR is proposing to remove unnecessary requirements.  The Commission does not see any real harm </w:t>
      </w:r>
      <w:r w:rsidR="00237E01">
        <w:rPr>
          <w:rFonts w:ascii="Times New Roman" w:hAnsi="Times New Roman"/>
          <w:sz w:val="24"/>
          <w:szCs w:val="24"/>
        </w:rPr>
        <w:t xml:space="preserve">or consequence </w:t>
      </w:r>
      <w:r>
        <w:rPr>
          <w:rFonts w:ascii="Times New Roman" w:hAnsi="Times New Roman"/>
          <w:sz w:val="24"/>
          <w:szCs w:val="24"/>
        </w:rPr>
        <w:t xml:space="preserve">to the bulk power system by </w:t>
      </w:r>
      <w:r w:rsidR="00237E01">
        <w:rPr>
          <w:rFonts w:ascii="Times New Roman" w:hAnsi="Times New Roman"/>
          <w:sz w:val="24"/>
          <w:szCs w:val="24"/>
        </w:rPr>
        <w:t xml:space="preserve">reducing the frequency, or in this case, by </w:t>
      </w:r>
      <w:r>
        <w:rPr>
          <w:rFonts w:ascii="Times New Roman" w:hAnsi="Times New Roman"/>
          <w:sz w:val="24"/>
          <w:szCs w:val="24"/>
        </w:rPr>
        <w:t xml:space="preserve">removing these </w:t>
      </w:r>
      <w:r w:rsidR="0050423B">
        <w:rPr>
          <w:rFonts w:ascii="Times New Roman" w:hAnsi="Times New Roman"/>
          <w:sz w:val="24"/>
          <w:szCs w:val="24"/>
        </w:rPr>
        <w:t xml:space="preserve">redundant or unnecessary </w:t>
      </w:r>
      <w:r>
        <w:rPr>
          <w:rFonts w:ascii="Times New Roman" w:hAnsi="Times New Roman"/>
          <w:sz w:val="24"/>
          <w:szCs w:val="24"/>
        </w:rPr>
        <w:t>requirements</w:t>
      </w:r>
      <w:r w:rsidR="00237E01">
        <w:rPr>
          <w:rFonts w:ascii="Times New Roman" w:hAnsi="Times New Roman"/>
          <w:sz w:val="24"/>
          <w:szCs w:val="24"/>
        </w:rPr>
        <w:t xml:space="preserve"> from the Reliability Standards</w:t>
      </w:r>
      <w:r>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SPECIAL CIRCUMSTANCES RELATING TO THE INFORMATION COLLECTION</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There are no special circumstances as described in 5 CFR 1320.5(d</w:t>
      </w:r>
      <w:proofErr w:type="gramStart"/>
      <w:r w:rsidRPr="005A42CF">
        <w:rPr>
          <w:rFonts w:ascii="Times New Roman" w:hAnsi="Times New Roman"/>
          <w:sz w:val="24"/>
          <w:szCs w:val="24"/>
        </w:rPr>
        <w:t>)(</w:t>
      </w:r>
      <w:proofErr w:type="gramEnd"/>
      <w:r w:rsidRPr="005A42CF">
        <w:rPr>
          <w:rFonts w:ascii="Times New Roman" w:hAnsi="Times New Roman"/>
          <w:sz w:val="24"/>
          <w:szCs w:val="24"/>
        </w:rPr>
        <w:t xml:space="preserve">2) related to this </w:t>
      </w:r>
      <w:r w:rsidR="0050423B">
        <w:rPr>
          <w:rFonts w:ascii="Times New Roman" w:hAnsi="Times New Roman"/>
          <w:sz w:val="24"/>
          <w:szCs w:val="24"/>
        </w:rPr>
        <w:t xml:space="preserve">Proposed </w:t>
      </w:r>
      <w:r w:rsidRPr="005A42CF">
        <w:rPr>
          <w:rFonts w:ascii="Times New Roman" w:hAnsi="Times New Roman"/>
          <w:sz w:val="24"/>
          <w:szCs w:val="24"/>
        </w:rPr>
        <w:t>Rule.</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CONSULT OUTSIDE THE AGENCY: SUMMARIZE PUBLIC COMMENTS AND THE AGENCY’S RESPONSE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bCs/>
          <w:sz w:val="24"/>
          <w:szCs w:val="24"/>
        </w:rPr>
        <w:lastRenderedPageBreak/>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5A42CF">
        <w:rPr>
          <w:rFonts w:ascii="Times New Roman" w:hAnsi="Times New Roman"/>
          <w:b/>
          <w:bCs/>
          <w:sz w:val="24"/>
          <w:szCs w:val="24"/>
          <w:vertAlign w:val="superscript"/>
        </w:rPr>
        <w:footnoteReference w:id="10"/>
      </w:r>
      <w:r w:rsidRPr="005A42CF">
        <w:rPr>
          <w:rFonts w:ascii="Times New Roman" w:hAnsi="Times New Roman"/>
          <w:bCs/>
          <w:sz w:val="24"/>
          <w:szCs w:val="24"/>
        </w:rPr>
        <w:t xml:space="preserve">  In addition, each FERC rulemaking (both proposed and final rules) is published in the </w:t>
      </w:r>
      <w:r w:rsidRPr="005A42CF">
        <w:rPr>
          <w:rFonts w:ascii="Times New Roman" w:hAnsi="Times New Roman"/>
          <w:bCs/>
          <w:sz w:val="24"/>
          <w:szCs w:val="24"/>
          <w:u w:val="single"/>
        </w:rPr>
        <w:t>Federal Register</w:t>
      </w:r>
      <w:r w:rsidRPr="005A42CF">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5A42CF">
        <w:rPr>
          <w:rFonts w:ascii="Times New Roman" w:hAnsi="Times New Roman"/>
          <w:sz w:val="24"/>
          <w:szCs w:val="24"/>
        </w:rPr>
        <w:t xml:space="preserve"> The proposed rule was published in the Federal </w:t>
      </w:r>
      <w:r w:rsidRPr="00DC05B2">
        <w:rPr>
          <w:rFonts w:ascii="Times New Roman" w:hAnsi="Times New Roman"/>
          <w:sz w:val="24"/>
          <w:szCs w:val="24"/>
        </w:rPr>
        <w:t xml:space="preserve">Register on </w:t>
      </w:r>
      <w:r w:rsidR="00FC675A" w:rsidRPr="00DC05B2">
        <w:rPr>
          <w:rFonts w:ascii="Times New Roman" w:hAnsi="Times New Roman"/>
          <w:sz w:val="24"/>
          <w:szCs w:val="24"/>
        </w:rPr>
        <w:t xml:space="preserve">June </w:t>
      </w:r>
      <w:r w:rsidR="00DC05B2">
        <w:rPr>
          <w:rFonts w:ascii="Times New Roman" w:hAnsi="Times New Roman"/>
          <w:sz w:val="24"/>
          <w:szCs w:val="24"/>
        </w:rPr>
        <w:t>28</w:t>
      </w:r>
      <w:r w:rsidRPr="00DC05B2">
        <w:rPr>
          <w:rFonts w:ascii="Times New Roman" w:hAnsi="Times New Roman"/>
          <w:sz w:val="24"/>
          <w:szCs w:val="24"/>
        </w:rPr>
        <w:t>, 201</w:t>
      </w:r>
      <w:r w:rsidR="00FC675A" w:rsidRPr="00DC05B2">
        <w:rPr>
          <w:rFonts w:ascii="Times New Roman" w:hAnsi="Times New Roman"/>
          <w:sz w:val="24"/>
          <w:szCs w:val="24"/>
        </w:rPr>
        <w:t>3</w:t>
      </w:r>
      <w:r w:rsidRPr="00DC05B2">
        <w:rPr>
          <w:rFonts w:ascii="Times New Roman" w:hAnsi="Times New Roman"/>
          <w:sz w:val="24"/>
          <w:szCs w:val="24"/>
        </w:rPr>
        <w:t xml:space="preserve"> (</w:t>
      </w:r>
      <w:r w:rsidR="00FC675A" w:rsidRPr="00DC05B2">
        <w:rPr>
          <w:rFonts w:ascii="Times New Roman" w:hAnsi="Times New Roman"/>
          <w:sz w:val="24"/>
          <w:szCs w:val="24"/>
        </w:rPr>
        <w:t>78</w:t>
      </w:r>
      <w:r w:rsidRPr="00DC05B2">
        <w:rPr>
          <w:rFonts w:ascii="Times New Roman" w:hAnsi="Times New Roman"/>
          <w:sz w:val="24"/>
          <w:szCs w:val="24"/>
        </w:rPr>
        <w:t xml:space="preserve"> FR </w:t>
      </w:r>
      <w:r w:rsidR="00DC05B2" w:rsidRPr="00DC05B2">
        <w:rPr>
          <w:rFonts w:ascii="Times New Roman" w:hAnsi="Times New Roman"/>
          <w:sz w:val="24"/>
          <w:szCs w:val="24"/>
        </w:rPr>
        <w:t>38851</w:t>
      </w:r>
      <w:r w:rsidRPr="005A42CF">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PAYMENT OR GIFTS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Commission does not make payments or provide gifts for respondents related to this collection.</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ASSURANCE OF CONFIDENTIALITY PROVIDED TO RESPONDENTS</w:t>
      </w:r>
    </w:p>
    <w:p w:rsidR="000D3D0F" w:rsidRPr="005A42CF" w:rsidRDefault="000D3D0F">
      <w:pPr>
        <w:spacing w:after="0" w:line="240" w:lineRule="auto"/>
        <w:rPr>
          <w:rFonts w:ascii="Times New Roman" w:hAnsi="Times New Roman"/>
          <w:b/>
          <w:sz w:val="24"/>
          <w:szCs w:val="24"/>
        </w:rPr>
      </w:pPr>
    </w:p>
    <w:p w:rsidR="00FC675A" w:rsidRPr="005A42CF" w:rsidRDefault="00FC675A">
      <w:pPr>
        <w:spacing w:after="0" w:line="240" w:lineRule="auto"/>
        <w:rPr>
          <w:rFonts w:ascii="Times New Roman" w:hAnsi="Times New Roman"/>
          <w:sz w:val="24"/>
          <w:szCs w:val="24"/>
        </w:rPr>
      </w:pPr>
      <w:r>
        <w:rPr>
          <w:rFonts w:ascii="Times New Roman" w:hAnsi="Times New Roman"/>
          <w:sz w:val="24"/>
          <w:szCs w:val="24"/>
        </w:rPr>
        <w:t>In general, a registered entity may be required to disclose security or confidential information during an audit.  If this occurs, the general practice is that the auditor returns that information to the entity following the audit.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PROVIDE ADDITIONAL JUSTIFICATION FOR ANY QUESTIONS OF A SENSITIVE NATURE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This collection does not include any questions of a sensitive nature</w:t>
      </w:r>
      <w:r w:rsidR="003A7F4D">
        <w:rPr>
          <w:rFonts w:ascii="Times New Roman" w:hAnsi="Times New Roman"/>
          <w:sz w:val="24"/>
          <w:szCs w:val="24"/>
        </w:rPr>
        <w:t xml:space="preserve"> that are considered private</w:t>
      </w:r>
      <w:r w:rsidRPr="005A42CF">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BURDEN OF COLLECTION OF INFORMATION</w:t>
      </w:r>
    </w:p>
    <w:p w:rsidR="008507C5" w:rsidRPr="005A42CF" w:rsidRDefault="008507C5">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proofErr w:type="gramStart"/>
      <w:r w:rsidRPr="00F72E0F">
        <w:rPr>
          <w:rFonts w:ascii="Times New Roman" w:hAnsi="Times New Roman"/>
          <w:b/>
          <w:sz w:val="24"/>
          <w:szCs w:val="24"/>
        </w:rPr>
        <w:t>FERC-725A.</w:t>
      </w:r>
      <w:proofErr w:type="gramEnd"/>
      <w:r>
        <w:rPr>
          <w:rFonts w:ascii="Times New Roman" w:hAnsi="Times New Roman"/>
          <w:sz w:val="24"/>
          <w:szCs w:val="24"/>
        </w:rPr>
        <w:t xml:space="preserve">  </w:t>
      </w:r>
      <w:r w:rsidR="003A7F4D" w:rsidRPr="003A7F4D">
        <w:rPr>
          <w:rFonts w:ascii="Times New Roman" w:hAnsi="Times New Roman"/>
          <w:sz w:val="24"/>
          <w:szCs w:val="24"/>
        </w:rPr>
        <w:t>The current burden for the FERC-</w:t>
      </w:r>
      <w:r w:rsidR="003A7F4D">
        <w:rPr>
          <w:rFonts w:ascii="Times New Roman" w:hAnsi="Times New Roman"/>
          <w:sz w:val="24"/>
          <w:szCs w:val="24"/>
        </w:rPr>
        <w:t>725A</w:t>
      </w:r>
      <w:r w:rsidR="003A7F4D" w:rsidRPr="003A7F4D">
        <w:rPr>
          <w:rFonts w:ascii="Times New Roman" w:hAnsi="Times New Roman"/>
          <w:sz w:val="24"/>
          <w:szCs w:val="24"/>
        </w:rPr>
        <w:t xml:space="preserve"> is </w:t>
      </w:r>
      <w:r w:rsidR="002329DB">
        <w:rPr>
          <w:rFonts w:ascii="Times New Roman" w:hAnsi="Times New Roman"/>
          <w:sz w:val="24"/>
          <w:szCs w:val="24"/>
        </w:rPr>
        <w:t>1,829,5</w:t>
      </w:r>
      <w:r w:rsidR="002329DB" w:rsidRPr="005A42CF">
        <w:rPr>
          <w:rFonts w:ascii="Times New Roman" w:hAnsi="Times New Roman"/>
          <w:sz w:val="24"/>
          <w:szCs w:val="24"/>
        </w:rPr>
        <w:t>23</w:t>
      </w:r>
      <w:r w:rsidR="002329DB">
        <w:rPr>
          <w:rFonts w:ascii="Times New Roman" w:hAnsi="Times New Roman"/>
          <w:sz w:val="24"/>
          <w:szCs w:val="24"/>
        </w:rPr>
        <w:t xml:space="preserve"> hours.  </w:t>
      </w:r>
      <w:r w:rsidR="007113C1" w:rsidRPr="005A42CF">
        <w:rPr>
          <w:rFonts w:ascii="Times New Roman" w:hAnsi="Times New Roman"/>
          <w:sz w:val="24"/>
          <w:szCs w:val="24"/>
        </w:rPr>
        <w:t>FERC 725A contains the information collection requirements for nearly all of the U</w:t>
      </w:r>
      <w:r w:rsidR="004C707F">
        <w:rPr>
          <w:rFonts w:ascii="Times New Roman" w:hAnsi="Times New Roman"/>
          <w:sz w:val="24"/>
          <w:szCs w:val="24"/>
        </w:rPr>
        <w:t>.</w:t>
      </w:r>
      <w:r w:rsidR="007113C1" w:rsidRPr="005A42CF">
        <w:rPr>
          <w:rFonts w:ascii="Times New Roman" w:hAnsi="Times New Roman"/>
          <w:sz w:val="24"/>
          <w:szCs w:val="24"/>
        </w:rPr>
        <w:t>S</w:t>
      </w:r>
      <w:r w:rsidR="004C707F">
        <w:rPr>
          <w:rFonts w:ascii="Times New Roman" w:hAnsi="Times New Roman"/>
          <w:sz w:val="24"/>
          <w:szCs w:val="24"/>
        </w:rPr>
        <w:t>.-</w:t>
      </w:r>
      <w:r w:rsidR="007113C1" w:rsidRPr="005A42CF">
        <w:rPr>
          <w:rFonts w:ascii="Times New Roman" w:hAnsi="Times New Roman"/>
          <w:sz w:val="24"/>
          <w:szCs w:val="24"/>
        </w:rPr>
        <w:t>wide Reliability Standards.  The collection started in 2007 when FERC approved 83 Reliability Standards with an estimated 1,252,680 burden hours.</w:t>
      </w:r>
    </w:p>
    <w:p w:rsidR="007113C1" w:rsidRDefault="007113C1">
      <w:pPr>
        <w:spacing w:after="0" w:line="240" w:lineRule="auto"/>
        <w:rPr>
          <w:rFonts w:ascii="Times New Roman" w:hAnsi="Times New Roman"/>
          <w:sz w:val="24"/>
          <w:szCs w:val="24"/>
        </w:rPr>
      </w:pPr>
    </w:p>
    <w:p w:rsidR="00965399" w:rsidRDefault="007113C1" w:rsidP="007113C1">
      <w:pPr>
        <w:spacing w:after="0" w:line="240" w:lineRule="auto"/>
        <w:rPr>
          <w:rFonts w:ascii="Times New Roman" w:hAnsi="Times New Roman"/>
          <w:sz w:val="24"/>
          <w:szCs w:val="24"/>
        </w:rPr>
      </w:pPr>
      <w:r w:rsidRPr="005A42CF">
        <w:rPr>
          <w:rFonts w:ascii="Times New Roman" w:hAnsi="Times New Roman"/>
          <w:sz w:val="24"/>
          <w:szCs w:val="24"/>
        </w:rPr>
        <w:t>Since that time</w:t>
      </w:r>
      <w:r w:rsidR="00B32EE2">
        <w:rPr>
          <w:rFonts w:ascii="Times New Roman" w:hAnsi="Times New Roman"/>
          <w:sz w:val="24"/>
          <w:szCs w:val="24"/>
        </w:rPr>
        <w:t>,</w:t>
      </w:r>
      <w:r w:rsidRPr="005A42CF">
        <w:rPr>
          <w:rFonts w:ascii="Times New Roman" w:hAnsi="Times New Roman"/>
          <w:sz w:val="24"/>
          <w:szCs w:val="24"/>
        </w:rPr>
        <w:t xml:space="preserve"> NERC has revised many of the original standards (</w:t>
      </w:r>
      <w:r w:rsidR="00B32EE2">
        <w:rPr>
          <w:rFonts w:ascii="Times New Roman" w:hAnsi="Times New Roman"/>
          <w:sz w:val="24"/>
          <w:szCs w:val="24"/>
        </w:rPr>
        <w:t>and</w:t>
      </w:r>
      <w:r w:rsidRPr="005A42CF">
        <w:rPr>
          <w:rFonts w:ascii="Times New Roman" w:hAnsi="Times New Roman"/>
          <w:sz w:val="24"/>
          <w:szCs w:val="24"/>
        </w:rPr>
        <w:t xml:space="preserve"> proposed new standards</w:t>
      </w:r>
      <w:r w:rsidR="00B32EE2">
        <w:rPr>
          <w:rFonts w:ascii="Times New Roman" w:hAnsi="Times New Roman"/>
          <w:sz w:val="24"/>
          <w:szCs w:val="24"/>
        </w:rPr>
        <w:t xml:space="preserve"> as well</w:t>
      </w:r>
      <w:r w:rsidRPr="005A42CF">
        <w:rPr>
          <w:rFonts w:ascii="Times New Roman" w:hAnsi="Times New Roman"/>
          <w:sz w:val="24"/>
          <w:szCs w:val="24"/>
        </w:rPr>
        <w:t>) resulting in many incremental additions to the total burden hours (a total of approximately 575,000 burden hours).  One of the most notable additions occurred in 2011(ICR # 201012-1902-005) when we closely evaluated the number of respondents and found that there were approximately 500 more than we previously estimated.  This adjustment increased the total burden for the FERC-725A by approximately 450,000 hours.</w:t>
      </w:r>
    </w:p>
    <w:p w:rsidR="00965399" w:rsidRDefault="00965399" w:rsidP="007113C1">
      <w:pPr>
        <w:spacing w:after="0" w:line="240" w:lineRule="auto"/>
        <w:rPr>
          <w:rFonts w:ascii="Times New Roman" w:hAnsi="Times New Roman"/>
          <w:sz w:val="24"/>
          <w:szCs w:val="24"/>
        </w:rPr>
      </w:pPr>
    </w:p>
    <w:p w:rsidR="007113C1" w:rsidRPr="005A42CF" w:rsidRDefault="00965399" w:rsidP="007113C1">
      <w:pPr>
        <w:spacing w:after="0" w:line="240" w:lineRule="auto"/>
        <w:rPr>
          <w:rFonts w:ascii="Times New Roman" w:hAnsi="Times New Roman"/>
          <w:sz w:val="24"/>
          <w:szCs w:val="24"/>
        </w:rPr>
      </w:pPr>
      <w:r>
        <w:rPr>
          <w:rFonts w:ascii="Times New Roman" w:hAnsi="Times New Roman"/>
          <w:sz w:val="24"/>
          <w:szCs w:val="24"/>
        </w:rPr>
        <w:t>The NOPR proposes to reduce the burden in FERC-725A by 4,667 hours.</w:t>
      </w:r>
      <w:r w:rsidR="007113C1" w:rsidRPr="005A42CF">
        <w:rPr>
          <w:rFonts w:ascii="Times New Roman" w:hAnsi="Times New Roman"/>
          <w:sz w:val="24"/>
          <w:szCs w:val="24"/>
        </w:rPr>
        <w:t xml:space="preserve">   </w:t>
      </w:r>
    </w:p>
    <w:p w:rsidR="007113C1" w:rsidRDefault="007113C1">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proofErr w:type="gramStart"/>
      <w:r w:rsidRPr="00F72E0F">
        <w:rPr>
          <w:rFonts w:ascii="Times New Roman" w:hAnsi="Times New Roman"/>
          <w:b/>
          <w:sz w:val="24"/>
          <w:szCs w:val="24"/>
        </w:rPr>
        <w:t>FERC-725B.</w:t>
      </w:r>
      <w:proofErr w:type="gramEnd"/>
      <w:r>
        <w:rPr>
          <w:rFonts w:ascii="Times New Roman" w:hAnsi="Times New Roman"/>
          <w:sz w:val="24"/>
          <w:szCs w:val="24"/>
        </w:rPr>
        <w:t xml:space="preserve">  </w:t>
      </w:r>
      <w:r w:rsidR="003A7F4D">
        <w:rPr>
          <w:rFonts w:ascii="Times New Roman" w:hAnsi="Times New Roman"/>
          <w:sz w:val="24"/>
          <w:szCs w:val="24"/>
        </w:rPr>
        <w:t xml:space="preserve">The current burden for the FERC-725B is </w:t>
      </w:r>
      <w:r w:rsidR="002329DB">
        <w:rPr>
          <w:rFonts w:ascii="Times New Roman" w:hAnsi="Times New Roman"/>
          <w:sz w:val="24"/>
          <w:szCs w:val="24"/>
        </w:rPr>
        <w:t>850,680</w:t>
      </w:r>
      <w:r w:rsidR="003A7F4D">
        <w:rPr>
          <w:rFonts w:ascii="Times New Roman" w:hAnsi="Times New Roman"/>
          <w:sz w:val="24"/>
          <w:szCs w:val="24"/>
        </w:rPr>
        <w:t xml:space="preserve"> hours.  These hours are associated with information collections contained in Critical Infrastructure Protection (CIP) Reliability Standards</w:t>
      </w:r>
      <w:r w:rsidR="007113C1">
        <w:rPr>
          <w:rFonts w:ascii="Times New Roman" w:hAnsi="Times New Roman"/>
          <w:sz w:val="24"/>
          <w:szCs w:val="24"/>
        </w:rPr>
        <w:t xml:space="preserve"> CIP-002-4 </w:t>
      </w:r>
      <w:r w:rsidR="007113C1" w:rsidRPr="002329DB">
        <w:rPr>
          <w:rFonts w:ascii="Times New Roman" w:hAnsi="Times New Roman"/>
          <w:sz w:val="24"/>
          <w:szCs w:val="24"/>
        </w:rPr>
        <w:t>through CIP-009-4.</w:t>
      </w:r>
      <w:r>
        <w:rPr>
          <w:rFonts w:ascii="Times New Roman" w:hAnsi="Times New Roman"/>
          <w:sz w:val="24"/>
          <w:szCs w:val="24"/>
        </w:rPr>
        <w:t xml:space="preserve">  The NOPR proposes to reduce the burden in FERC-725B by 1,950 hours.</w:t>
      </w:r>
    </w:p>
    <w:p w:rsidR="007113C1" w:rsidRDefault="007113C1">
      <w:pPr>
        <w:spacing w:after="0" w:line="240" w:lineRule="auto"/>
        <w:rPr>
          <w:rFonts w:ascii="Times New Roman" w:hAnsi="Times New Roman"/>
          <w:sz w:val="24"/>
          <w:szCs w:val="24"/>
        </w:rPr>
      </w:pPr>
    </w:p>
    <w:p w:rsidR="007113C1" w:rsidRDefault="00965399">
      <w:pPr>
        <w:spacing w:after="0" w:line="240" w:lineRule="auto"/>
        <w:rPr>
          <w:rFonts w:ascii="Times New Roman" w:hAnsi="Times New Roman"/>
          <w:sz w:val="24"/>
          <w:szCs w:val="24"/>
        </w:rPr>
      </w:pPr>
      <w:r w:rsidRPr="00F72E0F">
        <w:rPr>
          <w:rFonts w:ascii="Times New Roman" w:hAnsi="Times New Roman"/>
          <w:b/>
          <w:sz w:val="24"/>
          <w:szCs w:val="24"/>
        </w:rPr>
        <w:t>FERC-725D.</w:t>
      </w:r>
      <w:r>
        <w:rPr>
          <w:rFonts w:ascii="Times New Roman" w:hAnsi="Times New Roman"/>
          <w:sz w:val="24"/>
          <w:szCs w:val="24"/>
        </w:rPr>
        <w:t xml:space="preserve">  </w:t>
      </w:r>
      <w:r w:rsidR="007113C1">
        <w:rPr>
          <w:rFonts w:ascii="Times New Roman" w:hAnsi="Times New Roman"/>
          <w:sz w:val="24"/>
          <w:szCs w:val="24"/>
        </w:rPr>
        <w:t xml:space="preserve">The current burden for the FERC-725D is </w:t>
      </w:r>
      <w:r w:rsidR="002329DB">
        <w:rPr>
          <w:rFonts w:ascii="Times New Roman" w:hAnsi="Times New Roman"/>
          <w:sz w:val="24"/>
          <w:szCs w:val="24"/>
        </w:rPr>
        <w:t xml:space="preserve">141,000 </w:t>
      </w:r>
      <w:r w:rsidR="007113C1">
        <w:rPr>
          <w:rFonts w:ascii="Times New Roman" w:hAnsi="Times New Roman"/>
          <w:sz w:val="24"/>
          <w:szCs w:val="24"/>
        </w:rPr>
        <w:t>hours.  These hours are associated with the information collections requirements in three FAC Reliability Standards, FAC-010-2, FAC-011-2, and FAC-014-2.</w:t>
      </w:r>
      <w:r>
        <w:rPr>
          <w:rFonts w:ascii="Times New Roman" w:hAnsi="Times New Roman"/>
          <w:sz w:val="24"/>
          <w:szCs w:val="24"/>
        </w:rPr>
        <w:t xml:space="preserve">  The NOPR proposes to reduce the burden in FERC-725D by 2,020. </w:t>
      </w:r>
    </w:p>
    <w:p w:rsidR="007113C1" w:rsidRDefault="007113C1">
      <w:pPr>
        <w:spacing w:after="0" w:line="240" w:lineRule="auto"/>
        <w:rPr>
          <w:rFonts w:ascii="Times New Roman" w:hAnsi="Times New Roman"/>
          <w:sz w:val="24"/>
          <w:szCs w:val="24"/>
        </w:rPr>
      </w:pPr>
    </w:p>
    <w:p w:rsidR="004D29DA" w:rsidRPr="005A42CF" w:rsidRDefault="007113C1">
      <w:pPr>
        <w:spacing w:after="0" w:line="240" w:lineRule="auto"/>
        <w:rPr>
          <w:rFonts w:ascii="Times New Roman" w:hAnsi="Times New Roman"/>
          <w:sz w:val="24"/>
          <w:szCs w:val="24"/>
        </w:rPr>
      </w:pPr>
      <w:r>
        <w:rPr>
          <w:rFonts w:ascii="Times New Roman" w:hAnsi="Times New Roman"/>
          <w:sz w:val="24"/>
          <w:szCs w:val="24"/>
        </w:rPr>
        <w:t>In general, information collection requirements contained in Reliability Standards relate to documenting compliance</w:t>
      </w:r>
      <w:r w:rsidR="00B32EE2">
        <w:rPr>
          <w:rFonts w:ascii="Times New Roman" w:hAnsi="Times New Roman"/>
          <w:sz w:val="24"/>
          <w:szCs w:val="24"/>
        </w:rPr>
        <w:t>,</w:t>
      </w:r>
      <w:r w:rsidR="00F72D6E">
        <w:rPr>
          <w:rFonts w:ascii="Times New Roman" w:hAnsi="Times New Roman"/>
          <w:sz w:val="24"/>
          <w:szCs w:val="24"/>
        </w:rPr>
        <w:t xml:space="preserve"> </w:t>
      </w:r>
      <w:r>
        <w:rPr>
          <w:rFonts w:ascii="Times New Roman" w:hAnsi="Times New Roman"/>
          <w:sz w:val="24"/>
          <w:szCs w:val="24"/>
        </w:rPr>
        <w:t>preparing assessments</w:t>
      </w:r>
      <w:r w:rsidR="00B32EE2">
        <w:rPr>
          <w:rFonts w:ascii="Times New Roman" w:hAnsi="Times New Roman"/>
          <w:sz w:val="24"/>
          <w:szCs w:val="24"/>
        </w:rPr>
        <w:t>,</w:t>
      </w:r>
      <w:r>
        <w:rPr>
          <w:rFonts w:ascii="Times New Roman" w:hAnsi="Times New Roman"/>
          <w:sz w:val="24"/>
          <w:szCs w:val="24"/>
        </w:rPr>
        <w:t xml:space="preserve"> and</w:t>
      </w:r>
      <w:r w:rsidR="00B32EE2">
        <w:rPr>
          <w:rFonts w:ascii="Times New Roman" w:hAnsi="Times New Roman"/>
          <w:sz w:val="24"/>
          <w:szCs w:val="24"/>
        </w:rPr>
        <w:t xml:space="preserve"> preparing</w:t>
      </w:r>
      <w:r>
        <w:rPr>
          <w:rFonts w:ascii="Times New Roman" w:hAnsi="Times New Roman"/>
          <w:sz w:val="24"/>
          <w:szCs w:val="24"/>
        </w:rPr>
        <w:t xml:space="preserve"> reports</w:t>
      </w:r>
      <w:r w:rsidR="004C707F">
        <w:rPr>
          <w:rFonts w:ascii="Times New Roman" w:hAnsi="Times New Roman"/>
          <w:sz w:val="24"/>
          <w:szCs w:val="24"/>
        </w:rPr>
        <w:t>, and retaining information</w:t>
      </w:r>
      <w:r>
        <w:rPr>
          <w:rFonts w:ascii="Times New Roman" w:hAnsi="Times New Roman"/>
          <w:sz w:val="24"/>
          <w:szCs w:val="24"/>
        </w:rPr>
        <w:t xml:space="preserve">. </w:t>
      </w:r>
    </w:p>
    <w:p w:rsidR="008507C5" w:rsidRPr="005A42CF" w:rsidRDefault="008507C5">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 OF THE TOTAL ANNUAL COST BURDEN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no start-up or other non-labor hour cost associated with this </w:t>
      </w:r>
      <w:r w:rsidR="004D29DA">
        <w:rPr>
          <w:rFonts w:ascii="Times New Roman" w:hAnsi="Times New Roman"/>
          <w:sz w:val="24"/>
          <w:szCs w:val="24"/>
        </w:rPr>
        <w:t>proposed</w:t>
      </w:r>
      <w:r w:rsidRPr="005A42CF">
        <w:rPr>
          <w:rFonts w:ascii="Times New Roman" w:hAnsi="Times New Roman"/>
          <w:sz w:val="24"/>
          <w:szCs w:val="24"/>
        </w:rPr>
        <w:t xml:space="preserve"> rule.  </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an existing record keeping requirement contained in the FERC-725A, estimated at $126,725.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ANNUALIZED COST TO FEDERAL GOVERNMENT</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(1902-0225)</w:t>
      </w:r>
      <w:r w:rsidR="00C128D3" w:rsidRPr="005A42CF">
        <w:rPr>
          <w:rFonts w:ascii="Times New Roman" w:hAnsi="Times New Roman"/>
          <w:sz w:val="24"/>
          <w:szCs w:val="24"/>
        </w:rPr>
        <w:t xml:space="preserve"> and is not part of this request or package</w:t>
      </w:r>
      <w:r w:rsidRPr="005A42CF">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incur the costs associated with </w:t>
      </w:r>
      <w:r w:rsidR="00D54050">
        <w:rPr>
          <w:rFonts w:ascii="Times New Roman" w:hAnsi="Times New Roman"/>
          <w:sz w:val="24"/>
          <w:szCs w:val="24"/>
        </w:rPr>
        <w:t xml:space="preserve">complying with </w:t>
      </w:r>
      <w:r w:rsidRPr="005A42CF">
        <w:rPr>
          <w:rFonts w:ascii="Times New Roman" w:hAnsi="Times New Roman"/>
          <w:sz w:val="24"/>
          <w:szCs w:val="24"/>
        </w:rPr>
        <w:t xml:space="preserve">the Paperwork Reduction Act for this </w:t>
      </w:r>
      <w:r w:rsidR="00965399">
        <w:rPr>
          <w:rFonts w:ascii="Times New Roman" w:hAnsi="Times New Roman"/>
          <w:sz w:val="24"/>
          <w:szCs w:val="24"/>
        </w:rPr>
        <w:t>rulemaking</w:t>
      </w:r>
      <w:r w:rsidRPr="005A42CF">
        <w:rPr>
          <w:rFonts w:ascii="Times New Roman" w:hAnsi="Times New Roman"/>
          <w:sz w:val="24"/>
          <w:szCs w:val="24"/>
        </w:rPr>
        <w:t>.  FERC estimates the annual cost for this effort to be $2,250</w:t>
      </w:r>
      <w:r w:rsidR="004D29DA">
        <w:rPr>
          <w:rFonts w:ascii="Times New Roman" w:hAnsi="Times New Roman"/>
          <w:sz w:val="24"/>
          <w:szCs w:val="24"/>
        </w:rPr>
        <w:t xml:space="preserve"> for each </w:t>
      </w:r>
      <w:r w:rsidR="00965399">
        <w:rPr>
          <w:rFonts w:ascii="Times New Roman" w:hAnsi="Times New Roman"/>
          <w:sz w:val="24"/>
          <w:szCs w:val="24"/>
        </w:rPr>
        <w:t>rulemaking</w:t>
      </w:r>
      <w:r w:rsidRPr="005A42CF">
        <w:rPr>
          <w:rFonts w:ascii="Times New Roman" w:hAnsi="Times New Roman"/>
          <w:sz w:val="24"/>
          <w:szCs w:val="24"/>
        </w:rPr>
        <w:t>.</w:t>
      </w:r>
      <w:r w:rsidRPr="005A42CF">
        <w:rPr>
          <w:rStyle w:val="FootnoteReference"/>
          <w:rFonts w:ascii="Times New Roman" w:hAnsi="Times New Roman"/>
          <w:sz w:val="24"/>
          <w:szCs w:val="24"/>
          <w:vertAlign w:val="superscript"/>
        </w:rPr>
        <w:footnoteReference w:id="11"/>
      </w:r>
      <w:r w:rsidR="004D29DA">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REASONS FOR CHANGES IN BURDEN INCLUDING THE NEED FOR ANY INCREASE</w:t>
      </w:r>
    </w:p>
    <w:p w:rsidR="000D3D0F" w:rsidRPr="005A42CF" w:rsidRDefault="000D3D0F">
      <w:pPr>
        <w:spacing w:after="0" w:line="240" w:lineRule="auto"/>
        <w:rPr>
          <w:rFonts w:ascii="Times New Roman" w:hAnsi="Times New Roman"/>
          <w:sz w:val="24"/>
          <w:szCs w:val="24"/>
        </w:rPr>
      </w:pPr>
    </w:p>
    <w:p w:rsidR="004D29DA" w:rsidRDefault="004D29DA">
      <w:pPr>
        <w:spacing w:after="0" w:line="240" w:lineRule="auto"/>
        <w:rPr>
          <w:rFonts w:ascii="Times New Roman" w:hAnsi="Times New Roman"/>
          <w:sz w:val="24"/>
          <w:szCs w:val="24"/>
        </w:rPr>
      </w:pPr>
      <w:r>
        <w:rPr>
          <w:rFonts w:ascii="Times New Roman" w:hAnsi="Times New Roman"/>
          <w:sz w:val="24"/>
          <w:szCs w:val="24"/>
        </w:rPr>
        <w:t>The Commission proposes to accept NERC’s petition to retire 34 requirements within 19 Reliability Standards</w:t>
      </w:r>
      <w:r w:rsidR="00FC60B2">
        <w:rPr>
          <w:rFonts w:ascii="Times New Roman" w:hAnsi="Times New Roman"/>
          <w:sz w:val="24"/>
          <w:szCs w:val="24"/>
        </w:rPr>
        <w:t xml:space="preserve"> which the Commission expects will result in 8,</w:t>
      </w:r>
      <w:r w:rsidR="00DC05B2">
        <w:rPr>
          <w:rFonts w:ascii="Times New Roman" w:hAnsi="Times New Roman"/>
          <w:sz w:val="24"/>
          <w:szCs w:val="24"/>
        </w:rPr>
        <w:t xml:space="preserve">637 </w:t>
      </w:r>
      <w:r w:rsidR="00FC60B2">
        <w:rPr>
          <w:rFonts w:ascii="Times New Roman" w:hAnsi="Times New Roman"/>
          <w:sz w:val="24"/>
          <w:szCs w:val="24"/>
        </w:rPr>
        <w:t>hours of burden reduction across three information collections</w:t>
      </w:r>
      <w:r>
        <w:rPr>
          <w:rFonts w:ascii="Times New Roman" w:hAnsi="Times New Roman"/>
          <w:sz w:val="24"/>
          <w:szCs w:val="24"/>
        </w:rPr>
        <w:t xml:space="preserve">.  </w:t>
      </w:r>
    </w:p>
    <w:p w:rsidR="004D29DA" w:rsidRDefault="004D29DA">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Commission based its paperwork burden estimates</w:t>
      </w:r>
      <w:r>
        <w:rPr>
          <w:rFonts w:ascii="Times New Roman" w:hAnsi="Times New Roman"/>
          <w:sz w:val="24"/>
          <w:szCs w:val="24"/>
        </w:rPr>
        <w:t xml:space="preserve"> in the NOPR</w:t>
      </w:r>
      <w:r w:rsidRPr="008C2EE9">
        <w:rPr>
          <w:rFonts w:ascii="Times New Roman" w:hAnsi="Times New Roman"/>
          <w:sz w:val="24"/>
          <w:szCs w:val="24"/>
        </w:rPr>
        <w:t xml:space="preserve"> on the NERC compliance registry as of April 30, 2013.</w:t>
      </w:r>
      <w:r w:rsidRPr="008C2EE9">
        <w:rPr>
          <w:rFonts w:ascii="Times New Roman" w:hAnsi="Times New Roman"/>
          <w:b/>
          <w:sz w:val="24"/>
          <w:szCs w:val="24"/>
          <w:vertAlign w:val="superscript"/>
        </w:rPr>
        <w:footnoteReference w:id="12"/>
      </w:r>
      <w:r w:rsidRPr="008C2EE9">
        <w:rPr>
          <w:rFonts w:ascii="Times New Roman" w:hAnsi="Times New Roman"/>
          <w:sz w:val="24"/>
          <w:szCs w:val="24"/>
        </w:rPr>
        <w:t xml:space="preserve">  According to the registry, there are 132 balancing authorities</w:t>
      </w:r>
      <w:r w:rsidR="00965399">
        <w:rPr>
          <w:rFonts w:ascii="Times New Roman" w:hAnsi="Times New Roman"/>
          <w:sz w:val="24"/>
          <w:szCs w:val="24"/>
        </w:rPr>
        <w:t xml:space="preserve"> </w:t>
      </w:r>
      <w:r w:rsidR="00965399">
        <w:rPr>
          <w:rFonts w:ascii="Times New Roman" w:hAnsi="Times New Roman"/>
          <w:sz w:val="24"/>
          <w:szCs w:val="24"/>
        </w:rPr>
        <w:lastRenderedPageBreak/>
        <w:t>(BA)</w:t>
      </w:r>
      <w:r w:rsidRPr="008C2EE9">
        <w:rPr>
          <w:rFonts w:ascii="Times New Roman" w:hAnsi="Times New Roman"/>
          <w:sz w:val="24"/>
          <w:szCs w:val="24"/>
        </w:rPr>
        <w:t>, 544 distribution providers</w:t>
      </w:r>
      <w:r w:rsidR="00965399">
        <w:rPr>
          <w:rFonts w:ascii="Times New Roman" w:hAnsi="Times New Roman"/>
          <w:sz w:val="24"/>
          <w:szCs w:val="24"/>
        </w:rPr>
        <w:t xml:space="preserve"> (DP)</w:t>
      </w:r>
      <w:r w:rsidRPr="008C2EE9">
        <w:rPr>
          <w:rFonts w:ascii="Times New Roman" w:hAnsi="Times New Roman"/>
          <w:sz w:val="24"/>
          <w:szCs w:val="24"/>
        </w:rPr>
        <w:t>, 898 generator owners</w:t>
      </w:r>
      <w:r w:rsidR="00965399">
        <w:rPr>
          <w:rFonts w:ascii="Times New Roman" w:hAnsi="Times New Roman"/>
          <w:sz w:val="24"/>
          <w:szCs w:val="24"/>
        </w:rPr>
        <w:t xml:space="preserve"> (GO)</w:t>
      </w:r>
      <w:r w:rsidRPr="008C2EE9">
        <w:rPr>
          <w:rFonts w:ascii="Times New Roman" w:hAnsi="Times New Roman"/>
          <w:sz w:val="24"/>
          <w:szCs w:val="24"/>
        </w:rPr>
        <w:t>, 859 generator operators</w:t>
      </w:r>
      <w:r w:rsidR="00965399">
        <w:rPr>
          <w:rFonts w:ascii="Times New Roman" w:hAnsi="Times New Roman"/>
          <w:sz w:val="24"/>
          <w:szCs w:val="24"/>
        </w:rPr>
        <w:t xml:space="preserve"> (GOP)</w:t>
      </w:r>
      <w:r w:rsidRPr="008C2EE9">
        <w:rPr>
          <w:rFonts w:ascii="Times New Roman" w:hAnsi="Times New Roman"/>
          <w:sz w:val="24"/>
          <w:szCs w:val="24"/>
        </w:rPr>
        <w:t>, 56 interchange authorities</w:t>
      </w:r>
      <w:r w:rsidR="00965399">
        <w:rPr>
          <w:rFonts w:ascii="Times New Roman" w:hAnsi="Times New Roman"/>
          <w:sz w:val="24"/>
          <w:szCs w:val="24"/>
        </w:rPr>
        <w:t xml:space="preserve"> (IA)</w:t>
      </w:r>
      <w:r w:rsidRPr="008C2EE9">
        <w:rPr>
          <w:rFonts w:ascii="Times New Roman" w:hAnsi="Times New Roman"/>
          <w:sz w:val="24"/>
          <w:szCs w:val="24"/>
        </w:rPr>
        <w:t>, 515 load serving entities</w:t>
      </w:r>
      <w:r w:rsidR="00965399">
        <w:rPr>
          <w:rFonts w:ascii="Times New Roman" w:hAnsi="Times New Roman"/>
          <w:sz w:val="24"/>
          <w:szCs w:val="24"/>
        </w:rPr>
        <w:t xml:space="preserve"> (LSE)</w:t>
      </w:r>
      <w:r w:rsidRPr="008C2EE9">
        <w:rPr>
          <w:rFonts w:ascii="Times New Roman" w:hAnsi="Times New Roman"/>
          <w:sz w:val="24"/>
          <w:szCs w:val="24"/>
        </w:rPr>
        <w:t>, 80 planning authorities/planning coordinators</w:t>
      </w:r>
      <w:r w:rsidR="00965399">
        <w:rPr>
          <w:rFonts w:ascii="Times New Roman" w:hAnsi="Times New Roman"/>
          <w:sz w:val="24"/>
          <w:szCs w:val="24"/>
        </w:rPr>
        <w:t xml:space="preserve"> (PA or PC)</w:t>
      </w:r>
      <w:r w:rsidRPr="008C2EE9">
        <w:rPr>
          <w:rFonts w:ascii="Times New Roman" w:hAnsi="Times New Roman"/>
          <w:sz w:val="24"/>
          <w:szCs w:val="24"/>
        </w:rPr>
        <w:t>, 677 purchasing selling entities</w:t>
      </w:r>
      <w:r w:rsidR="00965399">
        <w:rPr>
          <w:rFonts w:ascii="Times New Roman" w:hAnsi="Times New Roman"/>
          <w:sz w:val="24"/>
          <w:szCs w:val="24"/>
        </w:rPr>
        <w:t xml:space="preserve"> (PSE)</w:t>
      </w:r>
      <w:r w:rsidRPr="008C2EE9">
        <w:rPr>
          <w:rFonts w:ascii="Times New Roman" w:hAnsi="Times New Roman"/>
          <w:sz w:val="24"/>
          <w:szCs w:val="24"/>
        </w:rPr>
        <w:t>, 21 reliability coordinators</w:t>
      </w:r>
      <w:r w:rsidR="00965399">
        <w:rPr>
          <w:rFonts w:ascii="Times New Roman" w:hAnsi="Times New Roman"/>
          <w:sz w:val="24"/>
          <w:szCs w:val="24"/>
        </w:rPr>
        <w:t xml:space="preserve"> (RC)</w:t>
      </w:r>
      <w:r w:rsidRPr="008C2EE9">
        <w:rPr>
          <w:rFonts w:ascii="Times New Roman" w:hAnsi="Times New Roman"/>
          <w:sz w:val="24"/>
          <w:szCs w:val="24"/>
        </w:rPr>
        <w:t>, 346 transmission owners</w:t>
      </w:r>
      <w:r w:rsidR="00965399">
        <w:rPr>
          <w:rFonts w:ascii="Times New Roman" w:hAnsi="Times New Roman"/>
          <w:sz w:val="24"/>
          <w:szCs w:val="24"/>
        </w:rPr>
        <w:t xml:space="preserve"> (TO)</w:t>
      </w:r>
      <w:r w:rsidRPr="008C2EE9">
        <w:rPr>
          <w:rFonts w:ascii="Times New Roman" w:hAnsi="Times New Roman"/>
          <w:sz w:val="24"/>
          <w:szCs w:val="24"/>
        </w:rPr>
        <w:t>, 185 transmission operators</w:t>
      </w:r>
      <w:r w:rsidR="00965399">
        <w:rPr>
          <w:rFonts w:ascii="Times New Roman" w:hAnsi="Times New Roman"/>
          <w:sz w:val="24"/>
          <w:szCs w:val="24"/>
        </w:rPr>
        <w:t xml:space="preserve"> (TOP)</w:t>
      </w:r>
      <w:r w:rsidRPr="008C2EE9">
        <w:rPr>
          <w:rFonts w:ascii="Times New Roman" w:hAnsi="Times New Roman"/>
          <w:sz w:val="24"/>
          <w:szCs w:val="24"/>
        </w:rPr>
        <w:t>, 185 transmission planners</w:t>
      </w:r>
      <w:r w:rsidR="00965399">
        <w:rPr>
          <w:rFonts w:ascii="Times New Roman" w:hAnsi="Times New Roman"/>
          <w:sz w:val="24"/>
          <w:szCs w:val="24"/>
        </w:rPr>
        <w:t xml:space="preserve"> (TP)</w:t>
      </w:r>
      <w:r w:rsidRPr="008C2EE9">
        <w:rPr>
          <w:rFonts w:ascii="Times New Roman" w:hAnsi="Times New Roman"/>
          <w:sz w:val="24"/>
          <w:szCs w:val="24"/>
        </w:rPr>
        <w:t>, and 93 transmission service providers</w:t>
      </w:r>
      <w:r w:rsidR="00965399">
        <w:rPr>
          <w:rFonts w:ascii="Times New Roman" w:hAnsi="Times New Roman"/>
          <w:sz w:val="24"/>
          <w:szCs w:val="24"/>
        </w:rPr>
        <w:t xml:space="preserve"> (TSP)</w:t>
      </w:r>
      <w:r w:rsidRPr="008C2EE9">
        <w:rPr>
          <w:rFonts w:ascii="Times New Roman" w:hAnsi="Times New Roman"/>
          <w:sz w:val="24"/>
          <w:szCs w:val="24"/>
        </w:rPr>
        <w:t>.</w:t>
      </w:r>
    </w:p>
    <w:p w:rsidR="008C2EE9" w:rsidRPr="008C2EE9" w:rsidRDefault="008C2EE9" w:rsidP="008C2EE9">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The Commission estimates that the burden will be reduced for each requirement as dictated in the chart below, for a total estimated reduction in </w:t>
      </w:r>
      <w:r w:rsidR="00FC60B2">
        <w:rPr>
          <w:rFonts w:ascii="Times New Roman" w:hAnsi="Times New Roman"/>
          <w:sz w:val="24"/>
          <w:szCs w:val="24"/>
        </w:rPr>
        <w:t xml:space="preserve">burden </w:t>
      </w:r>
      <w:r w:rsidRPr="008C2EE9">
        <w:rPr>
          <w:rFonts w:ascii="Times New Roman" w:hAnsi="Times New Roman"/>
          <w:sz w:val="24"/>
          <w:szCs w:val="24"/>
        </w:rPr>
        <w:t xml:space="preserve">of </w:t>
      </w:r>
      <w:r w:rsidR="00FC60B2">
        <w:rPr>
          <w:rFonts w:ascii="Times New Roman" w:hAnsi="Times New Roman"/>
          <w:sz w:val="24"/>
          <w:szCs w:val="24"/>
        </w:rPr>
        <w:t>8,</w:t>
      </w:r>
      <w:r w:rsidR="00DC05B2">
        <w:rPr>
          <w:rFonts w:ascii="Times New Roman" w:hAnsi="Times New Roman"/>
          <w:sz w:val="24"/>
          <w:szCs w:val="24"/>
        </w:rPr>
        <w:t xml:space="preserve">637 </w:t>
      </w:r>
      <w:r w:rsidR="00FC60B2">
        <w:rPr>
          <w:rFonts w:ascii="Times New Roman" w:hAnsi="Times New Roman"/>
          <w:sz w:val="24"/>
          <w:szCs w:val="24"/>
        </w:rPr>
        <w:t>hours</w:t>
      </w:r>
      <w:r w:rsidRPr="008C2EE9">
        <w:rPr>
          <w:rFonts w:ascii="Times New Roman" w:hAnsi="Times New Roman"/>
          <w:sz w:val="24"/>
          <w:szCs w:val="24"/>
        </w:rPr>
        <w:t>.  The Commission based the burden reduction estimates on staff experience, knowledge, and expertise.</w:t>
      </w:r>
    </w:p>
    <w:p w:rsidR="008C2EE9" w:rsidRPr="008C2EE9" w:rsidRDefault="008C2EE9" w:rsidP="008C2EE9">
      <w:pPr>
        <w:spacing w:after="0" w:line="240" w:lineRule="auto"/>
        <w:rPr>
          <w:rFonts w:ascii="Times New Roman" w:hAnsi="Times New Roman"/>
          <w:sz w:val="24"/>
          <w:szCs w:val="24"/>
        </w:rPr>
      </w:pPr>
    </w:p>
    <w:tbl>
      <w:tblPr>
        <w:tblW w:w="441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3"/>
        <w:gridCol w:w="1523"/>
        <w:gridCol w:w="1683"/>
        <w:gridCol w:w="1430"/>
        <w:gridCol w:w="1270"/>
        <w:gridCol w:w="1270"/>
      </w:tblGrid>
      <w:tr w:rsidR="008C2EE9" w:rsidRPr="008C2EE9" w:rsidTr="00084685">
        <w:trPr>
          <w:trHeight w:val="510"/>
        </w:trPr>
        <w:tc>
          <w:tcPr>
            <w:tcW w:w="861"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Standard, Requirement Number, and FERC Collection Number</w:t>
            </w:r>
          </w:p>
        </w:tc>
        <w:tc>
          <w:tcPr>
            <w:tcW w:w="785"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Type of Respondents</w:t>
            </w:r>
          </w:p>
        </w:tc>
        <w:tc>
          <w:tcPr>
            <w:tcW w:w="923"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Number of Respondents</w:t>
            </w:r>
            <w:r w:rsidRPr="008C2EE9">
              <w:rPr>
                <w:rFonts w:ascii="Times New Roman" w:hAnsi="Times New Roman"/>
                <w:bCs/>
                <w:sz w:val="24"/>
                <w:szCs w:val="24"/>
                <w:vertAlign w:val="superscript"/>
              </w:rPr>
              <w:footnoteReference w:id="13"/>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w:t>
            </w:r>
          </w:p>
        </w:tc>
        <w:tc>
          <w:tcPr>
            <w:tcW w:w="811"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Average Reduction in Burden Hours per Respondent per Year</w:t>
            </w:r>
            <w:r w:rsidRPr="008C2EE9">
              <w:rPr>
                <w:rFonts w:ascii="Times New Roman" w:hAnsi="Times New Roman"/>
                <w:b/>
                <w:bCs/>
                <w:sz w:val="24"/>
                <w:szCs w:val="24"/>
              </w:rPr>
              <w:br/>
              <w:t>[B]</w:t>
            </w:r>
          </w:p>
        </w:tc>
        <w:tc>
          <w:tcPr>
            <w:tcW w:w="810"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Estimated Annual Reduction in Burden (in hours)</w:t>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 X B]</w:t>
            </w:r>
          </w:p>
        </w:tc>
        <w:tc>
          <w:tcPr>
            <w:tcW w:w="810"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Estimated Annual Reduction in Cost</w:t>
            </w:r>
            <w:r w:rsidRPr="008C2EE9">
              <w:rPr>
                <w:rFonts w:ascii="Times New Roman" w:hAnsi="Times New Roman"/>
                <w:b/>
                <w:bCs/>
                <w:sz w:val="24"/>
                <w:szCs w:val="24"/>
              </w:rPr>
              <w:br/>
              <w:t>[A X B X $60/ hour</w:t>
            </w:r>
            <w:r w:rsidRPr="008C2EE9">
              <w:rPr>
                <w:rFonts w:ascii="Times New Roman" w:hAnsi="Times New Roman"/>
                <w:bCs/>
                <w:sz w:val="24"/>
                <w:szCs w:val="24"/>
                <w:vertAlign w:val="superscript"/>
              </w:rPr>
              <w:footnoteReference w:id="14"/>
            </w:r>
            <w:r w:rsidRPr="008C2EE9">
              <w:rPr>
                <w:rFonts w:ascii="Times New Roman" w:hAnsi="Times New Roman"/>
                <w:b/>
                <w:bCs/>
                <w:sz w:val="24"/>
                <w:szCs w:val="24"/>
              </w:rPr>
              <w:t>]</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EOP-005-2, R3.1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TOP</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$11,100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R4</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FAC-010-2.1,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1,600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$96,000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lastRenderedPageBreak/>
              <w:t>FAC-011-2,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FAC-013-2, R3</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640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38,400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INT-007-1, R1.2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56</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1,120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67,200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IRO-016-1, R2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R1.2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RC, BA, IA, TSP, TO, TOP, GO, GOP,LSE, </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R3, R3.1, R3.2, R3.3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CIP-005-3, -4, R2.6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r w:rsidR="00F72E0F">
              <w:rPr>
                <w:rFonts w:ascii="Times New Roman" w:hAnsi="Times New Roman"/>
                <w:sz w:val="24"/>
                <w:szCs w:val="24"/>
              </w:rPr>
              <w:t>,</w:t>
            </w:r>
            <w:r w:rsidRPr="008C2EE9">
              <w:rPr>
                <w:rFonts w:ascii="Times New Roman" w:hAnsi="Times New Roman"/>
                <w:sz w:val="24"/>
                <w:szCs w:val="24"/>
              </w:rPr>
              <w:t>300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$78,000</w:t>
            </w:r>
          </w:p>
        </w:tc>
      </w:tr>
      <w:tr w:rsidR="00F72E0F" w:rsidRPr="008C2EE9" w:rsidTr="00DA74CC">
        <w:trPr>
          <w:trHeight w:val="780"/>
        </w:trPr>
        <w:tc>
          <w:tcPr>
            <w:tcW w:w="861" w:type="pct"/>
            <w:vAlign w:val="bottom"/>
          </w:tcPr>
          <w:p w:rsidR="00F72E0F" w:rsidRPr="008C2EE9" w:rsidRDefault="00F72E0F" w:rsidP="00F72E0F">
            <w:pPr>
              <w:spacing w:after="0" w:line="240" w:lineRule="auto"/>
              <w:jc w:val="right"/>
              <w:rPr>
                <w:rFonts w:ascii="Times New Roman" w:hAnsi="Times New Roman"/>
                <w:b/>
                <w:sz w:val="24"/>
                <w:szCs w:val="24"/>
              </w:rPr>
            </w:pPr>
            <w:r>
              <w:rPr>
                <w:rFonts w:ascii="Times New Roman" w:hAnsi="Times New Roman"/>
                <w:b/>
                <w:sz w:val="24"/>
                <w:szCs w:val="24"/>
              </w:rPr>
              <w:t>Total for FERC-725A</w:t>
            </w:r>
          </w:p>
        </w:tc>
        <w:tc>
          <w:tcPr>
            <w:tcW w:w="785" w:type="pct"/>
            <w:vAlign w:val="bottom"/>
          </w:tcPr>
          <w:p w:rsidR="00F72E0F" w:rsidRPr="008C2EE9" w:rsidRDefault="00F72E0F" w:rsidP="008C2EE9">
            <w:pPr>
              <w:spacing w:after="0" w:line="240" w:lineRule="auto"/>
              <w:rPr>
                <w:rFonts w:ascii="Times New Roman" w:hAnsi="Times New Roman"/>
                <w:sz w:val="24"/>
                <w:szCs w:val="24"/>
              </w:rPr>
            </w:pPr>
          </w:p>
        </w:tc>
        <w:tc>
          <w:tcPr>
            <w:tcW w:w="923"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1"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0" w:type="pct"/>
            <w:vAlign w:val="bottom"/>
          </w:tcPr>
          <w:p w:rsidR="00F72E0F" w:rsidRDefault="00F72E0F" w:rsidP="00DA74CC">
            <w:pPr>
              <w:spacing w:after="0" w:line="240" w:lineRule="auto"/>
              <w:jc w:val="right"/>
              <w:rPr>
                <w:rFonts w:ascii="Times New Roman" w:hAnsi="Times New Roman"/>
                <w:sz w:val="24"/>
                <w:szCs w:val="24"/>
              </w:rPr>
            </w:pPr>
            <w:r>
              <w:rPr>
                <w:rFonts w:ascii="Times New Roman" w:hAnsi="Times New Roman"/>
                <w:sz w:val="24"/>
                <w:szCs w:val="24"/>
              </w:rPr>
              <w:t>4,667</w:t>
            </w:r>
          </w:p>
        </w:tc>
        <w:tc>
          <w:tcPr>
            <w:tcW w:w="810" w:type="pct"/>
            <w:vAlign w:val="bottom"/>
          </w:tcPr>
          <w:p w:rsidR="00F72E0F"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$280,020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FERC-725B</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1,950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$117,000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FERC-725D</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2,020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$121,200</w:t>
            </w:r>
          </w:p>
        </w:tc>
      </w:tr>
      <w:tr w:rsidR="008C2EE9" w:rsidRPr="008C2EE9" w:rsidTr="00DA74CC">
        <w:trPr>
          <w:trHeight w:val="780"/>
        </w:trPr>
        <w:tc>
          <w:tcPr>
            <w:tcW w:w="861" w:type="pct"/>
            <w:vAlign w:val="bottom"/>
          </w:tcPr>
          <w:p w:rsidR="008C2EE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 xml:space="preserve">Grand </w:t>
            </w:r>
            <w:r w:rsidR="008C2EE9" w:rsidRPr="008C2EE9">
              <w:rPr>
                <w:rFonts w:ascii="Times New Roman" w:hAnsi="Times New Roman"/>
                <w:b/>
                <w:sz w:val="24"/>
                <w:szCs w:val="24"/>
              </w:rPr>
              <w:t>Total</w:t>
            </w:r>
          </w:p>
        </w:tc>
        <w:tc>
          <w:tcPr>
            <w:tcW w:w="785" w:type="pct"/>
            <w:vAlign w:val="bottom"/>
          </w:tcPr>
          <w:p w:rsidR="008C2EE9" w:rsidRPr="008C2EE9" w:rsidRDefault="008C2EE9" w:rsidP="008C2EE9">
            <w:pPr>
              <w:spacing w:after="0" w:line="240" w:lineRule="auto"/>
              <w:rPr>
                <w:rFonts w:ascii="Times New Roman" w:hAnsi="Times New Roman"/>
                <w:sz w:val="24"/>
                <w:szCs w:val="24"/>
              </w:rPr>
            </w:pP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8,637</w:t>
            </w:r>
          </w:p>
        </w:tc>
        <w:tc>
          <w:tcPr>
            <w:tcW w:w="810" w:type="pct"/>
            <w:vAlign w:val="bottom"/>
          </w:tcPr>
          <w:p w:rsidR="008C2EE9" w:rsidRPr="008C2EE9" w:rsidRDefault="008C2EE9" w:rsidP="00E01A47">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518,220</w:t>
            </w:r>
          </w:p>
        </w:tc>
      </w:tr>
    </w:tbl>
    <w:p w:rsidR="008C2EE9" w:rsidRPr="008C2EE9" w:rsidRDefault="008C2EE9" w:rsidP="008C2EE9">
      <w:pPr>
        <w:spacing w:after="0" w:line="240" w:lineRule="auto"/>
        <w:rPr>
          <w:rFonts w:ascii="Times New Roman" w:hAnsi="Times New Roman"/>
          <w:sz w:val="24"/>
          <w:szCs w:val="24"/>
        </w:rPr>
      </w:pPr>
    </w:p>
    <w:p w:rsidR="000D3D0F"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The above chart does not include BAL-005-0.2b, Requirement R2; CIP-003-3, -4, Requirement R4.2, CIP-007-3, -4, Requirement R7.3, FAC-002-1, Requirement R2; PRC-010-0, Requirement R2; PRC-022-1, Requirement R2; and VAR-001-2, Requirement R5 because those requirements </w:t>
      </w:r>
      <w:r w:rsidRPr="008C2EE9">
        <w:rPr>
          <w:rFonts w:ascii="Times New Roman" w:hAnsi="Times New Roman"/>
          <w:sz w:val="24"/>
          <w:szCs w:val="24"/>
        </w:rPr>
        <w:lastRenderedPageBreak/>
        <w:t>were found redundant with other requirements.</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15"/>
      </w:r>
      <w:r w:rsidRPr="008C2EE9">
        <w:rPr>
          <w:rFonts w:ascii="Times New Roman" w:hAnsi="Times New Roman"/>
          <w:sz w:val="24"/>
          <w:szCs w:val="24"/>
        </w:rPr>
        <w:t xml:space="preserve">  Since the action required within them is required elsewhere</w:t>
      </w:r>
      <w:r w:rsidR="00236C43">
        <w:rPr>
          <w:rFonts w:ascii="Times New Roman" w:hAnsi="Times New Roman"/>
          <w:sz w:val="24"/>
          <w:szCs w:val="24"/>
        </w:rPr>
        <w:t>,</w:t>
      </w:r>
      <w:r w:rsidRPr="008C2EE9">
        <w:rPr>
          <w:rFonts w:ascii="Times New Roman" w:hAnsi="Times New Roman"/>
          <w:sz w:val="24"/>
          <w:szCs w:val="24"/>
        </w:rPr>
        <w:t xml:space="preserve"> there is no change in the overall burden in retiring these requirements.  Likewise, NUC-001-2, Requirement R9.1; NUC-001-2, Requirement R9.1.1; NUC-001-2, Requirement R9.1.2; NUC-001-2, Requirement R9.1.3; and NUC-001-2, Requirement R9.1.4 are not included because these requirements require that the applicable entities put boiler plate language into their agreements that is normally included in all legal contracts.</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16"/>
      </w:r>
      <w:r w:rsidRPr="008C2EE9">
        <w:rPr>
          <w:rFonts w:ascii="Times New Roman" w:hAnsi="Times New Roman"/>
          <w:sz w:val="24"/>
          <w:szCs w:val="24"/>
        </w:rPr>
        <w:t xml:space="preserve">  Since this action will be taken regardless if it is required by a NERC Reliability</w:t>
      </w:r>
      <w:r w:rsidR="00236C43">
        <w:rPr>
          <w:rFonts w:ascii="Times New Roman" w:hAnsi="Times New Roman"/>
          <w:sz w:val="24"/>
          <w:szCs w:val="24"/>
        </w:rPr>
        <w:t xml:space="preserve"> Standard</w:t>
      </w:r>
      <w:r w:rsidRPr="008C2EE9">
        <w:rPr>
          <w:rFonts w:ascii="Times New Roman" w:hAnsi="Times New Roman"/>
          <w:sz w:val="24"/>
          <w:szCs w:val="24"/>
        </w:rPr>
        <w:t>, there is no reduction in burden.</w:t>
      </w:r>
    </w:p>
    <w:p w:rsidR="00DC05B2" w:rsidRDefault="00DC05B2" w:rsidP="008C2EE9">
      <w:pPr>
        <w:spacing w:after="0" w:line="240" w:lineRule="auto"/>
        <w:rPr>
          <w:rFonts w:ascii="Times New Roman" w:hAnsi="Times New Roman"/>
          <w:sz w:val="24"/>
          <w:szCs w:val="24"/>
        </w:rPr>
      </w:pPr>
    </w:p>
    <w:p w:rsidR="00DC05B2" w:rsidRPr="005A42CF" w:rsidRDefault="00DC05B2" w:rsidP="008C2EE9">
      <w:pPr>
        <w:spacing w:after="0" w:line="240" w:lineRule="auto"/>
        <w:rPr>
          <w:rFonts w:ascii="Times New Roman" w:hAnsi="Times New Roman"/>
          <w:sz w:val="24"/>
          <w:szCs w:val="24"/>
        </w:rPr>
      </w:pPr>
      <w:r>
        <w:rPr>
          <w:rFonts w:ascii="Times New Roman" w:hAnsi="Times New Roman"/>
          <w:sz w:val="24"/>
          <w:szCs w:val="24"/>
        </w:rPr>
        <w:t xml:space="preserve">We are assuming that </w:t>
      </w:r>
      <w:r w:rsidR="00390ECF">
        <w:rPr>
          <w:rFonts w:ascii="Times New Roman" w:hAnsi="Times New Roman"/>
          <w:sz w:val="24"/>
          <w:szCs w:val="24"/>
        </w:rPr>
        <w:t xml:space="preserve">the removed requirements are only a part of the existing responses for each collection.  Hence we are only proposing to remove the burden hours associated with the requirements and not </w:t>
      </w:r>
      <w:r w:rsidR="00236C43">
        <w:rPr>
          <w:rFonts w:ascii="Times New Roman" w:hAnsi="Times New Roman"/>
          <w:sz w:val="24"/>
          <w:szCs w:val="24"/>
        </w:rPr>
        <w:t xml:space="preserve">remove </w:t>
      </w:r>
      <w:r w:rsidR="00390ECF">
        <w:rPr>
          <w:rFonts w:ascii="Times New Roman" w:hAnsi="Times New Roman"/>
          <w:sz w:val="24"/>
          <w:szCs w:val="24"/>
        </w:rPr>
        <w:t>any of the responses.</w:t>
      </w:r>
    </w:p>
    <w:p w:rsidR="000D3D0F" w:rsidRDefault="000D3D0F">
      <w:pPr>
        <w:spacing w:after="0" w:line="240" w:lineRule="auto"/>
        <w:rPr>
          <w:rFonts w:ascii="Times New Roman" w:hAnsi="Times New Roman"/>
          <w:sz w:val="24"/>
          <w:szCs w:val="24"/>
        </w:rPr>
      </w:pPr>
    </w:p>
    <w:p w:rsidR="00497D84" w:rsidRPr="00497D84" w:rsidRDefault="00497D84">
      <w:pPr>
        <w:spacing w:after="0" w:line="240" w:lineRule="auto"/>
        <w:rPr>
          <w:rFonts w:ascii="Times New Roman" w:hAnsi="Times New Roman"/>
          <w:sz w:val="24"/>
          <w:szCs w:val="24"/>
          <w:u w:val="single"/>
        </w:rPr>
      </w:pPr>
      <w:r w:rsidRPr="00497D84">
        <w:rPr>
          <w:rFonts w:ascii="Times New Roman" w:hAnsi="Times New Roman"/>
          <w:sz w:val="24"/>
          <w:szCs w:val="24"/>
          <w:u w:val="single"/>
        </w:rPr>
        <w:t>FERC-725A</w:t>
      </w:r>
    </w:p>
    <w:p w:rsidR="00497D84" w:rsidRPr="005A42CF" w:rsidRDefault="00497D84">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total inventory for the FERC-725A.  </w:t>
      </w:r>
    </w:p>
    <w:p w:rsidR="000D3D0F" w:rsidRPr="005A42CF" w:rsidRDefault="000D3D0F">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D3D0F" w:rsidRPr="005A42CF">
        <w:trPr>
          <w:trHeight w:val="870"/>
        </w:trPr>
        <w:tc>
          <w:tcPr>
            <w:tcW w:w="2679"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p>
        </w:tc>
        <w:tc>
          <w:tcPr>
            <w:tcW w:w="1461"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trPr>
          <w:trHeight w:val="591"/>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0E2F03">
            <w:pPr>
              <w:spacing w:after="0" w:line="240" w:lineRule="auto"/>
              <w:jc w:val="right"/>
              <w:rPr>
                <w:rFonts w:ascii="Times New Roman" w:hAnsi="Times New Roman"/>
                <w:sz w:val="24"/>
                <w:szCs w:val="24"/>
              </w:rPr>
            </w:pPr>
            <w:r>
              <w:rPr>
                <w:rFonts w:ascii="Times New Roman" w:hAnsi="Times New Roman"/>
                <w:sz w:val="24"/>
                <w:szCs w:val="24"/>
              </w:rPr>
              <w:t>2,370</w:t>
            </w:r>
          </w:p>
        </w:tc>
        <w:tc>
          <w:tcPr>
            <w:tcW w:w="1620" w:type="dxa"/>
            <w:vAlign w:val="center"/>
          </w:tcPr>
          <w:p w:rsidR="00497D84" w:rsidRPr="005A42CF" w:rsidRDefault="000E2F03" w:rsidP="0083461C">
            <w:pPr>
              <w:spacing w:after="0" w:line="240" w:lineRule="auto"/>
              <w:jc w:val="right"/>
              <w:rPr>
                <w:rFonts w:ascii="Times New Roman" w:hAnsi="Times New Roman"/>
                <w:sz w:val="24"/>
                <w:szCs w:val="24"/>
              </w:rPr>
            </w:pPr>
            <w:r>
              <w:rPr>
                <w:rFonts w:ascii="Times New Roman" w:hAnsi="Times New Roman"/>
                <w:sz w:val="24"/>
                <w:szCs w:val="24"/>
              </w:rPr>
              <w:t>2,370</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trPr>
          <w:trHeight w:val="57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0E2F03" w:rsidP="00AD6E3B">
            <w:pPr>
              <w:spacing w:after="0" w:line="240" w:lineRule="auto"/>
              <w:jc w:val="right"/>
              <w:rPr>
                <w:rFonts w:ascii="Times New Roman" w:hAnsi="Times New Roman"/>
                <w:sz w:val="24"/>
                <w:szCs w:val="24"/>
              </w:rPr>
            </w:pPr>
            <w:r>
              <w:rPr>
                <w:rFonts w:ascii="Times New Roman" w:hAnsi="Times New Roman"/>
                <w:sz w:val="24"/>
                <w:szCs w:val="24"/>
              </w:rPr>
              <w:t>1,</w:t>
            </w:r>
            <w:r w:rsidR="00AD6E3B">
              <w:rPr>
                <w:rFonts w:ascii="Times New Roman" w:hAnsi="Times New Roman"/>
                <w:sz w:val="24"/>
                <w:szCs w:val="24"/>
              </w:rPr>
              <w:t>824,856</w:t>
            </w:r>
          </w:p>
        </w:tc>
        <w:tc>
          <w:tcPr>
            <w:tcW w:w="1620" w:type="dxa"/>
            <w:vAlign w:val="center"/>
          </w:tcPr>
          <w:p w:rsidR="00497D84" w:rsidRPr="005A42CF" w:rsidRDefault="000E2F03" w:rsidP="0083461C">
            <w:pPr>
              <w:spacing w:after="0" w:line="240" w:lineRule="auto"/>
              <w:jc w:val="right"/>
              <w:rPr>
                <w:rFonts w:ascii="Times New Roman" w:hAnsi="Times New Roman"/>
                <w:sz w:val="24"/>
                <w:szCs w:val="24"/>
              </w:rPr>
            </w:pPr>
            <w:r>
              <w:rPr>
                <w:rFonts w:ascii="Times New Roman" w:hAnsi="Times New Roman"/>
                <w:sz w:val="24"/>
                <w:szCs w:val="24"/>
              </w:rPr>
              <w:t>1,829,523</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rsidP="00AD6E3B">
            <w:pPr>
              <w:spacing w:after="0" w:line="240" w:lineRule="auto"/>
              <w:jc w:val="right"/>
              <w:rPr>
                <w:rFonts w:ascii="Times New Roman" w:hAnsi="Times New Roman"/>
                <w:sz w:val="24"/>
                <w:szCs w:val="24"/>
              </w:rPr>
            </w:pPr>
            <w:r>
              <w:rPr>
                <w:rFonts w:ascii="Times New Roman" w:hAnsi="Times New Roman"/>
                <w:sz w:val="24"/>
                <w:szCs w:val="24"/>
              </w:rPr>
              <w:t>-4,</w:t>
            </w:r>
            <w:r w:rsidR="00AD6E3B">
              <w:rPr>
                <w:rFonts w:ascii="Times New Roman" w:hAnsi="Times New Roman"/>
                <w:sz w:val="24"/>
                <w:szCs w:val="24"/>
              </w:rPr>
              <w:t>667</w:t>
            </w:r>
          </w:p>
        </w:tc>
      </w:tr>
      <w:tr w:rsidR="00497D84" w:rsidRPr="005A42CF">
        <w:trPr>
          <w:trHeight w:val="29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126,725</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Pr="005A42C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FERC-725B</w:t>
      </w:r>
    </w:p>
    <w:p w:rsidR="00497D84" w:rsidRPr="005A42CF" w:rsidRDefault="00497D84" w:rsidP="00497D84">
      <w:pPr>
        <w:spacing w:after="0" w:line="240" w:lineRule="auto"/>
        <w:rPr>
          <w:rFonts w:ascii="Times New Roman" w:hAnsi="Times New Roman"/>
          <w:sz w:val="24"/>
          <w:szCs w:val="24"/>
        </w:rPr>
      </w:pPr>
    </w:p>
    <w:p w:rsidR="00EC7763" w:rsidRDefault="004F654F" w:rsidP="00497D84">
      <w:pPr>
        <w:spacing w:after="0" w:line="240" w:lineRule="auto"/>
        <w:rPr>
          <w:rFonts w:ascii="Times New Roman" w:hAnsi="Times New Roman"/>
          <w:sz w:val="24"/>
          <w:szCs w:val="24"/>
        </w:rPr>
      </w:pPr>
      <w:r>
        <w:rPr>
          <w:rFonts w:ascii="Times New Roman" w:hAnsi="Times New Roman"/>
          <w:sz w:val="24"/>
          <w:szCs w:val="24"/>
        </w:rPr>
        <w:t>The burden reduction is the result of eliminating two requirements in Reliability Standard CIP-003 and one requirement i</w:t>
      </w:r>
      <w:r w:rsidR="00CF546C">
        <w:rPr>
          <w:rFonts w:ascii="Times New Roman" w:hAnsi="Times New Roman"/>
          <w:sz w:val="24"/>
          <w:szCs w:val="24"/>
        </w:rPr>
        <w:t>n Reliability Standard CIP-005</w:t>
      </w:r>
      <w:r>
        <w:rPr>
          <w:rFonts w:ascii="Times New Roman" w:hAnsi="Times New Roman"/>
          <w:sz w:val="24"/>
          <w:szCs w:val="24"/>
        </w:rPr>
        <w:t xml:space="preserve">.  </w:t>
      </w:r>
    </w:p>
    <w:p w:rsidR="00EC7763" w:rsidRDefault="00EC7763" w:rsidP="00497D84">
      <w:pPr>
        <w:spacing w:after="0" w:line="240" w:lineRule="auto"/>
        <w:rPr>
          <w:rFonts w:ascii="Times New Roman" w:hAnsi="Times New Roman"/>
          <w:sz w:val="24"/>
          <w:szCs w:val="24"/>
        </w:rPr>
      </w:pPr>
    </w:p>
    <w:p w:rsidR="00EC7763" w:rsidRDefault="004F654F" w:rsidP="00497D84">
      <w:pPr>
        <w:spacing w:after="0" w:line="240" w:lineRule="auto"/>
        <w:rPr>
          <w:rFonts w:ascii="Times New Roman" w:hAnsi="Times New Roman"/>
          <w:sz w:val="24"/>
          <w:szCs w:val="24"/>
        </w:rPr>
      </w:pPr>
      <w:r>
        <w:rPr>
          <w:rFonts w:ascii="Times New Roman" w:hAnsi="Times New Roman"/>
          <w:sz w:val="24"/>
          <w:szCs w:val="24"/>
        </w:rPr>
        <w:t xml:space="preserve">In </w:t>
      </w:r>
      <w:r w:rsidR="00EC7763">
        <w:rPr>
          <w:rFonts w:ascii="Times New Roman" w:hAnsi="Times New Roman"/>
          <w:sz w:val="24"/>
          <w:szCs w:val="24"/>
        </w:rPr>
        <w:t>CIP-003, the Commission proposes to</w:t>
      </w:r>
      <w:r>
        <w:rPr>
          <w:rFonts w:ascii="Times New Roman" w:hAnsi="Times New Roman"/>
          <w:sz w:val="24"/>
          <w:szCs w:val="24"/>
        </w:rPr>
        <w:t xml:space="preserve"> eliminat</w:t>
      </w:r>
      <w:r w:rsidR="00EC7763">
        <w:rPr>
          <w:rFonts w:ascii="Times New Roman" w:hAnsi="Times New Roman"/>
          <w:sz w:val="24"/>
          <w:szCs w:val="24"/>
        </w:rPr>
        <w:t>e</w:t>
      </w:r>
      <w:r>
        <w:rPr>
          <w:rFonts w:ascii="Times New Roman" w:hAnsi="Times New Roman"/>
          <w:sz w:val="24"/>
          <w:szCs w:val="24"/>
        </w:rPr>
        <w:t xml:space="preserve"> </w:t>
      </w:r>
      <w:r w:rsidR="00EC7763">
        <w:rPr>
          <w:rFonts w:ascii="Times New Roman" w:hAnsi="Times New Roman"/>
          <w:sz w:val="24"/>
          <w:szCs w:val="24"/>
        </w:rPr>
        <w:t xml:space="preserve">Requirements </w:t>
      </w:r>
      <w:r>
        <w:rPr>
          <w:rFonts w:ascii="Times New Roman" w:hAnsi="Times New Roman"/>
          <w:sz w:val="24"/>
          <w:szCs w:val="24"/>
        </w:rPr>
        <w:t>R1.2, which states that the cyber security policy must be available to all personnel who work with Critical Cyber Assets.  NERC explains that the requirement is administrative in nature and that existing training requirements regarding Critical Cyber Assets render this requirement unnecessary</w:t>
      </w:r>
      <w:r w:rsidR="00EC7763">
        <w:rPr>
          <w:rFonts w:ascii="Times New Roman" w:hAnsi="Times New Roman"/>
          <w:sz w:val="24"/>
          <w:szCs w:val="24"/>
        </w:rPr>
        <w:t xml:space="preserve">.  </w:t>
      </w:r>
    </w:p>
    <w:p w:rsidR="00EC7763" w:rsidRDefault="00EC7763" w:rsidP="00497D84">
      <w:pPr>
        <w:spacing w:after="0" w:line="240" w:lineRule="auto"/>
        <w:rPr>
          <w:rFonts w:ascii="Times New Roman" w:hAnsi="Times New Roman"/>
          <w:sz w:val="24"/>
          <w:szCs w:val="24"/>
        </w:rPr>
      </w:pPr>
    </w:p>
    <w:p w:rsidR="00CF546C" w:rsidRDefault="00EC7763" w:rsidP="00497D84">
      <w:pPr>
        <w:spacing w:after="0" w:line="240" w:lineRule="auto"/>
        <w:rPr>
          <w:rFonts w:ascii="Times New Roman" w:hAnsi="Times New Roman"/>
          <w:sz w:val="24"/>
          <w:szCs w:val="24"/>
        </w:rPr>
      </w:pPr>
      <w:r>
        <w:rPr>
          <w:rFonts w:ascii="Times New Roman" w:hAnsi="Times New Roman"/>
          <w:sz w:val="24"/>
          <w:szCs w:val="24"/>
        </w:rPr>
        <w:lastRenderedPageBreak/>
        <w:t>Also in CIP-003, the Commission proposes to eliminate Requirement R3, which states that an entity must document any exceptions it ha</w:t>
      </w:r>
      <w:r w:rsidR="00CF546C">
        <w:rPr>
          <w:rFonts w:ascii="Times New Roman" w:hAnsi="Times New Roman"/>
          <w:sz w:val="24"/>
          <w:szCs w:val="24"/>
        </w:rPr>
        <w:t xml:space="preserve">s in conforming </w:t>
      </w:r>
      <w:proofErr w:type="gramStart"/>
      <w:r w:rsidR="00CF546C">
        <w:rPr>
          <w:rFonts w:ascii="Times New Roman" w:hAnsi="Times New Roman"/>
          <w:sz w:val="24"/>
          <w:szCs w:val="24"/>
        </w:rPr>
        <w:t>with</w:t>
      </w:r>
      <w:proofErr w:type="gramEnd"/>
      <w:r w:rsidR="00CF546C">
        <w:rPr>
          <w:rFonts w:ascii="Times New Roman" w:hAnsi="Times New Roman"/>
          <w:sz w:val="24"/>
          <w:szCs w:val="24"/>
        </w:rPr>
        <w:t xml:space="preserve"> its cyber s</w:t>
      </w:r>
      <w:r>
        <w:rPr>
          <w:rFonts w:ascii="Times New Roman" w:hAnsi="Times New Roman"/>
          <w:sz w:val="24"/>
          <w:szCs w:val="24"/>
        </w:rPr>
        <w:t>ecurity policy</w:t>
      </w:r>
      <w:r w:rsidR="00CF546C">
        <w:rPr>
          <w:rFonts w:ascii="Times New Roman" w:hAnsi="Times New Roman"/>
          <w:sz w:val="24"/>
          <w:szCs w:val="24"/>
        </w:rPr>
        <w:t>.  NERC says</w:t>
      </w:r>
      <w:r w:rsidR="009907CD">
        <w:rPr>
          <w:rFonts w:ascii="Times New Roman" w:hAnsi="Times New Roman"/>
          <w:sz w:val="24"/>
          <w:szCs w:val="24"/>
        </w:rPr>
        <w:t xml:space="preserve"> </w:t>
      </w:r>
      <w:r w:rsidR="00CF546C">
        <w:rPr>
          <w:rFonts w:ascii="Times New Roman" w:hAnsi="Times New Roman"/>
          <w:sz w:val="24"/>
          <w:szCs w:val="24"/>
        </w:rPr>
        <w:t>that the reliability purposes of CIP-003 are not affected by removing this requirement.  The requirement has to do with managing an exception process to internal corporate documentation and not with exceptions to Reliability Standard requirements.</w:t>
      </w:r>
    </w:p>
    <w:p w:rsidR="00CF546C" w:rsidRDefault="00CF546C" w:rsidP="00497D84">
      <w:pPr>
        <w:spacing w:after="0" w:line="240" w:lineRule="auto"/>
        <w:rPr>
          <w:rFonts w:ascii="Times New Roman" w:hAnsi="Times New Roman"/>
          <w:sz w:val="24"/>
          <w:szCs w:val="24"/>
        </w:rPr>
      </w:pPr>
    </w:p>
    <w:p w:rsidR="009907CD" w:rsidRDefault="00CF546C" w:rsidP="00497D84">
      <w:pPr>
        <w:spacing w:after="0" w:line="240" w:lineRule="auto"/>
        <w:rPr>
          <w:rFonts w:ascii="Times New Roman" w:hAnsi="Times New Roman"/>
          <w:sz w:val="24"/>
          <w:szCs w:val="24"/>
        </w:rPr>
      </w:pPr>
      <w:r>
        <w:rPr>
          <w:rFonts w:ascii="Times New Roman" w:hAnsi="Times New Roman"/>
          <w:sz w:val="24"/>
          <w:szCs w:val="24"/>
        </w:rPr>
        <w:t>In CIP-005, the Commission proposes to eliminate Requirement R2.6</w:t>
      </w:r>
      <w:r w:rsidR="00711516">
        <w:rPr>
          <w:rFonts w:ascii="Times New Roman" w:hAnsi="Times New Roman"/>
          <w:sz w:val="24"/>
          <w:szCs w:val="24"/>
        </w:rPr>
        <w:t>, which states that electronic access control devices shall display an appropriate use banner on the user screen.</w:t>
      </w:r>
      <w:r w:rsidR="009907CD">
        <w:rPr>
          <w:rFonts w:ascii="Times New Roman" w:hAnsi="Times New Roman"/>
          <w:sz w:val="24"/>
          <w:szCs w:val="24"/>
        </w:rPr>
        <w:t xml:space="preserve">  NERC states that R2.6 is an administrative task that doesn’t support the general purpose of CIP-005.  NERC says that the general purpose of CIP-005 is to ensure proper or secure access point configuration and that the appropriate use banner provides little additional protection to Bulk-Power system reliability.</w:t>
      </w:r>
    </w:p>
    <w:p w:rsidR="004F654F" w:rsidRDefault="00CF546C" w:rsidP="00497D84">
      <w:pPr>
        <w:spacing w:after="0" w:line="240" w:lineRule="auto"/>
        <w:rPr>
          <w:rFonts w:ascii="Times New Roman" w:hAnsi="Times New Roman"/>
          <w:sz w:val="24"/>
          <w:szCs w:val="24"/>
        </w:rPr>
      </w:pPr>
      <w:r>
        <w:rPr>
          <w:rFonts w:ascii="Times New Roman" w:hAnsi="Times New Roman"/>
          <w:sz w:val="24"/>
          <w:szCs w:val="24"/>
        </w:rPr>
        <w:t xml:space="preserve"> </w:t>
      </w:r>
      <w:r w:rsidR="004F654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w:t>
      </w:r>
      <w:r>
        <w:rPr>
          <w:rFonts w:ascii="Times New Roman" w:hAnsi="Times New Roman"/>
          <w:sz w:val="24"/>
          <w:szCs w:val="24"/>
        </w:rPr>
        <w:t>otal inventory for the FERC-725B</w:t>
      </w:r>
      <w:r w:rsidRPr="005A42CF">
        <w:rPr>
          <w:rFonts w:ascii="Times New Roman" w:hAnsi="Times New Roman"/>
          <w:sz w:val="24"/>
          <w:szCs w:val="24"/>
        </w:rPr>
        <w:t xml:space="preserve">.  </w:t>
      </w:r>
      <w:bookmarkStart w:id="1" w:name="_GoBack"/>
      <w:bookmarkEnd w:id="1"/>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B</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848,730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850,680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-1,950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FERC-725D</w:t>
      </w:r>
    </w:p>
    <w:p w:rsidR="00497D84" w:rsidRPr="005A42CF" w:rsidRDefault="00497D84" w:rsidP="00497D84">
      <w:pPr>
        <w:spacing w:after="0" w:line="240" w:lineRule="auto"/>
        <w:rPr>
          <w:rFonts w:ascii="Times New Roman" w:hAnsi="Times New Roman"/>
          <w:sz w:val="24"/>
          <w:szCs w:val="24"/>
        </w:rPr>
      </w:pP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total inventory for the FERC-725</w:t>
      </w:r>
      <w:r>
        <w:rPr>
          <w:rFonts w:ascii="Times New Roman" w:hAnsi="Times New Roman"/>
          <w:sz w:val="24"/>
          <w:szCs w:val="24"/>
        </w:rPr>
        <w:t>D</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D</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138,980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141,000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-2,020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800"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497D84" w:rsidRDefault="00497D84">
      <w:pPr>
        <w:spacing w:after="0" w:line="240" w:lineRule="auto"/>
        <w:rPr>
          <w:rFonts w:ascii="Times New Roman" w:hAnsi="Times New Roman"/>
          <w:sz w:val="24"/>
          <w:szCs w:val="24"/>
        </w:rPr>
      </w:pPr>
    </w:p>
    <w:p w:rsidR="00497D84" w:rsidRPr="005A42CF" w:rsidRDefault="00497D84">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TIME SCHEDULE FOR PUBLICATION OF DATA</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are no publications of data as part of this collection.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lastRenderedPageBreak/>
        <w:t>DISPLAY OF EXPIRATION DATE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EXCEPTIONS TO THE CERTIFICATION STATEMENT</w:t>
      </w:r>
    </w:p>
    <w:p w:rsidR="000D3D0F" w:rsidRPr="005A42CF" w:rsidRDefault="000D3D0F">
      <w:pPr>
        <w:spacing w:after="0" w:line="240" w:lineRule="auto"/>
        <w:rPr>
          <w:rFonts w:ascii="Times New Roman" w:hAnsi="Times New Roman"/>
          <w:b/>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not use statistical methods for this collection.  Therefore the Commission does not certify that the collection uses statistical methods.    </w:t>
      </w:r>
    </w:p>
    <w:p w:rsidR="000D3D0F" w:rsidRPr="005A42CF" w:rsidRDefault="000D3D0F">
      <w:pPr>
        <w:spacing w:after="0" w:line="240" w:lineRule="auto"/>
        <w:rPr>
          <w:rFonts w:ascii="Times New Roman" w:hAnsi="Times New Roman"/>
          <w:sz w:val="24"/>
          <w:szCs w:val="24"/>
        </w:rPr>
      </w:pPr>
    </w:p>
    <w:sectPr w:rsidR="000D3D0F" w:rsidRPr="005A42CF" w:rsidSect="004F10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CD" w:rsidRDefault="009907CD">
      <w:pPr>
        <w:spacing w:after="0" w:line="240" w:lineRule="auto"/>
      </w:pPr>
      <w:r>
        <w:separator/>
      </w:r>
    </w:p>
  </w:endnote>
  <w:endnote w:type="continuationSeparator" w:id="0">
    <w:p w:rsidR="009907CD" w:rsidRDefault="0099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41" w:rsidRDefault="00C31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41" w:rsidRDefault="00C314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41" w:rsidRDefault="00C31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CD" w:rsidRDefault="009907CD">
      <w:pPr>
        <w:spacing w:after="0" w:line="240" w:lineRule="auto"/>
      </w:pPr>
      <w:r>
        <w:separator/>
      </w:r>
    </w:p>
  </w:footnote>
  <w:footnote w:type="continuationSeparator" w:id="0">
    <w:p w:rsidR="009907CD" w:rsidRDefault="009907CD">
      <w:pPr>
        <w:spacing w:after="0" w:line="240" w:lineRule="auto"/>
      </w:pPr>
      <w:r>
        <w:continuationSeparator/>
      </w:r>
    </w:p>
  </w:footnote>
  <w:footnote w:id="1">
    <w:p w:rsidR="009907CD" w:rsidRPr="00FC60B2" w:rsidRDefault="009907CD"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The Energy Policy Act of 2005, Pub. L. No 109-58, Title XII, Subtitle A, 119 Stat. 594, 941 (2005), codified at 16 U.S.C. 824o (2000).</w:t>
      </w:r>
    </w:p>
  </w:footnote>
  <w:footnote w:id="2">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Mandatory Reliability Standards for Critical Infrastructure Protection</w:t>
      </w:r>
      <w:r w:rsidRPr="00FC60B2">
        <w:rPr>
          <w:sz w:val="22"/>
          <w:szCs w:val="22"/>
        </w:rPr>
        <w:t xml:space="preserve">, Order No. 706, 122 FERC ¶ 61,040, </w:t>
      </w:r>
      <w:r w:rsidRPr="00FC60B2">
        <w:rPr>
          <w:i/>
          <w:sz w:val="22"/>
          <w:szCs w:val="22"/>
        </w:rPr>
        <w:t xml:space="preserve">order on </w:t>
      </w:r>
      <w:proofErr w:type="spellStart"/>
      <w:r w:rsidRPr="00FC60B2">
        <w:rPr>
          <w:i/>
          <w:sz w:val="22"/>
          <w:szCs w:val="22"/>
        </w:rPr>
        <w:t>reh’g</w:t>
      </w:r>
      <w:proofErr w:type="spellEnd"/>
      <w:r w:rsidRPr="00FC60B2">
        <w:rPr>
          <w:sz w:val="22"/>
          <w:szCs w:val="22"/>
        </w:rPr>
        <w:t xml:space="preserve">, Order No. 706-A, 123 FERC ¶ 61,174 (2008), </w:t>
      </w:r>
      <w:r w:rsidRPr="00FC60B2">
        <w:rPr>
          <w:i/>
          <w:sz w:val="22"/>
          <w:szCs w:val="22"/>
        </w:rPr>
        <w:t>order on clarification</w:t>
      </w:r>
      <w:r w:rsidRPr="00FC60B2">
        <w:rPr>
          <w:sz w:val="22"/>
          <w:szCs w:val="22"/>
        </w:rPr>
        <w:t xml:space="preserve">, Order No. 706-B, 126 FERC ¶ 61,229 (2009), </w:t>
      </w:r>
      <w:r w:rsidRPr="00FC60B2">
        <w:rPr>
          <w:i/>
          <w:sz w:val="22"/>
          <w:szCs w:val="22"/>
        </w:rPr>
        <w:t>order on clarification</w:t>
      </w:r>
      <w:r w:rsidRPr="00FC60B2">
        <w:rPr>
          <w:sz w:val="22"/>
          <w:szCs w:val="22"/>
        </w:rPr>
        <w:t>, Order No. 706-C, 127 FERC ¶ 61,273 (2009).</w:t>
      </w:r>
    </w:p>
  </w:footnote>
  <w:footnote w:id="3">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Version 4 Critical Infrastructure Protection Reliability Standards</w:t>
      </w:r>
      <w:r w:rsidRPr="00FC60B2">
        <w:rPr>
          <w:sz w:val="22"/>
          <w:szCs w:val="22"/>
        </w:rPr>
        <w:t xml:space="preserve">, Order No. 761, 77 Fed. </w:t>
      </w:r>
      <w:proofErr w:type="gramStart"/>
      <w:r w:rsidRPr="00FC60B2">
        <w:rPr>
          <w:sz w:val="22"/>
          <w:szCs w:val="22"/>
        </w:rPr>
        <w:t xml:space="preserve">Reg. 24,594 (April 25, 2012), 139 FERC ¶ 61,058 (2012); </w:t>
      </w:r>
      <w:r w:rsidRPr="00FC60B2">
        <w:rPr>
          <w:i/>
          <w:sz w:val="22"/>
          <w:szCs w:val="22"/>
        </w:rPr>
        <w:t xml:space="preserve">order denying </w:t>
      </w:r>
      <w:proofErr w:type="spellStart"/>
      <w:r w:rsidRPr="00FC60B2">
        <w:rPr>
          <w:i/>
          <w:sz w:val="22"/>
          <w:szCs w:val="22"/>
        </w:rPr>
        <w:t>reh’g</w:t>
      </w:r>
      <w:proofErr w:type="spellEnd"/>
      <w:r w:rsidRPr="00FC60B2">
        <w:rPr>
          <w:sz w:val="22"/>
          <w:szCs w:val="22"/>
        </w:rPr>
        <w:t>, 140 FERC ¶ 61,109 (2012).</w:t>
      </w:r>
      <w:proofErr w:type="gramEnd"/>
      <w:r w:rsidRPr="00FC60B2">
        <w:rPr>
          <w:sz w:val="22"/>
          <w:szCs w:val="22"/>
        </w:rPr>
        <w:t xml:space="preserve"> </w:t>
      </w:r>
    </w:p>
  </w:footnote>
  <w:footnote w:id="4">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CIP version 5 Implementation Plan, if approved as proposed in the NOPR, would obviate this CIP version 4 schedule.</w:t>
      </w:r>
    </w:p>
  </w:footnote>
  <w:footnote w:id="5">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NERC Petition is available on FERC’s eLibrary system (</w:t>
      </w:r>
      <w:hyperlink r:id="rId1" w:history="1">
        <w:r w:rsidRPr="00FC60B2">
          <w:rPr>
            <w:rStyle w:val="Hyperlink"/>
            <w:sz w:val="22"/>
            <w:szCs w:val="22"/>
          </w:rPr>
          <w:t>http://www.ferc.gov/docs-filing/elibrary.asp</w:t>
        </w:r>
      </w:hyperlink>
      <w:r w:rsidRPr="00FC60B2">
        <w:rPr>
          <w:sz w:val="22"/>
          <w:szCs w:val="22"/>
        </w:rPr>
        <w:t>) by searching in Docket Number RM13-5.  The proposed standards are contained in Exhibit A of NERC’s petition.</w:t>
      </w:r>
    </w:p>
  </w:footnote>
  <w:footnote w:id="6">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This includes transmission operators, transmission owners, generator owners, planning authorities, reliability coordinators, interchange authorities, balancing authorities, transmission service providers, generator operators, and load serving entities.</w:t>
      </w:r>
    </w:p>
  </w:footnote>
  <w:footnote w:id="7">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proofErr w:type="gramStart"/>
      <w:r w:rsidRPr="00FC60B2">
        <w:rPr>
          <w:sz w:val="22"/>
          <w:szCs w:val="22"/>
        </w:rPr>
        <w:t>March 2012 Order at P 81.</w:t>
      </w:r>
      <w:proofErr w:type="gramEnd"/>
    </w:p>
  </w:footnote>
  <w:footnote w:id="8">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Id</w:t>
      </w:r>
      <w:r w:rsidRPr="00FC60B2">
        <w:rPr>
          <w:sz w:val="22"/>
          <w:szCs w:val="22"/>
        </w:rPr>
        <w:t>.</w:t>
      </w:r>
    </w:p>
  </w:footnote>
  <w:footnote w:id="9">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vertAlign w:val="superscript"/>
        </w:rPr>
        <w:t xml:space="preserve"> </w:t>
      </w:r>
      <w:proofErr w:type="gramStart"/>
      <w:r w:rsidRPr="00FC60B2">
        <w:rPr>
          <w:sz w:val="22"/>
          <w:szCs w:val="22"/>
        </w:rPr>
        <w:t>NERC Petition at 2.</w:t>
      </w:r>
      <w:proofErr w:type="gramEnd"/>
    </w:p>
  </w:footnote>
  <w:footnote w:id="10">
    <w:p w:rsidR="009907CD" w:rsidRPr="00FC60B2" w:rsidRDefault="009907CD"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Details of the current ERO standard processes are available on the NERC website at </w:t>
      </w:r>
      <w:hyperlink r:id="rId2" w:history="1">
        <w:r w:rsidRPr="00FC60B2">
          <w:rPr>
            <w:rStyle w:val="Hyperlink"/>
            <w:sz w:val="22"/>
            <w:szCs w:val="22"/>
          </w:rPr>
          <w:t>http://www.nerc.com/docs/standards/sar/Appendix_3A_Standard_Processes_Manual_20100903_2_.pdf</w:t>
        </w:r>
      </w:hyperlink>
      <w:r w:rsidRPr="00FC60B2">
        <w:rPr>
          <w:sz w:val="22"/>
          <w:szCs w:val="22"/>
        </w:rPr>
        <w:t>.</w:t>
      </w:r>
    </w:p>
  </w:footnote>
  <w:footnote w:id="11">
    <w:p w:rsidR="009907CD" w:rsidRPr="00FC60B2" w:rsidRDefault="009907CD"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This is based on an estimate of work done by the Information Clearance team as well as other FERC staff as well as a small non-labor cost related to publishing material in the Federal Register.  </w:t>
      </w:r>
    </w:p>
  </w:footnote>
  <w:footnote w:id="12">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estimates for the retired CIP requirements are based on February 28, 2013 registry data in order to provide consistency with burden estimates provided in the Commission’s recent CIP version 5 Notice of Proposed Rulemaking in Docket No. </w:t>
      </w:r>
      <w:proofErr w:type="gramStart"/>
      <w:r w:rsidRPr="00FC60B2">
        <w:rPr>
          <w:sz w:val="22"/>
          <w:szCs w:val="22"/>
        </w:rPr>
        <w:t>RM13-5-000.</w:t>
      </w:r>
      <w:proofErr w:type="gramEnd"/>
    </w:p>
  </w:footnote>
  <w:footnote w:id="13">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This number was calculated by adding all the applicable entities while removing double counting caused by entities registered under multiple functions.</w:t>
      </w:r>
    </w:p>
  </w:footnote>
  <w:footnote w:id="14">
    <w:p w:rsidR="009907CD" w:rsidRPr="00FC60B2" w:rsidRDefault="009907CD" w:rsidP="00FC60B2">
      <w:pPr>
        <w:spacing w:after="240"/>
        <w:ind w:firstLine="720"/>
        <w:rPr>
          <w:rFonts w:ascii="Times New Roman" w:hAnsi="Times New Roman"/>
        </w:rPr>
      </w:pPr>
      <w:r w:rsidRPr="00FC60B2">
        <w:rPr>
          <w:rStyle w:val="FootnoteReference"/>
          <w:rFonts w:ascii="Times New Roman" w:hAnsi="Times New Roman"/>
          <w:vertAlign w:val="superscript"/>
        </w:rPr>
        <w:footnoteRef/>
      </w:r>
      <w:r w:rsidRPr="00FC60B2">
        <w:rPr>
          <w:rFonts w:ascii="Times New Roman" w:hAnsi="Times New Roman"/>
        </w:rPr>
        <w:t xml:space="preserve"> The estimated hourly loaded cost (salary plus benefits) for an engineer is assumed to be $60/hour, based on salaries as reported by the Bureau of Labor Statistics (BLS) (http://bls.gov/oes/current/naics2_22.htm).  Loaded costs are BLS rates divided by 0.703 and rounded to the nearest dollar (http://www.bls.gov/news.release/ecec.nr0.htm).</w:t>
      </w:r>
    </w:p>
  </w:footnote>
  <w:footnote w:id="15">
    <w:p w:rsidR="009907CD" w:rsidRPr="00FC60B2" w:rsidRDefault="009907CD"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reporting requirements in these standards are part of the FERC-725A information collection.</w:t>
      </w:r>
    </w:p>
  </w:footnote>
  <w:footnote w:id="16">
    <w:p w:rsidR="009907CD" w:rsidRPr="005F30D2" w:rsidRDefault="009907CD" w:rsidP="00FC60B2">
      <w:pPr>
        <w:pStyle w:val="FootnoteText"/>
        <w:spacing w:after="240"/>
        <w:ind w:firstLine="720"/>
        <w:rPr>
          <w:sz w:val="22"/>
          <w:szCs w:val="22"/>
        </w:rPr>
      </w:pPr>
      <w:r w:rsidRPr="005F30D2">
        <w:rPr>
          <w:rStyle w:val="FootnoteReference"/>
          <w:sz w:val="22"/>
          <w:szCs w:val="22"/>
          <w:vertAlign w:val="superscript"/>
        </w:rPr>
        <w:footnoteRef/>
      </w:r>
      <w:r w:rsidRPr="005F30D2">
        <w:rPr>
          <w:sz w:val="22"/>
          <w:szCs w:val="22"/>
        </w:rPr>
        <w:t xml:space="preserve"> The reporting requirements in this standard are part of the FERC-725F </w:t>
      </w:r>
      <w:r>
        <w:rPr>
          <w:sz w:val="22"/>
          <w:szCs w:val="22"/>
        </w:rPr>
        <w:t xml:space="preserve">(OMB Control No. </w:t>
      </w:r>
      <w:r w:rsidRPr="00F72E0F">
        <w:rPr>
          <w:sz w:val="22"/>
          <w:szCs w:val="22"/>
        </w:rPr>
        <w:t>1902-0249) information</w:t>
      </w:r>
      <w:r w:rsidRPr="005F30D2">
        <w:rPr>
          <w:sz w:val="22"/>
          <w:szCs w:val="22"/>
        </w:rPr>
        <w:t xml:space="preserve"> collection.  </w:t>
      </w:r>
      <w:r>
        <w:rPr>
          <w:sz w:val="22"/>
          <w:szCs w:val="22"/>
        </w:rPr>
        <w:t xml:space="preserve">The rule does not implicate the PRA for the paperwork requirements associated with the FERC-725F.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41" w:rsidRDefault="00C31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CD" w:rsidRDefault="009907CD">
    <w:pPr>
      <w:pStyle w:val="Header"/>
      <w:rPr>
        <w:rFonts w:ascii="Times New Roman" w:hAnsi="Times New Roman"/>
        <w:sz w:val="24"/>
        <w:szCs w:val="24"/>
      </w:rPr>
    </w:pPr>
    <w:r>
      <w:rPr>
        <w:rFonts w:ascii="Times New Roman" w:hAnsi="Times New Roman"/>
        <w:sz w:val="24"/>
        <w:szCs w:val="24"/>
      </w:rPr>
      <w:t>FERC-725A, -725B, &amp; -725D (OMB Control Nos. 1902-0244, -0248, &amp; -0247)</w:t>
    </w:r>
  </w:p>
  <w:p w:rsidR="009907CD" w:rsidRDefault="009907CD">
    <w:pPr>
      <w:pStyle w:val="Header"/>
      <w:rPr>
        <w:rFonts w:ascii="Times New Roman" w:hAnsi="Times New Roman"/>
        <w:sz w:val="24"/>
        <w:szCs w:val="24"/>
      </w:rPr>
    </w:pPr>
    <w:r>
      <w:rPr>
        <w:rFonts w:ascii="Times New Roman" w:hAnsi="Times New Roman"/>
        <w:sz w:val="24"/>
        <w:szCs w:val="24"/>
      </w:rPr>
      <w:t xml:space="preserve">Docket No. RM13-8-000, Proposed Rule issued June 20, 2013 </w:t>
    </w:r>
  </w:p>
  <w:p w:rsidR="009907CD" w:rsidRDefault="009907CD">
    <w:pPr>
      <w:pStyle w:val="Header"/>
      <w:rPr>
        <w:rFonts w:ascii="Times New Roman" w:hAnsi="Times New Roman"/>
        <w:sz w:val="24"/>
        <w:szCs w:val="24"/>
      </w:rPr>
    </w:pPr>
    <w:r w:rsidRPr="0083461C">
      <w:rPr>
        <w:rFonts w:ascii="Times New Roman" w:hAnsi="Times New Roman"/>
        <w:sz w:val="24"/>
        <w:szCs w:val="24"/>
      </w:rPr>
      <w:t>RIN: 1902-AE71</w:t>
    </w:r>
    <w:r w:rsidR="00C31441">
      <w:rPr>
        <w:rFonts w:ascii="Times New Roman" w:hAnsi="Times New Roman"/>
        <w:sz w:val="24"/>
        <w:szCs w:val="24"/>
      </w:rPr>
      <w:t xml:space="preserve"> (Updated 8/19/13 for FERC-725B)</w:t>
    </w:r>
  </w:p>
  <w:p w:rsidR="009907CD" w:rsidRDefault="00990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41" w:rsidRDefault="00C31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91C24"/>
    <w:multiLevelType w:val="hybridMultilevel"/>
    <w:tmpl w:val="9F06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0F"/>
    <w:rsid w:val="00084685"/>
    <w:rsid w:val="0009622F"/>
    <w:rsid w:val="000D3D0F"/>
    <w:rsid w:val="000E2F03"/>
    <w:rsid w:val="000F7005"/>
    <w:rsid w:val="001C076D"/>
    <w:rsid w:val="001C2400"/>
    <w:rsid w:val="002068D4"/>
    <w:rsid w:val="002150D6"/>
    <w:rsid w:val="00223741"/>
    <w:rsid w:val="002329DB"/>
    <w:rsid w:val="00236C43"/>
    <w:rsid w:val="00237E01"/>
    <w:rsid w:val="002E7E2A"/>
    <w:rsid w:val="00322216"/>
    <w:rsid w:val="003354E7"/>
    <w:rsid w:val="0036259E"/>
    <w:rsid w:val="00381DF1"/>
    <w:rsid w:val="00390ECF"/>
    <w:rsid w:val="003A7F4D"/>
    <w:rsid w:val="00407C7C"/>
    <w:rsid w:val="00426357"/>
    <w:rsid w:val="00497D84"/>
    <w:rsid w:val="004A700F"/>
    <w:rsid w:val="004C5155"/>
    <w:rsid w:val="004C707F"/>
    <w:rsid w:val="004D29DA"/>
    <w:rsid w:val="004D39C9"/>
    <w:rsid w:val="004E3DF3"/>
    <w:rsid w:val="004F10C8"/>
    <w:rsid w:val="004F27C2"/>
    <w:rsid w:val="004F654F"/>
    <w:rsid w:val="0050423B"/>
    <w:rsid w:val="00504605"/>
    <w:rsid w:val="00533583"/>
    <w:rsid w:val="005A42CF"/>
    <w:rsid w:val="005E3C7E"/>
    <w:rsid w:val="005F26E3"/>
    <w:rsid w:val="005F30D2"/>
    <w:rsid w:val="00627447"/>
    <w:rsid w:val="00637506"/>
    <w:rsid w:val="006F1332"/>
    <w:rsid w:val="007021AE"/>
    <w:rsid w:val="00703660"/>
    <w:rsid w:val="007113C1"/>
    <w:rsid w:val="00711516"/>
    <w:rsid w:val="00732AB0"/>
    <w:rsid w:val="00795544"/>
    <w:rsid w:val="0079632B"/>
    <w:rsid w:val="007F5F08"/>
    <w:rsid w:val="008311E3"/>
    <w:rsid w:val="0083461C"/>
    <w:rsid w:val="00847211"/>
    <w:rsid w:val="008507C5"/>
    <w:rsid w:val="008C2EE9"/>
    <w:rsid w:val="008F3988"/>
    <w:rsid w:val="0090354F"/>
    <w:rsid w:val="00922CFE"/>
    <w:rsid w:val="00952352"/>
    <w:rsid w:val="00956D24"/>
    <w:rsid w:val="00965399"/>
    <w:rsid w:val="009907CD"/>
    <w:rsid w:val="009C66FE"/>
    <w:rsid w:val="00A315A0"/>
    <w:rsid w:val="00A31B7F"/>
    <w:rsid w:val="00A548C0"/>
    <w:rsid w:val="00AD1932"/>
    <w:rsid w:val="00AD6E3B"/>
    <w:rsid w:val="00AE2FCF"/>
    <w:rsid w:val="00B30F29"/>
    <w:rsid w:val="00B32EE2"/>
    <w:rsid w:val="00B54F9C"/>
    <w:rsid w:val="00BD0A8B"/>
    <w:rsid w:val="00C128D3"/>
    <w:rsid w:val="00C31441"/>
    <w:rsid w:val="00C41579"/>
    <w:rsid w:val="00C633E9"/>
    <w:rsid w:val="00CA4200"/>
    <w:rsid w:val="00CB6886"/>
    <w:rsid w:val="00CE524F"/>
    <w:rsid w:val="00CE6556"/>
    <w:rsid w:val="00CF546C"/>
    <w:rsid w:val="00D00DCE"/>
    <w:rsid w:val="00D14B84"/>
    <w:rsid w:val="00D54050"/>
    <w:rsid w:val="00D56B73"/>
    <w:rsid w:val="00D8735D"/>
    <w:rsid w:val="00DA74CC"/>
    <w:rsid w:val="00DC05B2"/>
    <w:rsid w:val="00E01A47"/>
    <w:rsid w:val="00E75D75"/>
    <w:rsid w:val="00EA60B0"/>
    <w:rsid w:val="00EC7763"/>
    <w:rsid w:val="00F06E36"/>
    <w:rsid w:val="00F72D6E"/>
    <w:rsid w:val="00F72E0F"/>
    <w:rsid w:val="00FC60B2"/>
    <w:rsid w:val="00FC675A"/>
    <w:rsid w:val="00FD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3546">
      <w:marLeft w:val="0"/>
      <w:marRight w:val="0"/>
      <w:marTop w:val="0"/>
      <w:marBottom w:val="0"/>
      <w:divBdr>
        <w:top w:val="none" w:sz="0" w:space="0" w:color="auto"/>
        <w:left w:val="none" w:sz="0" w:space="0" w:color="auto"/>
        <w:bottom w:val="none" w:sz="0" w:space="0" w:color="auto"/>
        <w:right w:val="none" w:sz="0" w:space="0" w:color="auto"/>
      </w:divBdr>
    </w:div>
    <w:div w:id="807433547">
      <w:marLeft w:val="0"/>
      <w:marRight w:val="0"/>
      <w:marTop w:val="0"/>
      <w:marBottom w:val="0"/>
      <w:divBdr>
        <w:top w:val="none" w:sz="0" w:space="0" w:color="auto"/>
        <w:left w:val="none" w:sz="0" w:space="0" w:color="auto"/>
        <w:bottom w:val="none" w:sz="0" w:space="0" w:color="auto"/>
        <w:right w:val="none" w:sz="0" w:space="0" w:color="auto"/>
      </w:divBdr>
    </w:div>
    <w:div w:id="807433548">
      <w:marLeft w:val="0"/>
      <w:marRight w:val="0"/>
      <w:marTop w:val="0"/>
      <w:marBottom w:val="0"/>
      <w:divBdr>
        <w:top w:val="none" w:sz="0" w:space="0" w:color="auto"/>
        <w:left w:val="none" w:sz="0" w:space="0" w:color="auto"/>
        <w:bottom w:val="none" w:sz="0" w:space="0" w:color="auto"/>
        <w:right w:val="none" w:sz="0" w:space="0" w:color="auto"/>
      </w:divBdr>
    </w:div>
    <w:div w:id="807433549">
      <w:marLeft w:val="0"/>
      <w:marRight w:val="0"/>
      <w:marTop w:val="0"/>
      <w:marBottom w:val="0"/>
      <w:divBdr>
        <w:top w:val="none" w:sz="0" w:space="0" w:color="auto"/>
        <w:left w:val="none" w:sz="0" w:space="0" w:color="auto"/>
        <w:bottom w:val="none" w:sz="0" w:space="0" w:color="auto"/>
        <w:right w:val="none" w:sz="0" w:space="0" w:color="auto"/>
      </w:divBdr>
    </w:div>
    <w:div w:id="826241866">
      <w:bodyDiv w:val="1"/>
      <w:marLeft w:val="0"/>
      <w:marRight w:val="0"/>
      <w:marTop w:val="0"/>
      <w:marBottom w:val="0"/>
      <w:divBdr>
        <w:top w:val="none" w:sz="0" w:space="0" w:color="auto"/>
        <w:left w:val="none" w:sz="0" w:space="0" w:color="auto"/>
        <w:bottom w:val="none" w:sz="0" w:space="0" w:color="auto"/>
        <w:right w:val="none" w:sz="0" w:space="0" w:color="auto"/>
      </w:divBdr>
    </w:div>
    <w:div w:id="15682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docs/standards/sar/Appendix_3A_Standard_Processes_Manual_20100903_2_.pdf" TargetMode="External"/><Relationship Id="rId1" Type="http://schemas.openxmlformats.org/officeDocument/2006/relationships/hyperlink" Target="http://www.ferc.gov/docs-filing/elibra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9CE7-F18D-4282-97E2-FA85BC51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2823</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3</cp:revision>
  <dcterms:created xsi:type="dcterms:W3CDTF">2013-08-22T19:16:00Z</dcterms:created>
  <dcterms:modified xsi:type="dcterms:W3CDTF">2013-08-22T19:16:00Z</dcterms:modified>
</cp:coreProperties>
</file>