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Pr="00D026C5" w:rsidRDefault="00811441" w:rsidP="00A7661C">
      <w:pPr>
        <w:tabs>
          <w:tab w:val="center" w:pos="4680"/>
        </w:tabs>
        <w:jc w:val="center"/>
        <w:rPr>
          <w:b/>
          <w:bCs/>
        </w:rPr>
      </w:pPr>
    </w:p>
    <w:p w:rsidR="009E7299" w:rsidRPr="00D026C5" w:rsidRDefault="00396A52" w:rsidP="00A7661C">
      <w:pPr>
        <w:tabs>
          <w:tab w:val="center" w:pos="4680"/>
        </w:tabs>
        <w:jc w:val="center"/>
        <w:rPr>
          <w:b/>
          <w:bCs/>
        </w:rPr>
      </w:pPr>
      <w:r>
        <w:rPr>
          <w:b/>
          <w:bCs/>
        </w:rPr>
        <w:t xml:space="preserve"> </w:t>
      </w:r>
    </w:p>
    <w:p w:rsidR="00CA4CD6" w:rsidRPr="00D026C5" w:rsidRDefault="00E21EC6" w:rsidP="00A7661C">
      <w:pPr>
        <w:tabs>
          <w:tab w:val="center" w:pos="4680"/>
        </w:tabs>
        <w:jc w:val="center"/>
        <w:rPr>
          <w:b/>
          <w:bCs/>
        </w:rPr>
      </w:pPr>
      <w:r w:rsidRPr="00D026C5">
        <w:rPr>
          <w:b/>
          <w:bCs/>
        </w:rPr>
        <w:fldChar w:fldCharType="begin"/>
      </w:r>
      <w:r w:rsidR="00396A52">
        <w:rPr>
          <w:b/>
          <w:bCs/>
        </w:rPr>
        <w:instrText>tc \l2 "SF</w:instrText>
      </w:r>
      <w:r w:rsidRPr="00D026C5">
        <w:rPr>
          <w:b/>
          <w:bCs/>
        </w:rPr>
        <w:fldChar w:fldCharType="end"/>
      </w:r>
      <w:r w:rsidR="00396A52">
        <w:rPr>
          <w:b/>
          <w:bCs/>
        </w:rPr>
        <w:t>SUPPORTING STATEMENT</w:t>
      </w:r>
    </w:p>
    <w:p w:rsidR="00CA4CD6" w:rsidRPr="00D026C5" w:rsidRDefault="00396A52">
      <w:pPr>
        <w:tabs>
          <w:tab w:val="center" w:pos="4680"/>
        </w:tabs>
      </w:pPr>
      <w:r>
        <w:rPr>
          <w:b/>
          <w:bCs/>
        </w:rPr>
        <w:tab/>
        <w:t>ENVIRONMENTAL PROTECTION AGENCY</w:t>
      </w:r>
    </w:p>
    <w:p w:rsidR="00CA4CD6" w:rsidRPr="00D026C5" w:rsidRDefault="00396A52">
      <w:pPr>
        <w:tabs>
          <w:tab w:val="center" w:pos="4680"/>
        </w:tabs>
      </w:pPr>
      <w:r>
        <w:tab/>
      </w:r>
    </w:p>
    <w:p w:rsidR="00CA4CD6" w:rsidRPr="00D026C5" w:rsidRDefault="00396A52">
      <w:r>
        <w:rPr>
          <w:b/>
        </w:rPr>
        <w:t>NESHAP for Stationary Combustion Turbines (40 CFR Part 63, Subpart YYYY) (Renewal)</w:t>
      </w:r>
    </w:p>
    <w:p w:rsidR="00CA4CD6" w:rsidRPr="00D026C5" w:rsidRDefault="00CA4CD6"/>
    <w:p w:rsidR="00CA4CD6" w:rsidRPr="00D026C5" w:rsidRDefault="00396A52">
      <w:pPr>
        <w:rPr>
          <w:b/>
          <w:bCs/>
        </w:rPr>
      </w:pPr>
      <w:r w:rsidRPr="00396A52">
        <w:rPr>
          <w:b/>
          <w:bCs/>
        </w:rPr>
        <w:t>1.  Identification of the Information Collection</w:t>
      </w:r>
    </w:p>
    <w:p w:rsidR="00CA4CD6" w:rsidRPr="00D026C5" w:rsidRDefault="00CA4CD6">
      <w:pPr>
        <w:rPr>
          <w:b/>
          <w:bCs/>
        </w:rPr>
      </w:pPr>
    </w:p>
    <w:p w:rsidR="00CA4CD6" w:rsidRPr="00D026C5" w:rsidRDefault="00396A52">
      <w:pPr>
        <w:ind w:firstLine="720"/>
        <w:rPr>
          <w:b/>
          <w:bCs/>
        </w:rPr>
      </w:pPr>
      <w:r w:rsidRPr="00396A52">
        <w:rPr>
          <w:b/>
          <w:bCs/>
        </w:rPr>
        <w:t>1(a</w:t>
      </w:r>
      <w:proofErr w:type="gramStart"/>
      <w:r w:rsidRPr="00396A52">
        <w:rPr>
          <w:b/>
          <w:bCs/>
        </w:rPr>
        <w:t>)  Title</w:t>
      </w:r>
      <w:proofErr w:type="gramEnd"/>
      <w:r w:rsidRPr="00396A52">
        <w:rPr>
          <w:b/>
          <w:bCs/>
        </w:rPr>
        <w:t xml:space="preserve"> of the Information Collection</w:t>
      </w:r>
    </w:p>
    <w:p w:rsidR="00CA4CD6" w:rsidRPr="00D026C5" w:rsidRDefault="00CA4CD6">
      <w:pPr>
        <w:rPr>
          <w:b/>
          <w:bCs/>
        </w:rPr>
      </w:pPr>
    </w:p>
    <w:p w:rsidR="00CA4CD6" w:rsidRPr="00D026C5" w:rsidRDefault="00396A52" w:rsidP="002B29A5">
      <w:pPr>
        <w:rPr>
          <w:bCs/>
        </w:rPr>
      </w:pPr>
      <w:r w:rsidRPr="00396A52">
        <w:rPr>
          <w:bCs/>
        </w:rPr>
        <w:t>NESHAP for Stationary Combustion Turbines (40 CFR Part 63, Subpart YYYY)</w:t>
      </w:r>
      <w:r>
        <w:rPr>
          <w:bCs/>
        </w:rPr>
        <w:t xml:space="preserve"> </w:t>
      </w:r>
      <w:r w:rsidR="00A76824">
        <w:rPr>
          <w:bCs/>
        </w:rPr>
        <w:t xml:space="preserve">        </w:t>
      </w:r>
      <w:r>
        <w:rPr>
          <w:bCs/>
        </w:rPr>
        <w:t>(Renewal), EPA ICR Number 1967.0</w:t>
      </w:r>
      <w:r w:rsidR="00AE1975">
        <w:rPr>
          <w:bCs/>
        </w:rPr>
        <w:t>5, OMB Control Number 2060-0540</w:t>
      </w:r>
      <w:r>
        <w:rPr>
          <w:bCs/>
        </w:rPr>
        <w:t xml:space="preserve"> </w:t>
      </w:r>
    </w:p>
    <w:p w:rsidR="00CA4CD6" w:rsidRPr="00D026C5" w:rsidRDefault="00CA4CD6">
      <w:pPr>
        <w:rPr>
          <w:b/>
          <w:bCs/>
        </w:rPr>
      </w:pPr>
    </w:p>
    <w:p w:rsidR="00CA4CD6" w:rsidRPr="00D026C5" w:rsidRDefault="00396A52">
      <w:pPr>
        <w:ind w:firstLine="720"/>
      </w:pPr>
      <w:r>
        <w:rPr>
          <w:b/>
          <w:bCs/>
        </w:rPr>
        <w:t>1(b</w:t>
      </w:r>
      <w:proofErr w:type="gramStart"/>
      <w:r>
        <w:rPr>
          <w:b/>
          <w:bCs/>
        </w:rPr>
        <w:t>)  Short</w:t>
      </w:r>
      <w:proofErr w:type="gramEnd"/>
      <w:r>
        <w:rPr>
          <w:b/>
          <w:bCs/>
        </w:rPr>
        <w:t xml:space="preserve"> Characterization/Abstract</w:t>
      </w:r>
    </w:p>
    <w:p w:rsidR="00CA4CD6" w:rsidRPr="00D026C5" w:rsidRDefault="00CA4CD6"/>
    <w:p w:rsidR="00CA4CD6" w:rsidRPr="00D026C5" w:rsidRDefault="00396A52" w:rsidP="005A7D36">
      <w:pPr>
        <w:ind w:firstLine="720"/>
      </w:pPr>
      <w:r>
        <w:t xml:space="preserve">The National Emission Standards for Hazardous Air Pollutants (NESHAP) for </w:t>
      </w:r>
      <w:r w:rsidR="00A53296" w:rsidRPr="00CE12F1">
        <w:t>Stationary Combustion Turbines</w:t>
      </w:r>
      <w:r w:rsidR="00A53296">
        <w:rPr>
          <w:b/>
        </w:rPr>
        <w:t xml:space="preserve"> </w:t>
      </w:r>
      <w:r w:rsidR="00A53296">
        <w:t>(</w:t>
      </w:r>
      <w:r w:rsidRPr="00396A52">
        <w:t>40 CFR part 63, subpart YYYY</w:t>
      </w:r>
      <w:r w:rsidR="00A53296">
        <w:t>)</w:t>
      </w:r>
      <w:r w:rsidRPr="00396A52">
        <w:t xml:space="preserve"> were proposed on January 14, 2003, promulgated on March 5, 2004</w:t>
      </w:r>
      <w:r w:rsidR="005757C1">
        <w:t>,</w:t>
      </w:r>
      <w:r w:rsidR="006E420D">
        <w:t xml:space="preserve"> </w:t>
      </w:r>
      <w:r w:rsidR="00834534">
        <w:t xml:space="preserve">and was last </w:t>
      </w:r>
      <w:r w:rsidR="006E420D">
        <w:t>amended on April 20, 2006</w:t>
      </w:r>
      <w:r w:rsidR="00B92919">
        <w:t xml:space="preserve">.  </w:t>
      </w:r>
      <w:r w:rsidRPr="00396A52">
        <w:t>The regulations apply to new sources that commenced construction or reconstruction after January 14, 2003. The regulations do not apply to existing sources.</w:t>
      </w:r>
      <w:r w:rsidR="005A7D36">
        <w:t xml:space="preserve">  </w:t>
      </w:r>
      <w:r w:rsidRPr="00396A52">
        <w:t>On August 18, 2004, the</w:t>
      </w:r>
      <w:r w:rsidR="00A53296">
        <w:t>se</w:t>
      </w:r>
      <w:r w:rsidRPr="00396A52">
        <w:t xml:space="preserve"> standard</w:t>
      </w:r>
      <w:r w:rsidR="00A53296">
        <w:t>s</w:t>
      </w:r>
      <w:r w:rsidRPr="00396A52">
        <w:t xml:space="preserve"> w</w:t>
      </w:r>
      <w:r w:rsidR="00A53296">
        <w:t>ere</w:t>
      </w:r>
      <w:r w:rsidRPr="00396A52">
        <w:t xml:space="preserve"> amended to stay the effectiveness for the two gas-fired stationary combustion turbine subcategories (i.e., lean pre-mix</w:t>
      </w:r>
      <w:r w:rsidR="005A7D36">
        <w:t xml:space="preserve"> gas-fired turbines</w:t>
      </w:r>
      <w:r w:rsidRPr="00396A52">
        <w:t xml:space="preserve"> and diffusion flame gas-fired turbines).  Under this stay, new sources in either subcategory that are constructed or reconstructed after January 14, 2003 are required to submit initial notifications, but are relieved of the obligation to comply with other reporting or monitoring requirements until EPA makes a final decision.</w:t>
      </w:r>
      <w:r w:rsidR="005A7D36">
        <w:t xml:space="preserve">  </w:t>
      </w:r>
      <w:r w:rsidRPr="00396A52">
        <w:t xml:space="preserve">This information is being collected to assure compliance with 40 CFR </w:t>
      </w:r>
      <w:proofErr w:type="gramStart"/>
      <w:r w:rsidRPr="00396A52">
        <w:t>part</w:t>
      </w:r>
      <w:proofErr w:type="gramEnd"/>
      <w:r w:rsidRPr="00396A52">
        <w:t xml:space="preserve"> 63, subpart YYYY.</w:t>
      </w:r>
    </w:p>
    <w:p w:rsidR="00CA4CD6" w:rsidRPr="00D026C5" w:rsidRDefault="00CA4CD6"/>
    <w:p w:rsidR="009D272B" w:rsidRPr="00D026C5" w:rsidRDefault="00396A52">
      <w:pPr>
        <w:ind w:firstLine="72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D026C5" w:rsidRDefault="00CA4CD6"/>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A53296">
        <w:t xml:space="preserve"> </w:t>
      </w:r>
      <w:r w:rsidRPr="00396A52">
        <w:t>In the event that there is no such delegated authority, the reports are sent directly to the U</w:t>
      </w:r>
      <w:r w:rsidR="00A53296">
        <w:t>.</w:t>
      </w:r>
      <w:r w:rsidRPr="00396A52">
        <w:t>S</w:t>
      </w:r>
      <w:r w:rsidR="00A53296">
        <w:t>.</w:t>
      </w:r>
      <w:r w:rsidRPr="00396A52">
        <w:t xml:space="preserve"> Environmental Protection Agency (EPA) regional office.</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There is an average of one affected facility at each plant site, and each plant site has only one respondent (i.e., the owner/operator of the plant site).</w:t>
      </w:r>
    </w:p>
    <w:p w:rsidR="00CA4CD6" w:rsidRPr="00D026C5" w:rsidRDefault="00CA4CD6">
      <w:pPr>
        <w:pBdr>
          <w:top w:val="single" w:sz="6" w:space="0" w:color="FFFFFF"/>
          <w:left w:val="single" w:sz="6" w:space="0" w:color="FFFFFF"/>
          <w:bottom w:val="single" w:sz="6" w:space="0" w:color="FFFFFF"/>
          <w:right w:val="single" w:sz="6" w:space="0" w:color="FFFFFF"/>
        </w:pBdr>
      </w:pPr>
    </w:p>
    <w:p w:rsidR="00ED60A1" w:rsidRPr="00D026C5" w:rsidRDefault="00396A52">
      <w:pPr>
        <w:pBdr>
          <w:top w:val="single" w:sz="6" w:space="0" w:color="FFFFFF"/>
          <w:left w:val="single" w:sz="6" w:space="0" w:color="FFFFFF"/>
          <w:bottom w:val="single" w:sz="6" w:space="0" w:color="FFFFFF"/>
          <w:right w:val="single" w:sz="6" w:space="0" w:color="FFFFFF"/>
        </w:pBdr>
        <w:ind w:firstLine="720"/>
      </w:pPr>
      <w:r w:rsidRPr="00396A52">
        <w:t>Over the next three years, an average of 96 respondents per year will be subject to the</w:t>
      </w:r>
      <w:r w:rsidR="00A53296">
        <w:t>se</w:t>
      </w:r>
      <w:r w:rsidRPr="00396A52">
        <w:t xml:space="preserve"> standard</w:t>
      </w:r>
      <w:r w:rsidR="00A53296">
        <w:t>s</w:t>
      </w:r>
      <w:r w:rsidRPr="00396A52">
        <w:t xml:space="preserve">, and 8.7 additional respondents per year will become subject to the standard.  The </w:t>
      </w:r>
      <w:r w:rsidRPr="00396A52">
        <w:lastRenderedPageBreak/>
        <w:t xml:space="preserve">number of existing respondents are comprised of 66.2 gas-fired, 2.9 landfill/digester gas-fired, and 26.9 oil-fired stationary combustion turbines.  The number of new respondents are comprised of 6 gas-fired, 0.3 landfill/digester gas-fired, and 2.4 oil-fired stationary combustion turbines.  </w:t>
      </w:r>
    </w:p>
    <w:p w:rsidR="00673D15" w:rsidRPr="00D026C5" w:rsidRDefault="00673D15">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 active ICR without any “Terms of Clearance.”</w:t>
      </w:r>
    </w:p>
    <w:p w:rsidR="009D6567" w:rsidRPr="00D026C5" w:rsidRDefault="009D6567">
      <w:pPr>
        <w:pBdr>
          <w:top w:val="single" w:sz="6" w:space="0" w:color="FFFFFF"/>
          <w:left w:val="single" w:sz="6" w:space="0" w:color="FFFFFF"/>
          <w:bottom w:val="single" w:sz="6" w:space="0" w:color="FFFFFF"/>
          <w:right w:val="single" w:sz="6" w:space="0" w:color="FFFFFF"/>
        </w:pBdr>
        <w:ind w:firstLine="720"/>
      </w:pPr>
    </w:p>
    <w:p w:rsidR="00CA4CD6" w:rsidRPr="00D026C5" w:rsidRDefault="00396A52" w:rsidP="00C4102B">
      <w:r>
        <w:tab/>
        <w:t xml:space="preserve">The “Affected Public” </w:t>
      </w:r>
      <w:proofErr w:type="gramStart"/>
      <w:r>
        <w:t>are</w:t>
      </w:r>
      <w:proofErr w:type="gramEnd"/>
      <w:r>
        <w:t xml:space="preserve"> owners or operators of stationary combustion turbines.  </w:t>
      </w:r>
      <w:r w:rsidR="00A53296">
        <w:t xml:space="preserve">      </w:t>
      </w:r>
      <w:r>
        <w:t xml:space="preserve">The burden to the “Affected Public” may be found </w:t>
      </w:r>
      <w:r w:rsidR="002440FC">
        <w:t xml:space="preserve">below </w:t>
      </w:r>
      <w:r>
        <w:t xml:space="preserve">in Table 1: Annual Respondent Burden and Cost – NESHAP for Stationary Combustion Turbines (40 CFR Part 63, Subpart YYYY) (Renewal).  The burden to the Federal Government is attributed entirely to work performed by </w:t>
      </w:r>
      <w:r w:rsidR="00A53296">
        <w:t>either F</w:t>
      </w:r>
      <w:r>
        <w:t xml:space="preserve">ederal employees or government contractors, and may be found </w:t>
      </w:r>
      <w:r w:rsidR="002440FC">
        <w:t xml:space="preserve">below </w:t>
      </w:r>
      <w:r>
        <w:t xml:space="preserve">in Table 2: Average Annual EPA Burden and Cost – NESHAP for Stationary Combustion Turbines (40 CFR Part 63, Subpart YYYY) (Renewal). </w:t>
      </w:r>
    </w:p>
    <w:p w:rsidR="002B29A5" w:rsidRPr="00D026C5" w:rsidRDefault="002B29A5" w:rsidP="002B29A5"/>
    <w:p w:rsidR="00CA4CD6" w:rsidRPr="00D026C5" w:rsidRDefault="00396A52">
      <w:pPr>
        <w:pBdr>
          <w:top w:val="single" w:sz="6" w:space="0" w:color="FFFFFF"/>
          <w:left w:val="single" w:sz="6" w:space="0" w:color="FFFFFF"/>
          <w:bottom w:val="single" w:sz="6" w:space="0" w:color="FFFFFF"/>
          <w:right w:val="single" w:sz="6" w:space="0" w:color="FFFFFF"/>
        </w:pBdr>
      </w:pPr>
      <w:r w:rsidRPr="00396A52">
        <w:rPr>
          <w:b/>
          <w:bCs/>
        </w:rPr>
        <w:t>2.  Need for and Use of the Collection</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rPr>
          <w:b/>
          <w:bCs/>
        </w:rPr>
      </w:pPr>
      <w:r>
        <w:rPr>
          <w:b/>
          <w:bCs/>
        </w:rPr>
        <w:t>2(a</w:t>
      </w:r>
      <w:proofErr w:type="gramStart"/>
      <w:r>
        <w:rPr>
          <w:b/>
          <w:bCs/>
        </w:rPr>
        <w:t>)  Need</w:t>
      </w:r>
      <w:proofErr w:type="gramEnd"/>
      <w:r>
        <w:rPr>
          <w:b/>
          <w:bCs/>
        </w:rPr>
        <w:t>/Authority for the Collection</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9027FB">
      <w:pPr>
        <w:pBdr>
          <w:top w:val="single" w:sz="6" w:space="0" w:color="FFFFFF"/>
          <w:left w:val="single" w:sz="6" w:space="0" w:color="FFFFFF"/>
          <w:bottom w:val="single" w:sz="6" w:space="0" w:color="FFFFFF"/>
          <w:right w:val="single" w:sz="6" w:space="0" w:color="FFFFFF"/>
        </w:pBdr>
        <w:ind w:firstLine="720"/>
      </w:pPr>
      <w:r>
        <w:t>In the Administrator's judgment,</w:t>
      </w:r>
      <w:r w:rsidRPr="00396A52">
        <w:t xml:space="preserve"> hazardous air pollutants (HAP) emissions from the combustion of gaseous and liquid fuels </w:t>
      </w:r>
      <w:r w:rsidR="00A53296">
        <w:t xml:space="preserve">either </w:t>
      </w:r>
      <w:r w:rsidRPr="00396A52">
        <w:t xml:space="preserve">cause or contribute to air pollution that may reasonably be anticipated to endanger public health </w:t>
      </w:r>
      <w:r w:rsidR="00A53296">
        <w:t>and/</w:t>
      </w:r>
      <w:r w:rsidRPr="00396A52">
        <w:t>or welfare.  Therefore, th</w:t>
      </w:r>
      <w:r>
        <w:t xml:space="preserve">e NESHAP were promulgated for this source category at 40 CFR </w:t>
      </w:r>
      <w:proofErr w:type="gramStart"/>
      <w:r>
        <w:t>part</w:t>
      </w:r>
      <w:proofErr w:type="gramEnd"/>
      <w:r>
        <w:t xml:space="preserve"> 63, subpart YYYY.</w:t>
      </w:r>
    </w:p>
    <w:p w:rsidR="00CA4CD6" w:rsidRDefault="00CA4CD6">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Pr>
          <w:b/>
          <w:bCs/>
        </w:rPr>
        <w:lastRenderedPageBreak/>
        <w:t>2(b</w:t>
      </w:r>
      <w:proofErr w:type="gramStart"/>
      <w:r>
        <w:rPr>
          <w:b/>
          <w:bCs/>
        </w:rPr>
        <w:t>)  Practical</w:t>
      </w:r>
      <w:proofErr w:type="gramEnd"/>
      <w:r>
        <w:rPr>
          <w:b/>
          <w:bCs/>
        </w:rPr>
        <w:t xml:space="preserve"> Utility/Users of the Data</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recordkeeping and reporting requirements in the standard ensures compliance with the applicable regulations which where promulgated in accordance with the Clean Air Act.  The collected information is also used for targeting inspections and as evidence in legal proceedings.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Performance tests are required in order to determine an affected facility’s initial capability to comply with the emission standard. Continuous emission monitors are used to ensur</w:t>
      </w:r>
      <w:r>
        <w:t xml:space="preserve">e compliance with the standard at all times.  During the performance test a record of </w:t>
      </w:r>
      <w:r w:rsidR="00A53296">
        <w:t xml:space="preserve">       </w:t>
      </w:r>
      <w:r>
        <w:t xml:space="preserve">the operating parameters under which compliance was achieved may be recorded and used </w:t>
      </w:r>
      <w:r w:rsidR="00A53296">
        <w:t xml:space="preserve">       </w:t>
      </w:r>
      <w:r>
        <w:t>to determine compliance in place of a continuous emission monitor.</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The notifications required</w:t>
      </w:r>
      <w:r w:rsidRPr="00396A52">
        <w:t xml:space="preserve"> in the standard are used to inform the Agency or delegated authority when a source becomes subject to the requirements of the regulations.  The reviewing authority may then inspect the source to check if the</w:t>
      </w:r>
      <w:r>
        <w:t xml:space="preserve"> pollution control devices are properly installed and operated and if the standard is being met.  The performance test may also be observed.</w:t>
      </w:r>
    </w:p>
    <w:p w:rsidR="00CA4CD6" w:rsidRPr="00D026C5" w:rsidRDefault="00CA4CD6">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 xml:space="preserve">The required </w:t>
      </w:r>
      <w:r w:rsidR="00EF3162">
        <w:t xml:space="preserve">annual or </w:t>
      </w:r>
      <w:r>
        <w:t>semiannual reports are used to determine periods of excess emissions, identify problems at the facility, verify operation/maintenance procedures and for compliance determinations.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rPr>
          <w:b/>
          <w:bCs/>
        </w:rPr>
      </w:pPr>
      <w:r>
        <w:rPr>
          <w:b/>
          <w:bCs/>
        </w:rPr>
        <w:t>3.  Non</w:t>
      </w:r>
      <w:r w:rsidR="00FA1EA5">
        <w:rPr>
          <w:b/>
          <w:bCs/>
        </w:rPr>
        <w:t>-</w:t>
      </w:r>
      <w:r>
        <w:rPr>
          <w:b/>
          <w:bCs/>
        </w:rPr>
        <w:t>duplication, Consultations, and Other Collection Criteria</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rPr>
          <w:b/>
          <w:bCs/>
        </w:rPr>
      </w:pPr>
      <w:r w:rsidRPr="00396A52">
        <w:t>The requested recordkeeping and reporting are required under 40 CFR part 63, subpart YYYY.</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3(a</w:t>
      </w:r>
      <w:proofErr w:type="gramStart"/>
      <w:r w:rsidRPr="00396A52">
        <w:rPr>
          <w:b/>
          <w:bCs/>
        </w:rPr>
        <w:t>)  Non</w:t>
      </w:r>
      <w:proofErr w:type="gramEnd"/>
      <w:r w:rsidR="00FA1EA5">
        <w:rPr>
          <w:b/>
          <w:bCs/>
        </w:rPr>
        <w:t>-</w:t>
      </w:r>
      <w:r w:rsidRPr="00396A52">
        <w:rPr>
          <w:b/>
          <w:bCs/>
        </w:rPr>
        <w:t>duplication</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396A52">
        <w:t>,  duplication</w:t>
      </w:r>
      <w:proofErr w:type="gramEnd"/>
      <w:r w:rsidRPr="00396A52">
        <w:t xml:space="preserve"> </w:t>
      </w:r>
      <w:r w:rsidR="00A53296">
        <w:t>does</w:t>
      </w:r>
      <w:r w:rsidR="00CE12F1">
        <w:t xml:space="preserve"> </w:t>
      </w:r>
      <w:r w:rsidR="00A53296">
        <w:t xml:space="preserve">not </w:t>
      </w:r>
      <w:r w:rsidRPr="00396A52">
        <w:t>exist.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3(b</w:t>
      </w:r>
      <w:proofErr w:type="gramStart"/>
      <w:r w:rsidRPr="00396A52">
        <w:rPr>
          <w:b/>
          <w:bCs/>
        </w:rPr>
        <w:t>)  Public</w:t>
      </w:r>
      <w:proofErr w:type="gramEnd"/>
      <w:r w:rsidRPr="00396A52">
        <w:rPr>
          <w:b/>
          <w:bCs/>
        </w:rPr>
        <w:t xml:space="preserve"> Notice Required Prior to ICR Submission to OMB</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An announcement of a public comment period for the renewal of this ICR was published in the </w:t>
      </w:r>
      <w:r>
        <w:rPr>
          <w:u w:val="single"/>
        </w:rPr>
        <w:t>Federal Register</w:t>
      </w:r>
      <w:r>
        <w:t xml:space="preserve"> (77 </w:t>
      </w:r>
      <w:r>
        <w:rPr>
          <w:u w:val="single"/>
        </w:rPr>
        <w:t>FR 63813</w:t>
      </w:r>
      <w:r>
        <w:t xml:space="preserve">) on October 17, 2012.  No comments were received on the burden published in the </w:t>
      </w:r>
      <w:r>
        <w:rPr>
          <w:u w:val="single"/>
        </w:rPr>
        <w:t>Federal Register</w:t>
      </w:r>
      <w:r>
        <w:t xml:space="preserve">.  </w:t>
      </w:r>
    </w:p>
    <w:p w:rsidR="00CE12F1" w:rsidRDefault="00CE12F1" w:rsidP="00123889">
      <w:pPr>
        <w:pBdr>
          <w:top w:val="single" w:sz="6" w:space="0" w:color="FFFFFF"/>
          <w:left w:val="single" w:sz="6" w:space="0" w:color="FFFFFF"/>
          <w:bottom w:val="single" w:sz="6" w:space="0" w:color="FFFFFF"/>
          <w:right w:val="single" w:sz="6" w:space="0" w:color="FFFFFF"/>
        </w:pBdr>
        <w:ind w:firstLine="720"/>
        <w:rPr>
          <w:b/>
          <w:bCs/>
        </w:rPr>
      </w:pPr>
    </w:p>
    <w:p w:rsidR="00CE12F1" w:rsidRDefault="00CE12F1" w:rsidP="00123889">
      <w:pPr>
        <w:pBdr>
          <w:top w:val="single" w:sz="6" w:space="0" w:color="FFFFFF"/>
          <w:left w:val="single" w:sz="6" w:space="0" w:color="FFFFFF"/>
          <w:bottom w:val="single" w:sz="6" w:space="0" w:color="FFFFFF"/>
          <w:right w:val="single" w:sz="6" w:space="0" w:color="FFFFFF"/>
        </w:pBdr>
        <w:ind w:firstLine="720"/>
        <w:rPr>
          <w:b/>
          <w:bCs/>
        </w:rPr>
      </w:pPr>
    </w:p>
    <w:p w:rsidR="00CE12F1" w:rsidRDefault="00CE12F1" w:rsidP="00123889">
      <w:pPr>
        <w:pBdr>
          <w:top w:val="single" w:sz="6" w:space="0" w:color="FFFFFF"/>
          <w:left w:val="single" w:sz="6" w:space="0" w:color="FFFFFF"/>
          <w:bottom w:val="single" w:sz="6" w:space="0" w:color="FFFFFF"/>
          <w:right w:val="single" w:sz="6" w:space="0" w:color="FFFFFF"/>
        </w:pBdr>
        <w:ind w:firstLine="720"/>
        <w:rPr>
          <w:b/>
          <w:bCs/>
        </w:rPr>
      </w:pPr>
    </w:p>
    <w:p w:rsidR="00CE12F1" w:rsidRDefault="00CE12F1" w:rsidP="00123889">
      <w:pPr>
        <w:pBdr>
          <w:top w:val="single" w:sz="6" w:space="0" w:color="FFFFFF"/>
          <w:left w:val="single" w:sz="6" w:space="0" w:color="FFFFFF"/>
          <w:bottom w:val="single" w:sz="6" w:space="0" w:color="FFFFFF"/>
          <w:right w:val="single" w:sz="6" w:space="0" w:color="FFFFFF"/>
        </w:pBdr>
        <w:ind w:firstLine="720"/>
        <w:rPr>
          <w:b/>
          <w:bCs/>
        </w:rPr>
      </w:pPr>
    </w:p>
    <w:p w:rsidR="00123889" w:rsidRPr="00D026C5" w:rsidRDefault="00396A52" w:rsidP="00123889">
      <w:pPr>
        <w:pBdr>
          <w:top w:val="single" w:sz="6" w:space="0" w:color="FFFFFF"/>
          <w:left w:val="single" w:sz="6" w:space="0" w:color="FFFFFF"/>
          <w:bottom w:val="single" w:sz="6" w:space="0" w:color="FFFFFF"/>
          <w:right w:val="single" w:sz="6" w:space="0" w:color="FFFFFF"/>
        </w:pBdr>
        <w:ind w:firstLine="720"/>
      </w:pPr>
      <w:r w:rsidRPr="00396A52">
        <w:rPr>
          <w:b/>
          <w:bCs/>
        </w:rPr>
        <w:lastRenderedPageBreak/>
        <w:t>3(c</w:t>
      </w:r>
      <w:proofErr w:type="gramStart"/>
      <w:r w:rsidRPr="00396A52">
        <w:rPr>
          <w:b/>
          <w:bCs/>
        </w:rPr>
        <w:t>)  Consultations</w:t>
      </w:r>
      <w:proofErr w:type="gramEnd"/>
    </w:p>
    <w:p w:rsidR="00E53137" w:rsidRPr="00D026C5" w:rsidRDefault="00E53137" w:rsidP="00D92F66">
      <w:pPr>
        <w:spacing w:line="244" w:lineRule="exact"/>
      </w:pPr>
    </w:p>
    <w:p w:rsidR="00A27248" w:rsidRPr="00D026C5" w:rsidRDefault="00396A52" w:rsidP="00A27248">
      <w:pPr>
        <w:widowControl/>
        <w:ind w:firstLine="720"/>
      </w:pPr>
      <w:r>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026C5" w:rsidRDefault="00A27248" w:rsidP="00A27248">
      <w:pPr>
        <w:widowControl/>
        <w:ind w:firstLine="720"/>
      </w:pPr>
    </w:p>
    <w:p w:rsidR="00A27248" w:rsidRPr="00D026C5" w:rsidRDefault="00396A52" w:rsidP="00A27248">
      <w:pPr>
        <w:widowControl/>
        <w:ind w:firstLine="720"/>
      </w:pPr>
      <w:r>
        <w:t xml:space="preserve">Consultations with industry representatives (i.e., respondents) were conducted to determine if there is any way for EPA to reduce the recordkeeping and reporting burden or improve the language in the standard to make it easier to comply.  In developing this ICR, </w:t>
      </w:r>
      <w:r w:rsidR="00110709">
        <w:t xml:space="preserve">the </w:t>
      </w:r>
      <w:r>
        <w:t>EPA contacted</w:t>
      </w:r>
      <w:r w:rsidR="00FA1EA5">
        <w:t>: 1)</w:t>
      </w:r>
      <w:r>
        <w:t xml:space="preserve"> the Gas Turbine Association</w:t>
      </w:r>
      <w:r w:rsidR="00A30065">
        <w:t>,</w:t>
      </w:r>
      <w:r>
        <w:t xml:space="preserve"> at (202) 488-0101</w:t>
      </w:r>
      <w:r w:rsidR="00FA1EA5">
        <w:t>;</w:t>
      </w:r>
      <w:r w:rsidRPr="00396A52">
        <w:t xml:space="preserve"> and </w:t>
      </w:r>
      <w:r w:rsidR="00FA1EA5">
        <w:t xml:space="preserve">2) the </w:t>
      </w:r>
      <w:r w:rsidRPr="00396A52">
        <w:t>American Fuel &amp; Petrochemical Manufacturers</w:t>
      </w:r>
      <w:r w:rsidR="00FA1EA5">
        <w:t>,</w:t>
      </w:r>
      <w:r w:rsidRPr="00396A52">
        <w:t xml:space="preserve"> at (202) 552-8461</w:t>
      </w:r>
      <w:r>
        <w:t>.  EPA did not receive any comments from the consultations.</w:t>
      </w:r>
    </w:p>
    <w:p w:rsidR="00A27248" w:rsidRPr="00D026C5" w:rsidRDefault="00A27248" w:rsidP="00A27248">
      <w:pPr>
        <w:widowControl/>
        <w:ind w:firstLine="720"/>
      </w:pPr>
    </w:p>
    <w:p w:rsidR="00A27248" w:rsidRPr="00D026C5" w:rsidRDefault="00396A52" w:rsidP="00A27248">
      <w:pPr>
        <w:widowControl/>
        <w:ind w:firstLine="720"/>
      </w:pPr>
      <w:r>
        <w:t xml:space="preserve">It is our policy to respond after a thorough review of comments received since the last ICR renewal as well as those submitted in response to the first </w:t>
      </w:r>
      <w:r w:rsidRPr="00110709">
        <w:rPr>
          <w:u w:val="single"/>
        </w:rPr>
        <w:t>Federal Register</w:t>
      </w:r>
      <w:r>
        <w:t xml:space="preserve"> notice.</w:t>
      </w:r>
    </w:p>
    <w:p w:rsidR="00123889" w:rsidRPr="00D026C5" w:rsidRDefault="00123889">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Pr>
          <w:b/>
          <w:bCs/>
        </w:rPr>
        <w:t>3(d</w:t>
      </w:r>
      <w:proofErr w:type="gramStart"/>
      <w:r>
        <w:rPr>
          <w:b/>
          <w:bCs/>
        </w:rPr>
        <w:t>)  Effects</w:t>
      </w:r>
      <w:proofErr w:type="gramEnd"/>
      <w:r w:rsidRPr="00396A52">
        <w:rPr>
          <w:b/>
          <w:bCs/>
        </w:rPr>
        <w:t xml:space="preserve"> of Less Frequent Collection</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3(e</w:t>
      </w:r>
      <w:proofErr w:type="gramStart"/>
      <w:r w:rsidRPr="00396A52">
        <w:rPr>
          <w:b/>
          <w:bCs/>
        </w:rPr>
        <w:t>)  General</w:t>
      </w:r>
      <w:proofErr w:type="gramEnd"/>
      <w:r w:rsidRPr="00396A52">
        <w:rPr>
          <w:b/>
          <w:bCs/>
        </w:rPr>
        <w:t xml:space="preserve"> Guidelines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These reporting or recordkeeping requirements </w:t>
      </w:r>
      <w:r>
        <w:t>do not violate any of the regulations promulgated by OMB under 5 CFR part 1320, section 1320.5.</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9027FB">
      <w:pPr>
        <w:pBdr>
          <w:top w:val="single" w:sz="6" w:space="0" w:color="FFFFFF"/>
          <w:left w:val="single" w:sz="6" w:space="0" w:color="FFFFFF"/>
          <w:bottom w:val="single" w:sz="6" w:space="0" w:color="FFFFFF"/>
          <w:right w:val="single" w:sz="6" w:space="0" w:color="FFFFFF"/>
        </w:pBdr>
        <w:ind w:firstLine="720"/>
      </w:pPr>
      <w:r>
        <w:t>These standards require the respondents to maintain all records, including reports and notifications for at least five years.  This is consistent with the General Provisions as applied to the</w:t>
      </w:r>
      <w:r w:rsidR="00110709">
        <w:t>se</w:t>
      </w:r>
      <w:r>
        <w:t xml:space="preserve"> standards.  EPA believes that the five</w:t>
      </w:r>
      <w:r w:rsidR="00110709">
        <w:t>-</w:t>
      </w:r>
      <w:r>
        <w:t>year records retention requirement is consistent with the Part 70 permit program and the five</w:t>
      </w:r>
      <w:r w:rsidR="00F533AD">
        <w:t>-</w:t>
      </w:r>
      <w:r>
        <w:t>year statute of limitations on which the permit program is based.  The retention of records f</w:t>
      </w:r>
      <w:r w:rsidR="00F533AD">
        <w:t>or five</w:t>
      </w:r>
      <w:r w:rsidR="002B35A3">
        <w:t xml:space="preserve"> </w:t>
      </w:r>
      <w:r>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pPr>
    </w:p>
    <w:p w:rsidR="002B35A3" w:rsidRDefault="002B35A3">
      <w:pPr>
        <w:pBdr>
          <w:top w:val="single" w:sz="6" w:space="0" w:color="FFFFFF"/>
          <w:left w:val="single" w:sz="6" w:space="0" w:color="FFFFFF"/>
          <w:bottom w:val="single" w:sz="6" w:space="0" w:color="FFFFFF"/>
          <w:right w:val="single" w:sz="6" w:space="0" w:color="FFFFFF"/>
        </w:pBdr>
        <w:ind w:firstLine="720"/>
        <w:rPr>
          <w:b/>
          <w:bCs/>
        </w:rPr>
      </w:pPr>
    </w:p>
    <w:p w:rsidR="002B35A3" w:rsidRDefault="002B35A3">
      <w:pPr>
        <w:pBdr>
          <w:top w:val="single" w:sz="6" w:space="0" w:color="FFFFFF"/>
          <w:left w:val="single" w:sz="6" w:space="0" w:color="FFFFFF"/>
          <w:bottom w:val="single" w:sz="6" w:space="0" w:color="FFFFFF"/>
          <w:right w:val="single" w:sz="6" w:space="0" w:color="FFFFFF"/>
        </w:pBdr>
        <w:ind w:firstLine="720"/>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Pr>
          <w:b/>
          <w:bCs/>
        </w:rPr>
        <w:lastRenderedPageBreak/>
        <w:t>3(f</w:t>
      </w:r>
      <w:proofErr w:type="gramStart"/>
      <w:r>
        <w:rPr>
          <w:b/>
          <w:bCs/>
        </w:rPr>
        <w:t>)  Confidentiality</w:t>
      </w:r>
      <w:proofErr w:type="gramEnd"/>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Any information submitted to the Agency for which a claim of confidentiality is made will be safeguarded according to the Agency policies set forth in Title 40, chapter 1, part 2, subpart B - Confidentiality of Business Information</w:t>
      </w:r>
      <w:r w:rsidR="00BA7777">
        <w:t xml:space="preserve"> (CBI)</w:t>
      </w:r>
      <w:r w:rsidRPr="00396A52">
        <w:t xml:space="preserve"> (see 40 CFR 2; 41 </w:t>
      </w:r>
      <w:r w:rsidRPr="00396A52">
        <w:rPr>
          <w:u w:val="single"/>
        </w:rPr>
        <w:t>FR</w:t>
      </w:r>
      <w:r w:rsidRPr="00396A52">
        <w:t xml:space="preserve"> 36902, September 1, 1976; amended by 43 </w:t>
      </w:r>
      <w:r w:rsidRPr="00396A52">
        <w:rPr>
          <w:u w:val="single"/>
        </w:rPr>
        <w:t>FR</w:t>
      </w:r>
      <w:r w:rsidRPr="00396A52">
        <w:t xml:space="preserve"> 40000, September 8, 1978; 43 </w:t>
      </w:r>
      <w:r w:rsidRPr="00396A52">
        <w:rPr>
          <w:u w:val="single"/>
        </w:rPr>
        <w:t>FR</w:t>
      </w:r>
      <w:r w:rsidRPr="00396A52">
        <w:t xml:space="preserve"> 42251, September 20, 1978; 44 </w:t>
      </w:r>
      <w:r w:rsidRPr="00396A52">
        <w:rPr>
          <w:u w:val="single"/>
        </w:rPr>
        <w:t>FR</w:t>
      </w:r>
      <w:r w:rsidRPr="00396A52">
        <w:t xml:space="preserve"> 17674, March 23, 1979).</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3(g</w:t>
      </w:r>
      <w:proofErr w:type="gramStart"/>
      <w:r w:rsidRPr="00396A52">
        <w:rPr>
          <w:b/>
          <w:bCs/>
        </w:rPr>
        <w:t>)  Sensitive</w:t>
      </w:r>
      <w:proofErr w:type="gramEnd"/>
      <w:r w:rsidRPr="00396A52">
        <w:rPr>
          <w:b/>
          <w:bCs/>
        </w:rPr>
        <w:t xml:space="preserve"> Questions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reporting or recordkeeping requirements in the standard do not include sensitive questions.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rPr>
          <w:b/>
          <w:bCs/>
        </w:rPr>
      </w:pPr>
      <w:r w:rsidRPr="00396A52">
        <w:rPr>
          <w:b/>
          <w:bCs/>
        </w:rPr>
        <w:t>4.  The Respondents and the Information Requested</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4(a</w:t>
      </w:r>
      <w:proofErr w:type="gramStart"/>
      <w:r w:rsidRPr="00396A52">
        <w:rPr>
          <w:b/>
          <w:bCs/>
        </w:rPr>
        <w:t>)  Respondents</w:t>
      </w:r>
      <w:proofErr w:type="gramEnd"/>
      <w:r w:rsidRPr="00396A52">
        <w:rPr>
          <w:b/>
          <w:bCs/>
        </w:rPr>
        <w:t>/SIC Codes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The respondents to the recordkeeping and reporting requirements are owners and/or operators of stationary combustion turbines.  The United States Standard Industrial Classification (SIC) codes and </w:t>
      </w:r>
      <w:r w:rsidR="00ED57EE">
        <w:t xml:space="preserve">the </w:t>
      </w:r>
      <w:r w:rsidRPr="00396A52">
        <w:t>corresponding North American Industry Classification System (NAICS) codes for stationary combustion turbines are provided in the following table.</w:t>
      </w:r>
    </w:p>
    <w:p w:rsidR="00CA4CD6" w:rsidRPr="00D026C5"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5130"/>
        <w:gridCol w:w="2160"/>
        <w:gridCol w:w="2070"/>
      </w:tblGrid>
      <w:tr w:rsidR="00CA4CD6" w:rsidRPr="00D026C5" w:rsidTr="00ED57EE">
        <w:tc>
          <w:tcPr>
            <w:tcW w:w="5130" w:type="dxa"/>
            <w:tcBorders>
              <w:top w:val="single" w:sz="7" w:space="0" w:color="000000"/>
              <w:left w:val="single" w:sz="7" w:space="0" w:color="000000"/>
              <w:bottom w:val="single" w:sz="6" w:space="0" w:color="FFFFFF"/>
              <w:right w:val="single" w:sz="6" w:space="0" w:color="FFFFFF"/>
            </w:tcBorders>
          </w:tcPr>
          <w:p w:rsidR="00CA4CD6" w:rsidRPr="00D026C5" w:rsidRDefault="00CA4CD6">
            <w:pPr>
              <w:spacing w:line="120" w:lineRule="exact"/>
            </w:pPr>
          </w:p>
          <w:p w:rsidR="00CA4CD6" w:rsidRPr="00D026C5" w:rsidRDefault="00396A52" w:rsidP="001A011F">
            <w:pPr>
              <w:pBdr>
                <w:top w:val="single" w:sz="6" w:space="0" w:color="FFFFFF"/>
                <w:left w:val="single" w:sz="6" w:space="0" w:color="FFFFFF"/>
                <w:bottom w:val="single" w:sz="6" w:space="0" w:color="FFFFFF"/>
                <w:right w:val="single" w:sz="6" w:space="0" w:color="FFFFFF"/>
              </w:pBdr>
              <w:spacing w:after="54"/>
              <w:jc w:val="center"/>
              <w:rPr>
                <w:b/>
                <w:bCs/>
              </w:rPr>
            </w:pPr>
            <w:r>
              <w:rPr>
                <w:b/>
                <w:bCs/>
              </w:rPr>
              <w:t xml:space="preserve">Standard </w:t>
            </w:r>
            <w:r>
              <w:rPr>
                <w:b/>
              </w:rPr>
              <w:t>(40 CFR Part 63, Subpart YYYY)</w:t>
            </w:r>
          </w:p>
        </w:tc>
        <w:tc>
          <w:tcPr>
            <w:tcW w:w="2160" w:type="dxa"/>
            <w:tcBorders>
              <w:top w:val="single" w:sz="7" w:space="0" w:color="000000"/>
              <w:left w:val="single" w:sz="7" w:space="0" w:color="000000"/>
              <w:bottom w:val="single" w:sz="6" w:space="0" w:color="FFFFFF"/>
              <w:right w:val="single" w:sz="6" w:space="0" w:color="FFFFFF"/>
            </w:tcBorders>
          </w:tcPr>
          <w:p w:rsidR="00CA4CD6" w:rsidRPr="00D026C5" w:rsidRDefault="00CA4CD6" w:rsidP="00C32E8A">
            <w:pPr>
              <w:spacing w:line="120" w:lineRule="exact"/>
              <w:jc w:val="center"/>
              <w:rPr>
                <w:b/>
                <w:bCs/>
              </w:rPr>
            </w:pPr>
          </w:p>
          <w:p w:rsidR="00CA4CD6"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rPr>
                <w:b/>
                <w:bCs/>
              </w:rPr>
            </w:pPr>
            <w:r w:rsidRPr="00396A52">
              <w:rPr>
                <w:b/>
                <w:bCs/>
              </w:rPr>
              <w:t>SIC Codes</w:t>
            </w:r>
          </w:p>
        </w:tc>
        <w:tc>
          <w:tcPr>
            <w:tcW w:w="2070" w:type="dxa"/>
            <w:tcBorders>
              <w:top w:val="single" w:sz="7" w:space="0" w:color="000000"/>
              <w:left w:val="single" w:sz="7" w:space="0" w:color="000000"/>
              <w:bottom w:val="single" w:sz="6" w:space="0" w:color="FFFFFF"/>
              <w:right w:val="single" w:sz="7" w:space="0" w:color="000000"/>
            </w:tcBorders>
          </w:tcPr>
          <w:p w:rsidR="00CA4CD6" w:rsidRPr="00D026C5" w:rsidRDefault="00CA4CD6" w:rsidP="00C32E8A">
            <w:pPr>
              <w:spacing w:line="120" w:lineRule="exact"/>
              <w:jc w:val="center"/>
              <w:rPr>
                <w:b/>
                <w:bCs/>
              </w:rPr>
            </w:pPr>
          </w:p>
          <w:p w:rsidR="00CA4CD6"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rPr>
                <w:b/>
                <w:bCs/>
              </w:rPr>
            </w:pPr>
            <w:r w:rsidRPr="00396A52">
              <w:rPr>
                <w:b/>
                <w:bCs/>
              </w:rPr>
              <w:t>NAICS Codes</w:t>
            </w:r>
          </w:p>
        </w:tc>
      </w:tr>
      <w:tr w:rsidR="00B14032" w:rsidRPr="00D026C5" w:rsidTr="00ED57EE">
        <w:tc>
          <w:tcPr>
            <w:tcW w:w="5130" w:type="dxa"/>
            <w:tcBorders>
              <w:top w:val="single" w:sz="7" w:space="0" w:color="000000"/>
              <w:left w:val="single" w:sz="7" w:space="0" w:color="000000"/>
              <w:bottom w:val="single" w:sz="6" w:space="0" w:color="FFFFFF"/>
              <w:right w:val="single" w:sz="6" w:space="0" w:color="FFFFFF"/>
            </w:tcBorders>
          </w:tcPr>
          <w:p w:rsidR="00B14032" w:rsidRPr="00D026C5" w:rsidRDefault="00B14032" w:rsidP="009121CE">
            <w:pPr>
              <w:spacing w:line="120" w:lineRule="exact"/>
              <w:rPr>
                <w:b/>
                <w:bCs/>
              </w:rPr>
            </w:pPr>
          </w:p>
          <w:p w:rsidR="00B14032" w:rsidRPr="00D026C5" w:rsidRDefault="00396A52" w:rsidP="004C701D">
            <w:pPr>
              <w:pBdr>
                <w:top w:val="single" w:sz="6" w:space="0" w:color="FFFFFF"/>
                <w:left w:val="single" w:sz="6" w:space="0" w:color="FFFFFF"/>
                <w:bottom w:val="single" w:sz="6" w:space="0" w:color="FFFFFF"/>
                <w:right w:val="single" w:sz="6" w:space="0" w:color="FFFFFF"/>
              </w:pBdr>
              <w:spacing w:after="54"/>
            </w:pPr>
            <w:r>
              <w:t>Utilities</w:t>
            </w:r>
          </w:p>
        </w:tc>
        <w:tc>
          <w:tcPr>
            <w:tcW w:w="2160" w:type="dxa"/>
            <w:tcBorders>
              <w:top w:val="single" w:sz="7" w:space="0" w:color="000000"/>
              <w:left w:val="single" w:sz="7" w:space="0" w:color="000000"/>
              <w:bottom w:val="single" w:sz="6" w:space="0" w:color="FFFFFF"/>
              <w:right w:val="single" w:sz="6" w:space="0" w:color="FFFFFF"/>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49</w:t>
            </w:r>
          </w:p>
        </w:tc>
        <w:tc>
          <w:tcPr>
            <w:tcW w:w="2070" w:type="dxa"/>
            <w:tcBorders>
              <w:top w:val="single" w:sz="7" w:space="0" w:color="000000"/>
              <w:left w:val="single" w:sz="7" w:space="0" w:color="000000"/>
              <w:bottom w:val="single" w:sz="6" w:space="0" w:color="FFFFFF"/>
              <w:right w:val="single" w:sz="7" w:space="0" w:color="000000"/>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221</w:t>
            </w:r>
          </w:p>
        </w:tc>
      </w:tr>
      <w:tr w:rsidR="00B14032" w:rsidRPr="00D026C5" w:rsidTr="00ED57EE">
        <w:tc>
          <w:tcPr>
            <w:tcW w:w="5130" w:type="dxa"/>
            <w:tcBorders>
              <w:top w:val="single" w:sz="7" w:space="0" w:color="000000"/>
              <w:left w:val="single" w:sz="7" w:space="0" w:color="000000"/>
              <w:bottom w:val="single" w:sz="6" w:space="0" w:color="FFFFFF"/>
              <w:right w:val="single" w:sz="6" w:space="0" w:color="FFFFFF"/>
            </w:tcBorders>
          </w:tcPr>
          <w:p w:rsidR="00B14032" w:rsidRPr="00D026C5" w:rsidRDefault="00B14032" w:rsidP="009121CE">
            <w:pPr>
              <w:spacing w:line="120" w:lineRule="exact"/>
            </w:pPr>
          </w:p>
          <w:p w:rsidR="00B14032" w:rsidRPr="00D026C5" w:rsidRDefault="00396A52">
            <w:pPr>
              <w:pBdr>
                <w:top w:val="single" w:sz="6" w:space="0" w:color="FFFFFF"/>
                <w:left w:val="single" w:sz="6" w:space="0" w:color="FFFFFF"/>
                <w:bottom w:val="single" w:sz="6" w:space="0" w:color="FFFFFF"/>
                <w:right w:val="single" w:sz="6" w:space="0" w:color="FFFFFF"/>
              </w:pBdr>
              <w:spacing w:after="54"/>
            </w:pPr>
            <w:r>
              <w:t>Pipeline Transportation</w:t>
            </w:r>
          </w:p>
        </w:tc>
        <w:tc>
          <w:tcPr>
            <w:tcW w:w="2160" w:type="dxa"/>
            <w:tcBorders>
              <w:top w:val="single" w:sz="7" w:space="0" w:color="000000"/>
              <w:left w:val="single" w:sz="7" w:space="0" w:color="000000"/>
              <w:bottom w:val="single" w:sz="6" w:space="0" w:color="FFFFFF"/>
              <w:right w:val="single" w:sz="6" w:space="0" w:color="FFFFFF"/>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46</w:t>
            </w:r>
          </w:p>
        </w:tc>
        <w:tc>
          <w:tcPr>
            <w:tcW w:w="2070" w:type="dxa"/>
            <w:tcBorders>
              <w:top w:val="single" w:sz="7" w:space="0" w:color="000000"/>
              <w:left w:val="single" w:sz="7" w:space="0" w:color="000000"/>
              <w:bottom w:val="single" w:sz="6" w:space="0" w:color="FFFFFF"/>
              <w:right w:val="single" w:sz="7" w:space="0" w:color="000000"/>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486</w:t>
            </w:r>
          </w:p>
        </w:tc>
      </w:tr>
      <w:tr w:rsidR="00B14032" w:rsidRPr="00D026C5" w:rsidTr="00ED57EE">
        <w:tc>
          <w:tcPr>
            <w:tcW w:w="5130" w:type="dxa"/>
            <w:tcBorders>
              <w:top w:val="single" w:sz="7" w:space="0" w:color="000000"/>
              <w:left w:val="single" w:sz="7" w:space="0" w:color="000000"/>
              <w:bottom w:val="single" w:sz="6" w:space="0" w:color="FFFFFF"/>
              <w:right w:val="single" w:sz="6" w:space="0" w:color="FFFFFF"/>
            </w:tcBorders>
          </w:tcPr>
          <w:p w:rsidR="00B14032" w:rsidRPr="00D026C5" w:rsidRDefault="00B14032" w:rsidP="009121CE">
            <w:pPr>
              <w:spacing w:line="120" w:lineRule="exact"/>
            </w:pPr>
          </w:p>
          <w:p w:rsidR="00B14032" w:rsidRPr="00D026C5" w:rsidRDefault="00396A52">
            <w:pPr>
              <w:pBdr>
                <w:top w:val="single" w:sz="6" w:space="0" w:color="FFFFFF"/>
                <w:left w:val="single" w:sz="6" w:space="0" w:color="FFFFFF"/>
                <w:bottom w:val="single" w:sz="6" w:space="0" w:color="FFFFFF"/>
                <w:right w:val="single" w:sz="6" w:space="0" w:color="FFFFFF"/>
              </w:pBdr>
              <w:spacing w:after="54"/>
            </w:pPr>
            <w:r>
              <w:t>Oil and Gas Extraction</w:t>
            </w:r>
          </w:p>
        </w:tc>
        <w:tc>
          <w:tcPr>
            <w:tcW w:w="2160" w:type="dxa"/>
            <w:tcBorders>
              <w:top w:val="single" w:sz="7" w:space="0" w:color="000000"/>
              <w:left w:val="single" w:sz="7" w:space="0" w:color="000000"/>
              <w:bottom w:val="single" w:sz="6" w:space="0" w:color="FFFFFF"/>
              <w:right w:val="single" w:sz="6" w:space="0" w:color="FFFFFF"/>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13</w:t>
            </w:r>
          </w:p>
        </w:tc>
        <w:tc>
          <w:tcPr>
            <w:tcW w:w="2070" w:type="dxa"/>
            <w:tcBorders>
              <w:top w:val="single" w:sz="7" w:space="0" w:color="000000"/>
              <w:left w:val="single" w:sz="7" w:space="0" w:color="000000"/>
              <w:bottom w:val="single" w:sz="6" w:space="0" w:color="FFFFFF"/>
              <w:right w:val="single" w:sz="7" w:space="0" w:color="000000"/>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211</w:t>
            </w:r>
          </w:p>
        </w:tc>
      </w:tr>
      <w:tr w:rsidR="00B14032" w:rsidRPr="00D026C5" w:rsidTr="00ED57EE">
        <w:tc>
          <w:tcPr>
            <w:tcW w:w="5130" w:type="dxa"/>
            <w:tcBorders>
              <w:top w:val="single" w:sz="7" w:space="0" w:color="000000"/>
              <w:left w:val="single" w:sz="7" w:space="0" w:color="000000"/>
              <w:bottom w:val="single" w:sz="6" w:space="0" w:color="FFFFFF"/>
              <w:right w:val="single" w:sz="6" w:space="0" w:color="FFFFFF"/>
            </w:tcBorders>
          </w:tcPr>
          <w:p w:rsidR="00B14032" w:rsidRPr="00D026C5" w:rsidRDefault="00B14032" w:rsidP="009121CE">
            <w:pPr>
              <w:spacing w:line="120" w:lineRule="exact"/>
            </w:pPr>
          </w:p>
          <w:p w:rsidR="00B14032" w:rsidRPr="00D026C5" w:rsidRDefault="00396A52">
            <w:pPr>
              <w:pBdr>
                <w:top w:val="single" w:sz="6" w:space="0" w:color="FFFFFF"/>
                <w:left w:val="single" w:sz="6" w:space="0" w:color="FFFFFF"/>
                <w:bottom w:val="single" w:sz="6" w:space="0" w:color="FFFFFF"/>
                <w:right w:val="single" w:sz="6" w:space="0" w:color="FFFFFF"/>
              </w:pBdr>
              <w:spacing w:after="54"/>
            </w:pPr>
            <w:r>
              <w:t>Chemical Manufacturing</w:t>
            </w:r>
          </w:p>
        </w:tc>
        <w:tc>
          <w:tcPr>
            <w:tcW w:w="2160" w:type="dxa"/>
            <w:tcBorders>
              <w:top w:val="single" w:sz="7" w:space="0" w:color="000000"/>
              <w:left w:val="single" w:sz="7" w:space="0" w:color="000000"/>
              <w:bottom w:val="single" w:sz="6" w:space="0" w:color="FFFFFF"/>
              <w:right w:val="single" w:sz="6" w:space="0" w:color="FFFFFF"/>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28</w:t>
            </w:r>
          </w:p>
        </w:tc>
        <w:tc>
          <w:tcPr>
            <w:tcW w:w="2070" w:type="dxa"/>
            <w:tcBorders>
              <w:top w:val="single" w:sz="7" w:space="0" w:color="000000"/>
              <w:left w:val="single" w:sz="7" w:space="0" w:color="000000"/>
              <w:bottom w:val="single" w:sz="6" w:space="0" w:color="FFFFFF"/>
              <w:right w:val="single" w:sz="7" w:space="0" w:color="000000"/>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54"/>
              <w:jc w:val="center"/>
            </w:pPr>
            <w:r w:rsidRPr="00396A52">
              <w:t>325</w:t>
            </w:r>
          </w:p>
        </w:tc>
      </w:tr>
      <w:tr w:rsidR="00B14032" w:rsidRPr="00D026C5" w:rsidTr="00ED57EE">
        <w:tc>
          <w:tcPr>
            <w:tcW w:w="5130" w:type="dxa"/>
            <w:tcBorders>
              <w:top w:val="single" w:sz="7" w:space="0" w:color="000000"/>
              <w:left w:val="single" w:sz="7" w:space="0" w:color="000000"/>
              <w:bottom w:val="single" w:sz="7" w:space="0" w:color="000000"/>
              <w:right w:val="single" w:sz="6" w:space="0" w:color="FFFFFF"/>
            </w:tcBorders>
          </w:tcPr>
          <w:p w:rsidR="00B14032" w:rsidRPr="00D026C5" w:rsidRDefault="00B14032" w:rsidP="009121CE">
            <w:pPr>
              <w:spacing w:line="120" w:lineRule="exact"/>
            </w:pPr>
          </w:p>
          <w:p w:rsidR="00B14032" w:rsidRPr="00D026C5" w:rsidRDefault="00396A52">
            <w:pPr>
              <w:pBdr>
                <w:top w:val="single" w:sz="6" w:space="0" w:color="FFFFFF"/>
                <w:left w:val="single" w:sz="6" w:space="0" w:color="FFFFFF"/>
                <w:bottom w:val="single" w:sz="6" w:space="0" w:color="FFFFFF"/>
                <w:right w:val="single" w:sz="6" w:space="0" w:color="FFFFFF"/>
              </w:pBdr>
              <w:spacing w:after="73"/>
            </w:pPr>
            <w:r>
              <w:t>Petroleum and Coal Products Manufacturing</w:t>
            </w:r>
          </w:p>
        </w:tc>
        <w:tc>
          <w:tcPr>
            <w:tcW w:w="2160" w:type="dxa"/>
            <w:tcBorders>
              <w:top w:val="single" w:sz="7" w:space="0" w:color="000000"/>
              <w:left w:val="single" w:sz="7" w:space="0" w:color="000000"/>
              <w:bottom w:val="single" w:sz="7" w:space="0" w:color="000000"/>
              <w:right w:val="single" w:sz="6" w:space="0" w:color="FFFFFF"/>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73"/>
              <w:jc w:val="center"/>
            </w:pPr>
            <w:r w:rsidRPr="00396A52">
              <w:t>29</w:t>
            </w:r>
          </w:p>
        </w:tc>
        <w:tc>
          <w:tcPr>
            <w:tcW w:w="2070" w:type="dxa"/>
            <w:tcBorders>
              <w:top w:val="single" w:sz="7" w:space="0" w:color="000000"/>
              <w:left w:val="single" w:sz="7" w:space="0" w:color="000000"/>
              <w:bottom w:val="single" w:sz="7" w:space="0" w:color="000000"/>
              <w:right w:val="single" w:sz="7" w:space="0" w:color="000000"/>
            </w:tcBorders>
          </w:tcPr>
          <w:p w:rsidR="00B14032" w:rsidRPr="00D026C5" w:rsidRDefault="00B14032" w:rsidP="00C32E8A">
            <w:pPr>
              <w:spacing w:line="120" w:lineRule="exact"/>
              <w:jc w:val="center"/>
            </w:pPr>
          </w:p>
          <w:p w:rsidR="00B14032" w:rsidRPr="00D026C5" w:rsidRDefault="00396A52" w:rsidP="00C32E8A">
            <w:pPr>
              <w:pBdr>
                <w:top w:val="single" w:sz="6" w:space="0" w:color="FFFFFF"/>
                <w:left w:val="single" w:sz="6" w:space="0" w:color="FFFFFF"/>
                <w:bottom w:val="single" w:sz="6" w:space="0" w:color="FFFFFF"/>
                <w:right w:val="single" w:sz="6" w:space="0" w:color="FFFFFF"/>
              </w:pBdr>
              <w:spacing w:after="73"/>
              <w:jc w:val="center"/>
            </w:pPr>
            <w:r w:rsidRPr="00396A52">
              <w:t>324</w:t>
            </w:r>
          </w:p>
        </w:tc>
      </w:tr>
    </w:tbl>
    <w:p w:rsidR="00CA4CD6" w:rsidRPr="00D026C5" w:rsidRDefault="00396A52">
      <w:pPr>
        <w:pBdr>
          <w:top w:val="single" w:sz="6" w:space="0" w:color="FFFFFF"/>
          <w:left w:val="single" w:sz="6" w:space="0" w:color="FFFFFF"/>
          <w:bottom w:val="single" w:sz="6" w:space="0" w:color="FFFFFF"/>
          <w:right w:val="single" w:sz="6" w:space="0" w:color="FFFFFF"/>
        </w:pBdr>
      </w:pPr>
      <w:r w:rsidRPr="00396A52">
        <w:t xml:space="preserve">  </w:t>
      </w: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4(b</w:t>
      </w:r>
      <w:proofErr w:type="gramStart"/>
      <w:r w:rsidRPr="00396A52">
        <w:rPr>
          <w:b/>
          <w:bCs/>
        </w:rPr>
        <w:t>)  Information</w:t>
      </w:r>
      <w:proofErr w:type="gramEnd"/>
      <w:r>
        <w:rPr>
          <w:b/>
          <w:bCs/>
        </w:rPr>
        <w:t xml:space="preserve"> Requested</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1440"/>
      </w:pPr>
      <w:r>
        <w:rPr>
          <w:b/>
          <w:bCs/>
        </w:rPr>
        <w:t xml:space="preserve"> (</w:t>
      </w:r>
      <w:proofErr w:type="spellStart"/>
      <w:r>
        <w:rPr>
          <w:b/>
          <w:bCs/>
        </w:rPr>
        <w:t>i</w:t>
      </w:r>
      <w:proofErr w:type="spellEnd"/>
      <w:r>
        <w:rPr>
          <w:b/>
          <w:bCs/>
        </w:rPr>
        <w:t>)  Data Items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In this ICR, all the data</w:t>
      </w:r>
      <w:r w:rsidRPr="00396A52">
        <w:t xml:space="preserve"> that is recorded or reported is required by</w:t>
      </w:r>
      <w:r>
        <w:t xml:space="preserve"> </w:t>
      </w:r>
      <w:r w:rsidR="00ED57EE">
        <w:t xml:space="preserve">the </w:t>
      </w:r>
      <w:r>
        <w:t>NESHAP for Stationary Combustion Turbines (40 CFR part 63, subpart YYYY).  Note that due to an on-going stay of standards for gas-fired subcategories, respondents in the lean premix and diffusion flame gas-fired stationary combustion turbine subcategories are only required to comply with the initial notification requirements shown below. These subcategories do not need to comply with the reporting or monitoring requirements until EPA takes final action.</w:t>
      </w:r>
    </w:p>
    <w:p w:rsidR="002B35A3" w:rsidRDefault="002B35A3">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lastRenderedPageBreak/>
        <w:t>A source must make the following reports:</w:t>
      </w:r>
    </w:p>
    <w:p w:rsidR="00CA4CD6" w:rsidRPr="00D026C5" w:rsidRDefault="00B067DD">
      <w:pPr>
        <w:pBdr>
          <w:top w:val="single" w:sz="6" w:space="0" w:color="FFFFFF"/>
          <w:left w:val="single" w:sz="6" w:space="0" w:color="FFFFFF"/>
          <w:bottom w:val="single" w:sz="6" w:space="0" w:color="FFFFFF"/>
          <w:right w:val="single" w:sz="6" w:space="0" w:color="FFFFFF"/>
        </w:pBdr>
      </w:pPr>
      <w:r>
        <w:t xml:space="preserve">                                                      </w:t>
      </w:r>
    </w:p>
    <w:tbl>
      <w:tblPr>
        <w:tblW w:w="0" w:type="auto"/>
        <w:jc w:val="center"/>
        <w:tblLayout w:type="fixed"/>
        <w:tblCellMar>
          <w:left w:w="120" w:type="dxa"/>
          <w:right w:w="120" w:type="dxa"/>
        </w:tblCellMar>
        <w:tblLook w:val="0000"/>
      </w:tblPr>
      <w:tblGrid>
        <w:gridCol w:w="5850"/>
        <w:gridCol w:w="3510"/>
      </w:tblGrid>
      <w:tr w:rsidR="00A73600" w:rsidRPr="00D026C5" w:rsidTr="00D4065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D026C5" w:rsidRDefault="00CA4CD6" w:rsidP="00ED57EE">
            <w:pPr>
              <w:keepNext/>
              <w:keepLines/>
              <w:spacing w:line="120" w:lineRule="exact"/>
            </w:pPr>
          </w:p>
          <w:p w:rsidR="00CA4CD6"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jc w:val="center"/>
              <w:rPr>
                <w:b/>
              </w:rPr>
            </w:pPr>
            <w:r w:rsidRPr="00396A52">
              <w:rPr>
                <w:b/>
              </w:rPr>
              <w:t>Notifications</w:t>
            </w:r>
          </w:p>
        </w:tc>
      </w:tr>
      <w:tr w:rsidR="00FE308A"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E308A" w:rsidRPr="00D026C5" w:rsidRDefault="00FE308A" w:rsidP="00ED57EE">
            <w:pPr>
              <w:keepNext/>
              <w:keepLines/>
              <w:spacing w:line="120" w:lineRule="exact"/>
            </w:pPr>
          </w:p>
          <w:p w:rsidR="00FE308A" w:rsidRPr="00672255" w:rsidRDefault="00396A52" w:rsidP="00ED57EE">
            <w:pPr>
              <w:keepNext/>
              <w:keepLines/>
              <w:pBdr>
                <w:top w:val="single" w:sz="6" w:space="0" w:color="FFFFFF"/>
                <w:left w:val="single" w:sz="6" w:space="0" w:color="FFFFFF"/>
                <w:bottom w:val="single" w:sz="6" w:space="0" w:color="FFFFFF"/>
                <w:right w:val="single" w:sz="6" w:space="0" w:color="FFFFFF"/>
              </w:pBdr>
              <w:spacing w:after="58"/>
              <w:rPr>
                <w:b/>
                <w:i/>
              </w:rPr>
            </w:pPr>
            <w:r w:rsidRPr="00672255">
              <w:rPr>
                <w:b/>
                <w:i/>
              </w:rPr>
              <w:t>Gas-Fired Stationary Combustion Turbine Subcategories</w:t>
            </w:r>
          </w:p>
        </w:tc>
      </w:tr>
      <w:tr w:rsidR="00B63E2C" w:rsidRPr="00D026C5" w:rsidTr="00672255">
        <w:trPr>
          <w:trHeight w:val="316"/>
          <w:jc w:val="center"/>
        </w:trPr>
        <w:tc>
          <w:tcPr>
            <w:tcW w:w="5850" w:type="dxa"/>
            <w:tcBorders>
              <w:top w:val="single" w:sz="7" w:space="0" w:color="000000"/>
              <w:left w:val="single" w:sz="7" w:space="0" w:color="000000"/>
              <w:bottom w:val="single" w:sz="7" w:space="0" w:color="000000"/>
              <w:right w:val="single" w:sz="7" w:space="0" w:color="000000"/>
            </w:tcBorders>
          </w:tcPr>
          <w:p w:rsidR="00B63E2C" w:rsidRPr="00D026C5" w:rsidRDefault="00B63E2C" w:rsidP="00ED57EE">
            <w:pPr>
              <w:keepNext/>
              <w:keepLines/>
              <w:spacing w:line="120" w:lineRule="exact"/>
              <w:ind w:left="150"/>
            </w:pPr>
          </w:p>
          <w:p w:rsidR="00B63E2C"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Initial notification</w:t>
            </w:r>
          </w:p>
        </w:tc>
        <w:tc>
          <w:tcPr>
            <w:tcW w:w="3510" w:type="dxa"/>
            <w:tcBorders>
              <w:top w:val="single" w:sz="7" w:space="0" w:color="000000"/>
              <w:left w:val="single" w:sz="7" w:space="0" w:color="000000"/>
              <w:bottom w:val="single" w:sz="7" w:space="0" w:color="000000"/>
              <w:right w:val="single" w:sz="7" w:space="0" w:color="000000"/>
            </w:tcBorders>
          </w:tcPr>
          <w:p w:rsidR="00B63E2C" w:rsidRPr="00D026C5" w:rsidRDefault="00396A52" w:rsidP="00672255">
            <w:pPr>
              <w:keepNext/>
              <w:keepLines/>
              <w:pBdr>
                <w:top w:val="single" w:sz="6" w:space="0" w:color="FFFFFF"/>
                <w:left w:val="single" w:sz="6" w:space="0" w:color="FFFFFF"/>
                <w:bottom w:val="single" w:sz="6" w:space="0" w:color="FFFFFF"/>
                <w:right w:val="single" w:sz="6" w:space="0" w:color="FFFFFF"/>
              </w:pBdr>
              <w:spacing w:after="58"/>
            </w:pPr>
            <w:r w:rsidRPr="00396A52">
              <w:t>63.6095(d), 63.6145(b</w:t>
            </w:r>
            <w:r w:rsidR="00672255">
              <w:t>-c</w:t>
            </w:r>
            <w:r w:rsidRPr="00396A52">
              <w:t>)</w:t>
            </w:r>
            <w:r w:rsidR="00672255">
              <w:t>,</w:t>
            </w:r>
            <w:r w:rsidRPr="00396A52">
              <w:t xml:space="preserve"> 63.9(b)</w:t>
            </w:r>
          </w:p>
        </w:tc>
      </w:tr>
      <w:tr w:rsidR="00866DA7" w:rsidRPr="00D026C5" w:rsidTr="0086550E">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66DA7" w:rsidRPr="00672255" w:rsidRDefault="00396A52" w:rsidP="00ED57EE">
            <w:pPr>
              <w:keepNext/>
              <w:keepLines/>
              <w:pBdr>
                <w:top w:val="single" w:sz="6" w:space="0" w:color="FFFFFF"/>
                <w:left w:val="single" w:sz="6" w:space="0" w:color="FFFFFF"/>
                <w:bottom w:val="single" w:sz="6" w:space="0" w:color="FFFFFF"/>
                <w:right w:val="single" w:sz="6" w:space="0" w:color="FFFFFF"/>
              </w:pBdr>
              <w:spacing w:after="58"/>
              <w:rPr>
                <w:b/>
                <w:i/>
              </w:rPr>
            </w:pPr>
            <w:r w:rsidRPr="00672255">
              <w:rPr>
                <w:b/>
                <w:i/>
              </w:rPr>
              <w:t>Landfill/Digester Gas-Fired Stationary Combustion Turbine Subcategory</w:t>
            </w:r>
          </w:p>
        </w:tc>
      </w:tr>
      <w:tr w:rsidR="00B63E2C" w:rsidRPr="00D026C5" w:rsidTr="00672255">
        <w:trPr>
          <w:trHeight w:val="235"/>
          <w:jc w:val="center"/>
        </w:trPr>
        <w:tc>
          <w:tcPr>
            <w:tcW w:w="5850" w:type="dxa"/>
            <w:tcBorders>
              <w:top w:val="single" w:sz="7" w:space="0" w:color="000000"/>
              <w:left w:val="single" w:sz="7" w:space="0" w:color="000000"/>
              <w:bottom w:val="single" w:sz="7" w:space="0" w:color="000000"/>
              <w:right w:val="single" w:sz="7" w:space="0" w:color="000000"/>
            </w:tcBorders>
          </w:tcPr>
          <w:p w:rsidR="00B63E2C" w:rsidRPr="00D026C5" w:rsidRDefault="00B63E2C" w:rsidP="00ED57EE">
            <w:pPr>
              <w:keepNext/>
              <w:keepLines/>
              <w:spacing w:line="120" w:lineRule="exact"/>
              <w:ind w:left="150"/>
            </w:pPr>
          </w:p>
          <w:p w:rsidR="00B63E2C"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Initial notification</w:t>
            </w:r>
          </w:p>
        </w:tc>
        <w:tc>
          <w:tcPr>
            <w:tcW w:w="3510" w:type="dxa"/>
            <w:tcBorders>
              <w:top w:val="single" w:sz="7" w:space="0" w:color="000000"/>
              <w:left w:val="single" w:sz="7" w:space="0" w:color="000000"/>
              <w:bottom w:val="single" w:sz="7" w:space="0" w:color="000000"/>
              <w:right w:val="single" w:sz="7" w:space="0" w:color="000000"/>
            </w:tcBorders>
          </w:tcPr>
          <w:p w:rsidR="00B63E2C"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63.6090(b), 63.6145(d)</w:t>
            </w:r>
          </w:p>
        </w:tc>
      </w:tr>
      <w:tr w:rsidR="00455484"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pPr>
          </w:p>
          <w:p w:rsidR="00455484" w:rsidRPr="00672255" w:rsidRDefault="00396A52" w:rsidP="00ED57EE">
            <w:pPr>
              <w:keepNext/>
              <w:keepLines/>
              <w:pBdr>
                <w:top w:val="single" w:sz="6" w:space="0" w:color="FFFFFF"/>
                <w:left w:val="single" w:sz="6" w:space="0" w:color="FFFFFF"/>
                <w:bottom w:val="single" w:sz="6" w:space="0" w:color="FFFFFF"/>
                <w:right w:val="single" w:sz="6" w:space="0" w:color="FFFFFF"/>
              </w:pBdr>
              <w:spacing w:after="58"/>
              <w:rPr>
                <w:b/>
                <w:i/>
              </w:rPr>
            </w:pPr>
            <w:r w:rsidRPr="00672255">
              <w:rPr>
                <w:b/>
                <w:i/>
              </w:rPr>
              <w:t>Oil-Fired Stationary Combustion Turbine Subcategories</w:t>
            </w:r>
          </w:p>
        </w:tc>
      </w:tr>
      <w:tr w:rsidR="00B63E2C"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B63E2C" w:rsidRPr="00D026C5" w:rsidRDefault="00B63E2C" w:rsidP="00ED57EE">
            <w:pPr>
              <w:keepNext/>
              <w:keepLines/>
              <w:spacing w:line="120" w:lineRule="exact"/>
              <w:ind w:left="150"/>
            </w:pPr>
          </w:p>
          <w:p w:rsidR="00B63E2C"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Initial notification</w:t>
            </w:r>
          </w:p>
        </w:tc>
        <w:tc>
          <w:tcPr>
            <w:tcW w:w="3510" w:type="dxa"/>
            <w:tcBorders>
              <w:top w:val="single" w:sz="7" w:space="0" w:color="000000"/>
              <w:left w:val="single" w:sz="7" w:space="0" w:color="000000"/>
              <w:bottom w:val="single" w:sz="7" w:space="0" w:color="000000"/>
              <w:right w:val="single" w:sz="7" w:space="0" w:color="000000"/>
            </w:tcBorders>
            <w:vAlign w:val="center"/>
          </w:tcPr>
          <w:p w:rsidR="00B63E2C"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63.6145, 63.9(b)</w:t>
            </w:r>
          </w:p>
        </w:tc>
      </w:tr>
      <w:tr w:rsidR="00455484"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ind w:left="150"/>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Notification of construction/reconstruction</w:t>
            </w:r>
          </w:p>
        </w:tc>
        <w:tc>
          <w:tcPr>
            <w:tcW w:w="3510" w:type="dxa"/>
            <w:tcBorders>
              <w:top w:val="single" w:sz="7" w:space="0" w:color="000000"/>
              <w:left w:val="single" w:sz="7" w:space="0" w:color="000000"/>
              <w:bottom w:val="single" w:sz="7" w:space="0" w:color="000000"/>
              <w:right w:val="single" w:sz="7" w:space="0" w:color="000000"/>
            </w:tcBorders>
          </w:tcPr>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63.6095(d), 63.6145, 63.5, 63.9(b)(5)(</w:t>
            </w:r>
            <w:proofErr w:type="spellStart"/>
            <w:r w:rsidRPr="00396A52">
              <w:t>i</w:t>
            </w:r>
            <w:proofErr w:type="spellEnd"/>
            <w:r w:rsidRPr="00396A52">
              <w:t>)</w:t>
            </w:r>
          </w:p>
        </w:tc>
      </w:tr>
      <w:tr w:rsidR="00455484"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ind w:left="150"/>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Notification of actual startup date</w:t>
            </w:r>
          </w:p>
        </w:tc>
        <w:tc>
          <w:tcPr>
            <w:tcW w:w="3510" w:type="dxa"/>
            <w:tcBorders>
              <w:top w:val="single" w:sz="7" w:space="0" w:color="000000"/>
              <w:left w:val="single" w:sz="7" w:space="0" w:color="000000"/>
              <w:bottom w:val="single" w:sz="7" w:space="0" w:color="000000"/>
              <w:right w:val="single" w:sz="7" w:space="0" w:color="000000"/>
            </w:tcBorders>
          </w:tcPr>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63.6095(d), 63.6145, 63.9(b)(5)(ii)</w:t>
            </w:r>
          </w:p>
        </w:tc>
      </w:tr>
      <w:tr w:rsidR="00455484"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ind w:left="150"/>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Notification of performance test</w:t>
            </w:r>
          </w:p>
        </w:tc>
        <w:tc>
          <w:tcPr>
            <w:tcW w:w="351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63.7(b)(1), 63.7(c), 63.9(e), 63.6145(e)</w:t>
            </w:r>
          </w:p>
        </w:tc>
      </w:tr>
      <w:tr w:rsidR="00455484"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ind w:left="150"/>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Notification of CMS performance evaluation</w:t>
            </w:r>
          </w:p>
        </w:tc>
        <w:tc>
          <w:tcPr>
            <w:tcW w:w="351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63.8(e), 63.9(g)(1), 63.6145(a)</w:t>
            </w:r>
          </w:p>
        </w:tc>
      </w:tr>
      <w:tr w:rsidR="00455484" w:rsidRPr="00D026C5" w:rsidTr="00672255">
        <w:trPr>
          <w:jc w:val="center"/>
        </w:trPr>
        <w:tc>
          <w:tcPr>
            <w:tcW w:w="585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ind w:left="150"/>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ind w:left="150"/>
            </w:pPr>
            <w:r w:rsidRPr="00396A52">
              <w:t>Notification of compliance status</w:t>
            </w:r>
          </w:p>
        </w:tc>
        <w:tc>
          <w:tcPr>
            <w:tcW w:w="3510" w:type="dxa"/>
            <w:tcBorders>
              <w:top w:val="single" w:sz="7" w:space="0" w:color="000000"/>
              <w:left w:val="single" w:sz="7" w:space="0" w:color="000000"/>
              <w:bottom w:val="single" w:sz="7" w:space="0" w:color="000000"/>
              <w:right w:val="single" w:sz="7" w:space="0" w:color="000000"/>
            </w:tcBorders>
          </w:tcPr>
          <w:p w:rsidR="00455484" w:rsidRPr="00D026C5" w:rsidRDefault="00455484" w:rsidP="00ED57EE">
            <w:pPr>
              <w:keepNext/>
              <w:keepLines/>
              <w:spacing w:line="120" w:lineRule="exact"/>
            </w:pPr>
          </w:p>
          <w:p w:rsidR="00455484" w:rsidRPr="00D026C5" w:rsidRDefault="00396A52" w:rsidP="00ED57EE">
            <w:pPr>
              <w:keepNext/>
              <w:keepLines/>
              <w:pBdr>
                <w:top w:val="single" w:sz="6" w:space="0" w:color="FFFFFF"/>
                <w:left w:val="single" w:sz="6" w:space="0" w:color="FFFFFF"/>
                <w:bottom w:val="single" w:sz="6" w:space="0" w:color="FFFFFF"/>
                <w:right w:val="single" w:sz="6" w:space="0" w:color="FFFFFF"/>
              </w:pBdr>
              <w:spacing w:after="58"/>
            </w:pPr>
            <w:r w:rsidRPr="00396A52">
              <w:t>63.9(h), 63.7, 63.8(e), 63.10(d)(2), 63.10(e)(2), 63.6145(a), 63.6145(f)</w:t>
            </w:r>
          </w:p>
        </w:tc>
      </w:tr>
    </w:tbl>
    <w:p w:rsidR="000B5DC6" w:rsidRPr="00D026C5" w:rsidRDefault="000B5DC6" w:rsidP="000B5DC6">
      <w:pPr>
        <w:pBdr>
          <w:top w:val="single" w:sz="6" w:space="0" w:color="FFFFFF"/>
          <w:left w:val="single" w:sz="6" w:space="0" w:color="FFFFFF"/>
          <w:bottom w:val="single" w:sz="6" w:space="0" w:color="FFFFFF"/>
          <w:right w:val="single" w:sz="6" w:space="0" w:color="FFFFFF"/>
        </w:pBdr>
        <w:ind w:firstLine="720"/>
        <w:rPr>
          <w:sz w:val="20"/>
          <w:szCs w:val="20"/>
        </w:rPr>
      </w:pPr>
    </w:p>
    <w:p w:rsidR="000B5DC6" w:rsidRPr="00D026C5" w:rsidRDefault="000B5DC6" w:rsidP="000B5DC6">
      <w:pPr>
        <w:pBdr>
          <w:top w:val="single" w:sz="6" w:space="0" w:color="FFFFFF"/>
          <w:left w:val="single" w:sz="6" w:space="0" w:color="FFFFFF"/>
          <w:bottom w:val="single" w:sz="6" w:space="0" w:color="FFFFFF"/>
          <w:right w:val="single" w:sz="6" w:space="0" w:color="FFFFFF"/>
        </w:pBdr>
        <w:ind w:firstLine="720"/>
        <w:rPr>
          <w:sz w:val="20"/>
          <w:szCs w:val="20"/>
        </w:rPr>
      </w:pPr>
    </w:p>
    <w:tbl>
      <w:tblPr>
        <w:tblW w:w="0" w:type="auto"/>
        <w:jc w:val="center"/>
        <w:tblLayout w:type="fixed"/>
        <w:tblCellMar>
          <w:left w:w="120" w:type="dxa"/>
          <w:right w:w="120" w:type="dxa"/>
        </w:tblCellMar>
        <w:tblLook w:val="0000"/>
      </w:tblPr>
      <w:tblGrid>
        <w:gridCol w:w="7290"/>
        <w:gridCol w:w="2070"/>
      </w:tblGrid>
      <w:tr w:rsidR="00A73600" w:rsidRPr="00D026C5" w:rsidTr="00D4065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rsidP="006E4A6E">
            <w:pPr>
              <w:pBdr>
                <w:top w:val="single" w:sz="6" w:space="0" w:color="FFFFFF"/>
                <w:left w:val="single" w:sz="6" w:space="0" w:color="FFFFFF"/>
                <w:bottom w:val="single" w:sz="6" w:space="0" w:color="FFFFFF"/>
                <w:right w:val="single" w:sz="6" w:space="0" w:color="FFFFFF"/>
              </w:pBdr>
              <w:spacing w:after="58"/>
              <w:jc w:val="center"/>
              <w:rPr>
                <w:b/>
              </w:rPr>
            </w:pPr>
            <w:r w:rsidRPr="00396A52">
              <w:rPr>
                <w:b/>
              </w:rPr>
              <w:t>Reports</w:t>
            </w:r>
          </w:p>
        </w:tc>
      </w:tr>
      <w:tr w:rsidR="00B72AE1"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72AE1" w:rsidRPr="00D026C5" w:rsidRDefault="00B72AE1" w:rsidP="005C0DCD">
            <w:pPr>
              <w:spacing w:line="120" w:lineRule="exact"/>
            </w:pPr>
          </w:p>
          <w:p w:rsidR="00B72AE1" w:rsidRPr="00672255" w:rsidRDefault="00396A52" w:rsidP="00A522CB">
            <w:pPr>
              <w:pBdr>
                <w:top w:val="single" w:sz="6" w:space="0" w:color="FFFFFF"/>
                <w:left w:val="single" w:sz="6" w:space="0" w:color="FFFFFF"/>
                <w:bottom w:val="single" w:sz="6" w:space="0" w:color="FFFFFF"/>
                <w:right w:val="single" w:sz="6" w:space="0" w:color="FFFFFF"/>
              </w:pBdr>
              <w:spacing w:after="58"/>
              <w:rPr>
                <w:b/>
                <w:i/>
              </w:rPr>
            </w:pPr>
            <w:r w:rsidRPr="00672255">
              <w:rPr>
                <w:b/>
                <w:i/>
              </w:rPr>
              <w:t>Gas-Fired Stationary Combustion Turbine Subcategories</w:t>
            </w:r>
          </w:p>
        </w:tc>
      </w:tr>
      <w:tr w:rsidR="00B72AE1"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72AE1" w:rsidRPr="00D026C5" w:rsidRDefault="00B72AE1" w:rsidP="005C0DCD">
            <w:pPr>
              <w:spacing w:line="120" w:lineRule="exact"/>
            </w:pPr>
          </w:p>
          <w:p w:rsidR="00B72AE1" w:rsidRPr="00D026C5" w:rsidRDefault="00396A52" w:rsidP="00B72AE1">
            <w:pPr>
              <w:pBdr>
                <w:top w:val="single" w:sz="6" w:space="0" w:color="FFFFFF"/>
                <w:left w:val="single" w:sz="6" w:space="0" w:color="FFFFFF"/>
                <w:bottom w:val="single" w:sz="6" w:space="0" w:color="FFFFFF"/>
                <w:right w:val="single" w:sz="6" w:space="0" w:color="FFFFFF"/>
              </w:pBdr>
              <w:spacing w:after="58"/>
              <w:ind w:left="150"/>
            </w:pPr>
            <w:r w:rsidRPr="00396A52">
              <w:t>No reporting requirements due to on-going stay for this subcategory.</w:t>
            </w:r>
          </w:p>
        </w:tc>
      </w:tr>
      <w:tr w:rsidR="00522F7C" w:rsidRPr="00D026C5" w:rsidTr="0086550E">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522F7C" w:rsidRPr="00D026C5" w:rsidRDefault="00522F7C" w:rsidP="0086550E">
            <w:pPr>
              <w:spacing w:line="120" w:lineRule="exact"/>
            </w:pPr>
          </w:p>
          <w:p w:rsidR="00522F7C" w:rsidRPr="00672255" w:rsidRDefault="00396A52" w:rsidP="00A522CB">
            <w:pPr>
              <w:pBdr>
                <w:top w:val="single" w:sz="6" w:space="0" w:color="FFFFFF"/>
                <w:left w:val="single" w:sz="6" w:space="0" w:color="FFFFFF"/>
                <w:bottom w:val="single" w:sz="6" w:space="0" w:color="FFFFFF"/>
                <w:right w:val="single" w:sz="6" w:space="0" w:color="FFFFFF"/>
              </w:pBdr>
              <w:spacing w:after="58"/>
              <w:rPr>
                <w:b/>
                <w:i/>
              </w:rPr>
            </w:pPr>
            <w:r w:rsidRPr="00672255">
              <w:rPr>
                <w:b/>
                <w:i/>
              </w:rPr>
              <w:t>Landfill/Digester Gas-Fired Stationary Combustion Turbine Subcategory</w:t>
            </w:r>
          </w:p>
        </w:tc>
      </w:tr>
      <w:tr w:rsidR="00522F7C" w:rsidRPr="00D026C5" w:rsidTr="0086550E">
        <w:trPr>
          <w:jc w:val="center"/>
        </w:trPr>
        <w:tc>
          <w:tcPr>
            <w:tcW w:w="7290" w:type="dxa"/>
            <w:tcBorders>
              <w:top w:val="single" w:sz="7" w:space="0" w:color="000000"/>
              <w:left w:val="single" w:sz="7" w:space="0" w:color="000000"/>
              <w:bottom w:val="single" w:sz="7" w:space="0" w:color="000000"/>
              <w:right w:val="single" w:sz="7" w:space="0" w:color="000000"/>
            </w:tcBorders>
          </w:tcPr>
          <w:p w:rsidR="00522F7C" w:rsidRPr="00D026C5" w:rsidRDefault="00522F7C" w:rsidP="00CE1607">
            <w:pPr>
              <w:keepNext/>
              <w:spacing w:line="120" w:lineRule="exact"/>
              <w:ind w:left="150"/>
            </w:pPr>
          </w:p>
          <w:p w:rsidR="00522F7C" w:rsidRPr="00D026C5" w:rsidRDefault="00396A52" w:rsidP="00CE1607">
            <w:pPr>
              <w:keepNext/>
              <w:pBdr>
                <w:top w:val="single" w:sz="6" w:space="0" w:color="FFFFFF"/>
                <w:left w:val="single" w:sz="6" w:space="0" w:color="FFFFFF"/>
                <w:bottom w:val="single" w:sz="6" w:space="0" w:color="FFFFFF"/>
                <w:right w:val="single" w:sz="6" w:space="0" w:color="FFFFFF"/>
              </w:pBdr>
              <w:spacing w:after="58"/>
              <w:ind w:left="150"/>
            </w:pPr>
            <w:r w:rsidRPr="00396A52">
              <w:t>Annual compliance report</w:t>
            </w:r>
          </w:p>
        </w:tc>
        <w:tc>
          <w:tcPr>
            <w:tcW w:w="2070" w:type="dxa"/>
            <w:tcBorders>
              <w:top w:val="single" w:sz="7" w:space="0" w:color="000000"/>
              <w:left w:val="single" w:sz="7" w:space="0" w:color="000000"/>
              <w:bottom w:val="single" w:sz="7" w:space="0" w:color="000000"/>
              <w:right w:val="single" w:sz="7" w:space="0" w:color="000000"/>
            </w:tcBorders>
          </w:tcPr>
          <w:p w:rsidR="00522F7C" w:rsidRPr="00D026C5" w:rsidRDefault="00522F7C" w:rsidP="00CE1607">
            <w:pPr>
              <w:keepNext/>
              <w:spacing w:line="120" w:lineRule="exact"/>
            </w:pPr>
          </w:p>
          <w:p w:rsidR="00522F7C" w:rsidRPr="00D026C5" w:rsidRDefault="00396A52" w:rsidP="00CE1607">
            <w:pPr>
              <w:keepNext/>
              <w:pBdr>
                <w:top w:val="single" w:sz="6" w:space="0" w:color="FFFFFF"/>
                <w:left w:val="single" w:sz="6" w:space="0" w:color="FFFFFF"/>
                <w:bottom w:val="single" w:sz="6" w:space="0" w:color="FFFFFF"/>
                <w:right w:val="single" w:sz="6" w:space="0" w:color="FFFFFF"/>
              </w:pBdr>
              <w:spacing w:after="58"/>
            </w:pPr>
            <w:r w:rsidRPr="00396A52">
              <w:t>63.6090(b)(2), 63.6150(c)</w:t>
            </w:r>
          </w:p>
        </w:tc>
      </w:tr>
      <w:tr w:rsidR="00B72AE1"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72AE1" w:rsidRPr="00D026C5" w:rsidRDefault="00B72AE1" w:rsidP="005C0DCD">
            <w:pPr>
              <w:spacing w:line="120" w:lineRule="exact"/>
            </w:pPr>
          </w:p>
          <w:p w:rsidR="00B72AE1" w:rsidRPr="00672255" w:rsidRDefault="00396A52" w:rsidP="00A522CB">
            <w:pPr>
              <w:pBdr>
                <w:top w:val="single" w:sz="6" w:space="0" w:color="FFFFFF"/>
                <w:left w:val="single" w:sz="6" w:space="0" w:color="FFFFFF"/>
                <w:bottom w:val="single" w:sz="6" w:space="0" w:color="FFFFFF"/>
                <w:right w:val="single" w:sz="6" w:space="0" w:color="FFFFFF"/>
              </w:pBdr>
              <w:spacing w:after="58"/>
              <w:rPr>
                <w:b/>
                <w:i/>
              </w:rPr>
            </w:pPr>
            <w:r w:rsidRPr="00672255">
              <w:rPr>
                <w:b/>
                <w:i/>
              </w:rPr>
              <w:t>Oil-Fired Stationary Combustion Turbine Subcategories</w:t>
            </w:r>
          </w:p>
        </w:tc>
      </w:tr>
      <w:tr w:rsidR="003D06E7" w:rsidRPr="00D026C5" w:rsidTr="009121CE">
        <w:trPr>
          <w:jc w:val="center"/>
        </w:trPr>
        <w:tc>
          <w:tcPr>
            <w:tcW w:w="7290" w:type="dxa"/>
            <w:tcBorders>
              <w:top w:val="single" w:sz="7" w:space="0" w:color="000000"/>
              <w:left w:val="single" w:sz="7" w:space="0" w:color="000000"/>
              <w:bottom w:val="single" w:sz="7" w:space="0" w:color="000000"/>
              <w:right w:val="single" w:sz="7" w:space="0" w:color="000000"/>
            </w:tcBorders>
          </w:tcPr>
          <w:p w:rsidR="003D06E7" w:rsidRPr="00D026C5" w:rsidRDefault="003D06E7" w:rsidP="00B72AE1">
            <w:pPr>
              <w:spacing w:line="120" w:lineRule="exact"/>
              <w:ind w:left="150"/>
            </w:pPr>
          </w:p>
          <w:p w:rsidR="003D06E7" w:rsidRPr="00D026C5" w:rsidRDefault="00396A52" w:rsidP="00B72AE1">
            <w:pPr>
              <w:pBdr>
                <w:top w:val="single" w:sz="6" w:space="0" w:color="FFFFFF"/>
                <w:left w:val="single" w:sz="6" w:space="0" w:color="FFFFFF"/>
                <w:bottom w:val="single" w:sz="6" w:space="0" w:color="FFFFFF"/>
                <w:right w:val="single" w:sz="6" w:space="0" w:color="FFFFFF"/>
              </w:pBdr>
              <w:spacing w:after="58"/>
              <w:ind w:left="150"/>
            </w:pPr>
            <w:r w:rsidRPr="00396A52">
              <w:t>Excess emissions and parameter exceedance reports</w:t>
            </w:r>
          </w:p>
        </w:tc>
        <w:tc>
          <w:tcPr>
            <w:tcW w:w="2070" w:type="dxa"/>
            <w:tcBorders>
              <w:top w:val="single" w:sz="7" w:space="0" w:color="000000"/>
              <w:left w:val="single" w:sz="7" w:space="0" w:color="000000"/>
              <w:bottom w:val="single" w:sz="7" w:space="0" w:color="000000"/>
              <w:right w:val="single" w:sz="7" w:space="0" w:color="000000"/>
            </w:tcBorders>
          </w:tcPr>
          <w:p w:rsidR="003D06E7" w:rsidRPr="00D026C5" w:rsidRDefault="003D06E7" w:rsidP="009121CE">
            <w:pPr>
              <w:spacing w:line="120" w:lineRule="exact"/>
            </w:pPr>
          </w:p>
          <w:p w:rsidR="003D06E7" w:rsidRPr="00D026C5" w:rsidRDefault="00396A52" w:rsidP="009121CE">
            <w:pPr>
              <w:pBdr>
                <w:top w:val="single" w:sz="6" w:space="0" w:color="FFFFFF"/>
                <w:left w:val="single" w:sz="6" w:space="0" w:color="FFFFFF"/>
                <w:bottom w:val="single" w:sz="6" w:space="0" w:color="FFFFFF"/>
                <w:right w:val="single" w:sz="6" w:space="0" w:color="FFFFFF"/>
              </w:pBdr>
              <w:spacing w:after="58"/>
            </w:pPr>
            <w:r w:rsidRPr="00396A52">
              <w:t>63.10(e)(3)</w:t>
            </w:r>
          </w:p>
        </w:tc>
      </w:tr>
      <w:tr w:rsidR="004A081B" w:rsidRPr="00D026C5">
        <w:trPr>
          <w:jc w:val="center"/>
        </w:trPr>
        <w:tc>
          <w:tcPr>
            <w:tcW w:w="7290" w:type="dxa"/>
            <w:tcBorders>
              <w:top w:val="single" w:sz="7" w:space="0" w:color="000000"/>
              <w:left w:val="single" w:sz="7" w:space="0" w:color="000000"/>
              <w:bottom w:val="single" w:sz="7" w:space="0" w:color="000000"/>
              <w:right w:val="single" w:sz="7" w:space="0" w:color="000000"/>
            </w:tcBorders>
          </w:tcPr>
          <w:p w:rsidR="004A081B" w:rsidRPr="00D026C5" w:rsidRDefault="004A081B" w:rsidP="00B72AE1">
            <w:pPr>
              <w:spacing w:line="120" w:lineRule="exact"/>
              <w:ind w:left="150"/>
            </w:pPr>
          </w:p>
          <w:p w:rsidR="004A081B" w:rsidRPr="00D026C5" w:rsidRDefault="00396A52" w:rsidP="00B72AE1">
            <w:pPr>
              <w:pBdr>
                <w:top w:val="single" w:sz="6" w:space="0" w:color="FFFFFF"/>
                <w:left w:val="single" w:sz="6" w:space="0" w:color="FFFFFF"/>
                <w:bottom w:val="single" w:sz="6" w:space="0" w:color="FFFFFF"/>
                <w:right w:val="single" w:sz="6" w:space="0" w:color="FFFFFF"/>
              </w:pBdr>
              <w:spacing w:after="58"/>
              <w:ind w:left="150"/>
            </w:pPr>
            <w:r w:rsidRPr="00396A52">
              <w:t>Semiannual compliance reports</w:t>
            </w:r>
          </w:p>
        </w:tc>
        <w:tc>
          <w:tcPr>
            <w:tcW w:w="2070" w:type="dxa"/>
            <w:tcBorders>
              <w:top w:val="single" w:sz="7" w:space="0" w:color="000000"/>
              <w:left w:val="single" w:sz="7" w:space="0" w:color="000000"/>
              <w:bottom w:val="single" w:sz="7" w:space="0" w:color="000000"/>
              <w:right w:val="single" w:sz="7" w:space="0" w:color="000000"/>
            </w:tcBorders>
          </w:tcPr>
          <w:p w:rsidR="004A081B" w:rsidRPr="00D026C5" w:rsidRDefault="004A081B">
            <w:pPr>
              <w:spacing w:line="120" w:lineRule="exact"/>
            </w:pPr>
          </w:p>
          <w:p w:rsidR="004A081B" w:rsidRPr="00D026C5" w:rsidRDefault="00396A52" w:rsidP="00D4065A">
            <w:pPr>
              <w:pBdr>
                <w:top w:val="single" w:sz="6" w:space="0" w:color="FFFFFF"/>
                <w:left w:val="single" w:sz="6" w:space="0" w:color="FFFFFF"/>
                <w:bottom w:val="single" w:sz="6" w:space="0" w:color="FFFFFF"/>
                <w:right w:val="single" w:sz="6" w:space="0" w:color="FFFFFF"/>
              </w:pBdr>
              <w:spacing w:after="58"/>
            </w:pPr>
            <w:r w:rsidRPr="00396A52">
              <w:t>63.6150(a)</w:t>
            </w:r>
          </w:p>
        </w:tc>
      </w:tr>
    </w:tbl>
    <w:p w:rsidR="00CA4CD6" w:rsidRPr="00D026C5" w:rsidRDefault="00396A52" w:rsidP="00672255">
      <w:pPr>
        <w:pBdr>
          <w:top w:val="single" w:sz="6" w:space="0" w:color="FFFFFF"/>
          <w:left w:val="single" w:sz="6" w:space="0" w:color="FFFFFF"/>
          <w:bottom w:val="single" w:sz="6" w:space="0" w:color="FFFFFF"/>
          <w:right w:val="single" w:sz="6" w:space="0" w:color="FFFFFF"/>
        </w:pBdr>
        <w:ind w:left="720" w:firstLine="720"/>
      </w:pPr>
      <w:r w:rsidRPr="00396A52">
        <w:lastRenderedPageBreak/>
        <w:t>A source must keep the following records:</w:t>
      </w:r>
    </w:p>
    <w:p w:rsidR="00CA4CD6" w:rsidRPr="00D026C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D026C5" w:rsidTr="00D4065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rsidP="00ED57EE">
            <w:pPr>
              <w:pBdr>
                <w:top w:val="single" w:sz="6" w:space="0" w:color="FFFFFF"/>
                <w:left w:val="single" w:sz="6" w:space="0" w:color="FFFFFF"/>
                <w:bottom w:val="single" w:sz="6" w:space="0" w:color="FFFFFF"/>
                <w:right w:val="single" w:sz="6" w:space="0" w:color="FFFFFF"/>
              </w:pBdr>
              <w:spacing w:after="58"/>
              <w:jc w:val="center"/>
              <w:rPr>
                <w:b/>
              </w:rPr>
            </w:pPr>
            <w:r w:rsidRPr="00396A52">
              <w:rPr>
                <w:b/>
              </w:rPr>
              <w:t xml:space="preserve">Recordkeeping </w:t>
            </w:r>
          </w:p>
        </w:tc>
      </w:tr>
      <w:tr w:rsidR="00B72AE1" w:rsidRPr="00D026C5" w:rsidTr="005C0DCD">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72AE1" w:rsidRPr="00D026C5" w:rsidRDefault="00B72AE1" w:rsidP="005C0DCD">
            <w:pPr>
              <w:spacing w:line="120" w:lineRule="exact"/>
            </w:pPr>
          </w:p>
          <w:p w:rsidR="00B72AE1" w:rsidRPr="005063CD" w:rsidRDefault="00396A52" w:rsidP="00A522CB">
            <w:pPr>
              <w:pBdr>
                <w:top w:val="single" w:sz="6" w:space="0" w:color="FFFFFF"/>
                <w:left w:val="single" w:sz="6" w:space="0" w:color="FFFFFF"/>
                <w:bottom w:val="single" w:sz="6" w:space="0" w:color="FFFFFF"/>
                <w:right w:val="single" w:sz="6" w:space="0" w:color="FFFFFF"/>
              </w:pBdr>
              <w:spacing w:after="58"/>
              <w:rPr>
                <w:b/>
                <w:i/>
              </w:rPr>
            </w:pPr>
            <w:r w:rsidRPr="005063CD">
              <w:rPr>
                <w:b/>
                <w:i/>
              </w:rPr>
              <w:t>All Subcategories</w:t>
            </w:r>
          </w:p>
        </w:tc>
      </w:tr>
      <w:tr w:rsidR="00CA4CD6" w:rsidRPr="00D026C5">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D026C5" w:rsidRDefault="00CA4CD6" w:rsidP="00B72AE1">
            <w:pPr>
              <w:spacing w:line="120" w:lineRule="exact"/>
              <w:ind w:left="150"/>
            </w:pPr>
          </w:p>
          <w:p w:rsidR="00CA4CD6" w:rsidRPr="00D026C5" w:rsidRDefault="00396A52" w:rsidP="00B72AE1">
            <w:pPr>
              <w:pBdr>
                <w:top w:val="single" w:sz="6" w:space="0" w:color="FFFFFF"/>
                <w:left w:val="single" w:sz="6" w:space="0" w:color="FFFFFF"/>
                <w:bottom w:val="single" w:sz="6" w:space="0" w:color="FFFFFF"/>
                <w:right w:val="single" w:sz="6" w:space="0" w:color="FFFFFF"/>
              </w:pBdr>
              <w:spacing w:after="58"/>
              <w:ind w:left="150"/>
            </w:pPr>
            <w:r w:rsidRPr="00396A52">
              <w:t>Maintain records of monitoring data</w:t>
            </w:r>
          </w:p>
        </w:tc>
        <w:tc>
          <w:tcPr>
            <w:tcW w:w="2250" w:type="dxa"/>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8"/>
            </w:pPr>
            <w:r w:rsidRPr="00396A52">
              <w:t>63.7(g), 63.6155</w:t>
            </w:r>
          </w:p>
        </w:tc>
      </w:tr>
      <w:tr w:rsidR="00CA4CD6" w:rsidRPr="00D026C5">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D026C5" w:rsidRDefault="00CA4CD6" w:rsidP="00B72AE1">
            <w:pPr>
              <w:spacing w:line="120" w:lineRule="exact"/>
              <w:ind w:left="150"/>
            </w:pPr>
          </w:p>
          <w:p w:rsidR="00CA4CD6" w:rsidRPr="00D026C5" w:rsidRDefault="00396A52" w:rsidP="00B72AE1">
            <w:pPr>
              <w:pBdr>
                <w:top w:val="single" w:sz="6" w:space="0" w:color="FFFFFF"/>
                <w:left w:val="single" w:sz="6" w:space="0" w:color="FFFFFF"/>
                <w:bottom w:val="single" w:sz="6" w:space="0" w:color="FFFFFF"/>
                <w:right w:val="single" w:sz="6" w:space="0" w:color="FFFFFF"/>
              </w:pBdr>
              <w:spacing w:after="58"/>
              <w:ind w:left="150"/>
            </w:pPr>
            <w:r w:rsidRPr="00396A52">
              <w:t>Maintain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8"/>
            </w:pPr>
            <w:r w:rsidRPr="00396A52">
              <w:t>63.10(b), 63.6160(b)</w:t>
            </w:r>
          </w:p>
        </w:tc>
      </w:tr>
    </w:tbl>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pPr>
      <w:r w:rsidRPr="00396A52">
        <w:rPr>
          <w:u w:val="single"/>
        </w:rPr>
        <w:t>Electronic Reporting</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1440"/>
        <w:rPr>
          <w:b/>
          <w:bCs/>
        </w:rPr>
      </w:pPr>
      <w:r w:rsidRPr="00396A52">
        <w:rPr>
          <w:b/>
          <w:bCs/>
        </w:rPr>
        <w:t>(ii)  Respondent Activities</w:t>
      </w:r>
      <w:r w:rsidRPr="00396A52">
        <w:rPr>
          <w:b/>
          <w:bCs/>
        </w:rPr>
        <w:tab/>
      </w:r>
    </w:p>
    <w:p w:rsidR="00CA4CD6" w:rsidRPr="00D026C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D026C5" w:rsidTr="00F54760">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jc w:val="center"/>
              <w:rPr>
                <w:b/>
                <w:bCs/>
              </w:rPr>
            </w:pPr>
            <w:r w:rsidRPr="00396A52">
              <w:rPr>
                <w:b/>
                <w:bCs/>
              </w:rPr>
              <w:t>Respondent Activities</w:t>
            </w:r>
          </w:p>
        </w:tc>
      </w:tr>
      <w:tr w:rsidR="00CA4CD6" w:rsidRPr="00D026C5" w:rsidTr="005063CD">
        <w:trPr>
          <w:trHeight w:val="350"/>
          <w:jc w:val="center"/>
        </w:trPr>
        <w:tc>
          <w:tcPr>
            <w:tcW w:w="9360" w:type="dxa"/>
            <w:tcBorders>
              <w:top w:val="single" w:sz="4" w:space="0" w:color="auto"/>
              <w:left w:val="single" w:sz="7" w:space="0" w:color="000000"/>
              <w:bottom w:val="single" w:sz="8" w:space="0" w:color="000000"/>
              <w:right w:val="single" w:sz="7" w:space="0" w:color="000000"/>
            </w:tcBorders>
          </w:tcPr>
          <w:p w:rsidR="00CA4CD6" w:rsidRPr="00D026C5" w:rsidRDefault="00CA4CD6">
            <w:pPr>
              <w:spacing w:line="120" w:lineRule="exact"/>
              <w:rPr>
                <w:b/>
                <w:bCs/>
              </w:rPr>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Read instructions.</w:t>
            </w:r>
          </w:p>
        </w:tc>
      </w:tr>
      <w:tr w:rsidR="00CA4CD6" w:rsidRPr="00D026C5" w:rsidTr="00F54760">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D026C5" w:rsidRDefault="00CA4CD6">
            <w:pPr>
              <w:spacing w:line="120" w:lineRule="exact"/>
            </w:pPr>
          </w:p>
          <w:p w:rsidR="00CA4CD6" w:rsidRPr="00D026C5" w:rsidRDefault="00396A52" w:rsidP="00D4065A">
            <w:pPr>
              <w:pBdr>
                <w:top w:val="single" w:sz="6" w:space="0" w:color="FFFFFF"/>
                <w:left w:val="single" w:sz="6" w:space="0" w:color="FFFFFF"/>
                <w:bottom w:val="single" w:sz="6" w:space="0" w:color="FFFFFF"/>
                <w:right w:val="single" w:sz="6" w:space="0" w:color="FFFFFF"/>
              </w:pBdr>
              <w:spacing w:after="55"/>
            </w:pPr>
            <w:r w:rsidRPr="00396A52">
              <w:t>Install, calibrate, maintain, and operate the catalyst inlet temperature monitor.</w:t>
            </w:r>
          </w:p>
        </w:tc>
      </w:tr>
      <w:tr w:rsidR="00CA4CD6" w:rsidRPr="00D026C5" w:rsidTr="00F54760">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D026C5" w:rsidRDefault="00CA4CD6">
            <w:pPr>
              <w:spacing w:line="120" w:lineRule="exact"/>
            </w:pPr>
          </w:p>
          <w:p w:rsidR="00CA4CD6" w:rsidRPr="00D026C5" w:rsidRDefault="00396A52" w:rsidP="00D4065A">
            <w:pPr>
              <w:pBdr>
                <w:top w:val="single" w:sz="6" w:space="0" w:color="FFFFFF"/>
                <w:left w:val="single" w:sz="6" w:space="0" w:color="FFFFFF"/>
                <w:bottom w:val="single" w:sz="6" w:space="0" w:color="FFFFFF"/>
                <w:right w:val="single" w:sz="6" w:space="0" w:color="FFFFFF"/>
              </w:pBdr>
              <w:spacing w:after="55"/>
            </w:pPr>
            <w:r w:rsidRPr="00396A52">
              <w:t>Perform initial performance test, Reference Method 320 test, and repeat performance tests if necessary.</w:t>
            </w:r>
          </w:p>
        </w:tc>
      </w:tr>
      <w:tr w:rsidR="00CA4CD6" w:rsidRPr="00D026C5" w:rsidTr="00F54760">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Write the notifications and reports listed above.</w:t>
            </w:r>
          </w:p>
        </w:tc>
      </w:tr>
      <w:tr w:rsidR="00CA4CD6" w:rsidRPr="00D026C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Enter information required to be recorded above.</w:t>
            </w:r>
          </w:p>
        </w:tc>
      </w:tr>
      <w:tr w:rsidR="00CA4CD6" w:rsidRPr="00D026C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Submit the required reports developing, acquiring, installing, and utilizing technology and systems for the purpose of collecting, validating, and verifying information.</w:t>
            </w:r>
          </w:p>
        </w:tc>
      </w:tr>
      <w:tr w:rsidR="00CA4CD6" w:rsidRPr="00D026C5" w:rsidTr="005063CD">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Develop, acquire, install, and utilize technology and systems for the purpose of processing and maintaining information.</w:t>
            </w:r>
          </w:p>
        </w:tc>
      </w:tr>
      <w:tr w:rsidR="00CA4CD6" w:rsidRPr="00D026C5" w:rsidTr="005063CD">
        <w:trPr>
          <w:jc w:val="center"/>
        </w:trPr>
        <w:tc>
          <w:tcPr>
            <w:tcW w:w="9360" w:type="dxa"/>
            <w:tcBorders>
              <w:top w:val="single" w:sz="4" w:space="0" w:color="auto"/>
              <w:left w:val="single" w:sz="4" w:space="0" w:color="auto"/>
              <w:bottom w:val="single" w:sz="4" w:space="0" w:color="auto"/>
              <w:right w:val="single" w:sz="4" w:space="0" w:color="auto"/>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t>Develop, acquire, install, and utilize technology and systems for the purpose of disclosing and providing information.</w:t>
            </w:r>
          </w:p>
        </w:tc>
      </w:tr>
      <w:tr w:rsidR="00CA4CD6" w:rsidRPr="00D026C5" w:rsidTr="005063CD">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5"/>
            </w:pPr>
            <w:r w:rsidRPr="00396A52">
              <w:lastRenderedPageBreak/>
              <w:t>Train personnel to be able to respond to a collection of information.</w:t>
            </w:r>
          </w:p>
        </w:tc>
      </w:tr>
      <w:tr w:rsidR="00CA4CD6" w:rsidRPr="00D026C5">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74"/>
            </w:pPr>
            <w:r w:rsidRPr="00396A52">
              <w:t>Transmit or otherwise disclose the information.</w:t>
            </w:r>
          </w:p>
        </w:tc>
      </w:tr>
    </w:tbl>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387FA5">
      <w:pPr>
        <w:pBdr>
          <w:top w:val="single" w:sz="6" w:space="0" w:color="FFFFFF"/>
          <w:left w:val="single" w:sz="6" w:space="0" w:color="FFFFFF"/>
          <w:bottom w:val="single" w:sz="6" w:space="0" w:color="FFFFFF"/>
          <w:right w:val="single" w:sz="6" w:space="0" w:color="FFFFFF"/>
        </w:pBdr>
        <w:ind w:firstLine="720"/>
      </w:pPr>
      <w:r w:rsidRPr="00396A52">
        <w:t xml:space="preserve">Currently sources are using monitoring and reporting equipment that provide parameter data in an automated way </w:t>
      </w:r>
      <w:r w:rsidR="00C11EFA">
        <w:t>(</w:t>
      </w:r>
      <w:r w:rsidRPr="00396A52">
        <w:t>e.g., continuous parameter monitoring system</w:t>
      </w:r>
      <w:r w:rsidR="00C11EFA">
        <w:t>)</w:t>
      </w:r>
      <w:r w:rsidRPr="00396A52">
        <w:t xml:space="preserve">.  Although personnel at the source still need to evaluate the data, this type of monitoring equipment has significantly reduced the burden associated with monitoring and recordkeeping. </w:t>
      </w:r>
    </w:p>
    <w:p w:rsidR="00606DEF" w:rsidRPr="00D026C5" w:rsidRDefault="00606DEF">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rPr>
          <w:b/>
          <w:bCs/>
        </w:rPr>
      </w:pPr>
      <w:r w:rsidRPr="00396A52">
        <w:rPr>
          <w:b/>
          <w:bCs/>
        </w:rPr>
        <w:t>5.  The Information Collected:  Agency Activities, Collection Methodology, and Information Management</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5(a</w:t>
      </w:r>
      <w:proofErr w:type="gramStart"/>
      <w:r w:rsidRPr="00396A52">
        <w:rPr>
          <w:b/>
          <w:bCs/>
        </w:rPr>
        <w:t>)  Agency</w:t>
      </w:r>
      <w:proofErr w:type="gramEnd"/>
      <w:r w:rsidRPr="00396A52">
        <w:rPr>
          <w:b/>
          <w:bCs/>
        </w:rPr>
        <w:t xml:space="preserve"> Activities</w:t>
      </w:r>
      <w:r w:rsidRPr="00396A52">
        <w:t xml:space="preserve"> </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EPA conducts the following activities in connection with the acquisition, analysis, storage, and distribution of the required information.</w:t>
      </w:r>
    </w:p>
    <w:p w:rsidR="00CA4CD6" w:rsidRPr="00D026C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D026C5">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b/>
                <w:bCs/>
              </w:rPr>
            </w:pPr>
            <w:r w:rsidRPr="00396A52">
              <w:rPr>
                <w:b/>
                <w:bCs/>
              </w:rPr>
              <w:t>Agency Activities</w:t>
            </w:r>
          </w:p>
        </w:tc>
      </w:tr>
      <w:tr w:rsidR="00CA4CD6" w:rsidRPr="00D026C5">
        <w:tc>
          <w:tcPr>
            <w:tcW w:w="9360" w:type="dxa"/>
            <w:tcBorders>
              <w:top w:val="single" w:sz="7" w:space="0" w:color="000000"/>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2"/>
            </w:pPr>
            <w:r w:rsidRPr="00396A52">
              <w:t>Review notifications and reports, including performance test reports, and excess emissions reports, required to be submitted by industry.</w:t>
            </w:r>
          </w:p>
        </w:tc>
      </w:tr>
      <w:tr w:rsidR="00CA4CD6" w:rsidRPr="00D026C5">
        <w:tc>
          <w:tcPr>
            <w:tcW w:w="9360" w:type="dxa"/>
            <w:tcBorders>
              <w:top w:val="single" w:sz="7" w:space="0" w:color="000000"/>
              <w:left w:val="single" w:sz="7" w:space="0" w:color="000000"/>
              <w:bottom w:val="single" w:sz="6" w:space="0" w:color="FFFFFF"/>
              <w:right w:val="single" w:sz="7" w:space="0" w:color="000000"/>
            </w:tcBorders>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2"/>
            </w:pPr>
            <w:r w:rsidRPr="00396A52">
              <w:t>Audit facility records.</w:t>
            </w:r>
          </w:p>
        </w:tc>
      </w:tr>
      <w:tr w:rsidR="00CA4CD6" w:rsidRPr="00D026C5">
        <w:tc>
          <w:tcPr>
            <w:tcW w:w="9360" w:type="dxa"/>
            <w:tcBorders>
              <w:top w:val="single" w:sz="7" w:space="0" w:color="000000"/>
              <w:left w:val="single" w:sz="7" w:space="0" w:color="000000"/>
              <w:bottom w:val="single" w:sz="7" w:space="0" w:color="000000"/>
              <w:right w:val="single" w:sz="7" w:space="0" w:color="000000"/>
            </w:tcBorders>
          </w:tcPr>
          <w:p w:rsidR="00CA4CD6" w:rsidRPr="00D026C5" w:rsidRDefault="00CA4CD6">
            <w:pPr>
              <w:spacing w:line="120" w:lineRule="exact"/>
            </w:pPr>
          </w:p>
          <w:p w:rsidR="00CA4CD6" w:rsidRPr="00D026C5" w:rsidRDefault="00396A52" w:rsidP="00ED57EE">
            <w:pPr>
              <w:pBdr>
                <w:top w:val="single" w:sz="6" w:space="0" w:color="FFFFFF"/>
                <w:left w:val="single" w:sz="6" w:space="0" w:color="FFFFFF"/>
                <w:bottom w:val="single" w:sz="6" w:space="0" w:color="FFFFFF"/>
                <w:right w:val="single" w:sz="6" w:space="0" w:color="FFFFFF"/>
              </w:pBdr>
              <w:spacing w:after="72"/>
            </w:pPr>
            <w:r w:rsidRPr="00396A52">
              <w:t xml:space="preserve">Input, analyze, and maintain data in the </w:t>
            </w:r>
            <w:r w:rsidR="00ED57EE">
              <w:t>OTIS</w:t>
            </w:r>
            <w:r w:rsidRPr="00396A52">
              <w:t xml:space="preserve">. </w:t>
            </w:r>
          </w:p>
        </w:tc>
      </w:tr>
    </w:tbl>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5(b</w:t>
      </w:r>
      <w:proofErr w:type="gramStart"/>
      <w:r w:rsidRPr="00396A52">
        <w:rPr>
          <w:b/>
          <w:bCs/>
        </w:rPr>
        <w:t>)  Collection</w:t>
      </w:r>
      <w:proofErr w:type="gramEnd"/>
      <w:r>
        <w:rPr>
          <w:b/>
          <w:bCs/>
        </w:rPr>
        <w:t xml:space="preserve"> Methodology and Management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 xml:space="preserve">Information contained in </w:t>
      </w:r>
      <w:r w:rsidRPr="00396A52">
        <w:t xml:space="preserve">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w:t>
      </w:r>
      <w:r w:rsidRPr="00396A52">
        <w:lastRenderedPageBreak/>
        <w:t>EPA and its delegated Authorities can edit, store, retrieve and analyze the data.</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t xml:space="preserve"> The records required by this regulation must be retained by the owner/operator for five years.</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5(c</w:t>
      </w:r>
      <w:proofErr w:type="gramStart"/>
      <w:r w:rsidRPr="00396A52">
        <w:rPr>
          <w:b/>
          <w:bCs/>
        </w:rPr>
        <w:t>)  Small</w:t>
      </w:r>
      <w:proofErr w:type="gramEnd"/>
      <w:r w:rsidRPr="00396A52">
        <w:rPr>
          <w:b/>
          <w:bCs/>
        </w:rPr>
        <w:t xml:space="preserve"> Entity Flexibility</w:t>
      </w:r>
    </w:p>
    <w:p w:rsidR="00CA4CD6" w:rsidRPr="00D026C5" w:rsidRDefault="00CA4CD6" w:rsidP="006E4A6E">
      <w:pPr>
        <w:pBdr>
          <w:top w:val="single" w:sz="6" w:space="0" w:color="FFFFFF"/>
          <w:left w:val="single" w:sz="6" w:space="0" w:color="FFFFFF"/>
          <w:bottom w:val="single" w:sz="6" w:space="0" w:color="FFFFFF"/>
          <w:right w:val="single" w:sz="6" w:space="0" w:color="FFFFFF"/>
        </w:pBdr>
      </w:pPr>
    </w:p>
    <w:p w:rsidR="00BD2FC0" w:rsidRPr="00D026C5" w:rsidRDefault="00396A52" w:rsidP="00387FA5">
      <w:pPr>
        <w:pBdr>
          <w:top w:val="single" w:sz="6" w:space="0" w:color="FFFFFF"/>
          <w:left w:val="single" w:sz="6" w:space="0" w:color="FFFFFF"/>
          <w:bottom w:val="single" w:sz="6" w:space="0" w:color="FFFFFF"/>
          <w:right w:val="single" w:sz="6" w:space="0" w:color="FFFFFF"/>
        </w:pBdr>
        <w:ind w:firstLine="720"/>
      </w:pPr>
      <w:r w:rsidRPr="00396A52">
        <w:t>A majority of the respondents are large entities (i.e., large businesses).  However, the impact on small entities (i.e., small businesses) was taken into consideration during the development of the regulation.  During rule development, EPA conducted a regulatory impact analysis and concluded that the rule does not have a significant economic impact on small entities.  Furthermore, EPA determined that any potential impacts are further reduced by the rule’s exclusion of turbines with capacities below 1.0 megawatt.</w:t>
      </w:r>
    </w:p>
    <w:p w:rsidR="00BD2FC0" w:rsidRPr="00D026C5" w:rsidRDefault="00BD2FC0" w:rsidP="00387FA5">
      <w:pPr>
        <w:pBdr>
          <w:top w:val="single" w:sz="6" w:space="0" w:color="FFFFFF"/>
          <w:left w:val="single" w:sz="6" w:space="0" w:color="FFFFFF"/>
          <w:bottom w:val="single" w:sz="6" w:space="0" w:color="FFFFFF"/>
          <w:right w:val="single" w:sz="6" w:space="0" w:color="FFFFFF"/>
        </w:pBdr>
        <w:ind w:firstLine="720"/>
      </w:pPr>
    </w:p>
    <w:p w:rsidR="00CA4CD6" w:rsidRPr="00D026C5" w:rsidRDefault="00396A52" w:rsidP="00387FA5">
      <w:pPr>
        <w:pBdr>
          <w:top w:val="single" w:sz="6" w:space="0" w:color="FFFFFF"/>
          <w:left w:val="single" w:sz="6" w:space="0" w:color="FFFFFF"/>
          <w:bottom w:val="single" w:sz="6" w:space="0" w:color="FFFFFF"/>
          <w:right w:val="single" w:sz="6" w:space="0" w:color="FFFFFF"/>
        </w:pBdr>
        <w:ind w:firstLine="720"/>
      </w:pPr>
      <w:r w:rsidRPr="00396A52">
        <w:t>Due to technical considerations</w:t>
      </w:r>
      <w:r w:rsidR="00110709">
        <w:t>, which</w:t>
      </w:r>
      <w:r w:rsidRPr="00396A52">
        <w:t xml:space="preserve"> involv</w:t>
      </w:r>
      <w:r w:rsidR="00110709">
        <w:t>e</w:t>
      </w:r>
      <w:r w:rsidRPr="00396A52">
        <w:t xml:space="preserve">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343B84" w:rsidRPr="00D026C5" w:rsidRDefault="00343B84" w:rsidP="00387FA5">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5(d</w:t>
      </w:r>
      <w:proofErr w:type="gramStart"/>
      <w:r w:rsidRPr="00396A52">
        <w:rPr>
          <w:b/>
          <w:bCs/>
        </w:rPr>
        <w:t>)  Collection</w:t>
      </w:r>
      <w:proofErr w:type="gramEnd"/>
      <w:r w:rsidRPr="00396A52">
        <w:rPr>
          <w:b/>
          <w:bCs/>
        </w:rPr>
        <w:t xml:space="preserve"> Schedule</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rPr>
          <w:b/>
          <w:bCs/>
        </w:rPr>
      </w:pPr>
      <w:r w:rsidRPr="00396A52">
        <w:t xml:space="preserve">The specific frequency for each information collection activity within this request is shown in below Table 1: </w:t>
      </w:r>
      <w:r w:rsidR="009906D6">
        <w:t xml:space="preserve">Annual Respondent Burden and Cost – </w:t>
      </w:r>
      <w:r w:rsidRPr="00396A52">
        <w:t>NESHAP for Stationary Combustion Turbines (40 CFR Part 63, Subpart YYYY) (Renewal).</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rsidP="004C701D">
      <w:pPr>
        <w:pBdr>
          <w:top w:val="single" w:sz="6" w:space="1" w:color="FFFFFF"/>
          <w:left w:val="single" w:sz="6" w:space="0" w:color="FFFFFF"/>
          <w:bottom w:val="single" w:sz="6" w:space="0" w:color="FFFFFF"/>
          <w:right w:val="single" w:sz="6" w:space="0" w:color="FFFFFF"/>
        </w:pBdr>
        <w:rPr>
          <w:b/>
          <w:bCs/>
        </w:rPr>
      </w:pPr>
      <w:r w:rsidRPr="00396A52">
        <w:rPr>
          <w:b/>
          <w:bCs/>
        </w:rPr>
        <w:t>6.  Estimating the Burden and Cost of the Collection</w:t>
      </w:r>
    </w:p>
    <w:p w:rsidR="00CA4CD6" w:rsidRPr="00D026C5"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D026C5" w:rsidRDefault="00396A52" w:rsidP="004C701D">
      <w:pPr>
        <w:pBdr>
          <w:top w:val="single" w:sz="6" w:space="1" w:color="FFFFFF"/>
          <w:left w:val="single" w:sz="6" w:space="0" w:color="FFFFFF"/>
          <w:bottom w:val="single" w:sz="6" w:space="0" w:color="FFFFFF"/>
          <w:right w:val="single" w:sz="6" w:space="0" w:color="FFFFFF"/>
        </w:pBdr>
        <w:ind w:firstLine="720"/>
      </w:pPr>
      <w:r w:rsidRPr="00396A52">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5063CD">
        <w:t>ver</w:t>
      </w:r>
      <w:r w:rsidRPr="00396A52">
        <w:t xml:space="preserve"> appropriate, specific tasks and major assumptions have been identified.  Responses to this information collection are mandatory.</w:t>
      </w:r>
    </w:p>
    <w:p w:rsidR="00CA4CD6" w:rsidRPr="00D026C5" w:rsidRDefault="00CA4CD6" w:rsidP="004C701D">
      <w:pPr>
        <w:pBdr>
          <w:top w:val="single" w:sz="6" w:space="1" w:color="FFFFFF"/>
          <w:left w:val="single" w:sz="6" w:space="0" w:color="FFFFFF"/>
          <w:bottom w:val="single" w:sz="6" w:space="0" w:color="FFFFFF"/>
          <w:right w:val="single" w:sz="6" w:space="0" w:color="FFFFFF"/>
        </w:pBdr>
      </w:pPr>
    </w:p>
    <w:p w:rsidR="00CA4CD6" w:rsidRPr="00D026C5" w:rsidRDefault="00396A52" w:rsidP="004C701D">
      <w:pPr>
        <w:pBdr>
          <w:top w:val="single" w:sz="6" w:space="1" w:color="FFFFFF"/>
          <w:left w:val="single" w:sz="6" w:space="0" w:color="FFFFFF"/>
          <w:bottom w:val="single" w:sz="6" w:space="0" w:color="FFFFFF"/>
          <w:right w:val="single" w:sz="6" w:space="0" w:color="FFFFFF"/>
        </w:pBdr>
        <w:ind w:firstLine="720"/>
      </w:pPr>
      <w:r w:rsidRPr="00396A52">
        <w:t>The Agency may not conduct or sponsor, and a person is not required to respond to, a collection of information unless it displays a currently valid OMB Control Number.</w:t>
      </w:r>
    </w:p>
    <w:p w:rsidR="00CA4CD6" w:rsidRPr="00D026C5" w:rsidRDefault="00CA4CD6" w:rsidP="004C701D">
      <w:pPr>
        <w:pBdr>
          <w:top w:val="single" w:sz="6" w:space="1" w:color="FFFFFF"/>
          <w:left w:val="single" w:sz="6" w:space="0" w:color="FFFFFF"/>
          <w:bottom w:val="single" w:sz="6" w:space="0" w:color="FFFFFF"/>
          <w:right w:val="single" w:sz="6" w:space="0" w:color="FFFFFF"/>
        </w:pBdr>
      </w:pPr>
    </w:p>
    <w:p w:rsidR="00CA4CD6" w:rsidRPr="00D026C5" w:rsidRDefault="00396A52" w:rsidP="004C701D">
      <w:pPr>
        <w:pBdr>
          <w:top w:val="single" w:sz="6" w:space="1" w:color="FFFFFF"/>
          <w:left w:val="single" w:sz="6" w:space="0" w:color="FFFFFF"/>
          <w:bottom w:val="single" w:sz="6" w:space="0" w:color="FFFFFF"/>
          <w:right w:val="single" w:sz="6" w:space="0" w:color="FFFFFF"/>
        </w:pBdr>
        <w:ind w:firstLine="720"/>
      </w:pPr>
      <w:r w:rsidRPr="00396A52">
        <w:rPr>
          <w:b/>
          <w:bCs/>
        </w:rPr>
        <w:t>6(a</w:t>
      </w:r>
      <w:proofErr w:type="gramStart"/>
      <w:r w:rsidRPr="00396A52">
        <w:rPr>
          <w:b/>
          <w:bCs/>
        </w:rPr>
        <w:t>)  Estimating</w:t>
      </w:r>
      <w:proofErr w:type="gramEnd"/>
      <w:r w:rsidRPr="00396A52">
        <w:rPr>
          <w:b/>
          <w:bCs/>
        </w:rPr>
        <w:t xml:space="preserve"> Respondent Burden</w:t>
      </w:r>
    </w:p>
    <w:p w:rsidR="00CA4CD6" w:rsidRPr="00D026C5" w:rsidRDefault="00CA4CD6" w:rsidP="004C701D">
      <w:pPr>
        <w:pBdr>
          <w:top w:val="single" w:sz="6" w:space="1" w:color="FFFFFF"/>
          <w:left w:val="single" w:sz="6" w:space="0" w:color="FFFFFF"/>
          <w:bottom w:val="single" w:sz="6" w:space="0" w:color="FFFFFF"/>
          <w:right w:val="single" w:sz="6" w:space="0" w:color="FFFFFF"/>
        </w:pBdr>
      </w:pPr>
    </w:p>
    <w:p w:rsidR="00CA4CD6" w:rsidRPr="00D026C5" w:rsidRDefault="00396A52" w:rsidP="00CE009C">
      <w:pPr>
        <w:pBdr>
          <w:top w:val="single" w:sz="6" w:space="1" w:color="FFFFFF"/>
          <w:left w:val="single" w:sz="6" w:space="0" w:color="FFFFFF"/>
          <w:bottom w:val="single" w:sz="6" w:space="0" w:color="FFFFFF"/>
          <w:right w:val="single" w:sz="6" w:space="0" w:color="FFFFFF"/>
        </w:pBdr>
        <w:ind w:firstLine="720"/>
      </w:pPr>
      <w:r w:rsidRPr="00396A52">
        <w:t>The average annual burden to industry over the next three years from these recordkeeping and reporting requirements is estimated to be 1,3</w:t>
      </w:r>
      <w:r w:rsidR="00704220">
        <w:t>38</w:t>
      </w:r>
      <w:r w:rsidR="00271DDD">
        <w:t xml:space="preserve"> hours</w:t>
      </w:r>
      <w:r w:rsidRPr="00396A52">
        <w:t xml:space="preserve"> (Total Labor Hours from Table 1</w:t>
      </w:r>
      <w:r w:rsidR="00271DDD">
        <w:t xml:space="preserve"> below</w:t>
      </w:r>
      <w:r w:rsidRPr="00396A52">
        <w:t>).  These hours are based on Agency studies and background documents from the development of the regulation, Agency knowledge and experience with the NESHAP program, the previously approved ICR, and any comments received.</w:t>
      </w:r>
    </w:p>
    <w:p w:rsidR="002712EB" w:rsidRPr="00D026C5" w:rsidRDefault="00396A52" w:rsidP="004C701D">
      <w:pPr>
        <w:pBdr>
          <w:top w:val="single" w:sz="6" w:space="1" w:color="FFFFFF"/>
          <w:left w:val="single" w:sz="6" w:space="0" w:color="FFFFFF"/>
          <w:bottom w:val="single" w:sz="6" w:space="0" w:color="FFFFFF"/>
          <w:right w:val="single" w:sz="6" w:space="0" w:color="FFFFFF"/>
        </w:pBdr>
        <w:ind w:firstLine="720"/>
        <w:rPr>
          <w:b/>
          <w:bCs/>
        </w:rPr>
      </w:pPr>
      <w:r w:rsidRPr="00396A52">
        <w:rPr>
          <w:b/>
          <w:bCs/>
        </w:rPr>
        <w:lastRenderedPageBreak/>
        <w:t>6(b</w:t>
      </w:r>
      <w:proofErr w:type="gramStart"/>
      <w:r w:rsidRPr="00396A52">
        <w:rPr>
          <w:b/>
          <w:bCs/>
        </w:rPr>
        <w:t>)  Estimating</w:t>
      </w:r>
      <w:proofErr w:type="gramEnd"/>
      <w:r w:rsidRPr="00396A52">
        <w:rPr>
          <w:b/>
          <w:bCs/>
        </w:rPr>
        <w:t xml:space="preserve"> Respondent Costs</w:t>
      </w:r>
    </w:p>
    <w:p w:rsidR="002712EB" w:rsidRPr="00D026C5"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D026C5" w:rsidRDefault="00396A52" w:rsidP="004C701D">
      <w:pPr>
        <w:pBdr>
          <w:top w:val="single" w:sz="6" w:space="1" w:color="FFFFFF"/>
          <w:left w:val="single" w:sz="6" w:space="0" w:color="FFFFFF"/>
          <w:bottom w:val="single" w:sz="6" w:space="0" w:color="FFFFFF"/>
          <w:right w:val="single" w:sz="6" w:space="0" w:color="FFFFFF"/>
        </w:pBdr>
        <w:ind w:firstLine="1440"/>
      </w:pPr>
      <w:r w:rsidRPr="00396A52">
        <w:rPr>
          <w:b/>
          <w:bCs/>
        </w:rPr>
        <w:t>(</w:t>
      </w:r>
      <w:proofErr w:type="spellStart"/>
      <w:r w:rsidRPr="00396A52">
        <w:rPr>
          <w:b/>
          <w:bCs/>
        </w:rPr>
        <w:t>i</w:t>
      </w:r>
      <w:proofErr w:type="spellEnd"/>
      <w:r w:rsidRPr="00396A52">
        <w:rPr>
          <w:b/>
          <w:bCs/>
        </w:rPr>
        <w:t>)  Estimating Labor Costs</w:t>
      </w:r>
      <w:r w:rsidRPr="00396A52">
        <w:t xml:space="preserve"> </w:t>
      </w:r>
    </w:p>
    <w:p w:rsidR="002712EB" w:rsidRPr="00D026C5" w:rsidRDefault="00396A52" w:rsidP="004C701D">
      <w:pPr>
        <w:pBdr>
          <w:top w:val="single" w:sz="6" w:space="1" w:color="FFFFFF"/>
          <w:left w:val="single" w:sz="6" w:space="0" w:color="FFFFFF"/>
          <w:bottom w:val="single" w:sz="6" w:space="0" w:color="FFFFFF"/>
          <w:right w:val="single" w:sz="6" w:space="0" w:color="FFFFFF"/>
        </w:pBdr>
      </w:pPr>
      <w:r w:rsidRPr="00396A52">
        <w:t xml:space="preserve"> </w:t>
      </w:r>
    </w:p>
    <w:p w:rsidR="002712EB" w:rsidRPr="00D026C5" w:rsidRDefault="00396A52" w:rsidP="004C701D">
      <w:pPr>
        <w:pBdr>
          <w:top w:val="single" w:sz="6" w:space="1" w:color="FFFFFF"/>
          <w:left w:val="single" w:sz="6" w:space="0" w:color="FFFFFF"/>
          <w:bottom w:val="single" w:sz="6" w:space="0" w:color="FFFFFF"/>
          <w:right w:val="single" w:sz="6" w:space="0" w:color="FFFFFF"/>
        </w:pBdr>
        <w:ind w:firstLine="720"/>
      </w:pPr>
      <w:r w:rsidRPr="00396A52">
        <w:t xml:space="preserve">This ICR uses the following labor rates: </w:t>
      </w:r>
    </w:p>
    <w:p w:rsidR="002712EB" w:rsidRPr="00D026C5" w:rsidRDefault="002712EB" w:rsidP="004C701D">
      <w:pPr>
        <w:pBdr>
          <w:top w:val="single" w:sz="6" w:space="1" w:color="FFFFFF"/>
          <w:left w:val="single" w:sz="6" w:space="0" w:color="FFFFFF"/>
          <w:bottom w:val="single" w:sz="6" w:space="0" w:color="FFFFFF"/>
          <w:right w:val="single" w:sz="6" w:space="0" w:color="FFFFFF"/>
        </w:pBdr>
      </w:pPr>
    </w:p>
    <w:p w:rsidR="002712EB" w:rsidRPr="00D026C5" w:rsidRDefault="00396A52"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96A52">
        <w:t>Managerial</w:t>
      </w:r>
      <w:r w:rsidRPr="00396A52">
        <w:tab/>
      </w:r>
      <w:bookmarkStart w:id="0" w:name="OLE_LINK3"/>
      <w:r w:rsidRPr="00396A52">
        <w:t xml:space="preserve">$122.49 ($58.33 + 110%)   </w:t>
      </w:r>
    </w:p>
    <w:p w:rsidR="002712EB" w:rsidRPr="00D026C5" w:rsidRDefault="00396A52"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96A52">
        <w:t>Technical</w:t>
      </w:r>
      <w:r w:rsidRPr="00396A52">
        <w:tab/>
        <w:t>$101.28 ($48.23 + 110%)</w:t>
      </w:r>
    </w:p>
    <w:p w:rsidR="002712EB" w:rsidRPr="00D026C5" w:rsidRDefault="00396A52"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96A52">
        <w:t>Clerical</w:t>
      </w:r>
      <w:r w:rsidRPr="00396A52">
        <w:tab/>
        <w:t>$50.80 ($24.19 + 110%)</w:t>
      </w:r>
    </w:p>
    <w:bookmarkEnd w:id="0"/>
    <w:p w:rsidR="002712EB" w:rsidRPr="00D026C5" w:rsidRDefault="002712EB" w:rsidP="002712EB">
      <w:pPr>
        <w:pBdr>
          <w:top w:val="single" w:sz="6" w:space="0" w:color="FFFFFF"/>
          <w:left w:val="single" w:sz="6" w:space="0" w:color="FFFFFF"/>
          <w:bottom w:val="single" w:sz="6" w:space="0" w:color="FFFFFF"/>
          <w:right w:val="single" w:sz="6" w:space="0" w:color="FFFFFF"/>
        </w:pBdr>
      </w:pPr>
    </w:p>
    <w:p w:rsidR="002712EB" w:rsidRPr="00D026C5" w:rsidRDefault="00396A52" w:rsidP="002712EB">
      <w:pPr>
        <w:pBdr>
          <w:top w:val="single" w:sz="6" w:space="0" w:color="FFFFFF"/>
          <w:left w:val="single" w:sz="6" w:space="0" w:color="FFFFFF"/>
          <w:bottom w:val="single" w:sz="6" w:space="0" w:color="FFFFFF"/>
          <w:right w:val="single" w:sz="6" w:space="0" w:color="FFFFFF"/>
        </w:pBdr>
      </w:pPr>
      <w:r w:rsidRPr="00396A52">
        <w:t xml:space="preserve">These rates are from the United States Department of Labor, Bureau of Labor Statistics, September 2012, “Table 2. </w:t>
      </w:r>
      <w:proofErr w:type="gramStart"/>
      <w:r w:rsidRPr="00396A52">
        <w:t>Civilian Workers, by occupational and industry group.”</w:t>
      </w:r>
      <w:proofErr w:type="gramEnd"/>
      <w:r w:rsidRPr="00396A52">
        <w:t xml:space="preserve">  The </w:t>
      </w:r>
      <w:proofErr w:type="gramStart"/>
      <w:r w:rsidRPr="00396A52">
        <w:t xml:space="preserve">rates </w:t>
      </w:r>
      <w:r w:rsidR="009012FC">
        <w:t xml:space="preserve"> </w:t>
      </w:r>
      <w:r w:rsidRPr="00396A52">
        <w:t>are</w:t>
      </w:r>
      <w:proofErr w:type="gramEnd"/>
      <w:r w:rsidRPr="00396A52">
        <w:t xml:space="preserve"> from column 1, “Total compensation.”  The rates have been increased by 110 percent to account for the benefit packages available to those employed by private industry.</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Default="00396A52">
      <w:pPr>
        <w:pBdr>
          <w:top w:val="single" w:sz="6" w:space="0" w:color="FFFFFF"/>
          <w:left w:val="single" w:sz="6" w:space="0" w:color="FFFFFF"/>
          <w:bottom w:val="single" w:sz="6" w:space="0" w:color="FFFFFF"/>
          <w:right w:val="single" w:sz="6" w:space="0" w:color="FFFFFF"/>
        </w:pBdr>
        <w:ind w:firstLine="1440"/>
        <w:rPr>
          <w:b/>
          <w:bCs/>
        </w:rPr>
      </w:pPr>
      <w:r w:rsidRPr="00396A52">
        <w:rPr>
          <w:b/>
          <w:bCs/>
        </w:rPr>
        <w:t>(ii)  Estimating Capital/Startup and Operation and Maintenance Costs</w:t>
      </w:r>
    </w:p>
    <w:p w:rsidR="000D2EFA" w:rsidRPr="00D026C5" w:rsidRDefault="000D2EFA">
      <w:pPr>
        <w:pBdr>
          <w:top w:val="single" w:sz="6" w:space="0" w:color="FFFFFF"/>
          <w:left w:val="single" w:sz="6" w:space="0" w:color="FFFFFF"/>
          <w:bottom w:val="single" w:sz="6" w:space="0" w:color="FFFFFF"/>
          <w:right w:val="single" w:sz="6" w:space="0" w:color="FFFFFF"/>
        </w:pBdr>
        <w:ind w:firstLine="144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type of industry costs associated with the information collection activities in the subject standard are both labor costs</w:t>
      </w:r>
      <w:r>
        <w:t>, which are addressed elsewhere in this ICR, and the costs associated with continuous monitoring.  The capital/startup costs are one-time costs when a facility becomes subject to the regulation.  The annual operation and maintenance (O&amp;M) costs are the ongoing costs to maintain the monitors and other costs such as photocopying and postage.</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CA4CD6" w:rsidRPr="00D026C5" w:rsidRDefault="00CA4CD6" w:rsidP="00F54760">
      <w:pPr>
        <w:keepNext/>
        <w:pBdr>
          <w:top w:val="single" w:sz="6" w:space="0" w:color="FFFFFF"/>
          <w:left w:val="single" w:sz="6" w:space="0" w:color="FFFFFF"/>
          <w:bottom w:val="single" w:sz="6" w:space="0" w:color="FFFFFF"/>
          <w:right w:val="single" w:sz="6" w:space="0" w:color="FFFFFF"/>
        </w:pBdr>
      </w:pPr>
    </w:p>
    <w:tbl>
      <w:tblPr>
        <w:tblW w:w="9720" w:type="dxa"/>
        <w:tblInd w:w="111" w:type="dxa"/>
        <w:tblLayout w:type="fixed"/>
        <w:tblCellMar>
          <w:left w:w="111" w:type="dxa"/>
          <w:right w:w="111" w:type="dxa"/>
        </w:tblCellMar>
        <w:tblLook w:val="0000"/>
      </w:tblPr>
      <w:tblGrid>
        <w:gridCol w:w="1530"/>
        <w:gridCol w:w="1440"/>
        <w:gridCol w:w="1350"/>
        <w:gridCol w:w="1440"/>
        <w:gridCol w:w="1350"/>
        <w:gridCol w:w="1260"/>
        <w:gridCol w:w="1350"/>
      </w:tblGrid>
      <w:tr w:rsidR="00A73600" w:rsidRPr="00D026C5" w:rsidTr="00253802">
        <w:trPr>
          <w:tblHeader/>
        </w:trPr>
        <w:tc>
          <w:tcPr>
            <w:tcW w:w="9720" w:type="dxa"/>
            <w:gridSpan w:val="7"/>
            <w:tcBorders>
              <w:top w:val="single" w:sz="7" w:space="0" w:color="000000"/>
              <w:left w:val="single" w:sz="7" w:space="0" w:color="000000"/>
              <w:bottom w:val="single" w:sz="6" w:space="0" w:color="FFFFFF"/>
              <w:right w:val="single" w:sz="7" w:space="0" w:color="000000"/>
            </w:tcBorders>
          </w:tcPr>
          <w:p w:rsidR="00CA4CD6" w:rsidRPr="00D026C5" w:rsidRDefault="00CA4CD6" w:rsidP="00F54760">
            <w:pPr>
              <w:keepNext/>
              <w:spacing w:line="120" w:lineRule="exact"/>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b/>
                <w:bCs/>
              </w:rPr>
            </w:pPr>
            <w:r w:rsidRPr="00396A52">
              <w:rPr>
                <w:b/>
                <w:bCs/>
              </w:rPr>
              <w:t>Capital/Startup vs. Operation and Maintenance (O&amp;M) Costs</w:t>
            </w:r>
          </w:p>
        </w:tc>
      </w:tr>
      <w:tr w:rsidR="00CA4CD6" w:rsidRPr="00D026C5" w:rsidTr="00253802">
        <w:tc>
          <w:tcPr>
            <w:tcW w:w="153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b/>
                <w:bCs/>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(A)</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(B)</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Capital/Startup Cost for One Respondent</w:t>
            </w:r>
            <w:r w:rsidR="000D2EFA">
              <w:rPr>
                <w:sz w:val="20"/>
                <w:szCs w:val="20"/>
              </w:rPr>
              <w:t xml:space="preserve"> </w:t>
            </w:r>
            <w:r w:rsidRPr="00396A52">
              <w:rPr>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(C)</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New Respondents</w:t>
            </w:r>
            <w:r w:rsidR="000D2EFA">
              <w:rPr>
                <w:sz w:val="20"/>
                <w:szCs w:val="20"/>
              </w:rPr>
              <w:t xml:space="preserve"> </w:t>
            </w:r>
            <w:r w:rsidRPr="00396A52">
              <w:rPr>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(D)</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(E)</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Annual O&amp;M Costs for One Respondent</w:t>
            </w:r>
            <w:r w:rsidR="000D2EFA">
              <w:rPr>
                <w:sz w:val="20"/>
                <w:szCs w:val="20"/>
              </w:rPr>
              <w:t xml:space="preserve"> </w:t>
            </w:r>
            <w:r w:rsidRPr="00396A52">
              <w:rPr>
                <w:sz w:val="20"/>
                <w:szCs w:val="20"/>
                <w:vertAlign w:val="superscript"/>
              </w:rPr>
              <w:t>c</w:t>
            </w:r>
          </w:p>
        </w:tc>
        <w:tc>
          <w:tcPr>
            <w:tcW w:w="1260" w:type="dxa"/>
            <w:tcBorders>
              <w:top w:val="single" w:sz="7" w:space="0" w:color="000000"/>
              <w:left w:val="single" w:sz="7" w:space="0" w:color="000000"/>
              <w:bottom w:val="single" w:sz="6" w:space="0" w:color="FFFFFF"/>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(F)</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(G)</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Total O&amp;M,</w:t>
            </w: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(E X F)</w:t>
            </w:r>
          </w:p>
        </w:tc>
      </w:tr>
      <w:tr w:rsidR="00CA4CD6" w:rsidRPr="00D026C5" w:rsidTr="00253802">
        <w:tc>
          <w:tcPr>
            <w:tcW w:w="153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rPr>
                <w:sz w:val="20"/>
                <w:szCs w:val="20"/>
              </w:rPr>
            </w:pPr>
            <w:r w:rsidRPr="00396A52">
              <w:rPr>
                <w:sz w:val="20"/>
                <w:szCs w:val="20"/>
              </w:rPr>
              <w:t>Catalyst inlet temperature</w:t>
            </w:r>
          </w:p>
        </w:tc>
        <w:tc>
          <w:tcPr>
            <w:tcW w:w="144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$4,479</w:t>
            </w:r>
          </w:p>
        </w:tc>
        <w:tc>
          <w:tcPr>
            <w:tcW w:w="135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2.4</w:t>
            </w:r>
          </w:p>
        </w:tc>
        <w:tc>
          <w:tcPr>
            <w:tcW w:w="144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$10,750</w:t>
            </w:r>
          </w:p>
        </w:tc>
        <w:tc>
          <w:tcPr>
            <w:tcW w:w="135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CA4CD6" w:rsidRPr="00D026C5" w:rsidRDefault="00CA4CD6" w:rsidP="00F54760">
            <w:pPr>
              <w:keepNext/>
              <w:spacing w:line="120" w:lineRule="exact"/>
              <w:jc w:val="center"/>
              <w:rPr>
                <w:sz w:val="20"/>
                <w:szCs w:val="20"/>
              </w:rPr>
            </w:pPr>
          </w:p>
          <w:p w:rsidR="00CA4CD6" w:rsidRPr="00D026C5" w:rsidRDefault="00396A52" w:rsidP="00664B03">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29.3</w:t>
            </w:r>
          </w:p>
        </w:tc>
        <w:tc>
          <w:tcPr>
            <w:tcW w:w="1350" w:type="dxa"/>
            <w:tcBorders>
              <w:top w:val="single" w:sz="7" w:space="0" w:color="000000"/>
              <w:left w:val="single" w:sz="7" w:space="0" w:color="000000"/>
              <w:bottom w:val="single" w:sz="7" w:space="0" w:color="000000"/>
              <w:right w:val="single" w:sz="7" w:space="0" w:color="000000"/>
            </w:tcBorders>
          </w:tcPr>
          <w:p w:rsidR="00CA4CD6" w:rsidRPr="00D026C5" w:rsidRDefault="00CA4CD6" w:rsidP="00F54760">
            <w:pPr>
              <w:keepNext/>
              <w:spacing w:line="120" w:lineRule="exact"/>
              <w:jc w:val="center"/>
              <w:rPr>
                <w:sz w:val="20"/>
                <w:szCs w:val="20"/>
              </w:rPr>
            </w:pPr>
          </w:p>
          <w:p w:rsidR="00CA4CD6" w:rsidRPr="00D026C5" w:rsidRDefault="00396A52" w:rsidP="00F54760">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396A52">
              <w:rPr>
                <w:sz w:val="20"/>
                <w:szCs w:val="20"/>
              </w:rPr>
              <w:t>0</w:t>
            </w:r>
          </w:p>
        </w:tc>
      </w:tr>
    </w:tbl>
    <w:p w:rsidR="00CE2015" w:rsidRPr="00D026C5" w:rsidRDefault="00396A52" w:rsidP="008F3417">
      <w:pPr>
        <w:pBdr>
          <w:top w:val="single" w:sz="6" w:space="0" w:color="FFFFFF"/>
          <w:left w:val="single" w:sz="6" w:space="0" w:color="FFFFFF"/>
          <w:bottom w:val="single" w:sz="6" w:space="0" w:color="FFFFFF"/>
          <w:right w:val="single" w:sz="6" w:space="0" w:color="FFFFFF"/>
        </w:pBdr>
        <w:ind w:left="180" w:right="-360" w:hanging="180"/>
        <w:rPr>
          <w:sz w:val="20"/>
          <w:szCs w:val="20"/>
        </w:rPr>
      </w:pPr>
      <w:proofErr w:type="spellStart"/>
      <w:proofErr w:type="gramStart"/>
      <w:r w:rsidRPr="00396A52">
        <w:rPr>
          <w:sz w:val="20"/>
          <w:szCs w:val="20"/>
          <w:vertAlign w:val="superscript"/>
        </w:rPr>
        <w:t>a</w:t>
      </w:r>
      <w:proofErr w:type="spellEnd"/>
      <w:r w:rsidRPr="00396A52">
        <w:rPr>
          <w:sz w:val="20"/>
          <w:szCs w:val="20"/>
        </w:rPr>
        <w:t xml:space="preserve">  We</w:t>
      </w:r>
      <w:proofErr w:type="gramEnd"/>
      <w:r w:rsidRPr="00396A52">
        <w:rPr>
          <w:sz w:val="20"/>
          <w:szCs w:val="20"/>
        </w:rPr>
        <w:t xml:space="preserve"> estimate a total capital startup cost of $4,479 per respondent, which comprises a purchase cost of $500 and an installation cost of $3,979. The installation cost assumes 30 technical, 1.5 managerial, and 3 clerical hours at a labor rate of $122.49, $101.28, and $50.80, respectively</w:t>
      </w:r>
      <w:r>
        <w:rPr>
          <w:sz w:val="20"/>
          <w:szCs w:val="20"/>
        </w:rPr>
        <w:t>. As described previously, these rates are based on figures from the United States Department of Labor and have been increased by 110 percent to account for private industry benefit packages.</w:t>
      </w:r>
    </w:p>
    <w:p w:rsidR="003B01B6" w:rsidRPr="00D026C5" w:rsidRDefault="00396A52" w:rsidP="008F3417">
      <w:pPr>
        <w:pBdr>
          <w:top w:val="single" w:sz="6" w:space="0" w:color="FFFFFF"/>
          <w:left w:val="single" w:sz="6" w:space="0" w:color="FFFFFF"/>
          <w:bottom w:val="single" w:sz="6" w:space="0" w:color="FFFFFF"/>
          <w:right w:val="single" w:sz="6" w:space="0" w:color="FFFFFF"/>
        </w:pBdr>
        <w:ind w:left="180" w:right="-360" w:hanging="180"/>
        <w:rPr>
          <w:sz w:val="20"/>
          <w:szCs w:val="20"/>
        </w:rPr>
      </w:pPr>
      <w:proofErr w:type="gramStart"/>
      <w:r w:rsidRPr="00396A52">
        <w:rPr>
          <w:sz w:val="20"/>
          <w:szCs w:val="20"/>
          <w:vertAlign w:val="superscript"/>
        </w:rPr>
        <w:t>b</w:t>
      </w:r>
      <w:r w:rsidRPr="00396A52">
        <w:rPr>
          <w:sz w:val="20"/>
          <w:szCs w:val="20"/>
        </w:rPr>
        <w:t xml:space="preserve">  At</w:t>
      </w:r>
      <w:proofErr w:type="gramEnd"/>
      <w:r w:rsidRPr="00396A52">
        <w:rPr>
          <w:sz w:val="20"/>
          <w:szCs w:val="20"/>
        </w:rPr>
        <w:t xml:space="preserve"> present, only oil-fired subcategories are required to install, operate, and maintain continuous monitoring devices.  This subcategory comprises 26.9 existing respondents and 2.4 new respondents.</w:t>
      </w:r>
    </w:p>
    <w:p w:rsidR="00664B03" w:rsidRPr="00D026C5" w:rsidRDefault="00396A52" w:rsidP="00664B03">
      <w:pPr>
        <w:pBdr>
          <w:top w:val="single" w:sz="6" w:space="0" w:color="FFFFFF"/>
          <w:left w:val="single" w:sz="6" w:space="0" w:color="FFFFFF"/>
          <w:bottom w:val="single" w:sz="6" w:space="0" w:color="FFFFFF"/>
          <w:right w:val="single" w:sz="6" w:space="0" w:color="FFFFFF"/>
        </w:pBdr>
        <w:ind w:left="180" w:right="-360" w:hanging="180"/>
        <w:rPr>
          <w:sz w:val="20"/>
          <w:szCs w:val="20"/>
        </w:rPr>
      </w:pPr>
      <w:proofErr w:type="gramStart"/>
      <w:r w:rsidRPr="00396A52">
        <w:rPr>
          <w:sz w:val="20"/>
          <w:szCs w:val="20"/>
          <w:vertAlign w:val="superscript"/>
        </w:rPr>
        <w:t>c</w:t>
      </w:r>
      <w:r w:rsidRPr="00396A52">
        <w:rPr>
          <w:sz w:val="20"/>
          <w:szCs w:val="20"/>
        </w:rPr>
        <w:t xml:space="preserve">  No</w:t>
      </w:r>
      <w:proofErr w:type="gramEnd"/>
      <w:r w:rsidRPr="00396A52">
        <w:rPr>
          <w:sz w:val="20"/>
          <w:szCs w:val="20"/>
        </w:rPr>
        <w:t xml:space="preserve"> annual O&amp;M costs are shown because we expect the catalyst inlet temperature monitor to be maintenance-free.</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86275E">
      <w:pPr>
        <w:pBdr>
          <w:top w:val="single" w:sz="6" w:space="0" w:color="FFFFFF"/>
          <w:left w:val="single" w:sz="6" w:space="0" w:color="FFFFFF"/>
          <w:bottom w:val="single" w:sz="6" w:space="0" w:color="FFFFFF"/>
          <w:right w:val="single" w:sz="6" w:space="0" w:color="FFFFFF"/>
        </w:pBdr>
        <w:ind w:firstLine="720"/>
      </w:pPr>
      <w:r w:rsidRPr="00396A52">
        <w:t>The total capital/startup costs for this ICR are $10,750</w:t>
      </w:r>
      <w:r w:rsidR="00CE009C">
        <w:t xml:space="preserve"> (rounded)</w:t>
      </w:r>
      <w:r w:rsidRPr="00396A52">
        <w:t xml:space="preserve">.  This is the total of column D in the above table. </w:t>
      </w: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lastRenderedPageBreak/>
        <w:t xml:space="preserve">The total O&amp;M costs for this ICR are $0.  This is the total of column G. </w:t>
      </w:r>
    </w:p>
    <w:p w:rsidR="004C701D" w:rsidRPr="00D026C5" w:rsidRDefault="004C701D">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average annual cost for capital/startup and operation and maintenance costs to industry over the next three years of the ICR is estimated to be $10,750.</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6(c</w:t>
      </w:r>
      <w:proofErr w:type="gramStart"/>
      <w:r w:rsidRPr="00396A52">
        <w:rPr>
          <w:b/>
          <w:bCs/>
        </w:rPr>
        <w:t>)  Estimating</w:t>
      </w:r>
      <w:proofErr w:type="gramEnd"/>
      <w:r w:rsidRPr="00396A52">
        <w:rPr>
          <w:b/>
          <w:bCs/>
        </w:rPr>
        <w:t xml:space="preserve"> Agency Burden and Cost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average annual Agency cost during the three years of the ICR is estimated to be $2</w:t>
      </w:r>
      <w:r w:rsidR="00704220">
        <w:t>7</w:t>
      </w:r>
      <w:r w:rsidRPr="00396A52">
        <w:t>,</w:t>
      </w:r>
      <w:r w:rsidR="00704220">
        <w:t>643</w:t>
      </w:r>
      <w:r w:rsidRPr="00396A52">
        <w: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This cost is based on the average hourly labor rate as follows:</w:t>
      </w:r>
    </w:p>
    <w:p w:rsidR="00D2273E" w:rsidRPr="00D026C5" w:rsidRDefault="00D2273E" w:rsidP="00D2273E"/>
    <w:p w:rsidR="00CA4CD6" w:rsidRPr="00D026C5" w:rsidRDefault="00396A52" w:rsidP="00D2273E">
      <w:r w:rsidRPr="00396A52">
        <w:tab/>
      </w:r>
      <w:r w:rsidRPr="00396A52">
        <w:tab/>
        <w:t>Managerial</w:t>
      </w:r>
      <w:r w:rsidRPr="00396A52">
        <w:tab/>
        <w:t xml:space="preserve">$62.27 (GS-13, Step 5, $38.92 + 60%) </w:t>
      </w:r>
    </w:p>
    <w:p w:rsidR="00CA4CD6" w:rsidRPr="00D026C5" w:rsidRDefault="00396A52" w:rsidP="00D2273E">
      <w:r w:rsidRPr="00396A52">
        <w:tab/>
      </w:r>
      <w:r w:rsidRPr="00396A52">
        <w:tab/>
        <w:t>Technical</w:t>
      </w:r>
      <w:r w:rsidRPr="00396A52">
        <w:tab/>
        <w:t>$46.21 (GS-12, Step 1, $28.88 + 60%)</w:t>
      </w:r>
    </w:p>
    <w:p w:rsidR="00CA4CD6" w:rsidRPr="00D026C5" w:rsidRDefault="00396A52" w:rsidP="00D2273E">
      <w:r w:rsidRPr="00396A52">
        <w:tab/>
      </w:r>
      <w:r w:rsidRPr="00396A52">
        <w:tab/>
        <w:t>Clerical</w:t>
      </w:r>
      <w:r w:rsidRPr="00396A52">
        <w:tab/>
        <w:t>$25.01 (GS-6, Step 3, $15.63 + 60%)</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pPr>
      <w:r w:rsidRPr="00396A52">
        <w:t>These rates are from the Office of Personnel Management (OPM), 201</w:t>
      </w:r>
      <w:r w:rsidR="00D43328">
        <w:t>2</w:t>
      </w:r>
      <w:r w:rsidRPr="00396A52">
        <w:t xml:space="preserve"> General Schedule, which excludes </w:t>
      </w:r>
      <w:proofErr w:type="gramStart"/>
      <w:r w:rsidRPr="00396A52">
        <w:t>locality</w:t>
      </w:r>
      <w:proofErr w:type="gramEnd"/>
      <w:r w:rsidRPr="00396A52">
        <w:t xml:space="preserve"> rates of pay.  The rates have been increased by 60 percent to account for the benefit packages available to government employees.  Details upon which this estimate is based appear below in Table 2: Average Annual EPA Burden and Cost – NESHAP for Stationary Combustion Turbines (40 CFR Part 63, Subpart YYYY) (Renewal).</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rPr>
          <w:b/>
          <w:bCs/>
        </w:rPr>
      </w:pPr>
      <w:r w:rsidRPr="00396A52">
        <w:rPr>
          <w:b/>
          <w:bCs/>
        </w:rPr>
        <w:t>6(d</w:t>
      </w:r>
      <w:proofErr w:type="gramStart"/>
      <w:r w:rsidRPr="00396A52">
        <w:rPr>
          <w:b/>
          <w:bCs/>
        </w:rPr>
        <w:t>)  Estimating</w:t>
      </w:r>
      <w:proofErr w:type="gramEnd"/>
      <w:r w:rsidRPr="00396A52">
        <w:rPr>
          <w:b/>
          <w:bCs/>
        </w:rPr>
        <w:t xml:space="preserve"> the Respondent Universe and Total Burden and Costs</w:t>
      </w:r>
    </w:p>
    <w:p w:rsidR="00CA4CD6" w:rsidRPr="00D026C5" w:rsidRDefault="00CA4CD6">
      <w:pPr>
        <w:pBdr>
          <w:top w:val="single" w:sz="6" w:space="0" w:color="FFFFFF"/>
          <w:left w:val="single" w:sz="6" w:space="0" w:color="FFFFFF"/>
          <w:bottom w:val="single" w:sz="6" w:space="0" w:color="FFFFFF"/>
          <w:right w:val="single" w:sz="6" w:space="0" w:color="FFFFFF"/>
        </w:pBdr>
        <w:rPr>
          <w:b/>
          <w:bCs/>
        </w:rP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Based on our research for this ICR, on average over the next three years, approximately 96 existing respondents will be subject to the standard.  It is estimated that an additional 8.7 respondents per year will become subject.  The overall average number of respondents, as shown in the table below, is </w:t>
      </w:r>
      <w:r w:rsidR="00315F81">
        <w:t>105 (rounded)</w:t>
      </w:r>
      <w:r w:rsidRPr="00396A52">
        <w:t xml:space="preserve"> respondents per year.</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The number of respondents is calculated using the following table that addresses the three years covered by this ICR.  </w:t>
      </w:r>
    </w:p>
    <w:p w:rsidR="00CA4CD6" w:rsidRPr="00D026C5" w:rsidRDefault="00CA4CD6">
      <w:pPr>
        <w:pBdr>
          <w:top w:val="single" w:sz="6" w:space="0" w:color="FFFFFF"/>
          <w:left w:val="single" w:sz="6" w:space="0" w:color="FFFFFF"/>
          <w:bottom w:val="single" w:sz="6" w:space="0" w:color="FFFFFF"/>
          <w:right w:val="single" w:sz="6" w:space="0" w:color="FFFFFF"/>
        </w:pBdr>
      </w:pPr>
    </w:p>
    <w:tbl>
      <w:tblPr>
        <w:tblW w:w="9630" w:type="dxa"/>
        <w:tblInd w:w="110" w:type="dxa"/>
        <w:tblLayout w:type="fixed"/>
        <w:tblCellMar>
          <w:left w:w="110" w:type="dxa"/>
          <w:right w:w="110" w:type="dxa"/>
        </w:tblCellMar>
        <w:tblLook w:val="0000"/>
      </w:tblPr>
      <w:tblGrid>
        <w:gridCol w:w="1080"/>
        <w:gridCol w:w="1597"/>
        <w:gridCol w:w="25"/>
        <w:gridCol w:w="1348"/>
        <w:gridCol w:w="2070"/>
        <w:gridCol w:w="1800"/>
        <w:gridCol w:w="1710"/>
      </w:tblGrid>
      <w:tr w:rsidR="00A73600" w:rsidRPr="00D026C5" w:rsidTr="003F29DD">
        <w:trPr>
          <w:tblHeader/>
        </w:trPr>
        <w:tc>
          <w:tcPr>
            <w:tcW w:w="9630" w:type="dxa"/>
            <w:gridSpan w:val="7"/>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b/>
                <w:bCs/>
              </w:rPr>
            </w:pPr>
            <w:r w:rsidRPr="00396A52">
              <w:rPr>
                <w:b/>
                <w:bCs/>
              </w:rPr>
              <w:t>Number of Respondents</w:t>
            </w:r>
          </w:p>
        </w:tc>
      </w:tr>
      <w:tr w:rsidR="00CA4CD6" w:rsidRPr="00D026C5" w:rsidTr="003F29DD">
        <w:tc>
          <w:tcPr>
            <w:tcW w:w="1080" w:type="dxa"/>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18"/>
                <w:szCs w:val="18"/>
              </w:rPr>
            </w:pPr>
          </w:p>
          <w:p w:rsidR="00CA4CD6" w:rsidRPr="00D026C5" w:rsidRDefault="00CA4CD6" w:rsidP="006137FB">
            <w:pPr>
              <w:keepNext/>
              <w:pBdr>
                <w:top w:val="single" w:sz="6" w:space="0" w:color="FFFFFF"/>
                <w:left w:val="single" w:sz="6" w:space="0" w:color="FFFFFF"/>
                <w:bottom w:val="single" w:sz="6" w:space="0" w:color="FFFFFF"/>
                <w:right w:val="single" w:sz="6" w:space="0" w:color="FFFFFF"/>
              </w:pBdr>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(A)</w:t>
            </w: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New Respondents</w:t>
            </w:r>
            <w:r w:rsidR="00B45A03">
              <w:rPr>
                <w:sz w:val="20"/>
                <w:szCs w:val="20"/>
              </w:rPr>
              <w:t xml:space="preserve"> </w:t>
            </w:r>
            <w:r w:rsidRPr="00396A52">
              <w:rPr>
                <w:sz w:val="20"/>
                <w:szCs w:val="20"/>
                <w:vertAlign w:val="superscript"/>
              </w:rPr>
              <w:t>a</w:t>
            </w:r>
          </w:p>
        </w:tc>
        <w:tc>
          <w:tcPr>
            <w:tcW w:w="1373" w:type="dxa"/>
            <w:gridSpan w:val="2"/>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(B)</w:t>
            </w:r>
          </w:p>
          <w:p w:rsidR="00CA4CD6" w:rsidRPr="00D026C5" w:rsidRDefault="00396A52" w:rsidP="00FB6C80">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(C)</w:t>
            </w: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Existing  Respondents that keep records but do not submit reports</w:t>
            </w:r>
            <w:r w:rsidR="00D43328">
              <w:rPr>
                <w:sz w:val="20"/>
                <w:szCs w:val="20"/>
              </w:rPr>
              <w:t xml:space="preserve"> </w:t>
            </w:r>
            <w:r w:rsidRPr="00396A52">
              <w:rPr>
                <w:sz w:val="20"/>
                <w:szCs w:val="20"/>
                <w:vertAlign w:val="superscript"/>
              </w:rPr>
              <w:t>b</w:t>
            </w:r>
          </w:p>
        </w:tc>
        <w:tc>
          <w:tcPr>
            <w:tcW w:w="1800" w:type="dxa"/>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(D)</w:t>
            </w: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D026C5" w:rsidRDefault="00CA4CD6" w:rsidP="006137FB">
            <w:pPr>
              <w:keepNext/>
              <w:spacing w:line="120" w:lineRule="exact"/>
              <w:jc w:val="center"/>
              <w:rPr>
                <w:sz w:val="20"/>
                <w:szCs w:val="20"/>
              </w:rPr>
            </w:pP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(E)</w:t>
            </w:r>
          </w:p>
          <w:p w:rsidR="00CA4CD6" w:rsidRPr="00D026C5" w:rsidRDefault="00396A52" w:rsidP="006137FB">
            <w:pPr>
              <w:keepNext/>
              <w:pBdr>
                <w:top w:val="single" w:sz="6" w:space="0" w:color="FFFFFF"/>
                <w:left w:val="single" w:sz="6" w:space="0" w:color="FFFFFF"/>
                <w:bottom w:val="single" w:sz="6" w:space="0" w:color="FFFFFF"/>
                <w:right w:val="single" w:sz="6" w:space="0" w:color="FFFFFF"/>
              </w:pBdr>
              <w:jc w:val="center"/>
              <w:rPr>
                <w:sz w:val="20"/>
                <w:szCs w:val="20"/>
              </w:rPr>
            </w:pPr>
            <w:r w:rsidRPr="00396A52">
              <w:rPr>
                <w:sz w:val="20"/>
                <w:szCs w:val="20"/>
              </w:rPr>
              <w:t>Number of Respondents</w:t>
            </w:r>
          </w:p>
          <w:p w:rsidR="00CA4CD6" w:rsidRPr="00D026C5" w:rsidRDefault="00396A52" w:rsidP="006137FB">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396A52">
              <w:rPr>
                <w:sz w:val="20"/>
                <w:szCs w:val="20"/>
              </w:rPr>
              <w:t>(E=A+B+C-D)</w:t>
            </w:r>
          </w:p>
        </w:tc>
      </w:tr>
      <w:tr w:rsidR="003F29DD" w:rsidRPr="00D026C5" w:rsidTr="004A3BF7">
        <w:tblPrEx>
          <w:tblCellMar>
            <w:left w:w="108" w:type="dxa"/>
            <w:right w:w="108" w:type="dxa"/>
          </w:tblCellMar>
          <w:tblLook w:val="04A0"/>
        </w:tblPrEx>
        <w:trPr>
          <w:trHeight w:val="255"/>
        </w:trPr>
        <w:tc>
          <w:tcPr>
            <w:tcW w:w="96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9DD" w:rsidRPr="0086275E" w:rsidRDefault="00396A52" w:rsidP="00F54760">
            <w:pPr>
              <w:keepNext/>
              <w:autoSpaceDE/>
              <w:autoSpaceDN/>
              <w:adjustRightInd/>
              <w:rPr>
                <w:b/>
                <w:i/>
                <w:iCs/>
                <w:sz w:val="20"/>
                <w:szCs w:val="20"/>
              </w:rPr>
            </w:pPr>
            <w:r w:rsidRPr="0086275E">
              <w:rPr>
                <w:b/>
                <w:i/>
                <w:iCs/>
                <w:sz w:val="20"/>
                <w:szCs w:val="20"/>
              </w:rPr>
              <w:t>Gas-Fired Stationary Combustion Turbine Subcategories</w:t>
            </w:r>
          </w:p>
        </w:tc>
      </w:tr>
      <w:tr w:rsidR="003F29DD"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1</w:t>
            </w:r>
          </w:p>
        </w:tc>
        <w:tc>
          <w:tcPr>
            <w:tcW w:w="1622" w:type="dxa"/>
            <w:gridSpan w:val="2"/>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w:t>
            </w:r>
          </w:p>
        </w:tc>
        <w:tc>
          <w:tcPr>
            <w:tcW w:w="1348"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60.2</w:t>
            </w:r>
          </w:p>
        </w:tc>
        <w:tc>
          <w:tcPr>
            <w:tcW w:w="180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66.2</w:t>
            </w:r>
          </w:p>
        </w:tc>
      </w:tr>
      <w:tr w:rsidR="003F29DD"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2</w:t>
            </w:r>
          </w:p>
        </w:tc>
        <w:tc>
          <w:tcPr>
            <w:tcW w:w="1622" w:type="dxa"/>
            <w:gridSpan w:val="2"/>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w:t>
            </w:r>
          </w:p>
        </w:tc>
        <w:tc>
          <w:tcPr>
            <w:tcW w:w="1348"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66.2</w:t>
            </w:r>
          </w:p>
        </w:tc>
        <w:tc>
          <w:tcPr>
            <w:tcW w:w="180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72.2</w:t>
            </w:r>
          </w:p>
        </w:tc>
      </w:tr>
      <w:tr w:rsidR="003F29DD"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3</w:t>
            </w:r>
          </w:p>
        </w:tc>
        <w:tc>
          <w:tcPr>
            <w:tcW w:w="1622" w:type="dxa"/>
            <w:gridSpan w:val="2"/>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6</w:t>
            </w:r>
          </w:p>
        </w:tc>
        <w:tc>
          <w:tcPr>
            <w:tcW w:w="1348"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72.2</w:t>
            </w:r>
          </w:p>
        </w:tc>
        <w:tc>
          <w:tcPr>
            <w:tcW w:w="180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3F29DD" w:rsidRPr="00D026C5" w:rsidRDefault="00396A52" w:rsidP="004A3BF7">
            <w:pPr>
              <w:widowControl/>
              <w:autoSpaceDE/>
              <w:autoSpaceDN/>
              <w:adjustRightInd/>
              <w:jc w:val="center"/>
              <w:rPr>
                <w:sz w:val="20"/>
                <w:szCs w:val="20"/>
              </w:rPr>
            </w:pPr>
            <w:r w:rsidRPr="00396A52">
              <w:rPr>
                <w:sz w:val="20"/>
                <w:szCs w:val="20"/>
              </w:rPr>
              <w:t>78.2</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Average</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6</w:t>
            </w:r>
          </w:p>
        </w:tc>
        <w:tc>
          <w:tcPr>
            <w:tcW w:w="1348"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66.2</w:t>
            </w:r>
          </w:p>
        </w:tc>
        <w:tc>
          <w:tcPr>
            <w:tcW w:w="1800"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72.2</w:t>
            </w:r>
          </w:p>
        </w:tc>
      </w:tr>
      <w:tr w:rsidR="00245DB1" w:rsidRPr="00D026C5" w:rsidTr="004A3BF7">
        <w:tblPrEx>
          <w:tblCellMar>
            <w:left w:w="108" w:type="dxa"/>
            <w:right w:w="108" w:type="dxa"/>
          </w:tblCellMar>
          <w:tblLook w:val="04A0"/>
        </w:tblPrEx>
        <w:trPr>
          <w:trHeight w:val="255"/>
        </w:trPr>
        <w:tc>
          <w:tcPr>
            <w:tcW w:w="96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5DB1" w:rsidRPr="0086275E" w:rsidRDefault="00396A52" w:rsidP="00F54760">
            <w:pPr>
              <w:widowControl/>
              <w:autoSpaceDE/>
              <w:autoSpaceDN/>
              <w:adjustRightInd/>
              <w:rPr>
                <w:b/>
                <w:i/>
                <w:iCs/>
                <w:sz w:val="20"/>
                <w:szCs w:val="20"/>
              </w:rPr>
            </w:pPr>
            <w:r w:rsidRPr="0086275E">
              <w:rPr>
                <w:b/>
                <w:i/>
                <w:iCs/>
                <w:sz w:val="20"/>
                <w:szCs w:val="20"/>
              </w:rPr>
              <w:t>Landfill/Digester Gas-Fired Stationary Combustion Turbine Subcategory</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1</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0.3</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2.6</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2.9</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0.3</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2.9</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3.2</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3</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0.3</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317764">
            <w:pPr>
              <w:widowControl/>
              <w:autoSpaceDE/>
              <w:autoSpaceDN/>
              <w:adjustRightInd/>
              <w:jc w:val="center"/>
              <w:rPr>
                <w:sz w:val="20"/>
                <w:szCs w:val="20"/>
              </w:rPr>
            </w:pPr>
            <w:r w:rsidRPr="00396A52">
              <w:rPr>
                <w:sz w:val="20"/>
                <w:szCs w:val="20"/>
              </w:rPr>
              <w:t>3.</w:t>
            </w:r>
            <w:r w:rsidR="00317764">
              <w:rPr>
                <w:sz w:val="20"/>
                <w:szCs w:val="20"/>
              </w:rPr>
              <w:t>2</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317764">
            <w:pPr>
              <w:widowControl/>
              <w:autoSpaceDE/>
              <w:autoSpaceDN/>
              <w:adjustRightInd/>
              <w:jc w:val="center"/>
              <w:rPr>
                <w:sz w:val="20"/>
                <w:szCs w:val="20"/>
              </w:rPr>
            </w:pPr>
            <w:r w:rsidRPr="00396A52">
              <w:rPr>
                <w:sz w:val="20"/>
                <w:szCs w:val="20"/>
              </w:rPr>
              <w:t>3.</w:t>
            </w:r>
            <w:r w:rsidR="00317764">
              <w:rPr>
                <w:sz w:val="20"/>
                <w:szCs w:val="20"/>
              </w:rPr>
              <w:t>5</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Average</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0.3</w:t>
            </w:r>
          </w:p>
        </w:tc>
        <w:tc>
          <w:tcPr>
            <w:tcW w:w="1348"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2.9</w:t>
            </w:r>
          </w:p>
        </w:tc>
        <w:tc>
          <w:tcPr>
            <w:tcW w:w="2070" w:type="dxa"/>
            <w:tcBorders>
              <w:top w:val="nil"/>
              <w:left w:val="nil"/>
              <w:bottom w:val="single" w:sz="4" w:space="0" w:color="auto"/>
              <w:right w:val="single" w:sz="4" w:space="0" w:color="auto"/>
            </w:tcBorders>
            <w:shd w:val="clear" w:color="auto" w:fill="auto"/>
            <w:vAlign w:val="center"/>
            <w:hideMark/>
          </w:tcPr>
          <w:p w:rsidR="00245DB1" w:rsidRPr="00A730BD" w:rsidRDefault="00245DB1" w:rsidP="004A3BF7">
            <w:pPr>
              <w:widowControl/>
              <w:autoSpaceDE/>
              <w:autoSpaceDN/>
              <w:adjustRightInd/>
              <w:jc w:val="center"/>
              <w:rPr>
                <w:b/>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245DB1" w:rsidRPr="00A730BD" w:rsidRDefault="00245DB1" w:rsidP="004A3BF7">
            <w:pPr>
              <w:widowControl/>
              <w:autoSpaceDE/>
              <w:autoSpaceDN/>
              <w:adjustRightInd/>
              <w:jc w:val="center"/>
              <w:rPr>
                <w:b/>
                <w:sz w:val="20"/>
                <w:szCs w:val="20"/>
              </w:rPr>
            </w:pPr>
          </w:p>
        </w:tc>
        <w:tc>
          <w:tcPr>
            <w:tcW w:w="1710"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3.2</w:t>
            </w:r>
          </w:p>
        </w:tc>
      </w:tr>
      <w:tr w:rsidR="00245DB1" w:rsidRPr="00D026C5" w:rsidTr="004A3BF7">
        <w:tblPrEx>
          <w:tblCellMar>
            <w:left w:w="108" w:type="dxa"/>
            <w:right w:w="108" w:type="dxa"/>
          </w:tblCellMar>
          <w:tblLook w:val="04A0"/>
        </w:tblPrEx>
        <w:trPr>
          <w:trHeight w:val="255"/>
        </w:trPr>
        <w:tc>
          <w:tcPr>
            <w:tcW w:w="96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5DB1" w:rsidRPr="0086275E" w:rsidRDefault="00396A52" w:rsidP="00F54760">
            <w:pPr>
              <w:widowControl/>
              <w:autoSpaceDE/>
              <w:autoSpaceDN/>
              <w:adjustRightInd/>
              <w:rPr>
                <w:b/>
                <w:i/>
                <w:iCs/>
                <w:sz w:val="20"/>
                <w:szCs w:val="20"/>
              </w:rPr>
            </w:pPr>
            <w:r w:rsidRPr="0086275E">
              <w:rPr>
                <w:b/>
                <w:i/>
                <w:iCs/>
                <w:sz w:val="20"/>
                <w:szCs w:val="20"/>
              </w:rPr>
              <w:t>Oil-Fired Stationary Combustion Turbine Subcategories</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1</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2.4</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24.</w:t>
            </w:r>
            <w:r w:rsidR="008C28D5">
              <w:rPr>
                <w:sz w:val="20"/>
                <w:szCs w:val="20"/>
              </w:rPr>
              <w:t>5</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26.</w:t>
            </w:r>
            <w:r w:rsidR="008C28D5">
              <w:rPr>
                <w:sz w:val="20"/>
                <w:szCs w:val="20"/>
              </w:rPr>
              <w:t>9</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2.4</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26.</w:t>
            </w:r>
            <w:r w:rsidR="008C28D5">
              <w:rPr>
                <w:sz w:val="20"/>
                <w:szCs w:val="20"/>
              </w:rPr>
              <w:t>9</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29.</w:t>
            </w:r>
            <w:r w:rsidR="008C28D5">
              <w:rPr>
                <w:sz w:val="20"/>
                <w:szCs w:val="20"/>
              </w:rPr>
              <w:t>3</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3</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2.4</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29.</w:t>
            </w:r>
            <w:r w:rsidR="008C28D5">
              <w:rPr>
                <w:sz w:val="20"/>
                <w:szCs w:val="20"/>
              </w:rPr>
              <w:t>3</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sz w:val="20"/>
                <w:szCs w:val="20"/>
              </w:rPr>
            </w:pPr>
            <w:r w:rsidRPr="00396A52">
              <w:rPr>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8C28D5">
            <w:pPr>
              <w:widowControl/>
              <w:autoSpaceDE/>
              <w:autoSpaceDN/>
              <w:adjustRightInd/>
              <w:jc w:val="center"/>
              <w:rPr>
                <w:sz w:val="20"/>
                <w:szCs w:val="20"/>
              </w:rPr>
            </w:pPr>
            <w:r w:rsidRPr="00396A52">
              <w:rPr>
                <w:sz w:val="20"/>
                <w:szCs w:val="20"/>
              </w:rPr>
              <w:t>31.</w:t>
            </w:r>
            <w:r w:rsidR="008C28D5">
              <w:rPr>
                <w:sz w:val="20"/>
                <w:szCs w:val="20"/>
              </w:rPr>
              <w:t>7</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Average</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2.4</w:t>
            </w:r>
          </w:p>
        </w:tc>
        <w:tc>
          <w:tcPr>
            <w:tcW w:w="1348"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4A3BF7">
            <w:pPr>
              <w:widowControl/>
              <w:autoSpaceDE/>
              <w:autoSpaceDN/>
              <w:adjustRightInd/>
              <w:jc w:val="center"/>
              <w:rPr>
                <w:b/>
                <w:sz w:val="20"/>
                <w:szCs w:val="20"/>
              </w:rPr>
            </w:pPr>
            <w:r w:rsidRPr="00A730BD">
              <w:rPr>
                <w:b/>
                <w:sz w:val="20"/>
                <w:szCs w:val="20"/>
              </w:rPr>
              <w:t>26.9</w:t>
            </w:r>
          </w:p>
        </w:tc>
        <w:tc>
          <w:tcPr>
            <w:tcW w:w="2070" w:type="dxa"/>
            <w:tcBorders>
              <w:top w:val="nil"/>
              <w:left w:val="nil"/>
              <w:bottom w:val="single" w:sz="4" w:space="0" w:color="auto"/>
              <w:right w:val="single" w:sz="4" w:space="0" w:color="auto"/>
            </w:tcBorders>
            <w:shd w:val="clear" w:color="auto" w:fill="auto"/>
            <w:vAlign w:val="center"/>
            <w:hideMark/>
          </w:tcPr>
          <w:p w:rsidR="00245DB1" w:rsidRPr="00A730BD" w:rsidRDefault="00245DB1" w:rsidP="004A3BF7">
            <w:pPr>
              <w:widowControl/>
              <w:autoSpaceDE/>
              <w:autoSpaceDN/>
              <w:adjustRightInd/>
              <w:jc w:val="center"/>
              <w:rPr>
                <w:b/>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245DB1" w:rsidRPr="00A730BD" w:rsidRDefault="00245DB1" w:rsidP="004A3BF7">
            <w:pPr>
              <w:widowControl/>
              <w:autoSpaceDE/>
              <w:autoSpaceDN/>
              <w:adjustRightInd/>
              <w:jc w:val="center"/>
              <w:rPr>
                <w:b/>
                <w:sz w:val="20"/>
                <w:szCs w:val="20"/>
              </w:rPr>
            </w:pPr>
          </w:p>
        </w:tc>
        <w:tc>
          <w:tcPr>
            <w:tcW w:w="1710" w:type="dxa"/>
            <w:tcBorders>
              <w:top w:val="nil"/>
              <w:left w:val="nil"/>
              <w:bottom w:val="single" w:sz="4" w:space="0" w:color="auto"/>
              <w:right w:val="single" w:sz="4" w:space="0" w:color="auto"/>
            </w:tcBorders>
            <w:shd w:val="clear" w:color="auto" w:fill="auto"/>
            <w:vAlign w:val="center"/>
            <w:hideMark/>
          </w:tcPr>
          <w:p w:rsidR="00245DB1" w:rsidRPr="00A730BD" w:rsidRDefault="00396A52" w:rsidP="008C28D5">
            <w:pPr>
              <w:widowControl/>
              <w:autoSpaceDE/>
              <w:autoSpaceDN/>
              <w:adjustRightInd/>
              <w:jc w:val="center"/>
              <w:rPr>
                <w:b/>
                <w:sz w:val="20"/>
                <w:szCs w:val="20"/>
              </w:rPr>
            </w:pPr>
            <w:r w:rsidRPr="00A730BD">
              <w:rPr>
                <w:b/>
                <w:sz w:val="20"/>
                <w:szCs w:val="20"/>
              </w:rPr>
              <w:t>29.</w:t>
            </w:r>
            <w:r w:rsidR="008C28D5">
              <w:rPr>
                <w:b/>
                <w:sz w:val="20"/>
                <w:szCs w:val="20"/>
              </w:rPr>
              <w:t>3</w:t>
            </w:r>
          </w:p>
        </w:tc>
      </w:tr>
      <w:tr w:rsidR="00245DB1" w:rsidRPr="00D026C5" w:rsidTr="004A3BF7">
        <w:tblPrEx>
          <w:tblCellMar>
            <w:left w:w="108" w:type="dxa"/>
            <w:right w:w="108" w:type="dxa"/>
          </w:tblCellMar>
          <w:tblLook w:val="04A0"/>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b/>
                <w:bCs/>
                <w:sz w:val="20"/>
                <w:szCs w:val="20"/>
              </w:rPr>
            </w:pPr>
            <w:r w:rsidRPr="00396A52">
              <w:rPr>
                <w:b/>
                <w:bCs/>
                <w:sz w:val="20"/>
                <w:szCs w:val="20"/>
              </w:rPr>
              <w:t>TOTAL</w:t>
            </w:r>
          </w:p>
        </w:tc>
        <w:tc>
          <w:tcPr>
            <w:tcW w:w="1622" w:type="dxa"/>
            <w:gridSpan w:val="2"/>
            <w:tcBorders>
              <w:top w:val="nil"/>
              <w:left w:val="nil"/>
              <w:bottom w:val="single" w:sz="4" w:space="0" w:color="auto"/>
              <w:right w:val="single" w:sz="4" w:space="0" w:color="auto"/>
            </w:tcBorders>
            <w:shd w:val="clear" w:color="auto" w:fill="auto"/>
            <w:vAlign w:val="center"/>
            <w:hideMark/>
          </w:tcPr>
          <w:p w:rsidR="00245DB1" w:rsidRPr="00D026C5" w:rsidRDefault="00396A52" w:rsidP="004A3BF7">
            <w:pPr>
              <w:widowControl/>
              <w:autoSpaceDE/>
              <w:autoSpaceDN/>
              <w:adjustRightInd/>
              <w:jc w:val="center"/>
              <w:rPr>
                <w:b/>
                <w:bCs/>
                <w:sz w:val="20"/>
                <w:szCs w:val="20"/>
              </w:rPr>
            </w:pPr>
            <w:r w:rsidRPr="00396A52">
              <w:rPr>
                <w:b/>
                <w:bCs/>
                <w:sz w:val="20"/>
                <w:szCs w:val="20"/>
              </w:rPr>
              <w:t>8.7</w:t>
            </w:r>
          </w:p>
        </w:tc>
        <w:tc>
          <w:tcPr>
            <w:tcW w:w="1348"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317764">
            <w:pPr>
              <w:widowControl/>
              <w:autoSpaceDE/>
              <w:autoSpaceDN/>
              <w:adjustRightInd/>
              <w:jc w:val="center"/>
              <w:rPr>
                <w:b/>
                <w:bCs/>
                <w:sz w:val="20"/>
                <w:szCs w:val="20"/>
              </w:rPr>
            </w:pPr>
            <w:r w:rsidRPr="00396A52">
              <w:rPr>
                <w:b/>
                <w:bCs/>
                <w:sz w:val="20"/>
                <w:szCs w:val="20"/>
              </w:rPr>
              <w:t>29.</w:t>
            </w:r>
            <w:r w:rsidR="00317764">
              <w:rPr>
                <w:b/>
                <w:bCs/>
                <w:sz w:val="20"/>
                <w:szCs w:val="20"/>
              </w:rPr>
              <w:t>7</w:t>
            </w:r>
          </w:p>
        </w:tc>
        <w:tc>
          <w:tcPr>
            <w:tcW w:w="2070" w:type="dxa"/>
            <w:tcBorders>
              <w:top w:val="nil"/>
              <w:left w:val="nil"/>
              <w:bottom w:val="single" w:sz="4" w:space="0" w:color="auto"/>
              <w:right w:val="single" w:sz="4" w:space="0" w:color="auto"/>
            </w:tcBorders>
            <w:shd w:val="clear" w:color="auto" w:fill="auto"/>
            <w:vAlign w:val="center"/>
            <w:hideMark/>
          </w:tcPr>
          <w:p w:rsidR="00245DB1" w:rsidRPr="00D026C5" w:rsidRDefault="00704220" w:rsidP="004A3BF7">
            <w:pPr>
              <w:widowControl/>
              <w:autoSpaceDE/>
              <w:autoSpaceDN/>
              <w:adjustRightInd/>
              <w:jc w:val="center"/>
              <w:rPr>
                <w:b/>
                <w:bCs/>
                <w:sz w:val="20"/>
                <w:szCs w:val="20"/>
              </w:rPr>
            </w:pPr>
            <w:r>
              <w:rPr>
                <w:b/>
                <w:bCs/>
                <w:sz w:val="20"/>
                <w:szCs w:val="20"/>
              </w:rPr>
              <w:t>66.2</w:t>
            </w:r>
          </w:p>
        </w:tc>
        <w:tc>
          <w:tcPr>
            <w:tcW w:w="1800" w:type="dxa"/>
            <w:tcBorders>
              <w:top w:val="nil"/>
              <w:left w:val="nil"/>
              <w:bottom w:val="single" w:sz="4" w:space="0" w:color="auto"/>
              <w:right w:val="single" w:sz="4" w:space="0" w:color="auto"/>
            </w:tcBorders>
            <w:shd w:val="clear" w:color="auto" w:fill="auto"/>
            <w:vAlign w:val="center"/>
            <w:hideMark/>
          </w:tcPr>
          <w:p w:rsidR="00245DB1" w:rsidRPr="00D026C5" w:rsidRDefault="00704220" w:rsidP="004A3BF7">
            <w:pPr>
              <w:widowControl/>
              <w:autoSpaceDE/>
              <w:autoSpaceDN/>
              <w:adjustRightInd/>
              <w:jc w:val="center"/>
              <w:rPr>
                <w:b/>
                <w:bCs/>
                <w:sz w:val="20"/>
                <w:szCs w:val="20"/>
              </w:rPr>
            </w:pPr>
            <w:r>
              <w:rPr>
                <w:b/>
                <w:bCs/>
                <w:sz w:val="20"/>
                <w:szCs w:val="20"/>
              </w:rPr>
              <w:t>0</w:t>
            </w:r>
          </w:p>
        </w:tc>
        <w:tc>
          <w:tcPr>
            <w:tcW w:w="1710" w:type="dxa"/>
            <w:tcBorders>
              <w:top w:val="nil"/>
              <w:left w:val="nil"/>
              <w:bottom w:val="single" w:sz="4" w:space="0" w:color="auto"/>
              <w:right w:val="single" w:sz="4" w:space="0" w:color="auto"/>
            </w:tcBorders>
            <w:shd w:val="clear" w:color="auto" w:fill="auto"/>
            <w:vAlign w:val="center"/>
            <w:hideMark/>
          </w:tcPr>
          <w:p w:rsidR="00245DB1" w:rsidRPr="00D026C5" w:rsidRDefault="00396A52" w:rsidP="00456962">
            <w:pPr>
              <w:widowControl/>
              <w:autoSpaceDE/>
              <w:autoSpaceDN/>
              <w:adjustRightInd/>
              <w:jc w:val="center"/>
              <w:rPr>
                <w:b/>
                <w:bCs/>
                <w:sz w:val="20"/>
                <w:szCs w:val="20"/>
              </w:rPr>
            </w:pPr>
            <w:r w:rsidRPr="00396A52">
              <w:rPr>
                <w:b/>
                <w:bCs/>
                <w:sz w:val="20"/>
                <w:szCs w:val="20"/>
              </w:rPr>
              <w:t>104.</w:t>
            </w:r>
            <w:r w:rsidR="00456962">
              <w:rPr>
                <w:b/>
                <w:bCs/>
                <w:sz w:val="20"/>
                <w:szCs w:val="20"/>
              </w:rPr>
              <w:t>7</w:t>
            </w:r>
          </w:p>
        </w:tc>
      </w:tr>
    </w:tbl>
    <w:p w:rsidR="00CA4CD6" w:rsidRPr="00D026C5" w:rsidRDefault="00396A52" w:rsidP="008F3417">
      <w:pPr>
        <w:pBdr>
          <w:top w:val="single" w:sz="6" w:space="0" w:color="FFFFFF"/>
          <w:left w:val="single" w:sz="6" w:space="0" w:color="FFFFFF"/>
          <w:bottom w:val="single" w:sz="6" w:space="0" w:color="FFFFFF"/>
          <w:right w:val="single" w:sz="6" w:space="0" w:color="FFFFFF"/>
        </w:pBdr>
        <w:ind w:left="180" w:right="-270" w:hanging="180"/>
        <w:rPr>
          <w:sz w:val="20"/>
          <w:szCs w:val="20"/>
        </w:rPr>
      </w:pPr>
      <w:proofErr w:type="gramStart"/>
      <w:r w:rsidRPr="00396A52">
        <w:rPr>
          <w:vertAlign w:val="superscript"/>
        </w:rPr>
        <w:t>a</w:t>
      </w:r>
      <w:r w:rsidRPr="00396A52">
        <w:t xml:space="preserve">  </w:t>
      </w:r>
      <w:r w:rsidRPr="00396A52">
        <w:rPr>
          <w:sz w:val="20"/>
          <w:szCs w:val="20"/>
        </w:rPr>
        <w:t>New</w:t>
      </w:r>
      <w:proofErr w:type="gramEnd"/>
      <w:r w:rsidRPr="00396A52">
        <w:rPr>
          <w:sz w:val="20"/>
          <w:szCs w:val="20"/>
        </w:rPr>
        <w:t xml:space="preserve"> respondents include sources with affected facilities constructed or reconstructed after January 14, 2003</w:t>
      </w:r>
      <w:r>
        <w:rPr>
          <w:sz w:val="20"/>
          <w:szCs w:val="20"/>
        </w:rPr>
        <w:t>.</w:t>
      </w:r>
    </w:p>
    <w:p w:rsidR="00885112" w:rsidRPr="00D026C5" w:rsidRDefault="00396A52" w:rsidP="008F3417">
      <w:pPr>
        <w:pBdr>
          <w:top w:val="single" w:sz="6" w:space="0" w:color="FFFFFF"/>
          <w:left w:val="single" w:sz="6" w:space="0" w:color="FFFFFF"/>
          <w:bottom w:val="single" w:sz="6" w:space="0" w:color="FFFFFF"/>
          <w:right w:val="single" w:sz="6" w:space="0" w:color="FFFFFF"/>
        </w:pBdr>
        <w:ind w:left="180" w:right="-270" w:hanging="180"/>
        <w:rPr>
          <w:sz w:val="20"/>
          <w:szCs w:val="20"/>
        </w:rPr>
      </w:pPr>
      <w:proofErr w:type="gramStart"/>
      <w:r w:rsidRPr="00396A52">
        <w:rPr>
          <w:sz w:val="20"/>
          <w:szCs w:val="20"/>
          <w:vertAlign w:val="superscript"/>
        </w:rPr>
        <w:t>b</w:t>
      </w:r>
      <w:r w:rsidRPr="00396A52">
        <w:t xml:space="preserve">  </w:t>
      </w:r>
      <w:r w:rsidRPr="00396A52">
        <w:rPr>
          <w:sz w:val="20"/>
          <w:szCs w:val="20"/>
        </w:rPr>
        <w:t>Due</w:t>
      </w:r>
      <w:proofErr w:type="gramEnd"/>
      <w:r w:rsidRPr="00396A52">
        <w:rPr>
          <w:sz w:val="20"/>
          <w:szCs w:val="20"/>
        </w:rPr>
        <w:t xml:space="preserve"> to the ongoing stay of the NESHAP, existing gas-fired sources that have previously submitted initial notifications are not subject to any additional monitoring or reporting requirements. For this reason, we have accounted for them in Column C.</w:t>
      </w:r>
    </w:p>
    <w:p w:rsidR="00CA4CD6" w:rsidRPr="00D026C5" w:rsidRDefault="00CA4CD6" w:rsidP="00FB6C80">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Column D is subtracted to avoid double-counting respondents.  As shown above, the average Number of Respondents over the three year period of this ICR is </w:t>
      </w:r>
      <w:r w:rsidR="00315F81">
        <w:t>105 (rounded)</w:t>
      </w:r>
      <w:r w:rsidRPr="00396A52">
        <w: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total number of annual responses per year is calculated using the following table:</w:t>
      </w:r>
    </w:p>
    <w:p w:rsidR="00CA4CD6" w:rsidRPr="00D026C5"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260"/>
        <w:gridCol w:w="990"/>
        <w:gridCol w:w="1890"/>
        <w:gridCol w:w="1260"/>
      </w:tblGrid>
      <w:tr w:rsidR="00A73600" w:rsidRPr="00D026C5" w:rsidTr="0006609A">
        <w:trPr>
          <w:tblHeader/>
        </w:trPr>
        <w:tc>
          <w:tcPr>
            <w:tcW w:w="9180" w:type="dxa"/>
            <w:gridSpan w:val="5"/>
          </w:tcPr>
          <w:p w:rsidR="00CA4CD6" w:rsidRPr="00D026C5" w:rsidRDefault="00CA4CD6">
            <w:pPr>
              <w:spacing w:line="120" w:lineRule="exact"/>
            </w:pP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396A52">
              <w:rPr>
                <w:b/>
                <w:bCs/>
              </w:rPr>
              <w:t>Total Annual Responses</w:t>
            </w:r>
          </w:p>
        </w:tc>
      </w:tr>
      <w:tr w:rsidR="00CA4CD6" w:rsidRPr="00D026C5" w:rsidTr="009154F1">
        <w:tc>
          <w:tcPr>
            <w:tcW w:w="3780" w:type="dxa"/>
          </w:tcPr>
          <w:p w:rsidR="00CA4CD6" w:rsidRPr="00D026C5" w:rsidRDefault="00CA4CD6">
            <w:pPr>
              <w:spacing w:line="120" w:lineRule="exact"/>
              <w:rPr>
                <w:b/>
                <w:bCs/>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(A)</w:t>
            </w:r>
          </w:p>
          <w:p w:rsidR="00CA4CD6" w:rsidRPr="00D026C5"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Information Collection Activity</w:t>
            </w:r>
          </w:p>
        </w:tc>
        <w:tc>
          <w:tcPr>
            <w:tcW w:w="1260" w:type="dxa"/>
          </w:tcPr>
          <w:p w:rsidR="00CA4CD6" w:rsidRPr="00D026C5" w:rsidRDefault="00CA4CD6">
            <w:pPr>
              <w:spacing w:line="120" w:lineRule="exact"/>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(B)</w:t>
            </w:r>
          </w:p>
          <w:p w:rsidR="00CA4CD6" w:rsidRPr="00D026C5"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Respondents</w:t>
            </w:r>
            <w:r>
              <w:rPr>
                <w:sz w:val="18"/>
                <w:szCs w:val="18"/>
                <w:vertAlign w:val="superscript"/>
              </w:rPr>
              <w:t>a</w:t>
            </w:r>
            <w:r>
              <w:rPr>
                <w:sz w:val="18"/>
                <w:szCs w:val="18"/>
              </w:rPr>
              <w:t xml:space="preserve">  </w:t>
            </w:r>
          </w:p>
        </w:tc>
        <w:tc>
          <w:tcPr>
            <w:tcW w:w="990" w:type="dxa"/>
          </w:tcPr>
          <w:p w:rsidR="00CA4CD6" w:rsidRPr="00D026C5" w:rsidRDefault="00CA4CD6">
            <w:pPr>
              <w:spacing w:line="120" w:lineRule="exact"/>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(C)</w:t>
            </w:r>
          </w:p>
          <w:p w:rsidR="00CA4CD6" w:rsidRPr="00D026C5"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Responses</w:t>
            </w:r>
          </w:p>
        </w:tc>
        <w:tc>
          <w:tcPr>
            <w:tcW w:w="1890" w:type="dxa"/>
          </w:tcPr>
          <w:p w:rsidR="00CA4CD6" w:rsidRPr="00D026C5" w:rsidRDefault="00CA4CD6">
            <w:pPr>
              <w:spacing w:line="120" w:lineRule="exact"/>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(D)</w:t>
            </w:r>
          </w:p>
          <w:p w:rsidR="00CA4CD6" w:rsidRPr="00D026C5" w:rsidRDefault="00396A52" w:rsidP="000B127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Existing Respondents That Keep Records But Do Not Submit Reports</w:t>
            </w:r>
          </w:p>
        </w:tc>
        <w:tc>
          <w:tcPr>
            <w:tcW w:w="1260" w:type="dxa"/>
          </w:tcPr>
          <w:p w:rsidR="00CA4CD6" w:rsidRPr="00D026C5" w:rsidRDefault="00CA4CD6">
            <w:pPr>
              <w:spacing w:line="120" w:lineRule="exact"/>
              <w:rPr>
                <w:sz w:val="18"/>
                <w:szCs w:val="18"/>
              </w:rPr>
            </w:pP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(E)</w:t>
            </w:r>
          </w:p>
          <w:p w:rsidR="00CA4CD6" w:rsidRPr="00D026C5" w:rsidRDefault="00396A5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 xml:space="preserve">Total Annual  Responses </w:t>
            </w:r>
          </w:p>
          <w:p w:rsidR="00CA4CD6" w:rsidRPr="00D026C5" w:rsidRDefault="00396A5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E=(</w:t>
            </w:r>
            <w:proofErr w:type="spellStart"/>
            <w:r>
              <w:rPr>
                <w:sz w:val="18"/>
                <w:szCs w:val="18"/>
              </w:rPr>
              <w:t>BxC</w:t>
            </w:r>
            <w:proofErr w:type="spellEnd"/>
            <w:r>
              <w:rPr>
                <w:sz w:val="18"/>
                <w:szCs w:val="18"/>
              </w:rPr>
              <w:t>)+D</w:t>
            </w:r>
          </w:p>
        </w:tc>
      </w:tr>
      <w:tr w:rsidR="0006609A" w:rsidRPr="00D026C5" w:rsidTr="00613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9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09A" w:rsidRPr="000B1278" w:rsidRDefault="00396A52" w:rsidP="00FA6E6F">
            <w:pPr>
              <w:rPr>
                <w:b/>
                <w:i/>
                <w:iCs/>
                <w:sz w:val="20"/>
                <w:szCs w:val="20"/>
              </w:rPr>
            </w:pPr>
            <w:r w:rsidRPr="000B1278">
              <w:rPr>
                <w:b/>
                <w:i/>
                <w:iCs/>
                <w:sz w:val="20"/>
                <w:szCs w:val="20"/>
              </w:rPr>
              <w:t>Gas-Fired Stationary Combustion Turbine Subcategories</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Initial notification</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6</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6</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nil"/>
            </w:tcBorders>
            <w:shd w:val="clear" w:color="auto" w:fill="auto"/>
            <w:vAlign w:val="center"/>
            <w:hideMark/>
          </w:tcPr>
          <w:p w:rsidR="0006609A" w:rsidRPr="009877B6" w:rsidRDefault="00396A52" w:rsidP="009877B6">
            <w:pPr>
              <w:ind w:firstLineChars="100" w:firstLine="181"/>
              <w:rPr>
                <w:b/>
                <w:sz w:val="18"/>
                <w:szCs w:val="18"/>
              </w:rPr>
            </w:pPr>
            <w:r w:rsidRPr="009877B6">
              <w:rPr>
                <w:b/>
                <w:sz w:val="18"/>
                <w:szCs w:val="18"/>
              </w:rPr>
              <w:t>Subtotal</w:t>
            </w:r>
          </w:p>
        </w:tc>
        <w:tc>
          <w:tcPr>
            <w:tcW w:w="126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99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06609A" w:rsidP="004A3BF7">
            <w:pPr>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06609A" w:rsidRPr="009877B6" w:rsidRDefault="00396A52" w:rsidP="004A3BF7">
            <w:pPr>
              <w:jc w:val="center"/>
              <w:rPr>
                <w:b/>
                <w:sz w:val="18"/>
                <w:szCs w:val="18"/>
              </w:rPr>
            </w:pPr>
            <w:r w:rsidRPr="009877B6">
              <w:rPr>
                <w:b/>
                <w:sz w:val="18"/>
                <w:szCs w:val="18"/>
              </w:rPr>
              <w:t>6</w:t>
            </w:r>
          </w:p>
        </w:tc>
      </w:tr>
      <w:tr w:rsidR="0006609A" w:rsidRPr="00D026C5" w:rsidTr="00613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9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09A" w:rsidRPr="000B1278" w:rsidRDefault="00396A52" w:rsidP="00FA6E6F">
            <w:pPr>
              <w:rPr>
                <w:b/>
                <w:i/>
                <w:iCs/>
                <w:sz w:val="20"/>
                <w:szCs w:val="20"/>
              </w:rPr>
            </w:pPr>
            <w:r w:rsidRPr="000B1278">
              <w:rPr>
                <w:b/>
                <w:i/>
                <w:iCs/>
                <w:sz w:val="20"/>
                <w:szCs w:val="20"/>
              </w:rPr>
              <w:t>Landfill/Digester Gas-Fired Stationary Combustion Turbine Subcategory</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Initial notification</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0.3</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0.3</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lastRenderedPageBreak/>
              <w:t>Annual compliance report</w:t>
            </w:r>
            <w:r w:rsidRPr="00396A52">
              <w:rPr>
                <w:sz w:val="18"/>
                <w:szCs w:val="18"/>
                <w:vertAlign w:val="superscript"/>
              </w:rPr>
              <w:t>b</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704220" w:rsidP="004A3BF7">
            <w:pPr>
              <w:jc w:val="center"/>
              <w:rPr>
                <w:sz w:val="18"/>
                <w:szCs w:val="18"/>
              </w:rPr>
            </w:pPr>
            <w:r>
              <w:rPr>
                <w:sz w:val="18"/>
                <w:szCs w:val="18"/>
              </w:rPr>
              <w:t>2.9</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704220" w:rsidP="004A3BF7">
            <w:pPr>
              <w:jc w:val="center"/>
              <w:rPr>
                <w:sz w:val="18"/>
                <w:szCs w:val="18"/>
              </w:rPr>
            </w:pPr>
            <w:r>
              <w:rPr>
                <w:sz w:val="18"/>
                <w:szCs w:val="18"/>
              </w:rPr>
              <w:t>2.9</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nil"/>
            </w:tcBorders>
            <w:shd w:val="clear" w:color="auto" w:fill="auto"/>
            <w:vAlign w:val="center"/>
            <w:hideMark/>
          </w:tcPr>
          <w:p w:rsidR="0006609A" w:rsidRPr="009877B6" w:rsidRDefault="00396A52" w:rsidP="009877B6">
            <w:pPr>
              <w:ind w:firstLineChars="100" w:firstLine="181"/>
              <w:rPr>
                <w:b/>
                <w:sz w:val="18"/>
                <w:szCs w:val="18"/>
              </w:rPr>
            </w:pPr>
            <w:r w:rsidRPr="009877B6">
              <w:rPr>
                <w:b/>
                <w:sz w:val="18"/>
                <w:szCs w:val="18"/>
              </w:rPr>
              <w:t>Subtotal</w:t>
            </w:r>
          </w:p>
        </w:tc>
        <w:tc>
          <w:tcPr>
            <w:tcW w:w="126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99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06609A" w:rsidP="004A3BF7">
            <w:pPr>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06609A" w:rsidRPr="009877B6" w:rsidRDefault="00396A52" w:rsidP="004A3BF7">
            <w:pPr>
              <w:jc w:val="center"/>
              <w:rPr>
                <w:b/>
                <w:sz w:val="18"/>
                <w:szCs w:val="18"/>
              </w:rPr>
            </w:pPr>
            <w:r w:rsidRPr="009877B6">
              <w:rPr>
                <w:b/>
                <w:sz w:val="18"/>
                <w:szCs w:val="18"/>
              </w:rPr>
              <w:t>3.</w:t>
            </w:r>
            <w:r w:rsidR="00704220" w:rsidRPr="009877B6">
              <w:rPr>
                <w:b/>
                <w:sz w:val="18"/>
                <w:szCs w:val="18"/>
              </w:rPr>
              <w:t>2</w:t>
            </w:r>
          </w:p>
        </w:tc>
      </w:tr>
      <w:tr w:rsidR="0006609A" w:rsidRPr="00D026C5" w:rsidTr="004A3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9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09A" w:rsidRPr="000B1278" w:rsidRDefault="00396A52" w:rsidP="00FA6E6F">
            <w:pPr>
              <w:rPr>
                <w:b/>
                <w:i/>
                <w:iCs/>
                <w:sz w:val="20"/>
                <w:szCs w:val="20"/>
              </w:rPr>
            </w:pPr>
            <w:r w:rsidRPr="000B1278">
              <w:rPr>
                <w:b/>
                <w:i/>
                <w:iCs/>
                <w:sz w:val="20"/>
                <w:szCs w:val="20"/>
              </w:rPr>
              <w:t>Oil-Fired Stationary Combustion Turbine Subcategories</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Initial notification</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Notification of construction/reconstruction</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Notification of performance test</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Notification of CMS performance evaluation</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Notification of compliance status</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2.4</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Pr>
                <w:sz w:val="18"/>
                <w:szCs w:val="18"/>
              </w:rPr>
              <w:t>1</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2.4</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06609A" w:rsidRPr="00D026C5" w:rsidRDefault="00396A52" w:rsidP="004A3BF7">
            <w:pPr>
              <w:rPr>
                <w:sz w:val="18"/>
                <w:szCs w:val="18"/>
              </w:rPr>
            </w:pPr>
            <w:r w:rsidRPr="00396A52">
              <w:rPr>
                <w:sz w:val="18"/>
                <w:szCs w:val="18"/>
              </w:rPr>
              <w:t>Semiannual compliance report</w:t>
            </w:r>
            <w:r w:rsidRPr="00396A52">
              <w:rPr>
                <w:sz w:val="18"/>
                <w:szCs w:val="18"/>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704220" w:rsidP="004A3BF7">
            <w:pPr>
              <w:jc w:val="center"/>
              <w:rPr>
                <w:sz w:val="18"/>
                <w:szCs w:val="18"/>
              </w:rPr>
            </w:pPr>
            <w:r>
              <w:rPr>
                <w:sz w:val="18"/>
                <w:szCs w:val="18"/>
              </w:rPr>
              <w:t>26.9</w:t>
            </w:r>
          </w:p>
        </w:tc>
        <w:tc>
          <w:tcPr>
            <w:tcW w:w="9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2</w:t>
            </w: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396A52" w:rsidP="004A3BF7">
            <w:pPr>
              <w:jc w:val="center"/>
              <w:rPr>
                <w:sz w:val="18"/>
                <w:szCs w:val="18"/>
              </w:rPr>
            </w:pPr>
            <w:r w:rsidRPr="00396A52">
              <w:rPr>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704220" w:rsidP="008C28D5">
            <w:pPr>
              <w:jc w:val="center"/>
              <w:rPr>
                <w:sz w:val="18"/>
                <w:szCs w:val="18"/>
              </w:rPr>
            </w:pPr>
            <w:r>
              <w:rPr>
                <w:sz w:val="18"/>
                <w:szCs w:val="18"/>
              </w:rPr>
              <w:t>53.</w:t>
            </w:r>
            <w:r w:rsidR="008C28D5">
              <w:rPr>
                <w:sz w:val="18"/>
                <w:szCs w:val="18"/>
              </w:rPr>
              <w:t>8</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3780" w:type="dxa"/>
            <w:tcBorders>
              <w:top w:val="nil"/>
              <w:left w:val="single" w:sz="4" w:space="0" w:color="auto"/>
              <w:bottom w:val="single" w:sz="4" w:space="0" w:color="auto"/>
              <w:right w:val="nil"/>
            </w:tcBorders>
            <w:shd w:val="clear" w:color="auto" w:fill="auto"/>
            <w:vAlign w:val="center"/>
            <w:hideMark/>
          </w:tcPr>
          <w:p w:rsidR="0006609A" w:rsidRPr="009877B6" w:rsidRDefault="00396A52" w:rsidP="009877B6">
            <w:pPr>
              <w:ind w:firstLineChars="100" w:firstLine="181"/>
              <w:rPr>
                <w:b/>
                <w:sz w:val="18"/>
                <w:szCs w:val="18"/>
              </w:rPr>
            </w:pPr>
            <w:r w:rsidRPr="009877B6">
              <w:rPr>
                <w:b/>
                <w:sz w:val="18"/>
                <w:szCs w:val="18"/>
              </w:rPr>
              <w:t>Subtotal</w:t>
            </w:r>
          </w:p>
        </w:tc>
        <w:tc>
          <w:tcPr>
            <w:tcW w:w="126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99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06609A" w:rsidP="004A3BF7">
            <w:pPr>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06609A" w:rsidRPr="009877B6" w:rsidRDefault="00704220" w:rsidP="004A3BF7">
            <w:pPr>
              <w:jc w:val="center"/>
              <w:rPr>
                <w:b/>
                <w:sz w:val="18"/>
                <w:szCs w:val="18"/>
              </w:rPr>
            </w:pPr>
            <w:r w:rsidRPr="009877B6">
              <w:rPr>
                <w:b/>
                <w:sz w:val="18"/>
                <w:szCs w:val="18"/>
              </w:rPr>
              <w:t>68</w:t>
            </w:r>
            <w:r w:rsidR="008C28D5">
              <w:rPr>
                <w:b/>
                <w:sz w:val="18"/>
                <w:szCs w:val="18"/>
              </w:rPr>
              <w:t>.2</w:t>
            </w:r>
          </w:p>
        </w:tc>
      </w:tr>
      <w:tr w:rsidR="0006609A" w:rsidRPr="00D026C5" w:rsidTr="00915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5"/>
        </w:trPr>
        <w:tc>
          <w:tcPr>
            <w:tcW w:w="3780" w:type="dxa"/>
            <w:tcBorders>
              <w:top w:val="nil"/>
              <w:left w:val="single" w:sz="4" w:space="0" w:color="auto"/>
              <w:bottom w:val="single" w:sz="4" w:space="0" w:color="auto"/>
              <w:right w:val="nil"/>
            </w:tcBorders>
            <w:shd w:val="clear" w:color="auto" w:fill="auto"/>
            <w:vAlign w:val="center"/>
            <w:hideMark/>
          </w:tcPr>
          <w:p w:rsidR="0006609A" w:rsidRPr="00D026C5" w:rsidRDefault="00396A52" w:rsidP="004A3BF7">
            <w:pPr>
              <w:rPr>
                <w:b/>
                <w:bCs/>
                <w:sz w:val="18"/>
                <w:szCs w:val="18"/>
              </w:rPr>
            </w:pPr>
            <w:r w:rsidRPr="00396A52">
              <w:rPr>
                <w:b/>
                <w:bCs/>
                <w:sz w:val="18"/>
                <w:szCs w:val="18"/>
              </w:rPr>
              <w:t>TOTAL</w:t>
            </w:r>
          </w:p>
        </w:tc>
        <w:tc>
          <w:tcPr>
            <w:tcW w:w="126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990" w:type="dxa"/>
            <w:tcBorders>
              <w:top w:val="nil"/>
              <w:left w:val="nil"/>
              <w:bottom w:val="single" w:sz="4" w:space="0" w:color="auto"/>
              <w:right w:val="nil"/>
            </w:tcBorders>
            <w:shd w:val="clear" w:color="auto" w:fill="auto"/>
            <w:vAlign w:val="center"/>
            <w:hideMark/>
          </w:tcPr>
          <w:p w:rsidR="0006609A" w:rsidRPr="00D026C5" w:rsidRDefault="0006609A" w:rsidP="004A3BF7">
            <w:pPr>
              <w:jc w:val="center"/>
              <w:rPr>
                <w:sz w:val="18"/>
                <w:szCs w:val="18"/>
              </w:rPr>
            </w:pPr>
          </w:p>
        </w:tc>
        <w:tc>
          <w:tcPr>
            <w:tcW w:w="1890" w:type="dxa"/>
            <w:tcBorders>
              <w:top w:val="nil"/>
              <w:left w:val="nil"/>
              <w:bottom w:val="single" w:sz="4" w:space="0" w:color="auto"/>
              <w:right w:val="single" w:sz="4" w:space="0" w:color="auto"/>
            </w:tcBorders>
            <w:shd w:val="clear" w:color="auto" w:fill="auto"/>
            <w:vAlign w:val="center"/>
            <w:hideMark/>
          </w:tcPr>
          <w:p w:rsidR="0006609A" w:rsidRPr="00D026C5" w:rsidRDefault="0006609A" w:rsidP="004A3BF7">
            <w:pPr>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06609A" w:rsidRPr="00D026C5" w:rsidRDefault="00704220" w:rsidP="008C28D5">
            <w:pPr>
              <w:jc w:val="center"/>
              <w:rPr>
                <w:b/>
                <w:bCs/>
                <w:sz w:val="18"/>
                <w:szCs w:val="18"/>
              </w:rPr>
            </w:pPr>
            <w:r>
              <w:rPr>
                <w:b/>
                <w:bCs/>
                <w:sz w:val="18"/>
                <w:szCs w:val="18"/>
              </w:rPr>
              <w:t>77.</w:t>
            </w:r>
            <w:r w:rsidR="008C28D5">
              <w:rPr>
                <w:b/>
                <w:bCs/>
                <w:sz w:val="18"/>
                <w:szCs w:val="18"/>
              </w:rPr>
              <w:t>4</w:t>
            </w:r>
          </w:p>
        </w:tc>
      </w:tr>
    </w:tbl>
    <w:p w:rsidR="008F3417" w:rsidRPr="00D026C5" w:rsidRDefault="00396A52" w:rsidP="008F3417">
      <w:pPr>
        <w:pBdr>
          <w:top w:val="single" w:sz="6" w:space="0" w:color="FFFFFF"/>
          <w:left w:val="single" w:sz="6" w:space="0" w:color="FFFFFF"/>
          <w:bottom w:val="single" w:sz="6" w:space="0" w:color="FFFFFF"/>
          <w:right w:val="single" w:sz="6" w:space="0" w:color="FFFFFF"/>
        </w:pBdr>
        <w:ind w:left="180" w:right="-270" w:hanging="180"/>
        <w:rPr>
          <w:sz w:val="20"/>
          <w:szCs w:val="20"/>
        </w:rPr>
      </w:pPr>
      <w:r w:rsidRPr="00396A52">
        <w:rPr>
          <w:vertAlign w:val="superscript"/>
        </w:rPr>
        <w:t>a</w:t>
      </w:r>
      <w:r w:rsidRPr="00396A52">
        <w:t xml:space="preserve">  </w:t>
      </w:r>
      <w:r w:rsidRPr="00396A52">
        <w:rPr>
          <w:sz w:val="20"/>
          <w:szCs w:val="20"/>
        </w:rPr>
        <w:t>We estimate 6 gas-fired, 0.3 landfill/digester gas-fired, and 2.4 oil-fired stationary combustion turbines will become subject to the rule over the three-year period of this ICR.  We also estimate 66.2 gas-fired, 2.9 landfill/digester gas-fired, and 26.9 oil-fired stationary combustion turbines are currently subject to the rule.  Note that due to the ongoing stay, existing gas-fired sources that have previously submitted initial notifications are not subject to any additional monitoring or reporting requirements.</w:t>
      </w:r>
    </w:p>
    <w:p w:rsidR="009642C9" w:rsidRPr="00D026C5" w:rsidRDefault="00396A52" w:rsidP="009642C9">
      <w:pPr>
        <w:pBdr>
          <w:top w:val="single" w:sz="6" w:space="0" w:color="FFFFFF"/>
          <w:left w:val="single" w:sz="6" w:space="0" w:color="FFFFFF"/>
          <w:bottom w:val="single" w:sz="6" w:space="0" w:color="FFFFFF"/>
          <w:right w:val="single" w:sz="6" w:space="0" w:color="FFFFFF"/>
        </w:pBdr>
        <w:ind w:left="180" w:right="-270" w:hanging="180"/>
        <w:rPr>
          <w:sz w:val="20"/>
          <w:szCs w:val="20"/>
        </w:rPr>
      </w:pPr>
      <w:proofErr w:type="gramStart"/>
      <w:r w:rsidRPr="00396A52">
        <w:rPr>
          <w:vertAlign w:val="superscript"/>
        </w:rPr>
        <w:t>b</w:t>
      </w:r>
      <w:r w:rsidR="00A730BD">
        <w:t xml:space="preserve">  </w:t>
      </w:r>
      <w:r w:rsidRPr="00396A52">
        <w:rPr>
          <w:sz w:val="20"/>
          <w:szCs w:val="20"/>
        </w:rPr>
        <w:t>This</w:t>
      </w:r>
      <w:proofErr w:type="gramEnd"/>
      <w:r w:rsidRPr="00396A52">
        <w:rPr>
          <w:sz w:val="20"/>
          <w:szCs w:val="20"/>
        </w:rPr>
        <w:t xml:space="preserve"> activity applies to new and existing sources (i.e., 3.2 sources comprising 2.9 existing sources and 0.3 new sources).</w:t>
      </w:r>
    </w:p>
    <w:p w:rsidR="00C535F7" w:rsidRPr="00D026C5" w:rsidRDefault="00396A52" w:rsidP="00C535F7">
      <w:pPr>
        <w:pBdr>
          <w:top w:val="single" w:sz="6" w:space="0" w:color="FFFFFF"/>
          <w:left w:val="single" w:sz="6" w:space="0" w:color="FFFFFF"/>
          <w:bottom w:val="single" w:sz="6" w:space="0" w:color="FFFFFF"/>
          <w:right w:val="single" w:sz="6" w:space="0" w:color="FFFFFF"/>
        </w:pBdr>
        <w:ind w:left="180" w:right="-270" w:hanging="180"/>
        <w:rPr>
          <w:sz w:val="20"/>
          <w:szCs w:val="20"/>
        </w:rPr>
      </w:pPr>
      <w:proofErr w:type="gramStart"/>
      <w:r w:rsidRPr="00396A52">
        <w:rPr>
          <w:vertAlign w:val="superscript"/>
        </w:rPr>
        <w:t>c</w:t>
      </w:r>
      <w:r w:rsidRPr="00396A52">
        <w:t xml:space="preserve">  </w:t>
      </w:r>
      <w:r w:rsidRPr="00396A52">
        <w:rPr>
          <w:sz w:val="20"/>
          <w:szCs w:val="20"/>
        </w:rPr>
        <w:t>This</w:t>
      </w:r>
      <w:proofErr w:type="gramEnd"/>
      <w:r w:rsidRPr="00396A52">
        <w:rPr>
          <w:sz w:val="20"/>
          <w:szCs w:val="20"/>
        </w:rPr>
        <w:t xml:space="preserve"> activity applies to new and existing sources (i.e., 29.3 sources comprising 26.9 existing sources and 2.4 new sources).</w:t>
      </w:r>
    </w:p>
    <w:p w:rsidR="0006609A" w:rsidRPr="00D026C5" w:rsidRDefault="0006609A">
      <w:pPr>
        <w:pBdr>
          <w:top w:val="single" w:sz="6" w:space="0" w:color="FFFFFF"/>
          <w:left w:val="single" w:sz="6" w:space="0" w:color="FFFFFF"/>
          <w:bottom w:val="single" w:sz="6" w:space="0" w:color="FFFFFF"/>
          <w:right w:val="single" w:sz="6" w:space="0" w:color="FFFFFF"/>
        </w:pBdr>
        <w:ind w:firstLine="720"/>
      </w:pPr>
    </w:p>
    <w:p w:rsidR="00CA4CD6" w:rsidRPr="00D026C5" w:rsidRDefault="00396A52" w:rsidP="00A226E5">
      <w:pPr>
        <w:pBdr>
          <w:top w:val="single" w:sz="6" w:space="0" w:color="FFFFFF"/>
          <w:left w:val="single" w:sz="6" w:space="0" w:color="FFFFFF"/>
          <w:bottom w:val="single" w:sz="6" w:space="0" w:color="FFFFFF"/>
          <w:right w:val="single" w:sz="6" w:space="0" w:color="FFFFFF"/>
        </w:pBdr>
        <w:ind w:firstLine="720"/>
      </w:pPr>
      <w:r w:rsidRPr="00396A52">
        <w:t xml:space="preserve">The number of Total Annual Responses is </w:t>
      </w:r>
      <w:r w:rsidR="00704220">
        <w:t>77</w:t>
      </w:r>
      <w:r w:rsidR="00A730BD">
        <w:t xml:space="preserve"> (rounded)</w:t>
      </w:r>
      <w:r w:rsidRPr="00396A52">
        <w:t>.</w:t>
      </w:r>
    </w:p>
    <w:p w:rsidR="00A226E5" w:rsidRPr="00D026C5" w:rsidRDefault="00A226E5" w:rsidP="00A226E5">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total annual labor costs are $15</w:t>
      </w:r>
      <w:r w:rsidR="00704220">
        <w:t>4</w:t>
      </w:r>
      <w:r w:rsidRPr="00396A52">
        <w:t>,</w:t>
      </w:r>
      <w:r w:rsidR="00704220">
        <w:t>306</w:t>
      </w:r>
      <w:r w:rsidRPr="00396A52">
        <w:t>.  Details regarding these estimates may be found below in Table 1: NESHAP for Stationary Combustion Turbines (40 CFR Part 63, Subpart YYYY) (Renewal).</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FA6E6F">
      <w:pPr>
        <w:keepNext/>
        <w:pBdr>
          <w:top w:val="single" w:sz="6" w:space="0" w:color="FFFFFF"/>
          <w:left w:val="single" w:sz="6" w:space="0" w:color="FFFFFF"/>
          <w:bottom w:val="single" w:sz="6" w:space="0" w:color="FFFFFF"/>
          <w:right w:val="single" w:sz="6" w:space="0" w:color="FFFFFF"/>
        </w:pBdr>
        <w:ind w:firstLine="720"/>
      </w:pPr>
      <w:r w:rsidRPr="00396A52">
        <w:rPr>
          <w:b/>
          <w:bCs/>
        </w:rPr>
        <w:t>6(e</w:t>
      </w:r>
      <w:proofErr w:type="gramStart"/>
      <w:r w:rsidRPr="00396A52">
        <w:rPr>
          <w:b/>
          <w:bCs/>
        </w:rPr>
        <w:t>)  Bottom</w:t>
      </w:r>
      <w:proofErr w:type="gramEnd"/>
      <w:r w:rsidRPr="00396A52">
        <w:rPr>
          <w:b/>
          <w:bCs/>
        </w:rPr>
        <w:t xml:space="preserve"> Line Burden Hours and Cost Tables</w:t>
      </w:r>
    </w:p>
    <w:p w:rsidR="00CA4CD6" w:rsidRPr="00D026C5" w:rsidRDefault="00CA4CD6" w:rsidP="00FA6E6F">
      <w:pPr>
        <w:keepNext/>
        <w:pBdr>
          <w:top w:val="single" w:sz="6" w:space="0" w:color="FFFFFF"/>
          <w:left w:val="single" w:sz="6" w:space="0" w:color="FFFFFF"/>
          <w:bottom w:val="single" w:sz="6" w:space="0" w:color="FFFFFF"/>
          <w:right w:val="single" w:sz="6" w:space="0" w:color="FFFFFF"/>
        </w:pBdr>
      </w:pPr>
    </w:p>
    <w:p w:rsidR="00CA4CD6" w:rsidRPr="00D026C5" w:rsidRDefault="00396A52" w:rsidP="00FA6E6F">
      <w:pPr>
        <w:keepNext/>
        <w:pBdr>
          <w:top w:val="single" w:sz="6" w:space="0" w:color="FFFFFF"/>
          <w:left w:val="single" w:sz="6" w:space="0" w:color="FFFFFF"/>
          <w:bottom w:val="single" w:sz="6" w:space="0" w:color="FFFFFF"/>
          <w:right w:val="single" w:sz="6" w:space="0" w:color="FFFFFF"/>
        </w:pBdr>
        <w:ind w:firstLine="720"/>
      </w:pPr>
      <w:r w:rsidRPr="00396A52">
        <w:t>The detailed bottom line burden hours and cost calculations for the respondents and the Agency are shown in Tables 1 and 2</w:t>
      </w:r>
      <w:r w:rsidR="00704220">
        <w:t xml:space="preserve"> </w:t>
      </w:r>
      <w:r w:rsidRPr="00396A52">
        <w:t xml:space="preserve">(below), respectively, and are summarized below.  </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1440"/>
      </w:pPr>
      <w:r w:rsidRPr="00396A52">
        <w:rPr>
          <w:b/>
          <w:bCs/>
        </w:rPr>
        <w:t>(</w:t>
      </w:r>
      <w:proofErr w:type="spellStart"/>
      <w:r w:rsidRPr="00396A52">
        <w:rPr>
          <w:b/>
          <w:bCs/>
        </w:rPr>
        <w:t>i</w:t>
      </w:r>
      <w:proofErr w:type="spellEnd"/>
      <w:r w:rsidRPr="00396A52">
        <w:rPr>
          <w:b/>
          <w:bCs/>
        </w:rPr>
        <w:t>) Respondent Tally</w:t>
      </w:r>
    </w:p>
    <w:p w:rsidR="00CA4CD6" w:rsidRPr="00D026C5" w:rsidRDefault="00CA4CD6">
      <w:pPr>
        <w:pBdr>
          <w:top w:val="single" w:sz="6" w:space="0" w:color="FFFFFF"/>
          <w:left w:val="single" w:sz="6" w:space="0" w:color="FFFFFF"/>
          <w:bottom w:val="single" w:sz="6" w:space="0" w:color="FFFFFF"/>
          <w:right w:val="single" w:sz="6" w:space="0" w:color="FFFFFF"/>
        </w:pBdr>
      </w:pPr>
    </w:p>
    <w:p w:rsidR="00144F35" w:rsidRPr="00D026C5" w:rsidRDefault="00396A52" w:rsidP="0021722B">
      <w:pPr>
        <w:pBdr>
          <w:top w:val="single" w:sz="6" w:space="0" w:color="FFFFFF"/>
          <w:left w:val="single" w:sz="6" w:space="0" w:color="FFFFFF"/>
          <w:bottom w:val="single" w:sz="6" w:space="0" w:color="FFFFFF"/>
          <w:right w:val="single" w:sz="6" w:space="0" w:color="FFFFFF"/>
        </w:pBdr>
        <w:ind w:firstLine="720"/>
      </w:pPr>
      <w:r w:rsidRPr="00396A52">
        <w:t>The total annual labor hours are 1,3</w:t>
      </w:r>
      <w:r w:rsidR="00704220">
        <w:t>38</w:t>
      </w:r>
      <w:r w:rsidR="00A730BD">
        <w:t xml:space="preserve"> </w:t>
      </w:r>
      <w:r w:rsidR="009012FC">
        <w:t xml:space="preserve">hours </w:t>
      </w:r>
      <w:r w:rsidR="00A730BD">
        <w:t>at a cost of $154,306</w:t>
      </w:r>
      <w:r w:rsidRPr="00396A52">
        <w:t xml:space="preserve">.  Details regarding these estimates may be found </w:t>
      </w:r>
      <w:r w:rsidR="00A730BD">
        <w:t xml:space="preserve">below </w:t>
      </w:r>
      <w:r w:rsidRPr="00396A52">
        <w:t xml:space="preserve">in Table 1: </w:t>
      </w:r>
      <w:r w:rsidR="00960C0E">
        <w:t xml:space="preserve">Annual Respondent Burden and Cost – </w:t>
      </w:r>
      <w:r w:rsidRPr="00396A52">
        <w:t xml:space="preserve">NESHAP for Stationary Combustion Turbines (40 CFR Part 63, Subpart YYYY) (Renewal). </w:t>
      </w:r>
    </w:p>
    <w:p w:rsidR="00144F35" w:rsidRPr="00D026C5"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D026C5" w:rsidRDefault="00396A52" w:rsidP="0021722B">
      <w:pPr>
        <w:pBdr>
          <w:top w:val="single" w:sz="6" w:space="0" w:color="FFFFFF"/>
          <w:left w:val="single" w:sz="6" w:space="0" w:color="FFFFFF"/>
          <w:bottom w:val="single" w:sz="6" w:space="0" w:color="FFFFFF"/>
          <w:right w:val="single" w:sz="6" w:space="0" w:color="FFFFFF"/>
        </w:pBdr>
        <w:ind w:firstLine="720"/>
      </w:pPr>
      <w:r w:rsidRPr="00396A52">
        <w:t xml:space="preserve">Furthermore, the annual public reporting and recordkeeping burden for this collection </w:t>
      </w:r>
      <w:r w:rsidR="009012FC">
        <w:t xml:space="preserve">   </w:t>
      </w:r>
      <w:r w:rsidRPr="00396A52">
        <w:t>of information is estimated to average 17 hours per response.</w:t>
      </w:r>
    </w:p>
    <w:p w:rsidR="0021722B" w:rsidRPr="00D026C5"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 xml:space="preserve">The total annual capital/startup and O&amp;M costs to the regulated entity are $10,750.  </w:t>
      </w:r>
      <w:r w:rsidR="009012FC">
        <w:t xml:space="preserve">   </w:t>
      </w:r>
      <w:r w:rsidRPr="00396A52">
        <w:lastRenderedPageBreak/>
        <w:t>The cost calculations are detailed in Section 6(b</w:t>
      </w:r>
      <w:proofErr w:type="gramStart"/>
      <w:r w:rsidRPr="00396A52">
        <w:t>)(</w:t>
      </w:r>
      <w:proofErr w:type="gramEnd"/>
      <w:r w:rsidRPr="00396A52">
        <w:t>iii), Capital/Startup vs. Operation and Maintenance (O&amp;M) Costs.</w:t>
      </w:r>
    </w:p>
    <w:p w:rsidR="00CA4CD6" w:rsidRPr="00D026C5" w:rsidRDefault="00CA4CD6">
      <w:pPr>
        <w:pBdr>
          <w:top w:val="single" w:sz="6" w:space="0" w:color="FFFFFF"/>
          <w:left w:val="single" w:sz="6" w:space="0" w:color="FFFFFF"/>
          <w:bottom w:val="single" w:sz="6" w:space="0" w:color="FFFFFF"/>
          <w:right w:val="single" w:sz="6" w:space="0" w:color="FFFFFF"/>
        </w:pBdr>
        <w:ind w:firstLine="2160"/>
      </w:pPr>
    </w:p>
    <w:p w:rsidR="00CA4CD6" w:rsidRPr="00D026C5" w:rsidRDefault="00396A52">
      <w:pPr>
        <w:pBdr>
          <w:top w:val="single" w:sz="6" w:space="0" w:color="FFFFFF"/>
          <w:left w:val="single" w:sz="6" w:space="0" w:color="FFFFFF"/>
          <w:bottom w:val="single" w:sz="6" w:space="0" w:color="FFFFFF"/>
          <w:right w:val="single" w:sz="6" w:space="0" w:color="FFFFFF"/>
        </w:pBdr>
        <w:ind w:firstLine="1440"/>
      </w:pPr>
      <w:r w:rsidRPr="00396A52">
        <w:rPr>
          <w:b/>
          <w:bCs/>
        </w:rPr>
        <w:t>(ii) The Agency Tally</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rsidP="00144F35">
      <w:pPr>
        <w:pBdr>
          <w:top w:val="single" w:sz="6" w:space="0" w:color="FFFFFF"/>
          <w:left w:val="single" w:sz="6" w:space="0" w:color="FFFFFF"/>
          <w:bottom w:val="single" w:sz="6" w:space="0" w:color="FFFFFF"/>
          <w:right w:val="single" w:sz="6" w:space="0" w:color="FFFFFF"/>
        </w:pBdr>
        <w:ind w:firstLine="720"/>
      </w:pPr>
      <w:r w:rsidRPr="00396A52">
        <w:t>The average annual Agency burden and cost over next three years is estimated to be 6</w:t>
      </w:r>
      <w:r w:rsidR="00960C0E">
        <w:t>13</w:t>
      </w:r>
      <w:r w:rsidRPr="00396A52">
        <w:t xml:space="preserve"> labor hours at a cost of $2</w:t>
      </w:r>
      <w:r w:rsidR="00960C0E">
        <w:t>7</w:t>
      </w:r>
      <w:r w:rsidRPr="00396A52">
        <w:t>,</w:t>
      </w:r>
      <w:r w:rsidR="00960C0E">
        <w:t>643</w:t>
      </w:r>
      <w:r w:rsidRPr="00396A52">
        <w:t xml:space="preserve">.  See </w:t>
      </w:r>
      <w:r w:rsidR="0045488F">
        <w:t xml:space="preserve">below </w:t>
      </w:r>
      <w:r w:rsidRPr="00396A52">
        <w:t xml:space="preserve">Table 2: Average Annual EPA Burden and Cost – NESHAP for Stationary Combustion Turbines (40 CFR </w:t>
      </w:r>
      <w:proofErr w:type="gramStart"/>
      <w:r w:rsidRPr="00396A52">
        <w:t>Part</w:t>
      </w:r>
      <w:proofErr w:type="gramEnd"/>
      <w:r w:rsidRPr="00396A52">
        <w:t xml:space="preserve"> 63, Subpart YYYY) (Renewal).</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6(f</w:t>
      </w:r>
      <w:proofErr w:type="gramStart"/>
      <w:r w:rsidRPr="00396A52">
        <w:rPr>
          <w:b/>
          <w:bCs/>
        </w:rPr>
        <w:t>)  Reasons</w:t>
      </w:r>
      <w:proofErr w:type="gramEnd"/>
      <w:r w:rsidRPr="00396A52">
        <w:rPr>
          <w:b/>
          <w:bCs/>
        </w:rPr>
        <w:t xml:space="preserve"> for Change in Burden</w:t>
      </w:r>
    </w:p>
    <w:p w:rsidR="00CA4CD6" w:rsidRPr="00D026C5" w:rsidRDefault="00CA4CD6">
      <w:pPr>
        <w:pBdr>
          <w:top w:val="single" w:sz="6" w:space="0" w:color="FFFFFF"/>
          <w:left w:val="single" w:sz="6" w:space="0" w:color="FFFFFF"/>
          <w:bottom w:val="single" w:sz="6" w:space="0" w:color="FFFFFF"/>
          <w:right w:val="single" w:sz="6" w:space="0" w:color="FFFFFF"/>
        </w:pBdr>
      </w:pPr>
    </w:p>
    <w:p w:rsidR="00FE58B6" w:rsidRPr="00D026C5" w:rsidRDefault="00722303" w:rsidP="00FE58B6">
      <w:pPr>
        <w:pBdr>
          <w:top w:val="single" w:sz="6" w:space="0" w:color="FFFFFF"/>
          <w:left w:val="single" w:sz="6" w:space="0" w:color="FFFFFF"/>
          <w:bottom w:val="single" w:sz="6" w:space="0" w:color="FFFFFF"/>
          <w:right w:val="single" w:sz="6" w:space="0" w:color="FFFFFF"/>
        </w:pBdr>
        <w:ind w:firstLine="720"/>
      </w:pPr>
      <w:r w:rsidRPr="00722303">
        <w:t>There is an increase of 9</w:t>
      </w:r>
      <w:r w:rsidR="00960C0E">
        <w:t>03</w:t>
      </w:r>
      <w:r w:rsidRPr="00722303">
        <w:t xml:space="preserve"> hours in the total estimated respondent burden compared with the ICR currently approved by OMB. This increase is due to several adjustments</w:t>
      </w:r>
      <w:r w:rsidR="00B45A03">
        <w:t xml:space="preserve">. </w:t>
      </w:r>
    </w:p>
    <w:p w:rsidR="0023585B" w:rsidRPr="00D026C5" w:rsidRDefault="0023585B" w:rsidP="00712A6A">
      <w:pPr>
        <w:pBdr>
          <w:top w:val="single" w:sz="6" w:space="0" w:color="FFFFFF"/>
          <w:left w:val="single" w:sz="6" w:space="0" w:color="FFFFFF"/>
          <w:bottom w:val="single" w:sz="6" w:space="0" w:color="FFFFFF"/>
          <w:right w:val="single" w:sz="6" w:space="0" w:color="FFFFFF"/>
        </w:pBdr>
        <w:ind w:firstLine="720"/>
      </w:pPr>
    </w:p>
    <w:p w:rsidR="00712A6A" w:rsidRPr="00D026C5" w:rsidRDefault="00396A52" w:rsidP="00712A6A">
      <w:pPr>
        <w:pBdr>
          <w:top w:val="single" w:sz="6" w:space="0" w:color="FFFFFF"/>
          <w:left w:val="single" w:sz="6" w:space="0" w:color="FFFFFF"/>
          <w:bottom w:val="single" w:sz="6" w:space="0" w:color="FFFFFF"/>
          <w:right w:val="single" w:sz="6" w:space="0" w:color="FFFFFF"/>
        </w:pBdr>
        <w:ind w:firstLine="720"/>
      </w:pPr>
      <w:r w:rsidRPr="00396A52">
        <w:t xml:space="preserve">First, we have revised the number of respondents to make ICR estimates consistent with the economic impact analysis, which contains the most recent information on existing and new sources.  Based on the analysis, an average of 96 existing and 8.7 new sources per year will be subject to the standard.  In contrast, the most recently approved ICR estimated 22 existing and </w:t>
      </w:r>
      <w:r w:rsidR="008C2AF9">
        <w:t xml:space="preserve">   </w:t>
      </w:r>
      <w:r w:rsidRPr="00396A52">
        <w:t>9 new sources per year, and did not provide a clear basis for its estimates and underlying assumptions.  The increase in labor burden and cost for both respondents and the Agency is primarily due to the revised number of sources, particularly existing sources</w:t>
      </w:r>
      <w:r w:rsidR="00960C0E">
        <w:t xml:space="preserve"> which accounts </w:t>
      </w:r>
      <w:r w:rsidR="008C2AF9">
        <w:t xml:space="preserve">   </w:t>
      </w:r>
      <w:r w:rsidR="00960C0E">
        <w:t>for industry growth</w:t>
      </w:r>
      <w:r w:rsidRPr="00396A52">
        <w:t>.</w:t>
      </w:r>
    </w:p>
    <w:p w:rsidR="00712A6A" w:rsidRPr="00D026C5" w:rsidRDefault="00712A6A" w:rsidP="00712A6A">
      <w:pPr>
        <w:pBdr>
          <w:top w:val="single" w:sz="6" w:space="0" w:color="FFFFFF"/>
          <w:left w:val="single" w:sz="6" w:space="0" w:color="FFFFFF"/>
          <w:bottom w:val="single" w:sz="6" w:space="0" w:color="FFFFFF"/>
          <w:right w:val="single" w:sz="6" w:space="0" w:color="FFFFFF"/>
        </w:pBdr>
        <w:ind w:firstLine="720"/>
      </w:pPr>
    </w:p>
    <w:p w:rsidR="00381C13" w:rsidRPr="00D026C5" w:rsidRDefault="00396A52" w:rsidP="00712A6A">
      <w:pPr>
        <w:pBdr>
          <w:top w:val="single" w:sz="6" w:space="0" w:color="FFFFFF"/>
          <w:left w:val="single" w:sz="6" w:space="0" w:color="FFFFFF"/>
          <w:bottom w:val="single" w:sz="6" w:space="0" w:color="FFFFFF"/>
          <w:right w:val="single" w:sz="6" w:space="0" w:color="FFFFFF"/>
        </w:pBdr>
        <w:ind w:firstLine="720"/>
      </w:pPr>
      <w:r w:rsidRPr="00396A52">
        <w:t xml:space="preserve">Second, we have revised respondent and Agency labor burdens and costs so that </w:t>
      </w:r>
      <w:r w:rsidR="008C2AF9">
        <w:t xml:space="preserve">        </w:t>
      </w:r>
      <w:r w:rsidRPr="00396A52">
        <w:t xml:space="preserve">they accurately reflect the reporting and recordkeeping requirements associated with each subcategory.  </w:t>
      </w:r>
      <w:r w:rsidR="00960C0E">
        <w:t>T</w:t>
      </w:r>
      <w:r w:rsidRPr="00396A52">
        <w:t xml:space="preserve">he previous ICR only reflected burdens attributed to new sources in the gas-fired and oil-fired subcategories, and did not account for any sources in the landfill/digester gas-fired subcategory.  Specific revisions that contributed to overall burden increases include: </w:t>
      </w:r>
    </w:p>
    <w:p w:rsidR="00E3324F" w:rsidRPr="00D026C5" w:rsidRDefault="00E3324F" w:rsidP="00712A6A">
      <w:pPr>
        <w:pBdr>
          <w:top w:val="single" w:sz="6" w:space="0" w:color="FFFFFF"/>
          <w:left w:val="single" w:sz="6" w:space="0" w:color="FFFFFF"/>
          <w:bottom w:val="single" w:sz="6" w:space="0" w:color="FFFFFF"/>
          <w:right w:val="single" w:sz="6" w:space="0" w:color="FFFFFF"/>
        </w:pBdr>
        <w:ind w:firstLine="720"/>
      </w:pPr>
    </w:p>
    <w:p w:rsidR="001D1390" w:rsidRPr="00D026C5" w:rsidRDefault="00396A52" w:rsidP="00E3324F">
      <w:pPr>
        <w:pStyle w:val="ListParagraph"/>
        <w:numPr>
          <w:ilvl w:val="0"/>
          <w:numId w:val="3"/>
        </w:numPr>
        <w:pBdr>
          <w:top w:val="single" w:sz="6" w:space="0" w:color="FFFFFF"/>
          <w:left w:val="single" w:sz="6" w:space="0" w:color="FFFFFF"/>
          <w:bottom w:val="single" w:sz="6" w:space="0" w:color="FFFFFF"/>
          <w:right w:val="single" w:sz="6" w:space="0" w:color="FFFFFF"/>
        </w:pBdr>
        <w:ind w:left="1080"/>
      </w:pPr>
      <w:r w:rsidRPr="00396A52">
        <w:t>Adding a burden item for initial CMS performance evaluations</w:t>
      </w:r>
      <w:r w:rsidR="00960C0E">
        <w:t xml:space="preserve"> for </w:t>
      </w:r>
      <w:r w:rsidRPr="00396A52">
        <w:t>new sources in the oil-fired subcategor</w:t>
      </w:r>
      <w:r w:rsidR="00960C0E">
        <w:t>y</w:t>
      </w:r>
      <w:r w:rsidRPr="00396A52">
        <w:t>.  The previous ICR did not account for this burden.</w:t>
      </w:r>
    </w:p>
    <w:p w:rsidR="00E3324F" w:rsidRPr="00D026C5" w:rsidRDefault="00396A52" w:rsidP="00E3324F">
      <w:pPr>
        <w:pStyle w:val="ListParagraph"/>
        <w:numPr>
          <w:ilvl w:val="0"/>
          <w:numId w:val="3"/>
        </w:numPr>
        <w:pBdr>
          <w:top w:val="single" w:sz="6" w:space="0" w:color="FFFFFF"/>
          <w:left w:val="single" w:sz="6" w:space="0" w:color="FFFFFF"/>
          <w:bottom w:val="single" w:sz="6" w:space="0" w:color="FFFFFF"/>
          <w:right w:val="single" w:sz="6" w:space="0" w:color="FFFFFF"/>
        </w:pBdr>
        <w:ind w:left="1080"/>
      </w:pPr>
      <w:r w:rsidRPr="00396A52">
        <w:t>Adding a burden item for annual compliance reporting</w:t>
      </w:r>
      <w:r w:rsidR="00960C0E">
        <w:t xml:space="preserve"> for</w:t>
      </w:r>
      <w:r w:rsidRPr="00396A52">
        <w:t xml:space="preserve"> new sources in the landfill/digester gas-fired subcategory.  The previous ICR did not account for this burden.</w:t>
      </w:r>
    </w:p>
    <w:p w:rsidR="00E3324F" w:rsidRPr="00D026C5" w:rsidRDefault="00960C0E" w:rsidP="001D1390">
      <w:pPr>
        <w:pStyle w:val="ListParagraph"/>
        <w:numPr>
          <w:ilvl w:val="0"/>
          <w:numId w:val="3"/>
        </w:numPr>
        <w:pBdr>
          <w:top w:val="single" w:sz="6" w:space="0" w:color="FFFFFF"/>
          <w:left w:val="single" w:sz="6" w:space="0" w:color="FFFFFF"/>
          <w:bottom w:val="single" w:sz="6" w:space="0" w:color="FFFFFF"/>
          <w:right w:val="single" w:sz="6" w:space="0" w:color="FFFFFF"/>
        </w:pBdr>
        <w:ind w:left="1080"/>
      </w:pPr>
      <w:r>
        <w:t xml:space="preserve">Correcting </w:t>
      </w:r>
      <w:r w:rsidR="00396A52" w:rsidRPr="00396A52">
        <w:t xml:space="preserve">the semiannual compliance reporting burden to include </w:t>
      </w:r>
      <w:r>
        <w:t xml:space="preserve">burden to </w:t>
      </w:r>
      <w:r w:rsidR="00396A52" w:rsidRPr="00396A52">
        <w:t xml:space="preserve">existing sources.  </w:t>
      </w:r>
    </w:p>
    <w:p w:rsidR="008B7E60" w:rsidRPr="00D026C5" w:rsidRDefault="00396A52" w:rsidP="001D1390">
      <w:pPr>
        <w:pStyle w:val="ListParagraph"/>
        <w:numPr>
          <w:ilvl w:val="0"/>
          <w:numId w:val="3"/>
        </w:numPr>
        <w:pBdr>
          <w:top w:val="single" w:sz="6" w:space="0" w:color="FFFFFF"/>
          <w:left w:val="single" w:sz="6" w:space="0" w:color="FFFFFF"/>
          <w:bottom w:val="single" w:sz="6" w:space="0" w:color="FFFFFF"/>
          <w:right w:val="single" w:sz="6" w:space="0" w:color="FFFFFF"/>
        </w:pBdr>
        <w:ind w:left="1080"/>
      </w:pPr>
      <w:r w:rsidRPr="00396A52">
        <w:t>Adding an Agency burden item for compliance status notification review.  The previous ICR presented a respondent burden for this activity, but neglected to include a corresponding Agency review burden.</w:t>
      </w:r>
    </w:p>
    <w:p w:rsidR="00381C13" w:rsidRPr="00D026C5" w:rsidRDefault="00381C13" w:rsidP="00712A6A">
      <w:pPr>
        <w:pBdr>
          <w:top w:val="single" w:sz="6" w:space="0" w:color="FFFFFF"/>
          <w:left w:val="single" w:sz="6" w:space="0" w:color="FFFFFF"/>
          <w:bottom w:val="single" w:sz="6" w:space="0" w:color="FFFFFF"/>
          <w:right w:val="single" w:sz="6" w:space="0" w:color="FFFFFF"/>
        </w:pBdr>
        <w:ind w:firstLine="720"/>
      </w:pPr>
    </w:p>
    <w:p w:rsidR="0025363C" w:rsidRPr="00D026C5" w:rsidRDefault="00722303" w:rsidP="00364852">
      <w:pPr>
        <w:ind w:firstLine="720"/>
      </w:pPr>
      <w:r>
        <w:t>Finally</w:t>
      </w:r>
      <w:r w:rsidR="00396A52" w:rsidRPr="00396A52">
        <w:t xml:space="preserve">, there is an increase in the capital/startup cost as compared to the previous ICR.  This increase is the result of including contractor labor associated with catalyst inlet temperature monitor installation.  This labor was presented in the previous ICR as a respondent burden rather than a capital cost.  Since the contractor labor applies solely to a capital/startup activity, it should </w:t>
      </w:r>
      <w:r w:rsidR="00396A52" w:rsidRPr="00396A52">
        <w:lastRenderedPageBreak/>
        <w:t>be presented as a capital/startup cost rather than a respondent burden.  We also have updated the labor rates to reflect current private-industry rates.</w:t>
      </w:r>
    </w:p>
    <w:p w:rsidR="00CD2069" w:rsidRPr="00D026C5" w:rsidRDefault="00CD2069" w:rsidP="00CD2069">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rPr>
          <w:b/>
          <w:bCs/>
        </w:rPr>
        <w:t>6(g</w:t>
      </w:r>
      <w:proofErr w:type="gramStart"/>
      <w:r w:rsidRPr="00396A52">
        <w:rPr>
          <w:b/>
          <w:bCs/>
        </w:rPr>
        <w:t>)  Burden</w:t>
      </w:r>
      <w:proofErr w:type="gramEnd"/>
      <w:r w:rsidRPr="00396A52">
        <w:rPr>
          <w:b/>
          <w:bCs/>
        </w:rPr>
        <w:t xml:space="preserve"> Statement</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The annual public reporting and recordkeeping burden for this collection of information is estimated to average 17 hours per response.  Burden means the total time, effort, or financial resources expended by persons to generate, maintain, retain, or disclose or provide informati</w:t>
      </w:r>
      <w:r w:rsidR="000A15A6">
        <w:t xml:space="preserve">on to or for a Federal agency.  </w:t>
      </w:r>
      <w:r w:rsidRPr="00396A5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D026C5" w:rsidRDefault="00CA4CD6">
      <w:pPr>
        <w:pBdr>
          <w:top w:val="single" w:sz="6" w:space="0" w:color="FFFFFF"/>
          <w:left w:val="single" w:sz="6" w:space="0" w:color="FFFFFF"/>
          <w:bottom w:val="single" w:sz="6" w:space="0" w:color="FFFFFF"/>
          <w:right w:val="single" w:sz="6" w:space="0" w:color="FFFFFF"/>
        </w:pBdr>
      </w:pPr>
    </w:p>
    <w:p w:rsidR="00CA4CD6" w:rsidRPr="00D026C5" w:rsidRDefault="00396A52">
      <w:pPr>
        <w:pBdr>
          <w:top w:val="single" w:sz="6" w:space="0" w:color="FFFFFF"/>
          <w:left w:val="single" w:sz="6" w:space="0" w:color="FFFFFF"/>
          <w:bottom w:val="single" w:sz="6" w:space="0" w:color="FFFFFF"/>
          <w:right w:val="single" w:sz="6" w:space="0" w:color="FFFFFF"/>
        </w:pBdr>
        <w:ind w:firstLine="720"/>
      </w:pPr>
      <w:r w:rsidRPr="00396A52">
        <w:t>An agency may not conduct or sponsor, and a person is not required to respond to, a collection of information unless it displays a valid OMB Control Number.  The OMB Control Numbers for EPA regulations are listed at 40 CFR part 9 and 48 CFR chapter 15.</w:t>
      </w:r>
    </w:p>
    <w:p w:rsidR="006741F7" w:rsidRPr="00D026C5" w:rsidRDefault="006741F7" w:rsidP="00354C15"/>
    <w:p w:rsidR="00354C15" w:rsidRPr="00D026C5" w:rsidRDefault="00396A52" w:rsidP="00440ED6">
      <w:r w:rsidRPr="00396A52">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EPA-HQ-OECA-2012-0687.  An electronic version of the public docket is</w:t>
      </w:r>
      <w:r w:rsidR="00354C15" w:rsidRPr="00354C15">
        <w:t xml:space="preserve"> available at </w:t>
      </w:r>
      <w:hyperlink r:id="rId8" w:history="1">
        <w:r w:rsidR="00C04D72" w:rsidRPr="008C2AF9">
          <w:rPr>
            <w:rStyle w:val="Hyperlink"/>
            <w:color w:val="auto"/>
          </w:rPr>
          <w:t>http://www.regulations.gov</w:t>
        </w:r>
      </w:hyperlink>
      <w:r w:rsidR="00C04D72">
        <w:t>,</w:t>
      </w:r>
      <w:r w:rsidR="00354C15">
        <w:t xml:space="preserve"> </w:t>
      </w:r>
      <w:r w:rsidRPr="00396A52">
        <w:t>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45488F">
        <w:t>52</w:t>
      </w:r>
      <w:r>
        <w:t xml:space="preserve">.  Also, you can send comments to the Office of Information and Regulatory Affairs, Office of Management and Budget, 725 17th Street, NW, Washington, DC 20503, Attention: Desk Officer for EPA.  Please include the EPA Docket ID Number EPA-HQ-OECA-2012-0687 and OMB Control Number 2060-0540 in any correspondence. </w:t>
      </w:r>
    </w:p>
    <w:p w:rsidR="00F340DF" w:rsidRPr="00D026C5" w:rsidRDefault="00F340DF" w:rsidP="00F340DF">
      <w:pPr>
        <w:rPr>
          <w:rStyle w:val="1"/>
          <w:rFonts w:ascii="WP TypographicSymbols" w:hAnsi="WP TypographicSymbols" w:cs="WP TypographicSymbols"/>
        </w:rPr>
      </w:pPr>
    </w:p>
    <w:p w:rsidR="00F340DF" w:rsidRPr="00D026C5" w:rsidRDefault="00396A52" w:rsidP="00F340DF">
      <w:pPr>
        <w:rPr>
          <w:b/>
          <w:bCs/>
        </w:rPr>
      </w:pPr>
      <w:r w:rsidRPr="00396A52">
        <w:rPr>
          <w:b/>
          <w:bCs/>
        </w:rPr>
        <w:t>Part B of the Supporting Statement</w:t>
      </w:r>
    </w:p>
    <w:p w:rsidR="00F340DF" w:rsidRPr="00D026C5" w:rsidRDefault="00F340DF" w:rsidP="00F340DF">
      <w:pPr>
        <w:rPr>
          <w:b/>
          <w:bCs/>
        </w:rPr>
      </w:pPr>
    </w:p>
    <w:p w:rsidR="00CA4CD6" w:rsidRPr="00D026C5" w:rsidRDefault="00396A52" w:rsidP="00F340DF">
      <w:r w:rsidRPr="00396A52">
        <w:t>This part is not applicable because no statistical methods were used in collecting this information.</w:t>
      </w:r>
    </w:p>
    <w:p w:rsidR="00144F35" w:rsidRPr="00D026C5" w:rsidRDefault="00144F35" w:rsidP="00F340DF">
      <w:pPr>
        <w:sectPr w:rsidR="00144F35" w:rsidRPr="00D026C5" w:rsidSect="00A7661C">
          <w:headerReference w:type="default" r:id="rId9"/>
          <w:type w:val="continuous"/>
          <w:pgSz w:w="12240" w:h="15840"/>
          <w:pgMar w:top="1350" w:right="1440" w:bottom="1440" w:left="1440" w:header="1350" w:footer="1440" w:gutter="0"/>
          <w:cols w:space="720"/>
          <w:noEndnote/>
          <w:titlePg/>
          <w:docGrid w:linePitch="326"/>
        </w:sectPr>
      </w:pPr>
    </w:p>
    <w:p w:rsidR="00C61769" w:rsidRDefault="00396A52" w:rsidP="00126E3D">
      <w:pPr>
        <w:jc w:val="center"/>
        <w:rPr>
          <w:b/>
          <w:bCs/>
        </w:rPr>
      </w:pPr>
      <w:r>
        <w:rPr>
          <w:b/>
          <w:bCs/>
        </w:rPr>
        <w:lastRenderedPageBreak/>
        <w:t xml:space="preserve">Table 1: </w:t>
      </w:r>
      <w:r w:rsidR="00960C0E">
        <w:rPr>
          <w:b/>
          <w:bCs/>
        </w:rPr>
        <w:t xml:space="preserve">Annual Respondent Burden and Cost – </w:t>
      </w:r>
      <w:r>
        <w:rPr>
          <w:b/>
          <w:bCs/>
        </w:rPr>
        <w:t xml:space="preserve">NESHAP for Stationary Combustion Turbines (40 CFR </w:t>
      </w:r>
      <w:proofErr w:type="gramStart"/>
      <w:r>
        <w:rPr>
          <w:b/>
          <w:bCs/>
        </w:rPr>
        <w:t>Part</w:t>
      </w:r>
      <w:proofErr w:type="gramEnd"/>
      <w:r>
        <w:rPr>
          <w:b/>
          <w:bCs/>
        </w:rPr>
        <w:t xml:space="preserve"> 63, Subpart</w:t>
      </w:r>
    </w:p>
    <w:p w:rsidR="00144F35" w:rsidRPr="00D026C5" w:rsidRDefault="00C61769" w:rsidP="00C61769">
      <w:pPr>
        <w:rPr>
          <w:b/>
          <w:bCs/>
        </w:rPr>
      </w:pPr>
      <w:r>
        <w:rPr>
          <w:b/>
          <w:bCs/>
        </w:rPr>
        <w:t xml:space="preserve">     </w:t>
      </w:r>
      <w:r w:rsidR="00396A52">
        <w:rPr>
          <w:b/>
          <w:bCs/>
        </w:rPr>
        <w:t xml:space="preserve"> YYYY) (Renewal)</w:t>
      </w:r>
    </w:p>
    <w:p w:rsidR="00144F35" w:rsidRPr="00D026C5" w:rsidRDefault="00144F35" w:rsidP="00F340DF">
      <w:pPr>
        <w:rPr>
          <w:b/>
          <w:bCs/>
        </w:rPr>
      </w:pPr>
    </w:p>
    <w:tbl>
      <w:tblPr>
        <w:tblW w:w="13435" w:type="dxa"/>
        <w:jc w:val="center"/>
        <w:tblLayout w:type="fixed"/>
        <w:tblCellMar>
          <w:left w:w="58" w:type="dxa"/>
          <w:right w:w="58" w:type="dxa"/>
        </w:tblCellMar>
        <w:tblLook w:val="04A0"/>
      </w:tblPr>
      <w:tblGrid>
        <w:gridCol w:w="136"/>
        <w:gridCol w:w="196"/>
        <w:gridCol w:w="3461"/>
        <w:gridCol w:w="1157"/>
        <w:gridCol w:w="1425"/>
        <w:gridCol w:w="1448"/>
        <w:gridCol w:w="1242"/>
        <w:gridCol w:w="1024"/>
        <w:gridCol w:w="1238"/>
        <w:gridCol w:w="929"/>
        <w:gridCol w:w="1179"/>
      </w:tblGrid>
      <w:tr w:rsidR="00E10159" w:rsidRPr="00D026C5" w:rsidTr="001361EF">
        <w:trPr>
          <w:trHeight w:val="285"/>
          <w:tblHeader/>
          <w:jc w:val="center"/>
        </w:trPr>
        <w:tc>
          <w:tcPr>
            <w:tcW w:w="379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10159" w:rsidRDefault="00396A52" w:rsidP="00E51C2F">
            <w:pPr>
              <w:widowControl/>
              <w:autoSpaceDE/>
              <w:autoSpaceDN/>
              <w:adjustRightInd/>
              <w:jc w:val="center"/>
              <w:rPr>
                <w:b/>
                <w:bCs/>
                <w:sz w:val="20"/>
                <w:szCs w:val="20"/>
              </w:rPr>
            </w:pPr>
            <w:r w:rsidRPr="00396A52">
              <w:rPr>
                <w:b/>
                <w:bCs/>
                <w:sz w:val="20"/>
                <w:szCs w:val="20"/>
              </w:rPr>
              <w:t>Burden Item</w:t>
            </w:r>
          </w:p>
          <w:p w:rsidR="00E51C2F" w:rsidRDefault="00E51C2F" w:rsidP="00E51C2F">
            <w:pPr>
              <w:widowControl/>
              <w:autoSpaceDE/>
              <w:autoSpaceDN/>
              <w:adjustRightInd/>
              <w:jc w:val="center"/>
              <w:rPr>
                <w:b/>
                <w:bCs/>
                <w:sz w:val="20"/>
                <w:szCs w:val="20"/>
              </w:rPr>
            </w:pPr>
          </w:p>
          <w:p w:rsidR="00E51C2F" w:rsidRDefault="00E51C2F" w:rsidP="00E51C2F">
            <w:pPr>
              <w:widowControl/>
              <w:autoSpaceDE/>
              <w:autoSpaceDN/>
              <w:adjustRightInd/>
              <w:jc w:val="center"/>
              <w:rPr>
                <w:b/>
                <w:bCs/>
                <w:sz w:val="20"/>
                <w:szCs w:val="20"/>
              </w:rPr>
            </w:pPr>
          </w:p>
          <w:p w:rsidR="00E51C2F" w:rsidRPr="00D026C5" w:rsidRDefault="00E51C2F" w:rsidP="00E51C2F">
            <w:pPr>
              <w:widowControl/>
              <w:autoSpaceDE/>
              <w:autoSpaceDN/>
              <w:adjustRightInd/>
              <w:jc w:val="center"/>
              <w:rPr>
                <w:b/>
                <w:bCs/>
                <w:sz w:val="20"/>
                <w:szCs w:val="20"/>
              </w:rPr>
            </w:pP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A</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B</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C</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D</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F</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G</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b/>
                <w:bCs/>
                <w:sz w:val="20"/>
                <w:szCs w:val="20"/>
              </w:rPr>
            </w:pPr>
            <w:r>
              <w:rPr>
                <w:b/>
                <w:bCs/>
                <w:sz w:val="20"/>
                <w:szCs w:val="20"/>
              </w:rPr>
              <w:t>H</w:t>
            </w:r>
          </w:p>
        </w:tc>
      </w:tr>
      <w:tr w:rsidR="00E10159" w:rsidRPr="00D026C5" w:rsidTr="001361EF">
        <w:trPr>
          <w:trHeight w:val="825"/>
          <w:tblHeader/>
          <w:jc w:val="center"/>
        </w:trPr>
        <w:tc>
          <w:tcPr>
            <w:tcW w:w="3793" w:type="dxa"/>
            <w:gridSpan w:val="3"/>
            <w:vMerge/>
            <w:tcBorders>
              <w:top w:val="single" w:sz="4" w:space="0" w:color="auto"/>
              <w:left w:val="single" w:sz="4" w:space="0" w:color="auto"/>
              <w:bottom w:val="single" w:sz="4" w:space="0" w:color="000000"/>
              <w:right w:val="single" w:sz="4" w:space="0" w:color="000000"/>
            </w:tcBorders>
            <w:vAlign w:val="center"/>
            <w:hideMark/>
          </w:tcPr>
          <w:p w:rsidR="00E10159" w:rsidRPr="00D026C5" w:rsidRDefault="00E10159" w:rsidP="00FB1ACC">
            <w:pPr>
              <w:widowControl/>
              <w:autoSpaceDE/>
              <w:autoSpaceDN/>
              <w:adjustRightInd/>
              <w:rPr>
                <w:b/>
                <w:bCs/>
                <w:sz w:val="18"/>
                <w:szCs w:val="18"/>
              </w:rPr>
            </w:pPr>
          </w:p>
        </w:tc>
        <w:tc>
          <w:tcPr>
            <w:tcW w:w="1157"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Technical person-</w:t>
            </w:r>
          </w:p>
          <w:p w:rsidR="00E10159" w:rsidRDefault="00396A52" w:rsidP="00FB1ACC">
            <w:pPr>
              <w:widowControl/>
              <w:autoSpaceDE/>
              <w:autoSpaceDN/>
              <w:adjustRightInd/>
              <w:jc w:val="center"/>
              <w:rPr>
                <w:b/>
                <w:bCs/>
                <w:sz w:val="20"/>
                <w:szCs w:val="20"/>
              </w:rPr>
            </w:pPr>
            <w:r>
              <w:rPr>
                <w:b/>
                <w:bCs/>
                <w:sz w:val="20"/>
                <w:szCs w:val="20"/>
              </w:rPr>
              <w:t>hours per occurrence</w:t>
            </w:r>
          </w:p>
          <w:p w:rsidR="00DE54DA" w:rsidRPr="00D026C5" w:rsidRDefault="00DE54DA" w:rsidP="00FB1ACC">
            <w:pPr>
              <w:widowControl/>
              <w:autoSpaceDE/>
              <w:autoSpaceDN/>
              <w:adjustRightInd/>
              <w:jc w:val="center"/>
              <w:rPr>
                <w:b/>
                <w:bCs/>
                <w:sz w:val="20"/>
                <w:szCs w:val="20"/>
              </w:rPr>
            </w:pPr>
          </w:p>
        </w:tc>
        <w:tc>
          <w:tcPr>
            <w:tcW w:w="1425"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 xml:space="preserve">No. of occurrences </w:t>
            </w:r>
          </w:p>
          <w:p w:rsidR="00E10159" w:rsidRPr="00D026C5" w:rsidRDefault="00396A52" w:rsidP="00673D15">
            <w:pPr>
              <w:widowControl/>
              <w:autoSpaceDE/>
              <w:autoSpaceDN/>
              <w:adjustRightInd/>
              <w:jc w:val="center"/>
              <w:rPr>
                <w:b/>
                <w:bCs/>
                <w:sz w:val="20"/>
                <w:szCs w:val="20"/>
              </w:rPr>
            </w:pPr>
            <w:r>
              <w:rPr>
                <w:b/>
                <w:bCs/>
                <w:sz w:val="20"/>
                <w:szCs w:val="20"/>
              </w:rPr>
              <w:t xml:space="preserve">per respondent </w:t>
            </w:r>
          </w:p>
          <w:p w:rsidR="00E10159" w:rsidRDefault="00396A52" w:rsidP="00FB1ACC">
            <w:pPr>
              <w:widowControl/>
              <w:autoSpaceDE/>
              <w:autoSpaceDN/>
              <w:adjustRightInd/>
              <w:jc w:val="center"/>
              <w:rPr>
                <w:b/>
                <w:bCs/>
                <w:sz w:val="20"/>
                <w:szCs w:val="20"/>
              </w:rPr>
            </w:pPr>
            <w:r>
              <w:rPr>
                <w:b/>
                <w:bCs/>
                <w:sz w:val="20"/>
                <w:szCs w:val="20"/>
              </w:rPr>
              <w:t>per year</w:t>
            </w:r>
          </w:p>
          <w:p w:rsidR="00DE54DA" w:rsidRPr="00D026C5" w:rsidRDefault="00DE54DA" w:rsidP="00FB1ACC">
            <w:pPr>
              <w:widowControl/>
              <w:autoSpaceDE/>
              <w:autoSpaceDN/>
              <w:adjustRightInd/>
              <w:jc w:val="center"/>
              <w:rPr>
                <w:b/>
                <w:bCs/>
                <w:sz w:val="20"/>
                <w:szCs w:val="20"/>
              </w:rPr>
            </w:pPr>
          </w:p>
        </w:tc>
        <w:tc>
          <w:tcPr>
            <w:tcW w:w="1448"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 xml:space="preserve">Technical person-hours per respondent per year </w:t>
            </w:r>
          </w:p>
          <w:p w:rsidR="00E10159" w:rsidRPr="00D026C5" w:rsidRDefault="00396A52" w:rsidP="00FB1ACC">
            <w:pPr>
              <w:widowControl/>
              <w:autoSpaceDE/>
              <w:autoSpaceDN/>
              <w:adjustRightInd/>
              <w:jc w:val="center"/>
              <w:rPr>
                <w:b/>
                <w:bCs/>
                <w:sz w:val="20"/>
                <w:szCs w:val="20"/>
              </w:rPr>
            </w:pPr>
            <w:r>
              <w:rPr>
                <w:b/>
                <w:bCs/>
                <w:sz w:val="20"/>
                <w:szCs w:val="20"/>
              </w:rPr>
              <w:t>(</w:t>
            </w:r>
            <w:r w:rsidR="00867917">
              <w:rPr>
                <w:b/>
                <w:bCs/>
                <w:sz w:val="20"/>
                <w:szCs w:val="20"/>
              </w:rPr>
              <w:t>C=</w:t>
            </w:r>
            <w:proofErr w:type="spellStart"/>
            <w:r>
              <w:rPr>
                <w:b/>
                <w:bCs/>
                <w:sz w:val="20"/>
                <w:szCs w:val="20"/>
              </w:rPr>
              <w:t>AxB</w:t>
            </w:r>
            <w:proofErr w:type="spellEnd"/>
            <w:r>
              <w:rPr>
                <w:b/>
                <w:bCs/>
                <w:sz w:val="20"/>
                <w:szCs w:val="20"/>
              </w:rPr>
              <w:t>)</w:t>
            </w:r>
          </w:p>
        </w:tc>
        <w:tc>
          <w:tcPr>
            <w:tcW w:w="1242" w:type="dxa"/>
            <w:tcBorders>
              <w:top w:val="nil"/>
              <w:left w:val="nil"/>
              <w:bottom w:val="single" w:sz="4" w:space="0" w:color="auto"/>
              <w:right w:val="single" w:sz="4" w:space="0" w:color="auto"/>
            </w:tcBorders>
            <w:shd w:val="clear" w:color="auto" w:fill="auto"/>
            <w:vAlign w:val="bottom"/>
            <w:hideMark/>
          </w:tcPr>
          <w:p w:rsidR="00E10159" w:rsidRDefault="00396A52" w:rsidP="00FB1ACC">
            <w:pPr>
              <w:widowControl/>
              <w:autoSpaceDE/>
              <w:autoSpaceDN/>
              <w:adjustRightInd/>
              <w:jc w:val="center"/>
              <w:rPr>
                <w:b/>
                <w:bCs/>
                <w:sz w:val="20"/>
                <w:szCs w:val="20"/>
                <w:vertAlign w:val="superscript"/>
              </w:rPr>
            </w:pPr>
            <w:r>
              <w:rPr>
                <w:b/>
                <w:bCs/>
                <w:sz w:val="20"/>
                <w:szCs w:val="20"/>
              </w:rPr>
              <w:t>Respondents per year</w:t>
            </w:r>
            <w:r w:rsidR="00DE54DA">
              <w:rPr>
                <w:b/>
                <w:bCs/>
                <w:sz w:val="20"/>
                <w:szCs w:val="20"/>
              </w:rPr>
              <w:t xml:space="preserve"> </w:t>
            </w:r>
            <w:r>
              <w:rPr>
                <w:b/>
                <w:bCs/>
                <w:sz w:val="20"/>
                <w:szCs w:val="20"/>
                <w:vertAlign w:val="superscript"/>
              </w:rPr>
              <w:t>a</w:t>
            </w:r>
          </w:p>
          <w:p w:rsidR="00DE54DA" w:rsidRDefault="00DE54DA" w:rsidP="00FB1ACC">
            <w:pPr>
              <w:widowControl/>
              <w:autoSpaceDE/>
              <w:autoSpaceDN/>
              <w:adjustRightInd/>
              <w:jc w:val="center"/>
              <w:rPr>
                <w:b/>
                <w:bCs/>
                <w:sz w:val="20"/>
                <w:szCs w:val="20"/>
                <w:vertAlign w:val="superscript"/>
              </w:rPr>
            </w:pPr>
          </w:p>
          <w:p w:rsidR="00DE54DA" w:rsidRDefault="00DE54DA" w:rsidP="00FB1ACC">
            <w:pPr>
              <w:widowControl/>
              <w:autoSpaceDE/>
              <w:autoSpaceDN/>
              <w:adjustRightInd/>
              <w:jc w:val="center"/>
              <w:rPr>
                <w:b/>
                <w:bCs/>
                <w:sz w:val="20"/>
                <w:szCs w:val="20"/>
                <w:vertAlign w:val="superscript"/>
              </w:rPr>
            </w:pPr>
          </w:p>
          <w:p w:rsidR="00DE54DA" w:rsidRPr="00D026C5" w:rsidRDefault="00DE54DA" w:rsidP="00FB1ACC">
            <w:pPr>
              <w:widowControl/>
              <w:autoSpaceDE/>
              <w:autoSpaceDN/>
              <w:adjustRightInd/>
              <w:jc w:val="center"/>
              <w:rPr>
                <w:b/>
                <w:bCs/>
                <w:sz w:val="20"/>
                <w:szCs w:val="20"/>
              </w:rPr>
            </w:pPr>
          </w:p>
        </w:tc>
        <w:tc>
          <w:tcPr>
            <w:tcW w:w="1024"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Technical hours</w:t>
            </w:r>
          </w:p>
          <w:p w:rsidR="00E10159" w:rsidRPr="00D026C5" w:rsidRDefault="00396A52" w:rsidP="00673D15">
            <w:pPr>
              <w:widowControl/>
              <w:autoSpaceDE/>
              <w:autoSpaceDN/>
              <w:adjustRightInd/>
              <w:jc w:val="center"/>
              <w:rPr>
                <w:b/>
                <w:bCs/>
                <w:sz w:val="20"/>
                <w:szCs w:val="20"/>
              </w:rPr>
            </w:pPr>
            <w:r>
              <w:rPr>
                <w:b/>
                <w:bCs/>
                <w:sz w:val="20"/>
                <w:szCs w:val="20"/>
              </w:rPr>
              <w:t>per year</w:t>
            </w:r>
          </w:p>
          <w:p w:rsidR="00E10159" w:rsidRDefault="00396A52" w:rsidP="00FB1ACC">
            <w:pPr>
              <w:widowControl/>
              <w:autoSpaceDE/>
              <w:autoSpaceDN/>
              <w:adjustRightInd/>
              <w:jc w:val="center"/>
              <w:rPr>
                <w:b/>
                <w:bCs/>
                <w:sz w:val="20"/>
                <w:szCs w:val="20"/>
              </w:rPr>
            </w:pPr>
            <w:r>
              <w:rPr>
                <w:b/>
                <w:bCs/>
                <w:sz w:val="20"/>
                <w:szCs w:val="20"/>
              </w:rPr>
              <w:t>(</w:t>
            </w:r>
            <w:r w:rsidR="00867917">
              <w:rPr>
                <w:b/>
                <w:bCs/>
                <w:sz w:val="20"/>
                <w:szCs w:val="20"/>
              </w:rPr>
              <w:t>E=</w:t>
            </w:r>
            <w:proofErr w:type="spellStart"/>
            <w:r>
              <w:rPr>
                <w:b/>
                <w:bCs/>
                <w:sz w:val="20"/>
                <w:szCs w:val="20"/>
              </w:rPr>
              <w:t>CxD</w:t>
            </w:r>
            <w:proofErr w:type="spellEnd"/>
            <w:r>
              <w:rPr>
                <w:b/>
                <w:bCs/>
                <w:sz w:val="20"/>
                <w:szCs w:val="20"/>
              </w:rPr>
              <w:t>)</w:t>
            </w:r>
          </w:p>
          <w:p w:rsidR="00DE54DA" w:rsidRPr="00D026C5" w:rsidRDefault="00DE54DA" w:rsidP="00FB1ACC">
            <w:pPr>
              <w:widowControl/>
              <w:autoSpaceDE/>
              <w:autoSpaceDN/>
              <w:adjustRightInd/>
              <w:jc w:val="center"/>
              <w:rPr>
                <w:b/>
                <w:bCs/>
                <w:sz w:val="20"/>
                <w:szCs w:val="20"/>
              </w:rPr>
            </w:pPr>
          </w:p>
        </w:tc>
        <w:tc>
          <w:tcPr>
            <w:tcW w:w="1238"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 xml:space="preserve">Management hours </w:t>
            </w:r>
          </w:p>
          <w:p w:rsidR="00E10159" w:rsidRDefault="00396A52" w:rsidP="00FB1ACC">
            <w:pPr>
              <w:widowControl/>
              <w:autoSpaceDE/>
              <w:autoSpaceDN/>
              <w:adjustRightInd/>
              <w:jc w:val="center"/>
              <w:rPr>
                <w:b/>
                <w:bCs/>
                <w:sz w:val="20"/>
                <w:szCs w:val="20"/>
              </w:rPr>
            </w:pPr>
            <w:r>
              <w:rPr>
                <w:b/>
                <w:bCs/>
                <w:sz w:val="20"/>
                <w:szCs w:val="20"/>
              </w:rPr>
              <w:t>per year  (Ex0.05)</w:t>
            </w:r>
          </w:p>
          <w:p w:rsidR="00DE54DA" w:rsidRPr="00D026C5" w:rsidRDefault="00DE54DA" w:rsidP="00FB1ACC">
            <w:pPr>
              <w:widowControl/>
              <w:autoSpaceDE/>
              <w:autoSpaceDN/>
              <w:adjustRightInd/>
              <w:jc w:val="center"/>
              <w:rPr>
                <w:b/>
                <w:bCs/>
                <w:sz w:val="20"/>
                <w:szCs w:val="20"/>
              </w:rPr>
            </w:pPr>
          </w:p>
        </w:tc>
        <w:tc>
          <w:tcPr>
            <w:tcW w:w="929"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 xml:space="preserve">Clerical hours </w:t>
            </w:r>
          </w:p>
          <w:p w:rsidR="00E10159" w:rsidRDefault="00396A52" w:rsidP="00FB1ACC">
            <w:pPr>
              <w:widowControl/>
              <w:autoSpaceDE/>
              <w:autoSpaceDN/>
              <w:adjustRightInd/>
              <w:jc w:val="center"/>
              <w:rPr>
                <w:b/>
                <w:bCs/>
                <w:sz w:val="20"/>
                <w:szCs w:val="20"/>
              </w:rPr>
            </w:pPr>
            <w:r>
              <w:rPr>
                <w:b/>
                <w:bCs/>
                <w:sz w:val="20"/>
                <w:szCs w:val="20"/>
              </w:rPr>
              <w:t>per year (Ex0.10)</w:t>
            </w:r>
          </w:p>
          <w:p w:rsidR="00867917" w:rsidRPr="00D026C5" w:rsidRDefault="00867917" w:rsidP="00FB1ACC">
            <w:pPr>
              <w:widowControl/>
              <w:autoSpaceDE/>
              <w:autoSpaceDN/>
              <w:adjustRightInd/>
              <w:jc w:val="center"/>
              <w:rPr>
                <w:b/>
                <w:bCs/>
                <w:sz w:val="20"/>
                <w:szCs w:val="20"/>
              </w:rPr>
            </w:pPr>
          </w:p>
        </w:tc>
        <w:tc>
          <w:tcPr>
            <w:tcW w:w="1179" w:type="dxa"/>
            <w:tcBorders>
              <w:top w:val="nil"/>
              <w:left w:val="nil"/>
              <w:bottom w:val="single" w:sz="4" w:space="0" w:color="auto"/>
              <w:right w:val="single" w:sz="4" w:space="0" w:color="auto"/>
            </w:tcBorders>
            <w:shd w:val="clear" w:color="auto" w:fill="auto"/>
            <w:vAlign w:val="bottom"/>
            <w:hideMark/>
          </w:tcPr>
          <w:p w:rsidR="00E10159" w:rsidRPr="00D026C5" w:rsidRDefault="00396A52" w:rsidP="00673D15">
            <w:pPr>
              <w:widowControl/>
              <w:autoSpaceDE/>
              <w:autoSpaceDN/>
              <w:adjustRightInd/>
              <w:jc w:val="center"/>
              <w:rPr>
                <w:b/>
                <w:bCs/>
                <w:sz w:val="20"/>
                <w:szCs w:val="20"/>
              </w:rPr>
            </w:pPr>
            <w:r>
              <w:rPr>
                <w:b/>
                <w:bCs/>
                <w:sz w:val="20"/>
                <w:szCs w:val="20"/>
              </w:rPr>
              <w:t xml:space="preserve">Total cost </w:t>
            </w:r>
          </w:p>
          <w:p w:rsidR="00E10159" w:rsidRPr="00D026C5" w:rsidRDefault="00396A52" w:rsidP="00673D15">
            <w:pPr>
              <w:widowControl/>
              <w:autoSpaceDE/>
              <w:autoSpaceDN/>
              <w:adjustRightInd/>
              <w:jc w:val="center"/>
              <w:rPr>
                <w:b/>
                <w:bCs/>
                <w:sz w:val="20"/>
                <w:szCs w:val="20"/>
              </w:rPr>
            </w:pPr>
            <w:r>
              <w:rPr>
                <w:b/>
                <w:bCs/>
                <w:sz w:val="20"/>
                <w:szCs w:val="20"/>
              </w:rPr>
              <w:t>per year</w:t>
            </w:r>
            <w:r w:rsidR="00DE54DA">
              <w:rPr>
                <w:b/>
                <w:bCs/>
                <w:sz w:val="20"/>
                <w:szCs w:val="20"/>
              </w:rPr>
              <w:t xml:space="preserve"> </w:t>
            </w:r>
            <w:r>
              <w:rPr>
                <w:b/>
                <w:bCs/>
                <w:sz w:val="20"/>
                <w:szCs w:val="20"/>
                <w:vertAlign w:val="superscript"/>
              </w:rPr>
              <w:t>b</w:t>
            </w:r>
          </w:p>
          <w:p w:rsidR="00E10159" w:rsidRDefault="00396A52" w:rsidP="00CF2565">
            <w:pPr>
              <w:widowControl/>
              <w:autoSpaceDE/>
              <w:autoSpaceDN/>
              <w:adjustRightInd/>
              <w:jc w:val="center"/>
              <w:rPr>
                <w:b/>
                <w:bCs/>
                <w:sz w:val="20"/>
                <w:szCs w:val="20"/>
              </w:rPr>
            </w:pPr>
            <w:r>
              <w:rPr>
                <w:b/>
                <w:bCs/>
                <w:sz w:val="20"/>
                <w:szCs w:val="20"/>
              </w:rPr>
              <w:t>($)</w:t>
            </w:r>
          </w:p>
          <w:p w:rsidR="00DE54DA" w:rsidRDefault="00DE54DA" w:rsidP="00CF2565">
            <w:pPr>
              <w:widowControl/>
              <w:autoSpaceDE/>
              <w:autoSpaceDN/>
              <w:adjustRightInd/>
              <w:jc w:val="center"/>
              <w:rPr>
                <w:b/>
                <w:bCs/>
                <w:sz w:val="20"/>
                <w:szCs w:val="20"/>
              </w:rPr>
            </w:pPr>
          </w:p>
          <w:p w:rsidR="00DE54DA" w:rsidRPr="00D026C5" w:rsidRDefault="00DE54DA" w:rsidP="00CF2565">
            <w:pPr>
              <w:widowControl/>
              <w:autoSpaceDE/>
              <w:autoSpaceDN/>
              <w:adjustRightInd/>
              <w:jc w:val="center"/>
              <w:rPr>
                <w:b/>
                <w:bCs/>
                <w:sz w:val="20"/>
                <w:szCs w:val="20"/>
              </w:rPr>
            </w:pPr>
          </w:p>
        </w:tc>
      </w:tr>
      <w:tr w:rsidR="00E10159" w:rsidRPr="00D026C5" w:rsidTr="001361EF">
        <w:trPr>
          <w:trHeight w:val="25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E51C2F" w:rsidRDefault="00396A52" w:rsidP="00FB1ACC">
            <w:pPr>
              <w:widowControl/>
              <w:autoSpaceDE/>
              <w:autoSpaceDN/>
              <w:adjustRightInd/>
              <w:rPr>
                <w:b/>
                <w:sz w:val="20"/>
                <w:szCs w:val="20"/>
              </w:rPr>
            </w:pPr>
            <w:r w:rsidRPr="00E51C2F">
              <w:rPr>
                <w:b/>
                <w:bCs/>
                <w:sz w:val="20"/>
                <w:szCs w:val="20"/>
              </w:rPr>
              <w:t>1. Applications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N/A</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E51C2F" w:rsidRDefault="00396A52" w:rsidP="00FB1ACC">
            <w:pPr>
              <w:widowControl/>
              <w:autoSpaceDE/>
              <w:autoSpaceDN/>
              <w:adjustRightInd/>
              <w:rPr>
                <w:b/>
                <w:sz w:val="20"/>
                <w:szCs w:val="20"/>
              </w:rPr>
            </w:pPr>
            <w:r w:rsidRPr="00E51C2F">
              <w:rPr>
                <w:b/>
                <w:bCs/>
                <w:sz w:val="20"/>
                <w:szCs w:val="20"/>
              </w:rPr>
              <w:t>2. Survey and Studies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N/A</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E51C2F" w:rsidRDefault="00396A52" w:rsidP="00FB1ACC">
            <w:pPr>
              <w:widowControl/>
              <w:autoSpaceDE/>
              <w:autoSpaceDN/>
              <w:adjustRightInd/>
              <w:rPr>
                <w:b/>
                <w:sz w:val="20"/>
                <w:szCs w:val="20"/>
              </w:rPr>
            </w:pPr>
            <w:r w:rsidRPr="00E51C2F">
              <w:rPr>
                <w:b/>
                <w:bCs/>
                <w:sz w:val="20"/>
                <w:szCs w:val="20"/>
              </w:rPr>
              <w:t>3. Reporting Requirements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A. Read Instructions</w:t>
            </w:r>
            <w:r w:rsidR="00867917">
              <w:rPr>
                <w:sz w:val="20"/>
                <w:szCs w:val="20"/>
              </w:rPr>
              <w:t xml:space="preserve"> </w:t>
            </w:r>
            <w:r w:rsidRPr="00396A52">
              <w:rPr>
                <w:sz w:val="20"/>
                <w:szCs w:val="20"/>
                <w:vertAlign w:val="superscript"/>
              </w:rPr>
              <w:t>c</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8.7</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34.8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1.74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3.48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4,615.66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867917">
            <w:pPr>
              <w:widowControl/>
              <w:autoSpaceDE/>
              <w:autoSpaceDN/>
              <w:adjustRightInd/>
              <w:rPr>
                <w:sz w:val="20"/>
                <w:szCs w:val="20"/>
              </w:rPr>
            </w:pPr>
            <w:r w:rsidRPr="00396A52">
              <w:rPr>
                <w:sz w:val="20"/>
                <w:szCs w:val="20"/>
              </w:rPr>
              <w:t xml:space="preserve">B. Required </w:t>
            </w:r>
            <w:r w:rsidR="00867917">
              <w:rPr>
                <w:sz w:val="20"/>
                <w:szCs w:val="20"/>
              </w:rPr>
              <w:t>A</w:t>
            </w:r>
            <w:r w:rsidRPr="00396A52">
              <w:rPr>
                <w:sz w:val="20"/>
                <w:szCs w:val="20"/>
              </w:rPr>
              <w:t>ctivi</w:t>
            </w:r>
            <w:r w:rsidR="00867917">
              <w:rPr>
                <w:sz w:val="20"/>
                <w:szCs w:val="20"/>
              </w:rPr>
              <w:t>ti</w:t>
            </w:r>
            <w:r w:rsidRPr="00396A52">
              <w:rPr>
                <w:sz w:val="20"/>
                <w:szCs w:val="20"/>
              </w:rPr>
              <w:t>es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867917">
            <w:pPr>
              <w:widowControl/>
              <w:autoSpaceDE/>
              <w:autoSpaceDN/>
              <w:adjustRightInd/>
              <w:rPr>
                <w:sz w:val="20"/>
                <w:szCs w:val="20"/>
                <w:vertAlign w:val="superscript"/>
              </w:rPr>
            </w:pPr>
            <w:r w:rsidRPr="00396A52">
              <w:rPr>
                <w:sz w:val="20"/>
                <w:szCs w:val="20"/>
              </w:rPr>
              <w:t xml:space="preserve">Initial CMS </w:t>
            </w:r>
            <w:r w:rsidR="00867917">
              <w:rPr>
                <w:sz w:val="20"/>
                <w:szCs w:val="20"/>
              </w:rPr>
              <w:t>p</w:t>
            </w:r>
            <w:r w:rsidRPr="00396A52">
              <w:rPr>
                <w:sz w:val="20"/>
                <w:szCs w:val="20"/>
              </w:rPr>
              <w:t xml:space="preserve">erformance </w:t>
            </w:r>
            <w:r w:rsidR="00867917">
              <w:rPr>
                <w:sz w:val="20"/>
                <w:szCs w:val="20"/>
              </w:rPr>
              <w:t>e</w:t>
            </w:r>
            <w:r w:rsidRPr="00396A52">
              <w:rPr>
                <w:sz w:val="20"/>
                <w:szCs w:val="20"/>
              </w:rPr>
              <w:t>valuation</w:t>
            </w:r>
            <w:r w:rsidR="00960C0E">
              <w:rPr>
                <w:sz w:val="20"/>
                <w:szCs w:val="20"/>
              </w:rPr>
              <w:t xml:space="preserve"> </w:t>
            </w:r>
            <w:r w:rsidRPr="00396A52">
              <w:rPr>
                <w:sz w:val="20"/>
                <w:szCs w:val="20"/>
                <w:vertAlign w:val="superscript"/>
              </w:rPr>
              <w:t>d</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28.8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1.44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2.88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3,819.86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867917">
            <w:pPr>
              <w:widowControl/>
              <w:autoSpaceDE/>
              <w:autoSpaceDN/>
              <w:adjustRightInd/>
              <w:rPr>
                <w:sz w:val="20"/>
                <w:szCs w:val="20"/>
              </w:rPr>
            </w:pPr>
            <w:r w:rsidRPr="00396A52">
              <w:rPr>
                <w:sz w:val="20"/>
                <w:szCs w:val="20"/>
              </w:rPr>
              <w:t xml:space="preserve">Performance </w:t>
            </w:r>
            <w:r w:rsidR="00867917">
              <w:rPr>
                <w:sz w:val="20"/>
                <w:szCs w:val="20"/>
              </w:rPr>
              <w:t>t</w:t>
            </w:r>
            <w:r w:rsidRPr="00396A52">
              <w:rPr>
                <w:sz w:val="20"/>
                <w:szCs w:val="20"/>
              </w:rPr>
              <w:t>est</w:t>
            </w:r>
            <w:r w:rsidR="00867917">
              <w:rPr>
                <w:sz w:val="20"/>
                <w:szCs w:val="20"/>
              </w:rPr>
              <w:t xml:space="preserve"> </w:t>
            </w:r>
            <w:r w:rsidRPr="00396A52">
              <w:rPr>
                <w:sz w:val="20"/>
                <w:szCs w:val="20"/>
                <w:vertAlign w:val="superscript"/>
              </w:rPr>
              <w:t>e</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28.8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1.44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2.88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3,819.86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C. Create Information</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867917" w:rsidP="00FB1ACC">
            <w:pPr>
              <w:widowControl/>
              <w:autoSpaceDE/>
              <w:autoSpaceDN/>
              <w:adjustRightInd/>
              <w:jc w:val="center"/>
              <w:rPr>
                <w:sz w:val="20"/>
                <w:szCs w:val="20"/>
              </w:rPr>
            </w:pPr>
            <w:r>
              <w:rPr>
                <w:sz w:val="20"/>
                <w:szCs w:val="20"/>
              </w:rPr>
              <w:t>See</w:t>
            </w:r>
            <w:r w:rsidR="00396A52" w:rsidRPr="00396A52">
              <w:rPr>
                <w:sz w:val="20"/>
                <w:szCs w:val="20"/>
              </w:rPr>
              <w:t xml:space="preserve"> 3B</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D. Gather Existing Information</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867917" w:rsidP="00FB1ACC">
            <w:pPr>
              <w:widowControl/>
              <w:autoSpaceDE/>
              <w:autoSpaceDN/>
              <w:adjustRightInd/>
              <w:jc w:val="center"/>
              <w:rPr>
                <w:sz w:val="20"/>
                <w:szCs w:val="20"/>
              </w:rPr>
            </w:pPr>
            <w:r>
              <w:rPr>
                <w:sz w:val="20"/>
                <w:szCs w:val="20"/>
              </w:rPr>
              <w:t>See</w:t>
            </w:r>
            <w:r w:rsidR="00396A52" w:rsidRPr="00396A52">
              <w:rPr>
                <w:sz w:val="20"/>
                <w:szCs w:val="20"/>
              </w:rPr>
              <w:t xml:space="preserve"> 3B</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E. Write Report</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C8658B">
            <w:pPr>
              <w:widowControl/>
              <w:autoSpaceDE/>
              <w:autoSpaceDN/>
              <w:adjustRightInd/>
              <w:rPr>
                <w:sz w:val="20"/>
                <w:szCs w:val="20"/>
              </w:rPr>
            </w:pPr>
            <w:r w:rsidRPr="00396A52">
              <w:rPr>
                <w:sz w:val="20"/>
                <w:szCs w:val="20"/>
              </w:rPr>
              <w:t xml:space="preserve">Initial </w:t>
            </w:r>
            <w:r w:rsidR="00C8658B">
              <w:rPr>
                <w:sz w:val="20"/>
                <w:szCs w:val="20"/>
              </w:rPr>
              <w:t>n</w:t>
            </w:r>
            <w:r w:rsidRPr="00396A52">
              <w:rPr>
                <w:sz w:val="20"/>
                <w:szCs w:val="20"/>
              </w:rPr>
              <w:t>otification</w:t>
            </w:r>
            <w:r w:rsidR="00960C0E">
              <w:rPr>
                <w:sz w:val="20"/>
                <w:szCs w:val="20"/>
              </w:rPr>
              <w:t xml:space="preserve"> </w:t>
            </w:r>
            <w:r w:rsidRPr="00396A52">
              <w:rPr>
                <w:sz w:val="20"/>
                <w:szCs w:val="20"/>
                <w:vertAlign w:val="superscript"/>
              </w:rPr>
              <w:t>f</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8.7</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17.4</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0.87</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1.74</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2,307.83 </w:t>
            </w:r>
          </w:p>
        </w:tc>
      </w:tr>
      <w:tr w:rsidR="00E10159" w:rsidRPr="00D026C5" w:rsidTr="001361EF">
        <w:trPr>
          <w:trHeight w:val="44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C8658B">
            <w:pPr>
              <w:widowControl/>
              <w:autoSpaceDE/>
              <w:autoSpaceDN/>
              <w:adjustRightInd/>
              <w:rPr>
                <w:sz w:val="20"/>
                <w:szCs w:val="20"/>
              </w:rPr>
            </w:pPr>
            <w:r w:rsidRPr="00396A52">
              <w:rPr>
                <w:sz w:val="20"/>
                <w:szCs w:val="20"/>
              </w:rPr>
              <w:t xml:space="preserve">Notification of </w:t>
            </w:r>
            <w:r w:rsidR="00C8658B">
              <w:rPr>
                <w:sz w:val="20"/>
                <w:szCs w:val="20"/>
              </w:rPr>
              <w:t>c</w:t>
            </w:r>
            <w:r w:rsidRPr="00396A52">
              <w:rPr>
                <w:sz w:val="20"/>
                <w:szCs w:val="20"/>
              </w:rPr>
              <w:t>onstruction/</w:t>
            </w:r>
            <w:r w:rsidR="00C8658B">
              <w:rPr>
                <w:sz w:val="20"/>
                <w:szCs w:val="20"/>
              </w:rPr>
              <w:t>r</w:t>
            </w:r>
            <w:r w:rsidRPr="00396A52">
              <w:rPr>
                <w:sz w:val="20"/>
                <w:szCs w:val="20"/>
              </w:rPr>
              <w:t>econstruction</w:t>
            </w:r>
            <w:r w:rsidR="00960C0E">
              <w:rPr>
                <w:sz w:val="20"/>
                <w:szCs w:val="20"/>
              </w:rPr>
              <w:t xml:space="preserve"> </w:t>
            </w:r>
            <w:r w:rsidRPr="00396A52">
              <w:rPr>
                <w:sz w:val="20"/>
                <w:szCs w:val="20"/>
                <w:vertAlign w:val="superscript"/>
              </w:rPr>
              <w:t>g</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0.24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636.64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5214D4">
            <w:pPr>
              <w:widowControl/>
              <w:autoSpaceDE/>
              <w:autoSpaceDN/>
              <w:adjustRightInd/>
              <w:rPr>
                <w:sz w:val="20"/>
                <w:szCs w:val="20"/>
              </w:rPr>
            </w:pPr>
            <w:r w:rsidRPr="00396A52">
              <w:rPr>
                <w:sz w:val="20"/>
                <w:szCs w:val="20"/>
              </w:rPr>
              <w:t xml:space="preserve">Notification of </w:t>
            </w:r>
            <w:r w:rsidR="005214D4">
              <w:rPr>
                <w:sz w:val="20"/>
                <w:szCs w:val="20"/>
              </w:rPr>
              <w:t>a</w:t>
            </w:r>
            <w:r w:rsidRPr="00396A52">
              <w:rPr>
                <w:sz w:val="20"/>
                <w:szCs w:val="20"/>
              </w:rPr>
              <w:t xml:space="preserve">ctual </w:t>
            </w:r>
            <w:r w:rsidR="005214D4">
              <w:rPr>
                <w:sz w:val="20"/>
                <w:szCs w:val="20"/>
              </w:rPr>
              <w:t>s</w:t>
            </w:r>
            <w:r w:rsidRPr="00396A52">
              <w:rPr>
                <w:sz w:val="20"/>
                <w:szCs w:val="20"/>
              </w:rPr>
              <w:t>tartup</w:t>
            </w:r>
            <w:r w:rsidR="00960C0E">
              <w:rPr>
                <w:sz w:val="20"/>
                <w:szCs w:val="20"/>
              </w:rPr>
              <w:t xml:space="preserve"> </w:t>
            </w:r>
            <w:r w:rsidRPr="00396A52">
              <w:rPr>
                <w:sz w:val="20"/>
                <w:szCs w:val="20"/>
                <w:vertAlign w:val="superscript"/>
              </w:rPr>
              <w:t>g</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0.24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636.64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5214D4">
            <w:pPr>
              <w:widowControl/>
              <w:autoSpaceDE/>
              <w:autoSpaceDN/>
              <w:adjustRightInd/>
              <w:rPr>
                <w:sz w:val="20"/>
                <w:szCs w:val="20"/>
              </w:rPr>
            </w:pPr>
            <w:r w:rsidRPr="00396A52">
              <w:rPr>
                <w:sz w:val="20"/>
                <w:szCs w:val="20"/>
              </w:rPr>
              <w:t xml:space="preserve">Notification of </w:t>
            </w:r>
            <w:r w:rsidR="005214D4">
              <w:rPr>
                <w:sz w:val="20"/>
                <w:szCs w:val="20"/>
              </w:rPr>
              <w:t>p</w:t>
            </w:r>
            <w:r w:rsidRPr="00396A52">
              <w:rPr>
                <w:sz w:val="20"/>
                <w:szCs w:val="20"/>
              </w:rPr>
              <w:t xml:space="preserve">erformance </w:t>
            </w:r>
            <w:r w:rsidR="005214D4">
              <w:rPr>
                <w:sz w:val="20"/>
                <w:szCs w:val="20"/>
              </w:rPr>
              <w:t>t</w:t>
            </w:r>
            <w:r w:rsidRPr="00396A52">
              <w:rPr>
                <w:sz w:val="20"/>
                <w:szCs w:val="20"/>
              </w:rPr>
              <w:t>est</w:t>
            </w:r>
            <w:r w:rsidR="00960C0E">
              <w:rPr>
                <w:sz w:val="20"/>
                <w:szCs w:val="20"/>
              </w:rPr>
              <w:t xml:space="preserve"> </w:t>
            </w:r>
            <w:r w:rsidRPr="00396A52">
              <w:rPr>
                <w:sz w:val="20"/>
                <w:szCs w:val="20"/>
                <w:vertAlign w:val="superscript"/>
              </w:rPr>
              <w:t>g</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0.24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636.64 </w:t>
            </w:r>
          </w:p>
        </w:tc>
      </w:tr>
      <w:tr w:rsidR="00E10159" w:rsidRPr="00D026C5" w:rsidTr="001361EF">
        <w:trPr>
          <w:trHeight w:val="521"/>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5214D4">
            <w:pPr>
              <w:widowControl/>
              <w:autoSpaceDE/>
              <w:autoSpaceDN/>
              <w:adjustRightInd/>
              <w:rPr>
                <w:sz w:val="20"/>
                <w:szCs w:val="20"/>
              </w:rPr>
            </w:pPr>
            <w:r w:rsidRPr="00396A52">
              <w:rPr>
                <w:sz w:val="20"/>
                <w:szCs w:val="20"/>
              </w:rPr>
              <w:t xml:space="preserve">Notification of CMS </w:t>
            </w:r>
            <w:r w:rsidR="005214D4">
              <w:rPr>
                <w:sz w:val="20"/>
                <w:szCs w:val="20"/>
              </w:rPr>
              <w:t>p</w:t>
            </w:r>
            <w:r w:rsidRPr="00396A52">
              <w:rPr>
                <w:sz w:val="20"/>
                <w:szCs w:val="20"/>
              </w:rPr>
              <w:t xml:space="preserve">erformance </w:t>
            </w:r>
            <w:r w:rsidR="005214D4">
              <w:rPr>
                <w:sz w:val="20"/>
                <w:szCs w:val="20"/>
              </w:rPr>
              <w:t>e</w:t>
            </w:r>
            <w:r w:rsidRPr="00396A52">
              <w:rPr>
                <w:sz w:val="20"/>
                <w:szCs w:val="20"/>
              </w:rPr>
              <w:t>valuation</w:t>
            </w:r>
            <w:r w:rsidR="00960C0E">
              <w:rPr>
                <w:sz w:val="20"/>
                <w:szCs w:val="20"/>
              </w:rPr>
              <w:t xml:space="preserve"> </w:t>
            </w:r>
            <w:r w:rsidRPr="00396A52">
              <w:rPr>
                <w:sz w:val="20"/>
                <w:szCs w:val="20"/>
                <w:vertAlign w:val="superscript"/>
              </w:rPr>
              <w:t>g</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0.24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636.64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5214D4">
            <w:pPr>
              <w:widowControl/>
              <w:autoSpaceDE/>
              <w:autoSpaceDN/>
              <w:adjustRightInd/>
              <w:rPr>
                <w:sz w:val="20"/>
                <w:szCs w:val="20"/>
              </w:rPr>
            </w:pPr>
            <w:r w:rsidRPr="00396A52">
              <w:rPr>
                <w:sz w:val="20"/>
                <w:szCs w:val="20"/>
              </w:rPr>
              <w:t xml:space="preserve">Notification of </w:t>
            </w:r>
            <w:r w:rsidR="005214D4">
              <w:rPr>
                <w:sz w:val="20"/>
                <w:szCs w:val="20"/>
              </w:rPr>
              <w:t>c</w:t>
            </w:r>
            <w:r w:rsidRPr="00396A52">
              <w:rPr>
                <w:sz w:val="20"/>
                <w:szCs w:val="20"/>
              </w:rPr>
              <w:t xml:space="preserve">ompliance </w:t>
            </w:r>
            <w:r w:rsidR="005214D4">
              <w:rPr>
                <w:sz w:val="20"/>
                <w:szCs w:val="20"/>
              </w:rPr>
              <w:t>s</w:t>
            </w:r>
            <w:r w:rsidRPr="00396A52">
              <w:rPr>
                <w:sz w:val="20"/>
                <w:szCs w:val="20"/>
              </w:rPr>
              <w:t>tatus</w:t>
            </w:r>
            <w:r w:rsidR="00960C0E">
              <w:rPr>
                <w:sz w:val="20"/>
                <w:szCs w:val="20"/>
              </w:rPr>
              <w:t xml:space="preserve"> </w:t>
            </w:r>
            <w:r w:rsidRPr="00396A52">
              <w:rPr>
                <w:sz w:val="20"/>
                <w:szCs w:val="20"/>
                <w:vertAlign w:val="superscript"/>
              </w:rPr>
              <w:t>g</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2.4</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4.8</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0.24</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0.48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636.64 </w:t>
            </w:r>
          </w:p>
        </w:tc>
      </w:tr>
      <w:tr w:rsidR="004153BB" w:rsidRPr="00D026C5" w:rsidTr="001361EF">
        <w:trPr>
          <w:trHeight w:val="251"/>
          <w:jc w:val="center"/>
        </w:trPr>
        <w:tc>
          <w:tcPr>
            <w:tcW w:w="136" w:type="dxa"/>
            <w:tcBorders>
              <w:top w:val="nil"/>
              <w:left w:val="single" w:sz="4" w:space="0" w:color="auto"/>
              <w:bottom w:val="single" w:sz="4" w:space="0" w:color="auto"/>
              <w:right w:val="nil"/>
            </w:tcBorders>
            <w:shd w:val="clear" w:color="auto" w:fill="auto"/>
            <w:noWrap/>
            <w:vAlign w:val="bottom"/>
            <w:hideMark/>
          </w:tcPr>
          <w:p w:rsidR="004153BB" w:rsidRPr="00D026C5" w:rsidRDefault="004153BB"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4153BB" w:rsidRPr="00D026C5" w:rsidRDefault="004153BB"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4153BB" w:rsidRPr="00D026C5" w:rsidRDefault="004153BB" w:rsidP="005214D4">
            <w:pPr>
              <w:widowControl/>
              <w:autoSpaceDE/>
              <w:autoSpaceDN/>
              <w:adjustRightInd/>
              <w:rPr>
                <w:sz w:val="20"/>
                <w:szCs w:val="20"/>
              </w:rPr>
            </w:pPr>
            <w:r w:rsidRPr="00396A52">
              <w:rPr>
                <w:sz w:val="20"/>
                <w:szCs w:val="20"/>
              </w:rPr>
              <w:t xml:space="preserve">Annual </w:t>
            </w:r>
            <w:r w:rsidR="005214D4">
              <w:rPr>
                <w:sz w:val="20"/>
                <w:szCs w:val="20"/>
              </w:rPr>
              <w:t>c</w:t>
            </w:r>
            <w:r w:rsidRPr="00396A52">
              <w:rPr>
                <w:sz w:val="20"/>
                <w:szCs w:val="20"/>
              </w:rPr>
              <w:t xml:space="preserve">ompliance </w:t>
            </w:r>
            <w:r w:rsidR="005214D4">
              <w:rPr>
                <w:sz w:val="20"/>
                <w:szCs w:val="20"/>
              </w:rPr>
              <w:t>r</w:t>
            </w:r>
            <w:r w:rsidRPr="00396A52">
              <w:rPr>
                <w:sz w:val="20"/>
                <w:szCs w:val="20"/>
              </w:rPr>
              <w:t>eport</w:t>
            </w:r>
            <w:r>
              <w:rPr>
                <w:sz w:val="20"/>
                <w:szCs w:val="20"/>
              </w:rPr>
              <w:t xml:space="preserve"> </w:t>
            </w:r>
            <w:r w:rsidRPr="00396A52">
              <w:rPr>
                <w:sz w:val="20"/>
                <w:szCs w:val="20"/>
                <w:vertAlign w:val="superscript"/>
              </w:rPr>
              <w:t>h</w:t>
            </w:r>
          </w:p>
        </w:tc>
        <w:tc>
          <w:tcPr>
            <w:tcW w:w="1157" w:type="dxa"/>
            <w:tcBorders>
              <w:top w:val="nil"/>
              <w:left w:val="nil"/>
              <w:bottom w:val="single" w:sz="4" w:space="0" w:color="auto"/>
              <w:right w:val="single" w:sz="4" w:space="0" w:color="auto"/>
            </w:tcBorders>
            <w:shd w:val="clear" w:color="auto" w:fill="auto"/>
            <w:noWrap/>
            <w:vAlign w:val="bottom"/>
            <w:hideMark/>
          </w:tcPr>
          <w:p w:rsidR="004153BB" w:rsidRPr="00D026C5" w:rsidRDefault="004153BB" w:rsidP="00FB1ACC">
            <w:pPr>
              <w:widowControl/>
              <w:autoSpaceDE/>
              <w:autoSpaceDN/>
              <w:adjustRightInd/>
              <w:jc w:val="center"/>
              <w:rPr>
                <w:sz w:val="20"/>
                <w:szCs w:val="20"/>
              </w:rPr>
            </w:pPr>
            <w:r w:rsidRPr="00396A52">
              <w:rPr>
                <w:sz w:val="20"/>
                <w:szCs w:val="20"/>
              </w:rPr>
              <w:t>8</w:t>
            </w:r>
          </w:p>
        </w:tc>
        <w:tc>
          <w:tcPr>
            <w:tcW w:w="1425" w:type="dxa"/>
            <w:tcBorders>
              <w:top w:val="nil"/>
              <w:left w:val="nil"/>
              <w:bottom w:val="single" w:sz="4" w:space="0" w:color="auto"/>
              <w:right w:val="single" w:sz="4" w:space="0" w:color="auto"/>
            </w:tcBorders>
            <w:shd w:val="clear" w:color="auto" w:fill="auto"/>
            <w:noWrap/>
            <w:vAlign w:val="bottom"/>
            <w:hideMark/>
          </w:tcPr>
          <w:p w:rsidR="004153BB" w:rsidRPr="00D026C5" w:rsidRDefault="004153BB" w:rsidP="00FB1ACC">
            <w:pPr>
              <w:widowControl/>
              <w:autoSpaceDE/>
              <w:autoSpaceDN/>
              <w:adjustRightInd/>
              <w:jc w:val="center"/>
              <w:rPr>
                <w:sz w:val="20"/>
                <w:szCs w:val="20"/>
              </w:rPr>
            </w:pPr>
            <w:r w:rsidRPr="00396A52">
              <w:rPr>
                <w:sz w:val="20"/>
                <w:szCs w:val="20"/>
              </w:rPr>
              <w:t>1</w:t>
            </w:r>
          </w:p>
        </w:tc>
        <w:tc>
          <w:tcPr>
            <w:tcW w:w="1448" w:type="dxa"/>
            <w:tcBorders>
              <w:top w:val="nil"/>
              <w:left w:val="nil"/>
              <w:bottom w:val="single" w:sz="4" w:space="0" w:color="auto"/>
              <w:right w:val="single" w:sz="4" w:space="0" w:color="auto"/>
            </w:tcBorders>
            <w:shd w:val="clear" w:color="auto" w:fill="auto"/>
            <w:noWrap/>
            <w:vAlign w:val="bottom"/>
            <w:hideMark/>
          </w:tcPr>
          <w:p w:rsidR="004153BB" w:rsidRPr="00D026C5" w:rsidRDefault="004153BB" w:rsidP="00FB1ACC">
            <w:pPr>
              <w:widowControl/>
              <w:autoSpaceDE/>
              <w:autoSpaceDN/>
              <w:adjustRightInd/>
              <w:jc w:val="center"/>
              <w:rPr>
                <w:sz w:val="20"/>
                <w:szCs w:val="20"/>
              </w:rPr>
            </w:pPr>
            <w:r w:rsidRPr="00396A52">
              <w:rPr>
                <w:sz w:val="20"/>
                <w:szCs w:val="20"/>
              </w:rPr>
              <w:t>8</w:t>
            </w:r>
          </w:p>
        </w:tc>
        <w:tc>
          <w:tcPr>
            <w:tcW w:w="1242" w:type="dxa"/>
            <w:tcBorders>
              <w:top w:val="nil"/>
              <w:left w:val="nil"/>
              <w:bottom w:val="single" w:sz="4" w:space="0" w:color="auto"/>
              <w:right w:val="single" w:sz="4" w:space="0" w:color="auto"/>
            </w:tcBorders>
            <w:shd w:val="clear" w:color="auto" w:fill="auto"/>
            <w:noWrap/>
            <w:vAlign w:val="bottom"/>
            <w:hideMark/>
          </w:tcPr>
          <w:p w:rsidR="004153BB" w:rsidRPr="00D026C5" w:rsidRDefault="004153BB" w:rsidP="00FB1ACC">
            <w:pPr>
              <w:widowControl/>
              <w:autoSpaceDE/>
              <w:autoSpaceDN/>
              <w:adjustRightInd/>
              <w:jc w:val="center"/>
              <w:rPr>
                <w:sz w:val="20"/>
                <w:szCs w:val="20"/>
              </w:rPr>
            </w:pPr>
            <w:r>
              <w:rPr>
                <w:sz w:val="20"/>
                <w:szCs w:val="20"/>
              </w:rPr>
              <w:t>2.9</w:t>
            </w:r>
          </w:p>
        </w:tc>
        <w:tc>
          <w:tcPr>
            <w:tcW w:w="1024" w:type="dxa"/>
            <w:tcBorders>
              <w:top w:val="nil"/>
              <w:left w:val="nil"/>
              <w:bottom w:val="single" w:sz="4" w:space="0" w:color="auto"/>
              <w:right w:val="single" w:sz="4" w:space="0" w:color="auto"/>
            </w:tcBorders>
            <w:shd w:val="clear" w:color="auto" w:fill="auto"/>
            <w:noWrap/>
            <w:vAlign w:val="bottom"/>
            <w:hideMark/>
          </w:tcPr>
          <w:p w:rsidR="004153BB" w:rsidRDefault="004153BB" w:rsidP="004153BB">
            <w:pPr>
              <w:jc w:val="center"/>
              <w:rPr>
                <w:color w:val="000000"/>
                <w:sz w:val="20"/>
                <w:szCs w:val="20"/>
              </w:rPr>
            </w:pPr>
            <w:r>
              <w:rPr>
                <w:color w:val="000000"/>
                <w:sz w:val="20"/>
                <w:szCs w:val="20"/>
              </w:rPr>
              <w:t>23.2</w:t>
            </w:r>
          </w:p>
        </w:tc>
        <w:tc>
          <w:tcPr>
            <w:tcW w:w="1238" w:type="dxa"/>
            <w:tcBorders>
              <w:top w:val="nil"/>
              <w:left w:val="nil"/>
              <w:bottom w:val="single" w:sz="4" w:space="0" w:color="auto"/>
              <w:right w:val="single" w:sz="4" w:space="0" w:color="auto"/>
            </w:tcBorders>
            <w:shd w:val="clear" w:color="auto" w:fill="auto"/>
            <w:noWrap/>
            <w:vAlign w:val="bottom"/>
            <w:hideMark/>
          </w:tcPr>
          <w:p w:rsidR="004153BB" w:rsidRDefault="004153BB" w:rsidP="004153BB">
            <w:pPr>
              <w:jc w:val="center"/>
              <w:rPr>
                <w:color w:val="000000"/>
                <w:sz w:val="20"/>
                <w:szCs w:val="20"/>
              </w:rPr>
            </w:pPr>
            <w:r>
              <w:rPr>
                <w:color w:val="000000"/>
                <w:sz w:val="20"/>
                <w:szCs w:val="20"/>
              </w:rPr>
              <w:t>1.16</w:t>
            </w:r>
          </w:p>
        </w:tc>
        <w:tc>
          <w:tcPr>
            <w:tcW w:w="929" w:type="dxa"/>
            <w:tcBorders>
              <w:top w:val="nil"/>
              <w:left w:val="nil"/>
              <w:bottom w:val="single" w:sz="4" w:space="0" w:color="auto"/>
              <w:right w:val="single" w:sz="4" w:space="0" w:color="auto"/>
            </w:tcBorders>
            <w:shd w:val="clear" w:color="auto" w:fill="auto"/>
            <w:noWrap/>
            <w:vAlign w:val="bottom"/>
            <w:hideMark/>
          </w:tcPr>
          <w:p w:rsidR="004153BB" w:rsidRDefault="004153BB" w:rsidP="004153BB">
            <w:pPr>
              <w:jc w:val="center"/>
              <w:rPr>
                <w:color w:val="000000"/>
                <w:sz w:val="20"/>
                <w:szCs w:val="20"/>
              </w:rPr>
            </w:pPr>
            <w:r>
              <w:rPr>
                <w:color w:val="000000"/>
                <w:sz w:val="20"/>
                <w:szCs w:val="20"/>
              </w:rPr>
              <w:t>2.32</w:t>
            </w:r>
          </w:p>
        </w:tc>
        <w:tc>
          <w:tcPr>
            <w:tcW w:w="1179" w:type="dxa"/>
            <w:tcBorders>
              <w:top w:val="nil"/>
              <w:left w:val="nil"/>
              <w:bottom w:val="single" w:sz="4" w:space="0" w:color="auto"/>
              <w:right w:val="single" w:sz="4" w:space="0" w:color="auto"/>
            </w:tcBorders>
            <w:shd w:val="clear" w:color="auto" w:fill="auto"/>
            <w:noWrap/>
            <w:vAlign w:val="bottom"/>
            <w:hideMark/>
          </w:tcPr>
          <w:p w:rsidR="004153BB" w:rsidRDefault="004153BB" w:rsidP="004153BB">
            <w:pPr>
              <w:jc w:val="right"/>
              <w:rPr>
                <w:color w:val="000000"/>
                <w:sz w:val="20"/>
                <w:szCs w:val="20"/>
              </w:rPr>
            </w:pPr>
            <w:r>
              <w:rPr>
                <w:color w:val="000000"/>
                <w:sz w:val="20"/>
                <w:szCs w:val="20"/>
              </w:rPr>
              <w:t xml:space="preserve">     </w:t>
            </w:r>
            <w:r w:rsidR="001361EF">
              <w:rPr>
                <w:color w:val="000000"/>
                <w:sz w:val="20"/>
                <w:szCs w:val="20"/>
              </w:rPr>
              <w:t>$</w:t>
            </w:r>
            <w:r>
              <w:rPr>
                <w:color w:val="000000"/>
                <w:sz w:val="20"/>
                <w:szCs w:val="20"/>
              </w:rPr>
              <w:t xml:space="preserve">3,077.11 </w:t>
            </w:r>
          </w:p>
        </w:tc>
      </w:tr>
      <w:tr w:rsidR="006B6E4D" w:rsidRPr="00D026C5" w:rsidTr="001361EF">
        <w:trPr>
          <w:trHeight w:val="251"/>
          <w:jc w:val="center"/>
        </w:trPr>
        <w:tc>
          <w:tcPr>
            <w:tcW w:w="136" w:type="dxa"/>
            <w:tcBorders>
              <w:top w:val="nil"/>
              <w:left w:val="single" w:sz="4" w:space="0" w:color="auto"/>
              <w:bottom w:val="single" w:sz="4" w:space="0" w:color="auto"/>
              <w:right w:val="nil"/>
            </w:tcBorders>
            <w:shd w:val="clear" w:color="auto" w:fill="auto"/>
            <w:noWrap/>
            <w:vAlign w:val="bottom"/>
            <w:hideMark/>
          </w:tcPr>
          <w:p w:rsidR="006B6E4D" w:rsidRPr="00D026C5" w:rsidRDefault="006B6E4D"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6B6E4D" w:rsidRPr="00D026C5" w:rsidRDefault="006B6E4D"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6B6E4D" w:rsidRPr="00396A52" w:rsidRDefault="006B6E4D" w:rsidP="00FB1ACC">
            <w:pPr>
              <w:widowControl/>
              <w:autoSpaceDE/>
              <w:autoSpaceDN/>
              <w:adjustRightInd/>
              <w:rPr>
                <w:sz w:val="20"/>
                <w:szCs w:val="20"/>
              </w:rPr>
            </w:pPr>
            <w:r>
              <w:rPr>
                <w:sz w:val="20"/>
                <w:szCs w:val="20"/>
              </w:rPr>
              <w:t xml:space="preserve">Semiannual compliance reports </w:t>
            </w:r>
            <w:proofErr w:type="spellStart"/>
            <w:r w:rsidRPr="006B6E4D">
              <w:rPr>
                <w:sz w:val="20"/>
                <w:szCs w:val="20"/>
                <w:vertAlign w:val="superscript"/>
              </w:rPr>
              <w:t>i</w:t>
            </w:r>
            <w:proofErr w:type="spellEnd"/>
          </w:p>
        </w:tc>
        <w:tc>
          <w:tcPr>
            <w:tcW w:w="1157" w:type="dxa"/>
            <w:tcBorders>
              <w:top w:val="nil"/>
              <w:left w:val="nil"/>
              <w:bottom w:val="single" w:sz="4" w:space="0" w:color="auto"/>
              <w:right w:val="single" w:sz="4" w:space="0" w:color="auto"/>
            </w:tcBorders>
            <w:shd w:val="clear" w:color="auto" w:fill="auto"/>
            <w:noWrap/>
            <w:vAlign w:val="bottom"/>
            <w:hideMark/>
          </w:tcPr>
          <w:p w:rsidR="006B6E4D" w:rsidRPr="00396A52" w:rsidRDefault="006B6E4D" w:rsidP="00FB1ACC">
            <w:pPr>
              <w:widowControl/>
              <w:autoSpaceDE/>
              <w:autoSpaceDN/>
              <w:adjustRightInd/>
              <w:jc w:val="center"/>
              <w:rPr>
                <w:sz w:val="20"/>
                <w:szCs w:val="20"/>
              </w:rPr>
            </w:pPr>
            <w:r>
              <w:rPr>
                <w:sz w:val="20"/>
                <w:szCs w:val="20"/>
              </w:rPr>
              <w:t>8</w:t>
            </w:r>
          </w:p>
        </w:tc>
        <w:tc>
          <w:tcPr>
            <w:tcW w:w="1425" w:type="dxa"/>
            <w:tcBorders>
              <w:top w:val="nil"/>
              <w:left w:val="nil"/>
              <w:bottom w:val="single" w:sz="4" w:space="0" w:color="auto"/>
              <w:right w:val="single" w:sz="4" w:space="0" w:color="auto"/>
            </w:tcBorders>
            <w:shd w:val="clear" w:color="auto" w:fill="auto"/>
            <w:noWrap/>
            <w:vAlign w:val="bottom"/>
            <w:hideMark/>
          </w:tcPr>
          <w:p w:rsidR="006B6E4D" w:rsidRPr="00396A52" w:rsidRDefault="006B6E4D" w:rsidP="00FB1ACC">
            <w:pPr>
              <w:widowControl/>
              <w:autoSpaceDE/>
              <w:autoSpaceDN/>
              <w:adjustRightInd/>
              <w:jc w:val="center"/>
              <w:rPr>
                <w:sz w:val="20"/>
                <w:szCs w:val="20"/>
              </w:rPr>
            </w:pPr>
            <w:r>
              <w:rPr>
                <w:sz w:val="20"/>
                <w:szCs w:val="20"/>
              </w:rPr>
              <w:t>2</w:t>
            </w:r>
          </w:p>
        </w:tc>
        <w:tc>
          <w:tcPr>
            <w:tcW w:w="1448" w:type="dxa"/>
            <w:tcBorders>
              <w:top w:val="nil"/>
              <w:left w:val="nil"/>
              <w:bottom w:val="single" w:sz="4" w:space="0" w:color="auto"/>
              <w:right w:val="single" w:sz="4" w:space="0" w:color="auto"/>
            </w:tcBorders>
            <w:shd w:val="clear" w:color="auto" w:fill="auto"/>
            <w:noWrap/>
            <w:vAlign w:val="bottom"/>
            <w:hideMark/>
          </w:tcPr>
          <w:p w:rsidR="006B6E4D" w:rsidRPr="00396A52" w:rsidRDefault="006B6E4D" w:rsidP="00FB1ACC">
            <w:pPr>
              <w:widowControl/>
              <w:autoSpaceDE/>
              <w:autoSpaceDN/>
              <w:adjustRightInd/>
              <w:jc w:val="center"/>
              <w:rPr>
                <w:sz w:val="20"/>
                <w:szCs w:val="20"/>
              </w:rPr>
            </w:pPr>
            <w:r>
              <w:rPr>
                <w:sz w:val="20"/>
                <w:szCs w:val="20"/>
              </w:rPr>
              <w:t>16</w:t>
            </w:r>
          </w:p>
        </w:tc>
        <w:tc>
          <w:tcPr>
            <w:tcW w:w="1242" w:type="dxa"/>
            <w:tcBorders>
              <w:top w:val="nil"/>
              <w:left w:val="nil"/>
              <w:bottom w:val="single" w:sz="4" w:space="0" w:color="auto"/>
              <w:right w:val="single" w:sz="4" w:space="0" w:color="auto"/>
            </w:tcBorders>
            <w:shd w:val="clear" w:color="auto" w:fill="auto"/>
            <w:noWrap/>
            <w:vAlign w:val="bottom"/>
            <w:hideMark/>
          </w:tcPr>
          <w:p w:rsidR="006B6E4D" w:rsidRDefault="006B6E4D" w:rsidP="00FB1ACC">
            <w:pPr>
              <w:widowControl/>
              <w:autoSpaceDE/>
              <w:autoSpaceDN/>
              <w:adjustRightInd/>
              <w:jc w:val="center"/>
              <w:rPr>
                <w:sz w:val="20"/>
                <w:szCs w:val="20"/>
              </w:rPr>
            </w:pPr>
            <w:r>
              <w:rPr>
                <w:sz w:val="20"/>
                <w:szCs w:val="20"/>
              </w:rPr>
              <w:t>26.9</w:t>
            </w:r>
          </w:p>
        </w:tc>
        <w:tc>
          <w:tcPr>
            <w:tcW w:w="1024" w:type="dxa"/>
            <w:tcBorders>
              <w:top w:val="nil"/>
              <w:left w:val="nil"/>
              <w:bottom w:val="single" w:sz="4" w:space="0" w:color="auto"/>
              <w:right w:val="single" w:sz="4" w:space="0" w:color="auto"/>
            </w:tcBorders>
            <w:shd w:val="clear" w:color="auto" w:fill="auto"/>
            <w:noWrap/>
            <w:vAlign w:val="bottom"/>
            <w:hideMark/>
          </w:tcPr>
          <w:p w:rsidR="006B6E4D" w:rsidRDefault="006B6E4D" w:rsidP="004153BB">
            <w:pPr>
              <w:jc w:val="center"/>
              <w:rPr>
                <w:color w:val="000000"/>
                <w:sz w:val="20"/>
                <w:szCs w:val="20"/>
              </w:rPr>
            </w:pPr>
            <w:r>
              <w:rPr>
                <w:color w:val="000000"/>
                <w:sz w:val="20"/>
                <w:szCs w:val="20"/>
              </w:rPr>
              <w:t>430.4</w:t>
            </w:r>
          </w:p>
        </w:tc>
        <w:tc>
          <w:tcPr>
            <w:tcW w:w="1238" w:type="dxa"/>
            <w:tcBorders>
              <w:top w:val="nil"/>
              <w:left w:val="nil"/>
              <w:bottom w:val="single" w:sz="4" w:space="0" w:color="auto"/>
              <w:right w:val="single" w:sz="4" w:space="0" w:color="auto"/>
            </w:tcBorders>
            <w:shd w:val="clear" w:color="auto" w:fill="auto"/>
            <w:noWrap/>
            <w:vAlign w:val="bottom"/>
            <w:hideMark/>
          </w:tcPr>
          <w:p w:rsidR="006B6E4D" w:rsidRDefault="006B6E4D" w:rsidP="004153BB">
            <w:pPr>
              <w:jc w:val="center"/>
              <w:rPr>
                <w:color w:val="000000"/>
                <w:sz w:val="20"/>
                <w:szCs w:val="20"/>
              </w:rPr>
            </w:pPr>
            <w:r>
              <w:rPr>
                <w:color w:val="000000"/>
                <w:sz w:val="20"/>
                <w:szCs w:val="20"/>
              </w:rPr>
              <w:t>21.52</w:t>
            </w:r>
          </w:p>
        </w:tc>
        <w:tc>
          <w:tcPr>
            <w:tcW w:w="929" w:type="dxa"/>
            <w:tcBorders>
              <w:top w:val="nil"/>
              <w:left w:val="nil"/>
              <w:bottom w:val="single" w:sz="4" w:space="0" w:color="auto"/>
              <w:right w:val="single" w:sz="4" w:space="0" w:color="auto"/>
            </w:tcBorders>
            <w:shd w:val="clear" w:color="auto" w:fill="auto"/>
            <w:noWrap/>
            <w:vAlign w:val="bottom"/>
            <w:hideMark/>
          </w:tcPr>
          <w:p w:rsidR="006B6E4D" w:rsidRDefault="006B6E4D" w:rsidP="004153BB">
            <w:pPr>
              <w:jc w:val="center"/>
              <w:rPr>
                <w:color w:val="000000"/>
                <w:sz w:val="20"/>
                <w:szCs w:val="20"/>
              </w:rPr>
            </w:pPr>
            <w:r>
              <w:rPr>
                <w:color w:val="000000"/>
                <w:sz w:val="20"/>
                <w:szCs w:val="20"/>
              </w:rPr>
              <w:t>43.04</w:t>
            </w:r>
          </w:p>
        </w:tc>
        <w:tc>
          <w:tcPr>
            <w:tcW w:w="1179" w:type="dxa"/>
            <w:tcBorders>
              <w:top w:val="nil"/>
              <w:left w:val="nil"/>
              <w:bottom w:val="single" w:sz="4" w:space="0" w:color="auto"/>
              <w:right w:val="single" w:sz="4" w:space="0" w:color="auto"/>
            </w:tcBorders>
            <w:shd w:val="clear" w:color="auto" w:fill="auto"/>
            <w:noWrap/>
            <w:vAlign w:val="bottom"/>
            <w:hideMark/>
          </w:tcPr>
          <w:p w:rsidR="006B6E4D" w:rsidRDefault="006B6E4D" w:rsidP="004153BB">
            <w:pPr>
              <w:jc w:val="right"/>
              <w:rPr>
                <w:color w:val="000000"/>
                <w:sz w:val="20"/>
                <w:szCs w:val="20"/>
              </w:rPr>
            </w:pPr>
            <w:r>
              <w:rPr>
                <w:color w:val="000000"/>
                <w:sz w:val="20"/>
                <w:szCs w:val="20"/>
              </w:rPr>
              <w:t>$57,085.67</w:t>
            </w:r>
          </w:p>
        </w:tc>
      </w:tr>
      <w:tr w:rsidR="00E10159" w:rsidRPr="004153BB" w:rsidTr="001361EF">
        <w:trPr>
          <w:trHeight w:val="26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4153BB" w:rsidRDefault="00396A52" w:rsidP="006B6E4D">
            <w:pPr>
              <w:widowControl/>
              <w:autoSpaceDE/>
              <w:autoSpaceDN/>
              <w:adjustRightInd/>
              <w:rPr>
                <w:b/>
                <w:sz w:val="20"/>
                <w:szCs w:val="20"/>
              </w:rPr>
            </w:pPr>
            <w:r w:rsidRPr="004153BB">
              <w:rPr>
                <w:b/>
                <w:i/>
                <w:iCs/>
                <w:sz w:val="20"/>
                <w:szCs w:val="20"/>
              </w:rPr>
              <w:t xml:space="preserve">  </w:t>
            </w:r>
            <w:r w:rsidR="006B6E4D">
              <w:rPr>
                <w:b/>
                <w:i/>
                <w:iCs/>
                <w:sz w:val="20"/>
                <w:szCs w:val="20"/>
              </w:rPr>
              <w:t>Subtotal for Reporting Requirements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319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10159" w:rsidRPr="004153BB" w:rsidRDefault="004153BB" w:rsidP="002B329D">
            <w:pPr>
              <w:widowControl/>
              <w:autoSpaceDE/>
              <w:autoSpaceDN/>
              <w:adjustRightInd/>
              <w:jc w:val="center"/>
              <w:rPr>
                <w:b/>
                <w:sz w:val="20"/>
                <w:szCs w:val="20"/>
              </w:rPr>
            </w:pPr>
            <w:r>
              <w:rPr>
                <w:b/>
                <w:sz w:val="20"/>
                <w:szCs w:val="20"/>
              </w:rPr>
              <w:t>67</w:t>
            </w:r>
            <w:r w:rsidR="002B329D">
              <w:rPr>
                <w:b/>
                <w:sz w:val="20"/>
                <w:szCs w:val="20"/>
              </w:rPr>
              <w:t>5.51</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4153BB" w:rsidRDefault="001361EF" w:rsidP="00FB1ACC">
            <w:pPr>
              <w:widowControl/>
              <w:autoSpaceDE/>
              <w:autoSpaceDN/>
              <w:adjustRightInd/>
              <w:jc w:val="right"/>
              <w:rPr>
                <w:b/>
                <w:sz w:val="20"/>
                <w:szCs w:val="20"/>
              </w:rPr>
            </w:pPr>
            <w:r>
              <w:rPr>
                <w:b/>
                <w:sz w:val="20"/>
                <w:szCs w:val="20"/>
              </w:rPr>
              <w:t>$</w:t>
            </w:r>
            <w:r w:rsidR="004153BB">
              <w:rPr>
                <w:b/>
                <w:sz w:val="20"/>
                <w:szCs w:val="20"/>
              </w:rPr>
              <w:t>77,909</w:t>
            </w:r>
            <w:r w:rsidR="00407DE4">
              <w:rPr>
                <w:b/>
                <w:sz w:val="20"/>
                <w:szCs w:val="20"/>
              </w:rPr>
              <w:t>.19</w:t>
            </w:r>
          </w:p>
        </w:tc>
      </w:tr>
      <w:tr w:rsidR="00E10159" w:rsidRPr="00D026C5" w:rsidTr="001361EF">
        <w:trPr>
          <w:trHeight w:val="25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b/>
                <w:bCs/>
                <w:sz w:val="20"/>
                <w:szCs w:val="20"/>
              </w:rPr>
              <w:t>4. Recordkeeping Requirements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A. Read Instructions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867917" w:rsidP="00FB1ACC">
            <w:pPr>
              <w:widowControl/>
              <w:autoSpaceDE/>
              <w:autoSpaceDN/>
              <w:adjustRightInd/>
              <w:jc w:val="center"/>
              <w:rPr>
                <w:sz w:val="20"/>
                <w:szCs w:val="20"/>
              </w:rPr>
            </w:pPr>
            <w:r>
              <w:rPr>
                <w:sz w:val="20"/>
                <w:szCs w:val="20"/>
              </w:rPr>
              <w:t>See</w:t>
            </w:r>
            <w:r w:rsidR="00396A52" w:rsidRPr="00396A52">
              <w:rPr>
                <w:sz w:val="20"/>
                <w:szCs w:val="20"/>
              </w:rPr>
              <w:t xml:space="preserve"> 3A</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B. Plan Activities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867917" w:rsidP="00FB1ACC">
            <w:pPr>
              <w:widowControl/>
              <w:autoSpaceDE/>
              <w:autoSpaceDN/>
              <w:adjustRightInd/>
              <w:jc w:val="center"/>
              <w:rPr>
                <w:sz w:val="20"/>
                <w:szCs w:val="20"/>
              </w:rPr>
            </w:pPr>
            <w:r>
              <w:rPr>
                <w:sz w:val="20"/>
                <w:szCs w:val="20"/>
              </w:rPr>
              <w:t>See</w:t>
            </w:r>
            <w:r w:rsidR="00396A52" w:rsidRPr="00396A52">
              <w:rPr>
                <w:sz w:val="20"/>
                <w:szCs w:val="20"/>
              </w:rPr>
              <w:t xml:space="preserve"> 3B</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C. Implement Activities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9F2351" w:rsidP="00FB1ACC">
            <w:pPr>
              <w:widowControl/>
              <w:autoSpaceDE/>
              <w:autoSpaceDN/>
              <w:adjustRightInd/>
              <w:jc w:val="center"/>
              <w:rPr>
                <w:sz w:val="20"/>
                <w:szCs w:val="20"/>
              </w:rPr>
            </w:pPr>
            <w:r>
              <w:rPr>
                <w:sz w:val="20"/>
                <w:szCs w:val="20"/>
              </w:rPr>
              <w:t xml:space="preserve">See </w:t>
            </w:r>
            <w:r w:rsidR="00396A52" w:rsidRPr="00396A52">
              <w:rPr>
                <w:sz w:val="20"/>
                <w:szCs w:val="20"/>
              </w:rPr>
              <w:t>3B</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D. Time to Enter Information</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196" w:type="dxa"/>
            <w:tcBorders>
              <w:top w:val="nil"/>
              <w:left w:val="nil"/>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461"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1361EF">
            <w:pPr>
              <w:widowControl/>
              <w:autoSpaceDE/>
              <w:autoSpaceDN/>
              <w:adjustRightInd/>
              <w:rPr>
                <w:sz w:val="20"/>
                <w:szCs w:val="20"/>
              </w:rPr>
            </w:pPr>
            <w:r w:rsidRPr="00396A52">
              <w:rPr>
                <w:sz w:val="20"/>
                <w:szCs w:val="20"/>
              </w:rPr>
              <w:t xml:space="preserve">Records of </w:t>
            </w:r>
            <w:r w:rsidR="001361EF">
              <w:rPr>
                <w:sz w:val="20"/>
                <w:szCs w:val="20"/>
              </w:rPr>
              <w:t>o</w:t>
            </w:r>
            <w:r w:rsidRPr="00396A52">
              <w:rPr>
                <w:sz w:val="20"/>
                <w:szCs w:val="20"/>
              </w:rPr>
              <w:t xml:space="preserve">perating </w:t>
            </w:r>
            <w:r w:rsidR="001361EF">
              <w:rPr>
                <w:sz w:val="20"/>
                <w:szCs w:val="20"/>
              </w:rPr>
              <w:t>p</w:t>
            </w:r>
            <w:r w:rsidRPr="00396A52">
              <w:rPr>
                <w:sz w:val="20"/>
                <w:szCs w:val="20"/>
              </w:rPr>
              <w:t>arameters</w:t>
            </w:r>
            <w:r w:rsidR="00960C0E">
              <w:rPr>
                <w:sz w:val="20"/>
                <w:szCs w:val="20"/>
              </w:rPr>
              <w:t xml:space="preserve"> </w:t>
            </w:r>
            <w:r w:rsidRPr="00396A52">
              <w:rPr>
                <w:sz w:val="20"/>
                <w:szCs w:val="20"/>
                <w:vertAlign w:val="superscript"/>
              </w:rPr>
              <w:t>j</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0.5</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12</w:t>
            </w: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6</w:t>
            </w: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Pr>
                <w:sz w:val="20"/>
                <w:szCs w:val="20"/>
              </w:rPr>
              <w:t>96</w:t>
            </w: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576</w:t>
            </w: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28.8</w:t>
            </w: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57.6</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1361EF" w:rsidP="00FB1ACC">
            <w:pPr>
              <w:widowControl/>
              <w:autoSpaceDE/>
              <w:autoSpaceDN/>
              <w:adjustRightInd/>
              <w:jc w:val="right"/>
              <w:rPr>
                <w:sz w:val="20"/>
                <w:szCs w:val="20"/>
              </w:rPr>
            </w:pPr>
            <w:r>
              <w:rPr>
                <w:sz w:val="20"/>
                <w:szCs w:val="20"/>
              </w:rPr>
              <w:t>$</w:t>
            </w:r>
            <w:r w:rsidR="00396A52" w:rsidRPr="00396A52">
              <w:rPr>
                <w:sz w:val="20"/>
                <w:szCs w:val="20"/>
              </w:rPr>
              <w:t xml:space="preserve">76,397.18 </w:t>
            </w: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F. Train Personnel</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N/A</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D026C5" w:rsidTr="001361EF">
        <w:trPr>
          <w:trHeight w:val="259"/>
          <w:jc w:val="center"/>
        </w:trPr>
        <w:tc>
          <w:tcPr>
            <w:tcW w:w="136" w:type="dxa"/>
            <w:tcBorders>
              <w:top w:val="nil"/>
              <w:left w:val="single" w:sz="4" w:space="0" w:color="auto"/>
              <w:bottom w:val="single" w:sz="4" w:space="0" w:color="auto"/>
              <w:right w:val="nil"/>
            </w:tcBorders>
            <w:shd w:val="clear" w:color="auto" w:fill="auto"/>
            <w:noWrap/>
            <w:vAlign w:val="bottom"/>
            <w:hideMark/>
          </w:tcPr>
          <w:p w:rsidR="00E10159" w:rsidRPr="00D026C5" w:rsidRDefault="00E10159" w:rsidP="00FB1ACC">
            <w:pPr>
              <w:widowControl/>
              <w:autoSpaceDE/>
              <w:autoSpaceDN/>
              <w:adjustRightInd/>
              <w:rPr>
                <w:sz w:val="20"/>
                <w:szCs w:val="20"/>
              </w:rPr>
            </w:pPr>
          </w:p>
        </w:tc>
        <w:tc>
          <w:tcPr>
            <w:tcW w:w="3657" w:type="dxa"/>
            <w:gridSpan w:val="2"/>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rPr>
                <w:sz w:val="20"/>
                <w:szCs w:val="20"/>
              </w:rPr>
            </w:pPr>
            <w:r w:rsidRPr="00396A52">
              <w:rPr>
                <w:sz w:val="20"/>
                <w:szCs w:val="20"/>
              </w:rPr>
              <w:t>G. Audits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D026C5" w:rsidRDefault="00396A52" w:rsidP="00FB1ACC">
            <w:pPr>
              <w:widowControl/>
              <w:autoSpaceDE/>
              <w:autoSpaceDN/>
              <w:adjustRightInd/>
              <w:jc w:val="center"/>
              <w:rPr>
                <w:sz w:val="20"/>
                <w:szCs w:val="20"/>
              </w:rPr>
            </w:pPr>
            <w:r w:rsidRPr="00396A52">
              <w:rPr>
                <w:sz w:val="20"/>
                <w:szCs w:val="20"/>
              </w:rPr>
              <w:t>N/A</w:t>
            </w: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024"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92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center"/>
              <w:rPr>
                <w:sz w:val="20"/>
                <w:szCs w:val="20"/>
              </w:rPr>
            </w:pP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D026C5" w:rsidRDefault="00E10159" w:rsidP="00FB1ACC">
            <w:pPr>
              <w:widowControl/>
              <w:autoSpaceDE/>
              <w:autoSpaceDN/>
              <w:adjustRightInd/>
              <w:jc w:val="right"/>
              <w:rPr>
                <w:sz w:val="20"/>
                <w:szCs w:val="20"/>
              </w:rPr>
            </w:pPr>
          </w:p>
        </w:tc>
      </w:tr>
      <w:tr w:rsidR="00E10159" w:rsidRPr="004153BB" w:rsidTr="001361EF">
        <w:trPr>
          <w:trHeight w:val="269"/>
          <w:jc w:val="center"/>
        </w:trPr>
        <w:tc>
          <w:tcPr>
            <w:tcW w:w="3793" w:type="dxa"/>
            <w:gridSpan w:val="3"/>
            <w:tcBorders>
              <w:top w:val="nil"/>
              <w:left w:val="single" w:sz="4" w:space="0" w:color="auto"/>
              <w:bottom w:val="single" w:sz="4" w:space="0" w:color="auto"/>
              <w:right w:val="single" w:sz="4" w:space="0" w:color="auto"/>
            </w:tcBorders>
            <w:shd w:val="clear" w:color="auto" w:fill="auto"/>
            <w:noWrap/>
            <w:vAlign w:val="bottom"/>
            <w:hideMark/>
          </w:tcPr>
          <w:p w:rsidR="00E10159" w:rsidRPr="004153BB" w:rsidRDefault="001361EF" w:rsidP="00FB1ACC">
            <w:pPr>
              <w:widowControl/>
              <w:autoSpaceDE/>
              <w:autoSpaceDN/>
              <w:adjustRightInd/>
              <w:rPr>
                <w:b/>
                <w:sz w:val="20"/>
                <w:szCs w:val="20"/>
              </w:rPr>
            </w:pPr>
            <w:r>
              <w:rPr>
                <w:b/>
                <w:i/>
                <w:iCs/>
                <w:sz w:val="20"/>
                <w:szCs w:val="20"/>
              </w:rPr>
              <w:t>Subtotal for Recordkeeping Requirements</w:t>
            </w:r>
          </w:p>
        </w:tc>
        <w:tc>
          <w:tcPr>
            <w:tcW w:w="1157"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425"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448"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1242" w:type="dxa"/>
            <w:tcBorders>
              <w:top w:val="nil"/>
              <w:left w:val="nil"/>
              <w:bottom w:val="single" w:sz="4" w:space="0" w:color="auto"/>
              <w:right w:val="single" w:sz="4" w:space="0" w:color="auto"/>
            </w:tcBorders>
            <w:shd w:val="clear" w:color="auto" w:fill="auto"/>
            <w:noWrap/>
            <w:vAlign w:val="bottom"/>
            <w:hideMark/>
          </w:tcPr>
          <w:p w:rsidR="00E10159" w:rsidRPr="004153BB" w:rsidRDefault="00E10159" w:rsidP="00FB1ACC">
            <w:pPr>
              <w:widowControl/>
              <w:autoSpaceDE/>
              <w:autoSpaceDN/>
              <w:adjustRightInd/>
              <w:jc w:val="center"/>
              <w:rPr>
                <w:b/>
                <w:sz w:val="20"/>
                <w:szCs w:val="20"/>
              </w:rPr>
            </w:pPr>
          </w:p>
        </w:tc>
        <w:tc>
          <w:tcPr>
            <w:tcW w:w="319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10159" w:rsidRPr="004153BB" w:rsidRDefault="00396A52" w:rsidP="00FB1ACC">
            <w:pPr>
              <w:widowControl/>
              <w:autoSpaceDE/>
              <w:autoSpaceDN/>
              <w:adjustRightInd/>
              <w:jc w:val="center"/>
              <w:rPr>
                <w:b/>
                <w:sz w:val="20"/>
                <w:szCs w:val="20"/>
              </w:rPr>
            </w:pPr>
            <w:r w:rsidRPr="004153BB">
              <w:rPr>
                <w:b/>
                <w:sz w:val="20"/>
                <w:szCs w:val="20"/>
              </w:rPr>
              <w:t>662</w:t>
            </w:r>
            <w:r w:rsidR="002B329D">
              <w:rPr>
                <w:b/>
                <w:sz w:val="20"/>
                <w:szCs w:val="20"/>
              </w:rPr>
              <w:t>.4</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4153BB" w:rsidRDefault="001361EF" w:rsidP="00FB1ACC">
            <w:pPr>
              <w:widowControl/>
              <w:autoSpaceDE/>
              <w:autoSpaceDN/>
              <w:adjustRightInd/>
              <w:jc w:val="right"/>
              <w:rPr>
                <w:b/>
                <w:sz w:val="20"/>
                <w:szCs w:val="20"/>
              </w:rPr>
            </w:pPr>
            <w:r>
              <w:rPr>
                <w:b/>
                <w:sz w:val="20"/>
                <w:szCs w:val="20"/>
              </w:rPr>
              <w:t>$</w:t>
            </w:r>
            <w:r w:rsidR="00396A52" w:rsidRPr="004153BB">
              <w:rPr>
                <w:b/>
                <w:sz w:val="20"/>
                <w:szCs w:val="20"/>
              </w:rPr>
              <w:t>76,397</w:t>
            </w:r>
            <w:r w:rsidR="00407DE4">
              <w:rPr>
                <w:b/>
                <w:sz w:val="20"/>
                <w:szCs w:val="20"/>
              </w:rPr>
              <w:t>.18</w:t>
            </w:r>
            <w:r w:rsidR="00396A52" w:rsidRPr="004153BB">
              <w:rPr>
                <w:b/>
                <w:sz w:val="20"/>
                <w:szCs w:val="20"/>
              </w:rPr>
              <w:t xml:space="preserve"> </w:t>
            </w:r>
          </w:p>
        </w:tc>
      </w:tr>
      <w:tr w:rsidR="00E10159" w:rsidRPr="004153BB" w:rsidTr="006B6E4D">
        <w:trPr>
          <w:trHeight w:val="359"/>
          <w:jc w:val="center"/>
        </w:trPr>
        <w:tc>
          <w:tcPr>
            <w:tcW w:w="906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0159" w:rsidRPr="004153BB" w:rsidRDefault="00396A52" w:rsidP="00FB1ACC">
            <w:pPr>
              <w:widowControl/>
              <w:autoSpaceDE/>
              <w:autoSpaceDN/>
              <w:adjustRightInd/>
              <w:rPr>
                <w:b/>
                <w:bCs/>
                <w:sz w:val="20"/>
                <w:szCs w:val="20"/>
              </w:rPr>
            </w:pPr>
            <w:r w:rsidRPr="004153BB">
              <w:rPr>
                <w:b/>
                <w:bCs/>
                <w:sz w:val="20"/>
                <w:szCs w:val="20"/>
              </w:rPr>
              <w:t>TOTAN ANNUAL BURDEN AND COST</w:t>
            </w:r>
            <w:r w:rsidR="002B329D">
              <w:rPr>
                <w:b/>
                <w:bCs/>
                <w:sz w:val="20"/>
                <w:szCs w:val="20"/>
              </w:rPr>
              <w:t xml:space="preserve"> (rounded)</w:t>
            </w:r>
          </w:p>
        </w:tc>
        <w:tc>
          <w:tcPr>
            <w:tcW w:w="319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10159" w:rsidRPr="004153BB" w:rsidRDefault="00396A52" w:rsidP="004153BB">
            <w:pPr>
              <w:widowControl/>
              <w:autoSpaceDE/>
              <w:autoSpaceDN/>
              <w:adjustRightInd/>
              <w:jc w:val="center"/>
              <w:rPr>
                <w:b/>
                <w:sz w:val="20"/>
                <w:szCs w:val="20"/>
              </w:rPr>
            </w:pPr>
            <w:r w:rsidRPr="004153BB">
              <w:rPr>
                <w:b/>
                <w:sz w:val="20"/>
                <w:szCs w:val="20"/>
              </w:rPr>
              <w:t>1,3</w:t>
            </w:r>
            <w:r w:rsidR="004153BB" w:rsidRPr="004153BB">
              <w:rPr>
                <w:b/>
                <w:sz w:val="20"/>
                <w:szCs w:val="20"/>
              </w:rPr>
              <w:t>38</w:t>
            </w:r>
          </w:p>
        </w:tc>
        <w:tc>
          <w:tcPr>
            <w:tcW w:w="1179" w:type="dxa"/>
            <w:tcBorders>
              <w:top w:val="nil"/>
              <w:left w:val="nil"/>
              <w:bottom w:val="single" w:sz="4" w:space="0" w:color="auto"/>
              <w:right w:val="single" w:sz="4" w:space="0" w:color="auto"/>
            </w:tcBorders>
            <w:shd w:val="clear" w:color="auto" w:fill="auto"/>
            <w:noWrap/>
            <w:vAlign w:val="bottom"/>
            <w:hideMark/>
          </w:tcPr>
          <w:p w:rsidR="00E10159" w:rsidRPr="004153BB" w:rsidRDefault="001361EF" w:rsidP="00FB1ACC">
            <w:pPr>
              <w:widowControl/>
              <w:autoSpaceDE/>
              <w:autoSpaceDN/>
              <w:adjustRightInd/>
              <w:jc w:val="right"/>
              <w:rPr>
                <w:b/>
                <w:sz w:val="20"/>
                <w:szCs w:val="20"/>
              </w:rPr>
            </w:pPr>
            <w:r>
              <w:rPr>
                <w:b/>
                <w:sz w:val="20"/>
                <w:szCs w:val="20"/>
              </w:rPr>
              <w:t>$</w:t>
            </w:r>
            <w:r w:rsidR="004153BB" w:rsidRPr="004153BB">
              <w:rPr>
                <w:b/>
                <w:sz w:val="20"/>
                <w:szCs w:val="20"/>
              </w:rPr>
              <w:t>154,306</w:t>
            </w:r>
          </w:p>
        </w:tc>
      </w:tr>
    </w:tbl>
    <w:p w:rsidR="00A7661C" w:rsidRPr="00D026C5" w:rsidRDefault="00A7661C" w:rsidP="00A7661C"/>
    <w:p w:rsidR="00CF2565" w:rsidRPr="00D026C5" w:rsidRDefault="00396A52" w:rsidP="00CF2565">
      <w:pPr>
        <w:rPr>
          <w:bCs/>
          <w:sz w:val="20"/>
          <w:szCs w:val="20"/>
        </w:rPr>
      </w:pPr>
      <w:r>
        <w:rPr>
          <w:bCs/>
          <w:sz w:val="20"/>
          <w:szCs w:val="20"/>
        </w:rPr>
        <w:t>Assumptions:</w:t>
      </w:r>
    </w:p>
    <w:p w:rsidR="00CF2565" w:rsidRPr="00D026C5" w:rsidRDefault="00396A52" w:rsidP="00CF2565">
      <w:pPr>
        <w:ind w:left="270" w:hanging="270"/>
        <w:rPr>
          <w:bCs/>
          <w:sz w:val="20"/>
          <w:szCs w:val="20"/>
        </w:rPr>
      </w:pPr>
      <w:proofErr w:type="gramStart"/>
      <w:r w:rsidRPr="008255FF">
        <w:rPr>
          <w:bCs/>
          <w:sz w:val="20"/>
          <w:szCs w:val="20"/>
          <w:vertAlign w:val="superscript"/>
        </w:rPr>
        <w:t>a.</w:t>
      </w:r>
      <w:r>
        <w:rPr>
          <w:bCs/>
          <w:sz w:val="20"/>
          <w:szCs w:val="20"/>
        </w:rPr>
        <w:t xml:space="preserve">  We</w:t>
      </w:r>
      <w:proofErr w:type="gramEnd"/>
      <w:r>
        <w:rPr>
          <w:bCs/>
          <w:sz w:val="20"/>
          <w:szCs w:val="20"/>
        </w:rPr>
        <w:t xml:space="preserve"> estimate 8.7 new sources, comprising 6 gas-fired, 0.3 landfill/digester gas-fired, and 2.4 oil-fired stationary combustion turbines, will become subject to the rule over the three-year period of this ICR. We also estimate 96 existing sources are subject, comprising 66.2 gas-fired, 2.9 landfill/digester gas-fired, and 26.9 oil-fired stationary combustion turbines.  Note that due to the ongoing stay, existing gas-fired sources that have previously submitted initial notifications are not subject to any additional monitoring or reporting requirements.</w:t>
      </w:r>
    </w:p>
    <w:p w:rsidR="00CF2565" w:rsidRPr="00D026C5" w:rsidRDefault="00396A52" w:rsidP="00CF2565">
      <w:pPr>
        <w:ind w:left="270" w:hanging="270"/>
        <w:rPr>
          <w:bCs/>
          <w:sz w:val="20"/>
          <w:szCs w:val="20"/>
        </w:rPr>
      </w:pPr>
      <w:proofErr w:type="gramStart"/>
      <w:r w:rsidRPr="008255FF">
        <w:rPr>
          <w:bCs/>
          <w:sz w:val="20"/>
          <w:szCs w:val="20"/>
          <w:vertAlign w:val="superscript"/>
        </w:rPr>
        <w:t>b.</w:t>
      </w:r>
      <w:r>
        <w:rPr>
          <w:bCs/>
          <w:sz w:val="20"/>
          <w:szCs w:val="20"/>
        </w:rPr>
        <w:t xml:space="preserve">  This</w:t>
      </w:r>
      <w:proofErr w:type="gramEnd"/>
      <w:r>
        <w:rPr>
          <w:bCs/>
          <w:sz w:val="20"/>
          <w:szCs w:val="20"/>
        </w:rPr>
        <w:t xml:space="preserve"> ICR uses the following labor rates: $101.28 for technical, $122.49 for managerial, and $50.80 for clerical labor.  These rates are from the United States Department of Labor, Bureau of Labor Statistics, September 2012, “Table 2. </w:t>
      </w:r>
      <w:proofErr w:type="gramStart"/>
      <w:r>
        <w:rPr>
          <w:bCs/>
          <w:sz w:val="20"/>
          <w:szCs w:val="20"/>
        </w:rPr>
        <w:t>Civilian Workers, by occupational and industry group.”</w:t>
      </w:r>
      <w:proofErr w:type="gramEnd"/>
      <w:r>
        <w:rPr>
          <w:bCs/>
          <w:sz w:val="20"/>
          <w:szCs w:val="20"/>
        </w:rPr>
        <w:t xml:space="preserve">  The rates are from column 1, “Total compensation.”  The rates have been increased by 110 percent to account for the benefit packages available to private industry employees.</w:t>
      </w:r>
    </w:p>
    <w:p w:rsidR="00CF2565" w:rsidRPr="00D026C5" w:rsidRDefault="00396A52" w:rsidP="00CF2565">
      <w:pPr>
        <w:ind w:left="270" w:hanging="270"/>
        <w:rPr>
          <w:bCs/>
          <w:sz w:val="20"/>
          <w:szCs w:val="20"/>
        </w:rPr>
      </w:pPr>
      <w:proofErr w:type="gramStart"/>
      <w:r w:rsidRPr="008255FF">
        <w:rPr>
          <w:bCs/>
          <w:sz w:val="20"/>
          <w:szCs w:val="20"/>
          <w:vertAlign w:val="superscript"/>
        </w:rPr>
        <w:t>c.</w:t>
      </w:r>
      <w:r>
        <w:rPr>
          <w:bCs/>
          <w:sz w:val="20"/>
          <w:szCs w:val="20"/>
        </w:rPr>
        <w:t xml:space="preserve">  We</w:t>
      </w:r>
      <w:proofErr w:type="gramEnd"/>
      <w:r>
        <w:rPr>
          <w:bCs/>
          <w:sz w:val="20"/>
          <w:szCs w:val="20"/>
        </w:rPr>
        <w:t xml:space="preserve"> assume four hours are required to read instructions.  This activity applies to new sources in all subcategories (i.e., 8.7 new sources comprising 6 gas-fired, 2.4 </w:t>
      </w:r>
      <w:proofErr w:type="gramStart"/>
      <w:r>
        <w:rPr>
          <w:bCs/>
          <w:sz w:val="20"/>
          <w:szCs w:val="20"/>
        </w:rPr>
        <w:t>oil-fired,</w:t>
      </w:r>
      <w:proofErr w:type="gramEnd"/>
      <w:r>
        <w:rPr>
          <w:bCs/>
          <w:sz w:val="20"/>
          <w:szCs w:val="20"/>
        </w:rPr>
        <w:t xml:space="preserve"> and 0.3 landfill/digester gas-fired turbines).</w:t>
      </w:r>
    </w:p>
    <w:p w:rsidR="00CF2565" w:rsidRPr="00D026C5" w:rsidRDefault="00396A52" w:rsidP="00CF2565">
      <w:pPr>
        <w:ind w:left="270" w:hanging="270"/>
        <w:rPr>
          <w:bCs/>
          <w:sz w:val="20"/>
          <w:szCs w:val="20"/>
        </w:rPr>
      </w:pPr>
      <w:proofErr w:type="gramStart"/>
      <w:r w:rsidRPr="008255FF">
        <w:rPr>
          <w:bCs/>
          <w:sz w:val="20"/>
          <w:szCs w:val="20"/>
          <w:vertAlign w:val="superscript"/>
        </w:rPr>
        <w:t>d.</w:t>
      </w:r>
      <w:r>
        <w:rPr>
          <w:bCs/>
          <w:sz w:val="20"/>
          <w:szCs w:val="20"/>
        </w:rPr>
        <w:t xml:space="preserve">  We</w:t>
      </w:r>
      <w:proofErr w:type="gramEnd"/>
      <w:r>
        <w:rPr>
          <w:bCs/>
          <w:sz w:val="20"/>
          <w:szCs w:val="20"/>
        </w:rPr>
        <w:t xml:space="preserve"> assume 12 hours are required to complete the CMS performance evaluation.  This activity only applies to new sources in the oil-fired turbine subcategories (i.e., 2.4 oil-fired turbines).</w:t>
      </w:r>
    </w:p>
    <w:p w:rsidR="00CF2565" w:rsidRPr="00D026C5" w:rsidRDefault="00396A52" w:rsidP="00CF2565">
      <w:pPr>
        <w:ind w:left="270" w:hanging="270"/>
        <w:rPr>
          <w:bCs/>
          <w:sz w:val="20"/>
          <w:szCs w:val="20"/>
        </w:rPr>
      </w:pPr>
      <w:proofErr w:type="gramStart"/>
      <w:r w:rsidRPr="008255FF">
        <w:rPr>
          <w:bCs/>
          <w:sz w:val="20"/>
          <w:szCs w:val="20"/>
          <w:vertAlign w:val="superscript"/>
        </w:rPr>
        <w:t>e.</w:t>
      </w:r>
      <w:r>
        <w:rPr>
          <w:bCs/>
          <w:sz w:val="20"/>
          <w:szCs w:val="20"/>
        </w:rPr>
        <w:t xml:space="preserve">  We</w:t>
      </w:r>
      <w:proofErr w:type="gramEnd"/>
      <w:r>
        <w:rPr>
          <w:bCs/>
          <w:sz w:val="20"/>
          <w:szCs w:val="20"/>
        </w:rPr>
        <w:t xml:space="preserve"> assume 12 hours are required to complete the performance test.  This activity only applies to new sources in the oil-fired turbine subcategories (i.e., 2.4 oil-fired turbines).</w:t>
      </w:r>
    </w:p>
    <w:p w:rsidR="00CF2565" w:rsidRPr="00D026C5" w:rsidRDefault="00396A52" w:rsidP="00CF2565">
      <w:pPr>
        <w:ind w:left="270" w:hanging="270"/>
        <w:rPr>
          <w:bCs/>
          <w:sz w:val="20"/>
          <w:szCs w:val="20"/>
        </w:rPr>
      </w:pPr>
      <w:proofErr w:type="gramStart"/>
      <w:r w:rsidRPr="008255FF">
        <w:rPr>
          <w:bCs/>
          <w:sz w:val="20"/>
          <w:szCs w:val="20"/>
          <w:vertAlign w:val="superscript"/>
        </w:rPr>
        <w:t>f.</w:t>
      </w:r>
      <w:r>
        <w:rPr>
          <w:bCs/>
          <w:sz w:val="20"/>
          <w:szCs w:val="20"/>
        </w:rPr>
        <w:t xml:space="preserve">  We</w:t>
      </w:r>
      <w:proofErr w:type="gramEnd"/>
      <w:r>
        <w:rPr>
          <w:bCs/>
          <w:sz w:val="20"/>
          <w:szCs w:val="20"/>
        </w:rPr>
        <w:t xml:space="preserve"> assume two hours are required to prepare each notification.  This activity applies to new sources in all subcategories (i.e., 8.7 new sources comprising 6 gas-fired, 2.4 </w:t>
      </w:r>
      <w:proofErr w:type="gramStart"/>
      <w:r>
        <w:rPr>
          <w:bCs/>
          <w:sz w:val="20"/>
          <w:szCs w:val="20"/>
        </w:rPr>
        <w:t>oil-fired,</w:t>
      </w:r>
      <w:proofErr w:type="gramEnd"/>
      <w:r>
        <w:rPr>
          <w:bCs/>
          <w:sz w:val="20"/>
          <w:szCs w:val="20"/>
        </w:rPr>
        <w:t xml:space="preserve"> and 0.3 landfill/digester gas-fired turbines).</w:t>
      </w:r>
    </w:p>
    <w:p w:rsidR="00CF2565" w:rsidRPr="00D026C5" w:rsidRDefault="00396A52" w:rsidP="00CF2565">
      <w:pPr>
        <w:ind w:left="270" w:hanging="270"/>
        <w:rPr>
          <w:bCs/>
          <w:sz w:val="20"/>
          <w:szCs w:val="20"/>
        </w:rPr>
      </w:pPr>
      <w:proofErr w:type="gramStart"/>
      <w:r w:rsidRPr="008255FF">
        <w:rPr>
          <w:bCs/>
          <w:sz w:val="20"/>
          <w:szCs w:val="20"/>
          <w:vertAlign w:val="superscript"/>
        </w:rPr>
        <w:t>g.</w:t>
      </w:r>
      <w:r>
        <w:rPr>
          <w:bCs/>
          <w:sz w:val="20"/>
          <w:szCs w:val="20"/>
        </w:rPr>
        <w:t xml:space="preserve">  We</w:t>
      </w:r>
      <w:proofErr w:type="gramEnd"/>
      <w:r>
        <w:rPr>
          <w:bCs/>
          <w:sz w:val="20"/>
          <w:szCs w:val="20"/>
        </w:rPr>
        <w:t xml:space="preserve"> assume two hours are required to prepare each notification.  These activities only apply to new sources in the oil-fired turbine subcategories (i.e., 2.4 oil-fired turbines).</w:t>
      </w:r>
    </w:p>
    <w:p w:rsidR="00CF2565" w:rsidRPr="00D026C5" w:rsidRDefault="00396A52" w:rsidP="00CF2565">
      <w:pPr>
        <w:ind w:left="270" w:hanging="270"/>
        <w:rPr>
          <w:bCs/>
          <w:sz w:val="20"/>
          <w:szCs w:val="20"/>
        </w:rPr>
      </w:pPr>
      <w:proofErr w:type="gramStart"/>
      <w:r w:rsidRPr="008255FF">
        <w:rPr>
          <w:bCs/>
          <w:sz w:val="20"/>
          <w:szCs w:val="20"/>
          <w:vertAlign w:val="superscript"/>
        </w:rPr>
        <w:t>h.</w:t>
      </w:r>
      <w:r>
        <w:rPr>
          <w:bCs/>
          <w:sz w:val="20"/>
          <w:szCs w:val="20"/>
        </w:rPr>
        <w:t xml:space="preserve">  We</w:t>
      </w:r>
      <w:proofErr w:type="gramEnd"/>
      <w:r>
        <w:rPr>
          <w:bCs/>
          <w:sz w:val="20"/>
          <w:szCs w:val="20"/>
        </w:rPr>
        <w:t xml:space="preserve"> assume eight hours are required to prepare annual compliance reports.  This activity only applies to existing sources in the landfill/digester gas-fired turbine subcategory (2.9 existing sources).</w:t>
      </w:r>
    </w:p>
    <w:p w:rsidR="00CF2565" w:rsidRPr="00D026C5" w:rsidRDefault="00396A52" w:rsidP="00CF2565">
      <w:pPr>
        <w:ind w:left="270" w:hanging="270"/>
        <w:rPr>
          <w:bCs/>
          <w:sz w:val="20"/>
          <w:szCs w:val="20"/>
        </w:rPr>
      </w:pPr>
      <w:proofErr w:type="spellStart"/>
      <w:proofErr w:type="gramStart"/>
      <w:r w:rsidRPr="008255FF">
        <w:rPr>
          <w:bCs/>
          <w:sz w:val="20"/>
          <w:szCs w:val="20"/>
          <w:vertAlign w:val="superscript"/>
        </w:rPr>
        <w:t>i</w:t>
      </w:r>
      <w:proofErr w:type="spellEnd"/>
      <w:r w:rsidRPr="008255FF">
        <w:rPr>
          <w:bCs/>
          <w:sz w:val="20"/>
          <w:szCs w:val="20"/>
          <w:vertAlign w:val="superscript"/>
        </w:rPr>
        <w:t>.</w:t>
      </w:r>
      <w:r>
        <w:rPr>
          <w:bCs/>
          <w:sz w:val="20"/>
          <w:szCs w:val="20"/>
        </w:rPr>
        <w:t xml:space="preserve">  We</w:t>
      </w:r>
      <w:proofErr w:type="gramEnd"/>
      <w:r>
        <w:rPr>
          <w:bCs/>
          <w:sz w:val="20"/>
          <w:szCs w:val="20"/>
        </w:rPr>
        <w:t xml:space="preserve"> assume eight hours are required to prepare semiannual compliance reports.  This activity only applies to existing sources in the oil-fired turbine subcategories (26.9 existing sources).</w:t>
      </w:r>
    </w:p>
    <w:p w:rsidR="00CF2565" w:rsidRPr="00D026C5" w:rsidRDefault="00396A52" w:rsidP="00CF2565">
      <w:pPr>
        <w:ind w:left="270" w:hanging="270"/>
        <w:rPr>
          <w:bCs/>
          <w:sz w:val="20"/>
          <w:szCs w:val="20"/>
        </w:rPr>
      </w:pPr>
      <w:proofErr w:type="gramStart"/>
      <w:r w:rsidRPr="008255FF">
        <w:rPr>
          <w:bCs/>
          <w:sz w:val="20"/>
          <w:szCs w:val="20"/>
          <w:vertAlign w:val="superscript"/>
        </w:rPr>
        <w:lastRenderedPageBreak/>
        <w:t>j.</w:t>
      </w:r>
      <w:r>
        <w:rPr>
          <w:bCs/>
          <w:sz w:val="20"/>
          <w:szCs w:val="20"/>
        </w:rPr>
        <w:t xml:space="preserve">  We</w:t>
      </w:r>
      <w:proofErr w:type="gramEnd"/>
      <w:r>
        <w:rPr>
          <w:bCs/>
          <w:sz w:val="20"/>
          <w:szCs w:val="20"/>
        </w:rPr>
        <w:t xml:space="preserve"> assume one half-hour is required to record operating parameters.  This activity applies to existing sources in all subcategories (i.e., 96 existing sources comprising 26.9 oil-fired, 66.2 </w:t>
      </w:r>
      <w:proofErr w:type="gramStart"/>
      <w:r>
        <w:rPr>
          <w:bCs/>
          <w:sz w:val="20"/>
          <w:szCs w:val="20"/>
        </w:rPr>
        <w:t>gas-fired,</w:t>
      </w:r>
      <w:proofErr w:type="gramEnd"/>
      <w:r>
        <w:rPr>
          <w:bCs/>
          <w:sz w:val="20"/>
          <w:szCs w:val="20"/>
        </w:rPr>
        <w:t xml:space="preserve"> and 2.9 landfill/digester gas-fired turbines).</w:t>
      </w:r>
    </w:p>
    <w:p w:rsidR="00CC5432" w:rsidRDefault="00396A52" w:rsidP="00CF2565">
      <w:pPr>
        <w:jc w:val="center"/>
        <w:rPr>
          <w:b/>
          <w:bCs/>
        </w:rPr>
      </w:pPr>
      <w:r>
        <w:rPr>
          <w:bCs/>
        </w:rPr>
        <w:br w:type="page"/>
      </w:r>
      <w:r>
        <w:rPr>
          <w:b/>
          <w:bCs/>
        </w:rPr>
        <w:lastRenderedPageBreak/>
        <w:t xml:space="preserve">Table 2: Average Annual EPA Burden and Cost – NESHAP for Stationary Combustion Turbines (40 CFR </w:t>
      </w:r>
      <w:proofErr w:type="gramStart"/>
      <w:r>
        <w:rPr>
          <w:b/>
          <w:bCs/>
        </w:rPr>
        <w:t>Part</w:t>
      </w:r>
      <w:proofErr w:type="gramEnd"/>
      <w:r>
        <w:rPr>
          <w:b/>
          <w:bCs/>
        </w:rPr>
        <w:t xml:space="preserve"> 63, Subpart</w:t>
      </w:r>
    </w:p>
    <w:p w:rsidR="00144F35" w:rsidRPr="00D026C5" w:rsidRDefault="00CC5432" w:rsidP="00CC5432">
      <w:pPr>
        <w:rPr>
          <w:b/>
          <w:bCs/>
        </w:rPr>
      </w:pPr>
      <w:r>
        <w:rPr>
          <w:b/>
          <w:bCs/>
        </w:rPr>
        <w:t xml:space="preserve">   </w:t>
      </w:r>
      <w:r w:rsidR="00396A52">
        <w:rPr>
          <w:b/>
          <w:bCs/>
        </w:rPr>
        <w:t xml:space="preserve"> YYYY) (Renewal)</w:t>
      </w:r>
    </w:p>
    <w:p w:rsidR="00144F35" w:rsidRPr="00D026C5" w:rsidRDefault="00144F35" w:rsidP="00F340DF">
      <w:pPr>
        <w:rPr>
          <w:b/>
          <w:bCs/>
        </w:rPr>
      </w:pPr>
    </w:p>
    <w:tbl>
      <w:tblPr>
        <w:tblW w:w="13693" w:type="dxa"/>
        <w:jc w:val="center"/>
        <w:tblInd w:w="93" w:type="dxa"/>
        <w:tblCellMar>
          <w:left w:w="58" w:type="dxa"/>
          <w:right w:w="58" w:type="dxa"/>
        </w:tblCellMar>
        <w:tblLook w:val="04A0"/>
      </w:tblPr>
      <w:tblGrid>
        <w:gridCol w:w="166"/>
        <w:gridCol w:w="3936"/>
        <w:gridCol w:w="1073"/>
        <w:gridCol w:w="1450"/>
        <w:gridCol w:w="1440"/>
        <w:gridCol w:w="1206"/>
        <w:gridCol w:w="1041"/>
        <w:gridCol w:w="1260"/>
        <w:gridCol w:w="990"/>
        <w:gridCol w:w="1131"/>
      </w:tblGrid>
      <w:tr w:rsidR="002B0E36" w:rsidRPr="00D026C5" w:rsidTr="0084330B">
        <w:trPr>
          <w:trHeight w:val="255"/>
          <w:jc w:val="center"/>
        </w:trPr>
        <w:tc>
          <w:tcPr>
            <w:tcW w:w="41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rPr>
                <w:b/>
                <w:bCs/>
                <w:sz w:val="20"/>
                <w:szCs w:val="20"/>
              </w:rPr>
            </w:pPr>
            <w:r>
              <w:rPr>
                <w:b/>
                <w:bCs/>
                <w:sz w:val="20"/>
                <w:szCs w:val="20"/>
              </w:rPr>
              <w:t>Burden Item</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A</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D</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G</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rsidR="002B0E36" w:rsidRPr="00D026C5" w:rsidRDefault="00396A52" w:rsidP="002B0E36">
            <w:pPr>
              <w:widowControl/>
              <w:autoSpaceDE/>
              <w:autoSpaceDN/>
              <w:adjustRightInd/>
              <w:jc w:val="center"/>
              <w:rPr>
                <w:b/>
                <w:bCs/>
                <w:sz w:val="20"/>
                <w:szCs w:val="20"/>
              </w:rPr>
            </w:pPr>
            <w:r>
              <w:rPr>
                <w:b/>
                <w:bCs/>
                <w:sz w:val="20"/>
                <w:szCs w:val="20"/>
              </w:rPr>
              <w:t>H</w:t>
            </w:r>
          </w:p>
        </w:tc>
      </w:tr>
      <w:tr w:rsidR="002B0E36" w:rsidRPr="00D026C5" w:rsidTr="0084330B">
        <w:trPr>
          <w:trHeight w:val="825"/>
          <w:jc w:val="center"/>
        </w:trPr>
        <w:tc>
          <w:tcPr>
            <w:tcW w:w="4102" w:type="dxa"/>
            <w:gridSpan w:val="2"/>
            <w:vMerge/>
            <w:tcBorders>
              <w:top w:val="single" w:sz="4" w:space="0" w:color="auto"/>
              <w:left w:val="single" w:sz="4" w:space="0" w:color="auto"/>
              <w:bottom w:val="single" w:sz="4" w:space="0" w:color="auto"/>
              <w:right w:val="single" w:sz="4" w:space="0" w:color="auto"/>
            </w:tcBorders>
            <w:vAlign w:val="center"/>
            <w:hideMark/>
          </w:tcPr>
          <w:p w:rsidR="002B0E36" w:rsidRPr="00D026C5" w:rsidRDefault="002B0E36" w:rsidP="002B0E36">
            <w:pPr>
              <w:widowControl/>
              <w:autoSpaceDE/>
              <w:autoSpaceDN/>
              <w:adjustRightInd/>
              <w:rPr>
                <w:b/>
                <w:bCs/>
                <w:sz w:val="20"/>
                <w:szCs w:val="20"/>
              </w:rPr>
            </w:pPr>
          </w:p>
        </w:tc>
        <w:tc>
          <w:tcPr>
            <w:tcW w:w="1073" w:type="dxa"/>
            <w:tcBorders>
              <w:top w:val="nil"/>
              <w:left w:val="nil"/>
              <w:bottom w:val="single" w:sz="4" w:space="0" w:color="auto"/>
              <w:right w:val="single" w:sz="4" w:space="0" w:color="auto"/>
            </w:tcBorders>
            <w:shd w:val="clear" w:color="auto" w:fill="auto"/>
            <w:vAlign w:val="bottom"/>
            <w:hideMark/>
          </w:tcPr>
          <w:p w:rsidR="002B0E36" w:rsidRDefault="00396A52" w:rsidP="002B0E36">
            <w:pPr>
              <w:widowControl/>
              <w:autoSpaceDE/>
              <w:autoSpaceDN/>
              <w:adjustRightInd/>
              <w:jc w:val="center"/>
              <w:rPr>
                <w:b/>
                <w:bCs/>
                <w:sz w:val="20"/>
                <w:szCs w:val="20"/>
              </w:rPr>
            </w:pPr>
            <w:r>
              <w:rPr>
                <w:b/>
                <w:bCs/>
                <w:sz w:val="20"/>
                <w:szCs w:val="20"/>
              </w:rPr>
              <w:t>Technical person-hours per occurrence</w:t>
            </w:r>
          </w:p>
          <w:p w:rsidR="0084330B" w:rsidRPr="00D026C5" w:rsidRDefault="0084330B" w:rsidP="002B0E36">
            <w:pPr>
              <w:widowControl/>
              <w:autoSpaceDE/>
              <w:autoSpaceDN/>
              <w:adjustRightInd/>
              <w:jc w:val="center"/>
              <w:rPr>
                <w:b/>
                <w:bCs/>
                <w:sz w:val="20"/>
                <w:szCs w:val="20"/>
              </w:rPr>
            </w:pPr>
          </w:p>
        </w:tc>
        <w:tc>
          <w:tcPr>
            <w:tcW w:w="1450" w:type="dxa"/>
            <w:tcBorders>
              <w:top w:val="nil"/>
              <w:left w:val="nil"/>
              <w:bottom w:val="single" w:sz="4" w:space="0" w:color="auto"/>
              <w:right w:val="single" w:sz="4" w:space="0" w:color="auto"/>
            </w:tcBorders>
            <w:shd w:val="clear" w:color="auto" w:fill="auto"/>
            <w:vAlign w:val="bottom"/>
            <w:hideMark/>
          </w:tcPr>
          <w:p w:rsidR="002B0E36" w:rsidRDefault="00396A52" w:rsidP="002B0E36">
            <w:pPr>
              <w:widowControl/>
              <w:autoSpaceDE/>
              <w:autoSpaceDN/>
              <w:adjustRightInd/>
              <w:jc w:val="center"/>
              <w:rPr>
                <w:b/>
                <w:bCs/>
                <w:sz w:val="20"/>
                <w:szCs w:val="20"/>
              </w:rPr>
            </w:pPr>
            <w:r>
              <w:rPr>
                <w:b/>
                <w:bCs/>
                <w:sz w:val="20"/>
                <w:szCs w:val="20"/>
              </w:rPr>
              <w:t>No. of occurrences per respondent per year</w:t>
            </w:r>
          </w:p>
          <w:p w:rsidR="0084330B" w:rsidRPr="00D026C5" w:rsidRDefault="0084330B" w:rsidP="002B0E36">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jc w:val="center"/>
              <w:rPr>
                <w:b/>
                <w:bCs/>
                <w:sz w:val="20"/>
                <w:szCs w:val="20"/>
              </w:rPr>
            </w:pPr>
            <w:r>
              <w:rPr>
                <w:b/>
                <w:bCs/>
                <w:sz w:val="20"/>
                <w:szCs w:val="20"/>
              </w:rPr>
              <w:t>Technical person-hours per respondent per year (</w:t>
            </w:r>
            <w:proofErr w:type="spellStart"/>
            <w:r>
              <w:rPr>
                <w:b/>
                <w:bCs/>
                <w:sz w:val="20"/>
                <w:szCs w:val="20"/>
              </w:rPr>
              <w:t>AxB</w:t>
            </w:r>
            <w:proofErr w:type="spellEnd"/>
            <w:r>
              <w:rPr>
                <w:b/>
                <w:bCs/>
                <w:sz w:val="20"/>
                <w:szCs w:val="20"/>
              </w:rPr>
              <w:t>)</w:t>
            </w:r>
            <w:r>
              <w:rPr>
                <w:b/>
                <w:bCs/>
                <w:sz w:val="20"/>
                <w:szCs w:val="20"/>
                <w:vertAlign w:val="superscript"/>
              </w:rPr>
              <w:t>a</w:t>
            </w:r>
          </w:p>
        </w:tc>
        <w:tc>
          <w:tcPr>
            <w:tcW w:w="1206" w:type="dxa"/>
            <w:tcBorders>
              <w:top w:val="nil"/>
              <w:left w:val="nil"/>
              <w:bottom w:val="single" w:sz="4" w:space="0" w:color="auto"/>
              <w:right w:val="single" w:sz="4" w:space="0" w:color="auto"/>
            </w:tcBorders>
            <w:shd w:val="clear" w:color="auto" w:fill="auto"/>
            <w:vAlign w:val="bottom"/>
            <w:hideMark/>
          </w:tcPr>
          <w:p w:rsidR="002B0E36" w:rsidRDefault="00396A52" w:rsidP="002B0E36">
            <w:pPr>
              <w:widowControl/>
              <w:autoSpaceDE/>
              <w:autoSpaceDN/>
              <w:adjustRightInd/>
              <w:jc w:val="center"/>
              <w:rPr>
                <w:b/>
                <w:bCs/>
                <w:sz w:val="20"/>
                <w:szCs w:val="20"/>
              </w:rPr>
            </w:pPr>
            <w:r>
              <w:rPr>
                <w:b/>
                <w:bCs/>
                <w:sz w:val="20"/>
                <w:szCs w:val="20"/>
              </w:rPr>
              <w:t>Respondents per year</w:t>
            </w:r>
          </w:p>
          <w:p w:rsidR="0084330B" w:rsidRDefault="0084330B" w:rsidP="002B0E36">
            <w:pPr>
              <w:widowControl/>
              <w:autoSpaceDE/>
              <w:autoSpaceDN/>
              <w:adjustRightInd/>
              <w:jc w:val="center"/>
              <w:rPr>
                <w:b/>
                <w:bCs/>
                <w:sz w:val="20"/>
                <w:szCs w:val="20"/>
              </w:rPr>
            </w:pPr>
          </w:p>
          <w:p w:rsidR="0084330B" w:rsidRDefault="0084330B" w:rsidP="002B0E36">
            <w:pPr>
              <w:widowControl/>
              <w:autoSpaceDE/>
              <w:autoSpaceDN/>
              <w:adjustRightInd/>
              <w:jc w:val="center"/>
              <w:rPr>
                <w:b/>
                <w:bCs/>
                <w:sz w:val="20"/>
                <w:szCs w:val="20"/>
              </w:rPr>
            </w:pPr>
          </w:p>
          <w:p w:rsidR="0084330B" w:rsidRPr="00D026C5" w:rsidRDefault="0084330B" w:rsidP="002B0E36">
            <w:pPr>
              <w:widowControl/>
              <w:autoSpaceDE/>
              <w:autoSpaceDN/>
              <w:adjustRightInd/>
              <w:jc w:val="center"/>
              <w:rPr>
                <w:b/>
                <w:bCs/>
                <w:sz w:val="20"/>
                <w:szCs w:val="20"/>
              </w:rPr>
            </w:pPr>
          </w:p>
        </w:tc>
        <w:tc>
          <w:tcPr>
            <w:tcW w:w="1041" w:type="dxa"/>
            <w:tcBorders>
              <w:top w:val="nil"/>
              <w:left w:val="nil"/>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jc w:val="center"/>
              <w:rPr>
                <w:b/>
                <w:bCs/>
                <w:sz w:val="20"/>
                <w:szCs w:val="20"/>
              </w:rPr>
            </w:pPr>
            <w:r>
              <w:rPr>
                <w:b/>
                <w:bCs/>
                <w:sz w:val="20"/>
                <w:szCs w:val="20"/>
              </w:rPr>
              <w:t xml:space="preserve">Technical hours </w:t>
            </w:r>
          </w:p>
          <w:p w:rsidR="002B0E36" w:rsidRDefault="00396A52" w:rsidP="002B0E36">
            <w:pPr>
              <w:widowControl/>
              <w:autoSpaceDE/>
              <w:autoSpaceDN/>
              <w:adjustRightInd/>
              <w:jc w:val="center"/>
              <w:rPr>
                <w:b/>
                <w:bCs/>
                <w:sz w:val="20"/>
                <w:szCs w:val="20"/>
              </w:rPr>
            </w:pPr>
            <w:r>
              <w:rPr>
                <w:b/>
                <w:bCs/>
                <w:sz w:val="20"/>
                <w:szCs w:val="20"/>
              </w:rPr>
              <w:t>per year (</w:t>
            </w:r>
            <w:proofErr w:type="spellStart"/>
            <w:r>
              <w:rPr>
                <w:b/>
                <w:bCs/>
                <w:sz w:val="20"/>
                <w:szCs w:val="20"/>
              </w:rPr>
              <w:t>CxD</w:t>
            </w:r>
            <w:proofErr w:type="spellEnd"/>
            <w:r>
              <w:rPr>
                <w:b/>
                <w:bCs/>
                <w:sz w:val="20"/>
                <w:szCs w:val="20"/>
              </w:rPr>
              <w:t>)</w:t>
            </w:r>
          </w:p>
          <w:p w:rsidR="0084330B" w:rsidRPr="00D026C5" w:rsidRDefault="0084330B" w:rsidP="002B0E36">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jc w:val="center"/>
              <w:rPr>
                <w:b/>
                <w:bCs/>
                <w:sz w:val="20"/>
                <w:szCs w:val="20"/>
              </w:rPr>
            </w:pPr>
            <w:r>
              <w:rPr>
                <w:b/>
                <w:bCs/>
                <w:sz w:val="20"/>
                <w:szCs w:val="20"/>
              </w:rPr>
              <w:t xml:space="preserve">Management hours </w:t>
            </w:r>
          </w:p>
          <w:p w:rsidR="002B0E36" w:rsidRDefault="00396A52" w:rsidP="002B0E36">
            <w:pPr>
              <w:widowControl/>
              <w:autoSpaceDE/>
              <w:autoSpaceDN/>
              <w:adjustRightInd/>
              <w:jc w:val="center"/>
              <w:rPr>
                <w:b/>
                <w:bCs/>
                <w:sz w:val="20"/>
                <w:szCs w:val="20"/>
              </w:rPr>
            </w:pPr>
            <w:r>
              <w:rPr>
                <w:b/>
                <w:bCs/>
                <w:sz w:val="20"/>
                <w:szCs w:val="20"/>
              </w:rPr>
              <w:t>per year  (Ex0.05)</w:t>
            </w:r>
          </w:p>
          <w:p w:rsidR="0084330B" w:rsidRPr="00D026C5" w:rsidRDefault="0084330B" w:rsidP="002B0E36">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jc w:val="center"/>
              <w:rPr>
                <w:b/>
                <w:bCs/>
                <w:sz w:val="20"/>
                <w:szCs w:val="20"/>
              </w:rPr>
            </w:pPr>
            <w:r>
              <w:rPr>
                <w:b/>
                <w:bCs/>
                <w:sz w:val="20"/>
                <w:szCs w:val="20"/>
              </w:rPr>
              <w:t xml:space="preserve">Clerical hours </w:t>
            </w:r>
          </w:p>
          <w:p w:rsidR="002B0E36" w:rsidRDefault="00396A52" w:rsidP="002B0E36">
            <w:pPr>
              <w:widowControl/>
              <w:autoSpaceDE/>
              <w:autoSpaceDN/>
              <w:adjustRightInd/>
              <w:jc w:val="center"/>
              <w:rPr>
                <w:b/>
                <w:bCs/>
                <w:sz w:val="20"/>
                <w:szCs w:val="20"/>
              </w:rPr>
            </w:pPr>
            <w:r>
              <w:rPr>
                <w:b/>
                <w:bCs/>
                <w:sz w:val="20"/>
                <w:szCs w:val="20"/>
              </w:rPr>
              <w:t>per year (Ex0.10)</w:t>
            </w:r>
          </w:p>
          <w:p w:rsidR="0084330B" w:rsidRPr="00D026C5" w:rsidRDefault="0084330B" w:rsidP="002B0E36">
            <w:pPr>
              <w:widowControl/>
              <w:autoSpaceDE/>
              <w:autoSpaceDN/>
              <w:adjustRightInd/>
              <w:jc w:val="center"/>
              <w:rPr>
                <w:b/>
                <w:bCs/>
                <w:sz w:val="20"/>
                <w:szCs w:val="20"/>
              </w:rPr>
            </w:pPr>
          </w:p>
        </w:tc>
        <w:tc>
          <w:tcPr>
            <w:tcW w:w="1131" w:type="dxa"/>
            <w:tcBorders>
              <w:top w:val="nil"/>
              <w:left w:val="nil"/>
              <w:bottom w:val="single" w:sz="4" w:space="0" w:color="auto"/>
              <w:right w:val="single" w:sz="4" w:space="0" w:color="auto"/>
            </w:tcBorders>
            <w:shd w:val="clear" w:color="auto" w:fill="auto"/>
            <w:vAlign w:val="bottom"/>
            <w:hideMark/>
          </w:tcPr>
          <w:p w:rsidR="002B0E36" w:rsidRPr="00D026C5" w:rsidRDefault="00396A52" w:rsidP="002B0E36">
            <w:pPr>
              <w:widowControl/>
              <w:autoSpaceDE/>
              <w:autoSpaceDN/>
              <w:adjustRightInd/>
              <w:jc w:val="center"/>
              <w:rPr>
                <w:b/>
                <w:bCs/>
                <w:sz w:val="20"/>
                <w:szCs w:val="20"/>
              </w:rPr>
            </w:pPr>
            <w:r>
              <w:rPr>
                <w:b/>
                <w:bCs/>
                <w:sz w:val="20"/>
                <w:szCs w:val="20"/>
              </w:rPr>
              <w:t xml:space="preserve">Total cost </w:t>
            </w:r>
          </w:p>
          <w:p w:rsidR="002B0E36" w:rsidRPr="00D026C5" w:rsidRDefault="00396A52" w:rsidP="002B0E36">
            <w:pPr>
              <w:widowControl/>
              <w:autoSpaceDE/>
              <w:autoSpaceDN/>
              <w:adjustRightInd/>
              <w:jc w:val="center"/>
              <w:rPr>
                <w:b/>
                <w:bCs/>
                <w:sz w:val="20"/>
                <w:szCs w:val="20"/>
              </w:rPr>
            </w:pPr>
            <w:r>
              <w:rPr>
                <w:b/>
                <w:bCs/>
                <w:sz w:val="20"/>
                <w:szCs w:val="20"/>
              </w:rPr>
              <w:t>per year</w:t>
            </w:r>
            <w:r w:rsidR="0084330B">
              <w:rPr>
                <w:b/>
                <w:bCs/>
                <w:sz w:val="20"/>
                <w:szCs w:val="20"/>
              </w:rPr>
              <w:t xml:space="preserve"> </w:t>
            </w:r>
            <w:r>
              <w:rPr>
                <w:b/>
                <w:bCs/>
                <w:sz w:val="20"/>
                <w:szCs w:val="20"/>
                <w:vertAlign w:val="superscript"/>
              </w:rPr>
              <w:t>b</w:t>
            </w:r>
            <w:r>
              <w:rPr>
                <w:b/>
                <w:bCs/>
                <w:sz w:val="20"/>
                <w:szCs w:val="20"/>
              </w:rPr>
              <w:t xml:space="preserve"> </w:t>
            </w:r>
          </w:p>
          <w:p w:rsidR="002B0E36" w:rsidRDefault="00396A52" w:rsidP="002B0E36">
            <w:pPr>
              <w:widowControl/>
              <w:autoSpaceDE/>
              <w:autoSpaceDN/>
              <w:adjustRightInd/>
              <w:jc w:val="center"/>
              <w:rPr>
                <w:b/>
                <w:bCs/>
                <w:sz w:val="20"/>
                <w:szCs w:val="20"/>
              </w:rPr>
            </w:pPr>
            <w:r>
              <w:rPr>
                <w:b/>
                <w:bCs/>
                <w:sz w:val="20"/>
                <w:szCs w:val="20"/>
              </w:rPr>
              <w:t>($)</w:t>
            </w:r>
          </w:p>
          <w:p w:rsidR="0084330B" w:rsidRDefault="0084330B" w:rsidP="002B0E36">
            <w:pPr>
              <w:widowControl/>
              <w:autoSpaceDE/>
              <w:autoSpaceDN/>
              <w:adjustRightInd/>
              <w:jc w:val="center"/>
              <w:rPr>
                <w:b/>
                <w:bCs/>
                <w:sz w:val="20"/>
                <w:szCs w:val="20"/>
              </w:rPr>
            </w:pPr>
          </w:p>
          <w:p w:rsidR="0084330B" w:rsidRPr="00D026C5" w:rsidRDefault="0084330B" w:rsidP="002B0E36">
            <w:pPr>
              <w:widowControl/>
              <w:autoSpaceDE/>
              <w:autoSpaceDN/>
              <w:adjustRightInd/>
              <w:jc w:val="center"/>
              <w:rPr>
                <w:b/>
                <w:bCs/>
                <w:sz w:val="20"/>
                <w:szCs w:val="20"/>
              </w:rPr>
            </w:pPr>
          </w:p>
        </w:tc>
      </w:tr>
      <w:tr w:rsidR="002B0E36" w:rsidRPr="00D026C5" w:rsidTr="0084330B">
        <w:trPr>
          <w:trHeight w:val="255"/>
          <w:jc w:val="center"/>
        </w:trPr>
        <w:tc>
          <w:tcPr>
            <w:tcW w:w="410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Report Review</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2B0E36" w:rsidP="0084330B">
            <w:pPr>
              <w:widowControl/>
              <w:autoSpaceDE/>
              <w:autoSpaceDN/>
              <w:adjustRightInd/>
              <w:jc w:val="center"/>
              <w:rPr>
                <w:sz w:val="20"/>
                <w:szCs w:val="20"/>
              </w:rPr>
            </w:pP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Initial </w:t>
            </w:r>
            <w:r w:rsidR="00DD2554">
              <w:rPr>
                <w:sz w:val="20"/>
                <w:szCs w:val="20"/>
              </w:rPr>
              <w:t>no</w:t>
            </w:r>
            <w:r w:rsidRPr="00396A52">
              <w:rPr>
                <w:sz w:val="20"/>
                <w:szCs w:val="20"/>
              </w:rPr>
              <w:t>tification</w:t>
            </w:r>
            <w:r w:rsidR="0084330B">
              <w:rPr>
                <w:sz w:val="20"/>
                <w:szCs w:val="20"/>
              </w:rPr>
              <w:t xml:space="preserve"> </w:t>
            </w:r>
            <w:r w:rsidRPr="00396A52">
              <w:rPr>
                <w:sz w:val="20"/>
                <w:szCs w:val="20"/>
                <w:vertAlign w:val="superscript"/>
              </w:rPr>
              <w:t>c</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8.7</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17.4</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0.87</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1.74</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901.75</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Notification of </w:t>
            </w:r>
            <w:r w:rsidR="00DD2554">
              <w:rPr>
                <w:sz w:val="20"/>
                <w:szCs w:val="20"/>
              </w:rPr>
              <w:t>c</w:t>
            </w:r>
            <w:r w:rsidRPr="00396A52">
              <w:rPr>
                <w:sz w:val="20"/>
                <w:szCs w:val="20"/>
              </w:rPr>
              <w:t>onstruction/</w:t>
            </w:r>
            <w:r w:rsidR="00DD2554">
              <w:rPr>
                <w:sz w:val="20"/>
                <w:szCs w:val="20"/>
              </w:rPr>
              <w:t>r</w:t>
            </w:r>
            <w:r w:rsidRPr="00396A52">
              <w:rPr>
                <w:sz w:val="20"/>
                <w:szCs w:val="20"/>
              </w:rPr>
              <w:t>econstruction</w:t>
            </w:r>
            <w:r w:rsidR="0084330B">
              <w:rPr>
                <w:sz w:val="20"/>
                <w:szCs w:val="20"/>
              </w:rPr>
              <w:t xml:space="preserve"> </w:t>
            </w:r>
            <w:r w:rsidRPr="00396A52">
              <w:rPr>
                <w:sz w:val="20"/>
                <w:szCs w:val="20"/>
                <w:vertAlign w:val="superscript"/>
              </w:rPr>
              <w:t>d</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2.4</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0.24</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0.48</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248.76</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2B0E36" w:rsidP="002B0E36">
            <w:pPr>
              <w:widowControl/>
              <w:autoSpaceDE/>
              <w:autoSpaceDN/>
              <w:adjustRightInd/>
              <w:rPr>
                <w:sz w:val="20"/>
                <w:szCs w:val="20"/>
              </w:rPr>
            </w:pP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Notification of </w:t>
            </w:r>
            <w:r w:rsidR="00DD2554">
              <w:rPr>
                <w:sz w:val="20"/>
                <w:szCs w:val="20"/>
              </w:rPr>
              <w:t>a</w:t>
            </w:r>
            <w:r w:rsidRPr="00396A52">
              <w:rPr>
                <w:sz w:val="20"/>
                <w:szCs w:val="20"/>
              </w:rPr>
              <w:t xml:space="preserve">ctual </w:t>
            </w:r>
            <w:r w:rsidR="00DD2554">
              <w:rPr>
                <w:sz w:val="20"/>
                <w:szCs w:val="20"/>
              </w:rPr>
              <w:t>s</w:t>
            </w:r>
            <w:r w:rsidRPr="00396A52">
              <w:rPr>
                <w:sz w:val="20"/>
                <w:szCs w:val="20"/>
              </w:rPr>
              <w:t>tartup</w:t>
            </w:r>
            <w:r w:rsidR="0084330B">
              <w:rPr>
                <w:sz w:val="20"/>
                <w:szCs w:val="20"/>
              </w:rPr>
              <w:t xml:space="preserve"> </w:t>
            </w:r>
            <w:r w:rsidRPr="00396A52">
              <w:rPr>
                <w:sz w:val="20"/>
                <w:szCs w:val="20"/>
                <w:vertAlign w:val="superscript"/>
              </w:rPr>
              <w:t>d</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2.4</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0.24</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0.48</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248.76</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Notification of </w:t>
            </w:r>
            <w:r w:rsidR="00DD2554">
              <w:rPr>
                <w:sz w:val="20"/>
                <w:szCs w:val="20"/>
              </w:rPr>
              <w:t>p</w:t>
            </w:r>
            <w:r w:rsidRPr="00396A52">
              <w:rPr>
                <w:sz w:val="20"/>
                <w:szCs w:val="20"/>
              </w:rPr>
              <w:t xml:space="preserve">erformance </w:t>
            </w:r>
            <w:r w:rsidR="00DD2554">
              <w:rPr>
                <w:sz w:val="20"/>
                <w:szCs w:val="20"/>
              </w:rPr>
              <w:t>t</w:t>
            </w:r>
            <w:r w:rsidRPr="00396A52">
              <w:rPr>
                <w:sz w:val="20"/>
                <w:szCs w:val="20"/>
              </w:rPr>
              <w:t>est</w:t>
            </w:r>
            <w:r w:rsidR="0084330B">
              <w:rPr>
                <w:sz w:val="20"/>
                <w:szCs w:val="20"/>
              </w:rPr>
              <w:t xml:space="preserve"> </w:t>
            </w:r>
            <w:r w:rsidRPr="00396A52">
              <w:rPr>
                <w:sz w:val="20"/>
                <w:szCs w:val="20"/>
                <w:vertAlign w:val="superscript"/>
              </w:rPr>
              <w:t>d</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2.4</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0.24</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0.48</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248.76</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Notification of CMS </w:t>
            </w:r>
            <w:r w:rsidR="00DD2554">
              <w:rPr>
                <w:sz w:val="20"/>
                <w:szCs w:val="20"/>
              </w:rPr>
              <w:t>p</w:t>
            </w:r>
            <w:r w:rsidRPr="00396A52">
              <w:rPr>
                <w:sz w:val="20"/>
                <w:szCs w:val="20"/>
              </w:rPr>
              <w:t xml:space="preserve">erformance </w:t>
            </w:r>
            <w:r w:rsidR="00DD2554">
              <w:rPr>
                <w:sz w:val="20"/>
                <w:szCs w:val="20"/>
              </w:rPr>
              <w:t>e</w:t>
            </w:r>
            <w:r w:rsidRPr="00396A52">
              <w:rPr>
                <w:sz w:val="20"/>
                <w:szCs w:val="20"/>
              </w:rPr>
              <w:t>valuation</w:t>
            </w:r>
            <w:r w:rsidR="0084330B">
              <w:rPr>
                <w:sz w:val="20"/>
                <w:szCs w:val="20"/>
              </w:rPr>
              <w:t xml:space="preserve"> </w:t>
            </w:r>
            <w:r w:rsidRPr="00396A52">
              <w:rPr>
                <w:sz w:val="20"/>
                <w:szCs w:val="20"/>
                <w:vertAlign w:val="superscript"/>
              </w:rPr>
              <w:t>d</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2.4</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0.24</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0.48</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248.76</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Notification of </w:t>
            </w:r>
            <w:r w:rsidR="00DD2554">
              <w:rPr>
                <w:sz w:val="20"/>
                <w:szCs w:val="20"/>
              </w:rPr>
              <w:t>c</w:t>
            </w:r>
            <w:r w:rsidRPr="00396A52">
              <w:rPr>
                <w:sz w:val="20"/>
                <w:szCs w:val="20"/>
              </w:rPr>
              <w:t xml:space="preserve">ompliance </w:t>
            </w:r>
            <w:r w:rsidR="00DD2554">
              <w:rPr>
                <w:sz w:val="20"/>
                <w:szCs w:val="20"/>
              </w:rPr>
              <w:t>s</w:t>
            </w:r>
            <w:r w:rsidRPr="00396A52">
              <w:rPr>
                <w:sz w:val="20"/>
                <w:szCs w:val="20"/>
              </w:rPr>
              <w:t>tatus</w:t>
            </w:r>
            <w:r w:rsidR="0084330B">
              <w:rPr>
                <w:sz w:val="20"/>
                <w:szCs w:val="20"/>
              </w:rPr>
              <w:t xml:space="preserve"> </w:t>
            </w:r>
            <w:r w:rsidRPr="00396A52">
              <w:rPr>
                <w:sz w:val="20"/>
                <w:szCs w:val="20"/>
                <w:vertAlign w:val="superscript"/>
              </w:rPr>
              <w:t>e</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18</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18</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2.4</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43.2</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2.16</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4.32</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396A52" w:rsidRPr="00396A52">
              <w:rPr>
                <w:sz w:val="20"/>
                <w:szCs w:val="20"/>
              </w:rPr>
              <w:t>2,238.82</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Annual </w:t>
            </w:r>
            <w:r w:rsidR="00DD2554">
              <w:rPr>
                <w:sz w:val="20"/>
                <w:szCs w:val="20"/>
              </w:rPr>
              <w:t>c</w:t>
            </w:r>
            <w:r w:rsidRPr="00396A52">
              <w:rPr>
                <w:sz w:val="20"/>
                <w:szCs w:val="20"/>
              </w:rPr>
              <w:t xml:space="preserve">ompliance </w:t>
            </w:r>
            <w:r w:rsidR="00DD2554">
              <w:rPr>
                <w:sz w:val="20"/>
                <w:szCs w:val="20"/>
              </w:rPr>
              <w:t>r</w:t>
            </w:r>
            <w:r w:rsidRPr="00396A52">
              <w:rPr>
                <w:sz w:val="20"/>
                <w:szCs w:val="20"/>
              </w:rPr>
              <w:t>eport</w:t>
            </w:r>
            <w:r w:rsidR="0084330B">
              <w:rPr>
                <w:sz w:val="20"/>
                <w:szCs w:val="20"/>
              </w:rPr>
              <w:t xml:space="preserve"> </w:t>
            </w:r>
            <w:r w:rsidRPr="00396A52">
              <w:rPr>
                <w:sz w:val="20"/>
                <w:szCs w:val="20"/>
                <w:vertAlign w:val="superscript"/>
              </w:rPr>
              <w:t>f</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8</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8</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2.9</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23.2</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1.16</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2.32</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4153BB">
              <w:rPr>
                <w:sz w:val="20"/>
                <w:szCs w:val="20"/>
              </w:rPr>
              <w:t>1,202.33</w:t>
            </w:r>
          </w:p>
        </w:tc>
      </w:tr>
      <w:tr w:rsidR="002B0E36" w:rsidRPr="00D026C5" w:rsidTr="0084330B">
        <w:trPr>
          <w:trHeight w:val="285"/>
          <w:jc w:val="center"/>
        </w:trPr>
        <w:tc>
          <w:tcPr>
            <w:tcW w:w="166" w:type="dxa"/>
            <w:tcBorders>
              <w:top w:val="nil"/>
              <w:left w:val="single" w:sz="4" w:space="0" w:color="auto"/>
              <w:bottom w:val="single" w:sz="4" w:space="0" w:color="auto"/>
              <w:right w:val="nil"/>
            </w:tcBorders>
            <w:shd w:val="clear" w:color="auto" w:fill="auto"/>
            <w:noWrap/>
            <w:vAlign w:val="bottom"/>
            <w:hideMark/>
          </w:tcPr>
          <w:p w:rsidR="002B0E36" w:rsidRPr="00D026C5" w:rsidRDefault="00396A52" w:rsidP="002B0E36">
            <w:pPr>
              <w:widowControl/>
              <w:autoSpaceDE/>
              <w:autoSpaceDN/>
              <w:adjustRightInd/>
              <w:rPr>
                <w:sz w:val="20"/>
                <w:szCs w:val="20"/>
              </w:rPr>
            </w:pPr>
            <w:r w:rsidRPr="00396A52">
              <w:rPr>
                <w:sz w:val="20"/>
                <w:szCs w:val="20"/>
              </w:rPr>
              <w:t> </w:t>
            </w:r>
          </w:p>
        </w:tc>
        <w:tc>
          <w:tcPr>
            <w:tcW w:w="3936"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DD2554">
            <w:pPr>
              <w:widowControl/>
              <w:autoSpaceDE/>
              <w:autoSpaceDN/>
              <w:adjustRightInd/>
              <w:rPr>
                <w:sz w:val="20"/>
                <w:szCs w:val="20"/>
              </w:rPr>
            </w:pPr>
            <w:r w:rsidRPr="00396A52">
              <w:rPr>
                <w:sz w:val="20"/>
                <w:szCs w:val="20"/>
              </w:rPr>
              <w:t xml:space="preserve">Semiannual </w:t>
            </w:r>
            <w:r w:rsidR="00DD2554">
              <w:rPr>
                <w:sz w:val="20"/>
                <w:szCs w:val="20"/>
              </w:rPr>
              <w:t>c</w:t>
            </w:r>
            <w:r w:rsidRPr="00396A52">
              <w:rPr>
                <w:sz w:val="20"/>
                <w:szCs w:val="20"/>
              </w:rPr>
              <w:t xml:space="preserve">ompliance </w:t>
            </w:r>
            <w:r w:rsidR="00DD2554">
              <w:rPr>
                <w:sz w:val="20"/>
                <w:szCs w:val="20"/>
              </w:rPr>
              <w:t>r</w:t>
            </w:r>
            <w:r w:rsidRPr="00396A52">
              <w:rPr>
                <w:sz w:val="20"/>
                <w:szCs w:val="20"/>
              </w:rPr>
              <w:t>eports</w:t>
            </w:r>
            <w:r w:rsidR="0084330B">
              <w:rPr>
                <w:sz w:val="20"/>
                <w:szCs w:val="20"/>
              </w:rPr>
              <w:t xml:space="preserve"> </w:t>
            </w:r>
            <w:r w:rsidRPr="00396A52">
              <w:rPr>
                <w:sz w:val="20"/>
                <w:szCs w:val="20"/>
                <w:vertAlign w:val="superscript"/>
              </w:rPr>
              <w:t>g</w:t>
            </w:r>
          </w:p>
        </w:tc>
        <w:tc>
          <w:tcPr>
            <w:tcW w:w="1073"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8</w:t>
            </w:r>
          </w:p>
        </w:tc>
        <w:tc>
          <w:tcPr>
            <w:tcW w:w="145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2B0E36" w:rsidRPr="00D026C5" w:rsidRDefault="00396A52" w:rsidP="0084330B">
            <w:pPr>
              <w:widowControl/>
              <w:autoSpaceDE/>
              <w:autoSpaceDN/>
              <w:adjustRightInd/>
              <w:jc w:val="center"/>
              <w:rPr>
                <w:sz w:val="20"/>
                <w:szCs w:val="20"/>
              </w:rPr>
            </w:pPr>
            <w:r w:rsidRPr="00396A52">
              <w:rPr>
                <w:sz w:val="20"/>
                <w:szCs w:val="20"/>
              </w:rPr>
              <w:t>16</w:t>
            </w:r>
          </w:p>
        </w:tc>
        <w:tc>
          <w:tcPr>
            <w:tcW w:w="1206"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26.9</w:t>
            </w:r>
          </w:p>
        </w:tc>
        <w:tc>
          <w:tcPr>
            <w:tcW w:w="1041"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430.4</w:t>
            </w:r>
          </w:p>
        </w:tc>
        <w:tc>
          <w:tcPr>
            <w:tcW w:w="1260"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21.52</w:t>
            </w:r>
          </w:p>
        </w:tc>
        <w:tc>
          <w:tcPr>
            <w:tcW w:w="990" w:type="dxa"/>
            <w:tcBorders>
              <w:top w:val="nil"/>
              <w:left w:val="nil"/>
              <w:bottom w:val="single" w:sz="4" w:space="0" w:color="auto"/>
              <w:right w:val="single" w:sz="4" w:space="0" w:color="auto"/>
            </w:tcBorders>
            <w:shd w:val="clear" w:color="auto" w:fill="auto"/>
            <w:noWrap/>
            <w:vAlign w:val="bottom"/>
            <w:hideMark/>
          </w:tcPr>
          <w:p w:rsidR="002B0E36" w:rsidRPr="00D026C5" w:rsidRDefault="004153BB" w:rsidP="0084330B">
            <w:pPr>
              <w:widowControl/>
              <w:autoSpaceDE/>
              <w:autoSpaceDN/>
              <w:adjustRightInd/>
              <w:jc w:val="center"/>
              <w:rPr>
                <w:sz w:val="20"/>
                <w:szCs w:val="20"/>
              </w:rPr>
            </w:pPr>
            <w:r>
              <w:rPr>
                <w:sz w:val="20"/>
                <w:szCs w:val="20"/>
              </w:rPr>
              <w:t>43.04</w:t>
            </w:r>
          </w:p>
        </w:tc>
        <w:tc>
          <w:tcPr>
            <w:tcW w:w="1131" w:type="dxa"/>
            <w:tcBorders>
              <w:top w:val="nil"/>
              <w:left w:val="nil"/>
              <w:bottom w:val="single" w:sz="4" w:space="0" w:color="auto"/>
              <w:right w:val="single" w:sz="4" w:space="0" w:color="auto"/>
            </w:tcBorders>
            <w:shd w:val="clear" w:color="auto" w:fill="auto"/>
            <w:noWrap/>
            <w:vAlign w:val="bottom"/>
            <w:hideMark/>
          </w:tcPr>
          <w:p w:rsidR="002B0E36" w:rsidRPr="00D026C5" w:rsidRDefault="0084330B" w:rsidP="002B0E36">
            <w:pPr>
              <w:widowControl/>
              <w:autoSpaceDE/>
              <w:autoSpaceDN/>
              <w:adjustRightInd/>
              <w:jc w:val="right"/>
              <w:rPr>
                <w:sz w:val="20"/>
                <w:szCs w:val="20"/>
              </w:rPr>
            </w:pPr>
            <w:r>
              <w:rPr>
                <w:sz w:val="20"/>
                <w:szCs w:val="20"/>
              </w:rPr>
              <w:t>$</w:t>
            </w:r>
            <w:r w:rsidR="004153BB">
              <w:rPr>
                <w:sz w:val="20"/>
                <w:szCs w:val="20"/>
              </w:rPr>
              <w:t>22,305.26</w:t>
            </w:r>
          </w:p>
        </w:tc>
      </w:tr>
      <w:tr w:rsidR="00FB1ACC" w:rsidRPr="004153BB" w:rsidTr="0084330B">
        <w:trPr>
          <w:trHeight w:val="255"/>
          <w:jc w:val="center"/>
        </w:trPr>
        <w:tc>
          <w:tcPr>
            <w:tcW w:w="9271" w:type="dxa"/>
            <w:gridSpan w:val="6"/>
            <w:tcBorders>
              <w:top w:val="nil"/>
              <w:left w:val="single" w:sz="4" w:space="0" w:color="auto"/>
              <w:bottom w:val="single" w:sz="4" w:space="0" w:color="auto"/>
              <w:right w:val="single" w:sz="4" w:space="0" w:color="auto"/>
            </w:tcBorders>
            <w:shd w:val="clear" w:color="auto" w:fill="auto"/>
            <w:noWrap/>
            <w:vAlign w:val="bottom"/>
            <w:hideMark/>
          </w:tcPr>
          <w:p w:rsidR="00FB1ACC" w:rsidRPr="004153BB" w:rsidRDefault="00396A52" w:rsidP="002B0E36">
            <w:pPr>
              <w:widowControl/>
              <w:autoSpaceDE/>
              <w:autoSpaceDN/>
              <w:adjustRightInd/>
              <w:rPr>
                <w:b/>
                <w:sz w:val="20"/>
                <w:szCs w:val="20"/>
              </w:rPr>
            </w:pPr>
            <w:r w:rsidRPr="004153BB">
              <w:rPr>
                <w:b/>
                <w:sz w:val="20"/>
                <w:szCs w:val="20"/>
              </w:rPr>
              <w:t>TOTAL ANNUAL BURDEN AND COST</w:t>
            </w:r>
            <w:r w:rsidR="0084330B">
              <w:rPr>
                <w:b/>
                <w:sz w:val="20"/>
                <w:szCs w:val="20"/>
              </w:rPr>
              <w:t xml:space="preserve"> (rounded)</w:t>
            </w:r>
          </w:p>
        </w:tc>
        <w:tc>
          <w:tcPr>
            <w:tcW w:w="329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B1ACC" w:rsidRPr="004153BB" w:rsidRDefault="004153BB" w:rsidP="002B0E36">
            <w:pPr>
              <w:widowControl/>
              <w:autoSpaceDE/>
              <w:autoSpaceDN/>
              <w:adjustRightInd/>
              <w:jc w:val="center"/>
              <w:rPr>
                <w:b/>
                <w:sz w:val="20"/>
                <w:szCs w:val="20"/>
              </w:rPr>
            </w:pPr>
            <w:r w:rsidRPr="004153BB">
              <w:rPr>
                <w:b/>
                <w:sz w:val="20"/>
                <w:szCs w:val="20"/>
              </w:rPr>
              <w:t>613</w:t>
            </w:r>
          </w:p>
        </w:tc>
        <w:tc>
          <w:tcPr>
            <w:tcW w:w="1131" w:type="dxa"/>
            <w:tcBorders>
              <w:top w:val="nil"/>
              <w:left w:val="nil"/>
              <w:bottom w:val="single" w:sz="4" w:space="0" w:color="auto"/>
              <w:right w:val="single" w:sz="4" w:space="0" w:color="auto"/>
            </w:tcBorders>
            <w:shd w:val="clear" w:color="auto" w:fill="auto"/>
            <w:noWrap/>
            <w:vAlign w:val="bottom"/>
            <w:hideMark/>
          </w:tcPr>
          <w:p w:rsidR="00FB1ACC" w:rsidRPr="004153BB" w:rsidRDefault="0084330B" w:rsidP="002B0E36">
            <w:pPr>
              <w:widowControl/>
              <w:autoSpaceDE/>
              <w:autoSpaceDN/>
              <w:adjustRightInd/>
              <w:jc w:val="right"/>
              <w:rPr>
                <w:b/>
                <w:sz w:val="20"/>
                <w:szCs w:val="20"/>
              </w:rPr>
            </w:pPr>
            <w:r>
              <w:rPr>
                <w:b/>
                <w:sz w:val="20"/>
                <w:szCs w:val="20"/>
              </w:rPr>
              <w:t>$</w:t>
            </w:r>
            <w:r w:rsidR="004153BB" w:rsidRPr="004153BB">
              <w:rPr>
                <w:b/>
                <w:sz w:val="20"/>
                <w:szCs w:val="20"/>
              </w:rPr>
              <w:t>27,643</w:t>
            </w:r>
          </w:p>
        </w:tc>
      </w:tr>
    </w:tbl>
    <w:p w:rsidR="00144F35" w:rsidRPr="00D026C5" w:rsidRDefault="00144F35" w:rsidP="00F340DF">
      <w:pPr>
        <w:rPr>
          <w:bCs/>
        </w:rPr>
      </w:pPr>
    </w:p>
    <w:p w:rsidR="00E10159" w:rsidRPr="00D026C5" w:rsidRDefault="00396A52" w:rsidP="00E10159">
      <w:pPr>
        <w:ind w:left="270" w:hanging="270"/>
        <w:rPr>
          <w:sz w:val="20"/>
          <w:szCs w:val="20"/>
        </w:rPr>
      </w:pPr>
      <w:r>
        <w:rPr>
          <w:sz w:val="20"/>
          <w:szCs w:val="20"/>
        </w:rPr>
        <w:t>Assumptions:</w:t>
      </w:r>
    </w:p>
    <w:p w:rsidR="00E10159" w:rsidRPr="00D026C5" w:rsidRDefault="00396A52" w:rsidP="00E10159">
      <w:pPr>
        <w:ind w:left="270" w:hanging="270"/>
        <w:rPr>
          <w:sz w:val="20"/>
          <w:szCs w:val="20"/>
        </w:rPr>
      </w:pPr>
      <w:proofErr w:type="gramStart"/>
      <w:r w:rsidRPr="008255FF">
        <w:rPr>
          <w:sz w:val="20"/>
          <w:szCs w:val="20"/>
          <w:vertAlign w:val="superscript"/>
        </w:rPr>
        <w:t>a.</w:t>
      </w:r>
      <w:r w:rsidR="008255FF">
        <w:rPr>
          <w:sz w:val="20"/>
          <w:szCs w:val="20"/>
        </w:rPr>
        <w:t xml:space="preserve">  </w:t>
      </w:r>
      <w:r>
        <w:rPr>
          <w:sz w:val="20"/>
          <w:szCs w:val="20"/>
        </w:rPr>
        <w:t>We</w:t>
      </w:r>
      <w:proofErr w:type="gramEnd"/>
      <w:r>
        <w:rPr>
          <w:sz w:val="20"/>
          <w:szCs w:val="20"/>
        </w:rPr>
        <w:t xml:space="preserve"> estimate 8.7 new sources, comprising 6 gas-fired, 0.3 landfill/digester gas-fired, and 2.4 oil-fired stationary combustion turbines, will become subject to the rule over the three-year period of this ICR. We also estimate 96 existing sources are subject, comprising 66.2 gas-fired, 2.9 landfill/digester gas-fired, and 26.9 oil-fired stationary combustion turbines.  Note that due to the ongoing stay, existing gas-fired sources that have previously submitted initial notifications are not subject to any additional monitoring or reporting requirements.</w:t>
      </w:r>
    </w:p>
    <w:p w:rsidR="00E10159" w:rsidRPr="00D026C5" w:rsidRDefault="00396A52" w:rsidP="00E10159">
      <w:pPr>
        <w:ind w:left="270" w:hanging="270"/>
        <w:rPr>
          <w:sz w:val="20"/>
          <w:szCs w:val="20"/>
        </w:rPr>
      </w:pPr>
      <w:proofErr w:type="gramStart"/>
      <w:r w:rsidRPr="008255FF">
        <w:rPr>
          <w:sz w:val="20"/>
          <w:szCs w:val="20"/>
          <w:vertAlign w:val="superscript"/>
        </w:rPr>
        <w:t>b.</w:t>
      </w:r>
      <w:r w:rsidR="008255FF">
        <w:rPr>
          <w:sz w:val="20"/>
          <w:szCs w:val="20"/>
        </w:rPr>
        <w:t xml:space="preserve">  T</w:t>
      </w:r>
      <w:r>
        <w:rPr>
          <w:sz w:val="20"/>
          <w:szCs w:val="20"/>
        </w:rPr>
        <w:t>his</w:t>
      </w:r>
      <w:proofErr w:type="gramEnd"/>
      <w:r>
        <w:rPr>
          <w:sz w:val="20"/>
          <w:szCs w:val="20"/>
        </w:rPr>
        <w:t xml:space="preserve"> ICR uses the following labor rates: $46.21 for technical, $62.27 for managerial, and $25.01 for clerical labor.  These rates are from the Office of Personnel Management (OPM), 2011 General Schedule, which excludes </w:t>
      </w:r>
      <w:proofErr w:type="gramStart"/>
      <w:r>
        <w:rPr>
          <w:sz w:val="20"/>
          <w:szCs w:val="20"/>
        </w:rPr>
        <w:t>locality</w:t>
      </w:r>
      <w:proofErr w:type="gramEnd"/>
      <w:r>
        <w:rPr>
          <w:sz w:val="20"/>
          <w:szCs w:val="20"/>
        </w:rPr>
        <w:t xml:space="preserve"> rates of pay.  The rates have been increased by 60 percent to account for the benefit packages available to government employees.</w:t>
      </w:r>
    </w:p>
    <w:p w:rsidR="00E10159" w:rsidRPr="00D026C5" w:rsidRDefault="00396A52" w:rsidP="00E10159">
      <w:pPr>
        <w:ind w:left="270" w:hanging="270"/>
        <w:rPr>
          <w:sz w:val="20"/>
          <w:szCs w:val="20"/>
        </w:rPr>
      </w:pPr>
      <w:proofErr w:type="gramStart"/>
      <w:r w:rsidRPr="008255FF">
        <w:rPr>
          <w:sz w:val="20"/>
          <w:szCs w:val="20"/>
          <w:vertAlign w:val="superscript"/>
        </w:rPr>
        <w:t>c.</w:t>
      </w:r>
      <w:r w:rsidR="008255FF">
        <w:rPr>
          <w:sz w:val="20"/>
          <w:szCs w:val="20"/>
        </w:rPr>
        <w:t xml:space="preserve">  </w:t>
      </w:r>
      <w:r>
        <w:rPr>
          <w:sz w:val="20"/>
          <w:szCs w:val="20"/>
        </w:rPr>
        <w:t>We</w:t>
      </w:r>
      <w:proofErr w:type="gramEnd"/>
      <w:r>
        <w:rPr>
          <w:sz w:val="20"/>
          <w:szCs w:val="20"/>
        </w:rPr>
        <w:t xml:space="preserve"> assume two hours are required to review each initial notification. This activity applies to new sources in all subcategories (i.e., 8.7 new sources comprising 6 gas-fired, 2.4 </w:t>
      </w:r>
      <w:proofErr w:type="gramStart"/>
      <w:r>
        <w:rPr>
          <w:sz w:val="20"/>
          <w:szCs w:val="20"/>
        </w:rPr>
        <w:t>oil-fired,</w:t>
      </w:r>
      <w:proofErr w:type="gramEnd"/>
      <w:r>
        <w:rPr>
          <w:sz w:val="20"/>
          <w:szCs w:val="20"/>
        </w:rPr>
        <w:t xml:space="preserve"> and 0.3 landfill/digester gas-fired turbines).</w:t>
      </w:r>
      <w:r>
        <w:rPr>
          <w:sz w:val="20"/>
          <w:szCs w:val="20"/>
        </w:rPr>
        <w:tab/>
      </w:r>
    </w:p>
    <w:p w:rsidR="00E10159" w:rsidRPr="00D026C5" w:rsidRDefault="00396A52" w:rsidP="00E10159">
      <w:pPr>
        <w:ind w:left="270" w:hanging="270"/>
        <w:rPr>
          <w:sz w:val="20"/>
          <w:szCs w:val="20"/>
        </w:rPr>
      </w:pPr>
      <w:proofErr w:type="gramStart"/>
      <w:r w:rsidRPr="008255FF">
        <w:rPr>
          <w:sz w:val="20"/>
          <w:szCs w:val="20"/>
          <w:vertAlign w:val="superscript"/>
        </w:rPr>
        <w:t>d.</w:t>
      </w:r>
      <w:r w:rsidR="008255FF">
        <w:rPr>
          <w:sz w:val="20"/>
          <w:szCs w:val="20"/>
        </w:rPr>
        <w:t xml:space="preserve">  </w:t>
      </w:r>
      <w:r>
        <w:rPr>
          <w:sz w:val="20"/>
          <w:szCs w:val="20"/>
        </w:rPr>
        <w:t>We</w:t>
      </w:r>
      <w:proofErr w:type="gramEnd"/>
      <w:r>
        <w:rPr>
          <w:sz w:val="20"/>
          <w:szCs w:val="20"/>
        </w:rPr>
        <w:t xml:space="preserve"> assume two hours are required to review each notification.  This activity only applies to new sources in the oil-fired turbine subcategories (i.e., 2.4 oil-fired turbines).</w:t>
      </w:r>
    </w:p>
    <w:p w:rsidR="00E10159" w:rsidRPr="00D026C5" w:rsidRDefault="00396A52" w:rsidP="00E10159">
      <w:pPr>
        <w:ind w:left="270" w:hanging="270"/>
        <w:rPr>
          <w:sz w:val="20"/>
          <w:szCs w:val="20"/>
        </w:rPr>
      </w:pPr>
      <w:proofErr w:type="gramStart"/>
      <w:r w:rsidRPr="008255FF">
        <w:rPr>
          <w:sz w:val="20"/>
          <w:szCs w:val="20"/>
          <w:vertAlign w:val="superscript"/>
        </w:rPr>
        <w:t>e.</w:t>
      </w:r>
      <w:r>
        <w:rPr>
          <w:sz w:val="20"/>
          <w:szCs w:val="20"/>
        </w:rPr>
        <w:t xml:space="preserve">  We</w:t>
      </w:r>
      <w:proofErr w:type="gramEnd"/>
      <w:r>
        <w:rPr>
          <w:sz w:val="20"/>
          <w:szCs w:val="20"/>
        </w:rPr>
        <w:t xml:space="preserv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p w:rsidR="00E10159" w:rsidRPr="00D026C5" w:rsidRDefault="00396A52" w:rsidP="00E10159">
      <w:pPr>
        <w:ind w:left="270" w:hanging="270"/>
        <w:rPr>
          <w:sz w:val="20"/>
          <w:szCs w:val="20"/>
        </w:rPr>
      </w:pPr>
      <w:proofErr w:type="gramStart"/>
      <w:r>
        <w:rPr>
          <w:sz w:val="20"/>
          <w:szCs w:val="20"/>
        </w:rPr>
        <w:lastRenderedPageBreak/>
        <w:t>f.  We</w:t>
      </w:r>
      <w:proofErr w:type="gramEnd"/>
      <w:r>
        <w:rPr>
          <w:sz w:val="20"/>
          <w:szCs w:val="20"/>
        </w:rPr>
        <w:t xml:space="preserve"> assume eight hours are required to review each annual compliance report.  This activity only applies to existing sources in the landfill/digester gas-fired turbine subcategory (2.9 existing sources).</w:t>
      </w:r>
    </w:p>
    <w:p w:rsidR="00144F35" w:rsidRPr="00D026C5" w:rsidRDefault="00396A52" w:rsidP="00E10159">
      <w:pPr>
        <w:ind w:left="270" w:hanging="270"/>
        <w:rPr>
          <w:sz w:val="20"/>
          <w:szCs w:val="20"/>
        </w:rPr>
      </w:pPr>
      <w:proofErr w:type="gramStart"/>
      <w:r>
        <w:rPr>
          <w:sz w:val="20"/>
          <w:szCs w:val="20"/>
        </w:rPr>
        <w:t>g.  We</w:t>
      </w:r>
      <w:proofErr w:type="gramEnd"/>
      <w:r>
        <w:rPr>
          <w:sz w:val="20"/>
          <w:szCs w:val="20"/>
        </w:rPr>
        <w:t xml:space="preserve"> assume eight hours are required to review each semiannual compliance report.  This activity only applies to existing sources in the oil-fired turbine subcategories (26.9 existing sources).</w:t>
      </w:r>
    </w:p>
    <w:sectPr w:rsidR="00144F35" w:rsidRPr="00D026C5"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FC" w:rsidRDefault="009012FC">
      <w:r>
        <w:separator/>
      </w:r>
    </w:p>
  </w:endnote>
  <w:endnote w:type="continuationSeparator" w:id="0">
    <w:p w:rsidR="009012FC" w:rsidRDefault="00901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FC" w:rsidRDefault="009012FC">
      <w:r>
        <w:separator/>
      </w:r>
    </w:p>
  </w:footnote>
  <w:footnote w:type="continuationSeparator" w:id="0">
    <w:p w:rsidR="009012FC" w:rsidRDefault="00901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2FC" w:rsidRDefault="009012FC">
    <w:pPr>
      <w:framePr w:w="9361" w:wrap="notBeside" w:vAnchor="text" w:hAnchor="text" w:x="1" w:y="1"/>
      <w:jc w:val="center"/>
    </w:pPr>
    <w:fldSimple w:instr="PAGE ">
      <w:r w:rsidR="002B35A3">
        <w:rPr>
          <w:noProof/>
        </w:rPr>
        <w:t>2</w:t>
      </w:r>
    </w:fldSimple>
  </w:p>
  <w:p w:rsidR="009012FC" w:rsidRDefault="009012FC"/>
  <w:p w:rsidR="009012FC" w:rsidRDefault="009012F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2FC" w:rsidRDefault="009012FC" w:rsidP="00A61AFE">
    <w:pPr>
      <w:framePr w:w="12960" w:wrap="notBeside" w:vAnchor="text" w:hAnchor="text" w:x="1" w:y="1"/>
      <w:jc w:val="center"/>
    </w:pPr>
    <w:fldSimple w:instr="PAGE ">
      <w:r w:rsidR="002B35A3">
        <w:rPr>
          <w:noProof/>
        </w:rPr>
        <w:t>17</w:t>
      </w:r>
    </w:fldSimple>
  </w:p>
  <w:p w:rsidR="009012FC" w:rsidRDefault="009012FC"/>
  <w:p w:rsidR="009012FC" w:rsidRDefault="009012F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4F3972D6"/>
    <w:multiLevelType w:val="hybridMultilevel"/>
    <w:tmpl w:val="83D4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4E24"/>
    <w:rsid w:val="000312D2"/>
    <w:rsid w:val="0003619B"/>
    <w:rsid w:val="00055BDF"/>
    <w:rsid w:val="00055DC5"/>
    <w:rsid w:val="0006609A"/>
    <w:rsid w:val="00076A6F"/>
    <w:rsid w:val="00080F29"/>
    <w:rsid w:val="00081CEF"/>
    <w:rsid w:val="000858DC"/>
    <w:rsid w:val="00095C92"/>
    <w:rsid w:val="000A15A6"/>
    <w:rsid w:val="000A1FBB"/>
    <w:rsid w:val="000A687C"/>
    <w:rsid w:val="000B1278"/>
    <w:rsid w:val="000B5DC6"/>
    <w:rsid w:val="000D2272"/>
    <w:rsid w:val="000D2EFA"/>
    <w:rsid w:val="000E0F9B"/>
    <w:rsid w:val="000E7855"/>
    <w:rsid w:val="000F772C"/>
    <w:rsid w:val="001017C4"/>
    <w:rsid w:val="00101B40"/>
    <w:rsid w:val="00102B52"/>
    <w:rsid w:val="0010697C"/>
    <w:rsid w:val="00110709"/>
    <w:rsid w:val="0011628C"/>
    <w:rsid w:val="00117EFA"/>
    <w:rsid w:val="00123889"/>
    <w:rsid w:val="00126A7C"/>
    <w:rsid w:val="00126E3D"/>
    <w:rsid w:val="0013290E"/>
    <w:rsid w:val="001361EF"/>
    <w:rsid w:val="0014079D"/>
    <w:rsid w:val="00144978"/>
    <w:rsid w:val="00144A82"/>
    <w:rsid w:val="00144F35"/>
    <w:rsid w:val="00152088"/>
    <w:rsid w:val="0015433E"/>
    <w:rsid w:val="00167CF9"/>
    <w:rsid w:val="00186DA3"/>
    <w:rsid w:val="00187820"/>
    <w:rsid w:val="00187F31"/>
    <w:rsid w:val="00192490"/>
    <w:rsid w:val="00195753"/>
    <w:rsid w:val="001A011F"/>
    <w:rsid w:val="001A0B41"/>
    <w:rsid w:val="001B0B9A"/>
    <w:rsid w:val="001B35F2"/>
    <w:rsid w:val="001B41C4"/>
    <w:rsid w:val="001B7D3F"/>
    <w:rsid w:val="001C5991"/>
    <w:rsid w:val="001C7CBC"/>
    <w:rsid w:val="001D0484"/>
    <w:rsid w:val="001D1390"/>
    <w:rsid w:val="001D4C19"/>
    <w:rsid w:val="001D68AD"/>
    <w:rsid w:val="001D762C"/>
    <w:rsid w:val="001E2ECA"/>
    <w:rsid w:val="001F19FF"/>
    <w:rsid w:val="001F2D61"/>
    <w:rsid w:val="001F6270"/>
    <w:rsid w:val="001F62D4"/>
    <w:rsid w:val="001F7100"/>
    <w:rsid w:val="002041C5"/>
    <w:rsid w:val="002063FE"/>
    <w:rsid w:val="00206932"/>
    <w:rsid w:val="00214917"/>
    <w:rsid w:val="0021722B"/>
    <w:rsid w:val="00217A2D"/>
    <w:rsid w:val="0022288F"/>
    <w:rsid w:val="0022738C"/>
    <w:rsid w:val="00234A28"/>
    <w:rsid w:val="0023585B"/>
    <w:rsid w:val="00236DB3"/>
    <w:rsid w:val="002431D9"/>
    <w:rsid w:val="002440FC"/>
    <w:rsid w:val="00245DB1"/>
    <w:rsid w:val="0025363C"/>
    <w:rsid w:val="00253802"/>
    <w:rsid w:val="00257B89"/>
    <w:rsid w:val="002638A0"/>
    <w:rsid w:val="002712EB"/>
    <w:rsid w:val="00271DDD"/>
    <w:rsid w:val="0027208F"/>
    <w:rsid w:val="0027222A"/>
    <w:rsid w:val="002743D2"/>
    <w:rsid w:val="00277B76"/>
    <w:rsid w:val="00277F42"/>
    <w:rsid w:val="00281CAE"/>
    <w:rsid w:val="00287403"/>
    <w:rsid w:val="0029006A"/>
    <w:rsid w:val="002904E7"/>
    <w:rsid w:val="00291731"/>
    <w:rsid w:val="002976E9"/>
    <w:rsid w:val="002B0E36"/>
    <w:rsid w:val="002B29A5"/>
    <w:rsid w:val="002B29A7"/>
    <w:rsid w:val="002B329D"/>
    <w:rsid w:val="002B35A3"/>
    <w:rsid w:val="002B517F"/>
    <w:rsid w:val="002B6993"/>
    <w:rsid w:val="002C159A"/>
    <w:rsid w:val="002C1F95"/>
    <w:rsid w:val="002C416A"/>
    <w:rsid w:val="002C77DF"/>
    <w:rsid w:val="002D7683"/>
    <w:rsid w:val="002E52A6"/>
    <w:rsid w:val="002E6BC7"/>
    <w:rsid w:val="002F5628"/>
    <w:rsid w:val="002F674B"/>
    <w:rsid w:val="002F6DB3"/>
    <w:rsid w:val="003139FC"/>
    <w:rsid w:val="00315F81"/>
    <w:rsid w:val="003161E0"/>
    <w:rsid w:val="00317764"/>
    <w:rsid w:val="00327B28"/>
    <w:rsid w:val="00335359"/>
    <w:rsid w:val="00341540"/>
    <w:rsid w:val="00341A40"/>
    <w:rsid w:val="00343B84"/>
    <w:rsid w:val="003511C6"/>
    <w:rsid w:val="003515D7"/>
    <w:rsid w:val="00354C15"/>
    <w:rsid w:val="00355580"/>
    <w:rsid w:val="00356189"/>
    <w:rsid w:val="00364852"/>
    <w:rsid w:val="00367B38"/>
    <w:rsid w:val="0037449A"/>
    <w:rsid w:val="00380CBE"/>
    <w:rsid w:val="00381C13"/>
    <w:rsid w:val="00386A83"/>
    <w:rsid w:val="00387FA5"/>
    <w:rsid w:val="00394609"/>
    <w:rsid w:val="00395C84"/>
    <w:rsid w:val="00396A52"/>
    <w:rsid w:val="003B01B6"/>
    <w:rsid w:val="003C42EC"/>
    <w:rsid w:val="003C4B46"/>
    <w:rsid w:val="003C5023"/>
    <w:rsid w:val="003D06E7"/>
    <w:rsid w:val="003E30B5"/>
    <w:rsid w:val="003E3A56"/>
    <w:rsid w:val="003E4C18"/>
    <w:rsid w:val="003F29DD"/>
    <w:rsid w:val="0040391F"/>
    <w:rsid w:val="00407DE4"/>
    <w:rsid w:val="004101BF"/>
    <w:rsid w:val="004153BB"/>
    <w:rsid w:val="00440ED6"/>
    <w:rsid w:val="0044133C"/>
    <w:rsid w:val="00441F72"/>
    <w:rsid w:val="004467C7"/>
    <w:rsid w:val="0045488F"/>
    <w:rsid w:val="00455484"/>
    <w:rsid w:val="00455557"/>
    <w:rsid w:val="00456962"/>
    <w:rsid w:val="00471C93"/>
    <w:rsid w:val="004759DE"/>
    <w:rsid w:val="00475A47"/>
    <w:rsid w:val="004830C7"/>
    <w:rsid w:val="00484A45"/>
    <w:rsid w:val="00494954"/>
    <w:rsid w:val="004A0093"/>
    <w:rsid w:val="004A081B"/>
    <w:rsid w:val="004A3BF7"/>
    <w:rsid w:val="004A4B25"/>
    <w:rsid w:val="004B2155"/>
    <w:rsid w:val="004C5E95"/>
    <w:rsid w:val="004C701D"/>
    <w:rsid w:val="004F1469"/>
    <w:rsid w:val="004F6FCD"/>
    <w:rsid w:val="005063CD"/>
    <w:rsid w:val="00507EC5"/>
    <w:rsid w:val="00516952"/>
    <w:rsid w:val="005214D4"/>
    <w:rsid w:val="00522F7C"/>
    <w:rsid w:val="0052320B"/>
    <w:rsid w:val="005253D4"/>
    <w:rsid w:val="0052598B"/>
    <w:rsid w:val="00544BBD"/>
    <w:rsid w:val="00551815"/>
    <w:rsid w:val="00560AD2"/>
    <w:rsid w:val="00565A51"/>
    <w:rsid w:val="00571260"/>
    <w:rsid w:val="005757C1"/>
    <w:rsid w:val="005822A0"/>
    <w:rsid w:val="00583626"/>
    <w:rsid w:val="005A121E"/>
    <w:rsid w:val="005A1986"/>
    <w:rsid w:val="005A7614"/>
    <w:rsid w:val="005A7D36"/>
    <w:rsid w:val="005B5DE8"/>
    <w:rsid w:val="005C0DCD"/>
    <w:rsid w:val="005C303D"/>
    <w:rsid w:val="005C3665"/>
    <w:rsid w:val="005C42AC"/>
    <w:rsid w:val="005D385C"/>
    <w:rsid w:val="005D3F63"/>
    <w:rsid w:val="005D6E82"/>
    <w:rsid w:val="005D75AD"/>
    <w:rsid w:val="005E194B"/>
    <w:rsid w:val="005F3262"/>
    <w:rsid w:val="005F42F8"/>
    <w:rsid w:val="00601205"/>
    <w:rsid w:val="00606DEF"/>
    <w:rsid w:val="006137FB"/>
    <w:rsid w:val="00630160"/>
    <w:rsid w:val="00631517"/>
    <w:rsid w:val="00631EC5"/>
    <w:rsid w:val="00635DBD"/>
    <w:rsid w:val="006540AD"/>
    <w:rsid w:val="00664B03"/>
    <w:rsid w:val="00664F90"/>
    <w:rsid w:val="00672255"/>
    <w:rsid w:val="00673D15"/>
    <w:rsid w:val="006741F7"/>
    <w:rsid w:val="006847CF"/>
    <w:rsid w:val="00694B55"/>
    <w:rsid w:val="006B46C9"/>
    <w:rsid w:val="006B6E4D"/>
    <w:rsid w:val="006C0DEF"/>
    <w:rsid w:val="006C1B52"/>
    <w:rsid w:val="006C6CD2"/>
    <w:rsid w:val="006D1B12"/>
    <w:rsid w:val="006D3D12"/>
    <w:rsid w:val="006E27F7"/>
    <w:rsid w:val="006E292A"/>
    <w:rsid w:val="006E3BBD"/>
    <w:rsid w:val="006E420D"/>
    <w:rsid w:val="006E4A6E"/>
    <w:rsid w:val="006E4F4E"/>
    <w:rsid w:val="006E642B"/>
    <w:rsid w:val="006F17D4"/>
    <w:rsid w:val="0070174A"/>
    <w:rsid w:val="00704220"/>
    <w:rsid w:val="00707984"/>
    <w:rsid w:val="00710FED"/>
    <w:rsid w:val="00711392"/>
    <w:rsid w:val="00712781"/>
    <w:rsid w:val="00712A6A"/>
    <w:rsid w:val="00722215"/>
    <w:rsid w:val="00722303"/>
    <w:rsid w:val="00735AA4"/>
    <w:rsid w:val="00742640"/>
    <w:rsid w:val="00743235"/>
    <w:rsid w:val="00753897"/>
    <w:rsid w:val="007569D7"/>
    <w:rsid w:val="0076179B"/>
    <w:rsid w:val="00762B90"/>
    <w:rsid w:val="00763160"/>
    <w:rsid w:val="0076656B"/>
    <w:rsid w:val="007716C7"/>
    <w:rsid w:val="00780612"/>
    <w:rsid w:val="007861C6"/>
    <w:rsid w:val="00786A20"/>
    <w:rsid w:val="00790CAC"/>
    <w:rsid w:val="007A0634"/>
    <w:rsid w:val="007A16F4"/>
    <w:rsid w:val="007A458D"/>
    <w:rsid w:val="007C0FAA"/>
    <w:rsid w:val="007F07FB"/>
    <w:rsid w:val="00810507"/>
    <w:rsid w:val="00811441"/>
    <w:rsid w:val="00813E69"/>
    <w:rsid w:val="00817E8B"/>
    <w:rsid w:val="008255FF"/>
    <w:rsid w:val="008338D4"/>
    <w:rsid w:val="00834534"/>
    <w:rsid w:val="00835312"/>
    <w:rsid w:val="0084255D"/>
    <w:rsid w:val="0084330B"/>
    <w:rsid w:val="00850ACF"/>
    <w:rsid w:val="00852038"/>
    <w:rsid w:val="008566B6"/>
    <w:rsid w:val="00861489"/>
    <w:rsid w:val="0086275E"/>
    <w:rsid w:val="00864CDD"/>
    <w:rsid w:val="00864F50"/>
    <w:rsid w:val="0086550E"/>
    <w:rsid w:val="00866148"/>
    <w:rsid w:val="00866DA7"/>
    <w:rsid w:val="00867458"/>
    <w:rsid w:val="00867917"/>
    <w:rsid w:val="00877D96"/>
    <w:rsid w:val="00885112"/>
    <w:rsid w:val="0088639E"/>
    <w:rsid w:val="008A46EB"/>
    <w:rsid w:val="008A7B1B"/>
    <w:rsid w:val="008B407C"/>
    <w:rsid w:val="008B5F64"/>
    <w:rsid w:val="008B7E60"/>
    <w:rsid w:val="008C28D5"/>
    <w:rsid w:val="008C2AF9"/>
    <w:rsid w:val="008E65E6"/>
    <w:rsid w:val="008F285B"/>
    <w:rsid w:val="008F3417"/>
    <w:rsid w:val="008F4564"/>
    <w:rsid w:val="008F7E32"/>
    <w:rsid w:val="009010D1"/>
    <w:rsid w:val="009012FC"/>
    <w:rsid w:val="009018EC"/>
    <w:rsid w:val="009027FB"/>
    <w:rsid w:val="00906EDB"/>
    <w:rsid w:val="009121CE"/>
    <w:rsid w:val="00912E00"/>
    <w:rsid w:val="009154F1"/>
    <w:rsid w:val="009170CE"/>
    <w:rsid w:val="0091789B"/>
    <w:rsid w:val="00922115"/>
    <w:rsid w:val="00923C46"/>
    <w:rsid w:val="009240F2"/>
    <w:rsid w:val="0092630E"/>
    <w:rsid w:val="00932058"/>
    <w:rsid w:val="009362AF"/>
    <w:rsid w:val="00960C0E"/>
    <w:rsid w:val="009642C9"/>
    <w:rsid w:val="009711DB"/>
    <w:rsid w:val="00987388"/>
    <w:rsid w:val="009877B6"/>
    <w:rsid w:val="009906D6"/>
    <w:rsid w:val="0099402C"/>
    <w:rsid w:val="009A0F50"/>
    <w:rsid w:val="009A16CD"/>
    <w:rsid w:val="009A37BC"/>
    <w:rsid w:val="009A4D6D"/>
    <w:rsid w:val="009C06F5"/>
    <w:rsid w:val="009C4009"/>
    <w:rsid w:val="009D272B"/>
    <w:rsid w:val="009D6567"/>
    <w:rsid w:val="009E0F31"/>
    <w:rsid w:val="009E1F01"/>
    <w:rsid w:val="009E7299"/>
    <w:rsid w:val="009F2351"/>
    <w:rsid w:val="00A007F5"/>
    <w:rsid w:val="00A038EC"/>
    <w:rsid w:val="00A03FBC"/>
    <w:rsid w:val="00A12030"/>
    <w:rsid w:val="00A145B0"/>
    <w:rsid w:val="00A15172"/>
    <w:rsid w:val="00A2052C"/>
    <w:rsid w:val="00A226E5"/>
    <w:rsid w:val="00A26EF7"/>
    <w:rsid w:val="00A27248"/>
    <w:rsid w:val="00A277D6"/>
    <w:rsid w:val="00A30065"/>
    <w:rsid w:val="00A30345"/>
    <w:rsid w:val="00A32758"/>
    <w:rsid w:val="00A379F8"/>
    <w:rsid w:val="00A522CB"/>
    <w:rsid w:val="00A53296"/>
    <w:rsid w:val="00A54EEA"/>
    <w:rsid w:val="00A56BFF"/>
    <w:rsid w:val="00A61AFE"/>
    <w:rsid w:val="00A624CB"/>
    <w:rsid w:val="00A730BD"/>
    <w:rsid w:val="00A73600"/>
    <w:rsid w:val="00A74C1E"/>
    <w:rsid w:val="00A7661C"/>
    <w:rsid w:val="00A76824"/>
    <w:rsid w:val="00A80AE4"/>
    <w:rsid w:val="00A929E3"/>
    <w:rsid w:val="00A95419"/>
    <w:rsid w:val="00A95BC7"/>
    <w:rsid w:val="00A962DF"/>
    <w:rsid w:val="00AB3139"/>
    <w:rsid w:val="00AC0D7C"/>
    <w:rsid w:val="00AC6028"/>
    <w:rsid w:val="00AE1975"/>
    <w:rsid w:val="00AF4D8F"/>
    <w:rsid w:val="00AF70A1"/>
    <w:rsid w:val="00B067DD"/>
    <w:rsid w:val="00B07F79"/>
    <w:rsid w:val="00B14032"/>
    <w:rsid w:val="00B16C07"/>
    <w:rsid w:val="00B26557"/>
    <w:rsid w:val="00B34F2C"/>
    <w:rsid w:val="00B35F10"/>
    <w:rsid w:val="00B45A03"/>
    <w:rsid w:val="00B46A57"/>
    <w:rsid w:val="00B46FF0"/>
    <w:rsid w:val="00B52836"/>
    <w:rsid w:val="00B5745D"/>
    <w:rsid w:val="00B61009"/>
    <w:rsid w:val="00B63821"/>
    <w:rsid w:val="00B63E2C"/>
    <w:rsid w:val="00B65754"/>
    <w:rsid w:val="00B66231"/>
    <w:rsid w:val="00B66BAD"/>
    <w:rsid w:val="00B700A2"/>
    <w:rsid w:val="00B72AE1"/>
    <w:rsid w:val="00B74DC3"/>
    <w:rsid w:val="00B769F1"/>
    <w:rsid w:val="00B82025"/>
    <w:rsid w:val="00B92919"/>
    <w:rsid w:val="00BA0A91"/>
    <w:rsid w:val="00BA4887"/>
    <w:rsid w:val="00BA7777"/>
    <w:rsid w:val="00BB3390"/>
    <w:rsid w:val="00BB3C1A"/>
    <w:rsid w:val="00BC18CC"/>
    <w:rsid w:val="00BC29C4"/>
    <w:rsid w:val="00BC6DEF"/>
    <w:rsid w:val="00BD2FC0"/>
    <w:rsid w:val="00BE1F44"/>
    <w:rsid w:val="00BE2989"/>
    <w:rsid w:val="00BE7A11"/>
    <w:rsid w:val="00BF722F"/>
    <w:rsid w:val="00C03A28"/>
    <w:rsid w:val="00C04D72"/>
    <w:rsid w:val="00C11EFA"/>
    <w:rsid w:val="00C13FE8"/>
    <w:rsid w:val="00C23F97"/>
    <w:rsid w:val="00C25C07"/>
    <w:rsid w:val="00C30A60"/>
    <w:rsid w:val="00C32E8A"/>
    <w:rsid w:val="00C33ABA"/>
    <w:rsid w:val="00C37BB6"/>
    <w:rsid w:val="00C4102B"/>
    <w:rsid w:val="00C42D76"/>
    <w:rsid w:val="00C52EFD"/>
    <w:rsid w:val="00C535F7"/>
    <w:rsid w:val="00C61769"/>
    <w:rsid w:val="00C64378"/>
    <w:rsid w:val="00C7046A"/>
    <w:rsid w:val="00C75CF0"/>
    <w:rsid w:val="00C76399"/>
    <w:rsid w:val="00C808B5"/>
    <w:rsid w:val="00C82DB6"/>
    <w:rsid w:val="00C8658B"/>
    <w:rsid w:val="00CA4CD6"/>
    <w:rsid w:val="00CB0FB8"/>
    <w:rsid w:val="00CB606F"/>
    <w:rsid w:val="00CC48AB"/>
    <w:rsid w:val="00CC5432"/>
    <w:rsid w:val="00CC58F6"/>
    <w:rsid w:val="00CC5A94"/>
    <w:rsid w:val="00CD0190"/>
    <w:rsid w:val="00CD2069"/>
    <w:rsid w:val="00CD280D"/>
    <w:rsid w:val="00CD423C"/>
    <w:rsid w:val="00CE009C"/>
    <w:rsid w:val="00CE12F1"/>
    <w:rsid w:val="00CE1607"/>
    <w:rsid w:val="00CE2015"/>
    <w:rsid w:val="00CE4D2F"/>
    <w:rsid w:val="00CF2565"/>
    <w:rsid w:val="00D026C5"/>
    <w:rsid w:val="00D0422B"/>
    <w:rsid w:val="00D13D9A"/>
    <w:rsid w:val="00D14A8D"/>
    <w:rsid w:val="00D21198"/>
    <w:rsid w:val="00D2273E"/>
    <w:rsid w:val="00D23E44"/>
    <w:rsid w:val="00D4065A"/>
    <w:rsid w:val="00D42D52"/>
    <w:rsid w:val="00D43328"/>
    <w:rsid w:val="00D46FA2"/>
    <w:rsid w:val="00D5080D"/>
    <w:rsid w:val="00D5587D"/>
    <w:rsid w:val="00D56F5F"/>
    <w:rsid w:val="00D61B37"/>
    <w:rsid w:val="00D63B96"/>
    <w:rsid w:val="00D92E81"/>
    <w:rsid w:val="00D92F66"/>
    <w:rsid w:val="00D94E4B"/>
    <w:rsid w:val="00D95819"/>
    <w:rsid w:val="00DA7285"/>
    <w:rsid w:val="00DB57D7"/>
    <w:rsid w:val="00DB59E1"/>
    <w:rsid w:val="00DD1AC1"/>
    <w:rsid w:val="00DD2554"/>
    <w:rsid w:val="00DD7D49"/>
    <w:rsid w:val="00DE54DA"/>
    <w:rsid w:val="00DF31B2"/>
    <w:rsid w:val="00DF5C4E"/>
    <w:rsid w:val="00DF5DF5"/>
    <w:rsid w:val="00E10159"/>
    <w:rsid w:val="00E10DA7"/>
    <w:rsid w:val="00E1538C"/>
    <w:rsid w:val="00E21EC6"/>
    <w:rsid w:val="00E25DB6"/>
    <w:rsid w:val="00E276CD"/>
    <w:rsid w:val="00E32EDA"/>
    <w:rsid w:val="00E3324F"/>
    <w:rsid w:val="00E51C2F"/>
    <w:rsid w:val="00E53137"/>
    <w:rsid w:val="00E558F0"/>
    <w:rsid w:val="00E65AC7"/>
    <w:rsid w:val="00E702F6"/>
    <w:rsid w:val="00E77D5E"/>
    <w:rsid w:val="00E868BB"/>
    <w:rsid w:val="00E93E2F"/>
    <w:rsid w:val="00EA226D"/>
    <w:rsid w:val="00EA37A9"/>
    <w:rsid w:val="00EA7026"/>
    <w:rsid w:val="00EB03E2"/>
    <w:rsid w:val="00EB2593"/>
    <w:rsid w:val="00EB3BB8"/>
    <w:rsid w:val="00EB4016"/>
    <w:rsid w:val="00EB4A22"/>
    <w:rsid w:val="00EC0D84"/>
    <w:rsid w:val="00EC4074"/>
    <w:rsid w:val="00ED57EE"/>
    <w:rsid w:val="00ED60A1"/>
    <w:rsid w:val="00ED6C20"/>
    <w:rsid w:val="00ED741E"/>
    <w:rsid w:val="00EF113F"/>
    <w:rsid w:val="00EF3162"/>
    <w:rsid w:val="00F03803"/>
    <w:rsid w:val="00F0526A"/>
    <w:rsid w:val="00F066C9"/>
    <w:rsid w:val="00F20822"/>
    <w:rsid w:val="00F260C8"/>
    <w:rsid w:val="00F340DF"/>
    <w:rsid w:val="00F358EB"/>
    <w:rsid w:val="00F42E26"/>
    <w:rsid w:val="00F533AD"/>
    <w:rsid w:val="00F538BC"/>
    <w:rsid w:val="00F54760"/>
    <w:rsid w:val="00F5671F"/>
    <w:rsid w:val="00F6112F"/>
    <w:rsid w:val="00F6555A"/>
    <w:rsid w:val="00F853E1"/>
    <w:rsid w:val="00F85771"/>
    <w:rsid w:val="00F904AD"/>
    <w:rsid w:val="00F9092B"/>
    <w:rsid w:val="00F914A3"/>
    <w:rsid w:val="00F92D22"/>
    <w:rsid w:val="00FA1EA5"/>
    <w:rsid w:val="00FA5B6D"/>
    <w:rsid w:val="00FA6E6F"/>
    <w:rsid w:val="00FB0650"/>
    <w:rsid w:val="00FB1ACC"/>
    <w:rsid w:val="00FB4D98"/>
    <w:rsid w:val="00FB6378"/>
    <w:rsid w:val="00FB6C80"/>
    <w:rsid w:val="00FB7BCE"/>
    <w:rsid w:val="00FC4E09"/>
    <w:rsid w:val="00FE2099"/>
    <w:rsid w:val="00FE308A"/>
    <w:rsid w:val="00FE58B6"/>
    <w:rsid w:val="00FF176E"/>
    <w:rsid w:val="00FF1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4A081B"/>
    <w:rPr>
      <w:sz w:val="24"/>
      <w:szCs w:val="24"/>
    </w:rPr>
  </w:style>
  <w:style w:type="paragraph" w:styleId="ListParagraph">
    <w:name w:val="List Paragraph"/>
    <w:basedOn w:val="Normal"/>
    <w:uiPriority w:val="34"/>
    <w:qFormat/>
    <w:rsid w:val="00E3324F"/>
    <w:pPr>
      <w:ind w:left="720"/>
      <w:contextualSpacing/>
    </w:pPr>
  </w:style>
</w:styles>
</file>

<file path=word/webSettings.xml><?xml version="1.0" encoding="utf-8"?>
<w:webSettings xmlns:r="http://schemas.openxmlformats.org/officeDocument/2006/relationships" xmlns:w="http://schemas.openxmlformats.org/wordprocessingml/2006/main">
  <w:divs>
    <w:div w:id="48654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076888">
      <w:bodyDiv w:val="1"/>
      <w:marLeft w:val="0"/>
      <w:marRight w:val="0"/>
      <w:marTop w:val="0"/>
      <w:marBottom w:val="0"/>
      <w:divBdr>
        <w:top w:val="none" w:sz="0" w:space="0" w:color="auto"/>
        <w:left w:val="none" w:sz="0" w:space="0" w:color="auto"/>
        <w:bottom w:val="none" w:sz="0" w:space="0" w:color="auto"/>
        <w:right w:val="none" w:sz="0" w:space="0" w:color="auto"/>
      </w:divBdr>
    </w:div>
    <w:div w:id="687752407">
      <w:bodyDiv w:val="1"/>
      <w:marLeft w:val="0"/>
      <w:marRight w:val="0"/>
      <w:marTop w:val="0"/>
      <w:marBottom w:val="0"/>
      <w:divBdr>
        <w:top w:val="none" w:sz="0" w:space="0" w:color="auto"/>
        <w:left w:val="none" w:sz="0" w:space="0" w:color="auto"/>
        <w:bottom w:val="none" w:sz="0" w:space="0" w:color="auto"/>
        <w:right w:val="none" w:sz="0" w:space="0" w:color="auto"/>
      </w:divBdr>
      <w:divsChild>
        <w:div w:id="675813078">
          <w:marLeft w:val="0"/>
          <w:marRight w:val="0"/>
          <w:marTop w:val="0"/>
          <w:marBottom w:val="0"/>
          <w:divBdr>
            <w:top w:val="none" w:sz="0" w:space="0" w:color="auto"/>
            <w:left w:val="none" w:sz="0" w:space="0" w:color="auto"/>
            <w:bottom w:val="none" w:sz="0" w:space="0" w:color="auto"/>
            <w:right w:val="none" w:sz="0" w:space="0" w:color="auto"/>
          </w:divBdr>
        </w:div>
        <w:div w:id="757408751">
          <w:marLeft w:val="0"/>
          <w:marRight w:val="0"/>
          <w:marTop w:val="0"/>
          <w:marBottom w:val="0"/>
          <w:divBdr>
            <w:top w:val="none" w:sz="0" w:space="0" w:color="auto"/>
            <w:left w:val="none" w:sz="0" w:space="0" w:color="auto"/>
            <w:bottom w:val="none" w:sz="0" w:space="0" w:color="auto"/>
            <w:right w:val="none" w:sz="0" w:space="0" w:color="auto"/>
          </w:divBdr>
        </w:div>
        <w:div w:id="214514026">
          <w:marLeft w:val="0"/>
          <w:marRight w:val="0"/>
          <w:marTop w:val="0"/>
          <w:marBottom w:val="0"/>
          <w:divBdr>
            <w:top w:val="none" w:sz="0" w:space="0" w:color="auto"/>
            <w:left w:val="none" w:sz="0" w:space="0" w:color="auto"/>
            <w:bottom w:val="none" w:sz="0" w:space="0" w:color="auto"/>
            <w:right w:val="none" w:sz="0" w:space="0" w:color="auto"/>
          </w:divBdr>
        </w:div>
        <w:div w:id="704215422">
          <w:marLeft w:val="0"/>
          <w:marRight w:val="0"/>
          <w:marTop w:val="0"/>
          <w:marBottom w:val="0"/>
          <w:divBdr>
            <w:top w:val="none" w:sz="0" w:space="0" w:color="auto"/>
            <w:left w:val="none" w:sz="0" w:space="0" w:color="auto"/>
            <w:bottom w:val="none" w:sz="0" w:space="0" w:color="auto"/>
            <w:right w:val="none" w:sz="0" w:space="0" w:color="auto"/>
          </w:divBdr>
        </w:div>
        <w:div w:id="88234110">
          <w:marLeft w:val="0"/>
          <w:marRight w:val="0"/>
          <w:marTop w:val="0"/>
          <w:marBottom w:val="0"/>
          <w:divBdr>
            <w:top w:val="none" w:sz="0" w:space="0" w:color="auto"/>
            <w:left w:val="none" w:sz="0" w:space="0" w:color="auto"/>
            <w:bottom w:val="none" w:sz="0" w:space="0" w:color="auto"/>
            <w:right w:val="none" w:sz="0" w:space="0" w:color="auto"/>
          </w:divBdr>
        </w:div>
        <w:div w:id="2060084915">
          <w:marLeft w:val="0"/>
          <w:marRight w:val="0"/>
          <w:marTop w:val="0"/>
          <w:marBottom w:val="0"/>
          <w:divBdr>
            <w:top w:val="none" w:sz="0" w:space="0" w:color="auto"/>
            <w:left w:val="none" w:sz="0" w:space="0" w:color="auto"/>
            <w:bottom w:val="none" w:sz="0" w:space="0" w:color="auto"/>
            <w:right w:val="none" w:sz="0" w:space="0" w:color="auto"/>
          </w:divBdr>
        </w:div>
        <w:div w:id="282661101">
          <w:marLeft w:val="0"/>
          <w:marRight w:val="0"/>
          <w:marTop w:val="0"/>
          <w:marBottom w:val="0"/>
          <w:divBdr>
            <w:top w:val="none" w:sz="0" w:space="0" w:color="auto"/>
            <w:left w:val="none" w:sz="0" w:space="0" w:color="auto"/>
            <w:bottom w:val="none" w:sz="0" w:space="0" w:color="auto"/>
            <w:right w:val="none" w:sz="0" w:space="0" w:color="auto"/>
          </w:divBdr>
        </w:div>
        <w:div w:id="1548836818">
          <w:marLeft w:val="0"/>
          <w:marRight w:val="0"/>
          <w:marTop w:val="0"/>
          <w:marBottom w:val="0"/>
          <w:divBdr>
            <w:top w:val="none" w:sz="0" w:space="0" w:color="auto"/>
            <w:left w:val="none" w:sz="0" w:space="0" w:color="auto"/>
            <w:bottom w:val="none" w:sz="0" w:space="0" w:color="auto"/>
            <w:right w:val="none" w:sz="0" w:space="0" w:color="auto"/>
          </w:divBdr>
        </w:div>
      </w:divsChild>
    </w:div>
    <w:div w:id="819925341">
      <w:bodyDiv w:val="1"/>
      <w:marLeft w:val="0"/>
      <w:marRight w:val="0"/>
      <w:marTop w:val="0"/>
      <w:marBottom w:val="0"/>
      <w:divBdr>
        <w:top w:val="none" w:sz="0" w:space="0" w:color="auto"/>
        <w:left w:val="none" w:sz="0" w:space="0" w:color="auto"/>
        <w:bottom w:val="none" w:sz="0" w:space="0" w:color="auto"/>
        <w:right w:val="none" w:sz="0" w:space="0" w:color="auto"/>
      </w:divBdr>
    </w:div>
    <w:div w:id="881593016">
      <w:bodyDiv w:val="1"/>
      <w:marLeft w:val="0"/>
      <w:marRight w:val="0"/>
      <w:marTop w:val="0"/>
      <w:marBottom w:val="0"/>
      <w:divBdr>
        <w:top w:val="none" w:sz="0" w:space="0" w:color="auto"/>
        <w:left w:val="none" w:sz="0" w:space="0" w:color="auto"/>
        <w:bottom w:val="none" w:sz="0" w:space="0" w:color="auto"/>
        <w:right w:val="none" w:sz="0" w:space="0" w:color="auto"/>
      </w:divBdr>
    </w:div>
    <w:div w:id="982541000">
      <w:bodyDiv w:val="1"/>
      <w:marLeft w:val="0"/>
      <w:marRight w:val="0"/>
      <w:marTop w:val="0"/>
      <w:marBottom w:val="0"/>
      <w:divBdr>
        <w:top w:val="none" w:sz="0" w:space="0" w:color="auto"/>
        <w:left w:val="none" w:sz="0" w:space="0" w:color="auto"/>
        <w:bottom w:val="none" w:sz="0" w:space="0" w:color="auto"/>
        <w:right w:val="none" w:sz="0" w:space="0" w:color="auto"/>
      </w:divBdr>
    </w:div>
    <w:div w:id="1131705801">
      <w:bodyDiv w:val="1"/>
      <w:marLeft w:val="0"/>
      <w:marRight w:val="0"/>
      <w:marTop w:val="0"/>
      <w:marBottom w:val="0"/>
      <w:divBdr>
        <w:top w:val="none" w:sz="0" w:space="0" w:color="auto"/>
        <w:left w:val="none" w:sz="0" w:space="0" w:color="auto"/>
        <w:bottom w:val="none" w:sz="0" w:space="0" w:color="auto"/>
        <w:right w:val="none" w:sz="0" w:space="0" w:color="auto"/>
      </w:divBdr>
    </w:div>
    <w:div w:id="1325470403">
      <w:bodyDiv w:val="1"/>
      <w:marLeft w:val="0"/>
      <w:marRight w:val="0"/>
      <w:marTop w:val="0"/>
      <w:marBottom w:val="0"/>
      <w:divBdr>
        <w:top w:val="none" w:sz="0" w:space="0" w:color="auto"/>
        <w:left w:val="none" w:sz="0" w:space="0" w:color="auto"/>
        <w:bottom w:val="none" w:sz="0" w:space="0" w:color="auto"/>
        <w:right w:val="none" w:sz="0" w:space="0" w:color="auto"/>
      </w:divBdr>
    </w:div>
    <w:div w:id="1697389515">
      <w:bodyDiv w:val="1"/>
      <w:marLeft w:val="0"/>
      <w:marRight w:val="0"/>
      <w:marTop w:val="0"/>
      <w:marBottom w:val="0"/>
      <w:divBdr>
        <w:top w:val="none" w:sz="0" w:space="0" w:color="auto"/>
        <w:left w:val="none" w:sz="0" w:space="0" w:color="auto"/>
        <w:bottom w:val="none" w:sz="0" w:space="0" w:color="auto"/>
        <w:right w:val="none" w:sz="0" w:space="0" w:color="auto"/>
      </w:divBdr>
    </w:div>
    <w:div w:id="19046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9FB2-AFBB-4696-975B-7FAACAB1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6145</Words>
  <Characters>35696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2013-06-24T13:41:00Z</cp:lastPrinted>
  <dcterms:created xsi:type="dcterms:W3CDTF">2013-07-10T15:38:00Z</dcterms:created>
  <dcterms:modified xsi:type="dcterms:W3CDTF">2013-07-10T15:38:00Z</dcterms:modified>
</cp:coreProperties>
</file>