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81" w:rsidRDefault="001E6F81" w:rsidP="00764F1F">
      <w:pPr>
        <w:jc w:val="center"/>
        <w:rPr>
          <w:b/>
        </w:rPr>
      </w:pPr>
      <w:bookmarkStart w:id="0" w:name="_GoBack"/>
      <w:bookmarkEnd w:id="0"/>
    </w:p>
    <w:p w:rsidR="00764F1F" w:rsidRPr="009C0526" w:rsidRDefault="00764F1F" w:rsidP="00764F1F">
      <w:pPr>
        <w:jc w:val="center"/>
        <w:rPr>
          <w:b/>
        </w:rPr>
      </w:pPr>
      <w:r w:rsidRPr="009C0526">
        <w:rPr>
          <w:b/>
        </w:rPr>
        <w:t>Justification for Nonmaterial/Nonsubstantive Change for</w:t>
      </w:r>
    </w:p>
    <w:p w:rsidR="00764F1F" w:rsidRDefault="00764F1F" w:rsidP="00764F1F">
      <w:pPr>
        <w:jc w:val="center"/>
        <w:rPr>
          <w:b/>
        </w:rPr>
      </w:pPr>
      <w:r w:rsidRPr="009C0526">
        <w:rPr>
          <w:b/>
        </w:rPr>
        <w:t>OMB Control Number 2126-001</w:t>
      </w:r>
      <w:r w:rsidR="001E6F81">
        <w:rPr>
          <w:b/>
        </w:rPr>
        <w:t>6</w:t>
      </w:r>
      <w:r w:rsidRPr="009C0526">
        <w:rPr>
          <w:b/>
        </w:rPr>
        <w:t xml:space="preserve"> ICR</w:t>
      </w:r>
    </w:p>
    <w:p w:rsidR="001E6F81" w:rsidRDefault="001E6F81" w:rsidP="00764F1F">
      <w:pPr>
        <w:jc w:val="center"/>
        <w:rPr>
          <w:b/>
        </w:rPr>
      </w:pPr>
    </w:p>
    <w:p w:rsidR="00764F1F" w:rsidRDefault="001E6F81" w:rsidP="001E6F81">
      <w:pPr>
        <w:jc w:val="center"/>
        <w:rPr>
          <w:b/>
        </w:rPr>
      </w:pPr>
      <w:r>
        <w:rPr>
          <w:b/>
          <w:bCs/>
        </w:rPr>
        <w:t>Licensing Applications for Motor Carrier Operating Authority</w:t>
      </w:r>
    </w:p>
    <w:p w:rsidR="001E6F81" w:rsidRDefault="001E6F81" w:rsidP="00764F1F"/>
    <w:p w:rsidR="00B37775" w:rsidRDefault="00764F1F" w:rsidP="00764F1F">
      <w:r>
        <w:t xml:space="preserve">This </w:t>
      </w:r>
      <w:r w:rsidR="005A264A">
        <w:t xml:space="preserve">Justification for a Nonmaterial/Nonsubstantive Change </w:t>
      </w:r>
      <w:r>
        <w:t xml:space="preserve">is </w:t>
      </w:r>
      <w:r w:rsidR="00A27346">
        <w:t xml:space="preserve">to </w:t>
      </w:r>
      <w:r>
        <w:t>request the Office of Management and Budget’s (OMB) approval</w:t>
      </w:r>
      <w:r w:rsidR="00481FAD">
        <w:t xml:space="preserve"> </w:t>
      </w:r>
      <w:r w:rsidR="001E6F81">
        <w:t xml:space="preserve">for nonsubstantive changes to “Licensing Applications for Motor Carrier Operating Authority” information collection (IC), </w:t>
      </w:r>
      <w:r w:rsidR="001E6F81" w:rsidRPr="001E6F81">
        <w:t xml:space="preserve">OMB </w:t>
      </w:r>
      <w:r w:rsidR="001E6F81">
        <w:t>c</w:t>
      </w:r>
      <w:r w:rsidR="001E6F81" w:rsidRPr="001E6F81">
        <w:t xml:space="preserve">ontrol </w:t>
      </w:r>
      <w:r w:rsidR="001E6F81">
        <w:t>n</w:t>
      </w:r>
      <w:r w:rsidR="001E6F81" w:rsidRPr="001E6F81">
        <w:t>umber 2126-0016</w:t>
      </w:r>
      <w:r w:rsidR="001E6F81">
        <w:t xml:space="preserve">.  </w:t>
      </w:r>
      <w:r w:rsidR="001E6F81" w:rsidRPr="00654370">
        <w:t>This IC</w:t>
      </w:r>
      <w:r w:rsidR="001E6F81">
        <w:t xml:space="preserve"> currently</w:t>
      </w:r>
      <w:r w:rsidR="001E6F81" w:rsidRPr="00654370">
        <w:t xml:space="preserve"> combines all of the information </w:t>
      </w:r>
      <w:r w:rsidR="001E6F81" w:rsidRPr="00654370">
        <w:rPr>
          <w:color w:val="000000"/>
        </w:rPr>
        <w:t xml:space="preserve">collection requirements for all application forms in the OP-1 series </w:t>
      </w:r>
      <w:r w:rsidR="001E6F81" w:rsidRPr="00654370">
        <w:t xml:space="preserve">that are used by the for-hire motor property carriers and brokers </w:t>
      </w:r>
      <w:r w:rsidR="001E6F81">
        <w:t xml:space="preserve">to apply for registration authority </w:t>
      </w:r>
      <w:r w:rsidR="001E6F81" w:rsidRPr="00654370">
        <w:t>of general freight and household goods</w:t>
      </w:r>
      <w:r w:rsidR="001E6F81">
        <w:t xml:space="preserve"> (OP-1)</w:t>
      </w:r>
      <w:r w:rsidR="001E6F81" w:rsidRPr="00654370">
        <w:t>; passenger carriers</w:t>
      </w:r>
      <w:r w:rsidR="001E6F81">
        <w:t xml:space="preserve"> (</w:t>
      </w:r>
      <w:r w:rsidR="001E6F81" w:rsidRPr="00654370">
        <w:t>OP-1(P)</w:t>
      </w:r>
      <w:r w:rsidR="001E6F81">
        <w:t>)</w:t>
      </w:r>
      <w:r w:rsidR="001E6F81" w:rsidRPr="00654370">
        <w:t>; freight forwarders</w:t>
      </w:r>
      <w:r w:rsidR="001E6F81">
        <w:t xml:space="preserve"> (OP-1(FF))</w:t>
      </w:r>
      <w:r w:rsidR="001E6F81" w:rsidRPr="00654370">
        <w:t xml:space="preserve">; Mexico-domiciled motor property carriers, including </w:t>
      </w:r>
      <w:r w:rsidR="001E6F81">
        <w:t xml:space="preserve">Mexico-domiciled motor carriers of </w:t>
      </w:r>
      <w:r w:rsidR="001E6F81" w:rsidRPr="00654370">
        <w:t>household goods and passenger</w:t>
      </w:r>
      <w:r w:rsidR="001E6F81">
        <w:t>s</w:t>
      </w:r>
      <w:r w:rsidR="001E6F81" w:rsidRPr="00654370">
        <w:t>, registering to operate beyond municipalities and commercial zones along the U.S</w:t>
      </w:r>
      <w:r w:rsidR="001E6F81">
        <w:t>.</w:t>
      </w:r>
      <w:r w:rsidR="001E6F81" w:rsidRPr="00654370">
        <w:t>-Mexico international border to points within the U.S.</w:t>
      </w:r>
      <w:r w:rsidR="001E6F81">
        <w:t xml:space="preserve"> (OP-1(MX)); and non-North American-domiciled motor property and passenger carriers (OP-1(NNA)).  </w:t>
      </w:r>
    </w:p>
    <w:p w:rsidR="00B37775" w:rsidRDefault="00B37775" w:rsidP="00764F1F"/>
    <w:p w:rsidR="00764F1F" w:rsidRDefault="006C3342" w:rsidP="00764F1F">
      <w:r w:rsidRPr="00A13D7E">
        <w:t xml:space="preserve">This change is due to the </w:t>
      </w:r>
      <w:r w:rsidR="00B37775" w:rsidRPr="00877EE7">
        <w:t xml:space="preserve">recently enacted, </w:t>
      </w:r>
      <w:hyperlink r:id="rId7" w:tgtFrame="_blank" w:history="1">
        <w:r w:rsidR="00B37775" w:rsidRPr="00877EE7">
          <w:t>Moving Ahead for Progress in the 21st Century Act (MAP-21); P.L. 112-141</w:t>
        </w:r>
      </w:hyperlink>
      <w:r w:rsidR="00653DB1">
        <w:t>,126 Stat. 405, Section 32918, July 6, 2012</w:t>
      </w:r>
      <w:r w:rsidR="00653DB1" w:rsidRPr="00877EE7">
        <w:t xml:space="preserve"> </w:t>
      </w:r>
      <w:r w:rsidR="00097DF1" w:rsidRPr="00877EE7">
        <w:t>(See Attachment 1)</w:t>
      </w:r>
      <w:r w:rsidR="00B37775" w:rsidRPr="00877EE7">
        <w:t xml:space="preserve">, </w:t>
      </w:r>
      <w:r w:rsidRPr="00877EE7">
        <w:t xml:space="preserve">in which </w:t>
      </w:r>
      <w:r w:rsidR="00B37775" w:rsidRPr="00877EE7">
        <w:t xml:space="preserve">Congress mandated that FMCSA increase current surety bond levels applicable to brokers of interstate transportation to $75,000 and extended this requirement to freight forwarders of interstate transportation.  Congress directed FMCSA to make these non-discretionary changes effective on October 1, 2013.  To effectuate these statutory requirements, </w:t>
      </w:r>
      <w:r w:rsidR="001E6F81" w:rsidRPr="00877EE7">
        <w:t>FMCSA ha</w:t>
      </w:r>
      <w:r w:rsidR="001E6F81">
        <w:t xml:space="preserve">s made a nonsubstantive change to the text and instructions for section </w:t>
      </w:r>
      <w:r w:rsidR="00045E62">
        <w:t>III “Insurance Information”</w:t>
      </w:r>
      <w:r w:rsidR="001E6F81">
        <w:t xml:space="preserve"> of the form OP-1 to include </w:t>
      </w:r>
      <w:r w:rsidR="00045E62">
        <w:t>“Brokers require one of the following in the amount of $75,000 and section III “Insurance Information” of the form OP-1(FF) to include Freight Forwarders</w:t>
      </w:r>
      <w:r w:rsidR="00010345">
        <w:t xml:space="preserve"> require one of the following in the amount of $75,000</w:t>
      </w:r>
      <w:r w:rsidR="00965DDD">
        <w:t xml:space="preserve">. </w:t>
      </w:r>
    </w:p>
    <w:p w:rsidR="00551F35" w:rsidRDefault="00551F35" w:rsidP="00764F1F"/>
    <w:p w:rsidR="00551F35" w:rsidRDefault="00551F35" w:rsidP="00764F1F">
      <w:r>
        <w:t xml:space="preserve">We estimate no change in </w:t>
      </w:r>
      <w:r w:rsidRPr="00313C2A">
        <w:t xml:space="preserve">annual burden hours for </w:t>
      </w:r>
      <w:r>
        <w:t xml:space="preserve">the </w:t>
      </w:r>
      <w:r w:rsidRPr="00313C2A">
        <w:t>information requested</w:t>
      </w:r>
      <w:r>
        <w:t xml:space="preserve">. </w:t>
      </w:r>
      <w:r w:rsidRPr="00313C2A">
        <w:t xml:space="preserve"> </w:t>
      </w:r>
    </w:p>
    <w:p w:rsidR="00B37775" w:rsidRDefault="00B37775" w:rsidP="00764F1F"/>
    <w:p w:rsidR="00EF4DE4" w:rsidRDefault="00EF4DE4" w:rsidP="00EF4DE4"/>
    <w:p w:rsidR="006D0582" w:rsidRDefault="006D0582" w:rsidP="0073386E"/>
    <w:sectPr w:rsidR="006D0582" w:rsidSect="005A264A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92" w:rsidRDefault="00AF0992">
      <w:r>
        <w:separator/>
      </w:r>
    </w:p>
  </w:endnote>
  <w:endnote w:type="continuationSeparator" w:id="0">
    <w:p w:rsidR="00AF0992" w:rsidRDefault="00AF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6E" w:rsidRDefault="0073386E" w:rsidP="005A26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386E" w:rsidRDefault="007338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6E" w:rsidRDefault="0073386E" w:rsidP="005A26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7EE7">
      <w:rPr>
        <w:rStyle w:val="PageNumber"/>
        <w:noProof/>
      </w:rPr>
      <w:t>2</w:t>
    </w:r>
    <w:r>
      <w:rPr>
        <w:rStyle w:val="PageNumber"/>
      </w:rPr>
      <w:fldChar w:fldCharType="end"/>
    </w:r>
  </w:p>
  <w:p w:rsidR="0073386E" w:rsidRDefault="00733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92" w:rsidRDefault="00AF0992">
      <w:r>
        <w:separator/>
      </w:r>
    </w:p>
  </w:footnote>
  <w:footnote w:type="continuationSeparator" w:id="0">
    <w:p w:rsidR="00AF0992" w:rsidRDefault="00AF0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1F"/>
    <w:rsid w:val="00002F39"/>
    <w:rsid w:val="00010345"/>
    <w:rsid w:val="000261E5"/>
    <w:rsid w:val="00027C10"/>
    <w:rsid w:val="00045E62"/>
    <w:rsid w:val="00070002"/>
    <w:rsid w:val="000770F6"/>
    <w:rsid w:val="00097DF1"/>
    <w:rsid w:val="000B437B"/>
    <w:rsid w:val="001148E8"/>
    <w:rsid w:val="00174C32"/>
    <w:rsid w:val="001B2770"/>
    <w:rsid w:val="001E6F81"/>
    <w:rsid w:val="00232182"/>
    <w:rsid w:val="0026619B"/>
    <w:rsid w:val="002809C1"/>
    <w:rsid w:val="00283705"/>
    <w:rsid w:val="002B04F0"/>
    <w:rsid w:val="00313028"/>
    <w:rsid w:val="00334398"/>
    <w:rsid w:val="003563F2"/>
    <w:rsid w:val="00361124"/>
    <w:rsid w:val="00371BDB"/>
    <w:rsid w:val="003A7F8D"/>
    <w:rsid w:val="003E132F"/>
    <w:rsid w:val="003F210C"/>
    <w:rsid w:val="004152B2"/>
    <w:rsid w:val="00415BE7"/>
    <w:rsid w:val="00471327"/>
    <w:rsid w:val="00480140"/>
    <w:rsid w:val="0048140E"/>
    <w:rsid w:val="00481FAD"/>
    <w:rsid w:val="004B0599"/>
    <w:rsid w:val="004D7DB0"/>
    <w:rsid w:val="00524757"/>
    <w:rsid w:val="00540B6A"/>
    <w:rsid w:val="00551F35"/>
    <w:rsid w:val="005A264A"/>
    <w:rsid w:val="005B0CA8"/>
    <w:rsid w:val="005D47AB"/>
    <w:rsid w:val="005E3779"/>
    <w:rsid w:val="005F5269"/>
    <w:rsid w:val="005F6675"/>
    <w:rsid w:val="0063368D"/>
    <w:rsid w:val="00652778"/>
    <w:rsid w:val="00653DB1"/>
    <w:rsid w:val="006B0F4A"/>
    <w:rsid w:val="006C3342"/>
    <w:rsid w:val="006C5E2D"/>
    <w:rsid w:val="006D0582"/>
    <w:rsid w:val="006E2649"/>
    <w:rsid w:val="006E298C"/>
    <w:rsid w:val="0073386E"/>
    <w:rsid w:val="00764F1F"/>
    <w:rsid w:val="007A423F"/>
    <w:rsid w:val="007C1EDD"/>
    <w:rsid w:val="007C2A78"/>
    <w:rsid w:val="007C7314"/>
    <w:rsid w:val="007C7D2B"/>
    <w:rsid w:val="00810B9B"/>
    <w:rsid w:val="00816509"/>
    <w:rsid w:val="008707AC"/>
    <w:rsid w:val="00877EE7"/>
    <w:rsid w:val="008955D0"/>
    <w:rsid w:val="008C75C3"/>
    <w:rsid w:val="008E2D3F"/>
    <w:rsid w:val="008F35CF"/>
    <w:rsid w:val="00965DDD"/>
    <w:rsid w:val="009A716B"/>
    <w:rsid w:val="009C0112"/>
    <w:rsid w:val="009E0B91"/>
    <w:rsid w:val="009F5CD9"/>
    <w:rsid w:val="00A13D7E"/>
    <w:rsid w:val="00A13F17"/>
    <w:rsid w:val="00A27346"/>
    <w:rsid w:val="00A755AC"/>
    <w:rsid w:val="00A92C81"/>
    <w:rsid w:val="00AA5ED6"/>
    <w:rsid w:val="00AD3751"/>
    <w:rsid w:val="00AF0992"/>
    <w:rsid w:val="00AF2830"/>
    <w:rsid w:val="00B11831"/>
    <w:rsid w:val="00B15311"/>
    <w:rsid w:val="00B34B38"/>
    <w:rsid w:val="00B37775"/>
    <w:rsid w:val="00BD725D"/>
    <w:rsid w:val="00C31316"/>
    <w:rsid w:val="00C76158"/>
    <w:rsid w:val="00CB0053"/>
    <w:rsid w:val="00CD7701"/>
    <w:rsid w:val="00CF7522"/>
    <w:rsid w:val="00D06B23"/>
    <w:rsid w:val="00D117FA"/>
    <w:rsid w:val="00D149B7"/>
    <w:rsid w:val="00D335BE"/>
    <w:rsid w:val="00D3785E"/>
    <w:rsid w:val="00D441C1"/>
    <w:rsid w:val="00D5160A"/>
    <w:rsid w:val="00D936F5"/>
    <w:rsid w:val="00DB0529"/>
    <w:rsid w:val="00DF0C5C"/>
    <w:rsid w:val="00DF22F2"/>
    <w:rsid w:val="00DF3162"/>
    <w:rsid w:val="00E21783"/>
    <w:rsid w:val="00E53126"/>
    <w:rsid w:val="00E54C40"/>
    <w:rsid w:val="00E56F3A"/>
    <w:rsid w:val="00E64D00"/>
    <w:rsid w:val="00EB5CF6"/>
    <w:rsid w:val="00EC3FE2"/>
    <w:rsid w:val="00ED4D1E"/>
    <w:rsid w:val="00ED4F99"/>
    <w:rsid w:val="00EF4DE4"/>
    <w:rsid w:val="00F04FF7"/>
    <w:rsid w:val="00F37F9C"/>
    <w:rsid w:val="00F43574"/>
    <w:rsid w:val="00FA6E5A"/>
    <w:rsid w:val="00FB0283"/>
    <w:rsid w:val="00FF5C1A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149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9B7"/>
  </w:style>
  <w:style w:type="table" w:styleId="TableGrid">
    <w:name w:val="Table Grid"/>
    <w:basedOn w:val="TableNormal"/>
    <w:rsid w:val="00ED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F667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A7F8D"/>
    <w:rPr>
      <w:sz w:val="16"/>
      <w:szCs w:val="16"/>
    </w:rPr>
  </w:style>
  <w:style w:type="paragraph" w:styleId="CommentText">
    <w:name w:val="annotation text"/>
    <w:basedOn w:val="Normal"/>
    <w:semiHidden/>
    <w:rsid w:val="003A7F8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A7F8D"/>
    <w:rPr>
      <w:b/>
      <w:bCs/>
    </w:rPr>
  </w:style>
  <w:style w:type="character" w:styleId="Hyperlink">
    <w:name w:val="Hyperlink"/>
    <w:basedOn w:val="DefaultParagraphFont"/>
    <w:uiPriority w:val="99"/>
    <w:unhideWhenUsed/>
    <w:rsid w:val="00653D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149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49B7"/>
  </w:style>
  <w:style w:type="table" w:styleId="TableGrid">
    <w:name w:val="Table Grid"/>
    <w:basedOn w:val="TableNormal"/>
    <w:rsid w:val="00ED4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5F667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A7F8D"/>
    <w:rPr>
      <w:sz w:val="16"/>
      <w:szCs w:val="16"/>
    </w:rPr>
  </w:style>
  <w:style w:type="paragraph" w:styleId="CommentText">
    <w:name w:val="annotation text"/>
    <w:basedOn w:val="Normal"/>
    <w:semiHidden/>
    <w:rsid w:val="003A7F8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A7F8D"/>
    <w:rPr>
      <w:b/>
      <w:bCs/>
    </w:rPr>
  </w:style>
  <w:style w:type="character" w:styleId="Hyperlink">
    <w:name w:val="Hyperlink"/>
    <w:basedOn w:val="DefaultParagraphFont"/>
    <w:uiPriority w:val="99"/>
    <w:unhideWhenUsed/>
    <w:rsid w:val="00653D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taging-www.fmcsa.dot.gov/redirect.aspx?page=http://www.gpo.gov/fdsys/pkg/BILLS-112hr4348enr/pdf/BILLS-112hr4348enr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Nonmaterial/Nonsubstantive Change for</vt:lpstr>
    </vt:vector>
  </TitlesOfParts>
  <Company>DOT</Company>
  <LinksUpToDate>false</LinksUpToDate>
  <CharactersWithSpaces>2231</CharactersWithSpaces>
  <SharedDoc>false</SharedDoc>
  <HLinks>
    <vt:vector size="6" baseType="variant"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http://staging-www.fmcsa.dot.gov/redirect.aspx?page=http://www.gpo.gov/fdsys/pkg/BILLS-112hr4348enr/pdf/BILLS-112hr4348enr.pdf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Nonmaterial/Nonsubstantive Change for</dc:title>
  <dc:creator>herman.dogan</dc:creator>
  <cp:lastModifiedBy>herman.dogan</cp:lastModifiedBy>
  <cp:revision>2</cp:revision>
  <cp:lastPrinted>2013-07-09T12:22:00Z</cp:lastPrinted>
  <dcterms:created xsi:type="dcterms:W3CDTF">2013-07-09T12:24:00Z</dcterms:created>
  <dcterms:modified xsi:type="dcterms:W3CDTF">2013-07-09T12:24:00Z</dcterms:modified>
</cp:coreProperties>
</file>