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C7" w:rsidRDefault="00EF3EC7">
      <w:bookmarkStart w:id="0" w:name="_GoBack"/>
      <w:bookmarkEnd w:id="0"/>
    </w:p>
    <w:p w:rsidR="007017BF" w:rsidRPr="007017BF" w:rsidRDefault="007017BF" w:rsidP="007017BF">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SUPPORTING STATEMENT </w:t>
      </w:r>
      <w:r w:rsidRPr="007017BF">
        <w:rPr>
          <w:rFonts w:ascii="Times New Roman" w:eastAsia="Times New Roman" w:hAnsi="Times New Roman" w:cs="Times New Roman"/>
          <w:b/>
          <w:sz w:val="24"/>
          <w:szCs w:val="24"/>
        </w:rPr>
        <w:t>FOR NEW AND</w:t>
      </w:r>
    </w:p>
    <w:p w:rsidR="007017BF" w:rsidRPr="007017BF" w:rsidRDefault="007017BF" w:rsidP="007017BF">
      <w:pPr>
        <w:suppressAutoHyphens/>
        <w:spacing w:after="240" w:line="240" w:lineRule="auto"/>
        <w:jc w:val="center"/>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REVISED INFORMATION COLLECTIONS</w:t>
      </w:r>
    </w:p>
    <w:p w:rsidR="007017BF" w:rsidRPr="007017BF" w:rsidRDefault="007017BF" w:rsidP="007017BF">
      <w:pPr>
        <w:tabs>
          <w:tab w:val="center" w:pos="4680"/>
        </w:tabs>
        <w:suppressAutoHyphens/>
        <w:spacing w:after="240" w:line="240" w:lineRule="auto"/>
        <w:jc w:val="center"/>
        <w:rPr>
          <w:rFonts w:ascii="Times New Roman" w:eastAsia="Times New Roman" w:hAnsi="Times New Roman" w:cs="Times New Roman"/>
          <w:sz w:val="24"/>
          <w:szCs w:val="24"/>
          <w:u w:val="single"/>
        </w:rPr>
      </w:pPr>
      <w:r w:rsidRPr="007017BF">
        <w:rPr>
          <w:rFonts w:ascii="Times New Roman" w:eastAsia="Times New Roman" w:hAnsi="Times New Roman" w:cs="Times New Roman"/>
          <w:sz w:val="24"/>
          <w:szCs w:val="24"/>
          <w:u w:val="single"/>
        </w:rPr>
        <w:t>Clearing Exemption for Swaps Between Certain Affiliated Entities</w:t>
      </w:r>
    </w:p>
    <w:p w:rsidR="007017BF" w:rsidRPr="007017BF" w:rsidRDefault="007017BF" w:rsidP="007017BF">
      <w:pPr>
        <w:tabs>
          <w:tab w:val="center" w:pos="4680"/>
        </w:tabs>
        <w:suppressAutoHyphens/>
        <w:spacing w:after="240" w:line="240" w:lineRule="auto"/>
        <w:jc w:val="center"/>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OMB CONTROL NUMBER 3038-</w:t>
      </w:r>
      <w:r w:rsidR="00FB3E03">
        <w:rPr>
          <w:rFonts w:ascii="Times New Roman" w:eastAsia="Times New Roman" w:hAnsi="Times New Roman" w:cs="Times New Roman"/>
          <w:b/>
          <w:sz w:val="24"/>
          <w:szCs w:val="24"/>
        </w:rPr>
        <w:t>0104</w:t>
      </w:r>
    </w:p>
    <w:p w:rsidR="007017BF" w:rsidRPr="007017BF" w:rsidRDefault="007017BF" w:rsidP="007017BF">
      <w:pPr>
        <w:tabs>
          <w:tab w:val="center" w:pos="4680"/>
        </w:tabs>
        <w:suppressAutoHyphens/>
        <w:spacing w:after="240" w:line="240" w:lineRule="auto"/>
        <w:jc w:val="center"/>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w:t>
      </w:r>
      <w:r w:rsidR="00FB3E03">
        <w:rPr>
          <w:rFonts w:ascii="Times New Roman" w:eastAsia="Times New Roman" w:hAnsi="Times New Roman" w:cs="Times New Roman"/>
          <w:b/>
          <w:sz w:val="24"/>
          <w:szCs w:val="24"/>
        </w:rPr>
        <w:t>Rule 50.52 (proposed as rule 39.6(g))</w:t>
      </w:r>
      <w:r w:rsidRPr="007017BF">
        <w:rPr>
          <w:rFonts w:ascii="Times New Roman" w:eastAsia="Times New Roman" w:hAnsi="Times New Roman" w:cs="Times New Roman"/>
          <w:b/>
          <w:sz w:val="24"/>
          <w:szCs w:val="24"/>
        </w:rPr>
        <w:t xml:space="preserve"> Affiliate Transaction </w:t>
      </w:r>
      <w:proofErr w:type="spellStart"/>
      <w:r w:rsidRPr="007017BF">
        <w:rPr>
          <w:rFonts w:ascii="Times New Roman" w:eastAsia="Times New Roman" w:hAnsi="Times New Roman" w:cs="Times New Roman"/>
          <w:b/>
          <w:sz w:val="24"/>
          <w:szCs w:val="24"/>
        </w:rPr>
        <w:t>Uncleared</w:t>
      </w:r>
      <w:proofErr w:type="spellEnd"/>
      <w:r w:rsidRPr="007017BF">
        <w:rPr>
          <w:rFonts w:ascii="Times New Roman" w:eastAsia="Times New Roman" w:hAnsi="Times New Roman" w:cs="Times New Roman"/>
          <w:b/>
          <w:sz w:val="24"/>
          <w:szCs w:val="24"/>
        </w:rPr>
        <w:t xml:space="preserve"> Swap Notification”</w:t>
      </w:r>
    </w:p>
    <w:p w:rsidR="007017BF" w:rsidRPr="007017BF" w:rsidRDefault="007017BF" w:rsidP="007017BF">
      <w:pPr>
        <w:spacing w:after="240" w:line="240" w:lineRule="auto"/>
        <w:outlineLvl w:val="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Justification</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b/>
          <w:sz w:val="24"/>
          <w:szCs w:val="24"/>
        </w:rPr>
        <w:t>1.</w:t>
      </w:r>
      <w:r w:rsidRPr="007017BF">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017BF" w:rsidRPr="007017BF" w:rsidRDefault="007017BF" w:rsidP="007017BF">
      <w:pPr>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Section 2(h)(1)(A) of the Commodity Exchange Act (“CEA”) makes it unlawful for any person to engage in a swap if the </w:t>
      </w:r>
      <w:r w:rsidR="001A1B7C">
        <w:rPr>
          <w:rFonts w:ascii="Times New Roman" w:eastAsia="Times New Roman" w:hAnsi="Times New Roman" w:cs="Times New Roman"/>
          <w:sz w:val="24"/>
          <w:szCs w:val="24"/>
        </w:rPr>
        <w:t xml:space="preserve">Commodity Futures Trading </w:t>
      </w:r>
      <w:r w:rsidRPr="007017BF">
        <w:rPr>
          <w:rFonts w:ascii="Times New Roman" w:eastAsia="Times New Roman" w:hAnsi="Times New Roman" w:cs="Times New Roman"/>
          <w:sz w:val="24"/>
          <w:szCs w:val="24"/>
        </w:rPr>
        <w:t>Commission</w:t>
      </w:r>
      <w:r w:rsidR="001A1B7C">
        <w:rPr>
          <w:rFonts w:ascii="Times New Roman" w:eastAsia="Times New Roman" w:hAnsi="Times New Roman" w:cs="Times New Roman"/>
          <w:sz w:val="24"/>
          <w:szCs w:val="24"/>
        </w:rPr>
        <w:t xml:space="preserve"> (“Commission”)</w:t>
      </w:r>
      <w:r w:rsidRPr="007017BF">
        <w:rPr>
          <w:rFonts w:ascii="Times New Roman" w:eastAsia="Times New Roman" w:hAnsi="Times New Roman" w:cs="Times New Roman"/>
          <w:sz w:val="24"/>
          <w:szCs w:val="24"/>
        </w:rPr>
        <w:t xml:space="preserve"> determines such swap is required to be cleared, unless that person submits the swap for clearing to a registered derivatives clearing organization.  7 U.S.C. 2(h</w:t>
      </w:r>
      <w:proofErr w:type="gramStart"/>
      <w:r w:rsidRPr="007017BF">
        <w:rPr>
          <w:rFonts w:ascii="Times New Roman" w:eastAsia="Times New Roman" w:hAnsi="Times New Roman" w:cs="Times New Roman"/>
          <w:sz w:val="24"/>
          <w:szCs w:val="24"/>
        </w:rPr>
        <w:t>)(</w:t>
      </w:r>
      <w:proofErr w:type="gramEnd"/>
      <w:r w:rsidRPr="007017BF">
        <w:rPr>
          <w:rFonts w:ascii="Times New Roman" w:eastAsia="Times New Roman" w:hAnsi="Times New Roman" w:cs="Times New Roman"/>
          <w:sz w:val="24"/>
          <w:szCs w:val="24"/>
        </w:rPr>
        <w:t xml:space="preserve">1)(A).  By exercising its general exemptive authority in CEA section 4(c)(1), </w:t>
      </w:r>
      <w:r w:rsidR="00CA0322">
        <w:rPr>
          <w:rFonts w:ascii="Times New Roman" w:eastAsia="Times New Roman" w:hAnsi="Times New Roman" w:cs="Times New Roman"/>
          <w:sz w:val="24"/>
          <w:szCs w:val="24"/>
        </w:rPr>
        <w:t xml:space="preserve">on April 1, 2013, </w:t>
      </w:r>
      <w:r w:rsidRPr="007017BF">
        <w:rPr>
          <w:rFonts w:ascii="Times New Roman" w:eastAsia="Times New Roman" w:hAnsi="Times New Roman" w:cs="Times New Roman"/>
          <w:sz w:val="24"/>
          <w:szCs w:val="24"/>
        </w:rPr>
        <w:t xml:space="preserve">the Commission </w:t>
      </w:r>
      <w:r w:rsidR="00CF3D1F">
        <w:rPr>
          <w:rFonts w:ascii="Times New Roman" w:eastAsia="Times New Roman" w:hAnsi="Times New Roman" w:cs="Times New Roman"/>
          <w:sz w:val="24"/>
          <w:szCs w:val="24"/>
        </w:rPr>
        <w:t>adopted</w:t>
      </w:r>
      <w:r w:rsidR="00CA0322">
        <w:rPr>
          <w:rFonts w:ascii="Times New Roman" w:eastAsia="Times New Roman" w:hAnsi="Times New Roman" w:cs="Times New Roman"/>
          <w:sz w:val="24"/>
          <w:szCs w:val="24"/>
        </w:rPr>
        <w:t xml:space="preserve"> a final rule</w:t>
      </w:r>
      <w:r w:rsidR="00AB1091"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exempt</w:t>
      </w:r>
      <w:r w:rsidR="00D85506">
        <w:rPr>
          <w:rFonts w:ascii="Times New Roman" w:eastAsia="Times New Roman" w:hAnsi="Times New Roman" w:cs="Times New Roman"/>
          <w:sz w:val="24"/>
          <w:szCs w:val="24"/>
        </w:rPr>
        <w:t>ing</w:t>
      </w:r>
      <w:r w:rsidRPr="007017BF">
        <w:rPr>
          <w:rFonts w:ascii="Times New Roman" w:eastAsia="Times New Roman" w:hAnsi="Times New Roman" w:cs="Times New Roman"/>
          <w:sz w:val="24"/>
          <w:szCs w:val="24"/>
        </w:rPr>
        <w:t xml:space="preserve"> from the statutory clearing requirement swap transactions between certain affiliated entities within a corporate group (“inter-affiliate swaps”), subject to certain conditions.</w:t>
      </w:r>
      <w:r w:rsidRPr="007017BF">
        <w:rPr>
          <w:rFonts w:ascii="Times New Roman" w:eastAsia="Times New Roman" w:hAnsi="Times New Roman" w:cs="Times New Roman"/>
          <w:sz w:val="24"/>
          <w:szCs w:val="24"/>
          <w:vertAlign w:val="superscript"/>
        </w:rPr>
        <w:footnoteReference w:id="1"/>
      </w:r>
      <w:r w:rsidRPr="007017BF">
        <w:rPr>
          <w:rFonts w:ascii="Times New Roman" w:eastAsia="Times New Roman" w:hAnsi="Times New Roman" w:cs="Times New Roman"/>
          <w:sz w:val="24"/>
          <w:szCs w:val="24"/>
        </w:rPr>
        <w:t xml:space="preserve">  </w:t>
      </w:r>
      <w:proofErr w:type="gramStart"/>
      <w:r w:rsidRPr="007017BF">
        <w:rPr>
          <w:rFonts w:ascii="Times New Roman" w:eastAsia="Times New Roman" w:hAnsi="Times New Roman" w:cs="Times New Roman"/>
          <w:sz w:val="24"/>
          <w:szCs w:val="24"/>
        </w:rPr>
        <w:t>7 U.S.C. 6(c).</w:t>
      </w:r>
      <w:proofErr w:type="gramEnd"/>
      <w:r w:rsidRPr="007017BF">
        <w:rPr>
          <w:rFonts w:ascii="Times New Roman" w:eastAsia="Times New Roman" w:hAnsi="Times New Roman" w:cs="Times New Roman"/>
          <w:sz w:val="24"/>
          <w:szCs w:val="24"/>
        </w:rPr>
        <w:t xml:space="preserve">  </w:t>
      </w:r>
      <w:r w:rsidR="00CA0322">
        <w:rPr>
          <w:rFonts w:ascii="Times New Roman" w:eastAsia="Times New Roman" w:hAnsi="Times New Roman" w:cs="Times New Roman"/>
          <w:sz w:val="24"/>
          <w:szCs w:val="24"/>
        </w:rPr>
        <w:t>Rule 50.52 (proposed as rule 39.6(g))</w:t>
      </w:r>
      <w:r w:rsidRPr="007017BF">
        <w:rPr>
          <w:rFonts w:ascii="Times New Roman" w:eastAsia="Times New Roman" w:hAnsi="Times New Roman" w:cs="Times New Roman"/>
          <w:sz w:val="24"/>
          <w:szCs w:val="24"/>
        </w:rPr>
        <w:t xml:space="preserve"> </w:t>
      </w:r>
      <w:r w:rsidR="00CA0322" w:rsidRPr="007017BF">
        <w:rPr>
          <w:rFonts w:ascii="Times New Roman" w:eastAsia="Times New Roman" w:hAnsi="Times New Roman" w:cs="Times New Roman"/>
          <w:sz w:val="24"/>
          <w:szCs w:val="24"/>
        </w:rPr>
        <w:t>contain</w:t>
      </w:r>
      <w:r w:rsidR="00CA0322">
        <w:rPr>
          <w:rFonts w:ascii="Times New Roman" w:eastAsia="Times New Roman" w:hAnsi="Times New Roman" w:cs="Times New Roman"/>
          <w:sz w:val="24"/>
          <w:szCs w:val="24"/>
        </w:rPr>
        <w:t>s</w:t>
      </w:r>
      <w:r w:rsidR="00CA0322"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the elective exemption and </w:t>
      </w:r>
      <w:r w:rsidR="00CA0322" w:rsidRPr="007017BF">
        <w:rPr>
          <w:rFonts w:ascii="Times New Roman" w:eastAsia="Times New Roman" w:hAnsi="Times New Roman" w:cs="Times New Roman"/>
          <w:sz w:val="24"/>
          <w:szCs w:val="24"/>
        </w:rPr>
        <w:t>outlin</w:t>
      </w:r>
      <w:r w:rsidR="00CA0322">
        <w:rPr>
          <w:rFonts w:ascii="Times New Roman" w:eastAsia="Times New Roman" w:hAnsi="Times New Roman" w:cs="Times New Roman"/>
          <w:sz w:val="24"/>
          <w:szCs w:val="24"/>
        </w:rPr>
        <w:t>es</w:t>
      </w:r>
      <w:r w:rsidR="00CA0322"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the conditions entities must satisfy in order to rely upon it. </w:t>
      </w:r>
      <w:r w:rsidRPr="007017BF">
        <w:rPr>
          <w:rFonts w:ascii="Times New Roman" w:eastAsia="Calibri" w:hAnsi="Times New Roman" w:cs="Times New Roman"/>
          <w:sz w:val="24"/>
          <w:szCs w:val="24"/>
        </w:rPr>
        <w:t xml:space="preserve"> </w:t>
      </w:r>
      <w:r w:rsidRPr="007017BF">
        <w:rPr>
          <w:rFonts w:ascii="Times New Roman" w:eastAsia="Times New Roman" w:hAnsi="Times New Roman" w:cs="Times New Roman"/>
          <w:sz w:val="24"/>
          <w:szCs w:val="24"/>
        </w:rPr>
        <w:t>These conditions are designed to address Commission concerns regarding inter-affiliate swap risk and to provide the Commission with information necessary to regulate swaps markets.</w:t>
      </w:r>
      <w:r w:rsidR="001A1B7C">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 </w:t>
      </w:r>
    </w:p>
    <w:p w:rsidR="006D7DBF" w:rsidRPr="007017BF" w:rsidRDefault="007017BF" w:rsidP="004D5E12">
      <w:pPr>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Among the conditions of the exemption is a notification and reporting requirement.  By electing the exemption, affiliated entities</w:t>
      </w:r>
      <w:r w:rsidR="00AB1091">
        <w:rPr>
          <w:rFonts w:ascii="Times New Roman" w:eastAsia="Times New Roman" w:hAnsi="Times New Roman" w:cs="Times New Roman"/>
          <w:sz w:val="24"/>
          <w:szCs w:val="24"/>
        </w:rPr>
        <w:t xml:space="preserve">, known as “eligible affiliate counterparties”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be transacting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swaps, transactions </w:t>
      </w:r>
      <w:r w:rsidR="0084182A">
        <w:rPr>
          <w:rFonts w:ascii="Times New Roman" w:eastAsia="Times New Roman" w:hAnsi="Times New Roman" w:cs="Times New Roman"/>
          <w:sz w:val="24"/>
          <w:szCs w:val="24"/>
        </w:rPr>
        <w:t>that</w:t>
      </w:r>
      <w:r w:rsidRPr="007017BF">
        <w:rPr>
          <w:rFonts w:ascii="Times New Roman" w:eastAsia="Times New Roman" w:hAnsi="Times New Roman" w:cs="Times New Roman"/>
          <w:sz w:val="24"/>
          <w:szCs w:val="24"/>
        </w:rPr>
        <w:t xml:space="preserve"> CEA section 4r requires be reported to a swap data repository (“SDR”), or to the Commission if no SDR will accept such information.  </w:t>
      </w:r>
      <w:proofErr w:type="gramStart"/>
      <w:r w:rsidRPr="007017BF">
        <w:rPr>
          <w:rFonts w:ascii="Times New Roman" w:eastAsia="Times New Roman" w:hAnsi="Times New Roman" w:cs="Times New Roman"/>
          <w:sz w:val="24"/>
          <w:szCs w:val="24"/>
        </w:rPr>
        <w:t>7 U.S.C. 6r.</w:t>
      </w:r>
      <w:proofErr w:type="gramEnd"/>
      <w:r w:rsidRPr="007017BF">
        <w:rPr>
          <w:rFonts w:ascii="Times New Roman" w:eastAsia="Times New Roman" w:hAnsi="Times New Roman" w:cs="Times New Roman"/>
          <w:sz w:val="24"/>
          <w:szCs w:val="24"/>
        </w:rPr>
        <w:t xml:space="preserve">  </w:t>
      </w:r>
      <w:r w:rsidR="00CA0322">
        <w:rPr>
          <w:rFonts w:ascii="Times New Roman" w:eastAsia="Times New Roman" w:hAnsi="Times New Roman" w:cs="Times New Roman"/>
          <w:sz w:val="24"/>
          <w:szCs w:val="24"/>
        </w:rPr>
        <w:t>Rule 50.52(c) (p</w:t>
      </w:r>
      <w:r w:rsidR="00CA0322" w:rsidRPr="007017BF">
        <w:rPr>
          <w:rFonts w:ascii="Times New Roman" w:eastAsia="Times New Roman" w:hAnsi="Times New Roman" w:cs="Times New Roman"/>
          <w:sz w:val="24"/>
          <w:szCs w:val="24"/>
        </w:rPr>
        <w:t xml:space="preserve">roposed </w:t>
      </w:r>
      <w:r w:rsidR="00CA0322">
        <w:rPr>
          <w:rFonts w:ascii="Times New Roman" w:eastAsia="Times New Roman" w:hAnsi="Times New Roman" w:cs="Times New Roman"/>
          <w:sz w:val="24"/>
          <w:szCs w:val="24"/>
        </w:rPr>
        <w:t xml:space="preserve">as </w:t>
      </w:r>
      <w:r w:rsidRPr="007017BF">
        <w:rPr>
          <w:rFonts w:ascii="Times New Roman" w:eastAsia="Times New Roman" w:hAnsi="Times New Roman" w:cs="Times New Roman"/>
          <w:sz w:val="24"/>
          <w:szCs w:val="24"/>
        </w:rPr>
        <w:t>rule 39.6(g)(4)</w:t>
      </w:r>
      <w:r w:rsidR="00CA0322">
        <w:rPr>
          <w:rFonts w:ascii="Times New Roman" w:eastAsia="Times New Roman" w:hAnsi="Times New Roman" w:cs="Times New Roman"/>
          <w:sz w:val="24"/>
          <w:szCs w:val="24"/>
        </w:rPr>
        <w:t>)</w:t>
      </w:r>
      <w:r w:rsidRPr="007017BF">
        <w:rPr>
          <w:rFonts w:ascii="Times New Roman" w:eastAsia="Times New Roman" w:hAnsi="Times New Roman" w:cs="Times New Roman"/>
          <w:sz w:val="24"/>
          <w:szCs w:val="24"/>
        </w:rPr>
        <w:t xml:space="preserve"> implements the reporting requirement in CEA section 4r for these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inter-affiliate swaps and specifies the exact information that must be reported.  CEA section 2(j) further requires issuers of securities under section 12 of the </w:t>
      </w:r>
      <w:r w:rsidRPr="007017BF">
        <w:rPr>
          <w:rFonts w:ascii="Times New Roman" w:eastAsia="Times New Roman" w:hAnsi="Times New Roman" w:cs="Times New Roman"/>
          <w:sz w:val="24"/>
          <w:szCs w:val="24"/>
        </w:rPr>
        <w:lastRenderedPageBreak/>
        <w:t>Securities Exchange Act of 1934 (“Exchange Act”) or required to file reports under Exchange Act section 15(d) (</w:t>
      </w:r>
      <w:r w:rsidR="00CA0322">
        <w:rPr>
          <w:rFonts w:ascii="Times New Roman" w:eastAsia="Times New Roman" w:hAnsi="Times New Roman" w:cs="Times New Roman"/>
          <w:sz w:val="24"/>
          <w:szCs w:val="24"/>
        </w:rPr>
        <w:t xml:space="preserve">collectively, </w:t>
      </w:r>
      <w:r w:rsidRPr="007017BF">
        <w:rPr>
          <w:rFonts w:ascii="Times New Roman" w:eastAsia="Times New Roman" w:hAnsi="Times New Roman" w:cs="Times New Roman"/>
          <w:sz w:val="24"/>
          <w:szCs w:val="24"/>
        </w:rPr>
        <w:t xml:space="preserve">“SEC Filers”) electing exemptions from the clearing requirement in CEA section 2(h) to first have an appropriate committee of the issuer’s board or governing body review and approve its decision to enter into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swaps.  </w:t>
      </w:r>
      <w:proofErr w:type="gramStart"/>
      <w:r w:rsidRPr="007017BF">
        <w:rPr>
          <w:rFonts w:ascii="Times New Roman" w:eastAsia="Times New Roman" w:hAnsi="Times New Roman" w:cs="Times New Roman"/>
          <w:sz w:val="24"/>
          <w:szCs w:val="24"/>
        </w:rPr>
        <w:t>7 U.S.C. 2(j).</w:t>
      </w:r>
      <w:proofErr w:type="gramEnd"/>
      <w:r w:rsidRPr="007017BF">
        <w:rPr>
          <w:rFonts w:ascii="Times New Roman" w:eastAsia="Times New Roman" w:hAnsi="Times New Roman" w:cs="Times New Roman"/>
          <w:sz w:val="24"/>
          <w:szCs w:val="24"/>
        </w:rPr>
        <w:t xml:space="preserve">  Specifically, rule</w:t>
      </w:r>
      <w:r w:rsidR="00CA0322">
        <w:rPr>
          <w:rFonts w:ascii="Times New Roman" w:eastAsia="Times New Roman" w:hAnsi="Times New Roman" w:cs="Times New Roman"/>
          <w:sz w:val="24"/>
          <w:szCs w:val="24"/>
        </w:rPr>
        <w:t xml:space="preserve"> 50.52(c</w:t>
      </w:r>
      <w:proofErr w:type="gramStart"/>
      <w:r w:rsidR="00CA0322">
        <w:rPr>
          <w:rFonts w:ascii="Times New Roman" w:eastAsia="Times New Roman" w:hAnsi="Times New Roman" w:cs="Times New Roman"/>
          <w:sz w:val="24"/>
          <w:szCs w:val="24"/>
        </w:rPr>
        <w:t>)(</w:t>
      </w:r>
      <w:proofErr w:type="gramEnd"/>
      <w:r w:rsidR="00CA0322">
        <w:rPr>
          <w:rFonts w:ascii="Times New Roman" w:eastAsia="Times New Roman" w:hAnsi="Times New Roman" w:cs="Times New Roman"/>
          <w:sz w:val="24"/>
          <w:szCs w:val="24"/>
        </w:rPr>
        <w:t>3) (proposed as rule</w:t>
      </w:r>
      <w:r w:rsidRPr="007017BF">
        <w:rPr>
          <w:rFonts w:ascii="Times New Roman" w:eastAsia="Times New Roman" w:hAnsi="Times New Roman" w:cs="Times New Roman"/>
          <w:sz w:val="24"/>
          <w:szCs w:val="24"/>
        </w:rPr>
        <w:t xml:space="preserve"> 39.6(g)(4)(iii)</w:t>
      </w:r>
      <w:r w:rsidR="00CA0322">
        <w:rPr>
          <w:rFonts w:ascii="Times New Roman" w:eastAsia="Times New Roman" w:hAnsi="Times New Roman" w:cs="Times New Roman"/>
          <w:sz w:val="24"/>
          <w:szCs w:val="24"/>
        </w:rPr>
        <w:t>)</w:t>
      </w:r>
      <w:r w:rsidR="001A1B7C">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implement</w:t>
      </w:r>
      <w:r w:rsidR="00CA0322">
        <w:rPr>
          <w:rFonts w:ascii="Times New Roman" w:eastAsia="Times New Roman" w:hAnsi="Times New Roman" w:cs="Times New Roman"/>
          <w:sz w:val="24"/>
          <w:szCs w:val="24"/>
        </w:rPr>
        <w:t>s</w:t>
      </w:r>
      <w:r w:rsidRPr="007017BF">
        <w:rPr>
          <w:rFonts w:ascii="Times New Roman" w:eastAsia="Times New Roman" w:hAnsi="Times New Roman" w:cs="Times New Roman"/>
          <w:sz w:val="24"/>
          <w:szCs w:val="24"/>
        </w:rPr>
        <w:t xml:space="preserve"> CEA section 2(j) and collect</w:t>
      </w:r>
      <w:r w:rsidR="004554CD">
        <w:rPr>
          <w:rFonts w:ascii="Times New Roman" w:eastAsia="Times New Roman" w:hAnsi="Times New Roman" w:cs="Times New Roman"/>
          <w:sz w:val="24"/>
          <w:szCs w:val="24"/>
        </w:rPr>
        <w:t>s</w:t>
      </w:r>
      <w:r w:rsidRPr="007017BF">
        <w:rPr>
          <w:rFonts w:ascii="Times New Roman" w:eastAsia="Times New Roman" w:hAnsi="Times New Roman" w:cs="Times New Roman"/>
          <w:sz w:val="24"/>
          <w:szCs w:val="24"/>
        </w:rPr>
        <w:t xml:space="preserve"> information from SEC Filers necessary to satisfy that requirement.  Additionally, </w:t>
      </w:r>
      <w:r w:rsidR="004554CD">
        <w:rPr>
          <w:rFonts w:ascii="Times New Roman" w:eastAsia="Times New Roman" w:hAnsi="Times New Roman" w:cs="Times New Roman"/>
          <w:sz w:val="24"/>
          <w:szCs w:val="24"/>
        </w:rPr>
        <w:t>rule 50.52(d) (</w:t>
      </w:r>
      <w:r w:rsidRPr="007017BF">
        <w:rPr>
          <w:rFonts w:ascii="Times New Roman" w:eastAsia="Times New Roman" w:hAnsi="Times New Roman" w:cs="Times New Roman"/>
          <w:sz w:val="24"/>
          <w:szCs w:val="24"/>
        </w:rPr>
        <w:t xml:space="preserve">proposed </w:t>
      </w:r>
      <w:r w:rsidR="004554CD">
        <w:rPr>
          <w:rFonts w:ascii="Times New Roman" w:eastAsia="Times New Roman" w:hAnsi="Times New Roman" w:cs="Times New Roman"/>
          <w:sz w:val="24"/>
          <w:szCs w:val="24"/>
        </w:rPr>
        <w:t xml:space="preserve">as </w:t>
      </w:r>
      <w:r w:rsidRPr="007017BF">
        <w:rPr>
          <w:rFonts w:ascii="Times New Roman" w:eastAsia="Times New Roman" w:hAnsi="Times New Roman" w:cs="Times New Roman"/>
          <w:sz w:val="24"/>
          <w:szCs w:val="24"/>
        </w:rPr>
        <w:t>rule 39.6(g)(5)</w:t>
      </w:r>
      <w:r w:rsidR="004554CD">
        <w:rPr>
          <w:rFonts w:ascii="Times New Roman" w:eastAsia="Times New Roman" w:hAnsi="Times New Roman" w:cs="Times New Roman"/>
          <w:sz w:val="24"/>
          <w:szCs w:val="24"/>
        </w:rPr>
        <w:t>)</w:t>
      </w:r>
      <w:r w:rsidRPr="007017BF">
        <w:rPr>
          <w:rFonts w:ascii="Times New Roman" w:eastAsia="Times New Roman" w:hAnsi="Times New Roman" w:cs="Times New Roman"/>
          <w:sz w:val="24"/>
          <w:szCs w:val="24"/>
        </w:rPr>
        <w:t xml:space="preserve"> allow</w:t>
      </w:r>
      <w:r w:rsidR="004554CD">
        <w:rPr>
          <w:rFonts w:ascii="Times New Roman" w:eastAsia="Times New Roman" w:hAnsi="Times New Roman" w:cs="Times New Roman"/>
          <w:sz w:val="24"/>
          <w:szCs w:val="24"/>
        </w:rPr>
        <w:t>s</w:t>
      </w:r>
      <w:r w:rsidRPr="007017BF">
        <w:rPr>
          <w:rFonts w:ascii="Times New Roman" w:eastAsia="Times New Roman" w:hAnsi="Times New Roman" w:cs="Times New Roman"/>
          <w:sz w:val="24"/>
          <w:szCs w:val="24"/>
        </w:rPr>
        <w:t xml:space="preserve"> entities to submit some information, including the information required by CEA section 2(j), on an annual basis, as opposed to submitting identical information with each qualifying inter-affiliate swap.</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2.</w:t>
      </w:r>
      <w:r w:rsidRPr="007017BF">
        <w:rPr>
          <w:rFonts w:ascii="Times New Roman" w:eastAsia="Times New Roman" w:hAnsi="Times New Roman" w:cs="Times New Roman"/>
          <w:b/>
          <w:sz w:val="24"/>
          <w:szCs w:val="24"/>
        </w:rPr>
        <w:tab/>
        <w:t>Indicate how, by whom, and for what purpose the data would be used.  Except for a new collection, indicate the actual use the agency has made of the information received from the current collection.</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b/>
          <w:sz w:val="24"/>
          <w:szCs w:val="24"/>
        </w:rPr>
        <w:tab/>
      </w:r>
      <w:r w:rsidRPr="007017BF">
        <w:rPr>
          <w:rFonts w:ascii="Times New Roman" w:eastAsia="Times New Roman" w:hAnsi="Times New Roman" w:cs="Times New Roman"/>
          <w:sz w:val="24"/>
          <w:szCs w:val="24"/>
        </w:rPr>
        <w:t xml:space="preserve">The data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be collected either by SDRs or by the Commission directly.  The Commission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use the data to monitor use of the exemption by </w:t>
      </w:r>
      <w:r w:rsidR="00AB1091">
        <w:rPr>
          <w:rFonts w:ascii="Times New Roman" w:eastAsia="Times New Roman" w:hAnsi="Times New Roman" w:cs="Times New Roman"/>
          <w:sz w:val="24"/>
          <w:szCs w:val="24"/>
        </w:rPr>
        <w:t>eligible affiliate counterparties</w:t>
      </w:r>
      <w:r w:rsidRPr="007017BF">
        <w:rPr>
          <w:rFonts w:ascii="Times New Roman" w:eastAsia="Times New Roman" w:hAnsi="Times New Roman" w:cs="Times New Roman"/>
          <w:sz w:val="24"/>
          <w:szCs w:val="24"/>
        </w:rPr>
        <w:t xml:space="preserve">, to analyze the risk characteristics of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swaps generally, and to enhance the Commission’s ability to identify and reduce potential systemic risk.</w:t>
      </w:r>
    </w:p>
    <w:p w:rsidR="007017BF" w:rsidRPr="007017BF"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3.</w:t>
      </w:r>
      <w:r w:rsidRPr="007017BF">
        <w:rPr>
          <w:rFonts w:ascii="Times New Roman" w:eastAsia="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The Commission is committed to utilizing technology in order to reduce reporting burdens for respondents.  Information may be submitted electronically to an SDR or the Commission directly. The Commission anticipates that nearly 100% of the collection of information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be submitted electronically.</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4.</w:t>
      </w:r>
      <w:r w:rsidRPr="007017BF">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required information is not available from any other source.</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5.</w:t>
      </w:r>
      <w:r w:rsidRPr="007017BF">
        <w:rPr>
          <w:rFonts w:ascii="Times New Roman" w:eastAsia="Times New Roman" w:hAnsi="Times New Roman" w:cs="Times New Roman"/>
          <w:b/>
          <w:sz w:val="24"/>
          <w:szCs w:val="24"/>
        </w:rPr>
        <w:tab/>
        <w:t>If the collection of information involves small business or other small entities (Item 5 of OMB From 83-I), describe the methods used to minimize burden.</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collection of information will not have a significant impact on a substantial number of small entities.</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6.</w:t>
      </w:r>
      <w:r w:rsidRPr="007017BF">
        <w:rPr>
          <w:rFonts w:ascii="Times New Roman" w:eastAsia="Times New Roman" w:hAnsi="Times New Roman" w:cs="Times New Roman"/>
          <w:b/>
          <w:sz w:val="24"/>
          <w:szCs w:val="24"/>
        </w:rPr>
        <w:tab/>
        <w:t>Describe the consequence to the Federal Program or policy activities if the collection were conducted less frequently as well as any technical or legal obstacles to reducing burden.</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If the information required under this collection of information were not collected or was conducted less frequently, the Commission’s ability to monitor and enforce the conditions set </w:t>
      </w:r>
      <w:r w:rsidRPr="007017BF">
        <w:rPr>
          <w:rFonts w:ascii="Times New Roman" w:eastAsia="Times New Roman" w:hAnsi="Times New Roman" w:cs="Times New Roman"/>
          <w:sz w:val="24"/>
          <w:szCs w:val="24"/>
        </w:rPr>
        <w:lastRenderedPageBreak/>
        <w:t xml:space="preserve">forth in the exemption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be hindered.  The Commission would be unable to ensure that only </w:t>
      </w:r>
      <w:r w:rsidR="00AB1091">
        <w:rPr>
          <w:rFonts w:ascii="Times New Roman" w:eastAsia="Times New Roman" w:hAnsi="Times New Roman" w:cs="Times New Roman"/>
          <w:sz w:val="24"/>
          <w:szCs w:val="24"/>
        </w:rPr>
        <w:t xml:space="preserve">eligible </w:t>
      </w:r>
      <w:r w:rsidRPr="007017BF">
        <w:rPr>
          <w:rFonts w:ascii="Times New Roman" w:eastAsia="Times New Roman" w:hAnsi="Times New Roman" w:cs="Times New Roman"/>
          <w:sz w:val="24"/>
          <w:szCs w:val="24"/>
        </w:rPr>
        <w:t>affiliate</w:t>
      </w:r>
      <w:r w:rsidR="00AB1091">
        <w:rPr>
          <w:rFonts w:ascii="Times New Roman" w:eastAsia="Times New Roman" w:hAnsi="Times New Roman" w:cs="Times New Roman"/>
          <w:sz w:val="24"/>
          <w:szCs w:val="24"/>
        </w:rPr>
        <w:t xml:space="preserve"> counterparties</w:t>
      </w:r>
      <w:r w:rsidRPr="007017BF">
        <w:rPr>
          <w:rFonts w:ascii="Times New Roman" w:eastAsia="Times New Roman" w:hAnsi="Times New Roman" w:cs="Times New Roman"/>
          <w:sz w:val="24"/>
          <w:szCs w:val="24"/>
        </w:rPr>
        <w:t xml:space="preserve"> meeting the specified conditions elect the exemption, and the Commission’s ability to evaluate the risks of, and monitor the use of </w:t>
      </w:r>
      <w:proofErr w:type="spellStart"/>
      <w:r w:rsidRPr="007017BF">
        <w:rPr>
          <w:rFonts w:ascii="Times New Roman" w:eastAsia="Times New Roman" w:hAnsi="Times New Roman" w:cs="Times New Roman"/>
          <w:sz w:val="24"/>
          <w:szCs w:val="24"/>
        </w:rPr>
        <w:t>uncleared</w:t>
      </w:r>
      <w:proofErr w:type="spellEnd"/>
      <w:r w:rsidRPr="007017BF">
        <w:rPr>
          <w:rFonts w:ascii="Times New Roman" w:eastAsia="Times New Roman" w:hAnsi="Times New Roman" w:cs="Times New Roman"/>
          <w:sz w:val="24"/>
          <w:szCs w:val="24"/>
        </w:rPr>
        <w:t xml:space="preserve"> inter-affiliate swaps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be hindered.</w:t>
      </w:r>
      <w:r w:rsidRPr="007017BF">
        <w:rPr>
          <w:rFonts w:ascii="Times New Roman" w:eastAsia="Times New Roman" w:hAnsi="Times New Roman" w:cs="Optimum"/>
          <w:color w:val="000000"/>
          <w:sz w:val="24"/>
          <w:szCs w:val="24"/>
        </w:rPr>
        <w:t xml:space="preserve"> </w:t>
      </w:r>
      <w:r w:rsidRPr="007017BF">
        <w:rPr>
          <w:rFonts w:ascii="Times New Roman" w:eastAsia="Times New Roman" w:hAnsi="Times New Roman" w:cs="Times New Roman"/>
          <w:sz w:val="24"/>
          <w:szCs w:val="24"/>
        </w:rPr>
        <w:t xml:space="preserve">In addition, failure to obtain the subject information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adversely affect the Commission’s ability to ensure the entities’ compliance with their obligations under the CEA and Commission regulations related to </w:t>
      </w:r>
      <w:r w:rsidR="00AB1091">
        <w:rPr>
          <w:rFonts w:ascii="Times New Roman" w:eastAsia="Times New Roman" w:hAnsi="Times New Roman" w:cs="Times New Roman"/>
          <w:sz w:val="24"/>
          <w:szCs w:val="24"/>
        </w:rPr>
        <w:t xml:space="preserve">the </w:t>
      </w:r>
      <w:r w:rsidRPr="007017BF">
        <w:rPr>
          <w:rFonts w:ascii="Times New Roman" w:eastAsia="Times New Roman" w:hAnsi="Times New Roman" w:cs="Times New Roman"/>
          <w:sz w:val="24"/>
          <w:szCs w:val="24"/>
        </w:rPr>
        <w:t xml:space="preserve">clearing requirement.  The integrity and efficiency of the swap markets </w:t>
      </w:r>
      <w:r w:rsidR="00D85506">
        <w:rPr>
          <w:rFonts w:ascii="Times New Roman" w:eastAsia="Times New Roman" w:hAnsi="Times New Roman" w:cs="Times New Roman"/>
          <w:sz w:val="24"/>
          <w:szCs w:val="24"/>
        </w:rPr>
        <w:t>will</w:t>
      </w:r>
      <w:r w:rsidR="00D85506"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 xml:space="preserve">be adversely affected because the information collection allows entities to </w:t>
      </w:r>
      <w:r w:rsidR="00AB1091">
        <w:rPr>
          <w:rFonts w:ascii="Times New Roman" w:eastAsia="Times New Roman" w:hAnsi="Times New Roman" w:cs="Times New Roman"/>
          <w:sz w:val="24"/>
          <w:szCs w:val="24"/>
        </w:rPr>
        <w:t>elect an</w:t>
      </w:r>
      <w:r w:rsidR="00AB1091"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exempt</w:t>
      </w:r>
      <w:r w:rsidR="00AB1091">
        <w:rPr>
          <w:rFonts w:ascii="Times New Roman" w:eastAsia="Times New Roman" w:hAnsi="Times New Roman" w:cs="Times New Roman"/>
          <w:sz w:val="24"/>
          <w:szCs w:val="24"/>
        </w:rPr>
        <w:t>ion</w:t>
      </w:r>
      <w:r w:rsidRPr="007017BF">
        <w:rPr>
          <w:rFonts w:ascii="Times New Roman" w:eastAsia="Times New Roman" w:hAnsi="Times New Roman" w:cs="Times New Roman"/>
          <w:sz w:val="24"/>
          <w:szCs w:val="24"/>
        </w:rPr>
        <w:t xml:space="preserve"> </w:t>
      </w:r>
      <w:r w:rsidR="00AB1091">
        <w:rPr>
          <w:rFonts w:ascii="Times New Roman" w:eastAsia="Times New Roman" w:hAnsi="Times New Roman" w:cs="Times New Roman"/>
          <w:sz w:val="24"/>
          <w:szCs w:val="24"/>
        </w:rPr>
        <w:t xml:space="preserve">for certain swaps </w:t>
      </w:r>
      <w:r w:rsidRPr="007017BF">
        <w:rPr>
          <w:rFonts w:ascii="Times New Roman" w:eastAsia="Times New Roman" w:hAnsi="Times New Roman" w:cs="Times New Roman"/>
          <w:sz w:val="24"/>
          <w:szCs w:val="24"/>
        </w:rPr>
        <w:t xml:space="preserve">from the clearing requirement. The information collection cannot be conducted less frequently without compromising the accuracy and timeliness of the data.  </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7.</w:t>
      </w:r>
      <w:r w:rsidRPr="007017BF">
        <w:rPr>
          <w:rFonts w:ascii="Times New Roman" w:eastAsia="Times New Roman" w:hAnsi="Times New Roman" w:cs="Times New Roman"/>
          <w:b/>
          <w:sz w:val="24"/>
          <w:szCs w:val="24"/>
        </w:rPr>
        <w:tab/>
        <w:t>Explain any special circumstances that require the collection to be conducted in a manner:</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respondents to report information to the agency more often than quarterly;</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bCs/>
          <w:sz w:val="24"/>
          <w:szCs w:val="24"/>
        </w:rPr>
      </w:pPr>
      <w:r w:rsidRPr="007017BF">
        <w:rPr>
          <w:rFonts w:ascii="Times New Roman" w:eastAsia="Times New Roman" w:hAnsi="Times New Roman" w:cs="Times New Roman"/>
          <w:bCs/>
          <w:sz w:val="24"/>
          <w:szCs w:val="24"/>
        </w:rPr>
        <w:tab/>
        <w:t xml:space="preserve">The reporting counterparty </w:t>
      </w:r>
      <w:r w:rsidR="004554CD">
        <w:rPr>
          <w:rFonts w:ascii="Times New Roman" w:eastAsia="Times New Roman" w:hAnsi="Times New Roman" w:cs="Times New Roman"/>
          <w:bCs/>
          <w:sz w:val="24"/>
          <w:szCs w:val="24"/>
        </w:rPr>
        <w:t>must</w:t>
      </w:r>
      <w:r w:rsidRPr="007017BF">
        <w:rPr>
          <w:rFonts w:ascii="Times New Roman" w:eastAsia="Times New Roman" w:hAnsi="Times New Roman" w:cs="Times New Roman"/>
          <w:bCs/>
          <w:sz w:val="24"/>
          <w:szCs w:val="24"/>
        </w:rPr>
        <w:t xml:space="preserve"> report the information required in § </w:t>
      </w:r>
      <w:r w:rsidR="004554CD">
        <w:rPr>
          <w:rFonts w:ascii="Times New Roman" w:eastAsia="Times New Roman" w:hAnsi="Times New Roman" w:cs="Times New Roman"/>
          <w:bCs/>
          <w:sz w:val="24"/>
          <w:szCs w:val="24"/>
        </w:rPr>
        <w:t>50.52(c</w:t>
      </w:r>
      <w:proofErr w:type="gramStart"/>
      <w:r w:rsidR="004554CD">
        <w:rPr>
          <w:rFonts w:ascii="Times New Roman" w:eastAsia="Times New Roman" w:hAnsi="Times New Roman" w:cs="Times New Roman"/>
          <w:bCs/>
          <w:sz w:val="24"/>
          <w:szCs w:val="24"/>
        </w:rPr>
        <w:t>)(</w:t>
      </w:r>
      <w:proofErr w:type="gramEnd"/>
      <w:r w:rsidR="004554CD">
        <w:rPr>
          <w:rFonts w:ascii="Times New Roman" w:eastAsia="Times New Roman" w:hAnsi="Times New Roman" w:cs="Times New Roman"/>
          <w:bCs/>
          <w:sz w:val="24"/>
          <w:szCs w:val="24"/>
        </w:rPr>
        <w:t xml:space="preserve">1) (proposed as </w:t>
      </w:r>
      <w:r w:rsidRPr="007017BF">
        <w:rPr>
          <w:rFonts w:ascii="Times New Roman" w:eastAsia="Times New Roman" w:hAnsi="Times New Roman" w:cs="Times New Roman"/>
          <w:bCs/>
          <w:sz w:val="24"/>
          <w:szCs w:val="24"/>
        </w:rPr>
        <w:t>39.6(g)(4)(</w:t>
      </w:r>
      <w:proofErr w:type="spellStart"/>
      <w:r w:rsidRPr="007017BF">
        <w:rPr>
          <w:rFonts w:ascii="Times New Roman" w:eastAsia="Times New Roman" w:hAnsi="Times New Roman" w:cs="Times New Roman"/>
          <w:bCs/>
          <w:sz w:val="24"/>
          <w:szCs w:val="24"/>
        </w:rPr>
        <w:t>i</w:t>
      </w:r>
      <w:proofErr w:type="spellEnd"/>
      <w:r w:rsidRPr="007017BF">
        <w:rPr>
          <w:rFonts w:ascii="Times New Roman" w:eastAsia="Times New Roman" w:hAnsi="Times New Roman" w:cs="Times New Roman"/>
          <w:bCs/>
          <w:sz w:val="24"/>
          <w:szCs w:val="24"/>
        </w:rPr>
        <w:t>)</w:t>
      </w:r>
      <w:r w:rsidR="004554CD">
        <w:rPr>
          <w:rFonts w:ascii="Times New Roman" w:eastAsia="Times New Roman" w:hAnsi="Times New Roman" w:cs="Times New Roman"/>
          <w:bCs/>
          <w:sz w:val="24"/>
          <w:szCs w:val="24"/>
        </w:rPr>
        <w:t xml:space="preserve">) </w:t>
      </w:r>
      <w:r w:rsidRPr="007017BF">
        <w:rPr>
          <w:rFonts w:ascii="Times New Roman" w:eastAsia="Times New Roman" w:hAnsi="Times New Roman" w:cs="Times New Roman"/>
          <w:bCs/>
          <w:sz w:val="24"/>
          <w:szCs w:val="24"/>
        </w:rPr>
        <w:t xml:space="preserve">for each swap.  It also </w:t>
      </w:r>
      <w:r w:rsidR="004554CD">
        <w:rPr>
          <w:rFonts w:ascii="Times New Roman" w:eastAsia="Times New Roman" w:hAnsi="Times New Roman" w:cs="Times New Roman"/>
          <w:bCs/>
          <w:sz w:val="24"/>
          <w:szCs w:val="24"/>
        </w:rPr>
        <w:t>must</w:t>
      </w:r>
      <w:r w:rsidRPr="007017BF">
        <w:rPr>
          <w:rFonts w:ascii="Times New Roman" w:eastAsia="Times New Roman" w:hAnsi="Times New Roman" w:cs="Times New Roman"/>
          <w:bCs/>
          <w:sz w:val="24"/>
          <w:szCs w:val="24"/>
        </w:rPr>
        <w:t xml:space="preserve"> report the information required in § </w:t>
      </w:r>
      <w:r w:rsidR="004554CD">
        <w:rPr>
          <w:rFonts w:ascii="Times New Roman" w:eastAsia="Times New Roman" w:hAnsi="Times New Roman" w:cs="Times New Roman"/>
          <w:bCs/>
          <w:sz w:val="24"/>
          <w:szCs w:val="24"/>
        </w:rPr>
        <w:t>50.52(c</w:t>
      </w:r>
      <w:proofErr w:type="gramStart"/>
      <w:r w:rsidR="004554CD">
        <w:rPr>
          <w:rFonts w:ascii="Times New Roman" w:eastAsia="Times New Roman" w:hAnsi="Times New Roman" w:cs="Times New Roman"/>
          <w:bCs/>
          <w:sz w:val="24"/>
          <w:szCs w:val="24"/>
        </w:rPr>
        <w:t>)(</w:t>
      </w:r>
      <w:proofErr w:type="gramEnd"/>
      <w:r w:rsidR="004554CD">
        <w:rPr>
          <w:rFonts w:ascii="Times New Roman" w:eastAsia="Times New Roman" w:hAnsi="Times New Roman" w:cs="Times New Roman"/>
          <w:bCs/>
          <w:sz w:val="24"/>
          <w:szCs w:val="24"/>
        </w:rPr>
        <w:t xml:space="preserve">2)-(3) (proposed as § </w:t>
      </w:r>
      <w:r w:rsidRPr="007017BF">
        <w:rPr>
          <w:rFonts w:ascii="Times New Roman" w:eastAsia="Times New Roman" w:hAnsi="Times New Roman" w:cs="Times New Roman"/>
          <w:bCs/>
          <w:sz w:val="24"/>
          <w:szCs w:val="24"/>
        </w:rPr>
        <w:t>39.6(g)(4)(ii)-(iii)</w:t>
      </w:r>
      <w:r w:rsidR="004554CD">
        <w:rPr>
          <w:rFonts w:ascii="Times New Roman" w:eastAsia="Times New Roman" w:hAnsi="Times New Roman" w:cs="Times New Roman"/>
          <w:bCs/>
          <w:sz w:val="24"/>
          <w:szCs w:val="24"/>
        </w:rPr>
        <w:t>)</w:t>
      </w:r>
      <w:r w:rsidR="00AB1091">
        <w:rPr>
          <w:rFonts w:ascii="Times New Roman" w:eastAsia="Times New Roman" w:hAnsi="Times New Roman" w:cs="Times New Roman"/>
          <w:bCs/>
          <w:sz w:val="24"/>
          <w:szCs w:val="24"/>
        </w:rPr>
        <w:t xml:space="preserve"> </w:t>
      </w:r>
      <w:r w:rsidRPr="007017BF">
        <w:rPr>
          <w:rFonts w:ascii="Times New Roman" w:eastAsia="Times New Roman" w:hAnsi="Times New Roman" w:cs="Times New Roman"/>
          <w:bCs/>
          <w:sz w:val="24"/>
          <w:szCs w:val="24"/>
        </w:rPr>
        <w:t xml:space="preserve">for each swap if no annual report had been filed.  However, the Commission has given respondents the option to report the same information on an annual basis instead.  The Commission anticipates that 90% of entities </w:t>
      </w:r>
      <w:r w:rsidR="004554CD">
        <w:rPr>
          <w:rFonts w:ascii="Times New Roman" w:eastAsia="Times New Roman" w:hAnsi="Times New Roman" w:cs="Times New Roman"/>
          <w:bCs/>
          <w:sz w:val="24"/>
          <w:szCs w:val="24"/>
        </w:rPr>
        <w:t>will</w:t>
      </w:r>
      <w:r w:rsidR="004554CD" w:rsidRPr="007017BF">
        <w:rPr>
          <w:rFonts w:ascii="Times New Roman" w:eastAsia="Times New Roman" w:hAnsi="Times New Roman" w:cs="Times New Roman"/>
          <w:bCs/>
          <w:sz w:val="24"/>
          <w:szCs w:val="24"/>
        </w:rPr>
        <w:t xml:space="preserve"> </w:t>
      </w:r>
      <w:r w:rsidRPr="007017BF">
        <w:rPr>
          <w:rFonts w:ascii="Times New Roman" w:eastAsia="Times New Roman" w:hAnsi="Times New Roman" w:cs="Times New Roman"/>
          <w:bCs/>
          <w:sz w:val="24"/>
          <w:szCs w:val="24"/>
        </w:rPr>
        <w:t xml:space="preserve">choose to report annually. </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respondents to prepare a written response to a collection of information in fewer than 30 days after receipt of it:</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bCs/>
          <w:sz w:val="24"/>
          <w:szCs w:val="24"/>
        </w:rPr>
      </w:pPr>
      <w:r w:rsidRPr="007017BF">
        <w:rPr>
          <w:rFonts w:ascii="Times New Roman" w:eastAsia="Times New Roman" w:hAnsi="Times New Roman" w:cs="Times New Roman"/>
          <w:bCs/>
          <w:sz w:val="24"/>
          <w:szCs w:val="24"/>
        </w:rPr>
        <w:tab/>
        <w:t xml:space="preserve">The reporting counterparty </w:t>
      </w:r>
      <w:r w:rsidR="004554CD">
        <w:rPr>
          <w:rFonts w:ascii="Times New Roman" w:eastAsia="Times New Roman" w:hAnsi="Times New Roman" w:cs="Times New Roman"/>
          <w:bCs/>
          <w:sz w:val="24"/>
          <w:szCs w:val="24"/>
        </w:rPr>
        <w:t>must</w:t>
      </w:r>
      <w:r w:rsidRPr="007017BF">
        <w:rPr>
          <w:rFonts w:ascii="Times New Roman" w:eastAsia="Times New Roman" w:hAnsi="Times New Roman" w:cs="Times New Roman"/>
          <w:bCs/>
          <w:sz w:val="24"/>
          <w:szCs w:val="24"/>
        </w:rPr>
        <w:t xml:space="preserve"> report the information required in § </w:t>
      </w:r>
      <w:r w:rsidR="004554CD">
        <w:rPr>
          <w:rFonts w:ascii="Times New Roman" w:eastAsia="Times New Roman" w:hAnsi="Times New Roman" w:cs="Times New Roman"/>
          <w:bCs/>
          <w:sz w:val="24"/>
          <w:szCs w:val="24"/>
        </w:rPr>
        <w:t>50.52(c</w:t>
      </w:r>
      <w:proofErr w:type="gramStart"/>
      <w:r w:rsidR="004554CD">
        <w:rPr>
          <w:rFonts w:ascii="Times New Roman" w:eastAsia="Times New Roman" w:hAnsi="Times New Roman" w:cs="Times New Roman"/>
          <w:bCs/>
          <w:sz w:val="24"/>
          <w:szCs w:val="24"/>
        </w:rPr>
        <w:t>)(</w:t>
      </w:r>
      <w:proofErr w:type="gramEnd"/>
      <w:r w:rsidR="004554CD">
        <w:rPr>
          <w:rFonts w:ascii="Times New Roman" w:eastAsia="Times New Roman" w:hAnsi="Times New Roman" w:cs="Times New Roman"/>
          <w:bCs/>
          <w:sz w:val="24"/>
          <w:szCs w:val="24"/>
        </w:rPr>
        <w:t xml:space="preserve">1) (proposed as § </w:t>
      </w:r>
      <w:r w:rsidRPr="007017BF">
        <w:rPr>
          <w:rFonts w:ascii="Times New Roman" w:eastAsia="Times New Roman" w:hAnsi="Times New Roman" w:cs="Times New Roman"/>
          <w:bCs/>
          <w:sz w:val="24"/>
          <w:szCs w:val="24"/>
        </w:rPr>
        <w:t>39.6(g)(4)(</w:t>
      </w:r>
      <w:proofErr w:type="spellStart"/>
      <w:r w:rsidRPr="007017BF">
        <w:rPr>
          <w:rFonts w:ascii="Times New Roman" w:eastAsia="Times New Roman" w:hAnsi="Times New Roman" w:cs="Times New Roman"/>
          <w:bCs/>
          <w:sz w:val="24"/>
          <w:szCs w:val="24"/>
        </w:rPr>
        <w:t>i</w:t>
      </w:r>
      <w:proofErr w:type="spellEnd"/>
      <w:r w:rsidRPr="007017BF">
        <w:rPr>
          <w:rFonts w:ascii="Times New Roman" w:eastAsia="Times New Roman" w:hAnsi="Times New Roman" w:cs="Times New Roman"/>
          <w:bCs/>
          <w:sz w:val="24"/>
          <w:szCs w:val="24"/>
        </w:rPr>
        <w:t>)</w:t>
      </w:r>
      <w:r w:rsidR="004554CD">
        <w:rPr>
          <w:rFonts w:ascii="Times New Roman" w:eastAsia="Times New Roman" w:hAnsi="Times New Roman" w:cs="Times New Roman"/>
          <w:bCs/>
          <w:sz w:val="24"/>
          <w:szCs w:val="24"/>
        </w:rPr>
        <w:t>)</w:t>
      </w:r>
      <w:r w:rsidRPr="007017BF">
        <w:rPr>
          <w:rFonts w:ascii="Times New Roman" w:eastAsia="Times New Roman" w:hAnsi="Times New Roman" w:cs="Times New Roman"/>
          <w:bCs/>
          <w:sz w:val="24"/>
          <w:szCs w:val="24"/>
        </w:rPr>
        <w:t xml:space="preserve"> for each swap.  It also </w:t>
      </w:r>
      <w:r w:rsidR="004554CD">
        <w:rPr>
          <w:rFonts w:ascii="Times New Roman" w:eastAsia="Times New Roman" w:hAnsi="Times New Roman" w:cs="Times New Roman"/>
          <w:bCs/>
          <w:sz w:val="24"/>
          <w:szCs w:val="24"/>
        </w:rPr>
        <w:t>must</w:t>
      </w:r>
      <w:r w:rsidRPr="007017BF">
        <w:rPr>
          <w:rFonts w:ascii="Times New Roman" w:eastAsia="Times New Roman" w:hAnsi="Times New Roman" w:cs="Times New Roman"/>
          <w:bCs/>
          <w:sz w:val="24"/>
          <w:szCs w:val="24"/>
        </w:rPr>
        <w:t xml:space="preserve"> report the information required in § </w:t>
      </w:r>
      <w:r w:rsidR="004554CD">
        <w:rPr>
          <w:rFonts w:ascii="Times New Roman" w:eastAsia="Times New Roman" w:hAnsi="Times New Roman" w:cs="Times New Roman"/>
          <w:bCs/>
          <w:sz w:val="24"/>
          <w:szCs w:val="24"/>
        </w:rPr>
        <w:t>50.52(c</w:t>
      </w:r>
      <w:proofErr w:type="gramStart"/>
      <w:r w:rsidR="004554CD">
        <w:rPr>
          <w:rFonts w:ascii="Times New Roman" w:eastAsia="Times New Roman" w:hAnsi="Times New Roman" w:cs="Times New Roman"/>
          <w:bCs/>
          <w:sz w:val="24"/>
          <w:szCs w:val="24"/>
        </w:rPr>
        <w:t>)(</w:t>
      </w:r>
      <w:proofErr w:type="gramEnd"/>
      <w:r w:rsidR="004554CD">
        <w:rPr>
          <w:rFonts w:ascii="Times New Roman" w:eastAsia="Times New Roman" w:hAnsi="Times New Roman" w:cs="Times New Roman"/>
          <w:bCs/>
          <w:sz w:val="24"/>
          <w:szCs w:val="24"/>
        </w:rPr>
        <w:t xml:space="preserve">2)-(3) (proposed as § </w:t>
      </w:r>
      <w:r w:rsidRPr="007017BF">
        <w:rPr>
          <w:rFonts w:ascii="Times New Roman" w:eastAsia="Times New Roman" w:hAnsi="Times New Roman" w:cs="Times New Roman"/>
          <w:bCs/>
          <w:sz w:val="24"/>
          <w:szCs w:val="24"/>
        </w:rPr>
        <w:t>39.6(g)(4)(ii)-(iii)</w:t>
      </w:r>
      <w:r w:rsidR="004554CD">
        <w:rPr>
          <w:rFonts w:ascii="Times New Roman" w:eastAsia="Times New Roman" w:hAnsi="Times New Roman" w:cs="Times New Roman"/>
          <w:bCs/>
          <w:sz w:val="24"/>
          <w:szCs w:val="24"/>
        </w:rPr>
        <w:t>)</w:t>
      </w:r>
      <w:r w:rsidR="00ED3380">
        <w:rPr>
          <w:rFonts w:ascii="Times New Roman" w:eastAsia="Times New Roman" w:hAnsi="Times New Roman" w:cs="Times New Roman"/>
          <w:bCs/>
          <w:sz w:val="24"/>
          <w:szCs w:val="24"/>
        </w:rPr>
        <w:t xml:space="preserve"> </w:t>
      </w:r>
      <w:r w:rsidRPr="007017BF">
        <w:rPr>
          <w:rFonts w:ascii="Times New Roman" w:eastAsia="Times New Roman" w:hAnsi="Times New Roman" w:cs="Times New Roman"/>
          <w:bCs/>
          <w:sz w:val="24"/>
          <w:szCs w:val="24"/>
        </w:rPr>
        <w:t xml:space="preserve">for each swap if no annual report had been filed.  However, the Commission has given respondents the option to report the same information on an annual basis instead.  The Commission anticipates that 90% of entities </w:t>
      </w:r>
      <w:r w:rsidR="004554CD">
        <w:rPr>
          <w:rFonts w:ascii="Times New Roman" w:eastAsia="Times New Roman" w:hAnsi="Times New Roman" w:cs="Times New Roman"/>
          <w:bCs/>
          <w:sz w:val="24"/>
          <w:szCs w:val="24"/>
        </w:rPr>
        <w:t>will</w:t>
      </w:r>
      <w:r w:rsidR="004554CD" w:rsidRPr="007017BF">
        <w:rPr>
          <w:rFonts w:ascii="Times New Roman" w:eastAsia="Times New Roman" w:hAnsi="Times New Roman" w:cs="Times New Roman"/>
          <w:bCs/>
          <w:sz w:val="24"/>
          <w:szCs w:val="24"/>
        </w:rPr>
        <w:t xml:space="preserve"> </w:t>
      </w:r>
      <w:r w:rsidRPr="007017BF">
        <w:rPr>
          <w:rFonts w:ascii="Times New Roman" w:eastAsia="Times New Roman" w:hAnsi="Times New Roman" w:cs="Times New Roman"/>
          <w:bCs/>
          <w:sz w:val="24"/>
          <w:szCs w:val="24"/>
        </w:rPr>
        <w:t xml:space="preserve">choose to report annually. </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 xml:space="preserve">requiring respondents to submit more </w:t>
      </w:r>
      <w:r w:rsidR="00D07531" w:rsidRPr="007017BF">
        <w:rPr>
          <w:rFonts w:ascii="Times New Roman" w:eastAsia="Times New Roman" w:hAnsi="Times New Roman" w:cs="Times New Roman"/>
          <w:b/>
          <w:sz w:val="24"/>
          <w:szCs w:val="24"/>
        </w:rPr>
        <w:t>tha</w:t>
      </w:r>
      <w:r w:rsidR="00D07531">
        <w:rPr>
          <w:rFonts w:ascii="Times New Roman" w:eastAsia="Times New Roman" w:hAnsi="Times New Roman" w:cs="Times New Roman"/>
          <w:b/>
          <w:sz w:val="24"/>
          <w:szCs w:val="24"/>
        </w:rPr>
        <w:t>n</w:t>
      </w:r>
      <w:r w:rsidR="00D07531" w:rsidRPr="007017BF">
        <w:rPr>
          <w:rFonts w:ascii="Times New Roman" w:eastAsia="Times New Roman" w:hAnsi="Times New Roman" w:cs="Times New Roman"/>
          <w:b/>
          <w:sz w:val="24"/>
          <w:szCs w:val="24"/>
        </w:rPr>
        <w:t xml:space="preserve"> </w:t>
      </w:r>
      <w:r w:rsidRPr="007017BF">
        <w:rPr>
          <w:rFonts w:ascii="Times New Roman" w:eastAsia="Times New Roman" w:hAnsi="Times New Roman" w:cs="Times New Roman"/>
          <w:b/>
          <w:sz w:val="24"/>
          <w:szCs w:val="24"/>
        </w:rPr>
        <w:t>an original and two copies of any document;</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exemption does not impose any requirements that would obligate an applicant to submit more than an original and two copies of any document.</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respondents to retain records other than health, medical, government contract, grant-in-aid, or tax records, for more than three years;</w:t>
      </w:r>
    </w:p>
    <w:p w:rsidR="007017BF" w:rsidRPr="007017BF" w:rsidRDefault="007017BF" w:rsidP="007017BF">
      <w:pPr>
        <w:tabs>
          <w:tab w:val="left" w:pos="-720"/>
          <w:tab w:val="left" w:pos="0"/>
          <w:tab w:val="left" w:pos="720"/>
        </w:tabs>
        <w:spacing w:after="240" w:line="240" w:lineRule="auto"/>
        <w:ind w:right="720"/>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exemption does not impose any recordkeeping requirements.</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 xml:space="preserve">in connection with a statistical survey, that is not designed to produce valid and reliable results that can be generalized to the universe of study; </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lastRenderedPageBreak/>
        <w:tab/>
        <w:t>The exemption does not require nor involve any statistical surveys.</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the use of a statistical data classification that has not been reviewed and approved by OMB;</w:t>
      </w:r>
    </w:p>
    <w:p w:rsidR="007017BF" w:rsidRPr="007017BF" w:rsidRDefault="007017BF" w:rsidP="007017BF">
      <w:pPr>
        <w:tabs>
          <w:tab w:val="left" w:pos="-720"/>
          <w:tab w:val="left" w:pos="0"/>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sz w:val="24"/>
          <w:szCs w:val="24"/>
        </w:rPr>
        <w:tab/>
        <w:t>The exemption does not require nor involve the use of any statistical data classification.</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exemption does not require a pledge of confidentiality.</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The exemption does not specifically require any person to submit data involving confidential information or trade secrets.  To the extent that any information submitted by a person were to involve confidential information or proprietary trade secrets, the Commission </w:t>
      </w:r>
      <w:r w:rsidR="004554CD">
        <w:rPr>
          <w:rFonts w:ascii="Times New Roman" w:eastAsia="Times New Roman" w:hAnsi="Times New Roman" w:cs="Times New Roman"/>
          <w:sz w:val="24"/>
          <w:szCs w:val="24"/>
        </w:rPr>
        <w:t>will</w:t>
      </w:r>
      <w:r w:rsidR="004554CD"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protect such information in accordance with the Freedom of Information Act and 17 CFR Part 145, “Commission Records and Information.”  In addition, the Commission fully complies with section 8(a) of the CEA, which strictly prohibits the Commission, unless specifically authorized by the CEA, from making public “data and information that would separately disclose the business transactions or market positions of any person and trade secrets or names of customers.”  In addition, the Commission also is required to protect certain information pursuant to the Privacy Act of 1974.</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b/>
          <w:sz w:val="24"/>
          <w:szCs w:val="24"/>
        </w:rPr>
        <w:t>8.</w:t>
      </w:r>
      <w:r w:rsidRPr="007017BF">
        <w:rPr>
          <w:rFonts w:ascii="Times New Roman" w:eastAsia="Times New Roman" w:hAnsi="Times New Roman" w:cs="Times New Roman"/>
          <w:b/>
          <w:sz w:val="24"/>
          <w:szCs w:val="24"/>
        </w:rPr>
        <w:tab/>
        <w:t xml:space="preserve">If applicable, provide a copy and identify the date and page number of publication in the </w:t>
      </w:r>
      <w:r w:rsidRPr="007017BF">
        <w:rPr>
          <w:rFonts w:ascii="Times New Roman" w:eastAsia="Times New Roman" w:hAnsi="Times New Roman" w:cs="Times New Roman"/>
          <w:b/>
          <w:i/>
          <w:sz w:val="24"/>
          <w:szCs w:val="24"/>
        </w:rPr>
        <w:t>Federal Register</w:t>
      </w:r>
      <w:r w:rsidRPr="007017BF">
        <w:rPr>
          <w:rFonts w:ascii="Times New Roman" w:eastAsia="Times New Roman" w:hAnsi="Times New Roman" w:cs="Times New Roman"/>
          <w:b/>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7017BF">
        <w:rPr>
          <w:rFonts w:ascii="Times New Roman" w:eastAsia="Times New Roman" w:hAnsi="Times New Roman" w:cs="Times New Roman"/>
          <w:sz w:val="24"/>
          <w:szCs w:val="24"/>
        </w:rPr>
        <w:tab/>
      </w:r>
    </w:p>
    <w:p w:rsidR="007017BF"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r>
      <w:r w:rsidR="00ED3380">
        <w:rPr>
          <w:rFonts w:ascii="Times New Roman" w:eastAsia="Times New Roman" w:hAnsi="Times New Roman" w:cs="Times New Roman"/>
          <w:sz w:val="24"/>
          <w:szCs w:val="24"/>
        </w:rPr>
        <w:t xml:space="preserve">On August 21, 2012, </w:t>
      </w:r>
      <w:r w:rsidR="00ED3380" w:rsidRPr="007017BF">
        <w:rPr>
          <w:rFonts w:ascii="Times New Roman" w:eastAsia="Times New Roman" w:hAnsi="Times New Roman" w:cs="Times New Roman"/>
          <w:sz w:val="24"/>
          <w:szCs w:val="24"/>
        </w:rPr>
        <w:t xml:space="preserve">the Commission </w:t>
      </w:r>
      <w:r w:rsidR="00ED3380">
        <w:rPr>
          <w:rFonts w:ascii="Times New Roman" w:eastAsia="Times New Roman" w:hAnsi="Times New Roman" w:cs="Times New Roman"/>
          <w:sz w:val="24"/>
          <w:szCs w:val="24"/>
        </w:rPr>
        <w:t xml:space="preserve">published in the Federal Register a notice of proposed rulemaking (“NPRM”) </w:t>
      </w:r>
      <w:r w:rsidR="00ED3380" w:rsidRPr="007017BF">
        <w:rPr>
          <w:rFonts w:ascii="Times New Roman" w:eastAsia="Times New Roman" w:hAnsi="Times New Roman" w:cs="Times New Roman"/>
          <w:sz w:val="24"/>
          <w:szCs w:val="24"/>
        </w:rPr>
        <w:t>propos</w:t>
      </w:r>
      <w:r w:rsidR="00ED3380">
        <w:rPr>
          <w:rFonts w:ascii="Times New Roman" w:eastAsia="Times New Roman" w:hAnsi="Times New Roman" w:cs="Times New Roman"/>
          <w:sz w:val="24"/>
          <w:szCs w:val="24"/>
        </w:rPr>
        <w:t>ing</w:t>
      </w:r>
      <w:r w:rsidR="00ED3380" w:rsidRPr="007017BF">
        <w:rPr>
          <w:rFonts w:ascii="Times New Roman" w:eastAsia="Times New Roman" w:hAnsi="Times New Roman" w:cs="Times New Roman"/>
          <w:sz w:val="24"/>
          <w:szCs w:val="24"/>
        </w:rPr>
        <w:t xml:space="preserve"> new </w:t>
      </w:r>
      <w:r w:rsidR="00ED3380">
        <w:rPr>
          <w:rFonts w:ascii="Times New Roman" w:eastAsia="Times New Roman" w:hAnsi="Times New Roman" w:cs="Times New Roman"/>
          <w:sz w:val="24"/>
          <w:szCs w:val="24"/>
        </w:rPr>
        <w:t>r</w:t>
      </w:r>
      <w:r w:rsidR="00ED3380" w:rsidRPr="007017BF">
        <w:rPr>
          <w:rFonts w:ascii="Times New Roman" w:eastAsia="Times New Roman" w:hAnsi="Times New Roman" w:cs="Times New Roman"/>
          <w:sz w:val="24"/>
          <w:szCs w:val="24"/>
        </w:rPr>
        <w:t>ule 39.6(g)</w:t>
      </w:r>
      <w:r w:rsidR="00ED3380">
        <w:rPr>
          <w:rFonts w:ascii="Times New Roman" w:eastAsia="Times New Roman" w:hAnsi="Times New Roman" w:cs="Times New Roman"/>
          <w:sz w:val="24"/>
          <w:szCs w:val="24"/>
        </w:rPr>
        <w:t xml:space="preserve"> (now </w:t>
      </w:r>
      <w:proofErr w:type="spellStart"/>
      <w:r w:rsidR="00ED3380">
        <w:rPr>
          <w:rFonts w:ascii="Times New Roman" w:eastAsia="Times New Roman" w:hAnsi="Times New Roman" w:cs="Times New Roman"/>
          <w:sz w:val="24"/>
          <w:szCs w:val="24"/>
        </w:rPr>
        <w:t>recodified</w:t>
      </w:r>
      <w:proofErr w:type="spellEnd"/>
      <w:r w:rsidR="00ED3380">
        <w:rPr>
          <w:rFonts w:ascii="Times New Roman" w:eastAsia="Times New Roman" w:hAnsi="Times New Roman" w:cs="Times New Roman"/>
          <w:sz w:val="24"/>
          <w:szCs w:val="24"/>
        </w:rPr>
        <w:t xml:space="preserve"> as rule 50.52)</w:t>
      </w:r>
      <w:r w:rsidR="00ED3380" w:rsidRPr="007017BF">
        <w:rPr>
          <w:rFonts w:ascii="Times New Roman" w:eastAsia="Times New Roman" w:hAnsi="Times New Roman" w:cs="Times New Roman"/>
          <w:sz w:val="24"/>
          <w:szCs w:val="24"/>
        </w:rPr>
        <w:t xml:space="preserve"> containing the elective exemption and outlining the conditions entities must satisfy in order to rely upon it.</w:t>
      </w:r>
      <w:r w:rsidR="00ED3380">
        <w:rPr>
          <w:rStyle w:val="FootnoteReference"/>
          <w:rFonts w:ascii="Times New Roman" w:eastAsia="Times New Roman" w:hAnsi="Times New Roman" w:cs="Times New Roman"/>
          <w:sz w:val="24"/>
          <w:szCs w:val="24"/>
        </w:rPr>
        <w:footnoteReference w:id="2"/>
      </w:r>
      <w:r w:rsidR="00ED3380" w:rsidRPr="007017BF">
        <w:rPr>
          <w:rFonts w:ascii="Times New Roman" w:eastAsia="Times New Roman" w:hAnsi="Times New Roman" w:cs="Times New Roman"/>
          <w:sz w:val="24"/>
          <w:szCs w:val="24"/>
        </w:rPr>
        <w:t xml:space="preserve"> </w:t>
      </w:r>
      <w:r w:rsidR="00ED3380" w:rsidRPr="007017BF">
        <w:rPr>
          <w:rFonts w:ascii="Times New Roman" w:eastAsia="Calibri" w:hAnsi="Times New Roman" w:cs="Times New Roman"/>
          <w:sz w:val="24"/>
          <w:szCs w:val="24"/>
        </w:rPr>
        <w:t xml:space="preserve"> </w:t>
      </w:r>
      <w:r w:rsidR="00ED3380">
        <w:rPr>
          <w:rFonts w:ascii="Times New Roman" w:eastAsia="Times New Roman" w:hAnsi="Times New Roman" w:cs="Times New Roman"/>
          <w:sz w:val="24"/>
          <w:szCs w:val="24"/>
        </w:rPr>
        <w:t xml:space="preserve">  The Commission specifically request</w:t>
      </w:r>
      <w:r w:rsidR="00CB1DD3">
        <w:rPr>
          <w:rFonts w:ascii="Times New Roman" w:eastAsia="Times New Roman" w:hAnsi="Times New Roman" w:cs="Times New Roman"/>
          <w:sz w:val="24"/>
          <w:szCs w:val="24"/>
        </w:rPr>
        <w:t>ed</w:t>
      </w:r>
      <w:r w:rsidR="00ED3380">
        <w:rPr>
          <w:rFonts w:ascii="Times New Roman" w:eastAsia="Times New Roman" w:hAnsi="Times New Roman" w:cs="Times New Roman"/>
          <w:sz w:val="24"/>
          <w:szCs w:val="24"/>
        </w:rPr>
        <w:t xml:space="preserve"> comments on the proposed collection of information.  </w:t>
      </w:r>
      <w:r w:rsidR="00ED3380">
        <w:rPr>
          <w:rFonts w:ascii="Times New Roman" w:eastAsia="Times New Roman" w:hAnsi="Times New Roman" w:cs="Times New Roman"/>
          <w:i/>
          <w:sz w:val="24"/>
          <w:szCs w:val="24"/>
        </w:rPr>
        <w:t>See</w:t>
      </w:r>
      <w:r w:rsidR="00ED3380">
        <w:rPr>
          <w:rFonts w:ascii="Times New Roman" w:eastAsia="Times New Roman" w:hAnsi="Times New Roman" w:cs="Times New Roman"/>
          <w:sz w:val="24"/>
          <w:szCs w:val="24"/>
        </w:rPr>
        <w:t xml:space="preserve"> 77 FR 50425</w:t>
      </w:r>
      <w:r w:rsidR="00D07531">
        <w:rPr>
          <w:rFonts w:ascii="Times New Roman" w:eastAsia="Times New Roman" w:hAnsi="Times New Roman" w:cs="Times New Roman"/>
          <w:sz w:val="24"/>
          <w:szCs w:val="24"/>
        </w:rPr>
        <w:t>,</w:t>
      </w:r>
      <w:r w:rsidR="00ED3380">
        <w:rPr>
          <w:rFonts w:ascii="Times New Roman" w:eastAsia="Times New Roman" w:hAnsi="Times New Roman" w:cs="Times New Roman"/>
          <w:sz w:val="24"/>
          <w:szCs w:val="24"/>
        </w:rPr>
        <w:t xml:space="preserve"> 50438-42</w:t>
      </w:r>
      <w:r w:rsidR="00D90DAD">
        <w:rPr>
          <w:rFonts w:ascii="Times New Roman" w:eastAsia="Times New Roman" w:hAnsi="Times New Roman" w:cs="Times New Roman"/>
          <w:sz w:val="24"/>
          <w:szCs w:val="24"/>
        </w:rPr>
        <w:t xml:space="preserve"> (Aug. 21, 2012)</w:t>
      </w:r>
      <w:r w:rsidR="00ED3380">
        <w:rPr>
          <w:rFonts w:ascii="Times New Roman" w:eastAsia="Times New Roman" w:hAnsi="Times New Roman" w:cs="Times New Roman"/>
          <w:sz w:val="24"/>
          <w:szCs w:val="24"/>
        </w:rPr>
        <w:t xml:space="preserve"> (</w:t>
      </w:r>
      <w:r w:rsidR="0073492B">
        <w:rPr>
          <w:rFonts w:ascii="Times New Roman" w:eastAsia="Times New Roman" w:hAnsi="Times New Roman" w:cs="Times New Roman"/>
          <w:sz w:val="24"/>
          <w:szCs w:val="24"/>
        </w:rPr>
        <w:t>requesting comment on the proposed information collection in the inter-affiliate exemption).</w:t>
      </w:r>
      <w:r w:rsidR="00415A0D" w:rsidRPr="00415A0D">
        <w:rPr>
          <w:rFonts w:ascii="Times New Roman" w:eastAsiaTheme="minorEastAsia" w:hAnsi="Times New Roman" w:cs="Times New Roman"/>
          <w:sz w:val="24"/>
          <w:szCs w:val="24"/>
        </w:rPr>
        <w:t xml:space="preserve"> </w:t>
      </w:r>
      <w:r w:rsidR="00415A0D">
        <w:rPr>
          <w:rFonts w:ascii="Times New Roman" w:eastAsiaTheme="minorEastAsia" w:hAnsi="Times New Roman" w:cs="Times New Roman"/>
          <w:sz w:val="24"/>
          <w:szCs w:val="24"/>
        </w:rPr>
        <w:t xml:space="preserve"> On January 15, 2013, </w:t>
      </w:r>
      <w:r w:rsidR="00415A0D" w:rsidRPr="00415A0D">
        <w:rPr>
          <w:rFonts w:ascii="Times New Roman" w:eastAsiaTheme="minorEastAsia" w:hAnsi="Times New Roman" w:cs="Times New Roman"/>
          <w:sz w:val="24"/>
          <w:szCs w:val="24"/>
        </w:rPr>
        <w:t xml:space="preserve">the Office of Management and Budget (“OMB”) </w:t>
      </w:r>
      <w:r w:rsidR="00415A0D" w:rsidRPr="00415A0D">
        <w:rPr>
          <w:rFonts w:ascii="Times New Roman" w:eastAsia="Times New Roman" w:hAnsi="Times New Roman" w:cs="Times New Roman"/>
          <w:sz w:val="24"/>
          <w:szCs w:val="24"/>
        </w:rPr>
        <w:t>assigned control number 3038-0104</w:t>
      </w:r>
      <w:r w:rsidR="00415A0D">
        <w:rPr>
          <w:rFonts w:ascii="Times New Roman" w:eastAsia="Times New Roman" w:hAnsi="Times New Roman" w:cs="Times New Roman"/>
          <w:sz w:val="24"/>
          <w:szCs w:val="24"/>
        </w:rPr>
        <w:t xml:space="preserve"> and instructed to respond to any comments received in response to the NPRM.</w:t>
      </w:r>
      <w:r w:rsidR="00415A0D" w:rsidRPr="00415A0D">
        <w:rPr>
          <w:rFonts w:ascii="Times New Roman" w:eastAsia="Times New Roman" w:hAnsi="Times New Roman" w:cs="Times New Roman"/>
          <w:sz w:val="24"/>
          <w:szCs w:val="24"/>
        </w:rPr>
        <w:t xml:space="preserve">  </w:t>
      </w:r>
    </w:p>
    <w:p w:rsidR="00D90DAD" w:rsidRDefault="00D90DAD" w:rsidP="00C0162B">
      <w:pPr>
        <w:spacing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Commission reviewed the comments on the proposed rule and, based on those comments, determined to </w:t>
      </w:r>
      <w:r w:rsidR="00A54C56">
        <w:rPr>
          <w:rFonts w:ascii="Times New Roman" w:eastAsia="Times New Roman" w:hAnsi="Times New Roman" w:cs="Times New Roman"/>
          <w:sz w:val="24"/>
          <w:szCs w:val="24"/>
        </w:rPr>
        <w:t>modify</w:t>
      </w:r>
      <w:r>
        <w:rPr>
          <w:rFonts w:ascii="Times New Roman" w:eastAsia="Times New Roman" w:hAnsi="Times New Roman" w:cs="Times New Roman"/>
          <w:sz w:val="24"/>
          <w:szCs w:val="24"/>
        </w:rPr>
        <w:t xml:space="preserve"> to some of the conditions of the election of the inter-affiliate exemption.  The Commission received 14 comment letters on the rule as a whole, but only one comment letter </w:t>
      </w:r>
      <w:r w:rsidR="00E86356">
        <w:rPr>
          <w:rFonts w:ascii="Times New Roman" w:eastAsia="Times New Roman" w:hAnsi="Times New Roman" w:cs="Times New Roman"/>
          <w:sz w:val="24"/>
          <w:szCs w:val="24"/>
        </w:rPr>
        <w:t xml:space="preserve">from the Edison Electric Institute (“EEI”) </w:t>
      </w:r>
      <w:r>
        <w:rPr>
          <w:rFonts w:ascii="Times New Roman" w:eastAsia="Times New Roman" w:hAnsi="Times New Roman" w:cs="Times New Roman"/>
          <w:sz w:val="24"/>
          <w:szCs w:val="24"/>
        </w:rPr>
        <w:t>addressed the ICR in the NPRM.  Specifically, as described further below, the Commission reviewed the one comment relating to the original ICR and responded to it.</w:t>
      </w:r>
    </w:p>
    <w:p w:rsidR="00D90DAD" w:rsidRPr="00D90DAD" w:rsidRDefault="00D90DAD" w:rsidP="00D90DAD">
      <w:pPr>
        <w:spacing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EEI </w:t>
      </w:r>
      <w:r w:rsidRPr="00D90DAD">
        <w:rPr>
          <w:rFonts w:ascii="Times New Roman" w:eastAsia="Times New Roman" w:hAnsi="Times New Roman" w:cs="Times New Roman"/>
          <w:sz w:val="24"/>
          <w:szCs w:val="24"/>
        </w:rPr>
        <w:t>submitted comments</w:t>
      </w:r>
      <w:r w:rsidR="00994C8E">
        <w:rPr>
          <w:rFonts w:ascii="Times New Roman" w:eastAsia="Times New Roman" w:hAnsi="Times New Roman" w:cs="Times New Roman"/>
          <w:sz w:val="24"/>
          <w:szCs w:val="24"/>
        </w:rPr>
        <w:t xml:space="preserve"> </w:t>
      </w:r>
      <w:r w:rsidR="00E86356">
        <w:rPr>
          <w:rFonts w:ascii="Times New Roman" w:eastAsia="Times New Roman" w:hAnsi="Times New Roman" w:cs="Times New Roman"/>
          <w:sz w:val="24"/>
          <w:szCs w:val="24"/>
        </w:rPr>
        <w:t>i</w:t>
      </w:r>
      <w:r w:rsidRPr="00D90DAD">
        <w:rPr>
          <w:rFonts w:ascii="Times New Roman" w:eastAsia="Times New Roman" w:hAnsi="Times New Roman" w:cs="Times New Roman"/>
          <w:sz w:val="24"/>
          <w:szCs w:val="24"/>
        </w:rPr>
        <w:t>n the context of its comments pertaining to the costs and benefits of the reporting requirements of the proposed rule, claim</w:t>
      </w:r>
      <w:r w:rsidR="00E86356">
        <w:rPr>
          <w:rFonts w:ascii="Times New Roman" w:eastAsia="Times New Roman" w:hAnsi="Times New Roman" w:cs="Times New Roman"/>
          <w:sz w:val="24"/>
          <w:szCs w:val="24"/>
        </w:rPr>
        <w:t>ing</w:t>
      </w:r>
      <w:r w:rsidRPr="00D90DAD">
        <w:rPr>
          <w:rFonts w:ascii="Times New Roman" w:eastAsia="Times New Roman" w:hAnsi="Times New Roman" w:cs="Times New Roman"/>
          <w:sz w:val="24"/>
          <w:szCs w:val="24"/>
        </w:rPr>
        <w:t xml:space="preserve"> that the Commission’s estimation of 22 eligible affiliates per </w:t>
      </w:r>
      <w:r w:rsidR="00D934D5">
        <w:rPr>
          <w:rFonts w:ascii="Times New Roman" w:eastAsia="Times New Roman" w:hAnsi="Times New Roman" w:cs="Times New Roman"/>
          <w:sz w:val="24"/>
          <w:szCs w:val="24"/>
        </w:rPr>
        <w:t>multinational parent corporation (“</w:t>
      </w:r>
      <w:r w:rsidRPr="00D90DAD">
        <w:rPr>
          <w:rFonts w:ascii="Times New Roman" w:eastAsia="Times New Roman" w:hAnsi="Times New Roman" w:cs="Times New Roman"/>
          <w:sz w:val="24"/>
          <w:szCs w:val="24"/>
        </w:rPr>
        <w:t>MNC</w:t>
      </w:r>
      <w:r w:rsidR="00D934D5">
        <w:rPr>
          <w:rFonts w:ascii="Times New Roman" w:eastAsia="Times New Roman" w:hAnsi="Times New Roman" w:cs="Times New Roman"/>
          <w:sz w:val="24"/>
          <w:szCs w:val="24"/>
        </w:rPr>
        <w:t>”)</w:t>
      </w:r>
      <w:r w:rsidRPr="00D90DAD">
        <w:rPr>
          <w:rFonts w:ascii="Times New Roman" w:eastAsia="Times New Roman" w:hAnsi="Times New Roman" w:cs="Times New Roman"/>
          <w:sz w:val="24"/>
          <w:szCs w:val="24"/>
        </w:rPr>
        <w:t xml:space="preserve"> was “far too low” for many U.S. energy companies.  Although EEI commented that the Commission’s estimate of the number of affiliates per MNC was too low in the context of U.S. energy companies, EEI did not provide an alternative estimate or point to any other sources of information that might provide an alternative source for estimating the average number of subsidiaries per MNC. </w:t>
      </w:r>
    </w:p>
    <w:p w:rsidR="00D90DAD" w:rsidRPr="00D90DAD" w:rsidRDefault="00D90DAD" w:rsidP="00D90DAD">
      <w:pPr>
        <w:spacing w:after="240" w:line="240" w:lineRule="auto"/>
        <w:ind w:firstLine="720"/>
        <w:rPr>
          <w:rFonts w:ascii="Times New Roman" w:eastAsia="Times New Roman" w:hAnsi="Times New Roman" w:cs="Times New Roman"/>
          <w:sz w:val="24"/>
          <w:szCs w:val="24"/>
        </w:rPr>
      </w:pPr>
      <w:r w:rsidRPr="00D90DAD">
        <w:rPr>
          <w:rFonts w:ascii="Times New Roman" w:eastAsia="Times New Roman" w:hAnsi="Times New Roman" w:cs="Times New Roman"/>
          <w:sz w:val="24"/>
          <w:szCs w:val="24"/>
        </w:rPr>
        <w:t>The Commission has considered EEI’s comment and decline</w:t>
      </w:r>
      <w:r w:rsidR="00D934D5">
        <w:rPr>
          <w:rFonts w:ascii="Times New Roman" w:eastAsia="Times New Roman" w:hAnsi="Times New Roman" w:cs="Times New Roman"/>
          <w:sz w:val="24"/>
          <w:szCs w:val="24"/>
        </w:rPr>
        <w:t>s</w:t>
      </w:r>
      <w:r w:rsidRPr="00D90DAD">
        <w:rPr>
          <w:rFonts w:ascii="Times New Roman" w:eastAsia="Times New Roman" w:hAnsi="Times New Roman" w:cs="Times New Roman"/>
          <w:sz w:val="24"/>
          <w:szCs w:val="24"/>
        </w:rPr>
        <w:t xml:space="preserve"> to revise its estimate of the number of affiliates of an MNC.   As described in the NPRM</w:t>
      </w:r>
      <w:r w:rsidR="00D934D5">
        <w:rPr>
          <w:rFonts w:ascii="Times New Roman" w:eastAsia="Times New Roman" w:hAnsi="Times New Roman" w:cs="Times New Roman"/>
          <w:sz w:val="24"/>
          <w:szCs w:val="24"/>
        </w:rPr>
        <w:t xml:space="preserve"> and the first ICR submitted to OMB</w:t>
      </w:r>
      <w:r w:rsidRPr="00D90DAD">
        <w:rPr>
          <w:rFonts w:ascii="Times New Roman" w:eastAsia="Times New Roman" w:hAnsi="Times New Roman" w:cs="Times New Roman"/>
          <w:sz w:val="24"/>
          <w:szCs w:val="24"/>
        </w:rPr>
        <w:t xml:space="preserve">, the Commission estimated that a total of 53,195 affiliates might elect the inter-affiliate clearing exemption.  The Commission’s estimation of the number of affiliates of an MNC was based on the most recent data collected by the </w:t>
      </w:r>
      <w:r w:rsidR="00D934D5" w:rsidRPr="00D934D5">
        <w:rPr>
          <w:rFonts w:ascii="Times New Roman" w:eastAsia="Times New Roman" w:hAnsi="Times New Roman" w:cs="Times New Roman"/>
          <w:sz w:val="24"/>
          <w:szCs w:val="24"/>
        </w:rPr>
        <w:t xml:space="preserve">U.S. Bureau of Economic Analysis </w:t>
      </w:r>
      <w:r w:rsidR="00D934D5">
        <w:rPr>
          <w:rFonts w:ascii="Times New Roman" w:eastAsia="Times New Roman" w:hAnsi="Times New Roman" w:cs="Times New Roman"/>
          <w:sz w:val="24"/>
          <w:szCs w:val="24"/>
        </w:rPr>
        <w:t>(“</w:t>
      </w:r>
      <w:r w:rsidRPr="00D90DAD">
        <w:rPr>
          <w:rFonts w:ascii="Times New Roman" w:eastAsia="Times New Roman" w:hAnsi="Times New Roman" w:cs="Times New Roman"/>
          <w:sz w:val="24"/>
          <w:szCs w:val="24"/>
        </w:rPr>
        <w:t>BEA</w:t>
      </w:r>
      <w:r w:rsidR="00D934D5">
        <w:rPr>
          <w:rFonts w:ascii="Times New Roman" w:eastAsia="Times New Roman" w:hAnsi="Times New Roman" w:cs="Times New Roman"/>
          <w:sz w:val="24"/>
          <w:szCs w:val="24"/>
        </w:rPr>
        <w:t>”)</w:t>
      </w:r>
      <w:r w:rsidRPr="00D90DAD">
        <w:rPr>
          <w:rFonts w:ascii="Times New Roman" w:eastAsia="Times New Roman" w:hAnsi="Times New Roman" w:cs="Times New Roman"/>
          <w:sz w:val="24"/>
          <w:szCs w:val="24"/>
        </w:rPr>
        <w:t>, which indicated that there are 2,347 MNCs in the U.S. and 25,424 foreign subsidiaries that are majority owned by such MNCs.   To account for the number of majority-owned U.S. subsidiaries of MNCs, the Commission doubled the BEA’s foreign subsidiaries, and determined that there are an estimated 50,848 U.S. and foreign subsidiaries, or approximately 22 subsidiaries per MNC.</w:t>
      </w:r>
    </w:p>
    <w:p w:rsidR="00D90DAD" w:rsidRDefault="00D90DAD" w:rsidP="00C0162B">
      <w:pPr>
        <w:spacing w:after="240" w:line="240" w:lineRule="auto"/>
        <w:ind w:firstLine="720"/>
        <w:rPr>
          <w:rFonts w:ascii="Times New Roman" w:eastAsia="Times New Roman" w:hAnsi="Times New Roman" w:cs="Times New Roman"/>
          <w:sz w:val="24"/>
          <w:szCs w:val="24"/>
        </w:rPr>
      </w:pPr>
      <w:r w:rsidRPr="00D90DAD">
        <w:rPr>
          <w:rFonts w:ascii="Times New Roman" w:eastAsia="Times New Roman" w:hAnsi="Times New Roman" w:cs="Times New Roman"/>
          <w:sz w:val="24"/>
          <w:szCs w:val="24"/>
        </w:rPr>
        <w:t xml:space="preserve"> The Commission further notes that the estimate of the number of affiliates per MNC proposed in the NPRM and adopted in </w:t>
      </w:r>
      <w:r w:rsidR="00A54C56">
        <w:rPr>
          <w:rFonts w:ascii="Times New Roman" w:eastAsia="Times New Roman" w:hAnsi="Times New Roman" w:cs="Times New Roman"/>
          <w:sz w:val="24"/>
          <w:szCs w:val="24"/>
        </w:rPr>
        <w:t>the final rule</w:t>
      </w:r>
      <w:r w:rsidRPr="00D90DAD">
        <w:rPr>
          <w:rFonts w:ascii="Times New Roman" w:eastAsia="Times New Roman" w:hAnsi="Times New Roman" w:cs="Times New Roman"/>
          <w:sz w:val="24"/>
          <w:szCs w:val="24"/>
        </w:rPr>
        <w:t xml:space="preserve">, is an averaged approximation based on publically available information collected by the BEA, and acknowledges that the number of affiliates of an MNC may be higher or lower than 22.  However, there is no basis for concluding that the use of a different source for estimating the average number of affiliates per MNC </w:t>
      </w:r>
      <w:proofErr w:type="gramStart"/>
      <w:r w:rsidRPr="00D90DAD">
        <w:rPr>
          <w:rFonts w:ascii="Times New Roman" w:eastAsia="Times New Roman" w:hAnsi="Times New Roman" w:cs="Times New Roman"/>
          <w:sz w:val="24"/>
          <w:szCs w:val="24"/>
        </w:rPr>
        <w:t>would result</w:t>
      </w:r>
      <w:proofErr w:type="gramEnd"/>
      <w:r w:rsidRPr="00D90DAD">
        <w:rPr>
          <w:rFonts w:ascii="Times New Roman" w:eastAsia="Times New Roman" w:hAnsi="Times New Roman" w:cs="Times New Roman"/>
          <w:sz w:val="24"/>
          <w:szCs w:val="24"/>
        </w:rPr>
        <w:t xml:space="preserve"> in a higher number estimate, nor did the Commission receive comments to that effect.  Accordingly, the Commission believes that its estimation is reasonable in light of the information that is publicly available at this time, and that its original proposed estimates remain appropriate for purposes of the PRA.</w:t>
      </w:r>
    </w:p>
    <w:p w:rsidR="00D90DAD" w:rsidRPr="007017BF" w:rsidRDefault="00D90DAD" w:rsidP="00C0162B">
      <w:pPr>
        <w:spacing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comments received, the Commission has determined not to change any of the conditions relating to documentation and reporting.</w:t>
      </w:r>
      <w:r w:rsidR="004554CD">
        <w:rPr>
          <w:rFonts w:ascii="Times New Roman" w:eastAsia="Times New Roman" w:hAnsi="Times New Roman" w:cs="Times New Roman"/>
          <w:sz w:val="24"/>
          <w:szCs w:val="24"/>
        </w:rPr>
        <w:t xml:space="preserve">  As described above in Question 1, the Commission issued a final rule on April 1, 2013. </w:t>
      </w:r>
      <w:r>
        <w:rPr>
          <w:rFonts w:ascii="Times New Roman" w:eastAsia="Times New Roman" w:hAnsi="Times New Roman" w:cs="Times New Roman"/>
          <w:sz w:val="24"/>
          <w:szCs w:val="24"/>
        </w:rPr>
        <w:t xml:space="preserve">  </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017BF" w:rsidRPr="007017BF" w:rsidRDefault="007017BF" w:rsidP="007017BF">
      <w:pPr>
        <w:tabs>
          <w:tab w:val="left" w:pos="-720"/>
        </w:tabs>
        <w:overflowPunct w:val="0"/>
        <w:autoSpaceDE w:val="0"/>
        <w:autoSpaceDN w:val="0"/>
        <w:adjustRightInd w:val="0"/>
        <w:spacing w:after="240" w:line="240" w:lineRule="auto"/>
        <w:textAlignment w:val="baseline"/>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The Commission </w:t>
      </w:r>
      <w:r w:rsidR="00D934D5">
        <w:rPr>
          <w:rFonts w:ascii="Times New Roman" w:eastAsia="Times New Roman" w:hAnsi="Times New Roman" w:cs="Times New Roman"/>
          <w:sz w:val="24"/>
          <w:szCs w:val="24"/>
        </w:rPr>
        <w:t>sought</w:t>
      </w:r>
      <w:r w:rsidRPr="007017BF">
        <w:rPr>
          <w:rFonts w:ascii="Times New Roman" w:eastAsia="Times New Roman" w:hAnsi="Times New Roman" w:cs="Times New Roman"/>
          <w:sz w:val="24"/>
          <w:szCs w:val="24"/>
        </w:rPr>
        <w:t xml:space="preserve"> public comments on the collection of information.</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lastRenderedPageBreak/>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 xml:space="preserve">No such circumstances are anticipated.  </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9.</w:t>
      </w:r>
      <w:r w:rsidRPr="007017BF">
        <w:rPr>
          <w:rFonts w:ascii="Times New Roman" w:eastAsia="Times New Roman" w:hAnsi="Times New Roman" w:cs="Times New Roman"/>
          <w:b/>
          <w:sz w:val="24"/>
          <w:szCs w:val="24"/>
        </w:rPr>
        <w:tab/>
        <w:t>Explain any decision to provide any payment or gift to respondents, other than remuneration of contractors or grantees.</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question does not apply.</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10.</w:t>
      </w:r>
      <w:r w:rsidRPr="007017BF">
        <w:rPr>
          <w:rFonts w:ascii="Times New Roman" w:eastAsia="Times New Roman" w:hAnsi="Times New Roman" w:cs="Times New Roman"/>
          <w:b/>
          <w:sz w:val="24"/>
          <w:szCs w:val="24"/>
        </w:rPr>
        <w:tab/>
        <w:t>Describe any assurance of confidentiality provided to respondents and the basis for the assurance in statute, regulations, or agency policy.</w:t>
      </w:r>
    </w:p>
    <w:p w:rsidR="007017BF" w:rsidRPr="007017BF"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As noted in the response to Question 7, the Commission will protect proprietary information according to the Freedom of Information Act and the regulations that the 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11.</w:t>
      </w:r>
      <w:r w:rsidRPr="007017BF">
        <w:rPr>
          <w:rFonts w:ascii="Times New Roman" w:eastAsia="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exemption does not require the giving of sensitive information, as that term is used in Question 11.</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12.</w:t>
      </w:r>
      <w:r w:rsidRPr="007017BF">
        <w:rPr>
          <w:rFonts w:ascii="Times New Roman" w:eastAsia="Times New Roman" w:hAnsi="Times New Roman" w:cs="Times New Roman"/>
          <w:b/>
          <w:sz w:val="24"/>
          <w:szCs w:val="24"/>
        </w:rPr>
        <w:tab/>
        <w:t>Provide estimates of the hour burden of the collection of information.  The Statement should:</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lastRenderedPageBreak/>
        <w:t>If the request for approval covers more than one form, provide separate hour burden estimates for each form and aggregate the hour burdens in Item 13 of OMB Form 83-I.</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 xml:space="preserve">Provide estimates of annualized cost to respondents for the hours burdens for collections of information, identifying and using appropriate wage rate categories.  The cost of contracting </w:t>
      </w:r>
      <w:r w:rsidR="00695BB7" w:rsidRPr="007017BF">
        <w:rPr>
          <w:rFonts w:ascii="Times New Roman" w:eastAsia="Times New Roman" w:hAnsi="Times New Roman" w:cs="Times New Roman"/>
          <w:b/>
          <w:sz w:val="24"/>
          <w:szCs w:val="24"/>
        </w:rPr>
        <w:t>out</w:t>
      </w:r>
      <w:r w:rsidRPr="007017BF">
        <w:rPr>
          <w:rFonts w:ascii="Times New Roman" w:eastAsia="Times New Roman" w:hAnsi="Times New Roman" w:cs="Times New Roman"/>
          <w:b/>
          <w:sz w:val="24"/>
          <w:szCs w:val="24"/>
        </w:rPr>
        <w:t xml:space="preserve"> or paying outside parties for information collection activities should not be included here.  Instead, this cost should be included in Item 13.</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See Attachment A.  The Commission estimates that 53,195 respondents will file a total of 64,769,983 responses annually.  See Attachment A</w:t>
      </w:r>
      <w:r w:rsidR="00392E70">
        <w:rPr>
          <w:rFonts w:ascii="Times New Roman" w:eastAsia="Times New Roman" w:hAnsi="Times New Roman" w:cs="Times New Roman"/>
          <w:sz w:val="24"/>
          <w:szCs w:val="24"/>
        </w:rPr>
        <w:t>, Table A</w:t>
      </w:r>
      <w:r w:rsidRPr="007017BF">
        <w:rPr>
          <w:rFonts w:ascii="Times New Roman" w:eastAsia="Times New Roman" w:hAnsi="Times New Roman" w:cs="Times New Roman"/>
          <w:sz w:val="24"/>
          <w:szCs w:val="24"/>
        </w:rPr>
        <w:t>.  The estimated average number of hours required to report each inter-affiliate swap is .03 (1.8 minutes).  See Attachment A</w:t>
      </w:r>
      <w:r w:rsidR="00392E70">
        <w:rPr>
          <w:rFonts w:ascii="Times New Roman" w:eastAsia="Times New Roman" w:hAnsi="Times New Roman" w:cs="Times New Roman"/>
          <w:sz w:val="24"/>
          <w:szCs w:val="24"/>
        </w:rPr>
        <w:t>, Table D</w:t>
      </w:r>
      <w:r w:rsidRPr="007017BF">
        <w:rPr>
          <w:rFonts w:ascii="Times New Roman" w:eastAsia="Times New Roman" w:hAnsi="Times New Roman" w:cs="Times New Roman"/>
          <w:sz w:val="24"/>
          <w:szCs w:val="24"/>
        </w:rPr>
        <w:t xml:space="preserve">.  The cost of the hourly burden per inter-affiliate swap is estimated to be $10.58.  See Attachment A, Table D.  </w:t>
      </w:r>
    </w:p>
    <w:p w:rsidR="007017BF" w:rsidRPr="007017BF"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13.</w:t>
      </w:r>
      <w:r w:rsidRPr="007017BF">
        <w:rPr>
          <w:rFonts w:ascii="Times New Roman" w:eastAsia="Times New Roman" w:hAnsi="Times New Roman" w:cs="Times New Roman"/>
          <w:b/>
          <w:sz w:val="24"/>
          <w:szCs w:val="24"/>
        </w:rPr>
        <w:tab/>
        <w:t xml:space="preserve">Provide an estimate of the total annual cost burden to respondents or </w:t>
      </w:r>
      <w:proofErr w:type="spellStart"/>
      <w:r w:rsidRPr="007017BF">
        <w:rPr>
          <w:rFonts w:ascii="Times New Roman" w:eastAsia="Times New Roman" w:hAnsi="Times New Roman" w:cs="Times New Roman"/>
          <w:b/>
          <w:sz w:val="24"/>
          <w:szCs w:val="24"/>
        </w:rPr>
        <w:t>recordkeepers</w:t>
      </w:r>
      <w:proofErr w:type="spellEnd"/>
      <w:r w:rsidRPr="007017BF">
        <w:rPr>
          <w:rFonts w:ascii="Times New Roman" w:eastAsia="Times New Roman" w:hAnsi="Times New Roman" w:cs="Times New Roman"/>
          <w:b/>
          <w:sz w:val="24"/>
          <w:szCs w:val="24"/>
        </w:rPr>
        <w:t xml:space="preserve"> resulting </w:t>
      </w:r>
      <w:r w:rsidR="00695BB7" w:rsidRPr="007017BF">
        <w:rPr>
          <w:rFonts w:ascii="Times New Roman" w:eastAsia="Times New Roman" w:hAnsi="Times New Roman" w:cs="Times New Roman"/>
          <w:b/>
          <w:sz w:val="24"/>
          <w:szCs w:val="24"/>
        </w:rPr>
        <w:t>from</w:t>
      </w:r>
      <w:r w:rsidRPr="007017BF">
        <w:rPr>
          <w:rFonts w:ascii="Times New Roman" w:eastAsia="Times New Roman" w:hAnsi="Times New Roman" w:cs="Times New Roman"/>
          <w:b/>
          <w:sz w:val="24"/>
          <w:szCs w:val="24"/>
        </w:rPr>
        <w:t xml:space="preserve"> the collection of information.  (Do not include the cost of any hour burden shown in Items 12 and 14).</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7017BF" w:rsidRPr="007017BF"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lastRenderedPageBreak/>
        <w:tab/>
        <w:t xml:space="preserve">There is a one-time, start-up cost total for all MNCs of $3,300,880 to comply with the </w:t>
      </w:r>
      <w:r w:rsidR="00D934D5">
        <w:rPr>
          <w:rFonts w:ascii="Times New Roman" w:eastAsia="Times New Roman" w:hAnsi="Times New Roman" w:cs="Times New Roman"/>
          <w:sz w:val="24"/>
          <w:szCs w:val="24"/>
        </w:rPr>
        <w:t>final</w:t>
      </w:r>
      <w:r w:rsidR="00D934D5" w:rsidRPr="007017BF">
        <w:rPr>
          <w:rFonts w:ascii="Times New Roman" w:eastAsia="Times New Roman" w:hAnsi="Times New Roman" w:cs="Times New Roman"/>
          <w:sz w:val="24"/>
          <w:szCs w:val="24"/>
        </w:rPr>
        <w:t xml:space="preserve"> </w:t>
      </w:r>
      <w:r w:rsidRPr="007017BF">
        <w:rPr>
          <w:rFonts w:ascii="Times New Roman" w:eastAsia="Times New Roman" w:hAnsi="Times New Roman" w:cs="Times New Roman"/>
          <w:sz w:val="24"/>
          <w:szCs w:val="24"/>
        </w:rPr>
        <w:t>rule.  See Attachment A, Table C.</w:t>
      </w:r>
    </w:p>
    <w:p w:rsidR="007017BF" w:rsidRPr="007017BF" w:rsidRDefault="007017BF" w:rsidP="007017BF">
      <w:pPr>
        <w:tabs>
          <w:tab w:val="left" w:pos="-72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14.</w:t>
      </w:r>
      <w:r w:rsidRPr="007017BF">
        <w:rPr>
          <w:rFonts w:ascii="Times New Roman" w:eastAsia="Times New Roman" w:hAnsi="Times New Roman" w:cs="Times New Roman"/>
          <w:b/>
          <w:sz w:val="24"/>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primary costs for reviewing and analyzing documents under the new information collections are the salaries and benefits of CFTC staff attorneys.  The Commission estimates the costs to the Federal Government as follows:</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The Commission anticipates it will probably analyze about 10% of annual reports received under this collection of information (1,760 reports received annually, 176 reports reviewed).  The average time for analyzing an annual report may be 1 hour, most likely at the CT-12 level, resulting in an aggregate annual hourly burden of 176 hours.  The total aggregate cost to review and analyze 10% of the annual reports each year is estimated at $11,968.</w:t>
      </w:r>
      <w:r w:rsidRPr="007017BF">
        <w:rPr>
          <w:rFonts w:ascii="Times New Roman" w:eastAsia="Times New Roman" w:hAnsi="Times New Roman" w:cs="Times New Roman"/>
          <w:sz w:val="24"/>
          <w:szCs w:val="24"/>
          <w:vertAlign w:val="superscript"/>
        </w:rPr>
        <w:footnoteReference w:id="3"/>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15.</w:t>
      </w:r>
      <w:r w:rsidRPr="007017BF">
        <w:rPr>
          <w:rFonts w:ascii="Times New Roman" w:eastAsia="Times New Roman" w:hAnsi="Times New Roman" w:cs="Times New Roman"/>
          <w:b/>
          <w:sz w:val="24"/>
          <w:szCs w:val="24"/>
        </w:rPr>
        <w:tab/>
        <w:t>Explain the reasons for any program changes or adjustments reported in Items 13 or 14 of the OMB Form 83-I.</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question does not apply.</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16.</w:t>
      </w:r>
      <w:r w:rsidRPr="007017BF">
        <w:rPr>
          <w:rFonts w:ascii="Times New Roman" w:eastAsia="Times New Roman" w:hAnsi="Times New Roman" w:cs="Times New Roman"/>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question does not apply.</w:t>
      </w:r>
    </w:p>
    <w:p w:rsidR="007017BF" w:rsidRPr="007017BF"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17.</w:t>
      </w:r>
      <w:r w:rsidRPr="007017BF">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rsidR="007017BF" w:rsidRPr="007017BF" w:rsidRDefault="007017BF" w:rsidP="007017BF">
      <w:pPr>
        <w:tabs>
          <w:tab w:val="left" w:pos="-720"/>
        </w:tabs>
        <w:spacing w:after="240" w:line="240" w:lineRule="auto"/>
        <w:rPr>
          <w:rFonts w:ascii="Times New Roman" w:eastAsia="Times New Roman" w:hAnsi="Times New Roman" w:cs="Times New Roman"/>
          <w:sz w:val="24"/>
          <w:szCs w:val="24"/>
        </w:rPr>
      </w:pPr>
      <w:r w:rsidRPr="007017BF">
        <w:rPr>
          <w:rFonts w:ascii="Times New Roman" w:eastAsia="Times New Roman" w:hAnsi="Times New Roman" w:cs="Times New Roman"/>
          <w:sz w:val="24"/>
          <w:szCs w:val="24"/>
        </w:rPr>
        <w:tab/>
        <w:t>This question does not apply.</w:t>
      </w:r>
    </w:p>
    <w:p w:rsidR="007017BF" w:rsidRPr="007017BF"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7017BF">
        <w:rPr>
          <w:rFonts w:ascii="Times New Roman" w:eastAsia="Times New Roman" w:hAnsi="Times New Roman" w:cs="Times New Roman"/>
          <w:b/>
          <w:sz w:val="24"/>
          <w:szCs w:val="24"/>
        </w:rPr>
        <w:t>18.</w:t>
      </w:r>
      <w:r w:rsidRPr="007017BF">
        <w:rPr>
          <w:rFonts w:ascii="Times New Roman" w:eastAsia="Times New Roman" w:hAnsi="Times New Roman" w:cs="Times New Roman"/>
          <w:b/>
          <w:sz w:val="24"/>
          <w:szCs w:val="24"/>
        </w:rPr>
        <w:tab/>
        <w:t>Explain each exception to the certification statement identified in Item 19, "Certification for Paperwork Reduction Act Submissions," of OMB Form 83-I.</w:t>
      </w:r>
    </w:p>
    <w:p w:rsidR="007017BF" w:rsidRPr="00672C54" w:rsidRDefault="00672C54" w:rsidP="00672C54">
      <w:pPr>
        <w:tabs>
          <w:tab w:val="left" w:pos="-72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question does not apply</w:t>
      </w:r>
    </w:p>
    <w:p w:rsidR="00970BCE" w:rsidRPr="00970BCE" w:rsidRDefault="00970BCE" w:rsidP="00970BCE">
      <w:pPr>
        <w:spacing w:after="240" w:line="240" w:lineRule="auto"/>
        <w:jc w:val="center"/>
        <w:rPr>
          <w:rFonts w:ascii="Times New Roman" w:eastAsia="Times New Roman" w:hAnsi="Times New Roman" w:cs="Times New Roman"/>
          <w:b/>
        </w:rPr>
      </w:pPr>
      <w:r w:rsidRPr="00970BCE">
        <w:rPr>
          <w:rFonts w:ascii="Times New Roman" w:eastAsia="Times New Roman" w:hAnsi="Times New Roman" w:cs="Times New Roman"/>
          <w:b/>
        </w:rPr>
        <w:lastRenderedPageBreak/>
        <w:t>Attachment A</w:t>
      </w:r>
    </w:p>
    <w:p w:rsidR="00A54C56" w:rsidRDefault="00D934D5" w:rsidP="00970BCE">
      <w:pPr>
        <w:spacing w:after="0" w:line="240" w:lineRule="auto"/>
        <w:jc w:val="center"/>
        <w:rPr>
          <w:rFonts w:ascii="Times New Roman" w:eastAsia="Times New Roman" w:hAnsi="Times New Roman" w:cs="Times New Roman"/>
          <w:b/>
        </w:rPr>
      </w:pPr>
      <w:r w:rsidRPr="00D934D5">
        <w:rPr>
          <w:rFonts w:ascii="Times New Roman" w:eastAsia="Times New Roman" w:hAnsi="Times New Roman" w:cs="Times New Roman"/>
          <w:b/>
        </w:rPr>
        <w:t xml:space="preserve">Rule 50.52 (proposed as rule 39.6(g)) Affiliate Transaction </w:t>
      </w:r>
      <w:proofErr w:type="spellStart"/>
      <w:r w:rsidRPr="00D934D5">
        <w:rPr>
          <w:rFonts w:ascii="Times New Roman" w:eastAsia="Times New Roman" w:hAnsi="Times New Roman" w:cs="Times New Roman"/>
          <w:b/>
        </w:rPr>
        <w:t>Uncleared</w:t>
      </w:r>
      <w:proofErr w:type="spellEnd"/>
      <w:r w:rsidRPr="00D934D5">
        <w:rPr>
          <w:rFonts w:ascii="Times New Roman" w:eastAsia="Times New Roman" w:hAnsi="Times New Roman" w:cs="Times New Roman"/>
          <w:b/>
        </w:rPr>
        <w:t xml:space="preserve"> Swap Notification</w:t>
      </w:r>
      <w:r w:rsidRPr="00D934D5" w:rsidDel="00D934D5">
        <w:rPr>
          <w:rFonts w:ascii="Times New Roman" w:eastAsia="Times New Roman" w:hAnsi="Times New Roman" w:cs="Times New Roman"/>
          <w:b/>
        </w:rPr>
        <w:t xml:space="preserve"> </w:t>
      </w:r>
    </w:p>
    <w:p w:rsidR="00A54C56" w:rsidRDefault="00A54C56" w:rsidP="00970BCE">
      <w:pPr>
        <w:spacing w:after="0" w:line="240" w:lineRule="auto"/>
        <w:jc w:val="center"/>
        <w:rPr>
          <w:rFonts w:ascii="Times New Roman" w:eastAsia="Times New Roman" w:hAnsi="Times New Roman" w:cs="Times New Roman"/>
          <w:b/>
        </w:rPr>
      </w:pPr>
    </w:p>
    <w:p w:rsidR="00970BCE" w:rsidRPr="00970BCE" w:rsidRDefault="00970BCE" w:rsidP="00A54C56">
      <w:pPr>
        <w:spacing w:after="0" w:line="240" w:lineRule="auto"/>
        <w:jc w:val="center"/>
        <w:rPr>
          <w:rFonts w:ascii="Times New Roman" w:eastAsia="Times New Roman" w:hAnsi="Times New Roman" w:cs="Times New Roman"/>
          <w:b/>
        </w:rPr>
      </w:pPr>
      <w:r w:rsidRPr="00970BCE">
        <w:rPr>
          <w:rFonts w:ascii="Times New Roman" w:eastAsia="Times New Roman" w:hAnsi="Times New Roman" w:cs="Times New Roman"/>
          <w:b/>
        </w:rPr>
        <w:t>OMB Collection File 3038-</w:t>
      </w:r>
      <w:r w:rsidR="00D934D5">
        <w:rPr>
          <w:rFonts w:ascii="Times New Roman" w:eastAsia="Times New Roman" w:hAnsi="Times New Roman" w:cs="Times New Roman"/>
          <w:b/>
        </w:rPr>
        <w:t>0104</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Number of Respondents</w:t>
      </w:r>
      <w:r w:rsidRPr="00970BCE">
        <w:rPr>
          <w:rFonts w:ascii="Times New Roman" w:eastAsia="Times New Roman" w:hAnsi="Times New Roman" w:cs="Times New Roman"/>
        </w:rPr>
        <w:tab/>
      </w:r>
      <w:r w:rsidRPr="00970BCE">
        <w:rPr>
          <w:rFonts w:ascii="Times New Roman" w:eastAsia="Times New Roman" w:hAnsi="Times New Roman" w:cs="Times New Roman"/>
        </w:rPr>
        <w:tab/>
      </w:r>
      <w:r w:rsidRPr="00970BCE">
        <w:rPr>
          <w:rFonts w:ascii="Times New Roman" w:eastAsia="Times New Roman" w:hAnsi="Times New Roman" w:cs="Times New Roman"/>
        </w:rPr>
        <w:tab/>
      </w:r>
      <w:r w:rsidRPr="00970BCE">
        <w:rPr>
          <w:rFonts w:ascii="Times New Roman" w:eastAsia="Times New Roman" w:hAnsi="Times New Roman" w:cs="Times New Roman"/>
        </w:rPr>
        <w:tab/>
        <w:t>53,195 (See Table A)</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Number of Responses</w:t>
      </w:r>
      <w:r w:rsidRPr="00970BCE">
        <w:rPr>
          <w:rFonts w:ascii="Times New Roman" w:eastAsia="Times New Roman" w:hAnsi="Times New Roman" w:cs="Times New Roman"/>
        </w:rPr>
        <w:tab/>
      </w:r>
      <w:r w:rsidRPr="00970BCE">
        <w:rPr>
          <w:rFonts w:ascii="Times New Roman" w:eastAsia="Times New Roman" w:hAnsi="Times New Roman" w:cs="Times New Roman"/>
        </w:rPr>
        <w:tab/>
      </w:r>
      <w:r w:rsidRPr="00970BCE">
        <w:rPr>
          <w:rFonts w:ascii="Times New Roman" w:eastAsia="Times New Roman" w:hAnsi="Times New Roman" w:cs="Times New Roman"/>
        </w:rPr>
        <w:tab/>
      </w:r>
      <w:r w:rsidRPr="00970BCE">
        <w:rPr>
          <w:rFonts w:ascii="Times New Roman" w:eastAsia="Times New Roman" w:hAnsi="Times New Roman" w:cs="Times New Roman"/>
        </w:rPr>
        <w:tab/>
        <w:t>64,769,983 (64,768,399 + 1,584) (See Table A)</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Estimated Average Hours </w:t>
      </w:r>
      <w:proofErr w:type="gramStart"/>
      <w:r w:rsidRPr="00970BCE">
        <w:rPr>
          <w:rFonts w:ascii="Times New Roman" w:eastAsia="Times New Roman" w:hAnsi="Times New Roman" w:cs="Times New Roman"/>
        </w:rPr>
        <w:t>Per</w:t>
      </w:r>
      <w:proofErr w:type="gramEnd"/>
      <w:r w:rsidRPr="00970BCE">
        <w:rPr>
          <w:rFonts w:ascii="Times New Roman" w:eastAsia="Times New Roman" w:hAnsi="Times New Roman" w:cs="Times New Roman"/>
        </w:rPr>
        <w:t xml:space="preserve"> Inter-Affiliate Swap</w:t>
      </w:r>
      <w:r w:rsidRPr="00970BCE">
        <w:rPr>
          <w:rFonts w:ascii="Times New Roman" w:eastAsia="Times New Roman" w:hAnsi="Times New Roman" w:cs="Times New Roman"/>
        </w:rPr>
        <w:tab/>
        <w:t>.03 (1.8 minutes)</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ind w:left="5040" w:hanging="5040"/>
        <w:rPr>
          <w:rFonts w:ascii="Times New Roman" w:eastAsia="Times New Roman" w:hAnsi="Times New Roman" w:cs="Times New Roman"/>
        </w:rPr>
      </w:pPr>
      <w:r w:rsidRPr="00970BCE">
        <w:rPr>
          <w:rFonts w:ascii="Times New Roman" w:eastAsia="Times New Roman" w:hAnsi="Times New Roman" w:cs="Times New Roman"/>
        </w:rPr>
        <w:t>Frequency of Reporting</w:t>
      </w:r>
      <w:r w:rsidRPr="00970BCE">
        <w:rPr>
          <w:rFonts w:ascii="Times New Roman" w:eastAsia="Times New Roman" w:hAnsi="Times New Roman" w:cs="Times New Roman"/>
        </w:rPr>
        <w:tab/>
        <w:t>On Occasion (at the beginning of each inter-affiliate swap), and</w:t>
      </w:r>
    </w:p>
    <w:p w:rsidR="00970BCE" w:rsidRPr="00970BCE" w:rsidRDefault="00970BCE" w:rsidP="00970BCE">
      <w:pPr>
        <w:spacing w:after="0" w:line="240" w:lineRule="auto"/>
        <w:ind w:left="5040" w:hanging="5040"/>
        <w:rPr>
          <w:rFonts w:ascii="Times New Roman" w:eastAsia="Times New Roman" w:hAnsi="Times New Roman" w:cs="Times New Roman"/>
        </w:rPr>
      </w:pPr>
      <w:r w:rsidRPr="00970BCE">
        <w:rPr>
          <w:rFonts w:ascii="Times New Roman" w:eastAsia="Times New Roman" w:hAnsi="Times New Roman" w:cs="Times New Roman"/>
        </w:rPr>
        <w:tab/>
        <w:t xml:space="preserve">Annual (if entity elects to file Annual Report under </w:t>
      </w:r>
      <w:r w:rsidR="00830E02">
        <w:rPr>
          <w:rFonts w:ascii="Times New Roman" w:eastAsia="Times New Roman" w:hAnsi="Times New Roman" w:cs="Times New Roman"/>
        </w:rPr>
        <w:t xml:space="preserve">§ </w:t>
      </w:r>
      <w:r w:rsidR="00D934D5">
        <w:rPr>
          <w:rFonts w:ascii="Times New Roman" w:eastAsia="Times New Roman" w:hAnsi="Times New Roman" w:cs="Times New Roman"/>
        </w:rPr>
        <w:t>50.52(d))</w:t>
      </w:r>
      <w:r w:rsidRPr="00970BCE">
        <w:rPr>
          <w:rFonts w:ascii="Times New Roman" w:eastAsia="Times New Roman" w:hAnsi="Times New Roman" w:cs="Times New Roman"/>
        </w:rPr>
        <w:t xml:space="preserve"> </w:t>
      </w:r>
    </w:p>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Table A.  Multinational Corporation (MNC), Affiliate, and Inter-Affiliate Swap Estimates.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500"/>
        <w:gridCol w:w="4320"/>
      </w:tblGrid>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Number of MNCs</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2,347</w:t>
            </w: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Number of Subsidiaries per MNC</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22</w:t>
            </w:r>
            <w:r w:rsidRPr="00970BCE">
              <w:rPr>
                <w:rFonts w:ascii="Times New Roman" w:eastAsia="Times New Roman" w:hAnsi="Times New Roman" w:cs="Times New Roman"/>
                <w:vertAlign w:val="superscript"/>
              </w:rPr>
              <w:footnoteReference w:id="4"/>
            </w: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Total Number of Subsidiaries </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50,848</w:t>
            </w:r>
          </w:p>
        </w:tc>
      </w:tr>
      <w:tr w:rsidR="00970BCE" w:rsidRPr="00970BCE" w:rsidTr="00970BCE">
        <w:tc>
          <w:tcPr>
            <w:tcW w:w="4500" w:type="dxa"/>
            <w:tcBorders>
              <w:bottom w:val="single" w:sz="4" w:space="0" w:color="auto"/>
            </w:tcBorders>
            <w:shd w:val="clear" w:color="auto" w:fill="FFFFFF"/>
          </w:tcPr>
          <w:p w:rsidR="00970BCE" w:rsidRPr="00970BCE" w:rsidRDefault="00970BCE" w:rsidP="00A54C56">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Total Number of Affiliates Potentially Electing the Exemption</w:t>
            </w:r>
          </w:p>
        </w:tc>
        <w:tc>
          <w:tcPr>
            <w:tcW w:w="4320" w:type="dxa"/>
            <w:tcBorders>
              <w:bottom w:val="single" w:sz="4" w:space="0" w:color="auto"/>
            </w:tcBorders>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53,195 [50,848 + 2,347]</w:t>
            </w:r>
          </w:p>
        </w:tc>
      </w:tr>
      <w:tr w:rsidR="00970BCE" w:rsidRPr="00970BCE" w:rsidTr="00970BCE">
        <w:trPr>
          <w:trHeight w:val="440"/>
        </w:trPr>
        <w:tc>
          <w:tcPr>
            <w:tcW w:w="4500" w:type="dxa"/>
            <w:tcBorders>
              <w:bottom w:val="single" w:sz="4" w:space="0" w:color="auto"/>
            </w:tcBorders>
            <w:shd w:val="clear" w:color="auto" w:fill="FFFFFF"/>
          </w:tcPr>
          <w:p w:rsidR="00970BCE" w:rsidRPr="00970BCE" w:rsidRDefault="00970BCE" w:rsidP="00A54C56">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Estimated Number of MNCs Subject to Reporting Requirements</w:t>
            </w:r>
          </w:p>
        </w:tc>
        <w:tc>
          <w:tcPr>
            <w:tcW w:w="4320" w:type="dxa"/>
            <w:tcBorders>
              <w:bottom w:val="single" w:sz="4" w:space="0" w:color="auto"/>
            </w:tcBorders>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1,760 [2,347 x 75%]</w:t>
            </w:r>
            <w:r w:rsidR="00392E70">
              <w:rPr>
                <w:rStyle w:val="FootnoteReference"/>
                <w:rFonts w:ascii="Times New Roman" w:eastAsia="Times New Roman" w:hAnsi="Times New Roman" w:cs="Times New Roman"/>
              </w:rPr>
              <w:footnoteReference w:id="5"/>
            </w:r>
            <w:r w:rsidRPr="00970BCE" w:rsidDel="0071443D">
              <w:rPr>
                <w:rFonts w:ascii="Times New Roman" w:eastAsia="Times New Roman" w:hAnsi="Times New Roman" w:cs="Times New Roman"/>
              </w:rPr>
              <w:t xml:space="preserve"> </w:t>
            </w:r>
          </w:p>
          <w:p w:rsidR="00970BCE" w:rsidRPr="00970BCE" w:rsidRDefault="00970BCE" w:rsidP="00970BCE">
            <w:pPr>
              <w:spacing w:after="0" w:line="240" w:lineRule="auto"/>
              <w:jc w:val="right"/>
              <w:rPr>
                <w:rFonts w:ascii="Times New Roman" w:eastAsia="Times New Roman" w:hAnsi="Times New Roman" w:cs="Times New Roman"/>
              </w:rPr>
            </w:pP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Estimated Number of Reporting MNCs that Would File Annual Reports</w:t>
            </w:r>
            <w:r w:rsidRPr="00970BCE">
              <w:rPr>
                <w:rFonts w:ascii="Times New Roman" w:eastAsia="Times New Roman" w:hAnsi="Times New Roman" w:cs="Times New Roman"/>
                <w:vertAlign w:val="superscript"/>
              </w:rPr>
              <w:footnoteReference w:id="6"/>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1,584 [1,760 x 90%]</w:t>
            </w: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Average Annual Number of Inter-Affiliate Swaps per Affiliate</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 xml:space="preserve">2,230 </w:t>
            </w:r>
          </w:p>
        </w:tc>
      </w:tr>
      <w:tr w:rsidR="00970BCE" w:rsidRPr="00970BCE" w:rsidTr="00970BCE">
        <w:tc>
          <w:tcPr>
            <w:tcW w:w="4500" w:type="dxa"/>
            <w:shd w:val="clear" w:color="auto" w:fill="FFFFFF"/>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Total Annual Number of Inter-Affiliate Swaps</w:t>
            </w:r>
          </w:p>
        </w:tc>
        <w:tc>
          <w:tcPr>
            <w:tcW w:w="4320" w:type="dxa"/>
            <w:shd w:val="clear" w:color="auto" w:fill="FFFFFF"/>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64,768,399</w:t>
            </w:r>
            <w:r w:rsidRPr="00970BCE">
              <w:rPr>
                <w:rFonts w:ascii="Times New Roman" w:eastAsia="Times New Roman" w:hAnsi="Times New Roman" w:cs="Times New Roman"/>
                <w:vertAlign w:val="superscript"/>
              </w:rPr>
              <w:footnoteReference w:id="7"/>
            </w:r>
          </w:p>
        </w:tc>
      </w:tr>
    </w:tbl>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br w:type="page"/>
      </w:r>
      <w:r w:rsidRPr="00970BCE">
        <w:rPr>
          <w:rFonts w:ascii="Times New Roman" w:eastAsia="Times New Roman" w:hAnsi="Times New Roman" w:cs="Times New Roman"/>
          <w:b/>
        </w:rPr>
        <w:lastRenderedPageBreak/>
        <w:t xml:space="preserve">Table B.  Burden and Cost Estimates of </w:t>
      </w:r>
      <w:r w:rsidR="00D934D5">
        <w:rPr>
          <w:rFonts w:ascii="Times New Roman" w:eastAsia="Times New Roman" w:hAnsi="Times New Roman" w:cs="Times New Roman"/>
          <w:b/>
        </w:rPr>
        <w:t>Rule 50.52(c)</w:t>
      </w:r>
      <w:r w:rsidRPr="00970BCE">
        <w:rPr>
          <w:rFonts w:ascii="Times New Roman" w:eastAsia="Times New Roman" w:hAnsi="Times New Roman" w:cs="Times New Roman"/>
          <w:b/>
        </w:rPr>
        <w:t xml:space="preserve"> (Reporting Requirement).</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710"/>
        <w:gridCol w:w="1620"/>
        <w:gridCol w:w="1530"/>
        <w:gridCol w:w="1980"/>
      </w:tblGrid>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Regulation/</w:t>
            </w:r>
          </w:p>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Requirement Description</w:t>
            </w:r>
          </w:p>
        </w:tc>
        <w:tc>
          <w:tcPr>
            <w:tcW w:w="171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Average Burden Hours Per Transaction</w:t>
            </w:r>
          </w:p>
        </w:tc>
        <w:tc>
          <w:tcPr>
            <w:tcW w:w="162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Average Cost Per Transaction</w:t>
            </w:r>
            <w:r w:rsidRPr="00970BCE">
              <w:rPr>
                <w:rFonts w:ascii="Times New Roman" w:eastAsia="Times New Roman" w:hAnsi="Times New Roman" w:cs="Times New Roman"/>
                <w:b/>
                <w:vertAlign w:val="superscript"/>
              </w:rPr>
              <w:footnoteReference w:id="8"/>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Annual Burden Hours</w:t>
            </w:r>
          </w:p>
        </w:tc>
        <w:tc>
          <w:tcPr>
            <w:tcW w:w="198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Annual Cost</w:t>
            </w:r>
          </w:p>
        </w:tc>
      </w:tr>
      <w:tr w:rsidR="00970BCE" w:rsidRPr="00970BCE" w:rsidTr="00970BCE">
        <w:tc>
          <w:tcPr>
            <w:tcW w:w="2070" w:type="dxa"/>
            <w:shd w:val="clear" w:color="auto" w:fill="auto"/>
          </w:tcPr>
          <w:p w:rsidR="00970BCE" w:rsidRPr="00970BCE" w:rsidRDefault="00970BCE" w:rsidP="00D934D5">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 </w:t>
            </w:r>
            <w:r w:rsidR="00D934D5">
              <w:rPr>
                <w:rFonts w:ascii="Times New Roman" w:eastAsia="Times New Roman" w:hAnsi="Times New Roman" w:cs="Times New Roman"/>
              </w:rPr>
              <w:t>50.52(c)(1)</w:t>
            </w:r>
          </w:p>
        </w:tc>
        <w:tc>
          <w:tcPr>
            <w:tcW w:w="171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0.019 hours</w:t>
            </w: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(1.14 minutes)</w:t>
            </w:r>
          </w:p>
        </w:tc>
        <w:tc>
          <w:tcPr>
            <w:tcW w:w="162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$7.41</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1,230,600</w:t>
            </w:r>
          </w:p>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w:t>
            </w:r>
            <w:r w:rsidRPr="00970BCE">
              <w:rPr>
                <w:rFonts w:ascii="Times New Roman" w:eastAsia="Times New Roman" w:hAnsi="Times New Roman" w:cs="Times New Roman"/>
              </w:rPr>
              <w:t>64,768,399</w:t>
            </w:r>
            <w:r w:rsidRPr="00970BCE">
              <w:rPr>
                <w:rFonts w:ascii="Times New Roman" w:eastAsia="Times New Roman" w:hAnsi="Times New Roman" w:cs="Times New Roman"/>
                <w:color w:val="000000"/>
              </w:rPr>
              <w:t xml:space="preserve">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x .019]</w:t>
            </w:r>
          </w:p>
        </w:tc>
        <w:tc>
          <w:tcPr>
            <w:tcW w:w="1980" w:type="dxa"/>
            <w:shd w:val="clear" w:color="auto" w:fill="auto"/>
          </w:tcPr>
          <w:p w:rsidR="00970BCE" w:rsidRPr="00970BCE" w:rsidRDefault="00970BCE" w:rsidP="0084182A">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$479,933,837</w:t>
            </w:r>
          </w:p>
          <w:p w:rsidR="00970BCE" w:rsidRPr="00970BCE" w:rsidRDefault="00970BCE" w:rsidP="00970BCE">
            <w:pPr>
              <w:spacing w:after="0" w:line="240" w:lineRule="auto"/>
              <w:jc w:val="right"/>
              <w:rPr>
                <w:rFonts w:ascii="Times New Roman" w:eastAsia="Times New Roman" w:hAnsi="Times New Roman" w:cs="Times New Roman"/>
                <w:color w:val="000000"/>
              </w:rPr>
            </w:pPr>
          </w:p>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w:t>
            </w:r>
            <w:r w:rsidRPr="00970BCE">
              <w:rPr>
                <w:rFonts w:ascii="Times New Roman" w:eastAsia="Times New Roman" w:hAnsi="Times New Roman" w:cs="Times New Roman"/>
              </w:rPr>
              <w:t>64,768,399</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x $7.41]</w:t>
            </w:r>
            <w:r w:rsidRPr="00970BCE">
              <w:rPr>
                <w:rFonts w:ascii="Times New Roman" w:eastAsia="Times New Roman" w:hAnsi="Times New Roman" w:cs="Times New Roman"/>
                <w:vertAlign w:val="superscript"/>
              </w:rPr>
              <w:footnoteReference w:id="9"/>
            </w:r>
          </w:p>
        </w:tc>
      </w:tr>
    </w:tbl>
    <w:p w:rsidR="00970BCE" w:rsidRPr="00970BCE" w:rsidRDefault="00970BCE" w:rsidP="00970BCE">
      <w:pPr>
        <w:spacing w:after="0" w:line="240" w:lineRule="auto"/>
        <w:rPr>
          <w:rFonts w:ascii="Times New Roman" w:eastAsia="Times New Roman" w:hAnsi="Times New Roman" w:cs="Times New Roman"/>
          <w:b/>
        </w:rPr>
      </w:pPr>
      <w:r w:rsidRPr="00970BCE">
        <w:rPr>
          <w:rFonts w:ascii="Arial" w:eastAsia="Times New Roman" w:hAnsi="Arial" w:cs="Times New Roman"/>
          <w:sz w:val="24"/>
          <w:szCs w:val="24"/>
        </w:rPr>
        <w:br w:type="page"/>
      </w:r>
      <w:r w:rsidRPr="00970BCE">
        <w:rPr>
          <w:rFonts w:ascii="Times New Roman" w:eastAsia="Times New Roman" w:hAnsi="Times New Roman" w:cs="Times New Roman"/>
          <w:b/>
        </w:rPr>
        <w:lastRenderedPageBreak/>
        <w:t xml:space="preserve">Table B. Burden and Cost Estimates of </w:t>
      </w:r>
      <w:r w:rsidR="00D934D5">
        <w:rPr>
          <w:rFonts w:ascii="Times New Roman" w:eastAsia="Times New Roman" w:hAnsi="Times New Roman" w:cs="Times New Roman"/>
          <w:b/>
        </w:rPr>
        <w:t>Rule 50.52(c)</w:t>
      </w:r>
      <w:r w:rsidRPr="00970BCE">
        <w:rPr>
          <w:rFonts w:ascii="Times New Roman" w:eastAsia="Times New Roman" w:hAnsi="Times New Roman" w:cs="Times New Roman"/>
          <w:b/>
        </w:rPr>
        <w:t xml:space="preserve"> (Reporting Requirement)</w:t>
      </w:r>
    </w:p>
    <w:p w:rsidR="00970BCE" w:rsidRPr="00970BCE" w:rsidRDefault="00970BCE" w:rsidP="00970BCE">
      <w:pPr>
        <w:spacing w:after="0" w:line="240" w:lineRule="auto"/>
        <w:rPr>
          <w:rFonts w:ascii="Arial" w:eastAsia="Times New Roman" w:hAnsi="Arial" w:cs="Times New Roman"/>
          <w:sz w:val="24"/>
          <w:szCs w:val="24"/>
        </w:rPr>
      </w:pPr>
      <w:proofErr w:type="gramStart"/>
      <w:r w:rsidRPr="00970BCE">
        <w:rPr>
          <w:rFonts w:ascii="Times New Roman" w:eastAsia="Times New Roman" w:hAnsi="Times New Roman" w:cs="Times New Roman"/>
          <w:b/>
        </w:rPr>
        <w:t>(Continued).</w:t>
      </w:r>
      <w:proofErr w:type="gramEnd"/>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800"/>
        <w:gridCol w:w="1530"/>
        <w:gridCol w:w="1530"/>
        <w:gridCol w:w="1890"/>
      </w:tblGrid>
      <w:tr w:rsidR="00970BCE" w:rsidRPr="00970BCE" w:rsidTr="00970BCE">
        <w:trPr>
          <w:trHeight w:val="503"/>
        </w:trPr>
        <w:tc>
          <w:tcPr>
            <w:tcW w:w="2070" w:type="dxa"/>
            <w:vMerge w:val="restart"/>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w:t>
            </w:r>
            <w:r w:rsidR="00D934D5">
              <w:rPr>
                <w:rFonts w:ascii="Times New Roman" w:eastAsia="Times New Roman" w:hAnsi="Times New Roman" w:cs="Times New Roman"/>
              </w:rPr>
              <w:t xml:space="preserve"> 50.52(c)(2)-(3)</w:t>
            </w:r>
          </w:p>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(costs incurred if no annual report filed under </w:t>
            </w:r>
          </w:p>
          <w:p w:rsidR="00970BCE" w:rsidRPr="00970BCE" w:rsidRDefault="00970BCE" w:rsidP="00A54C56">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 </w:t>
            </w:r>
            <w:r w:rsidR="00D934D5">
              <w:rPr>
                <w:rFonts w:ascii="Times New Roman" w:eastAsia="Times New Roman" w:hAnsi="Times New Roman" w:cs="Times New Roman"/>
              </w:rPr>
              <w:t>50.52(d)</w:t>
            </w:r>
            <w:r w:rsidR="00A54C56">
              <w:rPr>
                <w:rFonts w:ascii="Times New Roman" w:eastAsia="Times New Roman" w:hAnsi="Times New Roman" w:cs="Times New Roman"/>
              </w:rPr>
              <w:t>)</w:t>
            </w:r>
            <w:r w:rsidRPr="00970BCE">
              <w:rPr>
                <w:rFonts w:ascii="Times New Roman" w:eastAsia="Times New Roman" w:hAnsi="Times New Roman" w:cs="Times New Roman"/>
                <w:vertAlign w:val="superscript"/>
              </w:rPr>
              <w:footnoteReference w:id="10"/>
            </w:r>
          </w:p>
        </w:tc>
        <w:tc>
          <w:tcPr>
            <w:tcW w:w="180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 xml:space="preserve">First Transaction:  </w:t>
            </w:r>
            <w:r w:rsidRPr="00970BCE">
              <w:rPr>
                <w:rFonts w:ascii="Times New Roman" w:eastAsia="Times New Roman" w:hAnsi="Times New Roman" w:cs="Times New Roman"/>
              </w:rPr>
              <w:t>0.17 hours</w:t>
            </w:r>
            <w:r w:rsidR="00F579C0">
              <w:rPr>
                <w:rFonts w:ascii="Times New Roman" w:eastAsia="Times New Roman" w:hAnsi="Times New Roman" w:cs="Times New Roman"/>
              </w:rPr>
              <w:t xml:space="preserve"> </w:t>
            </w:r>
            <w:r w:rsidRPr="00970BCE">
              <w:rPr>
                <w:rFonts w:ascii="Times New Roman" w:eastAsia="Times New Roman" w:hAnsi="Times New Roman" w:cs="Times New Roman"/>
              </w:rPr>
              <w:t>(10 minutes)</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$65.00</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648</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[(50,848 x 75% x 10% x 0.17]</w:t>
            </w:r>
          </w:p>
        </w:tc>
        <w:tc>
          <w:tcPr>
            <w:tcW w:w="18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$247,884</w:t>
            </w:r>
          </w:p>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 xml:space="preserve">[(50,848 x 75%)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x 10% x $65]</w:t>
            </w:r>
            <w:r w:rsidRPr="00970BCE">
              <w:rPr>
                <w:rFonts w:ascii="Times New Roman" w:eastAsia="Times New Roman" w:hAnsi="Times New Roman" w:cs="Times New Roman"/>
                <w:vertAlign w:val="superscript"/>
              </w:rPr>
              <w:footnoteReference w:id="11"/>
            </w:r>
          </w:p>
        </w:tc>
      </w:tr>
      <w:tr w:rsidR="00970BCE" w:rsidRPr="00970BCE" w:rsidTr="00970BCE">
        <w:trPr>
          <w:trHeight w:val="502"/>
        </w:trPr>
        <w:tc>
          <w:tcPr>
            <w:tcW w:w="2070" w:type="dxa"/>
            <w:vMerge/>
            <w:shd w:val="clear" w:color="auto" w:fill="auto"/>
          </w:tcPr>
          <w:p w:rsidR="00970BCE" w:rsidRPr="00970BCE" w:rsidRDefault="00970BCE" w:rsidP="00970BCE">
            <w:pPr>
              <w:spacing w:after="0" w:line="240" w:lineRule="auto"/>
              <w:rPr>
                <w:rFonts w:ascii="Times New Roman" w:eastAsia="Times New Roman" w:hAnsi="Times New Roman" w:cs="Times New Roman"/>
              </w:rPr>
            </w:pPr>
          </w:p>
        </w:tc>
        <w:tc>
          <w:tcPr>
            <w:tcW w:w="180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Subsequen</w:t>
            </w:r>
            <w:r w:rsidR="00A54C56">
              <w:rPr>
                <w:rFonts w:ascii="Times New Roman" w:eastAsia="Times New Roman" w:hAnsi="Times New Roman" w:cs="Times New Roman"/>
                <w:b/>
              </w:rPr>
              <w:t xml:space="preserve">t </w:t>
            </w:r>
            <w:r w:rsidRPr="00970BCE">
              <w:rPr>
                <w:rFonts w:ascii="Times New Roman" w:eastAsia="Times New Roman" w:hAnsi="Times New Roman" w:cs="Times New Roman"/>
                <w:b/>
              </w:rPr>
              <w:t>Transactions:</w:t>
            </w:r>
            <w:r w:rsidRPr="00970BCE">
              <w:rPr>
                <w:rFonts w:ascii="Times New Roman" w:eastAsia="Times New Roman" w:hAnsi="Times New Roman" w:cs="Times New Roman"/>
              </w:rPr>
              <w:t>0.05 hours</w:t>
            </w:r>
            <w:r w:rsidR="00A54C56">
              <w:rPr>
                <w:rFonts w:ascii="Times New Roman" w:eastAsia="Times New Roman" w:hAnsi="Times New Roman" w:cs="Times New Roman"/>
              </w:rPr>
              <w:t xml:space="preserve"> </w:t>
            </w:r>
            <w:r w:rsidRPr="00970BCE">
              <w:rPr>
                <w:rFonts w:ascii="Times New Roman" w:eastAsia="Times New Roman" w:hAnsi="Times New Roman" w:cs="Times New Roman"/>
              </w:rPr>
              <w:t>(3 minutes)</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$19.50</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323,651</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w:t>
            </w:r>
            <w:r w:rsidRPr="00970BCE">
              <w:rPr>
                <w:rFonts w:ascii="Times New Roman" w:eastAsia="Times New Roman" w:hAnsi="Times New Roman" w:cs="Times New Roman"/>
              </w:rPr>
              <w:t>64,768,399</w:t>
            </w:r>
            <w:r w:rsidRPr="00970BCE">
              <w:rPr>
                <w:rFonts w:ascii="Times New Roman" w:eastAsia="Times New Roman" w:hAnsi="Times New Roman" w:cs="Times New Roman"/>
                <w:color w:val="000000"/>
              </w:rPr>
              <w:t xml:space="preserve"> – </w:t>
            </w:r>
            <w:r w:rsidRPr="00970BCE">
              <w:rPr>
                <w:rFonts w:ascii="Times New Roman" w:eastAsia="Times New Roman" w:hAnsi="Times New Roman" w:cs="Times New Roman"/>
              </w:rPr>
              <w:t xml:space="preserve">50,848 x </w:t>
            </w:r>
            <w:r w:rsidRPr="00970BCE">
              <w:rPr>
                <w:rFonts w:ascii="Times New Roman" w:eastAsia="Times New Roman" w:hAnsi="Times New Roman" w:cs="Times New Roman"/>
                <w:color w:val="000000"/>
              </w:rPr>
              <w:t>75%</w:t>
            </w:r>
            <w:r w:rsidRPr="00970BCE">
              <w:rPr>
                <w:rFonts w:ascii="Times New Roman" w:eastAsia="Times New Roman" w:hAnsi="Times New Roman" w:cs="Times New Roman"/>
              </w:rPr>
              <w:t xml:space="preserve">)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x</w:t>
            </w:r>
            <w:r w:rsidRPr="00970BCE">
              <w:rPr>
                <w:rFonts w:ascii="Times New Roman" w:eastAsia="Times New Roman" w:hAnsi="Times New Roman" w:cs="Times New Roman"/>
              </w:rPr>
              <w:t xml:space="preserve"> 10% </w:t>
            </w:r>
            <w:r w:rsidRPr="00970BCE">
              <w:rPr>
                <w:rFonts w:ascii="Times New Roman" w:eastAsia="Times New Roman" w:hAnsi="Times New Roman" w:cs="Times New Roman"/>
                <w:color w:val="000000"/>
              </w:rPr>
              <w:t>x</w:t>
            </w:r>
            <w:r w:rsidRPr="00970BCE">
              <w:rPr>
                <w:rFonts w:ascii="Times New Roman" w:eastAsia="Times New Roman" w:hAnsi="Times New Roman" w:cs="Times New Roman"/>
              </w:rPr>
              <w:t xml:space="preserve"> .05]</w:t>
            </w:r>
          </w:p>
        </w:tc>
        <w:tc>
          <w:tcPr>
            <w:tcW w:w="18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$126,224,013 [(</w:t>
            </w:r>
            <w:r w:rsidRPr="00970BCE">
              <w:rPr>
                <w:rFonts w:ascii="Times New Roman" w:eastAsia="Times New Roman" w:hAnsi="Times New Roman" w:cs="Times New Roman"/>
              </w:rPr>
              <w:t>64,768,399</w:t>
            </w:r>
            <w:r w:rsidRPr="00970BCE">
              <w:rPr>
                <w:rFonts w:ascii="Times New Roman" w:eastAsia="Times New Roman" w:hAnsi="Times New Roman" w:cs="Times New Roman"/>
                <w:color w:val="000000"/>
              </w:rPr>
              <w:t xml:space="preserve">-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50,848</w:t>
            </w:r>
            <w:r w:rsidRPr="00970BCE">
              <w:rPr>
                <w:rFonts w:ascii="Times New Roman" w:eastAsia="Times New Roman" w:hAnsi="Times New Roman" w:cs="Times New Roman"/>
                <w:color w:val="000000"/>
              </w:rPr>
              <w:t xml:space="preserve"> x 75%</w:t>
            </w:r>
            <w:r w:rsidRPr="00970BCE">
              <w:rPr>
                <w:rFonts w:ascii="Times New Roman" w:eastAsia="Times New Roman" w:hAnsi="Times New Roman" w:cs="Times New Roman"/>
              </w:rPr>
              <w:t xml:space="preserve">) </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x 10% x $19.50]</w:t>
            </w:r>
            <w:r w:rsidRPr="00970BCE">
              <w:rPr>
                <w:rFonts w:ascii="Times New Roman" w:eastAsia="Times New Roman" w:hAnsi="Times New Roman" w:cs="Times New Roman"/>
                <w:vertAlign w:val="superscript"/>
              </w:rPr>
              <w:footnoteReference w:id="12"/>
            </w:r>
          </w:p>
        </w:tc>
      </w:tr>
    </w:tbl>
    <w:p w:rsidR="00970BCE" w:rsidRPr="00970BCE" w:rsidRDefault="00970BCE" w:rsidP="00970BCE">
      <w:pPr>
        <w:spacing w:after="0" w:line="240" w:lineRule="auto"/>
        <w:rPr>
          <w:rFonts w:ascii="Times New Roman" w:eastAsia="Times New Roman" w:hAnsi="Times New Roman" w:cs="Times New Roman"/>
        </w:rPr>
      </w:pPr>
    </w:p>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rPr>
        <w:br w:type="page"/>
      </w:r>
      <w:r w:rsidRPr="00970BCE">
        <w:rPr>
          <w:rFonts w:ascii="Times New Roman" w:eastAsia="Times New Roman" w:hAnsi="Times New Roman" w:cs="Times New Roman"/>
          <w:b/>
        </w:rPr>
        <w:lastRenderedPageBreak/>
        <w:t xml:space="preserve">Table C.  Other Burdens and Costs to Reporting and Non-Reporting Affiliates (including optional Annual Report in </w:t>
      </w:r>
      <w:r w:rsidR="00D934D5">
        <w:rPr>
          <w:rFonts w:ascii="Times New Roman" w:eastAsia="Times New Roman" w:hAnsi="Times New Roman" w:cs="Times New Roman"/>
          <w:b/>
        </w:rPr>
        <w:t>Rule 50.52(d))</w:t>
      </w:r>
    </w:p>
    <w:tbl>
      <w:tblPr>
        <w:tblW w:w="8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424"/>
        <w:gridCol w:w="1443"/>
        <w:gridCol w:w="1640"/>
        <w:gridCol w:w="1780"/>
      </w:tblGrid>
      <w:tr w:rsidR="00970BCE" w:rsidRPr="00970BCE" w:rsidTr="00970BCE">
        <w:trPr>
          <w:cantSplit/>
        </w:trPr>
        <w:tc>
          <w:tcPr>
            <w:tcW w:w="2070" w:type="dxa"/>
            <w:shd w:val="clear" w:color="auto" w:fill="auto"/>
          </w:tcPr>
          <w:p w:rsidR="00970BCE" w:rsidRPr="00970BCE" w:rsidRDefault="00970BCE" w:rsidP="00A54C56">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br w:type="page"/>
            </w:r>
            <w:r w:rsidRPr="00970BCE">
              <w:rPr>
                <w:rFonts w:ascii="Times New Roman" w:eastAsia="Times New Roman" w:hAnsi="Times New Roman" w:cs="Times New Roman"/>
                <w:b/>
              </w:rPr>
              <w:t>Regulation/Requirement Description</w:t>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Average Burden Hours Per Affiliate</w:t>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Average Cost Per Affiliate</w:t>
            </w:r>
          </w:p>
        </w:tc>
        <w:tc>
          <w:tcPr>
            <w:tcW w:w="180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Total Average Annual Burden Hours</w:t>
            </w:r>
          </w:p>
        </w:tc>
        <w:tc>
          <w:tcPr>
            <w:tcW w:w="1896"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Total Average Annual Cost</w:t>
            </w:r>
          </w:p>
        </w:tc>
      </w:tr>
      <w:tr w:rsidR="00970BCE" w:rsidRPr="00970BCE" w:rsidTr="00970BCE">
        <w:trPr>
          <w:cantSplit/>
        </w:trPr>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Modifying Reporting System (One-time cost)</w:t>
            </w:r>
            <w:r w:rsidRPr="00970BCE">
              <w:rPr>
                <w:rFonts w:ascii="Times New Roman" w:eastAsia="Times New Roman" w:hAnsi="Times New Roman" w:cs="Times New Roman"/>
                <w:vertAlign w:val="superscript"/>
              </w:rPr>
              <w:footnoteReference w:id="13"/>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5.5 hours</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$1,875.50</w:t>
            </w:r>
          </w:p>
        </w:tc>
        <w:tc>
          <w:tcPr>
            <w:tcW w:w="180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9,680</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[5.5 x 1,760]</w:t>
            </w:r>
          </w:p>
        </w:tc>
        <w:tc>
          <w:tcPr>
            <w:tcW w:w="1896"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$3,300,880</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[$1,875.50 x 1,760]</w:t>
            </w:r>
            <w:r w:rsidRPr="00970BCE">
              <w:rPr>
                <w:rFonts w:ascii="Times New Roman" w:eastAsia="Times New Roman" w:hAnsi="Times New Roman" w:cs="Times New Roman"/>
                <w:vertAlign w:val="superscript"/>
              </w:rPr>
              <w:footnoteReference w:id="14"/>
            </w:r>
          </w:p>
        </w:tc>
      </w:tr>
      <w:tr w:rsidR="00970BCE" w:rsidRPr="00970BCE" w:rsidTr="00970BCE">
        <w:trPr>
          <w:cantSplit/>
        </w:trPr>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Burden on Non-Reporting Affiliates</w:t>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5.04 hours</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$1,966.25</w:t>
            </w:r>
          </w:p>
        </w:tc>
        <w:tc>
          <w:tcPr>
            <w:tcW w:w="180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192,205</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[5.04 x 38,136]</w:t>
            </w:r>
          </w:p>
        </w:tc>
        <w:tc>
          <w:tcPr>
            <w:tcW w:w="1896"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$74,984,910</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[$1,966.25 x 38,136]</w:t>
            </w:r>
            <w:r w:rsidRPr="00970BCE">
              <w:rPr>
                <w:rFonts w:ascii="Times New Roman" w:eastAsia="Times New Roman" w:hAnsi="Times New Roman" w:cs="Times New Roman"/>
                <w:vertAlign w:val="superscript"/>
              </w:rPr>
              <w:footnoteReference w:id="15"/>
            </w:r>
          </w:p>
        </w:tc>
      </w:tr>
      <w:tr w:rsidR="00970BCE" w:rsidRPr="00970BCE" w:rsidTr="00970BCE">
        <w:trPr>
          <w:cantSplit/>
        </w:trPr>
        <w:tc>
          <w:tcPr>
            <w:tcW w:w="2070" w:type="dxa"/>
            <w:shd w:val="clear" w:color="auto" w:fill="auto"/>
          </w:tcPr>
          <w:p w:rsidR="00970BCE" w:rsidRPr="00970BCE" w:rsidRDefault="00970BCE" w:rsidP="00A54C56">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 xml:space="preserve">§ </w:t>
            </w:r>
            <w:r w:rsidR="00D934D5">
              <w:rPr>
                <w:rFonts w:ascii="Times New Roman" w:eastAsia="Times New Roman" w:hAnsi="Times New Roman" w:cs="Times New Roman"/>
              </w:rPr>
              <w:t>50.52(d)</w:t>
            </w:r>
            <w:r w:rsidRPr="00970BCE">
              <w:rPr>
                <w:rFonts w:ascii="Times New Roman" w:eastAsia="Times New Roman" w:hAnsi="Times New Roman" w:cs="Times New Roman"/>
              </w:rPr>
              <w:t xml:space="preserve"> Annual Report</w:t>
            </w:r>
          </w:p>
        </w:tc>
        <w:tc>
          <w:tcPr>
            <w:tcW w:w="153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rPr>
              <w:t>1 hour</w:t>
            </w:r>
          </w:p>
        </w:tc>
        <w:tc>
          <w:tcPr>
            <w:tcW w:w="153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$390.00</w:t>
            </w:r>
          </w:p>
        </w:tc>
        <w:tc>
          <w:tcPr>
            <w:tcW w:w="180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1,584</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[(1,760 x 90%) x 1]</w:t>
            </w:r>
            <w:r w:rsidRPr="00970BCE">
              <w:rPr>
                <w:rFonts w:ascii="Times New Roman" w:eastAsia="Times New Roman" w:hAnsi="Times New Roman" w:cs="Times New Roman"/>
                <w:vertAlign w:val="superscript"/>
              </w:rPr>
              <w:footnoteReference w:id="16"/>
            </w:r>
            <w:r w:rsidRPr="00970BCE">
              <w:rPr>
                <w:rFonts w:ascii="Times New Roman" w:eastAsia="Times New Roman" w:hAnsi="Times New Roman" w:cs="Times New Roman"/>
              </w:rPr>
              <w:t xml:space="preserve"> </w:t>
            </w:r>
          </w:p>
        </w:tc>
        <w:tc>
          <w:tcPr>
            <w:tcW w:w="1896"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$617,760</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[$390 x 1,760 * 90%]</w:t>
            </w:r>
          </w:p>
        </w:tc>
      </w:tr>
    </w:tbl>
    <w:p w:rsidR="00970BCE" w:rsidRPr="00970BCE" w:rsidRDefault="00970BCE" w:rsidP="00970BCE">
      <w:pPr>
        <w:spacing w:after="0" w:line="240" w:lineRule="auto"/>
        <w:rPr>
          <w:rFonts w:ascii="Times New Roman" w:eastAsia="Times New Roman" w:hAnsi="Times New Roman" w:cs="Times New Roman"/>
          <w:b/>
        </w:rPr>
      </w:pPr>
    </w:p>
    <w:p w:rsidR="00970BCE" w:rsidRPr="00970BCE" w:rsidRDefault="00970BCE" w:rsidP="00970BCE">
      <w:pPr>
        <w:spacing w:after="0" w:line="240" w:lineRule="auto"/>
        <w:rPr>
          <w:rFonts w:ascii="Times New Roman" w:eastAsia="Times New Roman" w:hAnsi="Times New Roman" w:cs="Times New Roman"/>
          <w:b/>
        </w:rPr>
      </w:pPr>
    </w:p>
    <w:p w:rsidR="00970BCE" w:rsidRPr="00970BCE" w:rsidRDefault="00970BCE" w:rsidP="00970BCE">
      <w:pPr>
        <w:spacing w:after="0" w:line="240" w:lineRule="auto"/>
        <w:rPr>
          <w:rFonts w:ascii="Times New Roman" w:eastAsia="Times New Roman" w:hAnsi="Times New Roman" w:cs="Times New Roman"/>
          <w:b/>
        </w:rPr>
      </w:pPr>
      <w:proofErr w:type="gramStart"/>
      <w:r w:rsidRPr="00970BCE">
        <w:rPr>
          <w:rFonts w:ascii="Times New Roman" w:eastAsia="Times New Roman" w:hAnsi="Times New Roman" w:cs="Times New Roman"/>
          <w:b/>
        </w:rPr>
        <w:t>Table D.</w:t>
      </w:r>
      <w:proofErr w:type="gramEnd"/>
      <w:r w:rsidRPr="00970BCE">
        <w:rPr>
          <w:rFonts w:ascii="Times New Roman" w:eastAsia="Times New Roman" w:hAnsi="Times New Roman" w:cs="Times New Roman"/>
          <w:b/>
        </w:rPr>
        <w:t xml:space="preserve">  Average Annual Burden and Cost Estimates of the Exemption.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3060"/>
        <w:gridCol w:w="3690"/>
      </w:tblGrid>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p>
        </w:tc>
        <w:tc>
          <w:tcPr>
            <w:tcW w:w="3060" w:type="dxa"/>
            <w:shd w:val="clear" w:color="auto" w:fill="auto"/>
          </w:tcPr>
          <w:p w:rsidR="00970BCE" w:rsidRPr="00970BCE" w:rsidDel="00DA17E8"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Burden Hours</w:t>
            </w:r>
          </w:p>
        </w:tc>
        <w:tc>
          <w:tcPr>
            <w:tcW w:w="3690" w:type="dxa"/>
            <w:shd w:val="clear" w:color="auto" w:fill="auto"/>
          </w:tcPr>
          <w:p w:rsidR="00970BCE" w:rsidRPr="00970BCE" w:rsidRDefault="00970BCE" w:rsidP="00970BCE">
            <w:pPr>
              <w:spacing w:after="0" w:line="240" w:lineRule="auto"/>
              <w:rPr>
                <w:rFonts w:ascii="Times New Roman" w:eastAsia="Times New Roman" w:hAnsi="Times New Roman" w:cs="Times New Roman"/>
              </w:rPr>
            </w:pPr>
            <w:r w:rsidRPr="00970BCE">
              <w:rPr>
                <w:rFonts w:ascii="Times New Roman" w:eastAsia="Times New Roman" w:hAnsi="Times New Roman" w:cs="Times New Roman"/>
                <w:b/>
              </w:rPr>
              <w:t>Cost of Exemption</w:t>
            </w:r>
            <w:r w:rsidRPr="00970BCE" w:rsidDel="00DA17E8">
              <w:rPr>
                <w:rFonts w:ascii="Times New Roman" w:eastAsia="Times New Roman" w:hAnsi="Times New Roman" w:cs="Times New Roman"/>
              </w:rPr>
              <w:t xml:space="preserve"> </w:t>
            </w:r>
          </w:p>
          <w:p w:rsidR="00970BCE" w:rsidRPr="00970BCE" w:rsidRDefault="00970BCE" w:rsidP="00970BCE">
            <w:pPr>
              <w:spacing w:after="0" w:line="240" w:lineRule="auto"/>
              <w:rPr>
                <w:rFonts w:ascii="Times New Roman" w:eastAsia="Times New Roman" w:hAnsi="Times New Roman" w:cs="Times New Roman"/>
              </w:rPr>
            </w:pPr>
          </w:p>
        </w:tc>
      </w:tr>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w:t>
            </w:r>
            <w:r w:rsidRPr="00970BCE">
              <w:rPr>
                <w:rFonts w:ascii="Times New Roman" w:eastAsia="Times New Roman" w:hAnsi="Times New Roman" w:cs="Times New Roman"/>
                <w:color w:val="000000"/>
                <w:vertAlign w:val="superscript"/>
              </w:rPr>
              <w:footnoteReference w:id="17"/>
            </w:r>
          </w:p>
        </w:tc>
        <w:tc>
          <w:tcPr>
            <w:tcW w:w="306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1,758,369</w:t>
            </w:r>
          </w:p>
        </w:tc>
        <w:tc>
          <w:tcPr>
            <w:tcW w:w="36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w:t>
            </w:r>
            <w:r w:rsidRPr="00970BCE">
              <w:rPr>
                <w:rFonts w:ascii="Times New Roman" w:eastAsia="Times New Roman" w:hAnsi="Times New Roman" w:cs="Times New Roman"/>
                <w:color w:val="000000"/>
              </w:rPr>
              <w:t>685,309,284</w:t>
            </w:r>
          </w:p>
          <w:p w:rsidR="00970BCE" w:rsidRPr="00970BCE" w:rsidRDefault="00970BCE" w:rsidP="00970BCE">
            <w:pPr>
              <w:spacing w:after="0" w:line="240" w:lineRule="auto"/>
              <w:jc w:val="right"/>
              <w:rPr>
                <w:rFonts w:ascii="Times New Roman" w:eastAsia="Times New Roman" w:hAnsi="Times New Roman" w:cs="Times New Roman"/>
              </w:rPr>
            </w:pPr>
          </w:p>
        </w:tc>
      </w:tr>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Annual per MNC</w:t>
            </w:r>
            <w:r w:rsidRPr="00970BCE">
              <w:rPr>
                <w:rFonts w:ascii="Times New Roman" w:eastAsia="Times New Roman" w:hAnsi="Times New Roman" w:cs="Times New Roman"/>
                <w:b/>
                <w:vertAlign w:val="superscript"/>
              </w:rPr>
              <w:footnoteReference w:id="18"/>
            </w:r>
          </w:p>
        </w:tc>
        <w:tc>
          <w:tcPr>
            <w:tcW w:w="306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999</w:t>
            </w:r>
          </w:p>
        </w:tc>
        <w:tc>
          <w:tcPr>
            <w:tcW w:w="36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$389,380</w:t>
            </w:r>
          </w:p>
        </w:tc>
      </w:tr>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Annual per Affiliate</w:t>
            </w:r>
            <w:r w:rsidRPr="00970BCE">
              <w:rPr>
                <w:rFonts w:ascii="Times New Roman" w:eastAsia="Times New Roman" w:hAnsi="Times New Roman" w:cs="Times New Roman"/>
                <w:b/>
                <w:vertAlign w:val="superscript"/>
              </w:rPr>
              <w:footnoteReference w:id="19"/>
            </w:r>
          </w:p>
        </w:tc>
        <w:tc>
          <w:tcPr>
            <w:tcW w:w="306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color w:val="000000"/>
              </w:rPr>
            </w:pPr>
            <w:r w:rsidRPr="00970BCE">
              <w:rPr>
                <w:rFonts w:ascii="Times New Roman" w:eastAsia="Times New Roman" w:hAnsi="Times New Roman" w:cs="Times New Roman"/>
                <w:color w:val="000000"/>
              </w:rPr>
              <w:t>46</w:t>
            </w:r>
          </w:p>
          <w:p w:rsidR="00970BCE" w:rsidRPr="00970BCE" w:rsidRDefault="00970BCE" w:rsidP="00970BCE">
            <w:pPr>
              <w:spacing w:after="0" w:line="240" w:lineRule="auto"/>
              <w:jc w:val="right"/>
              <w:rPr>
                <w:rFonts w:ascii="Times New Roman" w:eastAsia="Times New Roman" w:hAnsi="Times New Roman" w:cs="Times New Roman"/>
              </w:rPr>
            </w:pPr>
          </w:p>
        </w:tc>
        <w:tc>
          <w:tcPr>
            <w:tcW w:w="36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color w:val="000000"/>
              </w:rPr>
              <w:t>$17,970</w:t>
            </w:r>
          </w:p>
        </w:tc>
      </w:tr>
      <w:tr w:rsidR="00970BCE" w:rsidRPr="00970BCE" w:rsidTr="00970BCE">
        <w:tc>
          <w:tcPr>
            <w:tcW w:w="2070" w:type="dxa"/>
            <w:shd w:val="clear" w:color="auto" w:fill="auto"/>
          </w:tcPr>
          <w:p w:rsidR="00970BCE" w:rsidRPr="00970BCE" w:rsidRDefault="00970BCE" w:rsidP="00970BCE">
            <w:pPr>
              <w:spacing w:after="0" w:line="240" w:lineRule="auto"/>
              <w:rPr>
                <w:rFonts w:ascii="Times New Roman" w:eastAsia="Times New Roman" w:hAnsi="Times New Roman" w:cs="Times New Roman"/>
                <w:b/>
              </w:rPr>
            </w:pPr>
            <w:r w:rsidRPr="00970BCE">
              <w:rPr>
                <w:rFonts w:ascii="Times New Roman" w:eastAsia="Times New Roman" w:hAnsi="Times New Roman" w:cs="Times New Roman"/>
                <w:b/>
              </w:rPr>
              <w:t>Total Average per Inter-Affiliate Swap</w:t>
            </w:r>
            <w:r w:rsidRPr="00970BCE">
              <w:rPr>
                <w:rFonts w:ascii="Times New Roman" w:eastAsia="Times New Roman" w:hAnsi="Times New Roman" w:cs="Times New Roman"/>
                <w:b/>
                <w:vertAlign w:val="superscript"/>
              </w:rPr>
              <w:footnoteReference w:id="20"/>
            </w:r>
          </w:p>
        </w:tc>
        <w:tc>
          <w:tcPr>
            <w:tcW w:w="306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0.03</w:t>
            </w:r>
          </w:p>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(1.8 minutes)</w:t>
            </w:r>
          </w:p>
          <w:p w:rsidR="00970BCE" w:rsidRPr="00970BCE" w:rsidRDefault="00970BCE" w:rsidP="00970BCE">
            <w:pPr>
              <w:spacing w:after="0" w:line="240" w:lineRule="auto"/>
              <w:jc w:val="right"/>
              <w:rPr>
                <w:rFonts w:ascii="Times New Roman" w:eastAsia="Times New Roman" w:hAnsi="Times New Roman" w:cs="Times New Roman"/>
              </w:rPr>
            </w:pPr>
          </w:p>
        </w:tc>
        <w:tc>
          <w:tcPr>
            <w:tcW w:w="3690" w:type="dxa"/>
            <w:shd w:val="clear" w:color="auto" w:fill="auto"/>
          </w:tcPr>
          <w:p w:rsidR="00970BCE" w:rsidRPr="00970BCE" w:rsidRDefault="00970BCE" w:rsidP="00970BCE">
            <w:pPr>
              <w:spacing w:after="0" w:line="240" w:lineRule="auto"/>
              <w:jc w:val="right"/>
              <w:rPr>
                <w:rFonts w:ascii="Times New Roman" w:eastAsia="Times New Roman" w:hAnsi="Times New Roman" w:cs="Times New Roman"/>
              </w:rPr>
            </w:pPr>
            <w:r w:rsidRPr="00970BCE">
              <w:rPr>
                <w:rFonts w:ascii="Times New Roman" w:eastAsia="Times New Roman" w:hAnsi="Times New Roman" w:cs="Times New Roman"/>
              </w:rPr>
              <w:t>$10.58</w:t>
            </w:r>
            <w:r w:rsidRPr="00970BCE">
              <w:rPr>
                <w:rFonts w:ascii="Times New Roman" w:eastAsia="Times New Roman" w:hAnsi="Times New Roman" w:cs="Times New Roman"/>
                <w:vertAlign w:val="superscript"/>
              </w:rPr>
              <w:footnoteReference w:id="21"/>
            </w:r>
          </w:p>
        </w:tc>
      </w:tr>
    </w:tbl>
    <w:p w:rsidR="00970BCE" w:rsidRPr="00970BCE" w:rsidRDefault="00970BCE" w:rsidP="00970BCE">
      <w:pPr>
        <w:spacing w:after="0" w:line="240" w:lineRule="auto"/>
        <w:rPr>
          <w:rFonts w:ascii="Times New Roman" w:eastAsia="Times New Roman" w:hAnsi="Times New Roman" w:cs="Times New Roman"/>
        </w:rPr>
      </w:pPr>
    </w:p>
    <w:p w:rsidR="00970BCE" w:rsidRDefault="00970BCE"/>
    <w:sectPr w:rsidR="00970BCE" w:rsidSect="00BF3C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D01" w:rsidRDefault="00FC0D01" w:rsidP="007017BF">
      <w:pPr>
        <w:spacing w:after="0" w:line="240" w:lineRule="auto"/>
      </w:pPr>
      <w:r>
        <w:separator/>
      </w:r>
    </w:p>
  </w:endnote>
  <w:endnote w:type="continuationSeparator" w:id="0">
    <w:p w:rsidR="00FC0D01" w:rsidRDefault="00FC0D01" w:rsidP="0070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D01" w:rsidRDefault="00FC0D01" w:rsidP="007017BF">
      <w:pPr>
        <w:spacing w:after="0" w:line="240" w:lineRule="auto"/>
      </w:pPr>
      <w:r>
        <w:separator/>
      </w:r>
    </w:p>
  </w:footnote>
  <w:footnote w:type="continuationSeparator" w:id="0">
    <w:p w:rsidR="00FC0D01" w:rsidRDefault="00FC0D01" w:rsidP="007017BF">
      <w:pPr>
        <w:spacing w:after="0" w:line="240" w:lineRule="auto"/>
      </w:pPr>
      <w:r>
        <w:continuationSeparator/>
      </w:r>
    </w:p>
  </w:footnote>
  <w:footnote w:id="1">
    <w:p w:rsidR="00970BCE" w:rsidRPr="00644F78" w:rsidRDefault="00970BCE" w:rsidP="007017BF">
      <w:pPr>
        <w:pStyle w:val="FootnoteText"/>
        <w:rPr>
          <w:rFonts w:ascii="Times New Roman" w:hAnsi="Times New Roman"/>
          <w:sz w:val="22"/>
          <w:szCs w:val="22"/>
        </w:rPr>
      </w:pPr>
      <w:r w:rsidRPr="00644F78">
        <w:rPr>
          <w:rStyle w:val="FootnoteReference"/>
          <w:rFonts w:ascii="Times New Roman" w:hAnsi="Times New Roman"/>
          <w:sz w:val="22"/>
          <w:szCs w:val="22"/>
        </w:rPr>
        <w:footnoteRef/>
      </w:r>
      <w:r w:rsidRPr="00644F78">
        <w:rPr>
          <w:rFonts w:ascii="Times New Roman" w:hAnsi="Times New Roman"/>
          <w:sz w:val="22"/>
          <w:szCs w:val="22"/>
        </w:rPr>
        <w:t xml:space="preserve"> </w:t>
      </w:r>
      <w:r w:rsidRPr="00AB1091">
        <w:rPr>
          <w:rFonts w:ascii="Times New Roman" w:hAnsi="Times New Roman"/>
          <w:sz w:val="22"/>
          <w:szCs w:val="22"/>
        </w:rPr>
        <w:t>The</w:t>
      </w:r>
      <w:r w:rsidRPr="00644F78">
        <w:rPr>
          <w:rFonts w:ascii="Times New Roman" w:hAnsi="Times New Roman"/>
          <w:sz w:val="22"/>
          <w:szCs w:val="22"/>
        </w:rPr>
        <w:t xml:space="preserve"> Commission notes also that other elective exceptions to the clearing requirement are created and contemplated by the CEA, as amended by the Dodd-Frank Act.  </w:t>
      </w:r>
      <w:r w:rsidRPr="00644F78">
        <w:rPr>
          <w:rFonts w:ascii="Times New Roman" w:hAnsi="Times New Roman"/>
          <w:i/>
          <w:sz w:val="22"/>
          <w:szCs w:val="22"/>
        </w:rPr>
        <w:t>See, e.g.</w:t>
      </w:r>
      <w:r w:rsidRPr="00644F78">
        <w:rPr>
          <w:rFonts w:ascii="Times New Roman" w:hAnsi="Times New Roman"/>
          <w:sz w:val="22"/>
          <w:szCs w:val="22"/>
        </w:rPr>
        <w:t xml:space="preserve">, CEA sections 2(h)(7)(A) (clearing exception for non-financial entities, commonly known as the “end-user exception”), 2(h)(7)(D) (extension of the end-user exception to qualifying affiliates), and 2(h)(7)(C)(iii) (requiring the Commission to consider whether to exempt certain small banks, savings associations, farm credit institutions, and credit unions from the clearing requirement).  </w:t>
      </w:r>
      <w:r w:rsidR="00C22051">
        <w:rPr>
          <w:rFonts w:ascii="Times New Roman" w:hAnsi="Times New Roman"/>
          <w:sz w:val="22"/>
          <w:szCs w:val="22"/>
        </w:rPr>
        <w:t>The Commission has already issued one final rule addressing these exemptions and exception</w:t>
      </w:r>
      <w:r w:rsidR="00A54C56">
        <w:rPr>
          <w:rFonts w:ascii="Times New Roman" w:hAnsi="Times New Roman"/>
          <w:sz w:val="22"/>
          <w:szCs w:val="22"/>
          <w:lang w:val="en-US"/>
        </w:rPr>
        <w:t>s</w:t>
      </w:r>
      <w:r w:rsidR="00C22051">
        <w:rPr>
          <w:rFonts w:ascii="Times New Roman" w:hAnsi="Times New Roman"/>
          <w:sz w:val="22"/>
          <w:szCs w:val="22"/>
        </w:rPr>
        <w:t xml:space="preserve"> and t</w:t>
      </w:r>
      <w:r w:rsidR="00C22051" w:rsidRPr="00644F78">
        <w:rPr>
          <w:rFonts w:ascii="Times New Roman" w:hAnsi="Times New Roman"/>
          <w:sz w:val="22"/>
          <w:szCs w:val="22"/>
        </w:rPr>
        <w:t xml:space="preserve">he </w:t>
      </w:r>
      <w:r w:rsidRPr="00644F78">
        <w:rPr>
          <w:rFonts w:ascii="Times New Roman" w:hAnsi="Times New Roman"/>
          <w:sz w:val="22"/>
          <w:szCs w:val="22"/>
        </w:rPr>
        <w:t xml:space="preserve">Commission </w:t>
      </w:r>
      <w:r w:rsidR="00CF3D1F">
        <w:rPr>
          <w:rFonts w:ascii="Times New Roman" w:hAnsi="Times New Roman"/>
          <w:sz w:val="22"/>
          <w:szCs w:val="22"/>
          <w:lang w:val="en-US"/>
        </w:rPr>
        <w:t>has</w:t>
      </w:r>
      <w:r w:rsidR="001A1B7C">
        <w:rPr>
          <w:rFonts w:ascii="Times New Roman" w:hAnsi="Times New Roman"/>
          <w:sz w:val="22"/>
          <w:szCs w:val="22"/>
        </w:rPr>
        <w:t xml:space="preserve"> </w:t>
      </w:r>
      <w:r w:rsidRPr="00644F78">
        <w:rPr>
          <w:rFonts w:ascii="Times New Roman" w:hAnsi="Times New Roman"/>
          <w:sz w:val="22"/>
          <w:szCs w:val="22"/>
        </w:rPr>
        <w:t>propos</w:t>
      </w:r>
      <w:r w:rsidR="00CF3D1F">
        <w:rPr>
          <w:rFonts w:ascii="Times New Roman" w:hAnsi="Times New Roman"/>
          <w:sz w:val="22"/>
          <w:szCs w:val="22"/>
          <w:lang w:val="en-US"/>
        </w:rPr>
        <w:t>ed</w:t>
      </w:r>
      <w:r w:rsidRPr="00644F78">
        <w:rPr>
          <w:rFonts w:ascii="Times New Roman" w:hAnsi="Times New Roman"/>
          <w:sz w:val="22"/>
          <w:szCs w:val="22"/>
        </w:rPr>
        <w:t xml:space="preserve"> </w:t>
      </w:r>
      <w:r w:rsidR="001A1B7C">
        <w:rPr>
          <w:rFonts w:ascii="Times New Roman" w:hAnsi="Times New Roman"/>
          <w:sz w:val="22"/>
          <w:szCs w:val="22"/>
        </w:rPr>
        <w:t>additional</w:t>
      </w:r>
      <w:r w:rsidR="001A1B7C" w:rsidRPr="00644F78">
        <w:rPr>
          <w:rFonts w:ascii="Times New Roman" w:hAnsi="Times New Roman"/>
          <w:sz w:val="22"/>
          <w:szCs w:val="22"/>
        </w:rPr>
        <w:t xml:space="preserve"> </w:t>
      </w:r>
      <w:r w:rsidR="00C22051">
        <w:rPr>
          <w:rFonts w:ascii="Times New Roman" w:hAnsi="Times New Roman"/>
          <w:sz w:val="22"/>
          <w:szCs w:val="22"/>
        </w:rPr>
        <w:t>exemptions</w:t>
      </w:r>
      <w:r w:rsidR="00C22051" w:rsidRPr="00644F78">
        <w:rPr>
          <w:rFonts w:ascii="Times New Roman" w:hAnsi="Times New Roman"/>
          <w:sz w:val="22"/>
          <w:szCs w:val="22"/>
        </w:rPr>
        <w:t xml:space="preserve"> </w:t>
      </w:r>
      <w:r w:rsidRPr="00644F78">
        <w:rPr>
          <w:rFonts w:ascii="Times New Roman" w:hAnsi="Times New Roman"/>
          <w:sz w:val="22"/>
          <w:szCs w:val="22"/>
        </w:rPr>
        <w:t>in separate rulemakings.</w:t>
      </w:r>
      <w:r w:rsidR="001A1B7C">
        <w:rPr>
          <w:rFonts w:ascii="Times New Roman" w:hAnsi="Times New Roman"/>
          <w:sz w:val="22"/>
          <w:szCs w:val="22"/>
        </w:rPr>
        <w:t xml:space="preserve">  </w:t>
      </w:r>
      <w:r w:rsidR="001A1B7C" w:rsidRPr="00644F78">
        <w:rPr>
          <w:rFonts w:ascii="Times New Roman" w:hAnsi="Times New Roman"/>
          <w:i/>
          <w:sz w:val="22"/>
          <w:szCs w:val="22"/>
        </w:rPr>
        <w:t>See, e.g.</w:t>
      </w:r>
      <w:r w:rsidR="001A1B7C" w:rsidRPr="00644F78">
        <w:rPr>
          <w:rFonts w:ascii="Times New Roman" w:hAnsi="Times New Roman"/>
          <w:sz w:val="22"/>
          <w:szCs w:val="22"/>
        </w:rPr>
        <w:t>,</w:t>
      </w:r>
      <w:r w:rsidR="001A1B7C">
        <w:rPr>
          <w:rFonts w:ascii="Times New Roman" w:hAnsi="Times New Roman"/>
          <w:sz w:val="22"/>
          <w:szCs w:val="22"/>
        </w:rPr>
        <w:t xml:space="preserve"> </w:t>
      </w:r>
      <w:r w:rsidR="001A1B7C" w:rsidRPr="001A1B7C">
        <w:rPr>
          <w:rFonts w:ascii="Times New Roman" w:hAnsi="Times New Roman"/>
          <w:sz w:val="22"/>
          <w:szCs w:val="22"/>
        </w:rPr>
        <w:t>Clearing Exemption for Certain Swaps Entered Into by Cooperatives</w:t>
      </w:r>
      <w:r w:rsidR="00C22051">
        <w:rPr>
          <w:rFonts w:ascii="Times New Roman" w:hAnsi="Times New Roman"/>
          <w:sz w:val="22"/>
          <w:szCs w:val="22"/>
        </w:rPr>
        <w:t xml:space="preserve">, 77 FR 41940 (July 17, 2012) (proposed rule); End-User Exception to the Clearing Requirement for Swaps, 77 FR 44441 (July 19, 2012) (final rule).  </w:t>
      </w:r>
    </w:p>
  </w:footnote>
  <w:footnote w:id="2">
    <w:p w:rsidR="00D90DAD" w:rsidRPr="00C0162B" w:rsidRDefault="00ED3380" w:rsidP="00ED3380">
      <w:pPr>
        <w:pStyle w:val="FootnoteText"/>
        <w:rPr>
          <w:rFonts w:ascii="Times New Roman" w:hAnsi="Times New Roman"/>
          <w:sz w:val="22"/>
          <w:szCs w:val="22"/>
        </w:rPr>
      </w:pPr>
      <w:r>
        <w:rPr>
          <w:rStyle w:val="FootnoteReference"/>
        </w:rPr>
        <w:footnoteRef/>
      </w:r>
      <w:r>
        <w:t xml:space="preserve"> </w:t>
      </w:r>
      <w:r w:rsidRPr="00AB1091">
        <w:rPr>
          <w:rFonts w:ascii="Times New Roman" w:hAnsi="Times New Roman"/>
          <w:i/>
          <w:sz w:val="22"/>
          <w:szCs w:val="22"/>
        </w:rPr>
        <w:t>See</w:t>
      </w:r>
      <w:r>
        <w:rPr>
          <w:rFonts w:ascii="Times New Roman" w:hAnsi="Times New Roman"/>
          <w:sz w:val="22"/>
          <w:szCs w:val="22"/>
        </w:rPr>
        <w:t xml:space="preserve"> </w:t>
      </w:r>
      <w:r w:rsidRPr="00AB1091">
        <w:rPr>
          <w:rFonts w:ascii="Times New Roman" w:hAnsi="Times New Roman"/>
          <w:sz w:val="22"/>
          <w:szCs w:val="22"/>
        </w:rPr>
        <w:t>Clearing Exemption for Swaps Between Certain Affiliated Entities, 77 FR 50425 (Aug. 21, 2012).</w:t>
      </w:r>
    </w:p>
  </w:footnote>
  <w:footnote w:id="3">
    <w:p w:rsidR="00970BCE" w:rsidRPr="00644F78" w:rsidRDefault="00970BCE" w:rsidP="007017BF">
      <w:pPr>
        <w:pStyle w:val="FootnoteText"/>
        <w:rPr>
          <w:rFonts w:ascii="Times New Roman" w:hAnsi="Times New Roman"/>
          <w:sz w:val="22"/>
          <w:szCs w:val="22"/>
        </w:rPr>
      </w:pPr>
      <w:r w:rsidRPr="00644F78">
        <w:rPr>
          <w:rStyle w:val="FootnoteReference"/>
          <w:rFonts w:ascii="Times New Roman" w:hAnsi="Times New Roman"/>
          <w:sz w:val="22"/>
          <w:szCs w:val="22"/>
        </w:rPr>
        <w:footnoteRef/>
      </w:r>
      <w:r w:rsidRPr="00644F78">
        <w:rPr>
          <w:rFonts w:ascii="Times New Roman" w:hAnsi="Times New Roman"/>
          <w:sz w:val="22"/>
          <w:szCs w:val="22"/>
        </w:rPr>
        <w:t xml:space="preserve"> </w:t>
      </w:r>
      <w:r w:rsidRPr="00644F78">
        <w:rPr>
          <w:rFonts w:ascii="Times New Roman" w:hAnsi="Times New Roman"/>
          <w:sz w:val="22"/>
          <w:szCs w:val="22"/>
          <w:lang w:val="en-US"/>
        </w:rPr>
        <w:t xml:space="preserve"> The total annual aggregate cost to review 10% (approximately 176) of the annual reports received by the Commission is estimated at $11,968, as follows:</w:t>
      </w:r>
    </w:p>
    <w:p w:rsidR="00970BCE" w:rsidRPr="00644F78" w:rsidRDefault="00970BCE" w:rsidP="007017BF">
      <w:pPr>
        <w:pStyle w:val="FootnoteText"/>
        <w:rPr>
          <w:rFonts w:ascii="Times New Roman" w:hAnsi="Times New Roman"/>
          <w:sz w:val="22"/>
          <w:szCs w:val="22"/>
        </w:rPr>
      </w:pPr>
    </w:p>
    <w:p w:rsidR="00970BCE" w:rsidRPr="00644F78" w:rsidRDefault="00970BCE" w:rsidP="007017BF">
      <w:pPr>
        <w:pStyle w:val="FootnoteText"/>
        <w:rPr>
          <w:rFonts w:ascii="Times New Roman" w:hAnsi="Times New Roman"/>
          <w:sz w:val="22"/>
          <w:szCs w:val="22"/>
        </w:rPr>
      </w:pPr>
      <w:r w:rsidRPr="00644F78">
        <w:rPr>
          <w:rFonts w:ascii="Times New Roman" w:hAnsi="Times New Roman"/>
          <w:sz w:val="22"/>
          <w:szCs w:val="22"/>
          <w:lang w:val="en-US"/>
        </w:rPr>
        <w:t>Using the average salary (base plus locality pay) for the CT-12 pay grade for Commission employees in Washington, D.C. as of July 27, 2012, approximately $110,906, multiplied by 1.271 to account for benefits, the annual cost to the Commission for each CT-12 employee would be $140,962.  Based on a work year for all Federal employees of 2,087 hours, or an hourly wage for a CT-12 employee of $68.00, the Commission estimates annual costs to review annual reports of $11,968 (176 hours x $68.00).</w:t>
      </w:r>
    </w:p>
  </w:footnote>
  <w:footnote w:id="4">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w:t>
      </w:r>
      <w:r w:rsidRPr="00C0162B">
        <w:rPr>
          <w:rFonts w:ascii="Times New Roman" w:hAnsi="Times New Roman"/>
          <w:lang w:val="en-US"/>
        </w:rPr>
        <w:t>Dividing the total number of subsidiaries (50,848) by the number of MNCs (2,347) results in approximately 21.66 subsidiaries per MNC.  This figure has been rounded to the next whole number for purposes of these calculations.</w:t>
      </w:r>
    </w:p>
  </w:footnote>
  <w:footnote w:id="5">
    <w:p w:rsidR="00392E70" w:rsidRDefault="00392E70" w:rsidP="00392E70">
      <w:pPr>
        <w:pStyle w:val="FootnoteText"/>
        <w:rPr>
          <w:rFonts w:ascii="Times New Roman" w:hAnsi="Times New Roman"/>
          <w:lang w:val="en-US"/>
        </w:rPr>
      </w:pPr>
      <w:r>
        <w:rPr>
          <w:rStyle w:val="FootnoteReference"/>
        </w:rPr>
        <w:footnoteRef/>
      </w:r>
      <w:r>
        <w:t xml:space="preserve"> </w:t>
      </w:r>
      <w:r w:rsidRPr="00695BB7">
        <w:rPr>
          <w:rFonts w:ascii="Times New Roman" w:hAnsi="Times New Roman"/>
          <w:lang w:val="en-US"/>
        </w:rPr>
        <w:t>The</w:t>
      </w:r>
      <w:r>
        <w:rPr>
          <w:rFonts w:ascii="Times New Roman" w:hAnsi="Times New Roman"/>
          <w:lang w:val="en-US"/>
        </w:rPr>
        <w:t xml:space="preserve"> </w:t>
      </w:r>
      <w:r w:rsidRPr="00695BB7">
        <w:rPr>
          <w:rFonts w:ascii="Times New Roman" w:hAnsi="Times New Roman"/>
          <w:lang w:val="en-US"/>
        </w:rPr>
        <w:t>Commission also assumed that 75% of</w:t>
      </w:r>
      <w:r>
        <w:rPr>
          <w:rFonts w:ascii="Times New Roman" w:hAnsi="Times New Roman"/>
          <w:lang w:val="en-US"/>
        </w:rPr>
        <w:t xml:space="preserve"> </w:t>
      </w:r>
      <w:r w:rsidRPr="00695BB7">
        <w:rPr>
          <w:rFonts w:ascii="Times New Roman" w:hAnsi="Times New Roman"/>
          <w:lang w:val="en-US"/>
        </w:rPr>
        <w:t xml:space="preserve">treasury/conduit affiliates would </w:t>
      </w:r>
      <w:r>
        <w:rPr>
          <w:rFonts w:ascii="Times New Roman" w:hAnsi="Times New Roman"/>
          <w:lang w:val="en-US"/>
        </w:rPr>
        <w:t>b</w:t>
      </w:r>
      <w:r w:rsidRPr="00695BB7">
        <w:rPr>
          <w:rFonts w:ascii="Times New Roman" w:hAnsi="Times New Roman"/>
          <w:lang w:val="en-US"/>
        </w:rPr>
        <w:t>e</w:t>
      </w:r>
      <w:r>
        <w:rPr>
          <w:rFonts w:ascii="Times New Roman" w:hAnsi="Times New Roman"/>
          <w:lang w:val="en-US"/>
        </w:rPr>
        <w:t xml:space="preserve"> </w:t>
      </w:r>
      <w:r w:rsidRPr="00695BB7">
        <w:rPr>
          <w:rFonts w:ascii="Times New Roman" w:hAnsi="Times New Roman"/>
          <w:lang w:val="en-US"/>
        </w:rPr>
        <w:t>subject to this rulemaking.</w:t>
      </w:r>
      <w:r>
        <w:rPr>
          <w:rFonts w:ascii="Times New Roman" w:hAnsi="Times New Roman"/>
          <w:lang w:val="en-US"/>
        </w:rPr>
        <w:t xml:space="preserve"> See </w:t>
      </w:r>
      <w:r w:rsidRPr="00392E70">
        <w:rPr>
          <w:rFonts w:ascii="Times New Roman" w:hAnsi="Times New Roman"/>
          <w:lang w:val="en-US"/>
        </w:rPr>
        <w:t>77 FR 50425</w:t>
      </w:r>
      <w:r>
        <w:rPr>
          <w:rFonts w:ascii="Times New Roman" w:hAnsi="Times New Roman"/>
          <w:lang w:val="en-US"/>
        </w:rPr>
        <w:t>, 50439 (Aug. 21, 2012).</w:t>
      </w:r>
    </w:p>
    <w:p w:rsidR="00392E70" w:rsidRPr="00695BB7" w:rsidRDefault="00392E70" w:rsidP="00392E70">
      <w:pPr>
        <w:pStyle w:val="FootnoteText"/>
        <w:rPr>
          <w:rFonts w:ascii="Times New Roman" w:hAnsi="Times New Roman"/>
        </w:rPr>
      </w:pPr>
    </w:p>
  </w:footnote>
  <w:footnote w:id="6">
    <w:p w:rsidR="00970BCE" w:rsidRPr="00422C12" w:rsidRDefault="00970BCE" w:rsidP="00970BCE">
      <w:pPr>
        <w:rPr>
          <w:rFonts w:ascii="Times New Roman" w:hAnsi="Times New Roman"/>
          <w:sz w:val="20"/>
          <w:szCs w:val="20"/>
        </w:rPr>
      </w:pPr>
      <w:r w:rsidRPr="00422C12">
        <w:rPr>
          <w:rStyle w:val="FootnoteReference"/>
          <w:rFonts w:ascii="Times New Roman" w:hAnsi="Times New Roman"/>
          <w:sz w:val="20"/>
          <w:szCs w:val="20"/>
        </w:rPr>
        <w:footnoteRef/>
      </w:r>
      <w:r w:rsidRPr="00422C12">
        <w:rPr>
          <w:rFonts w:ascii="Times New Roman" w:hAnsi="Times New Roman"/>
          <w:sz w:val="20"/>
          <w:szCs w:val="20"/>
        </w:rPr>
        <w:t xml:space="preserve"> The Commission assumed that at least 90% of MNCs would elect to file annual reports, see further discussion below.</w:t>
      </w:r>
    </w:p>
  </w:footnote>
  <w:footnote w:id="7">
    <w:p w:rsidR="00970BCE" w:rsidRPr="00422C12" w:rsidRDefault="00970BCE" w:rsidP="00970BCE">
      <w:pPr>
        <w:rPr>
          <w:sz w:val="20"/>
          <w:szCs w:val="20"/>
        </w:rPr>
      </w:pPr>
      <w:r w:rsidRPr="00422C12">
        <w:rPr>
          <w:rStyle w:val="FootnoteReference"/>
          <w:rFonts w:ascii="Times New Roman" w:hAnsi="Times New Roman"/>
          <w:sz w:val="20"/>
          <w:szCs w:val="20"/>
        </w:rPr>
        <w:footnoteRef/>
      </w:r>
      <w:r w:rsidRPr="00422C12">
        <w:rPr>
          <w:rFonts w:ascii="Times New Roman" w:hAnsi="Times New Roman"/>
          <w:sz w:val="20"/>
          <w:szCs w:val="20"/>
        </w:rPr>
        <w:t xml:space="preserve"> The Total Annual Number of Inter-Affiliate Swaps is the total number of inter-affiliate swaps that MNCs, U.S. subsidiaries, and foreign subsidiaries entered into that would be subject to this rule.  The total number of inter-affiliate swaps that MNC’s entered into that would be subject to this rule is the number of MNCs (2,347) times the number of swaps per MNC (2,230) times 75%, or 0.75 x 2,347 x 2,230.  The total number of inter-affiliate swaps that U.S. subsidiaries entered into that would be subject to this rule is 10 x (0.75 x 2,230 x 2,347).  There are 11 U.S. subsidiaries per MNC and each subsidiary enters into as many as swaps as each MNC, on average.  However, 1 of the U.S. subsidiaries is the treasury/conduit affiliate and it enters into swaps with every other affiliate, including foreign affiliates.  To avoid double counting, that subsidiary is removed from the equation and the number of U.S. subsidiaries is 10.  Finally, the total number of inter-affiliate swaps that foreign subsidiaries entered into that would be subject to this rule is 0.5 x (11 x 0.75 x 2,230 x 2,347).  Each foreign subsidiary enters into as many swaps as each U.S. subsidiary, but only 50% of foreign subsidiary swaps would be subject to this rule.  </w:t>
      </w:r>
    </w:p>
  </w:footnote>
  <w:footnote w:id="8">
    <w:p w:rsidR="00970BCE" w:rsidRPr="00C0162B" w:rsidRDefault="00970BCE" w:rsidP="00970BCE">
      <w:pPr>
        <w:pStyle w:val="FootnoteText"/>
        <w:spacing w:after="200"/>
        <w:rPr>
          <w:rFonts w:ascii="Times New Roman" w:hAnsi="Times New Roman"/>
        </w:rPr>
      </w:pPr>
      <w:r w:rsidRPr="00422C12">
        <w:rPr>
          <w:rStyle w:val="FootnoteReference"/>
        </w:rPr>
        <w:footnoteRef/>
      </w:r>
      <w:r w:rsidRPr="00422C12">
        <w:t xml:space="preserve"> </w:t>
      </w:r>
      <w:r w:rsidRPr="00C0162B">
        <w:rPr>
          <w:rFonts w:ascii="Times New Roman" w:hAnsi="Times New Roman"/>
          <w:lang w:val="en-US"/>
        </w:rPr>
        <w:t>Annual hour or cost burden estimates of the exemption were calculated, through research and through consultation with the Commission’s technology staff, using wage rate estimates based on salary information for the securities industry compiled by the Securities Industry and Financial Markets Association (“SIFMA”).  These wage estimates are derived from an industry-wide survey of participants and thus reflect an average across entities; the Commission notes that the actual costs for any individual company or sector may vary from the average.  The Commission estimated the dollar costs of hourly burdens for each type of professional using the following calculations:</w:t>
      </w:r>
    </w:p>
    <w:p w:rsidR="00970BCE" w:rsidRPr="00C0162B" w:rsidRDefault="00970BCE" w:rsidP="00970BCE">
      <w:pPr>
        <w:pStyle w:val="FootnoteText"/>
        <w:spacing w:after="200"/>
        <w:rPr>
          <w:rFonts w:ascii="Times New Roman" w:hAnsi="Times New Roman"/>
        </w:rPr>
      </w:pPr>
      <w:r w:rsidRPr="00C0162B">
        <w:rPr>
          <w:rFonts w:ascii="Times New Roman" w:hAnsi="Times New Roman"/>
          <w:lang w:val="en-US"/>
        </w:rPr>
        <w:tab/>
        <w:t>(1) [(2010 salary + bonus) * (salary growth per professional type, 2010-2011)] = Estimated 2011 annual compensation.  The most recent data provided by the SIFMA report describe the 2010 total compensation (salary + bonus) by professional type, and the 2011 base salary for each professional type; thus, the Commission estimated the 2011 total compensation for each professional type, but, in the absence of similarly granular data on salary growth or compensation from 2011 to 2012 and beyond, did not estimate dollar costs beyond 2011.</w:t>
      </w:r>
    </w:p>
    <w:p w:rsidR="00970BCE" w:rsidRPr="00C0162B" w:rsidRDefault="00970BCE" w:rsidP="00970BCE">
      <w:pPr>
        <w:pStyle w:val="FootnoteText"/>
        <w:spacing w:after="200"/>
        <w:rPr>
          <w:rFonts w:ascii="Times New Roman" w:hAnsi="Times New Roman"/>
        </w:rPr>
      </w:pPr>
      <w:r w:rsidRPr="00C0162B">
        <w:rPr>
          <w:rFonts w:ascii="Times New Roman" w:hAnsi="Times New Roman"/>
          <w:lang w:val="en-US"/>
        </w:rPr>
        <w:tab/>
        <w:t>(2) [(Estimated 2011 total annual compensation)</w:t>
      </w:r>
      <w:proofErr w:type="gramStart"/>
      <w:r w:rsidRPr="00C0162B">
        <w:rPr>
          <w:rFonts w:ascii="Times New Roman" w:hAnsi="Times New Roman"/>
          <w:lang w:val="en-US"/>
        </w:rPr>
        <w:t>/(</w:t>
      </w:r>
      <w:proofErr w:type="gramEnd"/>
      <w:r w:rsidRPr="00C0162B">
        <w:rPr>
          <w:rFonts w:ascii="Times New Roman" w:hAnsi="Times New Roman"/>
          <w:lang w:val="en-US"/>
        </w:rPr>
        <w:t>1,800 annual work hours)] = Hourly wage per professional type.</w:t>
      </w:r>
    </w:p>
    <w:p w:rsidR="00970BCE" w:rsidRPr="00C0162B" w:rsidRDefault="00970BCE" w:rsidP="00970BCE">
      <w:pPr>
        <w:pStyle w:val="FootnoteText"/>
        <w:spacing w:after="200"/>
        <w:rPr>
          <w:rFonts w:ascii="Times New Roman" w:hAnsi="Times New Roman"/>
        </w:rPr>
      </w:pPr>
      <w:r w:rsidRPr="00C0162B">
        <w:rPr>
          <w:rFonts w:ascii="Times New Roman" w:hAnsi="Times New Roman"/>
          <w:lang w:val="en-US"/>
        </w:rPr>
        <w:tab/>
        <w:t>(3) [(Hourly wage) * (Adjustment factor for overhead and other benefits, which the Commission has estimated to be 1.3)] = Adjusted hourly wage per professional type.</w:t>
      </w:r>
    </w:p>
    <w:p w:rsidR="00970BCE" w:rsidRPr="00C0162B" w:rsidRDefault="00970BCE" w:rsidP="00970BCE">
      <w:pPr>
        <w:pStyle w:val="FootnoteText"/>
        <w:spacing w:after="200"/>
        <w:rPr>
          <w:rFonts w:ascii="Times New Roman" w:hAnsi="Times New Roman"/>
        </w:rPr>
      </w:pPr>
      <w:r w:rsidRPr="00C0162B">
        <w:rPr>
          <w:rFonts w:ascii="Times New Roman" w:hAnsi="Times New Roman"/>
          <w:lang w:val="en-US"/>
        </w:rPr>
        <w:tab/>
        <w:t>(4) [(Adjusted hourly wage) * (Estimated hour burden for compliance)] = Dollar cost of compliance for each hour burden estimate per professional type.</w:t>
      </w:r>
    </w:p>
  </w:footnote>
  <w:footnote w:id="9">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To derive the annual burden hours and cost for this row, the Commission calculated following: the average burden hours or cost per transaction times total number of inter-affiliate swaps annually.</w:t>
      </w:r>
    </w:p>
  </w:footnote>
  <w:footnote w:id="10">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The Commission assumes that at least 90% of corporations would elect to file an annual report to supply the information required by § </w:t>
      </w:r>
      <w:r w:rsidR="00D934D5">
        <w:rPr>
          <w:rFonts w:ascii="Times New Roman" w:hAnsi="Times New Roman"/>
        </w:rPr>
        <w:t>50.52(c)(2)-(3)</w:t>
      </w:r>
      <w:r w:rsidRPr="00C0162B">
        <w:rPr>
          <w:rFonts w:ascii="Times New Roman" w:hAnsi="Times New Roman"/>
        </w:rPr>
        <w:t xml:space="preserve"> rather than report the information on a swap-by-swap basis; 10% of affiliates would report the required information on a swap-by-swap basis.  </w:t>
      </w:r>
    </w:p>
  </w:footnote>
  <w:footnote w:id="11">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To derive the annual burden hours and cost for this row, the Commission calculated following: (A) the total number of subsidiaries (see Table A) times 75% to determine the number of affiliates involved in a first transaction subject to reporting; (B) then multiplied that number—38,136—with 10% to determine the number of affiliates that would report swap-by-swap, </w:t>
      </w:r>
      <w:r w:rsidRPr="00C0162B">
        <w:rPr>
          <w:rFonts w:ascii="Times New Roman" w:hAnsi="Times New Roman"/>
          <w:u w:val="single"/>
        </w:rPr>
        <w:t>i.e.</w:t>
      </w:r>
      <w:r w:rsidRPr="00C0162B">
        <w:rPr>
          <w:rFonts w:ascii="Times New Roman" w:hAnsi="Times New Roman"/>
        </w:rPr>
        <w:t>, 3,813.6, and (C) then multiplied that number by 0.16667</w:t>
      </w:r>
      <w:r w:rsidRPr="00C0162B">
        <w:rPr>
          <w:rFonts w:ascii="Times New Roman" w:hAnsi="Times New Roman"/>
          <w:lang w:val="en-US"/>
        </w:rPr>
        <w:t xml:space="preserve"> (rounded up to 1.17 in the Table)</w:t>
      </w:r>
      <w:r w:rsidRPr="00C0162B">
        <w:rPr>
          <w:rFonts w:ascii="Times New Roman" w:hAnsi="Times New Roman"/>
        </w:rPr>
        <w:t>, to obtain the average burden hours to report, or $65, to obtain the average cost to report.</w:t>
      </w:r>
    </w:p>
  </w:footnote>
  <w:footnote w:id="12">
    <w:p w:rsidR="00970BCE" w:rsidRPr="00A54C56" w:rsidRDefault="00970BCE" w:rsidP="00970BCE">
      <w:pPr>
        <w:rPr>
          <w:rFonts w:ascii="Times New Roman" w:hAnsi="Times New Roman" w:cs="Times New Roman"/>
          <w:color w:val="000000"/>
          <w:sz w:val="20"/>
          <w:szCs w:val="20"/>
        </w:rPr>
      </w:pPr>
      <w:r w:rsidRPr="00D934D5">
        <w:rPr>
          <w:rStyle w:val="FootnoteReference"/>
          <w:rFonts w:ascii="Times New Roman" w:hAnsi="Times New Roman" w:cs="Times New Roman"/>
          <w:sz w:val="20"/>
          <w:szCs w:val="20"/>
        </w:rPr>
        <w:footnoteRef/>
      </w:r>
      <w:r w:rsidRPr="00D934D5">
        <w:rPr>
          <w:rFonts w:ascii="Times New Roman" w:hAnsi="Times New Roman" w:cs="Times New Roman"/>
          <w:sz w:val="20"/>
          <w:szCs w:val="20"/>
        </w:rPr>
        <w:t xml:space="preserve"> To derive the annual burden hours and cost for this row, the Commission calculated following: (A) the total number of subsequent transactions, which is the total number of transactions (64,768,399) minus the total number of first time transactions (0.75 x</w:t>
      </w:r>
      <w:r w:rsidRPr="00A54C56">
        <w:rPr>
          <w:rFonts w:ascii="Times New Roman" w:hAnsi="Times New Roman" w:cs="Times New Roman"/>
          <w:sz w:val="20"/>
          <w:szCs w:val="20"/>
        </w:rPr>
        <w:t xml:space="preserve"> 50,848); (B) then multiplied that number—</w:t>
      </w:r>
      <w:r w:rsidRPr="00A54C56">
        <w:rPr>
          <w:rFonts w:ascii="Times New Roman" w:hAnsi="Times New Roman" w:cs="Times New Roman"/>
          <w:color w:val="000000"/>
          <w:sz w:val="20"/>
          <w:szCs w:val="20"/>
        </w:rPr>
        <w:t>64,730,263</w:t>
      </w:r>
      <w:r w:rsidRPr="00A54C56">
        <w:rPr>
          <w:rFonts w:ascii="Times New Roman" w:hAnsi="Times New Roman" w:cs="Times New Roman"/>
          <w:sz w:val="20"/>
          <w:szCs w:val="20"/>
        </w:rPr>
        <w:t xml:space="preserve">—by 10% to determine the number of affiliates that would report swap-by-swap, </w:t>
      </w:r>
      <w:r w:rsidRPr="00A54C56">
        <w:rPr>
          <w:rFonts w:ascii="Times New Roman" w:hAnsi="Times New Roman" w:cs="Times New Roman"/>
          <w:sz w:val="20"/>
          <w:szCs w:val="20"/>
          <w:u w:val="single"/>
        </w:rPr>
        <w:t>i.e.</w:t>
      </w:r>
      <w:r w:rsidRPr="00A54C56">
        <w:rPr>
          <w:rFonts w:ascii="Times New Roman" w:hAnsi="Times New Roman" w:cs="Times New Roman"/>
          <w:sz w:val="20"/>
          <w:szCs w:val="20"/>
        </w:rPr>
        <w:t>, 6,473,26.3, and (C) then multiplied that number by 0.05, to obtain the average burden hours to report, or $19.50, to obtain the average cost to report.</w:t>
      </w:r>
    </w:p>
  </w:footnote>
  <w:footnote w:id="13">
    <w:p w:rsidR="00970BCE" w:rsidRPr="00C0162B" w:rsidRDefault="00970BCE" w:rsidP="00970BCE">
      <w:pPr>
        <w:pStyle w:val="FootnoteText"/>
        <w:spacing w:after="200"/>
        <w:rPr>
          <w:rFonts w:ascii="Times New Roman" w:hAnsi="Times New Roman"/>
        </w:rPr>
      </w:pPr>
      <w:r w:rsidRPr="0084182A">
        <w:rPr>
          <w:rStyle w:val="FootnoteReference"/>
          <w:rFonts w:ascii="Times New Roman" w:hAnsi="Times New Roman"/>
        </w:rPr>
        <w:footnoteRef/>
      </w:r>
      <w:r w:rsidRPr="0084182A">
        <w:rPr>
          <w:rFonts w:ascii="Times New Roman" w:hAnsi="Times New Roman"/>
        </w:rPr>
        <w:t xml:space="preserve"> The</w:t>
      </w:r>
      <w:r w:rsidRPr="00C0162B">
        <w:rPr>
          <w:rFonts w:ascii="Times New Roman" w:hAnsi="Times New Roman"/>
        </w:rPr>
        <w:t xml:space="preserve"> Commission assumes that there is only one reporting counterparty at each MNC.</w:t>
      </w:r>
    </w:p>
  </w:footnote>
  <w:footnote w:id="14">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1,760 represents the 75% of 2,347 MNCs that the Commission estimates would be reporting parties.</w:t>
      </w:r>
    </w:p>
  </w:footnote>
  <w:footnote w:id="15">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38,136 represents 75% of 50,848, the total number of affiliates potentially electing the exemption.</w:t>
      </w:r>
    </w:p>
  </w:footnote>
  <w:footnote w:id="16">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This calculation represents the total burden hours —1,584.2—for the estimated 90% of </w:t>
      </w:r>
      <w:r w:rsidRPr="00C0162B">
        <w:rPr>
          <w:rFonts w:ascii="Times New Roman" w:hAnsi="Times New Roman"/>
          <w:lang w:val="en-US"/>
        </w:rPr>
        <w:t xml:space="preserve">reporting </w:t>
      </w:r>
      <w:r w:rsidRPr="00C0162B">
        <w:rPr>
          <w:rFonts w:ascii="Times New Roman" w:hAnsi="Times New Roman"/>
        </w:rPr>
        <w:t>MNCs that would file annual reports.</w:t>
      </w:r>
    </w:p>
  </w:footnote>
  <w:footnote w:id="17">
    <w:p w:rsidR="00970BCE" w:rsidRPr="00A54C56" w:rsidRDefault="00970BCE" w:rsidP="00970BCE">
      <w:pPr>
        <w:pStyle w:val="FootnoteText1"/>
        <w:spacing w:after="200"/>
        <w:rPr>
          <w:rFonts w:eastAsia="Times New Roman"/>
          <w:color w:val="auto"/>
        </w:rPr>
      </w:pPr>
      <w:r w:rsidRPr="00A54C56">
        <w:rPr>
          <w:rStyle w:val="FootnoteReference1"/>
          <w:color w:val="auto"/>
        </w:rPr>
        <w:footnoteRef/>
      </w:r>
      <w:r w:rsidRPr="00A54C56">
        <w:rPr>
          <w:color w:val="auto"/>
        </w:rPr>
        <w:t xml:space="preserve"> These numbers are obtained by adding all of the burden hours or costs in Tables B and C.</w:t>
      </w:r>
      <w:r w:rsidR="006150E6" w:rsidRPr="00A54C56">
        <w:rPr>
          <w:color w:val="auto"/>
        </w:rPr>
        <w:t xml:space="preserve">  The number—$685,309,2</w:t>
      </w:r>
      <w:r w:rsidR="006150E6" w:rsidRPr="00A54C56">
        <w:rPr>
          <w:color w:val="auto"/>
          <w:u w:val="single"/>
        </w:rPr>
        <w:t>81</w:t>
      </w:r>
      <w:r w:rsidR="006150E6" w:rsidRPr="00A54C56">
        <w:rPr>
          <w:color w:val="auto"/>
        </w:rPr>
        <w:t>, in the Federal Register release, 77 FR 50425 at 50441 (at Table D, and narrative) is incorrect as a result of a typo.</w:t>
      </w:r>
    </w:p>
  </w:footnote>
  <w:footnote w:id="18">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Total Hours or Costs divided by 1,760 MNCs, which is equal to 75% x 2,347.</w:t>
      </w:r>
    </w:p>
  </w:footnote>
  <w:footnote w:id="19">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Total Hours or Costs divided by 38,</w:t>
      </w:r>
      <w:r w:rsidRPr="00C0162B">
        <w:rPr>
          <w:rFonts w:ascii="Times New Roman" w:hAnsi="Times New Roman"/>
          <w:lang w:val="en-US"/>
        </w:rPr>
        <w:t>13</w:t>
      </w:r>
      <w:r w:rsidRPr="00C0162B">
        <w:rPr>
          <w:rFonts w:ascii="Times New Roman" w:hAnsi="Times New Roman"/>
        </w:rPr>
        <w:t>6 affiliates, which is equal to 75</w:t>
      </w:r>
      <w:r w:rsidRPr="00C0162B">
        <w:rPr>
          <w:rFonts w:ascii="Times New Roman" w:hAnsi="Times New Roman"/>
          <w:lang w:val="en-US"/>
        </w:rPr>
        <w:t>%</w:t>
      </w:r>
      <w:r w:rsidRPr="00C0162B">
        <w:rPr>
          <w:rFonts w:ascii="Times New Roman" w:hAnsi="Times New Roman"/>
        </w:rPr>
        <w:t xml:space="preserve"> x 5</w:t>
      </w:r>
      <w:r w:rsidRPr="00C0162B">
        <w:rPr>
          <w:rFonts w:ascii="Times New Roman" w:hAnsi="Times New Roman"/>
          <w:lang w:val="en-US"/>
        </w:rPr>
        <w:t>0,848</w:t>
      </w:r>
      <w:r w:rsidRPr="00C0162B">
        <w:rPr>
          <w:rFonts w:ascii="Times New Roman" w:hAnsi="Times New Roman"/>
        </w:rPr>
        <w:t>.</w:t>
      </w:r>
    </w:p>
  </w:footnote>
  <w:footnote w:id="20">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Total Hours or Costs per Affiliate divided by 64,768,399 inter-affiliate swaps.</w:t>
      </w:r>
    </w:p>
  </w:footnote>
  <w:footnote w:id="21">
    <w:p w:rsidR="00970BCE" w:rsidRPr="00C0162B" w:rsidRDefault="00970BCE" w:rsidP="00970BCE">
      <w:pPr>
        <w:pStyle w:val="FootnoteText"/>
        <w:spacing w:after="200"/>
        <w:rPr>
          <w:rFonts w:ascii="Times New Roman" w:hAnsi="Times New Roman"/>
        </w:rPr>
      </w:pPr>
      <w:r w:rsidRPr="00C0162B">
        <w:rPr>
          <w:rStyle w:val="FootnoteReference"/>
          <w:rFonts w:ascii="Times New Roman" w:hAnsi="Times New Roman"/>
        </w:rPr>
        <w:footnoteRef/>
      </w:r>
      <w:r w:rsidRPr="00C0162B">
        <w:rPr>
          <w:rFonts w:ascii="Times New Roman" w:hAnsi="Times New Roman"/>
        </w:rPr>
        <w:t xml:space="preserve"> </w:t>
      </w:r>
      <w:r w:rsidRPr="00C0162B">
        <w:rPr>
          <w:rFonts w:ascii="Times New Roman" w:hAnsi="Times New Roman"/>
          <w:lang w:val="en-US"/>
        </w:rPr>
        <w:t xml:space="preserve">The “Total Average </w:t>
      </w:r>
      <w:proofErr w:type="gramStart"/>
      <w:r w:rsidRPr="00C0162B">
        <w:rPr>
          <w:rFonts w:ascii="Times New Roman" w:hAnsi="Times New Roman"/>
          <w:lang w:val="en-US"/>
        </w:rPr>
        <w:t>Per</w:t>
      </w:r>
      <w:proofErr w:type="gramEnd"/>
      <w:r w:rsidRPr="00C0162B">
        <w:rPr>
          <w:rFonts w:ascii="Times New Roman" w:hAnsi="Times New Roman"/>
          <w:lang w:val="en-US"/>
        </w:rPr>
        <w:t xml:space="preserve"> Inter-Affiliate Swap” cost of $10.58 is less than the average transaction costs listed in Table B (i.e., $65.00 and $19.50) for two reasons.  First, $10.58 is the average cost for over 64 million inter-affiliate swaps – this includes determining how much one-time or annual costs increase the reporting costs per inter-affiliate swap.  Second, the “average total transaction costs” in Table B apply only to the ten percent (10%) of reporting counterparties that might choose to report on a swap-by-swap basis under </w:t>
      </w:r>
      <w:r w:rsidR="00663685">
        <w:rPr>
          <w:rFonts w:ascii="Times New Roman" w:hAnsi="Times New Roman"/>
        </w:rPr>
        <w:t>§ 50.52(c</w:t>
      </w:r>
      <w:proofErr w:type="gramStart"/>
      <w:r w:rsidR="00663685">
        <w:rPr>
          <w:rFonts w:ascii="Times New Roman" w:hAnsi="Times New Roman"/>
        </w:rPr>
        <w:t>)(</w:t>
      </w:r>
      <w:proofErr w:type="gramEnd"/>
      <w:r w:rsidR="00663685">
        <w:rPr>
          <w:rFonts w:ascii="Times New Roman" w:hAnsi="Times New Roman"/>
        </w:rPr>
        <w:t>2)-(3)</w:t>
      </w:r>
      <w:r w:rsidRPr="00C0162B">
        <w:rPr>
          <w:rFonts w:ascii="Times New Roman" w:hAnsi="Times New Roma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BF"/>
    <w:rsid w:val="00106E20"/>
    <w:rsid w:val="001A1B7C"/>
    <w:rsid w:val="00392E70"/>
    <w:rsid w:val="00415A0D"/>
    <w:rsid w:val="004266EC"/>
    <w:rsid w:val="004554CD"/>
    <w:rsid w:val="004D5E12"/>
    <w:rsid w:val="006150E6"/>
    <w:rsid w:val="00663685"/>
    <w:rsid w:val="00672C54"/>
    <w:rsid w:val="00695BB7"/>
    <w:rsid w:val="006D7DBF"/>
    <w:rsid w:val="007017BF"/>
    <w:rsid w:val="0073492B"/>
    <w:rsid w:val="00830E02"/>
    <w:rsid w:val="0084182A"/>
    <w:rsid w:val="00864505"/>
    <w:rsid w:val="008751BD"/>
    <w:rsid w:val="008F0342"/>
    <w:rsid w:val="00970BCE"/>
    <w:rsid w:val="00994C8E"/>
    <w:rsid w:val="00A34503"/>
    <w:rsid w:val="00A54C56"/>
    <w:rsid w:val="00A758F9"/>
    <w:rsid w:val="00AB1091"/>
    <w:rsid w:val="00AB5274"/>
    <w:rsid w:val="00BC1724"/>
    <w:rsid w:val="00BF3C27"/>
    <w:rsid w:val="00C0162B"/>
    <w:rsid w:val="00C06905"/>
    <w:rsid w:val="00C22051"/>
    <w:rsid w:val="00C61A01"/>
    <w:rsid w:val="00CA0322"/>
    <w:rsid w:val="00CB1DD3"/>
    <w:rsid w:val="00CF3D1F"/>
    <w:rsid w:val="00D07531"/>
    <w:rsid w:val="00D85506"/>
    <w:rsid w:val="00D90DAD"/>
    <w:rsid w:val="00D934D5"/>
    <w:rsid w:val="00E86356"/>
    <w:rsid w:val="00ED3380"/>
    <w:rsid w:val="00EF3EC7"/>
    <w:rsid w:val="00F579C0"/>
    <w:rsid w:val="00F6144E"/>
    <w:rsid w:val="00FB3E03"/>
    <w:rsid w:val="00FC0D01"/>
    <w:rsid w:val="00FE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017BF"/>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rsid w:val="007017BF"/>
    <w:rPr>
      <w:rFonts w:ascii="Arial" w:eastAsia="Times New Roman" w:hAnsi="Arial" w:cs="Times New Roman"/>
      <w:sz w:val="20"/>
      <w:szCs w:val="20"/>
      <w:lang w:val="x-none" w:eastAsia="x-none"/>
    </w:rPr>
  </w:style>
  <w:style w:type="character" w:styleId="FootnoteReference">
    <w:name w:val="footnote reference"/>
    <w:aliases w:val="fr,Style 19,Style 16,Style 35"/>
    <w:rsid w:val="007017BF"/>
    <w:rPr>
      <w:vertAlign w:val="superscript"/>
    </w:rPr>
  </w:style>
  <w:style w:type="character" w:customStyle="1" w:styleId="FootnoteReference1">
    <w:name w:val="Footnote Reference1"/>
    <w:autoRedefine/>
    <w:rsid w:val="00970BCE"/>
    <w:rPr>
      <w:color w:val="000000"/>
      <w:sz w:val="22"/>
      <w:vertAlign w:val="superscript"/>
    </w:rPr>
  </w:style>
  <w:style w:type="paragraph" w:customStyle="1" w:styleId="FootnoteText1">
    <w:name w:val="Footnote Text1"/>
    <w:rsid w:val="00970BCE"/>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970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CE"/>
    <w:rPr>
      <w:rFonts w:ascii="Tahoma" w:hAnsi="Tahoma" w:cs="Tahoma"/>
      <w:sz w:val="16"/>
      <w:szCs w:val="16"/>
    </w:rPr>
  </w:style>
  <w:style w:type="character" w:styleId="CommentReference">
    <w:name w:val="annotation reference"/>
    <w:basedOn w:val="DefaultParagraphFont"/>
    <w:uiPriority w:val="99"/>
    <w:semiHidden/>
    <w:unhideWhenUsed/>
    <w:rsid w:val="004D5E12"/>
    <w:rPr>
      <w:sz w:val="16"/>
      <w:szCs w:val="16"/>
    </w:rPr>
  </w:style>
  <w:style w:type="paragraph" w:styleId="CommentText">
    <w:name w:val="annotation text"/>
    <w:basedOn w:val="Normal"/>
    <w:link w:val="CommentTextChar"/>
    <w:uiPriority w:val="99"/>
    <w:semiHidden/>
    <w:unhideWhenUsed/>
    <w:rsid w:val="004D5E12"/>
    <w:pPr>
      <w:spacing w:line="240" w:lineRule="auto"/>
    </w:pPr>
    <w:rPr>
      <w:sz w:val="20"/>
      <w:szCs w:val="20"/>
    </w:rPr>
  </w:style>
  <w:style w:type="character" w:customStyle="1" w:styleId="CommentTextChar">
    <w:name w:val="Comment Text Char"/>
    <w:basedOn w:val="DefaultParagraphFont"/>
    <w:link w:val="CommentText"/>
    <w:uiPriority w:val="99"/>
    <w:semiHidden/>
    <w:rsid w:val="004D5E12"/>
    <w:rPr>
      <w:sz w:val="20"/>
      <w:szCs w:val="20"/>
    </w:rPr>
  </w:style>
  <w:style w:type="paragraph" w:styleId="CommentSubject">
    <w:name w:val="annotation subject"/>
    <w:basedOn w:val="CommentText"/>
    <w:next w:val="CommentText"/>
    <w:link w:val="CommentSubjectChar"/>
    <w:uiPriority w:val="99"/>
    <w:semiHidden/>
    <w:unhideWhenUsed/>
    <w:rsid w:val="004D5E12"/>
    <w:rPr>
      <w:b/>
      <w:bCs/>
    </w:rPr>
  </w:style>
  <w:style w:type="character" w:customStyle="1" w:styleId="CommentSubjectChar">
    <w:name w:val="Comment Subject Char"/>
    <w:basedOn w:val="CommentTextChar"/>
    <w:link w:val="CommentSubject"/>
    <w:uiPriority w:val="99"/>
    <w:semiHidden/>
    <w:rsid w:val="004D5E12"/>
    <w:rPr>
      <w:b/>
      <w:bCs/>
      <w:sz w:val="20"/>
      <w:szCs w:val="20"/>
    </w:rPr>
  </w:style>
  <w:style w:type="paragraph" w:styleId="Revision">
    <w:name w:val="Revision"/>
    <w:hidden/>
    <w:uiPriority w:val="99"/>
    <w:semiHidden/>
    <w:rsid w:val="00A54C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017BF"/>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rsid w:val="007017BF"/>
    <w:rPr>
      <w:rFonts w:ascii="Arial" w:eastAsia="Times New Roman" w:hAnsi="Arial" w:cs="Times New Roman"/>
      <w:sz w:val="20"/>
      <w:szCs w:val="20"/>
      <w:lang w:val="x-none" w:eastAsia="x-none"/>
    </w:rPr>
  </w:style>
  <w:style w:type="character" w:styleId="FootnoteReference">
    <w:name w:val="footnote reference"/>
    <w:aliases w:val="fr,Style 19,Style 16,Style 35"/>
    <w:rsid w:val="007017BF"/>
    <w:rPr>
      <w:vertAlign w:val="superscript"/>
    </w:rPr>
  </w:style>
  <w:style w:type="character" w:customStyle="1" w:styleId="FootnoteReference1">
    <w:name w:val="Footnote Reference1"/>
    <w:autoRedefine/>
    <w:rsid w:val="00970BCE"/>
    <w:rPr>
      <w:color w:val="000000"/>
      <w:sz w:val="22"/>
      <w:vertAlign w:val="superscript"/>
    </w:rPr>
  </w:style>
  <w:style w:type="paragraph" w:customStyle="1" w:styleId="FootnoteText1">
    <w:name w:val="Footnote Text1"/>
    <w:rsid w:val="00970BCE"/>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970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CE"/>
    <w:rPr>
      <w:rFonts w:ascii="Tahoma" w:hAnsi="Tahoma" w:cs="Tahoma"/>
      <w:sz w:val="16"/>
      <w:szCs w:val="16"/>
    </w:rPr>
  </w:style>
  <w:style w:type="character" w:styleId="CommentReference">
    <w:name w:val="annotation reference"/>
    <w:basedOn w:val="DefaultParagraphFont"/>
    <w:uiPriority w:val="99"/>
    <w:semiHidden/>
    <w:unhideWhenUsed/>
    <w:rsid w:val="004D5E12"/>
    <w:rPr>
      <w:sz w:val="16"/>
      <w:szCs w:val="16"/>
    </w:rPr>
  </w:style>
  <w:style w:type="paragraph" w:styleId="CommentText">
    <w:name w:val="annotation text"/>
    <w:basedOn w:val="Normal"/>
    <w:link w:val="CommentTextChar"/>
    <w:uiPriority w:val="99"/>
    <w:semiHidden/>
    <w:unhideWhenUsed/>
    <w:rsid w:val="004D5E12"/>
    <w:pPr>
      <w:spacing w:line="240" w:lineRule="auto"/>
    </w:pPr>
    <w:rPr>
      <w:sz w:val="20"/>
      <w:szCs w:val="20"/>
    </w:rPr>
  </w:style>
  <w:style w:type="character" w:customStyle="1" w:styleId="CommentTextChar">
    <w:name w:val="Comment Text Char"/>
    <w:basedOn w:val="DefaultParagraphFont"/>
    <w:link w:val="CommentText"/>
    <w:uiPriority w:val="99"/>
    <w:semiHidden/>
    <w:rsid w:val="004D5E12"/>
    <w:rPr>
      <w:sz w:val="20"/>
      <w:szCs w:val="20"/>
    </w:rPr>
  </w:style>
  <w:style w:type="paragraph" w:styleId="CommentSubject">
    <w:name w:val="annotation subject"/>
    <w:basedOn w:val="CommentText"/>
    <w:next w:val="CommentText"/>
    <w:link w:val="CommentSubjectChar"/>
    <w:uiPriority w:val="99"/>
    <w:semiHidden/>
    <w:unhideWhenUsed/>
    <w:rsid w:val="004D5E12"/>
    <w:rPr>
      <w:b/>
      <w:bCs/>
    </w:rPr>
  </w:style>
  <w:style w:type="character" w:customStyle="1" w:styleId="CommentSubjectChar">
    <w:name w:val="Comment Subject Char"/>
    <w:basedOn w:val="CommentTextChar"/>
    <w:link w:val="CommentSubject"/>
    <w:uiPriority w:val="99"/>
    <w:semiHidden/>
    <w:rsid w:val="004D5E12"/>
    <w:rPr>
      <w:b/>
      <w:bCs/>
      <w:sz w:val="20"/>
      <w:szCs w:val="20"/>
    </w:rPr>
  </w:style>
  <w:style w:type="paragraph" w:styleId="Revision">
    <w:name w:val="Revision"/>
    <w:hidden/>
    <w:uiPriority w:val="99"/>
    <w:semiHidden/>
    <w:rsid w:val="00A54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638A-EF6E-4316-BFD0-B8D45282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3651</Words>
  <Characters>20817</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HCastro</cp:lastModifiedBy>
  <cp:revision>2</cp:revision>
  <cp:lastPrinted>2013-04-03T15:19:00Z</cp:lastPrinted>
  <dcterms:created xsi:type="dcterms:W3CDTF">2013-04-04T16:21:00Z</dcterms:created>
  <dcterms:modified xsi:type="dcterms:W3CDTF">2013-04-04T16:21:00Z</dcterms:modified>
</cp:coreProperties>
</file>