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55" w:rsidRDefault="00E65155" w:rsidP="00C34506">
      <w:pPr>
        <w:pStyle w:val="Heading1"/>
        <w:spacing w:after="220"/>
        <w:jc w:val="left"/>
        <w:rPr>
          <w:b w:val="0"/>
          <w:i/>
          <w:sz w:val="24"/>
          <w:szCs w:val="24"/>
        </w:rPr>
      </w:pPr>
    </w:p>
    <w:p w:rsidR="00C34506" w:rsidRDefault="009B6E66" w:rsidP="00C34506">
      <w:pPr>
        <w:pStyle w:val="Heading1"/>
        <w:spacing w:after="220"/>
        <w:jc w:val="left"/>
        <w:rPr>
          <w:b w:val="0"/>
          <w:sz w:val="24"/>
          <w:szCs w:val="24"/>
        </w:rPr>
      </w:pPr>
      <w:r>
        <w:rPr>
          <w:b w:val="0"/>
          <w:i/>
          <w:sz w:val="24"/>
          <w:szCs w:val="24"/>
        </w:rPr>
        <w:t>C</w:t>
      </w:r>
      <w:r w:rsidR="00C34506" w:rsidRPr="00332981">
        <w:rPr>
          <w:b w:val="0"/>
          <w:i/>
          <w:sz w:val="24"/>
          <w:szCs w:val="24"/>
        </w:rPr>
        <w:t>ollection titled:</w:t>
      </w:r>
      <w:r w:rsidR="00C34506">
        <w:rPr>
          <w:b w:val="0"/>
          <w:sz w:val="24"/>
          <w:szCs w:val="24"/>
        </w:rPr>
        <w:t xml:space="preserve">  Sections 1.946,  </w:t>
      </w:r>
      <w:r w:rsidR="00E30C58">
        <w:rPr>
          <w:b w:val="0"/>
          <w:sz w:val="24"/>
          <w:szCs w:val="24"/>
        </w:rPr>
        <w:t>1.2105,</w:t>
      </w:r>
      <w:r w:rsidR="00E30C58" w:rsidRPr="00E30C58">
        <w:rPr>
          <w:b w:val="0"/>
          <w:sz w:val="24"/>
          <w:szCs w:val="24"/>
        </w:rPr>
        <w:t xml:space="preserve"> </w:t>
      </w:r>
      <w:r w:rsidR="00C34506">
        <w:rPr>
          <w:b w:val="0"/>
          <w:sz w:val="24"/>
          <w:szCs w:val="24"/>
        </w:rPr>
        <w:t xml:space="preserve">27.10, 27.12, </w:t>
      </w:r>
      <w:r w:rsidR="00214A83">
        <w:rPr>
          <w:b w:val="0"/>
          <w:sz w:val="24"/>
          <w:szCs w:val="24"/>
        </w:rPr>
        <w:t xml:space="preserve">27.14, </w:t>
      </w:r>
      <w:r w:rsidR="00C34506">
        <w:rPr>
          <w:b w:val="0"/>
          <w:sz w:val="24"/>
          <w:szCs w:val="24"/>
        </w:rPr>
        <w:t xml:space="preserve">etc. – Service Rules for the Advanced Wireless Services H Block—Implementing Section 6401 of the Middle Class Tax Relief and Job Creation Act of 2012 Related to the 1915-1920 MHz and 1995-2000 MHz Bands – </w:t>
      </w:r>
      <w:r w:rsidR="00E64068">
        <w:rPr>
          <w:b w:val="0"/>
          <w:sz w:val="24"/>
          <w:szCs w:val="24"/>
        </w:rPr>
        <w:t>R&amp;O</w:t>
      </w:r>
      <w:r w:rsidR="00C34506">
        <w:rPr>
          <w:b w:val="0"/>
          <w:sz w:val="24"/>
          <w:szCs w:val="24"/>
        </w:rPr>
        <w:t xml:space="preserve">, FCC </w:t>
      </w:r>
      <w:r w:rsidR="00E64068">
        <w:rPr>
          <w:b w:val="0"/>
          <w:sz w:val="24"/>
          <w:szCs w:val="24"/>
        </w:rPr>
        <w:t>13</w:t>
      </w:r>
      <w:r w:rsidR="00C34506">
        <w:rPr>
          <w:b w:val="0"/>
          <w:sz w:val="24"/>
          <w:szCs w:val="24"/>
        </w:rPr>
        <w:t>-</w:t>
      </w:r>
      <w:r w:rsidR="00E64068">
        <w:rPr>
          <w:b w:val="0"/>
          <w:sz w:val="24"/>
          <w:szCs w:val="24"/>
        </w:rPr>
        <w:t>88</w:t>
      </w:r>
      <w:r w:rsidR="00016CBA">
        <w:rPr>
          <w:b w:val="0"/>
          <w:sz w:val="24"/>
          <w:szCs w:val="24"/>
        </w:rPr>
        <w:t>.</w:t>
      </w:r>
    </w:p>
    <w:p w:rsidR="00C34506" w:rsidRPr="002A4408" w:rsidRDefault="00C34506" w:rsidP="00C34506"/>
    <w:p w:rsidR="00C34506" w:rsidRPr="00FC709D" w:rsidRDefault="00C34506" w:rsidP="00C34506">
      <w:pPr>
        <w:pStyle w:val="Heading1"/>
        <w:spacing w:after="220"/>
      </w:pPr>
      <w:r w:rsidRPr="00FC709D">
        <w:rPr>
          <w:b w:val="0"/>
          <w:sz w:val="24"/>
          <w:szCs w:val="24"/>
        </w:rPr>
        <w:t>SUPPORTING STATEMENT</w:t>
      </w:r>
    </w:p>
    <w:p w:rsidR="00C34506" w:rsidRPr="00FE37E4" w:rsidRDefault="00C34506" w:rsidP="00C34506">
      <w:pPr>
        <w:spacing w:after="220"/>
        <w:rPr>
          <w:b/>
          <w:u w:val="single"/>
        </w:rPr>
      </w:pPr>
      <w:r w:rsidRPr="00FE37E4">
        <w:rPr>
          <w:b/>
          <w:u w:val="single"/>
        </w:rPr>
        <w:t xml:space="preserve">A.  </w:t>
      </w:r>
      <w:r w:rsidRPr="00FE37E4">
        <w:rPr>
          <w:b/>
          <w:u w:val="single"/>
        </w:rPr>
        <w:tab/>
        <w:t>Justification:</w:t>
      </w:r>
    </w:p>
    <w:p w:rsidR="0095509C" w:rsidRDefault="00C34506" w:rsidP="000E6674">
      <w:pPr>
        <w:spacing w:after="220"/>
      </w:pPr>
      <w:r w:rsidRPr="00FC709D">
        <w:rPr>
          <w:b/>
        </w:rPr>
        <w:t>1.</w:t>
      </w:r>
      <w:r w:rsidRPr="00FC709D">
        <w:tab/>
      </w:r>
      <w:r w:rsidR="005E78E2">
        <w:rPr>
          <w:i/>
          <w:szCs w:val="24"/>
        </w:rPr>
        <w:t xml:space="preserve">Circumstances that make the revised collection necessary.  </w:t>
      </w:r>
      <w:r w:rsidR="00FE46EB">
        <w:t xml:space="preserve">The Commission </w:t>
      </w:r>
      <w:r w:rsidR="0095509C">
        <w:t xml:space="preserve">adopted </w:t>
      </w:r>
      <w:r w:rsidR="00FE46EB">
        <w:t>the Service Rules for the Advanced Wireless Services H Block—Implementing Section 6401 of the Middle Class Tax Relief and Job Creation Act of 2012 Related to the 1915-1920 MHz and 1995-2000 MHz Bands Notice of Proposed Rulemaking (</w:t>
      </w:r>
      <w:r w:rsidR="00FE46EB" w:rsidRPr="00FE37E4">
        <w:rPr>
          <w:i/>
        </w:rPr>
        <w:t>H Block NPRM</w:t>
      </w:r>
      <w:r w:rsidR="00FE46EB" w:rsidRPr="00FE46EB">
        <w:t>)</w:t>
      </w:r>
      <w:r w:rsidR="00FE46EB">
        <w:t xml:space="preserve">, FCC 12-152, </w:t>
      </w:r>
      <w:r w:rsidR="0095509C">
        <w:t xml:space="preserve">on December 11, 2012.  </w:t>
      </w:r>
      <w:r w:rsidR="0095509C" w:rsidRPr="00FC709D">
        <w:t xml:space="preserve">In the </w:t>
      </w:r>
      <w:r w:rsidR="0095509C" w:rsidRPr="00FE37E4">
        <w:rPr>
          <w:i/>
        </w:rPr>
        <w:t>H Block NPRM</w:t>
      </w:r>
      <w:r w:rsidR="0095509C" w:rsidRPr="00FC709D">
        <w:t>, the FCC propose</w:t>
      </w:r>
      <w:r w:rsidR="0095509C">
        <w:t>d</w:t>
      </w:r>
      <w:r w:rsidR="0095509C" w:rsidRPr="00FC709D">
        <w:t xml:space="preserve"> </w:t>
      </w:r>
      <w:r w:rsidR="0095509C">
        <w:t xml:space="preserve">service rules for the 1915-1920 MHz and 1995-2000 MHz Bands (hereinafter the “H Block”) that would make available 10 MHz of spectrum for flexible use in accordance with the </w:t>
      </w:r>
      <w:r w:rsidR="0095509C">
        <w:rPr>
          <w:color w:val="000000"/>
        </w:rPr>
        <w:t>Middle Class Tax Relief and Job Creation Act of 2012</w:t>
      </w:r>
      <w:r w:rsidR="0095509C">
        <w:t>.</w:t>
      </w:r>
      <w:r w:rsidR="0095509C" w:rsidRPr="0095509C">
        <w:rPr>
          <w:rStyle w:val="FootnoteReference"/>
        </w:rPr>
        <w:t xml:space="preserve"> </w:t>
      </w:r>
      <w:r w:rsidR="0095509C">
        <w:rPr>
          <w:rStyle w:val="FootnoteReference"/>
        </w:rPr>
        <w:footnoteReference w:id="1"/>
      </w:r>
      <w:r w:rsidR="0095509C" w:rsidRPr="00FC709D">
        <w:t xml:space="preserve">  The </w:t>
      </w:r>
      <w:r w:rsidR="0095509C" w:rsidRPr="00FE37E4">
        <w:rPr>
          <w:i/>
        </w:rPr>
        <w:t>H Block NPRM</w:t>
      </w:r>
      <w:r w:rsidR="0095509C" w:rsidRPr="00FC709D">
        <w:t xml:space="preserve"> also </w:t>
      </w:r>
      <w:r w:rsidR="0095509C">
        <w:t>proposed</w:t>
      </w:r>
      <w:r w:rsidR="0095509C" w:rsidRPr="00FC709D">
        <w:t xml:space="preserve"> new information collection requirements that require Office of Management and Budget (OMB) approval</w:t>
      </w:r>
      <w:r w:rsidR="0095509C">
        <w:t xml:space="preserve">.  </w:t>
      </w:r>
      <w:r w:rsidR="0095509C" w:rsidRPr="00FC709D">
        <w:t xml:space="preserve">Therefore, the Commission </w:t>
      </w:r>
      <w:r w:rsidR="0095509C">
        <w:t xml:space="preserve">submitted to </w:t>
      </w:r>
      <w:r w:rsidR="0095509C" w:rsidRPr="00FC709D">
        <w:t xml:space="preserve">OMB </w:t>
      </w:r>
      <w:r w:rsidR="0095509C">
        <w:t xml:space="preserve">for </w:t>
      </w:r>
      <w:r w:rsidR="0095509C" w:rsidRPr="00FC709D">
        <w:t>approval</w:t>
      </w:r>
      <w:r w:rsidR="0095509C">
        <w:t xml:space="preserve"> of </w:t>
      </w:r>
      <w:r w:rsidR="0095509C" w:rsidRPr="00FC709D">
        <w:t>this new information collection for a full three-year clearance.</w:t>
      </w:r>
    </w:p>
    <w:p w:rsidR="00FE46EB" w:rsidRDefault="0095509C" w:rsidP="00383B26">
      <w:pPr>
        <w:spacing w:after="220"/>
        <w:ind w:firstLine="720"/>
      </w:pPr>
      <w:r>
        <w:t xml:space="preserve">  </w:t>
      </w:r>
      <w:r w:rsidR="00FE46EB">
        <w:t xml:space="preserve">These proposed rules were designed to provide for flexible use of this spectrum, to encourage innovation and investment in mobile broadband, and to provide a stable regulatory environment in which broadband deployment could develop.  The </w:t>
      </w:r>
      <w:r w:rsidR="00FE46EB" w:rsidRPr="00FE37E4">
        <w:rPr>
          <w:i/>
        </w:rPr>
        <w:t>H Block NPRM</w:t>
      </w:r>
      <w:r w:rsidR="00FE46EB">
        <w:t xml:space="preserve"> proposed terrestrial service rules for these spectrum bands that would generally follow the Commission’s Part 27 rules, which apply to flexible use services (such as AWS-1), modified as necessary to account for issues unique to the 1915-1920 MHz and 1995-2000 MHz spectrum bands.  The proposals in the </w:t>
      </w:r>
      <w:r w:rsidR="00FE46EB" w:rsidRPr="00FE37E4">
        <w:rPr>
          <w:i/>
        </w:rPr>
        <w:t>H Block NPRM</w:t>
      </w:r>
      <w:r w:rsidR="00FE46EB">
        <w:t xml:space="preserve"> included band-specific build</w:t>
      </w:r>
      <w:r w:rsidR="007E62AA">
        <w:t>-</w:t>
      </w:r>
      <w:r w:rsidR="00FE46EB">
        <w:t>out, renewal, and discontinuance of service criteria.</w:t>
      </w:r>
      <w:r>
        <w:t xml:space="preserve">  </w:t>
      </w:r>
    </w:p>
    <w:p w:rsidR="0095509C" w:rsidRDefault="00383B26" w:rsidP="00FE37E4">
      <w:pPr>
        <w:spacing w:after="220"/>
        <w:ind w:firstLine="720"/>
      </w:pPr>
      <w:r>
        <w:t>On June 27, 2013, the FCC adopted the Service Rules for the Advanced Wireless Services H Block—Implementing Section 6401 of the Middle Class Tax Relief and Job Creation Act of 2012 Related to the 1915-1920 MHz and 1995-2000 MHz Bands</w:t>
      </w:r>
      <w:r w:rsidRPr="00FC709D">
        <w:t xml:space="preserve"> </w:t>
      </w:r>
      <w:r>
        <w:t>Report and Order</w:t>
      </w:r>
      <w:r w:rsidRPr="00FC709D">
        <w:t xml:space="preserve"> (</w:t>
      </w:r>
      <w:r w:rsidRPr="00FE37E4">
        <w:rPr>
          <w:i/>
        </w:rPr>
        <w:t>H Block R&amp;O</w:t>
      </w:r>
      <w:r w:rsidRPr="00FC709D">
        <w:t>)</w:t>
      </w:r>
      <w:r>
        <w:t xml:space="preserve">, FCC 13-88, WT Docket No. 12-357.  The </w:t>
      </w:r>
      <w:r w:rsidRPr="00FE37E4">
        <w:rPr>
          <w:i/>
        </w:rPr>
        <w:t>H Block R&amp;O</w:t>
      </w:r>
      <w:r>
        <w:t xml:space="preserve"> adopted service rules for the H Block that makes available 10 MHz of paired spectrum for flexible use in accordance with the </w:t>
      </w:r>
      <w:r>
        <w:rPr>
          <w:color w:val="000000"/>
        </w:rPr>
        <w:t>Middle Class Tax Relief and Job Creation Act of 2012</w:t>
      </w:r>
      <w:r>
        <w:t xml:space="preserve">.  </w:t>
      </w:r>
      <w:r w:rsidR="0095509C">
        <w:t xml:space="preserve">The </w:t>
      </w:r>
      <w:r w:rsidR="0095509C" w:rsidRPr="00FE37E4">
        <w:rPr>
          <w:i/>
        </w:rPr>
        <w:t>H Block R&amp;O</w:t>
      </w:r>
      <w:r w:rsidR="0095509C">
        <w:t xml:space="preserve"> built upon the </w:t>
      </w:r>
      <w:r w:rsidR="0095509C" w:rsidRPr="00FE37E4">
        <w:rPr>
          <w:i/>
        </w:rPr>
        <w:t>H Block NPRM</w:t>
      </w:r>
      <w:r w:rsidR="0095509C" w:rsidRPr="0095509C">
        <w:t>, and</w:t>
      </w:r>
      <w:r w:rsidR="0095509C">
        <w:t xml:space="preserve"> </w:t>
      </w:r>
      <w:r>
        <w:t xml:space="preserve">contains </w:t>
      </w:r>
      <w:r w:rsidR="0095509C">
        <w:t xml:space="preserve">the </w:t>
      </w:r>
      <w:r>
        <w:t xml:space="preserve">new information collection requirements </w:t>
      </w:r>
      <w:r w:rsidR="0095509C">
        <w:t xml:space="preserve">that were proposed in the </w:t>
      </w:r>
      <w:r w:rsidR="0095509C" w:rsidRPr="0095509C">
        <w:rPr>
          <w:i/>
        </w:rPr>
        <w:t>H Block NPRM</w:t>
      </w:r>
      <w:r w:rsidR="0095509C">
        <w:t xml:space="preserve"> and </w:t>
      </w:r>
      <w:r>
        <w:t>that require OMB approval.</w:t>
      </w:r>
      <w:r w:rsidR="00FE46EB">
        <w:t xml:space="preserve">  </w:t>
      </w:r>
      <w:r w:rsidRPr="00FC709D">
        <w:t xml:space="preserve">  </w:t>
      </w:r>
    </w:p>
    <w:p w:rsidR="00CB12D6" w:rsidRDefault="006530C0" w:rsidP="00FE37E4">
      <w:pPr>
        <w:spacing w:after="220"/>
        <w:ind w:firstLine="720"/>
      </w:pPr>
      <w:r>
        <w:t>For this collection, subject to OMB approval, the Commission</w:t>
      </w:r>
      <w:r w:rsidR="00BE4F66">
        <w:t xml:space="preserve"> in</w:t>
      </w:r>
      <w:r>
        <w:t xml:space="preserve"> the </w:t>
      </w:r>
      <w:r w:rsidRPr="00FE37E4">
        <w:rPr>
          <w:i/>
        </w:rPr>
        <w:t>H Block R</w:t>
      </w:r>
      <w:r w:rsidR="00383B26">
        <w:rPr>
          <w:i/>
        </w:rPr>
        <w:t>&amp;</w:t>
      </w:r>
      <w:r w:rsidRPr="00FE37E4">
        <w:rPr>
          <w:i/>
        </w:rPr>
        <w:t>O</w:t>
      </w:r>
      <w:r>
        <w:t>, FCC 13-88, adopts flexible use rules for 10 megahertz of spectrum in the 1915-1920 MHz and 1995-2000 MHz</w:t>
      </w:r>
      <w:r w:rsidR="00A7300B">
        <w:t xml:space="preserve"> spectrum bands (H Block)</w:t>
      </w:r>
      <w:r>
        <w:t xml:space="preserve"> that would increase the nation’s supply of spectrum for mobile broadband.  We adopt H Block terrestrial service rules, modified as necessary to account for issues unique to the H Block bands.  First, </w:t>
      </w:r>
      <w:r w:rsidR="00CB12D6">
        <w:t xml:space="preserve">we </w:t>
      </w:r>
      <w:r w:rsidR="00A7300B">
        <w:t>find the spectrum is properly allocated for commercial use as required by the Spectrum Act.  Second, we determine the H Block can be used without causing harmful interference</w:t>
      </w:r>
      <w:r w:rsidR="00CB12D6">
        <w:t xml:space="preserve"> to PCS operations in the 1930-1995 MHz band.  Third, </w:t>
      </w:r>
      <w:r>
        <w:t xml:space="preserve">we establish 1915-1920 MHz paired with 1995-2000 MHz as the H Block band plan.  </w:t>
      </w:r>
      <w:r w:rsidR="00CB12D6">
        <w:t xml:space="preserve">Fourth, we adopt technical rules that authorize mobile and fixed </w:t>
      </w:r>
      <w:r w:rsidR="00CB12D6">
        <w:lastRenderedPageBreak/>
        <w:t xml:space="preserve">operations in the bands and protect operations in adjacent and nearby spectrum bands from harmful interference pursuant to the requirements of the Spectrum Act.  Fifth, </w:t>
      </w:r>
      <w:r w:rsidR="00214A83">
        <w:t xml:space="preserve">we adopt cost sharing rules that require H Block licensees to pay a pro rata share of expenses incurred through clearing the 1915-1920 MHz and 1995-2000 MHz bands.  Sixth, </w:t>
      </w:r>
      <w:r w:rsidR="00CB12D6">
        <w:t>we adopt a variety of flexible use regulatory, licensing, and operating rules for H Block licensees.</w:t>
      </w:r>
      <w:r w:rsidR="00214A83">
        <w:t xml:space="preserve">  Seventh, </w:t>
      </w:r>
      <w:r w:rsidR="0071268B">
        <w:t>we adopt performance requirements for the H Block spectrum.  Specifically, a licensee of H Block will be subject to build-out requirements that require a licensee to provide terrestrial signal coverage and offer terrestrial service to at least 40 percent of its license areas’ population within four years, and to at least 75 percent of the population in each of its license areas within ten years</w:t>
      </w:r>
      <w:r w:rsidR="00383B26">
        <w:t xml:space="preserve">, and to appropriate penalties if these benchmarks are not met.  Eighth, </w:t>
      </w:r>
      <w:r w:rsidR="00214A83">
        <w:t>we adopt procedures to assign H Block licenses through a system of competitive bidding.</w:t>
      </w:r>
    </w:p>
    <w:p w:rsidR="00A3686F" w:rsidRPr="005440B9" w:rsidRDefault="00C34506" w:rsidP="00C27E6F">
      <w:pPr>
        <w:spacing w:after="220"/>
        <w:ind w:firstLine="720"/>
      </w:pPr>
      <w:r w:rsidRPr="00FC709D">
        <w:t>The following is a description of each rule section requirement for which the Commission seeks OMB approval:</w:t>
      </w:r>
    </w:p>
    <w:p w:rsidR="00C34506" w:rsidRPr="00FE37E4" w:rsidRDefault="00C27E6F" w:rsidP="00214A83">
      <w:pPr>
        <w:numPr>
          <w:ilvl w:val="0"/>
          <w:numId w:val="14"/>
        </w:numPr>
        <w:autoSpaceDE w:val="0"/>
        <w:autoSpaceDN w:val="0"/>
        <w:spacing w:after="220"/>
        <w:rPr>
          <w:bCs/>
        </w:rPr>
      </w:pPr>
      <w:r w:rsidRPr="00214A83">
        <w:rPr>
          <w:b/>
        </w:rPr>
        <w:t>Section 1.946(d)</w:t>
      </w:r>
      <w:r w:rsidRPr="00FC709D">
        <w:t xml:space="preserve"> requires </w:t>
      </w:r>
      <w:r>
        <w:t>H Block</w:t>
      </w:r>
      <w:r w:rsidRPr="00214A83">
        <w:rPr>
          <w:color w:val="000000"/>
        </w:rPr>
        <w:t xml:space="preserve"> licensees to file a construction notification and certify that they have met the applicable performance benchmarks.</w:t>
      </w:r>
    </w:p>
    <w:p w:rsidR="002B5D85" w:rsidRPr="002B5D85" w:rsidRDefault="001C5F77" w:rsidP="002B5D85">
      <w:pPr>
        <w:numPr>
          <w:ilvl w:val="0"/>
          <w:numId w:val="14"/>
        </w:numPr>
        <w:autoSpaceDE w:val="0"/>
        <w:autoSpaceDN w:val="0"/>
        <w:spacing w:after="220"/>
        <w:rPr>
          <w:color w:val="000000"/>
        </w:rPr>
      </w:pPr>
      <w:r>
        <w:rPr>
          <w:b/>
          <w:color w:val="000000"/>
        </w:rPr>
        <w:t>Section 1.2105(a)</w:t>
      </w:r>
      <w:r w:rsidR="007973A4">
        <w:rPr>
          <w:b/>
          <w:color w:val="000000"/>
        </w:rPr>
        <w:t>(2)(xii)</w:t>
      </w:r>
      <w:r w:rsidR="002B5D85">
        <w:rPr>
          <w:color w:val="000000"/>
        </w:rPr>
        <w:t xml:space="preserve"> requires </w:t>
      </w:r>
      <w:r w:rsidR="00295CB6">
        <w:rPr>
          <w:color w:val="000000"/>
        </w:rPr>
        <w:t xml:space="preserve">applicants for spectrum licensed pursuant to the Spectrum Act, including </w:t>
      </w:r>
      <w:r w:rsidR="002B5D85">
        <w:rPr>
          <w:color w:val="000000"/>
        </w:rPr>
        <w:t xml:space="preserve">H Block </w:t>
      </w:r>
      <w:r w:rsidR="005D6B2C">
        <w:rPr>
          <w:color w:val="000000"/>
        </w:rPr>
        <w:t>applicants</w:t>
      </w:r>
      <w:r w:rsidR="00295CB6">
        <w:rPr>
          <w:color w:val="000000"/>
        </w:rPr>
        <w:t>,</w:t>
      </w:r>
      <w:r w:rsidR="002B5D85">
        <w:rPr>
          <w:color w:val="000000"/>
        </w:rPr>
        <w:t xml:space="preserve"> to certify that they have not been barred </w:t>
      </w:r>
      <w:r w:rsidR="00206EC9">
        <w:rPr>
          <w:color w:val="000000"/>
        </w:rPr>
        <w:t xml:space="preserve">for reasons of national security </w:t>
      </w:r>
      <w:r w:rsidR="002B5D85">
        <w:rPr>
          <w:color w:val="000000"/>
        </w:rPr>
        <w:t>by any federal government agency from bidding on a contract, participating in a</w:t>
      </w:r>
      <w:r w:rsidR="00206EC9">
        <w:rPr>
          <w:color w:val="000000"/>
        </w:rPr>
        <w:t>n auction, or receiving a grant</w:t>
      </w:r>
      <w:r w:rsidR="002B5D85">
        <w:rPr>
          <w:color w:val="000000"/>
        </w:rPr>
        <w:t>.</w:t>
      </w:r>
    </w:p>
    <w:p w:rsidR="00C34506" w:rsidRPr="005440B9" w:rsidRDefault="00C34506" w:rsidP="00C34506">
      <w:pPr>
        <w:numPr>
          <w:ilvl w:val="0"/>
          <w:numId w:val="14"/>
        </w:numPr>
        <w:autoSpaceDE w:val="0"/>
        <w:autoSpaceDN w:val="0"/>
        <w:spacing w:after="220"/>
        <w:rPr>
          <w:color w:val="000000"/>
        </w:rPr>
      </w:pPr>
      <w:r w:rsidRPr="00FC709D">
        <w:rPr>
          <w:b/>
        </w:rPr>
        <w:t xml:space="preserve">Section 27.10(d) </w:t>
      </w:r>
      <w:r w:rsidRPr="00FC709D">
        <w:t>r</w:t>
      </w:r>
      <w:r w:rsidRPr="00FC709D">
        <w:rPr>
          <w:color w:val="000000"/>
        </w:rPr>
        <w:t xml:space="preserve">equires </w:t>
      </w:r>
      <w:r w:rsidR="002D22EF">
        <w:rPr>
          <w:color w:val="000000"/>
        </w:rPr>
        <w:t xml:space="preserve">an </w:t>
      </w:r>
      <w:r>
        <w:t>H Block</w:t>
      </w:r>
      <w:r w:rsidRPr="00FC709D">
        <w:rPr>
          <w:color w:val="000000"/>
        </w:rPr>
        <w:t xml:space="preserve"> licensee to notify the Commission within 30 days if </w:t>
      </w:r>
      <w:r>
        <w:rPr>
          <w:color w:val="000000"/>
        </w:rPr>
        <w:t>it</w:t>
      </w:r>
      <w:r w:rsidRPr="00FC709D">
        <w:rPr>
          <w:color w:val="000000"/>
        </w:rPr>
        <w:t xml:space="preserve"> </w:t>
      </w:r>
      <w:r w:rsidRPr="00FC709D">
        <w:t>changes, or adds to, the carrier status on its license.</w:t>
      </w:r>
      <w:r w:rsidR="00206EC9">
        <w:t xml:space="preserve"> </w:t>
      </w:r>
    </w:p>
    <w:p w:rsidR="0080541F" w:rsidRPr="003B30F9" w:rsidRDefault="00C34506" w:rsidP="00191CDB">
      <w:pPr>
        <w:numPr>
          <w:ilvl w:val="0"/>
          <w:numId w:val="14"/>
        </w:numPr>
        <w:autoSpaceDE w:val="0"/>
        <w:autoSpaceDN w:val="0"/>
        <w:spacing w:after="220"/>
        <w:rPr>
          <w:color w:val="000000"/>
        </w:rPr>
      </w:pPr>
      <w:r w:rsidRPr="00FC709D">
        <w:rPr>
          <w:b/>
        </w:rPr>
        <w:t xml:space="preserve">Section 27.12 </w:t>
      </w:r>
      <w:r w:rsidRPr="00FC709D">
        <w:t>r</w:t>
      </w:r>
      <w:r w:rsidRPr="00FC709D">
        <w:rPr>
          <w:color w:val="000000"/>
        </w:rPr>
        <w:t xml:space="preserve">equires </w:t>
      </w:r>
      <w:r>
        <w:t>H Block</w:t>
      </w:r>
      <w:r w:rsidRPr="00FC709D">
        <w:rPr>
          <w:color w:val="000000"/>
        </w:rPr>
        <w:t xml:space="preserve"> licensees to comply with </w:t>
      </w:r>
      <w:r w:rsidRPr="00FC709D">
        <w:t>certain foreign ownership reporting requirements.</w:t>
      </w:r>
    </w:p>
    <w:p w:rsidR="00214A83" w:rsidRPr="00FE37E4" w:rsidRDefault="00214A83" w:rsidP="003B30F9">
      <w:pPr>
        <w:numPr>
          <w:ilvl w:val="0"/>
          <w:numId w:val="14"/>
        </w:numPr>
        <w:autoSpaceDE w:val="0"/>
        <w:autoSpaceDN w:val="0"/>
        <w:spacing w:after="220"/>
        <w:rPr>
          <w:color w:val="000000"/>
        </w:rPr>
      </w:pPr>
      <w:r w:rsidRPr="00980F5E">
        <w:rPr>
          <w:b/>
          <w:color w:val="000000"/>
        </w:rPr>
        <w:t xml:space="preserve">Section </w:t>
      </w:r>
      <w:r>
        <w:rPr>
          <w:b/>
          <w:color w:val="000000"/>
        </w:rPr>
        <w:t>27.14</w:t>
      </w:r>
      <w:r w:rsidRPr="00980F5E">
        <w:rPr>
          <w:color w:val="000000"/>
        </w:rPr>
        <w:t xml:space="preserve"> requires </w:t>
      </w:r>
      <w:r>
        <w:t>H Block</w:t>
      </w:r>
      <w:r w:rsidRPr="00980F5E">
        <w:rPr>
          <w:color w:val="000000"/>
        </w:rPr>
        <w:t xml:space="preserve"> licensees to file license renewal applications.  Included in the application should be a detailed description of: </w:t>
      </w:r>
      <w:r w:rsidRPr="00980F5E">
        <w:rPr>
          <w:bCs/>
        </w:rPr>
        <w:t>(1) the level and quality of service provided by the applicant; (2) the date service commenced; (3) whether service was ever interrupted; (4) the duration of any interruption or outage; (5) the extent to which service is provided to rural areas; (6) the extent to which ser</w:t>
      </w:r>
      <w:r>
        <w:rPr>
          <w:bCs/>
        </w:rPr>
        <w:t>vice is provided to qualifying T</w:t>
      </w:r>
      <w:r w:rsidRPr="00980F5E">
        <w:rPr>
          <w:bCs/>
        </w:rPr>
        <w:t>ribal land</w:t>
      </w:r>
      <w:r>
        <w:rPr>
          <w:bCs/>
        </w:rPr>
        <w:t>s</w:t>
      </w:r>
      <w:r w:rsidRPr="00980F5E">
        <w:rPr>
          <w:bCs/>
        </w:rPr>
        <w:t>; and (7) any other factors associated with the level of service to the public.</w:t>
      </w:r>
    </w:p>
    <w:p w:rsidR="00383B26" w:rsidRDefault="003B30F9" w:rsidP="00FE37E4">
      <w:pPr>
        <w:numPr>
          <w:ilvl w:val="0"/>
          <w:numId w:val="14"/>
        </w:numPr>
        <w:autoSpaceDE w:val="0"/>
        <w:autoSpaceDN w:val="0"/>
        <w:spacing w:after="220"/>
        <w:rPr>
          <w:color w:val="000000"/>
        </w:rPr>
      </w:pPr>
      <w:r w:rsidRPr="00FC709D">
        <w:rPr>
          <w:b/>
        </w:rPr>
        <w:t xml:space="preserve">Section 27.17 </w:t>
      </w:r>
      <w:r w:rsidRPr="00FC709D">
        <w:rPr>
          <w:color w:val="000000"/>
        </w:rPr>
        <w:t>requires</w:t>
      </w:r>
      <w:r>
        <w:rPr>
          <w:color w:val="000000"/>
        </w:rPr>
        <w:t xml:space="preserve"> H Block </w:t>
      </w:r>
      <w:r w:rsidRPr="00FC709D">
        <w:rPr>
          <w:color w:val="000000"/>
        </w:rPr>
        <w:t xml:space="preserve">licensees to notify the Commission within </w:t>
      </w:r>
      <w:r>
        <w:rPr>
          <w:color w:val="000000"/>
        </w:rPr>
        <w:t>ten</w:t>
      </w:r>
      <w:r w:rsidRPr="00FC709D">
        <w:rPr>
          <w:color w:val="000000"/>
        </w:rPr>
        <w:t xml:space="preserve"> days if they </w:t>
      </w:r>
      <w:r w:rsidRPr="00FC709D">
        <w:t>permanently discontinue service by filing FCC Form 601 or 605 and requesting license cancellation</w:t>
      </w:r>
      <w:r w:rsidR="0080541F" w:rsidRPr="00FC709D">
        <w:t>.</w:t>
      </w:r>
      <w:r w:rsidR="0080541F" w:rsidRPr="003B30F9">
        <w:rPr>
          <w:color w:val="000000"/>
        </w:rPr>
        <w:t xml:space="preserve">  </w:t>
      </w:r>
    </w:p>
    <w:p w:rsidR="00383B26" w:rsidRPr="00FE37E4" w:rsidRDefault="00383B26" w:rsidP="00FE37E4">
      <w:pPr>
        <w:spacing w:after="220"/>
        <w:ind w:firstLine="720"/>
        <w:rPr>
          <w:color w:val="000000"/>
        </w:rPr>
      </w:pPr>
      <w:r w:rsidRPr="00FC709D">
        <w:t xml:space="preserve">Statutory authority for these collections are contained in </w:t>
      </w:r>
      <w:r>
        <w:t xml:space="preserve">15 U.S.C. 79 et seq.; </w:t>
      </w:r>
      <w:r w:rsidRPr="00FC709D">
        <w:t xml:space="preserve">47 U.S.C. </w:t>
      </w:r>
      <w:r>
        <w:t>§§ 151, 154(</w:t>
      </w:r>
      <w:proofErr w:type="spellStart"/>
      <w:r>
        <w:t>i</w:t>
      </w:r>
      <w:proofErr w:type="spellEnd"/>
      <w:r>
        <w:t>), 154(j), 155, 157, 225, 227, 303(r), 309, 1404, and 1451.</w:t>
      </w:r>
    </w:p>
    <w:p w:rsidR="00383B26" w:rsidRPr="003B30F9" w:rsidRDefault="00383B26" w:rsidP="00FE37E4">
      <w:pPr>
        <w:spacing w:after="220"/>
        <w:ind w:firstLine="720"/>
        <w:rPr>
          <w:color w:val="000000"/>
        </w:rPr>
      </w:pPr>
      <w:r w:rsidRPr="00FC709D">
        <w:t xml:space="preserve">As noted on the Form 83-i, these information collections do not affect individuals or households; thus, there are no impacts under the Privacy Act.  </w:t>
      </w:r>
    </w:p>
    <w:p w:rsidR="00C34506" w:rsidRPr="00CC21F2" w:rsidRDefault="00C34506" w:rsidP="00C34506">
      <w:pPr>
        <w:pStyle w:val="ParaNum"/>
        <w:numPr>
          <w:ilvl w:val="0"/>
          <w:numId w:val="0"/>
        </w:numPr>
        <w:spacing w:after="220"/>
        <w:rPr>
          <w:lang w:val="en-US"/>
        </w:rPr>
      </w:pPr>
      <w:r w:rsidRPr="00FC709D">
        <w:rPr>
          <w:b/>
          <w:lang w:val="en-US"/>
        </w:rPr>
        <w:t>2</w:t>
      </w:r>
      <w:r w:rsidRPr="00FC709D">
        <w:rPr>
          <w:b/>
        </w:rPr>
        <w:t>.</w:t>
      </w:r>
      <w:r w:rsidRPr="00FC709D">
        <w:tab/>
      </w:r>
      <w:r w:rsidR="005E78E2">
        <w:rPr>
          <w:i/>
          <w:szCs w:val="24"/>
        </w:rPr>
        <w:t xml:space="preserve">Use of information.  </w:t>
      </w:r>
      <w:r w:rsidRPr="00FC709D">
        <w:rPr>
          <w:lang w:val="en-US"/>
        </w:rPr>
        <w:t xml:space="preserve">The Commission will use the information to ensure </w:t>
      </w:r>
      <w:r>
        <w:t>H Block</w:t>
      </w:r>
      <w:r w:rsidRPr="00FC709D">
        <w:t xml:space="preserve"> licensees</w:t>
      </w:r>
      <w:r w:rsidRPr="00FC709D">
        <w:rPr>
          <w:lang w:val="en-US"/>
        </w:rPr>
        <w:t>’</w:t>
      </w:r>
      <w:r w:rsidRPr="00FC709D">
        <w:t xml:space="preserve"> compliance with required filings of notifications, certifications, regulatory status changes, and applicable performance benchmarks.  Also, such information will be used to verify whether </w:t>
      </w:r>
      <w:r>
        <w:t>H Block</w:t>
      </w:r>
      <w:r w:rsidRPr="00FC709D">
        <w:t xml:space="preserve"> applicants </w:t>
      </w:r>
      <w:r w:rsidR="001E4FD8">
        <w:rPr>
          <w:lang w:val="en-US"/>
        </w:rPr>
        <w:t xml:space="preserve">and, in the context of the national security certification requirement, whether other applicants for Spectrum Act licenses </w:t>
      </w:r>
      <w:r w:rsidRPr="00FC709D">
        <w:t>are legally and technically qualified to hold licenses</w:t>
      </w:r>
      <w:r>
        <w:t>;</w:t>
      </w:r>
      <w:r w:rsidRPr="00FC709D">
        <w:t xml:space="preserve"> and to determine compliance with </w:t>
      </w:r>
      <w:r w:rsidRPr="00CC21F2">
        <w:t>Commission rules.</w:t>
      </w:r>
      <w:r w:rsidRPr="00CC21F2">
        <w:rPr>
          <w:lang w:val="en-US"/>
        </w:rPr>
        <w:t xml:space="preserve">  </w:t>
      </w:r>
      <w:r w:rsidRPr="00CC21F2">
        <w:t>Any submissions made through the Universal Licensing Syste</w:t>
      </w:r>
      <w:r w:rsidR="003306C3" w:rsidRPr="00CC21F2">
        <w:rPr>
          <w:lang w:val="en-US"/>
        </w:rPr>
        <w:t>m</w:t>
      </w:r>
      <w:r w:rsidRPr="00CC21F2">
        <w:t xml:space="preserve"> must be filed electronically.  </w:t>
      </w:r>
    </w:p>
    <w:p w:rsidR="00B310D2" w:rsidRPr="00B310D2" w:rsidRDefault="00914880" w:rsidP="00C34506">
      <w:pPr>
        <w:pStyle w:val="ParaNum"/>
        <w:numPr>
          <w:ilvl w:val="0"/>
          <w:numId w:val="0"/>
        </w:numPr>
        <w:spacing w:after="220"/>
        <w:rPr>
          <w:lang w:val="en-US"/>
        </w:rPr>
      </w:pPr>
      <w:r w:rsidRPr="00CC21F2">
        <w:rPr>
          <w:b/>
          <w:lang w:val="en-US"/>
        </w:rPr>
        <w:lastRenderedPageBreak/>
        <w:t>3</w:t>
      </w:r>
      <w:r w:rsidR="00C34506" w:rsidRPr="00CC21F2">
        <w:rPr>
          <w:b/>
        </w:rPr>
        <w:t>.</w:t>
      </w:r>
      <w:r w:rsidR="00C34506" w:rsidRPr="00CC21F2">
        <w:tab/>
      </w:r>
      <w:r w:rsidR="005E78E2">
        <w:rPr>
          <w:i/>
          <w:szCs w:val="24"/>
        </w:rPr>
        <w:t xml:space="preserve">Technological collection techniques.  </w:t>
      </w:r>
      <w:r w:rsidR="00B310D2" w:rsidRPr="00EC2A7C">
        <w:t xml:space="preserve">Before finalizing </w:t>
      </w:r>
      <w:r w:rsidR="00B310D2">
        <w:rPr>
          <w:lang w:val="en-US"/>
        </w:rPr>
        <w:t xml:space="preserve">this </w:t>
      </w:r>
      <w:r w:rsidR="00B310D2">
        <w:t>rulemaking</w:t>
      </w:r>
      <w:r w:rsidR="00B310D2" w:rsidRPr="00EC2A7C">
        <w:t xml:space="preserve">, WTB conducted an analysis to ensure that improved information technology could be used to reduce the burden on the public.  This analysis considers the possibility of obtaining and/or computer-generating the required data from existing data bases in the Commission or other Federal agencies.  The Commission encourages licensees to provide the requested information and notifications electronically in situations where licensees wish to use electronic means and the Commission’s regulations permit this approach.  Any submissions made through the Universal Licensing System (ULS) must be filed electronically.  Additionally, the clearinghouses use technological collection techniques, such as electronic filing, to reduce the burden on respondents.  </w:t>
      </w:r>
    </w:p>
    <w:p w:rsidR="00C34506" w:rsidRPr="00FC709D" w:rsidRDefault="00B310D2" w:rsidP="00C34506">
      <w:pPr>
        <w:pStyle w:val="ParaNum"/>
        <w:numPr>
          <w:ilvl w:val="0"/>
          <w:numId w:val="0"/>
        </w:numPr>
        <w:spacing w:after="220"/>
        <w:rPr>
          <w:lang w:val="en-US"/>
        </w:rPr>
      </w:pPr>
      <w:r>
        <w:rPr>
          <w:b/>
          <w:lang w:val="en-US"/>
        </w:rPr>
        <w:t xml:space="preserve">4. </w:t>
      </w:r>
      <w:r w:rsidR="005E78E2">
        <w:rPr>
          <w:b/>
          <w:lang w:val="en-US"/>
        </w:rPr>
        <w:t xml:space="preserve"> </w:t>
      </w:r>
      <w:r w:rsidR="002B5980">
        <w:rPr>
          <w:b/>
          <w:lang w:val="en-US"/>
        </w:rPr>
        <w:tab/>
      </w:r>
      <w:r w:rsidR="005E78E2">
        <w:rPr>
          <w:i/>
          <w:szCs w:val="24"/>
        </w:rPr>
        <w:t xml:space="preserve">Efforts to identify duplication.  </w:t>
      </w:r>
      <w:r w:rsidR="00707444">
        <w:rPr>
          <w:szCs w:val="24"/>
        </w:rPr>
        <w:t>There will be no duplicative information collected.  The information sought is unique to each respondent and is not already available because the Commission</w:t>
      </w:r>
      <w:r w:rsidR="00707444" w:rsidRPr="009F0C4A">
        <w:rPr>
          <w:szCs w:val="24"/>
        </w:rPr>
        <w:t xml:space="preserve"> does not impose a </w:t>
      </w:r>
      <w:r w:rsidR="00707444">
        <w:rPr>
          <w:szCs w:val="24"/>
        </w:rPr>
        <w:t xml:space="preserve">separate </w:t>
      </w:r>
      <w:r w:rsidR="00707444" w:rsidRPr="009F0C4A">
        <w:rPr>
          <w:szCs w:val="24"/>
        </w:rPr>
        <w:t xml:space="preserve">similar information collection on the respondents.  </w:t>
      </w:r>
      <w:r w:rsidR="00707444">
        <w:rPr>
          <w:szCs w:val="24"/>
        </w:rPr>
        <w:t>Thus, t</w:t>
      </w:r>
      <w:r w:rsidR="00707444" w:rsidRPr="009F0C4A">
        <w:rPr>
          <w:szCs w:val="24"/>
        </w:rPr>
        <w:t>here is no similar data available</w:t>
      </w:r>
      <w:r w:rsidR="00707444">
        <w:rPr>
          <w:szCs w:val="24"/>
        </w:rPr>
        <w:t xml:space="preserve"> under another information collection</w:t>
      </w:r>
      <w:r w:rsidR="00707444" w:rsidRPr="009F0C4A">
        <w:rPr>
          <w:szCs w:val="24"/>
        </w:rPr>
        <w:t>.</w:t>
      </w:r>
      <w:r w:rsidR="00707444">
        <w:rPr>
          <w:szCs w:val="24"/>
        </w:rPr>
        <w:t xml:space="preserve">  Moreover, the information proposed to be collected under the revised collection implements a new statutory requirement.</w:t>
      </w:r>
    </w:p>
    <w:p w:rsidR="00C34506" w:rsidRPr="00FC709D" w:rsidRDefault="00B310D2" w:rsidP="00C34506">
      <w:pPr>
        <w:pStyle w:val="ParaNum"/>
        <w:numPr>
          <w:ilvl w:val="0"/>
          <w:numId w:val="0"/>
        </w:numPr>
        <w:spacing w:after="220"/>
        <w:rPr>
          <w:lang w:val="en-US"/>
        </w:rPr>
      </w:pPr>
      <w:r>
        <w:rPr>
          <w:b/>
          <w:lang w:val="en-US"/>
        </w:rPr>
        <w:t>5</w:t>
      </w:r>
      <w:r w:rsidR="00C34506" w:rsidRPr="00FC709D">
        <w:rPr>
          <w:b/>
        </w:rPr>
        <w:t>.</w:t>
      </w:r>
      <w:r w:rsidR="00C34506" w:rsidRPr="00FC709D">
        <w:tab/>
      </w:r>
      <w:r w:rsidR="00707444">
        <w:rPr>
          <w:i/>
          <w:szCs w:val="24"/>
        </w:rPr>
        <w:t xml:space="preserve">Impact on small entities.  </w:t>
      </w:r>
      <w:r w:rsidR="00C34506" w:rsidRPr="00FC709D">
        <w:t>In conformance with the Paperwork Reduction Act of 1995</w:t>
      </w:r>
      <w:r w:rsidR="00A02052">
        <w:rPr>
          <w:lang w:val="en-US"/>
        </w:rPr>
        <w:t xml:space="preserve"> (“PRA”)</w:t>
      </w:r>
      <w:r w:rsidR="00C34506" w:rsidRPr="00FC709D">
        <w:t>, the Commission is making an effort to minimize burdens on all respondents, regardless of size.  The Commission has limited the information requirements to those absolutely necessary for evaluating compliance with Commission rules</w:t>
      </w:r>
      <w:r w:rsidR="00C34506" w:rsidRPr="00FC709D">
        <w:rPr>
          <w:lang w:val="en-US"/>
        </w:rPr>
        <w:t>.</w:t>
      </w:r>
      <w:r w:rsidR="00C34506" w:rsidRPr="00FC709D">
        <w:t xml:space="preserve"> </w:t>
      </w:r>
    </w:p>
    <w:p w:rsidR="00C34506" w:rsidRPr="00FC709D" w:rsidRDefault="00B310D2" w:rsidP="00C34506">
      <w:pPr>
        <w:pStyle w:val="ParaNum"/>
        <w:numPr>
          <w:ilvl w:val="0"/>
          <w:numId w:val="0"/>
        </w:numPr>
        <w:spacing w:after="220"/>
      </w:pPr>
      <w:r>
        <w:rPr>
          <w:b/>
          <w:lang w:val="en-US"/>
        </w:rPr>
        <w:t>6</w:t>
      </w:r>
      <w:r w:rsidR="00C34506" w:rsidRPr="00FC709D">
        <w:rPr>
          <w:b/>
        </w:rPr>
        <w:t>.</w:t>
      </w:r>
      <w:r w:rsidR="00C34506" w:rsidRPr="00FC709D">
        <w:rPr>
          <w:b/>
        </w:rPr>
        <w:tab/>
      </w:r>
      <w:r w:rsidR="00707444">
        <w:rPr>
          <w:i/>
          <w:szCs w:val="24"/>
        </w:rPr>
        <w:t xml:space="preserve">Consequences if information is not collected.  </w:t>
      </w:r>
      <w:r w:rsidR="00C34506" w:rsidRPr="00FC709D">
        <w:rPr>
          <w:lang w:val="en-US"/>
        </w:rPr>
        <w:t xml:space="preserve">The information collected will only be required </w:t>
      </w:r>
      <w:r w:rsidR="00EF2BFA">
        <w:rPr>
          <w:lang w:val="en-US"/>
        </w:rPr>
        <w:t xml:space="preserve">to apply to license the H Block and </w:t>
      </w:r>
      <w:r w:rsidR="00C34506" w:rsidRPr="00FC709D">
        <w:rPr>
          <w:lang w:val="en-US"/>
        </w:rPr>
        <w:t>when a</w:t>
      </w:r>
      <w:r w:rsidR="00C34506">
        <w:rPr>
          <w:lang w:val="en-US"/>
        </w:rPr>
        <w:t>n H Block</w:t>
      </w:r>
      <w:r w:rsidR="00C34506" w:rsidRPr="00FC709D">
        <w:t xml:space="preserve"> </w:t>
      </w:r>
      <w:r w:rsidR="00EF2BFA">
        <w:rPr>
          <w:lang w:val="en-US"/>
        </w:rPr>
        <w:t>licensee</w:t>
      </w:r>
      <w:r w:rsidR="00C34506" w:rsidRPr="00FC709D">
        <w:rPr>
          <w:lang w:val="en-US"/>
        </w:rPr>
        <w:t xml:space="preserve"> changes its regulatory status, or provides certain notifications or certifications to the Commission.  Therefore, the frequency of the filing would be determined by the applicant</w:t>
      </w:r>
      <w:r w:rsidR="00D612CC">
        <w:rPr>
          <w:lang w:val="en-US"/>
        </w:rPr>
        <w:t>/licensee</w:t>
      </w:r>
      <w:r w:rsidR="00C34506" w:rsidRPr="00FC709D">
        <w:rPr>
          <w:lang w:val="en-US"/>
        </w:rPr>
        <w:t>.  Renewal applications must be filed once every ten years.</w:t>
      </w:r>
      <w:r w:rsidR="00C34506" w:rsidRPr="00FC709D">
        <w:t xml:space="preserve">  </w:t>
      </w:r>
    </w:p>
    <w:p w:rsidR="00C34506" w:rsidRPr="00FC709D" w:rsidRDefault="00B310D2" w:rsidP="00C34506">
      <w:pPr>
        <w:pStyle w:val="ParaNum"/>
        <w:numPr>
          <w:ilvl w:val="0"/>
          <w:numId w:val="0"/>
        </w:numPr>
        <w:spacing w:after="220"/>
        <w:rPr>
          <w:lang w:val="en-US"/>
        </w:rPr>
      </w:pPr>
      <w:r>
        <w:rPr>
          <w:rFonts w:ascii="Times New Roman Bold" w:hAnsi="Times New Roman Bold"/>
          <w:b/>
          <w:lang w:val="en-US"/>
        </w:rPr>
        <w:t>7</w:t>
      </w:r>
      <w:r w:rsidR="00C34506" w:rsidRPr="005440B9">
        <w:rPr>
          <w:rFonts w:ascii="Times New Roman Bold" w:hAnsi="Times New Roman Bold"/>
          <w:b/>
        </w:rPr>
        <w:t>.</w:t>
      </w:r>
      <w:r w:rsidR="00C34506" w:rsidRPr="00FC709D">
        <w:tab/>
      </w:r>
      <w:r w:rsidR="00707444">
        <w:rPr>
          <w:i/>
          <w:szCs w:val="24"/>
        </w:rPr>
        <w:t xml:space="preserve">Special circumstances.  </w:t>
      </w:r>
      <w:r w:rsidR="00C34506" w:rsidRPr="00FC709D">
        <w:t>No special circumstances exist for this collection</w:t>
      </w:r>
      <w:r w:rsidR="00C34506">
        <w:t>.</w:t>
      </w:r>
    </w:p>
    <w:p w:rsidR="00C34506" w:rsidRPr="00FC709D" w:rsidRDefault="00B310D2" w:rsidP="00C34506">
      <w:pPr>
        <w:pStyle w:val="ParaNum"/>
        <w:numPr>
          <w:ilvl w:val="0"/>
          <w:numId w:val="0"/>
        </w:numPr>
        <w:spacing w:after="220"/>
        <w:rPr>
          <w:lang w:val="en-US"/>
        </w:rPr>
      </w:pPr>
      <w:r>
        <w:rPr>
          <w:b/>
          <w:lang w:val="en-US"/>
        </w:rPr>
        <w:t>8</w:t>
      </w:r>
      <w:r w:rsidR="00C34506" w:rsidRPr="00FC709D">
        <w:rPr>
          <w:lang w:val="en-US"/>
        </w:rPr>
        <w:t>.</w:t>
      </w:r>
      <w:r w:rsidR="00C34506" w:rsidRPr="00FC709D">
        <w:rPr>
          <w:lang w:val="en-US"/>
        </w:rPr>
        <w:tab/>
      </w:r>
      <w:r w:rsidR="00707444">
        <w:rPr>
          <w:i/>
          <w:szCs w:val="24"/>
        </w:rPr>
        <w:t xml:space="preserve">Federal Register notice; efforts to consult with persons outside the Commission.  </w:t>
      </w:r>
      <w:r w:rsidR="00C34506" w:rsidRPr="00FC709D">
        <w:rPr>
          <w:lang w:val="en-US"/>
        </w:rPr>
        <w:t>Pursuant to 5 C</w:t>
      </w:r>
      <w:r w:rsidR="0054671E">
        <w:rPr>
          <w:lang w:val="en-US"/>
        </w:rPr>
        <w:t>.</w:t>
      </w:r>
      <w:r w:rsidR="00C34506" w:rsidRPr="00FC709D">
        <w:rPr>
          <w:lang w:val="en-US"/>
        </w:rPr>
        <w:t>F</w:t>
      </w:r>
      <w:r w:rsidR="0054671E">
        <w:rPr>
          <w:lang w:val="en-US"/>
        </w:rPr>
        <w:t>.</w:t>
      </w:r>
      <w:r w:rsidR="00C34506" w:rsidRPr="00FC709D">
        <w:rPr>
          <w:lang w:val="en-US"/>
        </w:rPr>
        <w:t>R</w:t>
      </w:r>
      <w:r w:rsidR="0054671E">
        <w:rPr>
          <w:lang w:val="en-US"/>
        </w:rPr>
        <w:t>.</w:t>
      </w:r>
      <w:r w:rsidR="00C34506" w:rsidRPr="00FC709D">
        <w:rPr>
          <w:lang w:val="en-US"/>
        </w:rPr>
        <w:t xml:space="preserve"> </w:t>
      </w:r>
      <w:r w:rsidR="0054671E">
        <w:rPr>
          <w:lang w:val="en-US"/>
        </w:rPr>
        <w:t xml:space="preserve">§ </w:t>
      </w:r>
      <w:r w:rsidR="00C34506" w:rsidRPr="00FC709D">
        <w:rPr>
          <w:lang w:val="en-US"/>
        </w:rPr>
        <w:t xml:space="preserve">1320.11, the FCC published the </w:t>
      </w:r>
      <w:r w:rsidR="00214A83" w:rsidRPr="00B962F7">
        <w:rPr>
          <w:i/>
          <w:lang w:val="en-US"/>
        </w:rPr>
        <w:t xml:space="preserve">H Block </w:t>
      </w:r>
      <w:r w:rsidR="00FB1D21" w:rsidRPr="00B962F7">
        <w:rPr>
          <w:i/>
          <w:lang w:val="en-US"/>
        </w:rPr>
        <w:t>R&amp;O</w:t>
      </w:r>
      <w:r w:rsidR="00FB1D21">
        <w:rPr>
          <w:lang w:val="en-US"/>
        </w:rPr>
        <w:t xml:space="preserve"> in the Federal Register on</w:t>
      </w:r>
      <w:r w:rsidR="00B962F7">
        <w:rPr>
          <w:lang w:val="en-US"/>
        </w:rPr>
        <w:t xml:space="preserve"> </w:t>
      </w:r>
      <w:r w:rsidR="007973A4" w:rsidRPr="00B962F7">
        <w:rPr>
          <w:lang w:val="en-US"/>
        </w:rPr>
        <w:t xml:space="preserve">August 16, 2013 (78 Fed. </w:t>
      </w:r>
      <w:proofErr w:type="gramStart"/>
      <w:r w:rsidR="007973A4" w:rsidRPr="00B962F7">
        <w:rPr>
          <w:lang w:val="en-US"/>
        </w:rPr>
        <w:t>Reg. 50213)</w:t>
      </w:r>
      <w:r w:rsidR="00FB1D21" w:rsidRPr="00B962F7">
        <w:rPr>
          <w:lang w:val="en-US"/>
        </w:rPr>
        <w:t>.</w:t>
      </w:r>
      <w:proofErr w:type="gramEnd"/>
      <w:r w:rsidR="00FB1D21">
        <w:rPr>
          <w:lang w:val="en-US"/>
        </w:rPr>
        <w:t xml:space="preserve">  The FCC published the </w:t>
      </w:r>
      <w:r w:rsidR="00214A83" w:rsidRPr="00B962F7">
        <w:rPr>
          <w:i/>
          <w:lang w:val="en-US"/>
        </w:rPr>
        <w:t xml:space="preserve">H Block </w:t>
      </w:r>
      <w:r w:rsidR="00C34506" w:rsidRPr="00B962F7">
        <w:rPr>
          <w:i/>
          <w:lang w:val="en-US"/>
        </w:rPr>
        <w:t>NPRM</w:t>
      </w:r>
      <w:r w:rsidR="00C34506" w:rsidRPr="00FC709D">
        <w:rPr>
          <w:lang w:val="en-US"/>
        </w:rPr>
        <w:t xml:space="preserve"> in the Federal Register on </w:t>
      </w:r>
      <w:r w:rsidR="00765EBD">
        <w:rPr>
          <w:lang w:val="en-US"/>
        </w:rPr>
        <w:t xml:space="preserve">January 8, </w:t>
      </w:r>
      <w:r w:rsidR="00C34506" w:rsidRPr="00CB1F79">
        <w:rPr>
          <w:lang w:val="en-US"/>
        </w:rPr>
        <w:t>201</w:t>
      </w:r>
      <w:r w:rsidR="00016CBA">
        <w:rPr>
          <w:lang w:val="en-US"/>
        </w:rPr>
        <w:t>3</w:t>
      </w:r>
      <w:r w:rsidR="00C34506" w:rsidRPr="00FC709D">
        <w:rPr>
          <w:lang w:val="en-US"/>
        </w:rPr>
        <w:t xml:space="preserve"> (</w:t>
      </w:r>
      <w:r w:rsidR="00765EBD" w:rsidRPr="00FC709D">
        <w:rPr>
          <w:lang w:val="en-US"/>
        </w:rPr>
        <w:t>7</w:t>
      </w:r>
      <w:r w:rsidR="00765EBD">
        <w:rPr>
          <w:lang w:val="en-US"/>
        </w:rPr>
        <w:t>8</w:t>
      </w:r>
      <w:r w:rsidR="00765EBD" w:rsidRPr="00FC709D">
        <w:rPr>
          <w:lang w:val="en-US"/>
        </w:rPr>
        <w:t xml:space="preserve"> </w:t>
      </w:r>
      <w:r w:rsidR="00C34506" w:rsidRPr="00FC709D">
        <w:rPr>
          <w:lang w:val="en-US"/>
        </w:rPr>
        <w:t>F</w:t>
      </w:r>
      <w:r w:rsidR="00B962F7">
        <w:rPr>
          <w:lang w:val="en-US"/>
        </w:rPr>
        <w:t xml:space="preserve">ed. </w:t>
      </w:r>
      <w:proofErr w:type="gramStart"/>
      <w:r w:rsidR="00C34506" w:rsidRPr="00FC709D">
        <w:rPr>
          <w:lang w:val="en-US"/>
        </w:rPr>
        <w:t>R</w:t>
      </w:r>
      <w:r w:rsidR="00B962F7">
        <w:rPr>
          <w:lang w:val="en-US"/>
        </w:rPr>
        <w:t>eg.</w:t>
      </w:r>
      <w:r w:rsidR="00C34506" w:rsidRPr="00FC709D">
        <w:rPr>
          <w:lang w:val="en-US"/>
        </w:rPr>
        <w:t xml:space="preserve"> </w:t>
      </w:r>
      <w:r w:rsidR="00765EBD">
        <w:rPr>
          <w:lang w:val="en-US"/>
        </w:rPr>
        <w:t>1166</w:t>
      </w:r>
      <w:r w:rsidR="00C34506" w:rsidRPr="00FC709D">
        <w:rPr>
          <w:lang w:val="en-US"/>
        </w:rPr>
        <w:t>).</w:t>
      </w:r>
      <w:proofErr w:type="gramEnd"/>
      <w:r w:rsidR="00C34506" w:rsidRPr="00FC709D">
        <w:rPr>
          <w:lang w:val="en-US"/>
        </w:rPr>
        <w:t xml:space="preserve">  At the time of submission to OMB, no PRA comments have been received.</w:t>
      </w:r>
    </w:p>
    <w:p w:rsidR="00C34506" w:rsidRPr="00FC709D" w:rsidRDefault="00B310D2" w:rsidP="00C34506">
      <w:pPr>
        <w:pStyle w:val="ParaNum"/>
        <w:numPr>
          <w:ilvl w:val="0"/>
          <w:numId w:val="0"/>
        </w:numPr>
        <w:spacing w:after="220"/>
        <w:rPr>
          <w:lang w:val="en-US"/>
        </w:rPr>
      </w:pPr>
      <w:r>
        <w:rPr>
          <w:b/>
          <w:lang w:val="en-US"/>
        </w:rPr>
        <w:t>9</w:t>
      </w:r>
      <w:r w:rsidR="00C34506" w:rsidRPr="00FC709D">
        <w:rPr>
          <w:lang w:val="en-US"/>
        </w:rPr>
        <w:t>.</w:t>
      </w:r>
      <w:r w:rsidR="00C34506" w:rsidRPr="00FC709D">
        <w:rPr>
          <w:lang w:val="en-US"/>
        </w:rPr>
        <w:tab/>
      </w:r>
      <w:r w:rsidR="00707444">
        <w:rPr>
          <w:i/>
          <w:szCs w:val="24"/>
        </w:rPr>
        <w:t xml:space="preserve">Payments or gifts to respondents.  </w:t>
      </w:r>
      <w:r w:rsidR="00C34506" w:rsidRPr="00FC709D">
        <w:rPr>
          <w:lang w:val="en-US"/>
        </w:rPr>
        <w:t xml:space="preserve">Respondents will not receive any payments.  </w:t>
      </w:r>
    </w:p>
    <w:p w:rsidR="00C34506" w:rsidRPr="00FC709D" w:rsidRDefault="00B310D2" w:rsidP="00C34506">
      <w:pPr>
        <w:pStyle w:val="ParaNum"/>
        <w:numPr>
          <w:ilvl w:val="0"/>
          <w:numId w:val="0"/>
        </w:numPr>
        <w:spacing w:after="220"/>
      </w:pPr>
      <w:r>
        <w:rPr>
          <w:b/>
          <w:lang w:val="en-US"/>
        </w:rPr>
        <w:t>10</w:t>
      </w:r>
      <w:r w:rsidR="00C34506" w:rsidRPr="00FC709D">
        <w:rPr>
          <w:lang w:val="en-US"/>
        </w:rPr>
        <w:t>.</w:t>
      </w:r>
      <w:r w:rsidR="00C34506" w:rsidRPr="00FC709D">
        <w:rPr>
          <w:lang w:val="en-US"/>
        </w:rPr>
        <w:tab/>
      </w:r>
      <w:r w:rsidR="00707444">
        <w:rPr>
          <w:i/>
          <w:szCs w:val="24"/>
        </w:rPr>
        <w:t xml:space="preserve">Assurances of confidentiality.  </w:t>
      </w:r>
      <w:r w:rsidR="00C34506" w:rsidRPr="00FC709D">
        <w:rPr>
          <w:lang w:val="en-US"/>
        </w:rPr>
        <w:t>There is no need for confidentiality</w:t>
      </w:r>
      <w:r w:rsidR="00C34506" w:rsidRPr="00FC709D">
        <w:t xml:space="preserve">.   </w:t>
      </w:r>
    </w:p>
    <w:p w:rsidR="00C34506" w:rsidRPr="00FC709D" w:rsidRDefault="00C34506" w:rsidP="00C34506">
      <w:pPr>
        <w:pStyle w:val="ParaNum"/>
        <w:numPr>
          <w:ilvl w:val="0"/>
          <w:numId w:val="0"/>
        </w:numPr>
        <w:spacing w:after="220"/>
      </w:pPr>
      <w:r w:rsidRPr="00FC709D">
        <w:rPr>
          <w:b/>
        </w:rPr>
        <w:t>1</w:t>
      </w:r>
      <w:r w:rsidR="00B310D2">
        <w:rPr>
          <w:b/>
          <w:lang w:val="en-US"/>
        </w:rPr>
        <w:t>1</w:t>
      </w:r>
      <w:r w:rsidRPr="00FC709D">
        <w:rPr>
          <w:b/>
        </w:rPr>
        <w:t>.</w:t>
      </w:r>
      <w:r w:rsidRPr="00FC709D">
        <w:tab/>
      </w:r>
      <w:r w:rsidR="00707444">
        <w:rPr>
          <w:i/>
          <w:szCs w:val="24"/>
        </w:rPr>
        <w:t xml:space="preserve">Questions of a sensitive nature.  </w:t>
      </w:r>
      <w:r w:rsidRPr="00FC709D">
        <w:t xml:space="preserve">The reporting and disclosure requirements described herein do not address any private matters of a sensitive nature.  </w:t>
      </w:r>
    </w:p>
    <w:p w:rsidR="00C34506" w:rsidRPr="00F7797A" w:rsidRDefault="00C34506" w:rsidP="00C34506">
      <w:pPr>
        <w:pStyle w:val="ParaNum"/>
        <w:numPr>
          <w:ilvl w:val="0"/>
          <w:numId w:val="0"/>
        </w:numPr>
        <w:spacing w:after="220"/>
        <w:rPr>
          <w:lang w:val="en-US"/>
        </w:rPr>
      </w:pPr>
      <w:r w:rsidRPr="00FC709D">
        <w:rPr>
          <w:b/>
        </w:rPr>
        <w:t>1</w:t>
      </w:r>
      <w:r w:rsidR="00B310D2">
        <w:rPr>
          <w:b/>
          <w:lang w:val="en-US"/>
        </w:rPr>
        <w:t>2</w:t>
      </w:r>
      <w:r w:rsidRPr="00FC709D">
        <w:rPr>
          <w:b/>
        </w:rPr>
        <w:t>.</w:t>
      </w:r>
      <w:r w:rsidRPr="00FC709D">
        <w:rPr>
          <w:b/>
        </w:rPr>
        <w:tab/>
      </w:r>
      <w:r w:rsidR="00707444">
        <w:rPr>
          <w:b/>
          <w:lang w:val="en-US"/>
        </w:rPr>
        <w:t xml:space="preserve">Estimate of </w:t>
      </w:r>
      <w:r w:rsidRPr="00FC709D">
        <w:rPr>
          <w:b/>
        </w:rPr>
        <w:t xml:space="preserve">Respondent Burden:  </w:t>
      </w:r>
      <w:r w:rsidRPr="00FC709D">
        <w:t xml:space="preserve">For purposes of this supporting statement, the Commission estimates that there will be </w:t>
      </w:r>
      <w:r w:rsidR="007973A4">
        <w:rPr>
          <w:lang w:val="en-US"/>
        </w:rPr>
        <w:t xml:space="preserve">100 </w:t>
      </w:r>
      <w:r w:rsidR="00400DFB">
        <w:rPr>
          <w:lang w:val="en-US"/>
        </w:rPr>
        <w:t xml:space="preserve">applicants and </w:t>
      </w:r>
      <w:r w:rsidR="007973A4">
        <w:rPr>
          <w:lang w:val="en-US"/>
        </w:rPr>
        <w:t xml:space="preserve">20 </w:t>
      </w:r>
      <w:r w:rsidR="00400DFB">
        <w:rPr>
          <w:lang w:val="en-US"/>
        </w:rPr>
        <w:t xml:space="preserve">licensees for the H Block </w:t>
      </w:r>
      <w:r w:rsidR="00C147BF">
        <w:rPr>
          <w:lang w:val="en-US"/>
        </w:rPr>
        <w:t>licenses.</w:t>
      </w:r>
      <w:r w:rsidR="003813BF">
        <w:rPr>
          <w:rStyle w:val="FootnoteReference"/>
          <w:lang w:val="en-US"/>
        </w:rPr>
        <w:footnoteReference w:id="2"/>
      </w:r>
      <w:r w:rsidR="00C147BF">
        <w:rPr>
          <w:lang w:val="en-US"/>
        </w:rPr>
        <w:t xml:space="preserve"> </w:t>
      </w:r>
      <w:r w:rsidR="00991B1D">
        <w:rPr>
          <w:lang w:val="en-US"/>
        </w:rPr>
        <w:t xml:space="preserve"> </w:t>
      </w:r>
    </w:p>
    <w:p w:rsidR="00C34506" w:rsidRDefault="00C34506" w:rsidP="00C34506">
      <w:pPr>
        <w:tabs>
          <w:tab w:val="left" w:pos="-720"/>
        </w:tabs>
        <w:suppressAutoHyphens/>
        <w:spacing w:after="220"/>
      </w:pPr>
      <w:r w:rsidRPr="00FC709D">
        <w:t xml:space="preserve">Please see the chart below for the number of respondents, frequency of response, time per response, total annual burden hours.  Our explanation of the estimates for each item follows the chart.  </w:t>
      </w:r>
    </w:p>
    <w:p w:rsidR="00F7797A" w:rsidRPr="00FC709D" w:rsidRDefault="00F7797A" w:rsidP="00C34506">
      <w:pPr>
        <w:tabs>
          <w:tab w:val="left" w:pos="-720"/>
        </w:tabs>
        <w:suppressAutoHyphens/>
        <w:spacing w:after="220"/>
      </w:pPr>
    </w:p>
    <w:p w:rsidR="00C34506" w:rsidRPr="00FC709D" w:rsidRDefault="00C34506" w:rsidP="00C34506">
      <w:pPr>
        <w:suppressAutoHyphens/>
        <w:rPr>
          <w:spacing w:val="-3"/>
          <w:sz w:val="24"/>
          <w:szCs w:val="24"/>
        </w:rPr>
      </w:pPr>
    </w:p>
    <w:tbl>
      <w:tblPr>
        <w:tblW w:w="573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726"/>
        <w:gridCol w:w="1575"/>
        <w:gridCol w:w="1351"/>
        <w:gridCol w:w="1348"/>
        <w:gridCol w:w="1441"/>
      </w:tblGrid>
      <w:tr w:rsidR="00C34506" w:rsidRPr="00FC709D">
        <w:trPr>
          <w:tblHeader/>
        </w:trPr>
        <w:tc>
          <w:tcPr>
            <w:tcW w:w="245"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12-</w:t>
            </w:r>
          </w:p>
        </w:tc>
        <w:tc>
          <w:tcPr>
            <w:tcW w:w="2152" w:type="pct"/>
            <w:tcBorders>
              <w:bottom w:val="single" w:sz="4" w:space="0" w:color="auto"/>
            </w:tcBorders>
            <w:shd w:val="clear" w:color="auto" w:fill="C0C0C0"/>
            <w:vAlign w:val="center"/>
          </w:tcPr>
          <w:p w:rsidR="00C34506" w:rsidRPr="00FC709D" w:rsidRDefault="00C34506" w:rsidP="00C34506">
            <w:pPr>
              <w:rPr>
                <w:b/>
                <w:sz w:val="24"/>
                <w:szCs w:val="24"/>
              </w:rPr>
            </w:pPr>
            <w:r w:rsidRPr="00FC709D">
              <w:rPr>
                <w:b/>
                <w:sz w:val="24"/>
                <w:szCs w:val="24"/>
              </w:rPr>
              <w:t>Burden on Respondents</w:t>
            </w:r>
          </w:p>
        </w:tc>
        <w:tc>
          <w:tcPr>
            <w:tcW w:w="717"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Number of</w:t>
            </w:r>
          </w:p>
          <w:p w:rsidR="00C34506" w:rsidRPr="00FC709D" w:rsidRDefault="00C34506" w:rsidP="00C34506">
            <w:pPr>
              <w:jc w:val="center"/>
              <w:rPr>
                <w:b/>
                <w:sz w:val="24"/>
                <w:szCs w:val="24"/>
              </w:rPr>
            </w:pPr>
            <w:r w:rsidRPr="00FC709D">
              <w:rPr>
                <w:b/>
                <w:sz w:val="24"/>
                <w:szCs w:val="24"/>
              </w:rPr>
              <w:t>Respondents</w:t>
            </w:r>
          </w:p>
        </w:tc>
        <w:tc>
          <w:tcPr>
            <w:tcW w:w="615"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Frequency of Responses</w:t>
            </w:r>
          </w:p>
        </w:tc>
        <w:tc>
          <w:tcPr>
            <w:tcW w:w="614"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Time per</w:t>
            </w:r>
          </w:p>
          <w:p w:rsidR="00C34506" w:rsidRPr="00FC709D" w:rsidRDefault="00C34506" w:rsidP="00C34506">
            <w:pPr>
              <w:jc w:val="center"/>
              <w:rPr>
                <w:b/>
                <w:sz w:val="24"/>
                <w:szCs w:val="24"/>
              </w:rPr>
            </w:pPr>
            <w:r w:rsidRPr="00FC709D">
              <w:rPr>
                <w:b/>
                <w:sz w:val="24"/>
                <w:szCs w:val="24"/>
              </w:rPr>
              <w:t>Response</w:t>
            </w:r>
          </w:p>
          <w:p w:rsidR="00C34506" w:rsidRPr="00FC709D" w:rsidRDefault="00C34506" w:rsidP="00C34506">
            <w:pPr>
              <w:jc w:val="center"/>
              <w:rPr>
                <w:b/>
                <w:sz w:val="24"/>
                <w:szCs w:val="24"/>
              </w:rPr>
            </w:pPr>
            <w:r w:rsidRPr="00FC709D">
              <w:rPr>
                <w:b/>
                <w:sz w:val="24"/>
                <w:szCs w:val="24"/>
              </w:rPr>
              <w:t>(Hours)</w:t>
            </w:r>
          </w:p>
        </w:tc>
        <w:tc>
          <w:tcPr>
            <w:tcW w:w="656"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Total</w:t>
            </w:r>
          </w:p>
          <w:p w:rsidR="00C34506" w:rsidRPr="00FC709D" w:rsidRDefault="00C34506" w:rsidP="00C34506">
            <w:pPr>
              <w:jc w:val="center"/>
              <w:rPr>
                <w:b/>
                <w:sz w:val="24"/>
                <w:szCs w:val="24"/>
              </w:rPr>
            </w:pPr>
            <w:r w:rsidRPr="00FC709D">
              <w:rPr>
                <w:b/>
                <w:sz w:val="24"/>
                <w:szCs w:val="24"/>
              </w:rPr>
              <w:t>Annual Burden Hours</w:t>
            </w:r>
          </w:p>
        </w:tc>
      </w:tr>
      <w:tr w:rsidR="00C34506" w:rsidRPr="00FC709D">
        <w:tc>
          <w:tcPr>
            <w:tcW w:w="245" w:type="pct"/>
            <w:shd w:val="clear" w:color="auto" w:fill="FFFFFF"/>
            <w:vAlign w:val="center"/>
          </w:tcPr>
          <w:p w:rsidR="00C34506" w:rsidRPr="00FC709D" w:rsidRDefault="00C34506" w:rsidP="00C34506">
            <w:pPr>
              <w:jc w:val="center"/>
              <w:rPr>
                <w:bCs/>
                <w:sz w:val="24"/>
                <w:szCs w:val="24"/>
              </w:rPr>
            </w:pPr>
            <w:r w:rsidRPr="00FC709D">
              <w:rPr>
                <w:bCs/>
                <w:sz w:val="24"/>
                <w:szCs w:val="24"/>
              </w:rPr>
              <w:t>a.</w:t>
            </w:r>
          </w:p>
        </w:tc>
        <w:tc>
          <w:tcPr>
            <w:tcW w:w="2152" w:type="pct"/>
            <w:shd w:val="clear" w:color="auto" w:fill="FFFFFF"/>
            <w:vAlign w:val="center"/>
          </w:tcPr>
          <w:p w:rsidR="00C34506" w:rsidRPr="00FC709D" w:rsidRDefault="00C34506" w:rsidP="00FE37E4">
            <w:pPr>
              <w:rPr>
                <w:bCs/>
                <w:sz w:val="24"/>
                <w:szCs w:val="24"/>
              </w:rPr>
            </w:pPr>
            <w:r w:rsidRPr="00FC709D">
              <w:rPr>
                <w:bCs/>
                <w:sz w:val="24"/>
                <w:szCs w:val="24"/>
              </w:rPr>
              <w:t xml:space="preserve">§ 1.946(d) </w:t>
            </w:r>
            <w:r>
              <w:t>H Block</w:t>
            </w:r>
            <w:r w:rsidRPr="00FC709D">
              <w:t xml:space="preserve"> </w:t>
            </w:r>
            <w:r w:rsidRPr="00FC709D">
              <w:rPr>
                <w:bCs/>
                <w:sz w:val="24"/>
                <w:szCs w:val="24"/>
              </w:rPr>
              <w:t xml:space="preserve">Licensee Construction Notification, Certification, or Cancellation (Form 601 or Form 605)  </w:t>
            </w:r>
          </w:p>
        </w:tc>
        <w:tc>
          <w:tcPr>
            <w:tcW w:w="717"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c>
          <w:tcPr>
            <w:tcW w:w="615"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c>
          <w:tcPr>
            <w:tcW w:w="614"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c>
          <w:tcPr>
            <w:tcW w:w="656"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r>
      <w:tr w:rsidR="00C34506" w:rsidRPr="00FC709D">
        <w:tc>
          <w:tcPr>
            <w:tcW w:w="245" w:type="pct"/>
            <w:shd w:val="clear" w:color="auto" w:fill="FFFFFF"/>
            <w:vAlign w:val="center"/>
          </w:tcPr>
          <w:p w:rsidR="00C34506" w:rsidRPr="00FC709D" w:rsidRDefault="00C34506" w:rsidP="00C34506">
            <w:pPr>
              <w:jc w:val="center"/>
              <w:rPr>
                <w:bCs/>
                <w:sz w:val="24"/>
                <w:szCs w:val="24"/>
              </w:rPr>
            </w:pPr>
            <w:r w:rsidRPr="00FC709D">
              <w:rPr>
                <w:bCs/>
                <w:sz w:val="24"/>
                <w:szCs w:val="24"/>
              </w:rPr>
              <w:t>b.</w:t>
            </w:r>
          </w:p>
        </w:tc>
        <w:tc>
          <w:tcPr>
            <w:tcW w:w="2152" w:type="pct"/>
            <w:shd w:val="clear" w:color="auto" w:fill="FFFFFF"/>
            <w:vAlign w:val="center"/>
          </w:tcPr>
          <w:p w:rsidR="00C34506" w:rsidRPr="00FC709D" w:rsidRDefault="0071268B" w:rsidP="00FE37E4">
            <w:pPr>
              <w:rPr>
                <w:bCs/>
                <w:sz w:val="24"/>
                <w:szCs w:val="24"/>
              </w:rPr>
            </w:pPr>
            <w:r w:rsidRPr="00FC709D">
              <w:rPr>
                <w:bCs/>
                <w:sz w:val="24"/>
                <w:szCs w:val="24"/>
              </w:rPr>
              <w:t>§</w:t>
            </w:r>
            <w:r>
              <w:rPr>
                <w:bCs/>
                <w:sz w:val="24"/>
                <w:szCs w:val="24"/>
              </w:rPr>
              <w:t xml:space="preserve"> </w:t>
            </w:r>
            <w:r w:rsidRPr="001C5F77">
              <w:rPr>
                <w:color w:val="000000"/>
              </w:rPr>
              <w:t>1.2105(a)</w:t>
            </w:r>
            <w:r w:rsidR="00712CEA">
              <w:rPr>
                <w:color w:val="000000"/>
              </w:rPr>
              <w:t>(2)(xii)</w:t>
            </w:r>
            <w:r>
              <w:rPr>
                <w:sz w:val="24"/>
                <w:szCs w:val="24"/>
              </w:rPr>
              <w:t xml:space="preserve"> </w:t>
            </w:r>
            <w:r>
              <w:t>H Block</w:t>
            </w:r>
            <w:r>
              <w:rPr>
                <w:sz w:val="24"/>
                <w:szCs w:val="24"/>
              </w:rPr>
              <w:t xml:space="preserve"> Applicant National Security Certification</w:t>
            </w:r>
          </w:p>
        </w:tc>
        <w:tc>
          <w:tcPr>
            <w:tcW w:w="717" w:type="pct"/>
            <w:shd w:val="clear" w:color="auto" w:fill="FFFFFF"/>
            <w:vAlign w:val="center"/>
          </w:tcPr>
          <w:p w:rsidR="00C34506" w:rsidRPr="00FC709D" w:rsidRDefault="007973A4" w:rsidP="00C34506">
            <w:pPr>
              <w:jc w:val="center"/>
              <w:rPr>
                <w:bCs/>
                <w:sz w:val="24"/>
                <w:szCs w:val="24"/>
              </w:rPr>
            </w:pPr>
            <w:r>
              <w:rPr>
                <w:bCs/>
                <w:sz w:val="24"/>
                <w:szCs w:val="24"/>
              </w:rPr>
              <w:t>100</w:t>
            </w:r>
          </w:p>
        </w:tc>
        <w:tc>
          <w:tcPr>
            <w:tcW w:w="615" w:type="pct"/>
            <w:shd w:val="clear" w:color="auto" w:fill="FFFFFF"/>
            <w:vAlign w:val="center"/>
          </w:tcPr>
          <w:p w:rsidR="00C34506" w:rsidRPr="00FC709D" w:rsidRDefault="00C34506" w:rsidP="00C34506">
            <w:pPr>
              <w:jc w:val="center"/>
              <w:rPr>
                <w:bCs/>
                <w:sz w:val="24"/>
                <w:szCs w:val="24"/>
              </w:rPr>
            </w:pPr>
            <w:r w:rsidRPr="00FC709D">
              <w:rPr>
                <w:bCs/>
                <w:sz w:val="24"/>
                <w:szCs w:val="24"/>
              </w:rPr>
              <w:t>1</w:t>
            </w:r>
          </w:p>
          <w:p w:rsidR="00C34506" w:rsidRPr="00FC709D" w:rsidRDefault="00C34506" w:rsidP="00C34506">
            <w:pPr>
              <w:jc w:val="center"/>
              <w:rPr>
                <w:bCs/>
                <w:sz w:val="24"/>
                <w:szCs w:val="24"/>
              </w:rPr>
            </w:pPr>
          </w:p>
        </w:tc>
        <w:tc>
          <w:tcPr>
            <w:tcW w:w="614" w:type="pct"/>
            <w:shd w:val="clear" w:color="auto" w:fill="FFFFFF"/>
            <w:vAlign w:val="center"/>
          </w:tcPr>
          <w:p w:rsidR="00C34506" w:rsidRPr="00FC709D" w:rsidRDefault="007973A4" w:rsidP="00C34506">
            <w:pPr>
              <w:jc w:val="center"/>
              <w:rPr>
                <w:bCs/>
                <w:sz w:val="24"/>
                <w:szCs w:val="24"/>
              </w:rPr>
            </w:pPr>
            <w:r w:rsidRPr="009B623F">
              <w:rPr>
                <w:bCs/>
                <w:sz w:val="24"/>
                <w:szCs w:val="24"/>
              </w:rPr>
              <w:t>.25</w:t>
            </w:r>
          </w:p>
        </w:tc>
        <w:tc>
          <w:tcPr>
            <w:tcW w:w="656" w:type="pct"/>
            <w:shd w:val="clear" w:color="auto" w:fill="FFFFFF"/>
            <w:vAlign w:val="center"/>
          </w:tcPr>
          <w:p w:rsidR="00C34506" w:rsidRPr="00FC709D" w:rsidRDefault="00435A21" w:rsidP="009B623F">
            <w:pPr>
              <w:jc w:val="center"/>
              <w:rPr>
                <w:bCs/>
                <w:sz w:val="24"/>
                <w:szCs w:val="24"/>
              </w:rPr>
            </w:pPr>
            <w:r>
              <w:rPr>
                <w:bCs/>
                <w:sz w:val="24"/>
                <w:szCs w:val="24"/>
              </w:rPr>
              <w:t>25</w:t>
            </w:r>
          </w:p>
        </w:tc>
      </w:tr>
      <w:tr w:rsidR="001C5F77" w:rsidRPr="00FC709D">
        <w:tc>
          <w:tcPr>
            <w:tcW w:w="245" w:type="pct"/>
            <w:shd w:val="clear" w:color="auto" w:fill="FFFFFF"/>
          </w:tcPr>
          <w:p w:rsidR="001C5F77" w:rsidRPr="00FC709D" w:rsidRDefault="001C5F77" w:rsidP="00C34506">
            <w:pPr>
              <w:jc w:val="center"/>
              <w:rPr>
                <w:sz w:val="24"/>
                <w:szCs w:val="24"/>
              </w:rPr>
            </w:pPr>
            <w:r>
              <w:rPr>
                <w:sz w:val="24"/>
                <w:szCs w:val="24"/>
              </w:rPr>
              <w:t>c.</w:t>
            </w:r>
          </w:p>
        </w:tc>
        <w:tc>
          <w:tcPr>
            <w:tcW w:w="2152" w:type="pct"/>
            <w:shd w:val="clear" w:color="auto" w:fill="FFFFFF"/>
          </w:tcPr>
          <w:p w:rsidR="001C5F77" w:rsidRPr="00FC709D" w:rsidRDefault="0071268B" w:rsidP="00FE37E4">
            <w:pPr>
              <w:rPr>
                <w:sz w:val="24"/>
                <w:szCs w:val="24"/>
              </w:rPr>
            </w:pPr>
            <w:r w:rsidRPr="00FC709D">
              <w:rPr>
                <w:sz w:val="24"/>
                <w:szCs w:val="24"/>
              </w:rPr>
              <w:t xml:space="preserve">§ 27.10(d) </w:t>
            </w:r>
            <w:r>
              <w:t>H Block</w:t>
            </w:r>
            <w:r w:rsidRPr="00FC709D">
              <w:t xml:space="preserve"> </w:t>
            </w:r>
            <w:r w:rsidRPr="00FC709D">
              <w:rPr>
                <w:sz w:val="24"/>
                <w:szCs w:val="24"/>
              </w:rPr>
              <w:t>Licensee Change in Regulatory Status</w:t>
            </w:r>
          </w:p>
        </w:tc>
        <w:tc>
          <w:tcPr>
            <w:tcW w:w="717" w:type="pct"/>
            <w:shd w:val="clear" w:color="auto" w:fill="FFFFFF"/>
          </w:tcPr>
          <w:p w:rsidR="001C5F77" w:rsidRDefault="00552EC0" w:rsidP="00C34506">
            <w:pPr>
              <w:jc w:val="center"/>
              <w:rPr>
                <w:sz w:val="24"/>
                <w:szCs w:val="24"/>
              </w:rPr>
            </w:pPr>
            <w:r>
              <w:rPr>
                <w:bCs/>
                <w:sz w:val="24"/>
                <w:szCs w:val="24"/>
              </w:rPr>
              <w:t>2</w:t>
            </w:r>
          </w:p>
        </w:tc>
        <w:tc>
          <w:tcPr>
            <w:tcW w:w="615" w:type="pct"/>
            <w:shd w:val="clear" w:color="auto" w:fill="FFFFFF"/>
          </w:tcPr>
          <w:p w:rsidR="001C5F77" w:rsidRPr="00FC709D" w:rsidRDefault="0071268B" w:rsidP="00C34506">
            <w:pPr>
              <w:jc w:val="center"/>
              <w:rPr>
                <w:sz w:val="24"/>
                <w:szCs w:val="24"/>
              </w:rPr>
            </w:pPr>
            <w:r>
              <w:rPr>
                <w:bCs/>
                <w:sz w:val="24"/>
                <w:szCs w:val="24"/>
              </w:rPr>
              <w:t>On occasion</w:t>
            </w:r>
          </w:p>
        </w:tc>
        <w:tc>
          <w:tcPr>
            <w:tcW w:w="614" w:type="pct"/>
            <w:shd w:val="clear" w:color="auto" w:fill="FFFFFF"/>
          </w:tcPr>
          <w:p w:rsidR="001C5F77" w:rsidRPr="00FC709D" w:rsidRDefault="00CA2377" w:rsidP="00C34506">
            <w:pPr>
              <w:jc w:val="center"/>
              <w:rPr>
                <w:sz w:val="24"/>
                <w:szCs w:val="24"/>
              </w:rPr>
            </w:pPr>
            <w:r>
              <w:rPr>
                <w:bCs/>
                <w:sz w:val="24"/>
                <w:szCs w:val="24"/>
              </w:rPr>
              <w:t>.</w:t>
            </w:r>
            <w:r w:rsidR="00C147BF">
              <w:rPr>
                <w:bCs/>
                <w:sz w:val="24"/>
                <w:szCs w:val="24"/>
              </w:rPr>
              <w:t>2</w:t>
            </w:r>
            <w:r>
              <w:rPr>
                <w:bCs/>
                <w:sz w:val="24"/>
                <w:szCs w:val="24"/>
              </w:rPr>
              <w:t>5</w:t>
            </w:r>
          </w:p>
        </w:tc>
        <w:tc>
          <w:tcPr>
            <w:tcW w:w="656" w:type="pct"/>
            <w:shd w:val="clear" w:color="auto" w:fill="FFFFFF"/>
          </w:tcPr>
          <w:p w:rsidR="001C5F77" w:rsidRDefault="0071268B" w:rsidP="00552EC0">
            <w:pPr>
              <w:jc w:val="center"/>
              <w:rPr>
                <w:sz w:val="24"/>
                <w:szCs w:val="24"/>
              </w:rPr>
            </w:pPr>
            <w:r>
              <w:rPr>
                <w:bCs/>
                <w:sz w:val="24"/>
                <w:szCs w:val="24"/>
              </w:rPr>
              <w:t>.</w:t>
            </w:r>
            <w:r w:rsidR="00552EC0">
              <w:rPr>
                <w:bCs/>
                <w:sz w:val="24"/>
                <w:szCs w:val="24"/>
              </w:rPr>
              <w:t>50</w:t>
            </w:r>
          </w:p>
        </w:tc>
      </w:tr>
      <w:tr w:rsidR="00C34506" w:rsidRPr="00FC709D">
        <w:tc>
          <w:tcPr>
            <w:tcW w:w="245" w:type="pct"/>
            <w:shd w:val="clear" w:color="auto" w:fill="FFFFFF"/>
          </w:tcPr>
          <w:p w:rsidR="00C34506" w:rsidRPr="00FC709D" w:rsidRDefault="001C5F77" w:rsidP="00C34506">
            <w:pPr>
              <w:jc w:val="center"/>
              <w:rPr>
                <w:sz w:val="24"/>
                <w:szCs w:val="24"/>
              </w:rPr>
            </w:pPr>
            <w:r>
              <w:rPr>
                <w:sz w:val="24"/>
                <w:szCs w:val="24"/>
              </w:rPr>
              <w:t>d</w:t>
            </w:r>
            <w:r w:rsidR="00C34506" w:rsidRPr="00FC709D">
              <w:rPr>
                <w:sz w:val="24"/>
                <w:szCs w:val="24"/>
              </w:rPr>
              <w:t>.</w:t>
            </w:r>
          </w:p>
        </w:tc>
        <w:tc>
          <w:tcPr>
            <w:tcW w:w="2152" w:type="pct"/>
            <w:shd w:val="clear" w:color="auto" w:fill="FFFFFF"/>
          </w:tcPr>
          <w:p w:rsidR="00C34506" w:rsidRPr="00FC709D" w:rsidRDefault="0071268B" w:rsidP="00FE37E4">
            <w:pPr>
              <w:rPr>
                <w:sz w:val="24"/>
                <w:szCs w:val="24"/>
              </w:rPr>
            </w:pPr>
            <w:r w:rsidRPr="00FC709D">
              <w:rPr>
                <w:bCs/>
                <w:sz w:val="24"/>
                <w:szCs w:val="24"/>
              </w:rPr>
              <w:t>§ 27.12</w:t>
            </w:r>
            <w:r>
              <w:rPr>
                <w:bCs/>
                <w:sz w:val="24"/>
                <w:szCs w:val="24"/>
              </w:rPr>
              <w:t xml:space="preserve"> </w:t>
            </w:r>
            <w:r w:rsidRPr="00FC709D">
              <w:rPr>
                <w:bCs/>
                <w:sz w:val="24"/>
                <w:szCs w:val="24"/>
              </w:rPr>
              <w:t xml:space="preserve">Foreign Ownership Compliance </w:t>
            </w:r>
            <w:r>
              <w:rPr>
                <w:bCs/>
                <w:sz w:val="24"/>
                <w:szCs w:val="24"/>
              </w:rPr>
              <w:t xml:space="preserve">pursuant to </w:t>
            </w:r>
            <w:r w:rsidRPr="00FC709D">
              <w:rPr>
                <w:bCs/>
                <w:sz w:val="24"/>
                <w:szCs w:val="24"/>
              </w:rPr>
              <w:t>§ 310 (b)</w:t>
            </w:r>
          </w:p>
        </w:tc>
        <w:tc>
          <w:tcPr>
            <w:tcW w:w="717" w:type="pct"/>
            <w:shd w:val="clear" w:color="auto" w:fill="FFFFFF"/>
          </w:tcPr>
          <w:p w:rsidR="00C34506" w:rsidRPr="00FC709D" w:rsidRDefault="00552EC0" w:rsidP="00C34506">
            <w:pPr>
              <w:jc w:val="center"/>
              <w:rPr>
                <w:sz w:val="24"/>
                <w:szCs w:val="24"/>
              </w:rPr>
            </w:pPr>
            <w:r>
              <w:rPr>
                <w:sz w:val="24"/>
                <w:szCs w:val="24"/>
              </w:rPr>
              <w:t>2</w:t>
            </w:r>
          </w:p>
        </w:tc>
        <w:tc>
          <w:tcPr>
            <w:tcW w:w="615" w:type="pct"/>
            <w:shd w:val="clear" w:color="auto" w:fill="FFFFFF"/>
          </w:tcPr>
          <w:p w:rsidR="00C34506" w:rsidRPr="00FC709D" w:rsidRDefault="00C34506" w:rsidP="00C34506">
            <w:pPr>
              <w:jc w:val="center"/>
              <w:rPr>
                <w:sz w:val="24"/>
                <w:szCs w:val="24"/>
              </w:rPr>
            </w:pPr>
            <w:r w:rsidRPr="00FC709D">
              <w:rPr>
                <w:sz w:val="24"/>
                <w:szCs w:val="24"/>
              </w:rPr>
              <w:t>On occasion</w:t>
            </w:r>
          </w:p>
        </w:tc>
        <w:tc>
          <w:tcPr>
            <w:tcW w:w="614" w:type="pct"/>
            <w:shd w:val="clear" w:color="auto" w:fill="FFFFFF"/>
          </w:tcPr>
          <w:p w:rsidR="00C34506" w:rsidRPr="00FC709D" w:rsidRDefault="00C34506" w:rsidP="0071268B">
            <w:pPr>
              <w:jc w:val="center"/>
              <w:rPr>
                <w:sz w:val="24"/>
                <w:szCs w:val="24"/>
              </w:rPr>
            </w:pPr>
            <w:r w:rsidRPr="00FC709D">
              <w:rPr>
                <w:sz w:val="24"/>
                <w:szCs w:val="24"/>
              </w:rPr>
              <w:t>.</w:t>
            </w:r>
            <w:r w:rsidR="0071268B" w:rsidRPr="00FC709D" w:rsidDel="0071268B">
              <w:rPr>
                <w:sz w:val="24"/>
                <w:szCs w:val="24"/>
              </w:rPr>
              <w:t xml:space="preserve"> </w:t>
            </w:r>
            <w:r w:rsidRPr="00FC709D">
              <w:rPr>
                <w:sz w:val="24"/>
                <w:szCs w:val="24"/>
              </w:rPr>
              <w:t>5</w:t>
            </w:r>
          </w:p>
        </w:tc>
        <w:tc>
          <w:tcPr>
            <w:tcW w:w="656" w:type="pct"/>
            <w:shd w:val="clear" w:color="auto" w:fill="FFFFFF"/>
          </w:tcPr>
          <w:p w:rsidR="00C34506" w:rsidRPr="00FC709D" w:rsidRDefault="00552EC0" w:rsidP="009B623F">
            <w:pPr>
              <w:jc w:val="center"/>
              <w:rPr>
                <w:sz w:val="24"/>
                <w:szCs w:val="24"/>
              </w:rPr>
            </w:pPr>
            <w:r>
              <w:rPr>
                <w:sz w:val="24"/>
                <w:szCs w:val="24"/>
              </w:rPr>
              <w:t>1</w:t>
            </w:r>
          </w:p>
        </w:tc>
      </w:tr>
      <w:tr w:rsidR="00C34506" w:rsidRPr="00FC709D">
        <w:tc>
          <w:tcPr>
            <w:tcW w:w="245" w:type="pct"/>
            <w:shd w:val="clear" w:color="auto" w:fill="FFFFFF"/>
            <w:vAlign w:val="center"/>
          </w:tcPr>
          <w:p w:rsidR="00C34506" w:rsidRPr="00FC709D" w:rsidRDefault="001C5F77" w:rsidP="00C34506">
            <w:pPr>
              <w:jc w:val="center"/>
              <w:rPr>
                <w:bCs/>
                <w:sz w:val="24"/>
                <w:szCs w:val="24"/>
              </w:rPr>
            </w:pPr>
            <w:r>
              <w:rPr>
                <w:bCs/>
                <w:sz w:val="24"/>
                <w:szCs w:val="24"/>
              </w:rPr>
              <w:t>e</w:t>
            </w:r>
            <w:r w:rsidR="00C34506" w:rsidRPr="00FC709D">
              <w:rPr>
                <w:bCs/>
                <w:sz w:val="24"/>
                <w:szCs w:val="24"/>
              </w:rPr>
              <w:t>.</w:t>
            </w:r>
          </w:p>
        </w:tc>
        <w:tc>
          <w:tcPr>
            <w:tcW w:w="2152" w:type="pct"/>
            <w:shd w:val="clear" w:color="auto" w:fill="FFFFFF"/>
            <w:vAlign w:val="center"/>
          </w:tcPr>
          <w:p w:rsidR="00C34506" w:rsidRPr="00FC709D" w:rsidRDefault="0071268B" w:rsidP="00FE37E4">
            <w:pPr>
              <w:rPr>
                <w:bCs/>
                <w:sz w:val="24"/>
                <w:szCs w:val="24"/>
              </w:rPr>
            </w:pPr>
            <w:r w:rsidRPr="00FC709D">
              <w:rPr>
                <w:sz w:val="24"/>
                <w:szCs w:val="24"/>
              </w:rPr>
              <w:t xml:space="preserve"> §</w:t>
            </w:r>
            <w:r>
              <w:rPr>
                <w:sz w:val="24"/>
                <w:szCs w:val="24"/>
              </w:rPr>
              <w:t xml:space="preserve"> 27.14 H Block ten year license renewal</w:t>
            </w:r>
          </w:p>
        </w:tc>
        <w:tc>
          <w:tcPr>
            <w:tcW w:w="717" w:type="pct"/>
            <w:shd w:val="clear" w:color="auto" w:fill="FFFFFF"/>
            <w:vAlign w:val="center"/>
          </w:tcPr>
          <w:p w:rsidR="00C34506" w:rsidRPr="00FC709D" w:rsidRDefault="0071268B" w:rsidP="00C34506">
            <w:pPr>
              <w:jc w:val="center"/>
              <w:rPr>
                <w:bCs/>
                <w:sz w:val="24"/>
                <w:szCs w:val="24"/>
              </w:rPr>
            </w:pPr>
            <w:r>
              <w:rPr>
                <w:bCs/>
                <w:sz w:val="24"/>
                <w:szCs w:val="24"/>
              </w:rPr>
              <w:t>0</w:t>
            </w:r>
          </w:p>
        </w:tc>
        <w:tc>
          <w:tcPr>
            <w:tcW w:w="615" w:type="pct"/>
            <w:shd w:val="clear" w:color="auto" w:fill="FFFFFF"/>
            <w:vAlign w:val="center"/>
          </w:tcPr>
          <w:p w:rsidR="0071268B" w:rsidRDefault="0071268B" w:rsidP="0071268B">
            <w:pPr>
              <w:jc w:val="center"/>
              <w:rPr>
                <w:bCs/>
                <w:sz w:val="24"/>
                <w:szCs w:val="24"/>
              </w:rPr>
            </w:pPr>
            <w:r>
              <w:rPr>
                <w:bCs/>
                <w:sz w:val="24"/>
                <w:szCs w:val="24"/>
              </w:rPr>
              <w:t xml:space="preserve">1 </w:t>
            </w:r>
          </w:p>
          <w:p w:rsidR="00C34506" w:rsidRPr="00FC709D" w:rsidRDefault="0071268B" w:rsidP="0071268B">
            <w:pPr>
              <w:jc w:val="center"/>
              <w:rPr>
                <w:bCs/>
                <w:sz w:val="24"/>
                <w:szCs w:val="24"/>
              </w:rPr>
            </w:pPr>
            <w:r>
              <w:rPr>
                <w:bCs/>
                <w:sz w:val="24"/>
                <w:szCs w:val="24"/>
              </w:rPr>
              <w:t>(every 10 years)</w:t>
            </w:r>
          </w:p>
        </w:tc>
        <w:tc>
          <w:tcPr>
            <w:tcW w:w="614" w:type="pct"/>
            <w:shd w:val="clear" w:color="auto" w:fill="FFFFFF"/>
            <w:vAlign w:val="center"/>
          </w:tcPr>
          <w:p w:rsidR="00C34506" w:rsidRPr="00FC709D" w:rsidRDefault="0071268B" w:rsidP="00C34506">
            <w:pPr>
              <w:jc w:val="center"/>
              <w:rPr>
                <w:bCs/>
                <w:sz w:val="24"/>
                <w:szCs w:val="24"/>
              </w:rPr>
            </w:pPr>
            <w:r>
              <w:rPr>
                <w:bCs/>
                <w:sz w:val="24"/>
                <w:szCs w:val="24"/>
              </w:rPr>
              <w:t>0</w:t>
            </w:r>
          </w:p>
        </w:tc>
        <w:tc>
          <w:tcPr>
            <w:tcW w:w="656" w:type="pct"/>
            <w:shd w:val="clear" w:color="auto" w:fill="FFFFFF"/>
            <w:vAlign w:val="center"/>
          </w:tcPr>
          <w:p w:rsidR="00C34506" w:rsidRPr="00FC709D" w:rsidRDefault="0071268B" w:rsidP="00C34506">
            <w:pPr>
              <w:jc w:val="center"/>
              <w:rPr>
                <w:bCs/>
                <w:sz w:val="24"/>
                <w:szCs w:val="24"/>
              </w:rPr>
            </w:pPr>
            <w:r>
              <w:rPr>
                <w:bCs/>
                <w:sz w:val="24"/>
                <w:szCs w:val="24"/>
              </w:rPr>
              <w:t>0</w:t>
            </w:r>
          </w:p>
        </w:tc>
      </w:tr>
      <w:tr w:rsidR="00C34506" w:rsidRPr="00FC709D">
        <w:tc>
          <w:tcPr>
            <w:tcW w:w="245" w:type="pct"/>
            <w:shd w:val="clear" w:color="auto" w:fill="FFFFFF"/>
          </w:tcPr>
          <w:p w:rsidR="00C34506" w:rsidRPr="00FC709D" w:rsidRDefault="001C5F77" w:rsidP="00C34506">
            <w:pPr>
              <w:jc w:val="center"/>
              <w:rPr>
                <w:sz w:val="24"/>
                <w:szCs w:val="24"/>
              </w:rPr>
            </w:pPr>
            <w:r>
              <w:rPr>
                <w:sz w:val="24"/>
                <w:szCs w:val="24"/>
              </w:rPr>
              <w:t>f</w:t>
            </w:r>
            <w:r w:rsidR="00C34506">
              <w:rPr>
                <w:sz w:val="24"/>
                <w:szCs w:val="24"/>
              </w:rPr>
              <w:t>.</w:t>
            </w:r>
          </w:p>
        </w:tc>
        <w:tc>
          <w:tcPr>
            <w:tcW w:w="2152" w:type="pct"/>
            <w:shd w:val="clear" w:color="auto" w:fill="FFFFFF"/>
          </w:tcPr>
          <w:p w:rsidR="00C34506" w:rsidRPr="00FC709D" w:rsidRDefault="00C34506" w:rsidP="00FE37E4">
            <w:pPr>
              <w:rPr>
                <w:sz w:val="24"/>
                <w:szCs w:val="24"/>
              </w:rPr>
            </w:pPr>
            <w:r w:rsidRPr="00FC709D">
              <w:rPr>
                <w:sz w:val="24"/>
                <w:szCs w:val="24"/>
              </w:rPr>
              <w:t xml:space="preserve">§ 27.17 </w:t>
            </w:r>
            <w:r>
              <w:t>H Block</w:t>
            </w:r>
            <w:r w:rsidRPr="00FC709D">
              <w:t xml:space="preserve"> </w:t>
            </w:r>
            <w:r w:rsidRPr="00FC709D">
              <w:rPr>
                <w:sz w:val="24"/>
                <w:szCs w:val="24"/>
              </w:rPr>
              <w:t>Licensee Notification of changes resulting in discontinuance, reduction, or impairment</w:t>
            </w:r>
          </w:p>
        </w:tc>
        <w:tc>
          <w:tcPr>
            <w:tcW w:w="717" w:type="pct"/>
            <w:shd w:val="clear" w:color="auto" w:fill="FFFFFF"/>
          </w:tcPr>
          <w:p w:rsidR="00C34506" w:rsidRPr="00FC709D" w:rsidRDefault="00C34506" w:rsidP="00C34506">
            <w:pPr>
              <w:jc w:val="center"/>
              <w:rPr>
                <w:sz w:val="24"/>
                <w:szCs w:val="24"/>
              </w:rPr>
            </w:pPr>
          </w:p>
          <w:p w:rsidR="00C34506" w:rsidRPr="00FC709D" w:rsidRDefault="00C34506" w:rsidP="00C34506">
            <w:pPr>
              <w:jc w:val="center"/>
              <w:rPr>
                <w:sz w:val="24"/>
                <w:szCs w:val="24"/>
              </w:rPr>
            </w:pPr>
            <w:r w:rsidRPr="00FC709D">
              <w:rPr>
                <w:sz w:val="24"/>
                <w:szCs w:val="24"/>
              </w:rPr>
              <w:t>0</w:t>
            </w:r>
          </w:p>
        </w:tc>
        <w:tc>
          <w:tcPr>
            <w:tcW w:w="615" w:type="pct"/>
            <w:shd w:val="clear" w:color="auto" w:fill="FFFFFF"/>
          </w:tcPr>
          <w:p w:rsidR="00C34506" w:rsidRPr="00FC709D" w:rsidRDefault="00C34506" w:rsidP="00C34506">
            <w:pPr>
              <w:jc w:val="center"/>
              <w:rPr>
                <w:sz w:val="24"/>
                <w:szCs w:val="24"/>
              </w:rPr>
            </w:pPr>
          </w:p>
          <w:p w:rsidR="00C34506" w:rsidRPr="00FC709D" w:rsidRDefault="00C23A71" w:rsidP="00C34506">
            <w:pPr>
              <w:jc w:val="center"/>
              <w:rPr>
                <w:sz w:val="24"/>
                <w:szCs w:val="24"/>
              </w:rPr>
            </w:pPr>
            <w:r>
              <w:rPr>
                <w:sz w:val="24"/>
                <w:szCs w:val="24"/>
              </w:rPr>
              <w:t>0</w:t>
            </w:r>
          </w:p>
        </w:tc>
        <w:tc>
          <w:tcPr>
            <w:tcW w:w="614" w:type="pct"/>
            <w:shd w:val="clear" w:color="auto" w:fill="FFFFFF"/>
          </w:tcPr>
          <w:p w:rsidR="00C34506" w:rsidRPr="00FC709D" w:rsidRDefault="00C34506" w:rsidP="00C34506">
            <w:pPr>
              <w:jc w:val="center"/>
              <w:rPr>
                <w:sz w:val="24"/>
                <w:szCs w:val="24"/>
              </w:rPr>
            </w:pPr>
          </w:p>
          <w:p w:rsidR="00C34506" w:rsidRPr="00FC709D" w:rsidRDefault="00521523" w:rsidP="00C34506">
            <w:pPr>
              <w:jc w:val="center"/>
              <w:rPr>
                <w:sz w:val="24"/>
                <w:szCs w:val="24"/>
              </w:rPr>
            </w:pPr>
            <w:r>
              <w:rPr>
                <w:sz w:val="24"/>
                <w:szCs w:val="24"/>
              </w:rPr>
              <w:t>0</w:t>
            </w:r>
          </w:p>
        </w:tc>
        <w:tc>
          <w:tcPr>
            <w:tcW w:w="656" w:type="pct"/>
            <w:shd w:val="clear" w:color="auto" w:fill="FFFFFF"/>
          </w:tcPr>
          <w:p w:rsidR="00C34506" w:rsidRPr="00FC709D" w:rsidRDefault="00C34506" w:rsidP="00C34506">
            <w:pPr>
              <w:jc w:val="center"/>
              <w:rPr>
                <w:sz w:val="24"/>
                <w:szCs w:val="24"/>
              </w:rPr>
            </w:pPr>
          </w:p>
          <w:p w:rsidR="00C34506" w:rsidRPr="00FC709D" w:rsidRDefault="00C34506" w:rsidP="00C34506">
            <w:pPr>
              <w:jc w:val="center"/>
              <w:rPr>
                <w:sz w:val="24"/>
                <w:szCs w:val="24"/>
              </w:rPr>
            </w:pPr>
            <w:r w:rsidRPr="00FC709D">
              <w:rPr>
                <w:sz w:val="24"/>
                <w:szCs w:val="24"/>
              </w:rPr>
              <w:t>0</w:t>
            </w:r>
          </w:p>
        </w:tc>
      </w:tr>
      <w:tr w:rsidR="00C34506" w:rsidRPr="00FC709D" w:rsidTr="005440B9">
        <w:trPr>
          <w:trHeight w:val="395"/>
        </w:trPr>
        <w:tc>
          <w:tcPr>
            <w:tcW w:w="245" w:type="pct"/>
            <w:shd w:val="clear" w:color="auto" w:fill="FFFFFF"/>
          </w:tcPr>
          <w:p w:rsidR="00C34506" w:rsidRPr="00FC709D" w:rsidRDefault="00C34506" w:rsidP="00C34506">
            <w:pPr>
              <w:jc w:val="right"/>
              <w:rPr>
                <w:b/>
                <w:sz w:val="24"/>
                <w:szCs w:val="24"/>
              </w:rPr>
            </w:pPr>
          </w:p>
        </w:tc>
        <w:tc>
          <w:tcPr>
            <w:tcW w:w="2152" w:type="pct"/>
            <w:shd w:val="clear" w:color="auto" w:fill="FFFFFF"/>
          </w:tcPr>
          <w:p w:rsidR="00C34506" w:rsidRPr="00FC709D" w:rsidRDefault="00C34506" w:rsidP="00C34506">
            <w:pPr>
              <w:jc w:val="right"/>
              <w:rPr>
                <w:b/>
                <w:sz w:val="24"/>
                <w:szCs w:val="24"/>
              </w:rPr>
            </w:pPr>
            <w:r w:rsidRPr="00FC709D">
              <w:rPr>
                <w:b/>
                <w:sz w:val="24"/>
                <w:szCs w:val="24"/>
              </w:rPr>
              <w:t>Totals:</w:t>
            </w:r>
          </w:p>
        </w:tc>
        <w:tc>
          <w:tcPr>
            <w:tcW w:w="717" w:type="pct"/>
            <w:shd w:val="clear" w:color="auto" w:fill="FFFFFF"/>
          </w:tcPr>
          <w:p w:rsidR="00C34506" w:rsidRPr="00FC709D" w:rsidRDefault="007973A4" w:rsidP="005807D4">
            <w:pPr>
              <w:jc w:val="center"/>
              <w:rPr>
                <w:b/>
                <w:sz w:val="24"/>
                <w:szCs w:val="24"/>
              </w:rPr>
            </w:pPr>
            <w:r>
              <w:rPr>
                <w:b/>
                <w:sz w:val="24"/>
                <w:szCs w:val="24"/>
              </w:rPr>
              <w:t>10</w:t>
            </w:r>
            <w:r w:rsidR="005807D4">
              <w:rPr>
                <w:b/>
                <w:sz w:val="24"/>
                <w:szCs w:val="24"/>
              </w:rPr>
              <w:t>0</w:t>
            </w:r>
          </w:p>
        </w:tc>
        <w:tc>
          <w:tcPr>
            <w:tcW w:w="615" w:type="pct"/>
            <w:shd w:val="clear" w:color="auto" w:fill="FFFFFF"/>
          </w:tcPr>
          <w:p w:rsidR="00C34506" w:rsidRPr="00FC709D" w:rsidRDefault="00C34506" w:rsidP="00C34506">
            <w:pPr>
              <w:rPr>
                <w:b/>
                <w:sz w:val="24"/>
                <w:szCs w:val="24"/>
              </w:rPr>
            </w:pPr>
          </w:p>
        </w:tc>
        <w:tc>
          <w:tcPr>
            <w:tcW w:w="614" w:type="pct"/>
            <w:shd w:val="clear" w:color="auto" w:fill="FFFFFF"/>
          </w:tcPr>
          <w:p w:rsidR="00C34506" w:rsidRPr="00FC709D" w:rsidRDefault="00CA2377" w:rsidP="009B623F">
            <w:pPr>
              <w:jc w:val="center"/>
              <w:rPr>
                <w:b/>
                <w:sz w:val="24"/>
                <w:szCs w:val="24"/>
              </w:rPr>
            </w:pPr>
            <w:r>
              <w:rPr>
                <w:b/>
                <w:sz w:val="24"/>
                <w:szCs w:val="24"/>
              </w:rPr>
              <w:t>1.</w:t>
            </w:r>
            <w:r w:rsidR="007973A4">
              <w:rPr>
                <w:b/>
                <w:sz w:val="24"/>
                <w:szCs w:val="24"/>
              </w:rPr>
              <w:t>0</w:t>
            </w:r>
            <w:r w:rsidR="00C34506" w:rsidRPr="00FC709D">
              <w:rPr>
                <w:b/>
                <w:sz w:val="24"/>
                <w:szCs w:val="24"/>
              </w:rPr>
              <w:t xml:space="preserve"> Hours</w:t>
            </w:r>
          </w:p>
        </w:tc>
        <w:tc>
          <w:tcPr>
            <w:tcW w:w="656" w:type="pct"/>
            <w:shd w:val="clear" w:color="auto" w:fill="FFFFFF"/>
          </w:tcPr>
          <w:p w:rsidR="00C34506" w:rsidRPr="00FC709D" w:rsidRDefault="00435A21" w:rsidP="00C34506">
            <w:pPr>
              <w:jc w:val="center"/>
              <w:rPr>
                <w:b/>
                <w:sz w:val="24"/>
                <w:szCs w:val="24"/>
              </w:rPr>
            </w:pPr>
            <w:r>
              <w:rPr>
                <w:b/>
                <w:sz w:val="24"/>
                <w:szCs w:val="24"/>
              </w:rPr>
              <w:t>2</w:t>
            </w:r>
            <w:r w:rsidR="00552EC0">
              <w:rPr>
                <w:b/>
                <w:sz w:val="24"/>
                <w:szCs w:val="24"/>
              </w:rPr>
              <w:t>6</w:t>
            </w:r>
            <w:r>
              <w:rPr>
                <w:b/>
                <w:sz w:val="24"/>
                <w:szCs w:val="24"/>
              </w:rPr>
              <w:t>.5</w:t>
            </w:r>
            <w:r w:rsidR="00552EC0">
              <w:rPr>
                <w:b/>
                <w:sz w:val="24"/>
                <w:szCs w:val="24"/>
              </w:rPr>
              <w:t>0</w:t>
            </w:r>
          </w:p>
          <w:p w:rsidR="00C34506" w:rsidRDefault="00C34506" w:rsidP="00C34506">
            <w:pPr>
              <w:jc w:val="center"/>
              <w:rPr>
                <w:b/>
                <w:sz w:val="24"/>
                <w:szCs w:val="24"/>
              </w:rPr>
            </w:pPr>
            <w:r w:rsidRPr="00FC709D">
              <w:rPr>
                <w:b/>
                <w:sz w:val="24"/>
                <w:szCs w:val="24"/>
              </w:rPr>
              <w:t>Hours</w:t>
            </w:r>
          </w:p>
          <w:p w:rsidR="00C61FC5" w:rsidRPr="00FC709D" w:rsidRDefault="00C61FC5" w:rsidP="00C34506">
            <w:pPr>
              <w:jc w:val="center"/>
              <w:rPr>
                <w:b/>
                <w:sz w:val="24"/>
                <w:szCs w:val="24"/>
              </w:rPr>
            </w:pPr>
            <w:r>
              <w:rPr>
                <w:b/>
                <w:sz w:val="24"/>
                <w:szCs w:val="24"/>
              </w:rPr>
              <w:t>(rounded to 27 hours)</w:t>
            </w:r>
          </w:p>
        </w:tc>
      </w:tr>
    </w:tbl>
    <w:p w:rsidR="00C34506" w:rsidRDefault="00C34506" w:rsidP="00C34506">
      <w:pPr>
        <w:pStyle w:val="ParaNum"/>
        <w:numPr>
          <w:ilvl w:val="0"/>
          <w:numId w:val="0"/>
        </w:numPr>
        <w:tabs>
          <w:tab w:val="left" w:pos="720"/>
          <w:tab w:val="right" w:pos="9360"/>
        </w:tabs>
        <w:spacing w:after="220"/>
        <w:rPr>
          <w:b/>
          <w:lang w:val="en-US"/>
        </w:rPr>
      </w:pPr>
    </w:p>
    <w:p w:rsidR="00C34506" w:rsidRPr="00FC709D" w:rsidRDefault="00C34506" w:rsidP="00C34506">
      <w:pPr>
        <w:pStyle w:val="ParaNum"/>
        <w:numPr>
          <w:ilvl w:val="0"/>
          <w:numId w:val="0"/>
        </w:numPr>
        <w:tabs>
          <w:tab w:val="left" w:pos="720"/>
          <w:tab w:val="right" w:pos="9360"/>
        </w:tabs>
        <w:spacing w:after="220"/>
      </w:pPr>
      <w:proofErr w:type="gramStart"/>
      <w:r w:rsidRPr="00FC709D">
        <w:rPr>
          <w:b/>
          <w:lang w:val="en-US"/>
        </w:rPr>
        <w:t>12-a.</w:t>
      </w:r>
      <w:proofErr w:type="gramEnd"/>
      <w:r w:rsidRPr="00FC709D">
        <w:rPr>
          <w:lang w:val="en-US"/>
        </w:rPr>
        <w:t xml:space="preserve"> </w:t>
      </w:r>
      <w:r w:rsidRPr="00FC709D">
        <w:rPr>
          <w:lang w:val="en-US"/>
        </w:rPr>
        <w:tab/>
      </w:r>
      <w:r w:rsidRPr="00FC709D">
        <w:rPr>
          <w:i/>
        </w:rPr>
        <w:t xml:space="preserve">Reporting-  Compliance with performance requirement for </w:t>
      </w:r>
      <w:r>
        <w:rPr>
          <w:i/>
        </w:rPr>
        <w:t>H Block</w:t>
      </w:r>
      <w:r w:rsidRPr="00FC709D">
        <w:rPr>
          <w:i/>
        </w:rPr>
        <w:t xml:space="preserve"> licensees pursuant to 47 C.F.R</w:t>
      </w:r>
      <w:r w:rsidRPr="00042588">
        <w:rPr>
          <w:i/>
        </w:rPr>
        <w:t xml:space="preserve">. </w:t>
      </w:r>
      <w:r w:rsidRPr="005440B9">
        <w:rPr>
          <w:bCs/>
          <w:i/>
        </w:rPr>
        <w:t>§ 1.946(d)</w:t>
      </w:r>
      <w:r w:rsidRPr="00042588">
        <w:rPr>
          <w:i/>
        </w:rPr>
        <w:t>.</w:t>
      </w:r>
      <w:r w:rsidRPr="004B70F0">
        <w:t xml:space="preserve">  </w:t>
      </w:r>
      <w:r w:rsidRPr="00FC709D">
        <w:t xml:space="preserve">The Commission proposes adopting performance requirements for the </w:t>
      </w:r>
      <w:r>
        <w:t>H Block that require H Block licensees to provide signal coverage and offer service to 40 percent of the license a</w:t>
      </w:r>
      <w:r w:rsidR="00864B2E">
        <w:t>rea’s population within four</w:t>
      </w:r>
      <w:r>
        <w:t xml:space="preserve"> year</w:t>
      </w:r>
      <w:r w:rsidR="008510D3">
        <w:t xml:space="preserve">s and 70 percent within ten </w:t>
      </w:r>
      <w:r w:rsidR="003E15F9">
        <w:t>years</w:t>
      </w:r>
      <w:r w:rsidR="003E15F9">
        <w:rPr>
          <w:lang w:val="en-US"/>
        </w:rPr>
        <w:t>, along with accompanying reporting requirements</w:t>
      </w:r>
      <w:r w:rsidRPr="00FC709D">
        <w:rPr>
          <w:i/>
        </w:rPr>
        <w:t xml:space="preserve">.  </w:t>
      </w:r>
      <w:r w:rsidRPr="00FC709D">
        <w:t xml:space="preserve">However, the Commission has not proposed any deadlines associated with the performance requirements over the next three years.  Thus we do not anticipate any burden hours for this collection during the next three-year approval period.  </w:t>
      </w:r>
    </w:p>
    <w:p w:rsidR="00C34506" w:rsidRPr="00FC709D" w:rsidRDefault="00C34506" w:rsidP="00C34506">
      <w:pPr>
        <w:pStyle w:val="ParaNum"/>
        <w:numPr>
          <w:ilvl w:val="0"/>
          <w:numId w:val="0"/>
        </w:numPr>
        <w:tabs>
          <w:tab w:val="left" w:pos="720"/>
          <w:tab w:val="right" w:pos="9360"/>
        </w:tabs>
        <w:spacing w:after="220"/>
      </w:pPr>
      <w:r w:rsidRPr="00FC709D">
        <w:rPr>
          <w:b/>
        </w:rPr>
        <w:tab/>
        <w:t>= 0 hours</w:t>
      </w:r>
      <w:r w:rsidRPr="00FC709D">
        <w:t xml:space="preserve"> (this entry is on the statement merely to remind FCC staff to reactivate it in the future and to act as a place holder for this requirement.)  </w:t>
      </w:r>
    </w:p>
    <w:p w:rsidR="00765EBD" w:rsidRDefault="00C34506" w:rsidP="00765EBD">
      <w:pPr>
        <w:autoSpaceDE w:val="0"/>
        <w:autoSpaceDN w:val="0"/>
        <w:spacing w:after="220"/>
        <w:rPr>
          <w:color w:val="000000"/>
        </w:rPr>
      </w:pPr>
      <w:r w:rsidRPr="00FC709D">
        <w:rPr>
          <w:b/>
        </w:rPr>
        <w:t>12-b.</w:t>
      </w:r>
      <w:r w:rsidRPr="00FC709D">
        <w:tab/>
      </w:r>
      <w:r w:rsidR="00765EBD">
        <w:rPr>
          <w:i/>
          <w:color w:val="000000"/>
        </w:rPr>
        <w:t xml:space="preserve">Reporting- Compliance with National Security Certification pursuant to </w:t>
      </w:r>
      <w:r w:rsidR="00765EBD" w:rsidRPr="009A6DF3">
        <w:rPr>
          <w:i/>
          <w:color w:val="000000"/>
        </w:rPr>
        <w:t xml:space="preserve">47 </w:t>
      </w:r>
      <w:r w:rsidR="00765EBD">
        <w:rPr>
          <w:i/>
          <w:color w:val="000000"/>
        </w:rPr>
        <w:t xml:space="preserve">C.F.R. </w:t>
      </w:r>
      <w:r w:rsidR="00F816B8">
        <w:rPr>
          <w:i/>
          <w:sz w:val="24"/>
          <w:szCs w:val="24"/>
        </w:rPr>
        <w:t>§ 1.2105(a</w:t>
      </w:r>
      <w:proofErr w:type="gramStart"/>
      <w:r w:rsidR="00F816B8">
        <w:rPr>
          <w:i/>
          <w:sz w:val="24"/>
          <w:szCs w:val="24"/>
        </w:rPr>
        <w:t>)</w:t>
      </w:r>
      <w:r w:rsidR="00EE4ED3">
        <w:rPr>
          <w:i/>
          <w:sz w:val="24"/>
          <w:szCs w:val="24"/>
        </w:rPr>
        <w:t>(</w:t>
      </w:r>
      <w:proofErr w:type="gramEnd"/>
      <w:r w:rsidR="00EE4ED3">
        <w:rPr>
          <w:i/>
          <w:sz w:val="24"/>
          <w:szCs w:val="24"/>
        </w:rPr>
        <w:t>2)(xii)</w:t>
      </w:r>
      <w:r w:rsidR="00765EBD" w:rsidRPr="001C5F77">
        <w:rPr>
          <w:i/>
          <w:color w:val="000000"/>
        </w:rPr>
        <w:t>.</w:t>
      </w:r>
      <w:r w:rsidR="00765EBD">
        <w:rPr>
          <w:color w:val="000000"/>
        </w:rPr>
        <w:t xml:space="preserve">  H Block </w:t>
      </w:r>
      <w:r w:rsidR="007973A4">
        <w:rPr>
          <w:color w:val="000000"/>
        </w:rPr>
        <w:t xml:space="preserve">applicants </w:t>
      </w:r>
      <w:r w:rsidR="00765EBD">
        <w:rPr>
          <w:color w:val="000000"/>
        </w:rPr>
        <w:t xml:space="preserve">must certify that they have not been barred by any federal government agency from bidding on a contract, participating in an auction or receiving a grant, for reasons of national security.  </w:t>
      </w:r>
      <w:r w:rsidR="0033288E" w:rsidRPr="00C12739">
        <w:rPr>
          <w:szCs w:val="24"/>
        </w:rPr>
        <w:t>The Commission estimate</w:t>
      </w:r>
      <w:r w:rsidR="0033288E">
        <w:rPr>
          <w:szCs w:val="24"/>
        </w:rPr>
        <w:t>s</w:t>
      </w:r>
      <w:r w:rsidR="0033288E" w:rsidRPr="00C12739">
        <w:rPr>
          <w:szCs w:val="24"/>
        </w:rPr>
        <w:t xml:space="preserve"> </w:t>
      </w:r>
      <w:r w:rsidR="0033288E">
        <w:rPr>
          <w:szCs w:val="24"/>
        </w:rPr>
        <w:t xml:space="preserve">that </w:t>
      </w:r>
      <w:r w:rsidR="0033288E" w:rsidRPr="00C12739">
        <w:rPr>
          <w:szCs w:val="24"/>
        </w:rPr>
        <w:t xml:space="preserve">the additional certification </w:t>
      </w:r>
      <w:r w:rsidR="0033288E">
        <w:rPr>
          <w:szCs w:val="24"/>
        </w:rPr>
        <w:t>will not</w:t>
      </w:r>
      <w:r w:rsidR="0033288E" w:rsidRPr="00C12739">
        <w:rPr>
          <w:szCs w:val="24"/>
        </w:rPr>
        <w:t xml:space="preserve"> measurably increase the estimated average amount of time to complete </w:t>
      </w:r>
      <w:r w:rsidR="0033288E">
        <w:rPr>
          <w:szCs w:val="24"/>
        </w:rPr>
        <w:t>an application for a Spectrum Act license</w:t>
      </w:r>
      <w:r w:rsidR="0033288E" w:rsidRPr="00C12739">
        <w:rPr>
          <w:szCs w:val="24"/>
        </w:rPr>
        <w:t xml:space="preserve"> across the range of </w:t>
      </w:r>
      <w:r w:rsidR="0033288E">
        <w:rPr>
          <w:szCs w:val="24"/>
        </w:rPr>
        <w:t>respondents/</w:t>
      </w:r>
      <w:r w:rsidR="0033288E" w:rsidRPr="00C12739">
        <w:rPr>
          <w:szCs w:val="24"/>
        </w:rPr>
        <w:t xml:space="preserve">applicants.  </w:t>
      </w:r>
      <w:r w:rsidR="00765EBD" w:rsidRPr="00FC709D">
        <w:t xml:space="preserve">The Commission estimates that it would take about </w:t>
      </w:r>
      <w:r w:rsidR="00765EBD">
        <w:t>.25</w:t>
      </w:r>
      <w:r w:rsidR="00765EBD" w:rsidRPr="00FC709D">
        <w:t xml:space="preserve"> hours to complete this filing and that perhaps </w:t>
      </w:r>
      <w:r w:rsidR="007973A4">
        <w:t>100</w:t>
      </w:r>
      <w:r w:rsidR="007973A4" w:rsidRPr="00FC709D">
        <w:t xml:space="preserve"> </w:t>
      </w:r>
      <w:r w:rsidR="00765EBD">
        <w:t>H Block</w:t>
      </w:r>
      <w:r w:rsidR="00765EBD" w:rsidRPr="00FC709D">
        <w:t xml:space="preserve"> </w:t>
      </w:r>
      <w:r w:rsidR="00765EBD">
        <w:t xml:space="preserve">applicants would make this </w:t>
      </w:r>
      <w:r w:rsidR="00765EBD" w:rsidRPr="00FC709D">
        <w:t>filing over the next three years.  On average, the Commission believes that these filings will be prepared by a licensee’s existing staff attorneys (“in-house”) at approx. $58.39 per hour</w:t>
      </w:r>
      <w:r w:rsidR="00765EBD">
        <w:t>.</w:t>
      </w:r>
      <w:r w:rsidR="00765EBD" w:rsidRPr="001C5F77">
        <w:rPr>
          <w:sz w:val="24"/>
          <w:szCs w:val="24"/>
        </w:rPr>
        <w:t xml:space="preserve"> </w:t>
      </w:r>
    </w:p>
    <w:p w:rsidR="001C5F77" w:rsidRDefault="00EE4ED3" w:rsidP="00FE37E4">
      <w:pPr>
        <w:pStyle w:val="ParaNum"/>
        <w:numPr>
          <w:ilvl w:val="0"/>
          <w:numId w:val="0"/>
        </w:numPr>
        <w:tabs>
          <w:tab w:val="left" w:pos="3600"/>
          <w:tab w:val="right" w:pos="9360"/>
        </w:tabs>
        <w:spacing w:after="220"/>
        <w:rPr>
          <w:lang w:val="en-US"/>
        </w:rPr>
      </w:pPr>
      <w:r>
        <w:rPr>
          <w:lang w:val="en-US"/>
        </w:rPr>
        <w:t>100</w:t>
      </w:r>
      <w:r>
        <w:t xml:space="preserve"> </w:t>
      </w:r>
      <w:r w:rsidR="00765EBD">
        <w:t xml:space="preserve">respondents x </w:t>
      </w:r>
      <w:r w:rsidR="009E5CA6">
        <w:rPr>
          <w:lang w:val="en-US"/>
        </w:rPr>
        <w:t>.</w:t>
      </w:r>
      <w:r>
        <w:rPr>
          <w:lang w:val="en-US"/>
        </w:rPr>
        <w:t>2</w:t>
      </w:r>
      <w:r w:rsidR="009E5CA6">
        <w:rPr>
          <w:lang w:val="en-US"/>
        </w:rPr>
        <w:t>5</w:t>
      </w:r>
      <w:r w:rsidR="00765EBD" w:rsidRPr="00FC709D">
        <w:t xml:space="preserve"> hours per response </w:t>
      </w:r>
      <w:r w:rsidR="00765EBD" w:rsidRPr="00FC709D">
        <w:rPr>
          <w:b/>
        </w:rPr>
        <w:t xml:space="preserve">= </w:t>
      </w:r>
      <w:r>
        <w:rPr>
          <w:b/>
          <w:lang w:val="en-US"/>
        </w:rPr>
        <w:t>2</w:t>
      </w:r>
      <w:r w:rsidR="00765EBD">
        <w:rPr>
          <w:b/>
          <w:lang w:val="en-US"/>
        </w:rPr>
        <w:t>5</w:t>
      </w:r>
      <w:r w:rsidR="00765EBD" w:rsidRPr="00FC709D">
        <w:rPr>
          <w:b/>
        </w:rPr>
        <w:t xml:space="preserve"> hours.</w:t>
      </w:r>
      <w:r w:rsidR="00765EBD" w:rsidRPr="00FC709D">
        <w:t xml:space="preserve"> </w:t>
      </w:r>
      <w:r w:rsidR="00765EBD" w:rsidRPr="00FC709D">
        <w:br/>
        <w:t>Cost per response = $</w:t>
      </w:r>
      <w:r>
        <w:rPr>
          <w:lang w:val="en-US"/>
        </w:rPr>
        <w:t>14.60</w:t>
      </w:r>
      <w:r w:rsidR="00765EBD">
        <w:rPr>
          <w:lang w:val="en-US"/>
        </w:rPr>
        <w:tab/>
      </w:r>
      <w:r w:rsidR="00765EBD" w:rsidRPr="00FC709D">
        <w:t>Internal cost = $</w:t>
      </w:r>
      <w:r>
        <w:rPr>
          <w:lang w:val="en-US"/>
        </w:rPr>
        <w:t>1460</w:t>
      </w:r>
      <w:r w:rsidR="00C34506" w:rsidRPr="00FC709D">
        <w:t xml:space="preserve"> </w:t>
      </w:r>
    </w:p>
    <w:p w:rsidR="00765EBD" w:rsidRPr="00FC709D" w:rsidRDefault="001C5F77" w:rsidP="00765EBD">
      <w:pPr>
        <w:pStyle w:val="ParaNum"/>
        <w:numPr>
          <w:ilvl w:val="0"/>
          <w:numId w:val="0"/>
        </w:numPr>
        <w:spacing w:after="220"/>
      </w:pPr>
      <w:r w:rsidRPr="00514677">
        <w:rPr>
          <w:b/>
          <w:color w:val="000000"/>
        </w:rPr>
        <w:lastRenderedPageBreak/>
        <w:t>12-</w:t>
      </w:r>
      <w:r>
        <w:rPr>
          <w:b/>
          <w:color w:val="000000"/>
        </w:rPr>
        <w:t>c</w:t>
      </w:r>
      <w:r w:rsidRPr="00A86BFF">
        <w:rPr>
          <w:b/>
          <w:color w:val="000000"/>
        </w:rPr>
        <w:t>.</w:t>
      </w:r>
      <w:r>
        <w:rPr>
          <w:color w:val="000000"/>
        </w:rPr>
        <w:tab/>
      </w:r>
      <w:r w:rsidR="00765EBD" w:rsidRPr="00FC709D">
        <w:rPr>
          <w:i/>
        </w:rPr>
        <w:t xml:space="preserve">Reporting-  Compliance with Change in Regulatory Status for </w:t>
      </w:r>
      <w:r w:rsidR="00765EBD">
        <w:rPr>
          <w:i/>
        </w:rPr>
        <w:t>H Block</w:t>
      </w:r>
      <w:r w:rsidR="00765EBD" w:rsidRPr="00FC709D">
        <w:rPr>
          <w:i/>
        </w:rPr>
        <w:t xml:space="preserve"> licensees pursuant to 47 C.F.R. § 27.10(d). </w:t>
      </w:r>
      <w:r w:rsidR="00765EBD">
        <w:rPr>
          <w:i/>
          <w:lang w:val="en-US"/>
        </w:rPr>
        <w:t xml:space="preserve"> </w:t>
      </w:r>
      <w:r w:rsidR="00765EBD">
        <w:t>An H Block</w:t>
      </w:r>
      <w:r w:rsidR="00765EBD" w:rsidRPr="00FC709D">
        <w:t xml:space="preserve"> </w:t>
      </w:r>
      <w:r w:rsidR="00765EBD" w:rsidRPr="00FC709D">
        <w:rPr>
          <w:color w:val="000000"/>
        </w:rPr>
        <w:t xml:space="preserve">licensee must notify the Commission within 30 days if </w:t>
      </w:r>
      <w:r w:rsidR="00765EBD">
        <w:rPr>
          <w:color w:val="000000"/>
        </w:rPr>
        <w:t>it</w:t>
      </w:r>
      <w:r w:rsidR="00765EBD" w:rsidRPr="00FC709D">
        <w:rPr>
          <w:color w:val="000000"/>
        </w:rPr>
        <w:t xml:space="preserve"> </w:t>
      </w:r>
      <w:r w:rsidR="00765EBD" w:rsidRPr="00FC709D">
        <w:t xml:space="preserve">changes, or adds to, the carrier status on its license.  We estimate that </w:t>
      </w:r>
      <w:r w:rsidR="00552EC0">
        <w:rPr>
          <w:lang w:val="en-US"/>
        </w:rPr>
        <w:t>two</w:t>
      </w:r>
      <w:r w:rsidR="00552EC0" w:rsidRPr="00FC709D">
        <w:t xml:space="preserve"> </w:t>
      </w:r>
      <w:r w:rsidR="00765EBD">
        <w:t>H Block</w:t>
      </w:r>
      <w:r w:rsidR="00765EBD" w:rsidRPr="00FC709D">
        <w:t xml:space="preserve"> licensee</w:t>
      </w:r>
      <w:r w:rsidR="00552EC0">
        <w:rPr>
          <w:lang w:val="en-US"/>
        </w:rPr>
        <w:t>s</w:t>
      </w:r>
      <w:r w:rsidR="00765EBD" w:rsidRPr="00FC709D">
        <w:t xml:space="preserve"> would make this occasional filing over the next three years.  On average, the Commission believes that these filings will be prepared by a licensee’s existing staff attorneys (“in-house”) at approx. $58.39 per hour.</w:t>
      </w:r>
    </w:p>
    <w:p w:rsidR="00765EBD" w:rsidRPr="00FC709D" w:rsidRDefault="00552EC0" w:rsidP="00765EBD">
      <w:pPr>
        <w:pStyle w:val="ParaNum"/>
        <w:numPr>
          <w:ilvl w:val="0"/>
          <w:numId w:val="0"/>
        </w:numPr>
        <w:tabs>
          <w:tab w:val="left" w:pos="720"/>
          <w:tab w:val="left" w:pos="2160"/>
          <w:tab w:val="right" w:pos="9360"/>
        </w:tabs>
        <w:spacing w:after="0"/>
      </w:pPr>
      <w:proofErr w:type="gramStart"/>
      <w:r>
        <w:rPr>
          <w:lang w:val="en-US"/>
        </w:rPr>
        <w:t>2</w:t>
      </w:r>
      <w:r w:rsidR="00765EBD" w:rsidRPr="00FC709D">
        <w:rPr>
          <w:sz w:val="20"/>
          <w:szCs w:val="20"/>
        </w:rPr>
        <w:t xml:space="preserve"> </w:t>
      </w:r>
      <w:r w:rsidR="00765EBD" w:rsidRPr="00FC709D">
        <w:t>respondent</w:t>
      </w:r>
      <w:r>
        <w:rPr>
          <w:lang w:val="en-US"/>
        </w:rPr>
        <w:t>s</w:t>
      </w:r>
      <w:r w:rsidR="00765EBD" w:rsidRPr="00FC709D">
        <w:t xml:space="preserve"> x </w:t>
      </w:r>
      <w:r w:rsidR="00765EBD" w:rsidRPr="00FC709D">
        <w:rPr>
          <w:lang w:val="en-US"/>
        </w:rPr>
        <w:t xml:space="preserve">.25 </w:t>
      </w:r>
      <w:r w:rsidR="00765EBD" w:rsidRPr="00FC709D">
        <w:t>hrs.</w:t>
      </w:r>
      <w:proofErr w:type="gramEnd"/>
      <w:r w:rsidR="00765EBD" w:rsidRPr="00FC709D">
        <w:t xml:space="preserve">  </w:t>
      </w:r>
      <w:r w:rsidR="00765EBD" w:rsidRPr="00FC709D">
        <w:rPr>
          <w:b/>
        </w:rPr>
        <w:t xml:space="preserve">= </w:t>
      </w:r>
      <w:r w:rsidR="00765EBD">
        <w:rPr>
          <w:b/>
          <w:lang w:val="en-US"/>
        </w:rPr>
        <w:t>.</w:t>
      </w:r>
      <w:r>
        <w:rPr>
          <w:b/>
          <w:lang w:val="en-US"/>
        </w:rPr>
        <w:t>50</w:t>
      </w:r>
      <w:r w:rsidRPr="00FC709D">
        <w:rPr>
          <w:b/>
        </w:rPr>
        <w:t xml:space="preserve"> </w:t>
      </w:r>
      <w:r w:rsidR="00765EBD" w:rsidRPr="00FC709D">
        <w:rPr>
          <w:b/>
        </w:rPr>
        <w:t>hours.</w:t>
      </w:r>
    </w:p>
    <w:p w:rsidR="001C5F77" w:rsidRPr="00200D32" w:rsidRDefault="00765EBD" w:rsidP="00FE37E4">
      <w:pPr>
        <w:autoSpaceDE w:val="0"/>
        <w:autoSpaceDN w:val="0"/>
        <w:spacing w:after="220"/>
      </w:pPr>
      <w:r w:rsidRPr="00FC709D">
        <w:t xml:space="preserve">Cost per </w:t>
      </w:r>
      <w:r>
        <w:t>H Block</w:t>
      </w:r>
      <w:r w:rsidRPr="00FC709D">
        <w:t xml:space="preserve"> response = $ </w:t>
      </w:r>
      <w:r>
        <w:t>14.60</w:t>
      </w:r>
      <w:r w:rsidRPr="00FC709D">
        <w:t xml:space="preserve"> </w:t>
      </w:r>
      <w:r>
        <w:tab/>
      </w:r>
      <w:r w:rsidRPr="00FC709D">
        <w:t xml:space="preserve">Internal cost = $ </w:t>
      </w:r>
      <w:r w:rsidR="00552EC0">
        <w:t>29.20</w:t>
      </w:r>
    </w:p>
    <w:p w:rsidR="00765EBD" w:rsidRPr="00FC709D" w:rsidRDefault="00C34506" w:rsidP="00765EBD">
      <w:pPr>
        <w:pStyle w:val="ParaNum"/>
        <w:numPr>
          <w:ilvl w:val="0"/>
          <w:numId w:val="0"/>
        </w:numPr>
        <w:tabs>
          <w:tab w:val="clear" w:pos="-1440"/>
          <w:tab w:val="clear" w:pos="-720"/>
          <w:tab w:val="left" w:pos="720"/>
          <w:tab w:val="right" w:pos="9360"/>
        </w:tabs>
        <w:spacing w:after="220"/>
      </w:pPr>
      <w:r w:rsidRPr="00FC709D">
        <w:rPr>
          <w:b/>
        </w:rPr>
        <w:t>12-</w:t>
      </w:r>
      <w:r w:rsidR="001C5F77">
        <w:rPr>
          <w:b/>
          <w:lang w:val="en-US"/>
        </w:rPr>
        <w:t>d</w:t>
      </w:r>
      <w:r w:rsidRPr="00FC709D">
        <w:rPr>
          <w:b/>
        </w:rPr>
        <w:t>.</w:t>
      </w:r>
      <w:r w:rsidRPr="00FC709D">
        <w:tab/>
      </w:r>
      <w:r w:rsidR="00765EBD" w:rsidRPr="00FC709D">
        <w:rPr>
          <w:i/>
        </w:rPr>
        <w:t xml:space="preserve">Reporting- Compliance with </w:t>
      </w:r>
      <w:r w:rsidR="00765EBD">
        <w:rPr>
          <w:i/>
        </w:rPr>
        <w:t>F</w:t>
      </w:r>
      <w:r w:rsidR="00765EBD" w:rsidRPr="00FC709D">
        <w:rPr>
          <w:i/>
        </w:rPr>
        <w:t xml:space="preserve">oreign </w:t>
      </w:r>
      <w:r w:rsidR="00765EBD">
        <w:rPr>
          <w:i/>
        </w:rPr>
        <w:t>O</w:t>
      </w:r>
      <w:r w:rsidR="00765EBD" w:rsidRPr="00FC709D">
        <w:rPr>
          <w:i/>
        </w:rPr>
        <w:t xml:space="preserve">wnership </w:t>
      </w:r>
      <w:r w:rsidR="00765EBD">
        <w:rPr>
          <w:i/>
        </w:rPr>
        <w:t>F</w:t>
      </w:r>
      <w:r w:rsidR="00765EBD" w:rsidRPr="00FC709D">
        <w:rPr>
          <w:i/>
        </w:rPr>
        <w:t xml:space="preserve">iling </w:t>
      </w:r>
      <w:r w:rsidR="00765EBD">
        <w:rPr>
          <w:i/>
        </w:rPr>
        <w:t>R</w:t>
      </w:r>
      <w:r w:rsidR="00765EBD" w:rsidRPr="00FC709D">
        <w:rPr>
          <w:i/>
        </w:rPr>
        <w:t xml:space="preserve">equirements pursuant to 47 C.F.R. </w:t>
      </w:r>
      <w:r w:rsidR="00765EBD" w:rsidRPr="00FC709D">
        <w:rPr>
          <w:bCs/>
          <w:i/>
          <w:sz w:val="24"/>
          <w:szCs w:val="24"/>
        </w:rPr>
        <w:t>§ 27.12</w:t>
      </w:r>
      <w:r w:rsidR="00765EBD" w:rsidRPr="00FC709D">
        <w:rPr>
          <w:i/>
        </w:rPr>
        <w:t>.</w:t>
      </w:r>
      <w:r w:rsidR="00765EBD" w:rsidRPr="00FC709D">
        <w:t xml:space="preserve">  The Commission estimates that it would take about </w:t>
      </w:r>
      <w:r w:rsidR="00765EBD" w:rsidRPr="00FC709D">
        <w:rPr>
          <w:lang w:val="en-US"/>
        </w:rPr>
        <w:t>.5</w:t>
      </w:r>
      <w:r w:rsidR="00765EBD" w:rsidRPr="00FC709D">
        <w:t xml:space="preserve"> hours to complete this filing and that perhaps </w:t>
      </w:r>
      <w:r w:rsidR="00552EC0">
        <w:rPr>
          <w:lang w:val="en-US"/>
        </w:rPr>
        <w:t>two</w:t>
      </w:r>
      <w:r w:rsidR="00552EC0" w:rsidRPr="00FC709D">
        <w:t xml:space="preserve"> </w:t>
      </w:r>
      <w:r w:rsidR="00765EBD">
        <w:t>H Block</w:t>
      </w:r>
      <w:r w:rsidR="00765EBD" w:rsidRPr="00FC709D">
        <w:t xml:space="preserve"> licensee</w:t>
      </w:r>
      <w:r w:rsidR="00552EC0">
        <w:rPr>
          <w:lang w:val="en-US"/>
        </w:rPr>
        <w:t>s</w:t>
      </w:r>
      <w:r w:rsidR="00765EBD" w:rsidRPr="00FC709D">
        <w:t xml:space="preserve"> would make this occasional filing over the next three years.  On average, the Commission believes that these filings will be prepared by a licensee’s existing staff attorneys (“in-house”) at approx. $58.39 per hour.</w:t>
      </w:r>
    </w:p>
    <w:p w:rsidR="00C34506" w:rsidRPr="00FC709D" w:rsidRDefault="00552EC0" w:rsidP="00FE37E4">
      <w:pPr>
        <w:pStyle w:val="ParaNum"/>
        <w:numPr>
          <w:ilvl w:val="0"/>
          <w:numId w:val="0"/>
        </w:numPr>
        <w:spacing w:after="220"/>
        <w:rPr>
          <w:strike/>
        </w:rPr>
      </w:pPr>
      <w:r>
        <w:rPr>
          <w:lang w:val="en-US"/>
        </w:rPr>
        <w:t>2</w:t>
      </w:r>
      <w:r w:rsidRPr="00FC709D">
        <w:t xml:space="preserve"> </w:t>
      </w:r>
      <w:r w:rsidR="00765EBD" w:rsidRPr="00FC709D">
        <w:t>respondent</w:t>
      </w:r>
      <w:r>
        <w:rPr>
          <w:lang w:val="en-US"/>
        </w:rPr>
        <w:t>s</w:t>
      </w:r>
      <w:r w:rsidR="00765EBD" w:rsidRPr="00FC709D">
        <w:t xml:space="preserve"> x 0.5 hours per response </w:t>
      </w:r>
      <w:r w:rsidR="00765EBD" w:rsidRPr="00FC709D">
        <w:rPr>
          <w:b/>
        </w:rPr>
        <w:t xml:space="preserve">= </w:t>
      </w:r>
      <w:r>
        <w:rPr>
          <w:b/>
          <w:lang w:val="en-US"/>
        </w:rPr>
        <w:t>1.0</w:t>
      </w:r>
      <w:r w:rsidR="00765EBD" w:rsidRPr="00FC709D">
        <w:rPr>
          <w:b/>
        </w:rPr>
        <w:t xml:space="preserve"> hours.</w:t>
      </w:r>
      <w:r w:rsidR="00765EBD" w:rsidRPr="00FC709D">
        <w:t xml:space="preserve"> </w:t>
      </w:r>
      <w:r w:rsidR="00765EBD" w:rsidRPr="00FC709D">
        <w:br/>
        <w:t>Cost per response = $</w:t>
      </w:r>
      <w:r w:rsidR="00765EBD">
        <w:rPr>
          <w:lang w:val="en-US"/>
        </w:rPr>
        <w:t>29.20</w:t>
      </w:r>
      <w:r w:rsidR="00765EBD">
        <w:tab/>
        <w:t xml:space="preserve">Internal cost = </w:t>
      </w:r>
      <w:r w:rsidR="00765EBD">
        <w:rPr>
          <w:lang w:val="en-US"/>
        </w:rPr>
        <w:t>$</w:t>
      </w:r>
      <w:r>
        <w:rPr>
          <w:lang w:val="en-US"/>
        </w:rPr>
        <w:t>58.39</w:t>
      </w:r>
      <w:r w:rsidR="00C34506" w:rsidRPr="00FC709D">
        <w:rPr>
          <w:strike/>
        </w:rPr>
        <w:t xml:space="preserve"> </w:t>
      </w:r>
    </w:p>
    <w:p w:rsidR="00765EBD" w:rsidRPr="00FC709D" w:rsidRDefault="00514677" w:rsidP="00765EBD">
      <w:pPr>
        <w:pStyle w:val="ParaNum"/>
        <w:numPr>
          <w:ilvl w:val="0"/>
          <w:numId w:val="0"/>
        </w:numPr>
        <w:tabs>
          <w:tab w:val="left" w:pos="720"/>
          <w:tab w:val="right" w:pos="9360"/>
        </w:tabs>
        <w:spacing w:after="220"/>
      </w:pPr>
      <w:r>
        <w:rPr>
          <w:b/>
        </w:rPr>
        <w:t>12-</w:t>
      </w:r>
      <w:r w:rsidR="001C5F77">
        <w:rPr>
          <w:b/>
          <w:lang w:val="en-US"/>
        </w:rPr>
        <w:t>e</w:t>
      </w:r>
      <w:r w:rsidR="00C34506">
        <w:rPr>
          <w:b/>
        </w:rPr>
        <w:t>.</w:t>
      </w:r>
      <w:r w:rsidR="0097135A">
        <w:rPr>
          <w:b/>
          <w:lang w:val="en-US"/>
        </w:rPr>
        <w:tab/>
      </w:r>
      <w:r w:rsidR="00765EBD" w:rsidRPr="00FC709D">
        <w:rPr>
          <w:i/>
          <w:lang w:val="en-US"/>
        </w:rPr>
        <w:t>Reporting</w:t>
      </w:r>
      <w:r w:rsidR="00765EBD">
        <w:rPr>
          <w:i/>
          <w:lang w:val="en-US"/>
        </w:rPr>
        <w:t>-</w:t>
      </w:r>
      <w:r w:rsidR="00765EBD" w:rsidRPr="00FC709D">
        <w:rPr>
          <w:i/>
          <w:lang w:val="en-US"/>
        </w:rPr>
        <w:t xml:space="preserve"> Compliance with License Renewal </w:t>
      </w:r>
      <w:r w:rsidR="00765EBD" w:rsidRPr="00FC709D">
        <w:rPr>
          <w:i/>
        </w:rPr>
        <w:t xml:space="preserve">pursuant to 47 C.F.R. </w:t>
      </w:r>
      <w:r w:rsidR="00765EBD" w:rsidRPr="00FC709D">
        <w:rPr>
          <w:bCs/>
          <w:i/>
          <w:sz w:val="24"/>
          <w:szCs w:val="24"/>
        </w:rPr>
        <w:t xml:space="preserve">§ </w:t>
      </w:r>
      <w:r w:rsidR="00765EBD">
        <w:rPr>
          <w:bCs/>
          <w:i/>
          <w:sz w:val="24"/>
          <w:szCs w:val="24"/>
          <w:lang w:val="en-US"/>
        </w:rPr>
        <w:t>27</w:t>
      </w:r>
      <w:r w:rsidR="00765EBD" w:rsidRPr="00FC709D">
        <w:rPr>
          <w:bCs/>
          <w:i/>
          <w:sz w:val="24"/>
          <w:szCs w:val="24"/>
        </w:rPr>
        <w:t>.</w:t>
      </w:r>
      <w:r w:rsidR="00765EBD">
        <w:rPr>
          <w:bCs/>
          <w:i/>
          <w:sz w:val="24"/>
          <w:szCs w:val="24"/>
          <w:lang w:val="en-US"/>
        </w:rPr>
        <w:t>14</w:t>
      </w:r>
      <w:r w:rsidR="00765EBD" w:rsidRPr="00FC709D">
        <w:rPr>
          <w:i/>
          <w:lang w:val="en-US"/>
        </w:rPr>
        <w:t>.</w:t>
      </w:r>
      <w:r w:rsidR="00765EBD" w:rsidRPr="00FC709D">
        <w:rPr>
          <w:lang w:val="en-US"/>
        </w:rPr>
        <w:t xml:space="preserve"> </w:t>
      </w:r>
      <w:r w:rsidR="00765EBD">
        <w:rPr>
          <w:lang w:val="en-US"/>
        </w:rPr>
        <w:t xml:space="preserve"> </w:t>
      </w:r>
      <w:r w:rsidR="00765EBD" w:rsidRPr="00FC709D">
        <w:rPr>
          <w:lang w:val="en-US"/>
        </w:rPr>
        <w:t xml:space="preserve">The Commission proposes </w:t>
      </w:r>
      <w:r w:rsidR="00765EBD" w:rsidRPr="00FC709D">
        <w:rPr>
          <w:color w:val="000000"/>
        </w:rPr>
        <w:t xml:space="preserve">that </w:t>
      </w:r>
      <w:r w:rsidR="00765EBD">
        <w:t>H Block</w:t>
      </w:r>
      <w:r w:rsidR="00765EBD" w:rsidRPr="00FC709D">
        <w:rPr>
          <w:color w:val="000000"/>
        </w:rPr>
        <w:t xml:space="preserve"> licensees must renew their </w:t>
      </w:r>
      <w:r w:rsidR="00765EBD">
        <w:rPr>
          <w:color w:val="000000"/>
        </w:rPr>
        <w:t>H Block</w:t>
      </w:r>
      <w:r w:rsidR="00765EBD" w:rsidRPr="00FC709D">
        <w:rPr>
          <w:color w:val="000000"/>
        </w:rPr>
        <w:t xml:space="preserve"> licenses every </w:t>
      </w:r>
      <w:r w:rsidR="00765EBD">
        <w:rPr>
          <w:color w:val="000000"/>
          <w:lang w:val="en-US"/>
        </w:rPr>
        <w:t>ten</w:t>
      </w:r>
      <w:r w:rsidR="00765EBD" w:rsidRPr="00FC709D">
        <w:rPr>
          <w:color w:val="000000"/>
        </w:rPr>
        <w:t xml:space="preserve"> years by filing a license renewal application.  Because the license renewal application will not be filed until </w:t>
      </w:r>
      <w:r w:rsidR="00765EBD">
        <w:rPr>
          <w:color w:val="000000"/>
          <w:lang w:val="en-US"/>
        </w:rPr>
        <w:t>ten</w:t>
      </w:r>
      <w:r w:rsidR="00765EBD" w:rsidRPr="00FC709D">
        <w:rPr>
          <w:color w:val="000000"/>
        </w:rPr>
        <w:t xml:space="preserve"> years after the initial license is granted, </w:t>
      </w:r>
      <w:r w:rsidR="00765EBD" w:rsidRPr="00FC709D">
        <w:t xml:space="preserve">we do not anticipate any burden hours for this collection during the next three-year approval period.  </w:t>
      </w:r>
    </w:p>
    <w:p w:rsidR="00C34506" w:rsidRDefault="00765EBD" w:rsidP="00FE37E4">
      <w:pPr>
        <w:pStyle w:val="ParaNum"/>
        <w:numPr>
          <w:ilvl w:val="0"/>
          <w:numId w:val="0"/>
        </w:numPr>
        <w:tabs>
          <w:tab w:val="clear" w:pos="-1440"/>
          <w:tab w:val="clear" w:pos="-720"/>
          <w:tab w:val="left" w:pos="720"/>
          <w:tab w:val="right" w:pos="9360"/>
        </w:tabs>
        <w:spacing w:after="220"/>
      </w:pPr>
      <w:r w:rsidRPr="00FC709D">
        <w:rPr>
          <w:b/>
        </w:rPr>
        <w:tab/>
        <w:t>= 0 hours</w:t>
      </w:r>
      <w:r w:rsidRPr="00FC709D">
        <w:t xml:space="preserve"> (this entry is on the statement merely to remind FCC staff to reactivate it in the future and to act as a place holder for this requirement.)</w:t>
      </w:r>
      <w:r w:rsidR="00C34506" w:rsidRPr="00FC709D">
        <w:t xml:space="preserve">  </w:t>
      </w:r>
    </w:p>
    <w:p w:rsidR="00C34506" w:rsidRPr="00FC709D" w:rsidRDefault="00C34506" w:rsidP="00C34506">
      <w:pPr>
        <w:pStyle w:val="ParaNum"/>
        <w:numPr>
          <w:ilvl w:val="0"/>
          <w:numId w:val="0"/>
        </w:numPr>
        <w:tabs>
          <w:tab w:val="left" w:pos="720"/>
          <w:tab w:val="right" w:pos="9360"/>
        </w:tabs>
        <w:spacing w:after="220"/>
      </w:pPr>
      <w:r w:rsidRPr="00FC709D">
        <w:rPr>
          <w:b/>
        </w:rPr>
        <w:t>12-</w:t>
      </w:r>
      <w:r w:rsidR="001C5F77">
        <w:rPr>
          <w:b/>
          <w:lang w:val="en-US"/>
        </w:rPr>
        <w:t>f</w:t>
      </w:r>
      <w:r w:rsidRPr="00FC709D">
        <w:rPr>
          <w:b/>
        </w:rPr>
        <w:t>.</w:t>
      </w:r>
      <w:r w:rsidRPr="00FC709D">
        <w:tab/>
      </w:r>
      <w:r w:rsidRPr="00FC709D">
        <w:rPr>
          <w:i/>
        </w:rPr>
        <w:t xml:space="preserve">Reporting-  Compliance with Licensee Notification of Permanently Discontinuing Service </w:t>
      </w:r>
      <w:r w:rsidRPr="00FC709D">
        <w:rPr>
          <w:i/>
          <w:lang w:val="en-US"/>
        </w:rPr>
        <w:t xml:space="preserve">pursuant to </w:t>
      </w:r>
      <w:r w:rsidRPr="00FC709D">
        <w:rPr>
          <w:i/>
        </w:rPr>
        <w:t xml:space="preserve">47 C.F.R.§ 27.17.  </w:t>
      </w:r>
      <w:r>
        <w:t>H Block</w:t>
      </w:r>
      <w:r w:rsidRPr="00FC709D">
        <w:t xml:space="preserve"> </w:t>
      </w:r>
      <w:r w:rsidRPr="00FC709D">
        <w:rPr>
          <w:color w:val="000000"/>
        </w:rPr>
        <w:t xml:space="preserve">licensees must notify the Commission within </w:t>
      </w:r>
      <w:r w:rsidR="005163C6">
        <w:rPr>
          <w:color w:val="000000"/>
          <w:lang w:val="en-US"/>
        </w:rPr>
        <w:t>ten</w:t>
      </w:r>
      <w:r w:rsidRPr="00FC709D">
        <w:rPr>
          <w:color w:val="000000"/>
        </w:rPr>
        <w:t xml:space="preserve"> days if they </w:t>
      </w:r>
      <w:r w:rsidRPr="00FC709D">
        <w:t xml:space="preserve">permanently discontinue service by filing FCC Form 601 or 605 and requesting license cancellation.  </w:t>
      </w:r>
      <w:proofErr w:type="spellStart"/>
      <w:r w:rsidR="001249AF" w:rsidRPr="00FC709D">
        <w:rPr>
          <w:lang w:val="en-US"/>
        </w:rPr>
        <w:t>W</w:t>
      </w:r>
      <w:r w:rsidR="001249AF" w:rsidRPr="00FC709D">
        <w:t>e</w:t>
      </w:r>
      <w:proofErr w:type="spellEnd"/>
      <w:r w:rsidR="001249AF">
        <w:rPr>
          <w:lang w:val="en-US"/>
        </w:rPr>
        <w:t xml:space="preserve"> </w:t>
      </w:r>
      <w:r w:rsidRPr="00FC709D">
        <w:t xml:space="preserve">do not anticipate any burden hours for this collection during the next three-year approval period.  </w:t>
      </w:r>
    </w:p>
    <w:p w:rsidR="00C6681B" w:rsidRPr="008131F8" w:rsidRDefault="00C34506" w:rsidP="008131F8">
      <w:pPr>
        <w:pStyle w:val="ParaNum"/>
        <w:numPr>
          <w:ilvl w:val="0"/>
          <w:numId w:val="0"/>
        </w:numPr>
        <w:spacing w:after="220"/>
        <w:ind w:firstLine="720"/>
        <w:rPr>
          <w:lang w:val="en-US"/>
        </w:rPr>
      </w:pPr>
      <w:r w:rsidRPr="00FC709D">
        <w:rPr>
          <w:b/>
        </w:rPr>
        <w:t>= 0 hours</w:t>
      </w:r>
      <w:r w:rsidRPr="00FC709D">
        <w:t xml:space="preserve"> (this entry is on the statement merely to remind FCC staff to reactivate it in the future and to act as a place holder for this requirement.)</w:t>
      </w:r>
    </w:p>
    <w:p w:rsidR="00200D32" w:rsidRPr="00200D32" w:rsidRDefault="00086B3A" w:rsidP="00042588">
      <w:pPr>
        <w:pStyle w:val="ParaNum"/>
        <w:numPr>
          <w:ilvl w:val="0"/>
          <w:numId w:val="0"/>
        </w:numPr>
        <w:tabs>
          <w:tab w:val="left" w:pos="720"/>
          <w:tab w:val="left" w:pos="3600"/>
          <w:tab w:val="right" w:pos="9360"/>
        </w:tabs>
        <w:spacing w:after="220"/>
        <w:rPr>
          <w:b/>
          <w:bCs/>
          <w:lang w:val="en-US"/>
        </w:rPr>
      </w:pPr>
      <w:r w:rsidRPr="00FC709D">
        <w:rPr>
          <w:b/>
          <w:bCs/>
        </w:rPr>
        <w:t xml:space="preserve">TOTAL ANNUAL BURDEN:  </w:t>
      </w:r>
      <w:r w:rsidR="00EE4ED3">
        <w:rPr>
          <w:b/>
          <w:bCs/>
          <w:lang w:val="en-US"/>
        </w:rPr>
        <w:t>25</w:t>
      </w:r>
      <w:r w:rsidR="00B73711">
        <w:rPr>
          <w:b/>
          <w:bCs/>
          <w:lang w:val="en-US"/>
        </w:rPr>
        <w:t xml:space="preserve"> </w:t>
      </w:r>
      <w:r w:rsidR="00956C49">
        <w:rPr>
          <w:b/>
          <w:bCs/>
          <w:lang w:val="en-US"/>
        </w:rPr>
        <w:t>+ .</w:t>
      </w:r>
      <w:r w:rsidR="00386E9F">
        <w:rPr>
          <w:b/>
          <w:bCs/>
          <w:lang w:val="en-US"/>
        </w:rPr>
        <w:t xml:space="preserve">50 </w:t>
      </w:r>
      <w:r w:rsidR="00956C49">
        <w:rPr>
          <w:b/>
          <w:bCs/>
          <w:lang w:val="en-US"/>
        </w:rPr>
        <w:t xml:space="preserve">+ </w:t>
      </w:r>
      <w:r w:rsidR="00386E9F">
        <w:rPr>
          <w:b/>
          <w:bCs/>
          <w:lang w:val="en-US"/>
        </w:rPr>
        <w:t>1</w:t>
      </w:r>
      <w:r w:rsidR="00200D32">
        <w:rPr>
          <w:b/>
          <w:bCs/>
          <w:lang w:val="en-US"/>
        </w:rPr>
        <w:t xml:space="preserve"> = </w:t>
      </w:r>
      <w:r w:rsidR="00EE4ED3">
        <w:rPr>
          <w:b/>
          <w:bCs/>
          <w:lang w:val="en-US"/>
        </w:rPr>
        <w:t>2</w:t>
      </w:r>
      <w:r w:rsidR="00552EC0">
        <w:rPr>
          <w:b/>
          <w:bCs/>
          <w:lang w:val="en-US"/>
        </w:rPr>
        <w:t>6</w:t>
      </w:r>
      <w:r w:rsidR="00EE4ED3">
        <w:rPr>
          <w:b/>
          <w:bCs/>
          <w:lang w:val="en-US"/>
        </w:rPr>
        <w:t>.</w:t>
      </w:r>
      <w:r w:rsidR="00552EC0">
        <w:rPr>
          <w:b/>
          <w:bCs/>
          <w:lang w:val="en-US"/>
        </w:rPr>
        <w:t>50</w:t>
      </w:r>
      <w:r w:rsidR="00200D32">
        <w:rPr>
          <w:b/>
          <w:bCs/>
          <w:lang w:val="en-US"/>
        </w:rPr>
        <w:t xml:space="preserve"> hours</w:t>
      </w:r>
    </w:p>
    <w:p w:rsidR="00C34506" w:rsidRPr="00FC709D" w:rsidRDefault="00C34506" w:rsidP="00C34506">
      <w:pPr>
        <w:pStyle w:val="ParaNum"/>
        <w:numPr>
          <w:ilvl w:val="0"/>
          <w:numId w:val="0"/>
        </w:numPr>
        <w:spacing w:after="220"/>
        <w:rPr>
          <w:b/>
        </w:rPr>
      </w:pPr>
      <w:r w:rsidRPr="00FC709D">
        <w:rPr>
          <w:b/>
        </w:rPr>
        <w:t>13.</w:t>
      </w:r>
      <w:r w:rsidRPr="00FC709D">
        <w:tab/>
      </w:r>
      <w:r w:rsidRPr="00FC709D">
        <w:rPr>
          <w:b/>
        </w:rPr>
        <w:t>Annual Costs to the Respondent:</w:t>
      </w:r>
    </w:p>
    <w:p w:rsidR="00C34506" w:rsidRPr="00CC21F2" w:rsidRDefault="00C34506" w:rsidP="00C34506">
      <w:pPr>
        <w:pStyle w:val="ParaNum"/>
        <w:numPr>
          <w:ilvl w:val="0"/>
          <w:numId w:val="0"/>
        </w:numPr>
        <w:spacing w:after="220"/>
        <w:rPr>
          <w:lang w:val="en-US"/>
        </w:rPr>
      </w:pPr>
      <w:r w:rsidRPr="00FC709D">
        <w:tab/>
      </w:r>
      <w:r w:rsidR="00E67F76">
        <w:rPr>
          <w:lang w:val="en-US"/>
        </w:rPr>
        <w:t xml:space="preserve">No external costs are expected under this collection request or estimated at this time.  </w:t>
      </w:r>
      <w:r w:rsidR="00FE46EB">
        <w:rPr>
          <w:lang w:val="en-US"/>
        </w:rPr>
        <w:t xml:space="preserve">Internal </w:t>
      </w:r>
      <w:r w:rsidRPr="00FC709D">
        <w:rPr>
          <w:lang w:val="en-US"/>
        </w:rPr>
        <w:t xml:space="preserve">costs are </w:t>
      </w:r>
      <w:r w:rsidR="00FE46EB">
        <w:rPr>
          <w:lang w:val="en-US"/>
        </w:rPr>
        <w:t>discussed</w:t>
      </w:r>
      <w:r w:rsidRPr="00FC709D">
        <w:rPr>
          <w:lang w:val="en-US"/>
        </w:rPr>
        <w:t xml:space="preserve"> in item 12</w:t>
      </w:r>
      <w:r w:rsidRPr="00CC21F2">
        <w:rPr>
          <w:lang w:val="en-US"/>
        </w:rPr>
        <w:t>.</w:t>
      </w:r>
    </w:p>
    <w:p w:rsidR="00C34506" w:rsidRPr="00FC709D" w:rsidRDefault="00C34506" w:rsidP="00C34506">
      <w:pPr>
        <w:pStyle w:val="ParaNum"/>
        <w:numPr>
          <w:ilvl w:val="0"/>
          <w:numId w:val="0"/>
        </w:numPr>
        <w:spacing w:after="220"/>
        <w:rPr>
          <w:lang w:val="en-US"/>
        </w:rPr>
      </w:pPr>
      <w:r w:rsidRPr="00CC21F2">
        <w:rPr>
          <w:lang w:val="en-US"/>
        </w:rPr>
        <w:tab/>
        <w:t>Applicants should not incur outside capital and start-up costs or operation and maintenance of purchase or services in connection with this information</w:t>
      </w:r>
      <w:r w:rsidRPr="00FC709D">
        <w:rPr>
          <w:lang w:val="en-US"/>
        </w:rPr>
        <w:t xml:space="preserve"> collection.    </w:t>
      </w:r>
    </w:p>
    <w:p w:rsidR="00C34506" w:rsidRPr="00FC709D" w:rsidRDefault="00C34506" w:rsidP="00C34506">
      <w:pPr>
        <w:pStyle w:val="ParaNum"/>
        <w:numPr>
          <w:ilvl w:val="0"/>
          <w:numId w:val="0"/>
        </w:numPr>
        <w:spacing w:after="220"/>
        <w:rPr>
          <w:b/>
          <w:lang w:val="en-US"/>
        </w:rPr>
      </w:pPr>
      <w:r w:rsidRPr="00FC709D">
        <w:rPr>
          <w:b/>
          <w:lang w:val="en-US"/>
        </w:rPr>
        <w:t xml:space="preserve">TOTAL CAPITAL AND START-UP COSTS or OPERATION AND MAINTENANCE (O&amp;M COSTS):   </w:t>
      </w:r>
    </w:p>
    <w:p w:rsidR="00C34506" w:rsidRPr="00FC709D" w:rsidRDefault="00C34506" w:rsidP="00C34506">
      <w:pPr>
        <w:pStyle w:val="ParaNum"/>
        <w:numPr>
          <w:ilvl w:val="0"/>
          <w:numId w:val="0"/>
        </w:numPr>
        <w:spacing w:after="220"/>
      </w:pPr>
      <w:proofErr w:type="gramStart"/>
      <w:r w:rsidRPr="00FC709D">
        <w:rPr>
          <w:lang w:val="en-US"/>
        </w:rPr>
        <w:t>None at this time.</w:t>
      </w:r>
      <w:proofErr w:type="gramEnd"/>
      <w:r w:rsidRPr="00FC709D">
        <w:t xml:space="preserve"> </w:t>
      </w:r>
    </w:p>
    <w:p w:rsidR="00E65155" w:rsidRDefault="00E65155" w:rsidP="00C34506">
      <w:pPr>
        <w:pStyle w:val="ParaNum"/>
        <w:numPr>
          <w:ilvl w:val="0"/>
          <w:numId w:val="0"/>
        </w:numPr>
        <w:tabs>
          <w:tab w:val="left" w:pos="720"/>
          <w:tab w:val="right" w:pos="9360"/>
        </w:tabs>
        <w:spacing w:after="220"/>
        <w:rPr>
          <w:b/>
          <w:lang w:val="en-US"/>
        </w:rPr>
      </w:pPr>
    </w:p>
    <w:p w:rsidR="00C34506" w:rsidRPr="00FC709D" w:rsidRDefault="00C34506" w:rsidP="00C34506">
      <w:pPr>
        <w:pStyle w:val="ParaNum"/>
        <w:numPr>
          <w:ilvl w:val="0"/>
          <w:numId w:val="0"/>
        </w:numPr>
        <w:tabs>
          <w:tab w:val="left" w:pos="720"/>
          <w:tab w:val="right" w:pos="9360"/>
        </w:tabs>
        <w:spacing w:after="220"/>
        <w:rPr>
          <w:lang w:val="en-US"/>
        </w:rPr>
      </w:pPr>
      <w:bookmarkStart w:id="0" w:name="_GoBack"/>
      <w:bookmarkEnd w:id="0"/>
      <w:r w:rsidRPr="00FC709D">
        <w:rPr>
          <w:b/>
        </w:rPr>
        <w:lastRenderedPageBreak/>
        <w:t>14.</w:t>
      </w:r>
      <w:r w:rsidRPr="00FC709D">
        <w:tab/>
      </w:r>
      <w:r w:rsidRPr="00FC709D">
        <w:rPr>
          <w:b/>
        </w:rPr>
        <w:t>Government Costs:</w:t>
      </w:r>
    </w:p>
    <w:p w:rsidR="00C34506" w:rsidRPr="00FC709D" w:rsidRDefault="00C34506" w:rsidP="00C34506">
      <w:pPr>
        <w:pStyle w:val="ParaNum"/>
        <w:numPr>
          <w:ilvl w:val="0"/>
          <w:numId w:val="0"/>
        </w:numPr>
        <w:spacing w:after="220"/>
      </w:pPr>
      <w:r w:rsidRPr="00FC709D">
        <w:rPr>
          <w:b/>
        </w:rPr>
        <w:t>14-a.</w:t>
      </w:r>
      <w:r w:rsidRPr="00FC709D">
        <w:tab/>
      </w:r>
      <w:r w:rsidRPr="00FC709D">
        <w:rPr>
          <w:i/>
        </w:rPr>
        <w:t xml:space="preserve">Performance Requirement for </w:t>
      </w:r>
      <w:r>
        <w:rPr>
          <w:i/>
        </w:rPr>
        <w:t>H Block</w:t>
      </w:r>
      <w:r w:rsidRPr="00FC709D">
        <w:rPr>
          <w:i/>
        </w:rPr>
        <w:t xml:space="preserve"> licensees pursuant to 47 C.F.R. </w:t>
      </w:r>
      <w:r w:rsidRPr="00FC709D">
        <w:rPr>
          <w:bCs/>
          <w:i/>
          <w:sz w:val="24"/>
          <w:szCs w:val="24"/>
        </w:rPr>
        <w:t>§ 1.946(d)</w:t>
      </w:r>
      <w:r w:rsidRPr="00FC709D">
        <w:t xml:space="preserve">.  The Commission </w:t>
      </w:r>
      <w:r w:rsidR="007A1F95">
        <w:rPr>
          <w:lang w:val="en-US"/>
        </w:rPr>
        <w:t xml:space="preserve">adopted rules that </w:t>
      </w:r>
      <w:r>
        <w:t>require H Block licensees to provide signal coverage and offer service to 40 percent of the license a</w:t>
      </w:r>
      <w:r w:rsidR="00864B2E">
        <w:t>rea’s population within four</w:t>
      </w:r>
      <w:r>
        <w:t xml:space="preserve"> years and 70 percent withi</w:t>
      </w:r>
      <w:r w:rsidR="00864B2E">
        <w:t>n ten</w:t>
      </w:r>
      <w:r>
        <w:t xml:space="preserve"> years, but it has </w:t>
      </w:r>
      <w:r w:rsidRPr="00FC709D">
        <w:t xml:space="preserve">not </w:t>
      </w:r>
      <w:r w:rsidR="007A1F95">
        <w:rPr>
          <w:lang w:val="en-US"/>
        </w:rPr>
        <w:t xml:space="preserve">adopted </w:t>
      </w:r>
      <w:r w:rsidRPr="00FC709D">
        <w:t xml:space="preserve">any deadlines associated with the performance requirements over the next three years.  Thus we do not anticipate any burden hours for this collection during the next three-year approval period.  </w:t>
      </w:r>
    </w:p>
    <w:p w:rsidR="00C34506" w:rsidRDefault="00C34506" w:rsidP="00C34506">
      <w:pPr>
        <w:pStyle w:val="ParaNum"/>
        <w:numPr>
          <w:ilvl w:val="0"/>
          <w:numId w:val="0"/>
        </w:numPr>
        <w:spacing w:after="220"/>
        <w:rPr>
          <w:lang w:val="en-US"/>
        </w:rPr>
      </w:pPr>
      <w:r w:rsidRPr="00FC709D">
        <w:rPr>
          <w:b/>
        </w:rPr>
        <w:t>14-b.</w:t>
      </w:r>
      <w:r w:rsidRPr="00FC709D">
        <w:tab/>
      </w:r>
      <w:r w:rsidR="00765EBD">
        <w:rPr>
          <w:i/>
          <w:color w:val="000000"/>
        </w:rPr>
        <w:t xml:space="preserve">Compliance with </w:t>
      </w:r>
      <w:r w:rsidR="00765EBD">
        <w:rPr>
          <w:i/>
          <w:color w:val="000000"/>
          <w:lang w:val="en-US"/>
        </w:rPr>
        <w:t>N</w:t>
      </w:r>
      <w:proofErr w:type="spellStart"/>
      <w:r w:rsidR="00765EBD">
        <w:rPr>
          <w:i/>
          <w:color w:val="000000"/>
        </w:rPr>
        <w:t>ational</w:t>
      </w:r>
      <w:proofErr w:type="spellEnd"/>
      <w:r w:rsidR="00765EBD">
        <w:rPr>
          <w:i/>
          <w:color w:val="000000"/>
        </w:rPr>
        <w:t xml:space="preserve"> </w:t>
      </w:r>
      <w:r w:rsidR="00765EBD">
        <w:rPr>
          <w:i/>
          <w:color w:val="000000"/>
          <w:lang w:val="en-US"/>
        </w:rPr>
        <w:t>S</w:t>
      </w:r>
      <w:proofErr w:type="spellStart"/>
      <w:r w:rsidR="00765EBD">
        <w:rPr>
          <w:i/>
          <w:color w:val="000000"/>
        </w:rPr>
        <w:t>ecurity</w:t>
      </w:r>
      <w:proofErr w:type="spellEnd"/>
      <w:r w:rsidR="00765EBD">
        <w:rPr>
          <w:i/>
          <w:color w:val="000000"/>
        </w:rPr>
        <w:t xml:space="preserve"> </w:t>
      </w:r>
      <w:r w:rsidR="00765EBD">
        <w:rPr>
          <w:i/>
          <w:color w:val="000000"/>
          <w:lang w:val="en-US"/>
        </w:rPr>
        <w:t>Certification</w:t>
      </w:r>
      <w:r w:rsidR="00765EBD">
        <w:rPr>
          <w:i/>
          <w:color w:val="000000"/>
        </w:rPr>
        <w:t xml:space="preserve"> pursuant </w:t>
      </w:r>
      <w:r w:rsidR="00765EBD" w:rsidRPr="007E0551">
        <w:rPr>
          <w:i/>
          <w:color w:val="000000"/>
        </w:rPr>
        <w:t xml:space="preserve">to </w:t>
      </w:r>
      <w:r w:rsidR="00765EBD" w:rsidRPr="009A6DF3">
        <w:rPr>
          <w:i/>
          <w:color w:val="000000"/>
        </w:rPr>
        <w:t xml:space="preserve">47 </w:t>
      </w:r>
      <w:r w:rsidR="00765EBD">
        <w:rPr>
          <w:i/>
          <w:color w:val="000000"/>
        </w:rPr>
        <w:t xml:space="preserve">C.F.R. </w:t>
      </w:r>
      <w:r w:rsidR="00765EBD" w:rsidRPr="001C5F77">
        <w:rPr>
          <w:i/>
          <w:sz w:val="24"/>
          <w:szCs w:val="24"/>
        </w:rPr>
        <w:t xml:space="preserve">§ </w:t>
      </w:r>
      <w:r w:rsidR="00EE4ED3">
        <w:rPr>
          <w:i/>
          <w:sz w:val="24"/>
          <w:szCs w:val="24"/>
          <w:lang w:val="en-US"/>
        </w:rPr>
        <w:t>1.2105(a)(2)(xii)</w:t>
      </w:r>
      <w:r w:rsidR="00765EBD">
        <w:rPr>
          <w:color w:val="000000"/>
        </w:rPr>
        <w:t>.</w:t>
      </w:r>
      <w:r w:rsidR="00765EBD" w:rsidRPr="00F13CD7">
        <w:t xml:space="preserve"> </w:t>
      </w:r>
      <w:r w:rsidR="00765EBD">
        <w:t xml:space="preserve"> </w:t>
      </w:r>
      <w:r w:rsidR="00765EBD" w:rsidRPr="00FC709D">
        <w:t>We estimate that the cost to the Commission for a GS 7 legal instrument examiner at $</w:t>
      </w:r>
      <w:r w:rsidR="00765EBD" w:rsidRPr="00FC709D">
        <w:rPr>
          <w:lang w:val="en-US"/>
        </w:rPr>
        <w:t>19</w:t>
      </w:r>
      <w:r w:rsidR="00765EBD" w:rsidRPr="00FC709D">
        <w:t xml:space="preserve"> (rounded off) per hour to take </w:t>
      </w:r>
      <w:r w:rsidR="00765EBD">
        <w:rPr>
          <w:lang w:val="en-US"/>
        </w:rPr>
        <w:t>.25</w:t>
      </w:r>
      <w:r w:rsidR="00765EBD">
        <w:t xml:space="preserve"> hrs. to review </w:t>
      </w:r>
      <w:r w:rsidR="00765EBD">
        <w:rPr>
          <w:lang w:val="en-US"/>
        </w:rPr>
        <w:t xml:space="preserve">the estimated </w:t>
      </w:r>
      <w:r w:rsidR="005E3551">
        <w:rPr>
          <w:lang w:val="en-US"/>
        </w:rPr>
        <w:t>100</w:t>
      </w:r>
      <w:r w:rsidR="00765EBD" w:rsidRPr="00FC709D">
        <w:t xml:space="preserve"> </w:t>
      </w:r>
      <w:r w:rsidR="00765EBD">
        <w:rPr>
          <w:color w:val="000000"/>
        </w:rPr>
        <w:t>certif</w:t>
      </w:r>
      <w:r w:rsidR="00765EBD">
        <w:rPr>
          <w:color w:val="000000"/>
          <w:lang w:val="en-US"/>
        </w:rPr>
        <w:t xml:space="preserve">ications stating that the applicants </w:t>
      </w:r>
      <w:r w:rsidR="00765EBD">
        <w:rPr>
          <w:color w:val="000000"/>
        </w:rPr>
        <w:t>have not been barred for reasons of national security by any federal government agency from bidding on a contract, participating in an auction or receiving a grant</w:t>
      </w:r>
      <w:r w:rsidR="00765EBD">
        <w:rPr>
          <w:color w:val="000000"/>
          <w:lang w:val="en-US"/>
        </w:rPr>
        <w:t xml:space="preserve"> is </w:t>
      </w:r>
      <w:r w:rsidR="00765EBD">
        <w:t>$</w:t>
      </w:r>
      <w:r w:rsidR="005E3551">
        <w:rPr>
          <w:lang w:val="en-US"/>
        </w:rPr>
        <w:t>475</w:t>
      </w:r>
      <w:r w:rsidR="00765EBD">
        <w:t>.</w:t>
      </w:r>
    </w:p>
    <w:p w:rsidR="001C5F77" w:rsidRPr="001C5F77" w:rsidRDefault="001C5F77" w:rsidP="00C34506">
      <w:pPr>
        <w:pStyle w:val="ParaNum"/>
        <w:numPr>
          <w:ilvl w:val="0"/>
          <w:numId w:val="0"/>
        </w:numPr>
        <w:spacing w:after="220"/>
        <w:rPr>
          <w:lang w:val="en-US"/>
        </w:rPr>
      </w:pPr>
      <w:r>
        <w:rPr>
          <w:b/>
          <w:color w:val="000000"/>
        </w:rPr>
        <w:t>14-</w:t>
      </w:r>
      <w:r>
        <w:rPr>
          <w:b/>
          <w:color w:val="000000"/>
          <w:lang w:val="en-US"/>
        </w:rPr>
        <w:t>c</w:t>
      </w:r>
      <w:r>
        <w:rPr>
          <w:b/>
          <w:color w:val="000000"/>
        </w:rPr>
        <w:t>.</w:t>
      </w:r>
      <w:r>
        <w:rPr>
          <w:b/>
          <w:color w:val="000000"/>
        </w:rPr>
        <w:tab/>
      </w:r>
      <w:r w:rsidR="00765EBD" w:rsidRPr="00FC709D">
        <w:rPr>
          <w:i/>
        </w:rPr>
        <w:t xml:space="preserve">Change in Regulatory Status for </w:t>
      </w:r>
      <w:r w:rsidR="00765EBD">
        <w:rPr>
          <w:i/>
        </w:rPr>
        <w:t>H Block</w:t>
      </w:r>
      <w:r w:rsidR="00765EBD" w:rsidRPr="00FC709D">
        <w:rPr>
          <w:i/>
        </w:rPr>
        <w:t xml:space="preserve"> licensees pursuant to 47 C.F.R. § 27.10(d)</w:t>
      </w:r>
      <w:r w:rsidR="00765EBD" w:rsidRPr="00FC709D">
        <w:rPr>
          <w:i/>
          <w:lang w:val="en-US"/>
        </w:rPr>
        <w:t>.</w:t>
      </w:r>
      <w:r w:rsidR="00765EBD" w:rsidRPr="00FC709D">
        <w:t xml:space="preserve"> We estimate that the cost to the Commission for a GS 7 legal instrument examiner at $</w:t>
      </w:r>
      <w:r w:rsidR="00765EBD" w:rsidRPr="00FC709D">
        <w:rPr>
          <w:lang w:val="en-US"/>
        </w:rPr>
        <w:t>19</w:t>
      </w:r>
      <w:r w:rsidR="00765EBD" w:rsidRPr="00FC709D">
        <w:t xml:space="preserve"> (rounded off) per hour to take </w:t>
      </w:r>
      <w:r w:rsidR="00765EBD" w:rsidRPr="00FC709D">
        <w:rPr>
          <w:lang w:val="en-US"/>
        </w:rPr>
        <w:t>.25</w:t>
      </w:r>
      <w:r w:rsidR="00765EBD">
        <w:t xml:space="preserve"> hrs. to review </w:t>
      </w:r>
      <w:r w:rsidR="00765EBD">
        <w:rPr>
          <w:lang w:val="en-US"/>
        </w:rPr>
        <w:t xml:space="preserve">the </w:t>
      </w:r>
      <w:r w:rsidR="00386E9F">
        <w:rPr>
          <w:lang w:val="en-US"/>
        </w:rPr>
        <w:t>two</w:t>
      </w:r>
      <w:r w:rsidR="00386E9F" w:rsidRPr="00FC709D">
        <w:t xml:space="preserve"> </w:t>
      </w:r>
      <w:r w:rsidR="00765EBD" w:rsidRPr="00FC709D">
        <w:rPr>
          <w:lang w:val="en-US"/>
        </w:rPr>
        <w:t>change</w:t>
      </w:r>
      <w:r w:rsidR="00386E9F">
        <w:rPr>
          <w:lang w:val="en-US"/>
        </w:rPr>
        <w:t>s</w:t>
      </w:r>
      <w:r w:rsidR="00765EBD" w:rsidRPr="00FC709D">
        <w:rPr>
          <w:lang w:val="en-US"/>
        </w:rPr>
        <w:t xml:space="preserve"> in regulatory status</w:t>
      </w:r>
      <w:r w:rsidR="00765EBD" w:rsidRPr="00FC709D">
        <w:t xml:space="preserve"> that might be filed is $</w:t>
      </w:r>
      <w:r w:rsidR="00386E9F">
        <w:rPr>
          <w:lang w:val="en-US"/>
        </w:rPr>
        <w:t>9.50</w:t>
      </w:r>
      <w:r w:rsidR="00765EBD" w:rsidRPr="00FC709D">
        <w:t>.</w:t>
      </w:r>
      <w:r w:rsidRPr="001C5F77">
        <w:rPr>
          <w:i/>
          <w:color w:val="000000"/>
        </w:rPr>
        <w:t xml:space="preserve"> </w:t>
      </w:r>
    </w:p>
    <w:p w:rsidR="00C34506" w:rsidRPr="003F77E4" w:rsidRDefault="001C5F77" w:rsidP="00C34506">
      <w:pPr>
        <w:pStyle w:val="ParaNum"/>
        <w:numPr>
          <w:ilvl w:val="0"/>
          <w:numId w:val="0"/>
        </w:numPr>
        <w:spacing w:after="220"/>
        <w:rPr>
          <w:lang w:val="en-US"/>
        </w:rPr>
      </w:pPr>
      <w:r>
        <w:rPr>
          <w:b/>
        </w:rPr>
        <w:t>14-</w:t>
      </w:r>
      <w:r>
        <w:rPr>
          <w:b/>
          <w:lang w:val="en-US"/>
        </w:rPr>
        <w:t>d</w:t>
      </w:r>
      <w:r w:rsidR="00C34506" w:rsidRPr="00FC709D">
        <w:rPr>
          <w:b/>
        </w:rPr>
        <w:t>.</w:t>
      </w:r>
      <w:r w:rsidR="00C34506" w:rsidRPr="00FC709D">
        <w:tab/>
      </w:r>
      <w:r w:rsidR="00765EBD" w:rsidRPr="00FC709D">
        <w:rPr>
          <w:i/>
        </w:rPr>
        <w:t xml:space="preserve">Foreign </w:t>
      </w:r>
      <w:r w:rsidR="00765EBD">
        <w:rPr>
          <w:i/>
          <w:lang w:val="en-US"/>
        </w:rPr>
        <w:t>O</w:t>
      </w:r>
      <w:proofErr w:type="spellStart"/>
      <w:r w:rsidR="00765EBD" w:rsidRPr="00FC709D">
        <w:rPr>
          <w:i/>
        </w:rPr>
        <w:t>wnership</w:t>
      </w:r>
      <w:proofErr w:type="spellEnd"/>
      <w:r w:rsidR="00765EBD" w:rsidRPr="00FC709D">
        <w:rPr>
          <w:i/>
        </w:rPr>
        <w:t xml:space="preserve"> </w:t>
      </w:r>
      <w:r w:rsidR="00765EBD">
        <w:rPr>
          <w:i/>
          <w:lang w:val="en-US"/>
        </w:rPr>
        <w:t>N</w:t>
      </w:r>
      <w:proofErr w:type="spellStart"/>
      <w:r w:rsidR="00765EBD" w:rsidRPr="00FC709D">
        <w:rPr>
          <w:i/>
        </w:rPr>
        <w:t>otifications</w:t>
      </w:r>
      <w:proofErr w:type="spellEnd"/>
      <w:r w:rsidR="00765EBD" w:rsidRPr="00FC709D">
        <w:rPr>
          <w:i/>
        </w:rPr>
        <w:t xml:space="preserve"> pursuant to 47 C.F.R. </w:t>
      </w:r>
      <w:r w:rsidR="00765EBD" w:rsidRPr="00FC709D">
        <w:rPr>
          <w:bCs/>
          <w:i/>
          <w:sz w:val="24"/>
          <w:szCs w:val="24"/>
        </w:rPr>
        <w:t>§ 27.12</w:t>
      </w:r>
      <w:r w:rsidR="00765EBD" w:rsidRPr="00FC709D">
        <w:t>.  We estimate that the cost to the Commission for a GS 7 legal instrument examiner at $</w:t>
      </w:r>
      <w:r w:rsidR="00765EBD" w:rsidRPr="00FC709D">
        <w:rPr>
          <w:lang w:val="en-US"/>
        </w:rPr>
        <w:t>19</w:t>
      </w:r>
      <w:r w:rsidR="00765EBD" w:rsidRPr="00FC709D">
        <w:t xml:space="preserve"> (rounded off) per hour to take </w:t>
      </w:r>
      <w:r w:rsidR="00765EBD" w:rsidRPr="00FC709D">
        <w:rPr>
          <w:lang w:val="en-US"/>
        </w:rPr>
        <w:t>.25</w:t>
      </w:r>
      <w:r w:rsidR="00765EBD" w:rsidRPr="00FC709D">
        <w:t xml:space="preserve"> hrs. to review each of the </w:t>
      </w:r>
      <w:r w:rsidR="00386E9F">
        <w:rPr>
          <w:lang w:val="en-US"/>
        </w:rPr>
        <w:t>two</w:t>
      </w:r>
      <w:r w:rsidR="00765EBD" w:rsidRPr="00FC709D">
        <w:t>foreign ownership change submissions that might be filed is $</w:t>
      </w:r>
      <w:r w:rsidR="00386E9F">
        <w:rPr>
          <w:lang w:val="en-US"/>
        </w:rPr>
        <w:t>9.50</w:t>
      </w:r>
      <w:r w:rsidR="00765EBD">
        <w:rPr>
          <w:lang w:val="en-US"/>
        </w:rPr>
        <w:t>.</w:t>
      </w:r>
      <w:r w:rsidR="00C34506" w:rsidRPr="00FC709D">
        <w:t xml:space="preserve"> </w:t>
      </w:r>
      <w:r w:rsidR="003F77E4">
        <w:rPr>
          <w:lang w:val="en-US"/>
        </w:rPr>
        <w:t xml:space="preserve"> </w:t>
      </w:r>
    </w:p>
    <w:p w:rsidR="004F7E4E" w:rsidRDefault="00C34506" w:rsidP="00C90A5C">
      <w:pPr>
        <w:pStyle w:val="ParaNum"/>
        <w:numPr>
          <w:ilvl w:val="0"/>
          <w:numId w:val="0"/>
        </w:numPr>
        <w:spacing w:after="220"/>
        <w:rPr>
          <w:lang w:val="en-US"/>
        </w:rPr>
      </w:pPr>
      <w:r w:rsidRPr="00FC709D">
        <w:rPr>
          <w:b/>
        </w:rPr>
        <w:t>14-</w:t>
      </w:r>
      <w:r w:rsidR="001C5F77">
        <w:rPr>
          <w:b/>
          <w:lang w:val="en-US"/>
        </w:rPr>
        <w:t>e</w:t>
      </w:r>
      <w:r w:rsidRPr="00FC709D">
        <w:rPr>
          <w:b/>
        </w:rPr>
        <w:t>.</w:t>
      </w:r>
      <w:r w:rsidRPr="00FC709D">
        <w:tab/>
      </w:r>
      <w:proofErr w:type="gramStart"/>
      <w:r w:rsidR="00765EBD" w:rsidRPr="00FC709D">
        <w:rPr>
          <w:i/>
          <w:lang w:val="en-US"/>
        </w:rPr>
        <w:t xml:space="preserve">Compliance with License Renewal </w:t>
      </w:r>
      <w:r w:rsidR="00765EBD" w:rsidRPr="00FC709D">
        <w:rPr>
          <w:i/>
        </w:rPr>
        <w:t xml:space="preserve">pursuant to 47 C.F.R. </w:t>
      </w:r>
      <w:r w:rsidR="00765EBD" w:rsidRPr="00FC709D">
        <w:rPr>
          <w:bCs/>
          <w:i/>
          <w:sz w:val="24"/>
          <w:szCs w:val="24"/>
        </w:rPr>
        <w:t xml:space="preserve">§ </w:t>
      </w:r>
      <w:r w:rsidR="00765EBD">
        <w:rPr>
          <w:bCs/>
          <w:i/>
          <w:sz w:val="24"/>
          <w:szCs w:val="24"/>
          <w:lang w:val="en-US"/>
        </w:rPr>
        <w:t>27</w:t>
      </w:r>
      <w:r w:rsidR="00765EBD" w:rsidRPr="00FC709D">
        <w:rPr>
          <w:bCs/>
          <w:i/>
          <w:sz w:val="24"/>
          <w:szCs w:val="24"/>
        </w:rPr>
        <w:t>.</w:t>
      </w:r>
      <w:r w:rsidR="00765EBD">
        <w:rPr>
          <w:bCs/>
          <w:i/>
          <w:sz w:val="24"/>
          <w:szCs w:val="24"/>
          <w:lang w:val="en-US"/>
        </w:rPr>
        <w:t>14</w:t>
      </w:r>
      <w:r w:rsidR="00765EBD" w:rsidRPr="00FC709D">
        <w:rPr>
          <w:i/>
          <w:lang w:val="en-US"/>
        </w:rPr>
        <w:t>.</w:t>
      </w:r>
      <w:proofErr w:type="gramEnd"/>
      <w:r w:rsidR="00765EBD" w:rsidRPr="00FC709D">
        <w:rPr>
          <w:lang w:val="en-US"/>
        </w:rPr>
        <w:t xml:space="preserve"> </w:t>
      </w:r>
      <w:r w:rsidR="00765EBD">
        <w:rPr>
          <w:lang w:val="en-US"/>
        </w:rPr>
        <w:t xml:space="preserve"> </w:t>
      </w:r>
      <w:r w:rsidR="00765EBD" w:rsidRPr="00FC709D">
        <w:rPr>
          <w:color w:val="000000"/>
        </w:rPr>
        <w:t xml:space="preserve">The license renewal application will not be filed until </w:t>
      </w:r>
      <w:r w:rsidR="00765EBD">
        <w:rPr>
          <w:color w:val="000000"/>
          <w:lang w:val="en-US"/>
        </w:rPr>
        <w:t>ten</w:t>
      </w:r>
      <w:r w:rsidR="00765EBD" w:rsidRPr="00FC709D">
        <w:rPr>
          <w:color w:val="000000"/>
        </w:rPr>
        <w:t xml:space="preserve"> years after the initial license is granted so </w:t>
      </w:r>
      <w:r w:rsidR="00765EBD" w:rsidRPr="00FC709D">
        <w:t>we do not anticipate any license renewal applications being filed during the next three-year approval period.</w:t>
      </w:r>
    </w:p>
    <w:p w:rsidR="00D34E94" w:rsidRPr="008131F8" w:rsidRDefault="00C34506" w:rsidP="008131F8">
      <w:pPr>
        <w:pStyle w:val="ParaNum"/>
        <w:numPr>
          <w:ilvl w:val="0"/>
          <w:numId w:val="0"/>
        </w:numPr>
        <w:tabs>
          <w:tab w:val="left" w:pos="720"/>
          <w:tab w:val="right" w:pos="9360"/>
        </w:tabs>
        <w:spacing w:after="220"/>
        <w:rPr>
          <w:b/>
          <w:lang w:val="en-US"/>
        </w:rPr>
      </w:pPr>
      <w:r w:rsidRPr="00FC709D">
        <w:rPr>
          <w:b/>
        </w:rPr>
        <w:t>14-</w:t>
      </w:r>
      <w:r w:rsidR="001C5F77">
        <w:rPr>
          <w:b/>
          <w:lang w:val="en-US"/>
        </w:rPr>
        <w:t>f</w:t>
      </w:r>
      <w:r w:rsidRPr="00FC709D">
        <w:rPr>
          <w:b/>
        </w:rPr>
        <w:t>.</w:t>
      </w:r>
      <w:r w:rsidRPr="00FC709D">
        <w:tab/>
      </w:r>
      <w:r w:rsidRPr="00FC709D">
        <w:rPr>
          <w:i/>
        </w:rPr>
        <w:t xml:space="preserve">Licensee Notification of Permanently Discontinuing Service </w:t>
      </w:r>
      <w:r w:rsidRPr="00FC709D">
        <w:rPr>
          <w:i/>
          <w:lang w:val="en-US"/>
        </w:rPr>
        <w:t xml:space="preserve">pursuant to </w:t>
      </w:r>
      <w:r w:rsidRPr="00FC709D">
        <w:rPr>
          <w:i/>
        </w:rPr>
        <w:t>47 C.F.R.§ 27.17</w:t>
      </w:r>
      <w:r w:rsidRPr="00FC709D">
        <w:rPr>
          <w:i/>
          <w:lang w:val="en-US"/>
        </w:rPr>
        <w:t>.</w:t>
      </w:r>
      <w:r w:rsidRPr="00FC709D">
        <w:t xml:space="preserve">  We do not anticipate any notifications being filed for this collection during the next three-year approval period.</w:t>
      </w:r>
    </w:p>
    <w:p w:rsidR="00C34506" w:rsidRPr="00FC709D" w:rsidRDefault="00C34506" w:rsidP="00C34506">
      <w:pPr>
        <w:pStyle w:val="ParaNum"/>
        <w:numPr>
          <w:ilvl w:val="0"/>
          <w:numId w:val="0"/>
        </w:numPr>
        <w:spacing w:after="220"/>
        <w:rPr>
          <w:b/>
          <w:u w:val="single"/>
        </w:rPr>
      </w:pPr>
      <w:r w:rsidRPr="00FC709D">
        <w:rPr>
          <w:b/>
        </w:rPr>
        <w:t xml:space="preserve">Total cost to the government:  </w:t>
      </w:r>
      <w:r w:rsidRPr="00FC709D">
        <w:t>$</w:t>
      </w:r>
      <w:r w:rsidR="005E3551">
        <w:rPr>
          <w:lang w:val="en-US"/>
        </w:rPr>
        <w:t>475</w:t>
      </w:r>
      <w:r w:rsidRPr="00FC709D">
        <w:t xml:space="preserve"> + $</w:t>
      </w:r>
      <w:r w:rsidR="00386E9F">
        <w:rPr>
          <w:lang w:val="en-US"/>
        </w:rPr>
        <w:t>9.50</w:t>
      </w:r>
      <w:r w:rsidR="00D35D82" w:rsidRPr="00FC709D">
        <w:t xml:space="preserve"> </w:t>
      </w:r>
      <w:r w:rsidRPr="00FC709D">
        <w:rPr>
          <w:b/>
        </w:rPr>
        <w:t xml:space="preserve">+ </w:t>
      </w:r>
      <w:r w:rsidRPr="00FC709D">
        <w:t>$</w:t>
      </w:r>
      <w:r w:rsidR="00386E9F">
        <w:rPr>
          <w:lang w:val="en-US"/>
        </w:rPr>
        <w:t>9.50</w:t>
      </w:r>
      <w:r w:rsidRPr="00FC709D">
        <w:t xml:space="preserve"> </w:t>
      </w:r>
      <w:r w:rsidRPr="00FC709D">
        <w:rPr>
          <w:b/>
        </w:rPr>
        <w:t xml:space="preserve">= </w:t>
      </w:r>
      <w:r w:rsidRPr="00FC709D">
        <w:t>$</w:t>
      </w:r>
      <w:r w:rsidR="00386E9F">
        <w:rPr>
          <w:lang w:val="en-US"/>
        </w:rPr>
        <w:t>494</w:t>
      </w:r>
      <w:r w:rsidRPr="0094194D">
        <w:t>.</w:t>
      </w:r>
    </w:p>
    <w:p w:rsidR="00C34506" w:rsidRPr="00FC709D" w:rsidRDefault="00C34506" w:rsidP="00C34506">
      <w:pPr>
        <w:pStyle w:val="ParaNum"/>
        <w:numPr>
          <w:ilvl w:val="0"/>
          <w:numId w:val="0"/>
        </w:numPr>
        <w:spacing w:after="220"/>
      </w:pPr>
      <w:r w:rsidRPr="00FC709D">
        <w:rPr>
          <w:b/>
        </w:rPr>
        <w:t xml:space="preserve">15.  </w:t>
      </w:r>
      <w:r w:rsidRPr="00FC709D">
        <w:rPr>
          <w:b/>
        </w:rPr>
        <w:tab/>
      </w:r>
      <w:r w:rsidR="000062A2">
        <w:rPr>
          <w:i/>
          <w:szCs w:val="24"/>
        </w:rPr>
        <w:t xml:space="preserve">Program changes or adjustments from the revised collection.  </w:t>
      </w:r>
      <w:r w:rsidR="00C460C6">
        <w:rPr>
          <w:lang w:val="en-US"/>
        </w:rPr>
        <w:t xml:space="preserve">This is an </w:t>
      </w:r>
      <w:r w:rsidRPr="00FC709D">
        <w:rPr>
          <w:lang w:val="en-US"/>
        </w:rPr>
        <w:t xml:space="preserve">information collection resulting in a program change increase of </w:t>
      </w:r>
      <w:r w:rsidR="005E3551">
        <w:rPr>
          <w:lang w:val="en-US"/>
        </w:rPr>
        <w:t>2</w:t>
      </w:r>
      <w:r w:rsidR="00386E9F">
        <w:rPr>
          <w:lang w:val="en-US"/>
        </w:rPr>
        <w:t>6.50</w:t>
      </w:r>
      <w:r w:rsidRPr="00FC709D">
        <w:rPr>
          <w:lang w:val="en-US"/>
        </w:rPr>
        <w:t xml:space="preserve"> total annual burden hours.</w:t>
      </w:r>
      <w:r w:rsidRPr="00FC709D">
        <w:t xml:space="preserve">  </w:t>
      </w:r>
    </w:p>
    <w:p w:rsidR="00C34506" w:rsidRPr="00FC709D" w:rsidRDefault="00C34506" w:rsidP="00C34506">
      <w:pPr>
        <w:pStyle w:val="ParaNum"/>
        <w:numPr>
          <w:ilvl w:val="0"/>
          <w:numId w:val="0"/>
        </w:numPr>
        <w:spacing w:after="220"/>
      </w:pPr>
      <w:r w:rsidRPr="00FC709D">
        <w:rPr>
          <w:b/>
        </w:rPr>
        <w:t>16.</w:t>
      </w:r>
      <w:r w:rsidRPr="00FC709D">
        <w:t xml:space="preserve">  </w:t>
      </w:r>
      <w:r w:rsidRPr="00FC709D">
        <w:tab/>
      </w:r>
      <w:r w:rsidR="000062A2">
        <w:rPr>
          <w:i/>
          <w:szCs w:val="24"/>
        </w:rPr>
        <w:t xml:space="preserve">Collections of information whose results will be published.  </w:t>
      </w:r>
      <w:r w:rsidRPr="00FC709D">
        <w:t>The data will not be published for statistical use.</w:t>
      </w:r>
    </w:p>
    <w:p w:rsidR="00C34506" w:rsidRDefault="00C34506" w:rsidP="00C34506">
      <w:pPr>
        <w:pStyle w:val="ParaNum"/>
        <w:numPr>
          <w:ilvl w:val="0"/>
          <w:numId w:val="0"/>
        </w:numPr>
        <w:spacing w:after="220"/>
      </w:pPr>
      <w:r w:rsidRPr="00FC709D">
        <w:rPr>
          <w:b/>
        </w:rPr>
        <w:t>17.</w:t>
      </w:r>
      <w:r w:rsidRPr="00FC709D">
        <w:t xml:space="preserve">  </w:t>
      </w:r>
      <w:r w:rsidRPr="00FC709D">
        <w:tab/>
      </w:r>
      <w:r w:rsidR="000062A2">
        <w:rPr>
          <w:i/>
          <w:szCs w:val="24"/>
        </w:rPr>
        <w:t xml:space="preserve">Display of expiration date for OMB approval of information collection.  </w:t>
      </w:r>
      <w:r w:rsidRPr="00FC709D">
        <w:t xml:space="preserve">We </w:t>
      </w:r>
      <w:r w:rsidR="00FE46EB">
        <w:rPr>
          <w:lang w:val="en-US"/>
        </w:rPr>
        <w:t xml:space="preserve">do not request </w:t>
      </w:r>
      <w:r w:rsidR="007A1F95">
        <w:rPr>
          <w:lang w:val="en-US"/>
        </w:rPr>
        <w:t>OMB</w:t>
      </w:r>
      <w:r w:rsidRPr="00FC709D">
        <w:t xml:space="preserve"> approval to not display the </w:t>
      </w:r>
      <w:r w:rsidR="00FE46EB">
        <w:rPr>
          <w:lang w:val="en-US"/>
        </w:rPr>
        <w:t>e</w:t>
      </w:r>
      <w:proofErr w:type="spellStart"/>
      <w:r w:rsidRPr="00FC709D">
        <w:t>xp</w:t>
      </w:r>
      <w:r w:rsidR="00FE46EB">
        <w:rPr>
          <w:lang w:val="en-US"/>
        </w:rPr>
        <w:t>i</w:t>
      </w:r>
      <w:proofErr w:type="spellEnd"/>
      <w:r w:rsidRPr="00FC709D">
        <w:t>ration date for OMB approval of the information collection.  The Commission publishes a comprehensive listing of all OMB</w:t>
      </w:r>
      <w:r w:rsidRPr="00FC709D">
        <w:rPr>
          <w:lang w:val="en-US"/>
        </w:rPr>
        <w:t>-</w:t>
      </w:r>
      <w:r w:rsidRPr="00FC709D">
        <w:t xml:space="preserve">approved information collections in 47 C.F.R. § 0.408.  This listing “displays” the title of the collection, its OMB control number and </w:t>
      </w:r>
      <w:r w:rsidRPr="00FC709D">
        <w:rPr>
          <w:lang w:val="en-US"/>
        </w:rPr>
        <w:t xml:space="preserve">OMB </w:t>
      </w:r>
      <w:r w:rsidRPr="00FC709D">
        <w:t>expiration date.</w:t>
      </w:r>
      <w:r w:rsidRPr="003A221C">
        <w:t xml:space="preserve">  </w:t>
      </w:r>
    </w:p>
    <w:p w:rsidR="00C34506" w:rsidRDefault="00C34506" w:rsidP="00C34506">
      <w:pPr>
        <w:pStyle w:val="ParaNum"/>
        <w:numPr>
          <w:ilvl w:val="0"/>
          <w:numId w:val="0"/>
        </w:numPr>
        <w:spacing w:after="220"/>
      </w:pPr>
      <w:r w:rsidRPr="005D4CB0">
        <w:rPr>
          <w:b/>
        </w:rPr>
        <w:t xml:space="preserve">18.  </w:t>
      </w:r>
      <w:r>
        <w:rPr>
          <w:b/>
        </w:rPr>
        <w:t xml:space="preserve"> </w:t>
      </w:r>
      <w:r>
        <w:tab/>
      </w:r>
      <w:r w:rsidR="000062A2">
        <w:rPr>
          <w:i/>
          <w:szCs w:val="24"/>
        </w:rPr>
        <w:t xml:space="preserve">Exceptions to certification statement for Paperwork Reduction Act submissions (Item 19 on OMB Form 83-I).  </w:t>
      </w:r>
      <w:r>
        <w:t xml:space="preserve">There </w:t>
      </w:r>
      <w:r>
        <w:rPr>
          <w:lang w:val="en-US"/>
        </w:rPr>
        <w:t>are</w:t>
      </w:r>
      <w:r>
        <w:t xml:space="preserve"> </w:t>
      </w:r>
      <w:r>
        <w:rPr>
          <w:lang w:val="en-US"/>
        </w:rPr>
        <w:t xml:space="preserve">no </w:t>
      </w:r>
      <w:r>
        <w:t xml:space="preserve">exceptions.  </w:t>
      </w:r>
    </w:p>
    <w:p w:rsidR="00C34506" w:rsidRPr="00E30C58" w:rsidRDefault="00C34506" w:rsidP="00C34506">
      <w:pPr>
        <w:pStyle w:val="ParaNum"/>
        <w:numPr>
          <w:ilvl w:val="0"/>
          <w:numId w:val="0"/>
        </w:numPr>
        <w:spacing w:after="220"/>
        <w:rPr>
          <w:b/>
        </w:rPr>
      </w:pPr>
      <w:r w:rsidRPr="00E30C58">
        <w:rPr>
          <w:b/>
        </w:rPr>
        <w:t>B.</w:t>
      </w:r>
      <w:r w:rsidRPr="00E30C58">
        <w:rPr>
          <w:b/>
        </w:rPr>
        <w:tab/>
      </w:r>
      <w:r w:rsidRPr="007A1F95">
        <w:rPr>
          <w:b/>
          <w:u w:val="single"/>
        </w:rPr>
        <w:t>Collections of Information Employing Statistical Methods:</w:t>
      </w:r>
    </w:p>
    <w:p w:rsidR="00C34506" w:rsidRDefault="00C34506" w:rsidP="00386E9F">
      <w:pPr>
        <w:pStyle w:val="ParaNum"/>
        <w:numPr>
          <w:ilvl w:val="0"/>
          <w:numId w:val="0"/>
        </w:numPr>
        <w:spacing w:before="100" w:beforeAutospacing="1" w:after="100" w:afterAutospacing="1"/>
      </w:pPr>
      <w:r w:rsidRPr="005D4CB0">
        <w:tab/>
        <w:t>No statistical methods are employed.</w:t>
      </w:r>
    </w:p>
    <w:sectPr w:rsidR="00C34506">
      <w:footerReference w:type="even" r:id="rId9"/>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CC" w:rsidRDefault="008433CC">
      <w:r>
        <w:separator/>
      </w:r>
    </w:p>
  </w:endnote>
  <w:endnote w:type="continuationSeparator" w:id="0">
    <w:p w:rsidR="008433CC" w:rsidRDefault="0084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altName w:val="Bookman Old Style"/>
    <w:panose1 w:val="020208030705050203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21" w:rsidRDefault="00FB1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D21" w:rsidRDefault="00FB1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21" w:rsidRDefault="00FB1D21">
    <w:pPr>
      <w:pStyle w:val="Footer"/>
      <w:jc w:val="center"/>
    </w:pPr>
    <w:r>
      <w:fldChar w:fldCharType="begin"/>
    </w:r>
    <w:r>
      <w:instrText xml:space="preserve"> PAGE   \* MERGEFORMAT </w:instrText>
    </w:r>
    <w:r>
      <w:fldChar w:fldCharType="separate"/>
    </w:r>
    <w:r w:rsidR="00E65155">
      <w:rPr>
        <w:noProof/>
      </w:rPr>
      <w:t>6</w:t>
    </w:r>
    <w:r>
      <w:rPr>
        <w:noProof/>
      </w:rPr>
      <w:fldChar w:fldCharType="end"/>
    </w:r>
  </w:p>
  <w:p w:rsidR="00FB1D21" w:rsidRDefault="00FB1D2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CC" w:rsidRDefault="008433CC">
      <w:r>
        <w:separator/>
      </w:r>
    </w:p>
  </w:footnote>
  <w:footnote w:type="continuationSeparator" w:id="0">
    <w:p w:rsidR="008433CC" w:rsidRDefault="008433CC">
      <w:r>
        <w:continuationSeparator/>
      </w:r>
    </w:p>
  </w:footnote>
  <w:footnote w:id="1">
    <w:p w:rsidR="0095509C" w:rsidRDefault="0095509C" w:rsidP="0095509C">
      <w:pPr>
        <w:pStyle w:val="FootnoteText"/>
        <w:ind w:firstLine="0"/>
      </w:pPr>
      <w:r>
        <w:rPr>
          <w:rStyle w:val="FootnoteReference"/>
        </w:rPr>
        <w:footnoteRef/>
      </w:r>
      <w:r>
        <w:t xml:space="preserve"> </w:t>
      </w:r>
      <w:r w:rsidRPr="00C90A5C">
        <w:rPr>
          <w:i/>
          <w:sz w:val="20"/>
        </w:rPr>
        <w:t xml:space="preserve">See </w:t>
      </w:r>
      <w:r w:rsidRPr="00C90A5C">
        <w:rPr>
          <w:color w:val="000000"/>
          <w:sz w:val="20"/>
        </w:rPr>
        <w:t xml:space="preserve">Pub. </w:t>
      </w:r>
      <w:proofErr w:type="gramStart"/>
      <w:r w:rsidRPr="00C90A5C">
        <w:rPr>
          <w:color w:val="000000"/>
          <w:sz w:val="20"/>
        </w:rPr>
        <w:t>L. No. 112-96, 125 Stat. 156</w:t>
      </w:r>
      <w:r>
        <w:rPr>
          <w:color w:val="000000"/>
          <w:sz w:val="20"/>
        </w:rPr>
        <w:t>.</w:t>
      </w:r>
      <w:proofErr w:type="gramEnd"/>
      <w:r>
        <w:rPr>
          <w:color w:val="000000"/>
          <w:sz w:val="20"/>
        </w:rPr>
        <w:t xml:space="preserve"> (</w:t>
      </w:r>
      <w:r w:rsidR="00B63538">
        <w:rPr>
          <w:color w:val="000000"/>
          <w:sz w:val="20"/>
        </w:rPr>
        <w:t>“</w:t>
      </w:r>
      <w:r>
        <w:rPr>
          <w:color w:val="000000"/>
          <w:sz w:val="20"/>
        </w:rPr>
        <w:t>Spectrum Act</w:t>
      </w:r>
      <w:r w:rsidR="00B63538">
        <w:rPr>
          <w:color w:val="000000"/>
          <w:sz w:val="20"/>
        </w:rPr>
        <w:t>”</w:t>
      </w:r>
      <w:r>
        <w:rPr>
          <w:color w:val="000000"/>
          <w:sz w:val="20"/>
        </w:rPr>
        <w:t>)</w:t>
      </w:r>
    </w:p>
  </w:footnote>
  <w:footnote w:id="2">
    <w:p w:rsidR="003813BF" w:rsidRPr="00F7797A" w:rsidRDefault="003813BF" w:rsidP="009B623F">
      <w:pPr>
        <w:pStyle w:val="FootnoteText"/>
        <w:ind w:firstLine="0"/>
      </w:pPr>
      <w:r>
        <w:rPr>
          <w:rStyle w:val="FootnoteReference"/>
        </w:rPr>
        <w:footnoteRef/>
      </w:r>
      <w:r>
        <w:t xml:space="preserve"> </w:t>
      </w:r>
      <w:r w:rsidR="00F94432">
        <w:t>T</w:t>
      </w:r>
      <w:r w:rsidRPr="009B623F">
        <w:rPr>
          <w:sz w:val="20"/>
        </w:rPr>
        <w:t xml:space="preserve">he estimates </w:t>
      </w:r>
      <w:r w:rsidR="001D29C5">
        <w:rPr>
          <w:sz w:val="20"/>
        </w:rPr>
        <w:t>for</w:t>
      </w:r>
      <w:r w:rsidR="00F94432">
        <w:rPr>
          <w:sz w:val="20"/>
        </w:rPr>
        <w:t xml:space="preserve"> </w:t>
      </w:r>
      <w:r w:rsidRPr="009B623F">
        <w:rPr>
          <w:sz w:val="20"/>
        </w:rPr>
        <w:t xml:space="preserve">the </w:t>
      </w:r>
      <w:r w:rsidR="001D29C5">
        <w:rPr>
          <w:sz w:val="20"/>
        </w:rPr>
        <w:t xml:space="preserve">collection proposed in the </w:t>
      </w:r>
      <w:r w:rsidRPr="009B623F">
        <w:rPr>
          <w:i/>
          <w:sz w:val="20"/>
        </w:rPr>
        <w:t xml:space="preserve">H Block NPRM </w:t>
      </w:r>
      <w:r w:rsidR="00F94432">
        <w:rPr>
          <w:sz w:val="20"/>
        </w:rPr>
        <w:t xml:space="preserve">were </w:t>
      </w:r>
      <w:r w:rsidR="001D29C5">
        <w:rPr>
          <w:sz w:val="20"/>
        </w:rPr>
        <w:t>rai</w:t>
      </w:r>
      <w:r w:rsidR="00F94432">
        <w:rPr>
          <w:sz w:val="20"/>
        </w:rPr>
        <w:t>sed t</w:t>
      </w:r>
      <w:r w:rsidRPr="009B623F">
        <w:rPr>
          <w:sz w:val="20"/>
        </w:rPr>
        <w:t xml:space="preserve">o reflect the Commission’s decision </w:t>
      </w:r>
      <w:r>
        <w:rPr>
          <w:sz w:val="20"/>
        </w:rPr>
        <w:t xml:space="preserve">in the </w:t>
      </w:r>
      <w:r w:rsidRPr="009B623F">
        <w:rPr>
          <w:i/>
          <w:sz w:val="20"/>
        </w:rPr>
        <w:t>H Block R&amp;O</w:t>
      </w:r>
      <w:r>
        <w:rPr>
          <w:sz w:val="20"/>
        </w:rPr>
        <w:t xml:space="preserve"> </w:t>
      </w:r>
      <w:r w:rsidRPr="009B623F">
        <w:rPr>
          <w:sz w:val="20"/>
        </w:rPr>
        <w:t>to extend the national security certification to secondary market transactions.</w:t>
      </w:r>
    </w:p>
    <w:p w:rsidR="003813BF" w:rsidRDefault="003813B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5" w:rsidRDefault="00E65155">
    <w:pPr>
      <w:pStyle w:val="Header"/>
      <w:tabs>
        <w:tab w:val="clear" w:pos="4320"/>
        <w:tab w:val="clear" w:pos="8640"/>
        <w:tab w:val="right" w:pos="9360"/>
      </w:tabs>
      <w:jc w:val="right"/>
      <w:rPr>
        <w:b/>
      </w:rPr>
    </w:pPr>
  </w:p>
  <w:p w:rsidR="00E65155" w:rsidRDefault="00E65155" w:rsidP="00E65155">
    <w:pPr>
      <w:pStyle w:val="Header"/>
      <w:tabs>
        <w:tab w:val="clear" w:pos="4320"/>
        <w:tab w:val="clear" w:pos="8640"/>
        <w:tab w:val="right" w:pos="9360"/>
      </w:tabs>
      <w:rPr>
        <w:b/>
      </w:rPr>
    </w:pPr>
  </w:p>
  <w:p w:rsidR="00FB1D21" w:rsidRDefault="00E65155" w:rsidP="00E65155">
    <w:pPr>
      <w:pStyle w:val="Header"/>
      <w:tabs>
        <w:tab w:val="clear" w:pos="4320"/>
        <w:tab w:val="clear" w:pos="8640"/>
        <w:tab w:val="right" w:pos="9360"/>
      </w:tabs>
      <w:jc w:val="right"/>
      <w:rPr>
        <w:b/>
      </w:rPr>
    </w:pPr>
    <w:r>
      <w:rPr>
        <w:b/>
      </w:rPr>
      <w:tab/>
      <w:t>3060-1184</w:t>
    </w:r>
    <w:r w:rsidR="00FB1D21">
      <w:rPr>
        <w:b/>
      </w:rPr>
      <w:tab/>
    </w:r>
  </w:p>
  <w:p w:rsidR="00FB1D21" w:rsidRDefault="00FB1D21">
    <w:pPr>
      <w:pStyle w:val="Header"/>
      <w:tabs>
        <w:tab w:val="clear" w:pos="4320"/>
        <w:tab w:val="clear" w:pos="8640"/>
        <w:tab w:val="right" w:pos="9360"/>
      </w:tabs>
      <w:rPr>
        <w:b/>
      </w:rPr>
    </w:pPr>
    <w:r>
      <w:tab/>
    </w:r>
    <w:r w:rsidR="00E65155">
      <w:t xml:space="preserve"> September </w:t>
    </w:r>
    <w:r>
      <w:t>201</w:t>
    </w:r>
    <w:r w:rsidR="007E62AA">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353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C25E3"/>
    <w:multiLevelType w:val="hybridMultilevel"/>
    <w:tmpl w:val="BDA277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3">
    <w:nsid w:val="245C154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1F4F66"/>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7644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F63EB"/>
    <w:multiLevelType w:val="hybridMultilevel"/>
    <w:tmpl w:val="F176BB86"/>
    <w:lvl w:ilvl="0" w:tplc="34C034C6">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C122463"/>
    <w:multiLevelType w:val="hybridMultilevel"/>
    <w:tmpl w:val="605AF1E0"/>
    <w:lvl w:ilvl="0" w:tplc="D464977C">
      <w:start w:val="1"/>
      <w:numFmt w:val="bullet"/>
      <w:lvlText w:val=""/>
      <w:lvlJc w:val="left"/>
      <w:pPr>
        <w:tabs>
          <w:tab w:val="num" w:pos="1080"/>
        </w:tabs>
        <w:ind w:left="1080" w:hanging="360"/>
      </w:pPr>
      <w:rPr>
        <w:rFonts w:ascii="Symbol" w:hAnsi="Symbol" w:hint="default"/>
      </w:rPr>
    </w:lvl>
    <w:lvl w:ilvl="1" w:tplc="F68036DC" w:tentative="1">
      <w:start w:val="1"/>
      <w:numFmt w:val="bullet"/>
      <w:lvlText w:val="o"/>
      <w:lvlJc w:val="left"/>
      <w:pPr>
        <w:tabs>
          <w:tab w:val="num" w:pos="1800"/>
        </w:tabs>
        <w:ind w:left="1800" w:hanging="360"/>
      </w:pPr>
      <w:rPr>
        <w:rFonts w:ascii="Courier New" w:hAnsi="Courier New" w:cs="Tahoma" w:hint="default"/>
      </w:rPr>
    </w:lvl>
    <w:lvl w:ilvl="2" w:tplc="F3327D58" w:tentative="1">
      <w:start w:val="1"/>
      <w:numFmt w:val="bullet"/>
      <w:lvlText w:val=""/>
      <w:lvlJc w:val="left"/>
      <w:pPr>
        <w:tabs>
          <w:tab w:val="num" w:pos="2520"/>
        </w:tabs>
        <w:ind w:left="2520" w:hanging="360"/>
      </w:pPr>
      <w:rPr>
        <w:rFonts w:ascii="Wingdings" w:hAnsi="Wingdings" w:hint="default"/>
      </w:rPr>
    </w:lvl>
    <w:lvl w:ilvl="3" w:tplc="F8F69C8C" w:tentative="1">
      <w:start w:val="1"/>
      <w:numFmt w:val="bullet"/>
      <w:lvlText w:val=""/>
      <w:lvlJc w:val="left"/>
      <w:pPr>
        <w:tabs>
          <w:tab w:val="num" w:pos="3240"/>
        </w:tabs>
        <w:ind w:left="3240" w:hanging="360"/>
      </w:pPr>
      <w:rPr>
        <w:rFonts w:ascii="Symbol" w:hAnsi="Symbol" w:hint="default"/>
      </w:rPr>
    </w:lvl>
    <w:lvl w:ilvl="4" w:tplc="18F831B0" w:tentative="1">
      <w:start w:val="1"/>
      <w:numFmt w:val="bullet"/>
      <w:lvlText w:val="o"/>
      <w:lvlJc w:val="left"/>
      <w:pPr>
        <w:tabs>
          <w:tab w:val="num" w:pos="3960"/>
        </w:tabs>
        <w:ind w:left="3960" w:hanging="360"/>
      </w:pPr>
      <w:rPr>
        <w:rFonts w:ascii="Courier New" w:hAnsi="Courier New" w:cs="Tahoma" w:hint="default"/>
      </w:rPr>
    </w:lvl>
    <w:lvl w:ilvl="5" w:tplc="9662BCB2" w:tentative="1">
      <w:start w:val="1"/>
      <w:numFmt w:val="bullet"/>
      <w:lvlText w:val=""/>
      <w:lvlJc w:val="left"/>
      <w:pPr>
        <w:tabs>
          <w:tab w:val="num" w:pos="4680"/>
        </w:tabs>
        <w:ind w:left="4680" w:hanging="360"/>
      </w:pPr>
      <w:rPr>
        <w:rFonts w:ascii="Wingdings" w:hAnsi="Wingdings" w:hint="default"/>
      </w:rPr>
    </w:lvl>
    <w:lvl w:ilvl="6" w:tplc="84A8B67C" w:tentative="1">
      <w:start w:val="1"/>
      <w:numFmt w:val="bullet"/>
      <w:lvlText w:val=""/>
      <w:lvlJc w:val="left"/>
      <w:pPr>
        <w:tabs>
          <w:tab w:val="num" w:pos="5400"/>
        </w:tabs>
        <w:ind w:left="5400" w:hanging="360"/>
      </w:pPr>
      <w:rPr>
        <w:rFonts w:ascii="Symbol" w:hAnsi="Symbol" w:hint="default"/>
      </w:rPr>
    </w:lvl>
    <w:lvl w:ilvl="7" w:tplc="52A85A82" w:tentative="1">
      <w:start w:val="1"/>
      <w:numFmt w:val="bullet"/>
      <w:lvlText w:val="o"/>
      <w:lvlJc w:val="left"/>
      <w:pPr>
        <w:tabs>
          <w:tab w:val="num" w:pos="6120"/>
        </w:tabs>
        <w:ind w:left="6120" w:hanging="360"/>
      </w:pPr>
      <w:rPr>
        <w:rFonts w:ascii="Courier New" w:hAnsi="Courier New" w:cs="Tahoma" w:hint="default"/>
      </w:rPr>
    </w:lvl>
    <w:lvl w:ilvl="8" w:tplc="C5284888" w:tentative="1">
      <w:start w:val="1"/>
      <w:numFmt w:val="bullet"/>
      <w:lvlText w:val=""/>
      <w:lvlJc w:val="left"/>
      <w:pPr>
        <w:tabs>
          <w:tab w:val="num" w:pos="6840"/>
        </w:tabs>
        <w:ind w:left="6840" w:hanging="360"/>
      </w:pPr>
      <w:rPr>
        <w:rFonts w:ascii="Wingdings" w:hAnsi="Wingdings" w:hint="default"/>
      </w:rPr>
    </w:lvl>
  </w:abstractNum>
  <w:abstractNum w:abstractNumId="8">
    <w:nsid w:val="5C8D61A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1D1338"/>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11">
    <w:nsid w:val="716B5DAA"/>
    <w:multiLevelType w:val="hybridMultilevel"/>
    <w:tmpl w:val="456EE8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932407"/>
    <w:multiLevelType w:val="hybridMultilevel"/>
    <w:tmpl w:val="0FB01F7E"/>
    <w:lvl w:ilvl="0" w:tplc="397831A6">
      <w:start w:val="1"/>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0"/>
  </w:num>
  <w:num w:numId="4">
    <w:abstractNumId w:val="1"/>
  </w:num>
  <w:num w:numId="5">
    <w:abstractNumId w:val="2"/>
  </w:num>
  <w:num w:numId="6">
    <w:abstractNumId w:val="2"/>
  </w:num>
  <w:num w:numId="7">
    <w:abstractNumId w:val="2"/>
  </w:num>
  <w:num w:numId="8">
    <w:abstractNumId w:val="2"/>
  </w:num>
  <w:num w:numId="9">
    <w:abstractNumId w:val="2"/>
  </w:num>
  <w:num w:numId="10">
    <w:abstractNumId w:val="6"/>
  </w:num>
  <w:num w:numId="11">
    <w:abstractNumId w:val="12"/>
  </w:num>
  <w:num w:numId="12">
    <w:abstractNumId w:val="2"/>
  </w:num>
  <w:num w:numId="13">
    <w:abstractNumId w:val="11"/>
  </w:num>
  <w:num w:numId="14">
    <w:abstractNumId w:val="5"/>
  </w:num>
  <w:num w:numId="15">
    <w:abstractNumId w:val="2"/>
  </w:num>
  <w:num w:numId="16">
    <w:abstractNumId w:val="0"/>
  </w:num>
  <w:num w:numId="17">
    <w:abstractNumId w:val="4"/>
  </w:num>
  <w:num w:numId="18">
    <w:abstractNumId w:val="8"/>
  </w:num>
  <w:num w:numId="19">
    <w:abstractNumId w:val="9"/>
  </w:num>
  <w:num w:numId="20">
    <w:abstractNumId w:val="3"/>
  </w:num>
  <w:num w:numId="21">
    <w:abstractNumId w:val="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57"/>
    <w:rsid w:val="00002CCA"/>
    <w:rsid w:val="00003C4B"/>
    <w:rsid w:val="000062A2"/>
    <w:rsid w:val="00016CBA"/>
    <w:rsid w:val="00021882"/>
    <w:rsid w:val="00025CBA"/>
    <w:rsid w:val="00027FF3"/>
    <w:rsid w:val="00034876"/>
    <w:rsid w:val="00035B5E"/>
    <w:rsid w:val="00042588"/>
    <w:rsid w:val="00047AAF"/>
    <w:rsid w:val="0005015A"/>
    <w:rsid w:val="0005165C"/>
    <w:rsid w:val="00054049"/>
    <w:rsid w:val="000561E5"/>
    <w:rsid w:val="000648F4"/>
    <w:rsid w:val="00077749"/>
    <w:rsid w:val="00080BBB"/>
    <w:rsid w:val="00086B3A"/>
    <w:rsid w:val="000A7F32"/>
    <w:rsid w:val="000C0633"/>
    <w:rsid w:val="000C6502"/>
    <w:rsid w:val="000D4163"/>
    <w:rsid w:val="000E6674"/>
    <w:rsid w:val="000F40DF"/>
    <w:rsid w:val="0010407F"/>
    <w:rsid w:val="00106E1A"/>
    <w:rsid w:val="00107C7B"/>
    <w:rsid w:val="00110905"/>
    <w:rsid w:val="00111EC8"/>
    <w:rsid w:val="001127C1"/>
    <w:rsid w:val="001249AF"/>
    <w:rsid w:val="00134D36"/>
    <w:rsid w:val="0015000E"/>
    <w:rsid w:val="0015764A"/>
    <w:rsid w:val="00162E60"/>
    <w:rsid w:val="0016360E"/>
    <w:rsid w:val="0016522C"/>
    <w:rsid w:val="00175B5A"/>
    <w:rsid w:val="00183CFE"/>
    <w:rsid w:val="00187B19"/>
    <w:rsid w:val="00191CDB"/>
    <w:rsid w:val="001A2B50"/>
    <w:rsid w:val="001B04A5"/>
    <w:rsid w:val="001C5F77"/>
    <w:rsid w:val="001D035D"/>
    <w:rsid w:val="001D29C5"/>
    <w:rsid w:val="001D3DF9"/>
    <w:rsid w:val="001E0BAA"/>
    <w:rsid w:val="001E35F3"/>
    <w:rsid w:val="001E4FD8"/>
    <w:rsid w:val="001F4A7E"/>
    <w:rsid w:val="001F57C0"/>
    <w:rsid w:val="001F58D3"/>
    <w:rsid w:val="00200D32"/>
    <w:rsid w:val="00200E50"/>
    <w:rsid w:val="00203B33"/>
    <w:rsid w:val="00206EC9"/>
    <w:rsid w:val="00214A83"/>
    <w:rsid w:val="00272ADD"/>
    <w:rsid w:val="00272EEC"/>
    <w:rsid w:val="0028102E"/>
    <w:rsid w:val="00283568"/>
    <w:rsid w:val="00295CB6"/>
    <w:rsid w:val="002A4B50"/>
    <w:rsid w:val="002B4542"/>
    <w:rsid w:val="002B5980"/>
    <w:rsid w:val="002B5D85"/>
    <w:rsid w:val="002D1F34"/>
    <w:rsid w:val="002D22EF"/>
    <w:rsid w:val="002E1D5B"/>
    <w:rsid w:val="002E24C5"/>
    <w:rsid w:val="002E362A"/>
    <w:rsid w:val="002F1F77"/>
    <w:rsid w:val="00304817"/>
    <w:rsid w:val="00310D64"/>
    <w:rsid w:val="00320F87"/>
    <w:rsid w:val="00322AD1"/>
    <w:rsid w:val="003267E4"/>
    <w:rsid w:val="00326B58"/>
    <w:rsid w:val="003306C3"/>
    <w:rsid w:val="0033288E"/>
    <w:rsid w:val="003467AD"/>
    <w:rsid w:val="003613F5"/>
    <w:rsid w:val="0036503F"/>
    <w:rsid w:val="003813BF"/>
    <w:rsid w:val="00383B26"/>
    <w:rsid w:val="00386E9F"/>
    <w:rsid w:val="00391750"/>
    <w:rsid w:val="003972F4"/>
    <w:rsid w:val="003B2882"/>
    <w:rsid w:val="003B30F9"/>
    <w:rsid w:val="003C71DC"/>
    <w:rsid w:val="003D1CDD"/>
    <w:rsid w:val="003E15F9"/>
    <w:rsid w:val="003E6057"/>
    <w:rsid w:val="003F77E4"/>
    <w:rsid w:val="00400DFB"/>
    <w:rsid w:val="004058BA"/>
    <w:rsid w:val="00410BD9"/>
    <w:rsid w:val="00412AF8"/>
    <w:rsid w:val="004176EF"/>
    <w:rsid w:val="004223B9"/>
    <w:rsid w:val="0042472A"/>
    <w:rsid w:val="0042500F"/>
    <w:rsid w:val="0043182F"/>
    <w:rsid w:val="00433927"/>
    <w:rsid w:val="00435A21"/>
    <w:rsid w:val="004405D3"/>
    <w:rsid w:val="00441498"/>
    <w:rsid w:val="00450387"/>
    <w:rsid w:val="00451195"/>
    <w:rsid w:val="0045178B"/>
    <w:rsid w:val="0046314E"/>
    <w:rsid w:val="00467F62"/>
    <w:rsid w:val="00471F73"/>
    <w:rsid w:val="004947B5"/>
    <w:rsid w:val="004A2C12"/>
    <w:rsid w:val="004A3591"/>
    <w:rsid w:val="004A6273"/>
    <w:rsid w:val="004A7854"/>
    <w:rsid w:val="004B0799"/>
    <w:rsid w:val="004B70F0"/>
    <w:rsid w:val="004D2CBB"/>
    <w:rsid w:val="004E2BA6"/>
    <w:rsid w:val="004E42CC"/>
    <w:rsid w:val="004F713A"/>
    <w:rsid w:val="004F745A"/>
    <w:rsid w:val="004F7E4E"/>
    <w:rsid w:val="00501071"/>
    <w:rsid w:val="0050327A"/>
    <w:rsid w:val="00507279"/>
    <w:rsid w:val="0051133A"/>
    <w:rsid w:val="00514677"/>
    <w:rsid w:val="005163C6"/>
    <w:rsid w:val="00521523"/>
    <w:rsid w:val="00526709"/>
    <w:rsid w:val="005440B9"/>
    <w:rsid w:val="00544749"/>
    <w:rsid w:val="00544C2D"/>
    <w:rsid w:val="0054671E"/>
    <w:rsid w:val="00547BCF"/>
    <w:rsid w:val="00552EC0"/>
    <w:rsid w:val="0055383F"/>
    <w:rsid w:val="0055460D"/>
    <w:rsid w:val="00560CAC"/>
    <w:rsid w:val="0056503D"/>
    <w:rsid w:val="00565313"/>
    <w:rsid w:val="00566761"/>
    <w:rsid w:val="005807D4"/>
    <w:rsid w:val="00583AB3"/>
    <w:rsid w:val="00593AA6"/>
    <w:rsid w:val="005B07EE"/>
    <w:rsid w:val="005C128B"/>
    <w:rsid w:val="005C365A"/>
    <w:rsid w:val="005D04D5"/>
    <w:rsid w:val="005D4995"/>
    <w:rsid w:val="005D63F3"/>
    <w:rsid w:val="005D6B2C"/>
    <w:rsid w:val="005E3551"/>
    <w:rsid w:val="005E372C"/>
    <w:rsid w:val="005E78E2"/>
    <w:rsid w:val="00602014"/>
    <w:rsid w:val="006048E4"/>
    <w:rsid w:val="00611721"/>
    <w:rsid w:val="0061581F"/>
    <w:rsid w:val="00623ABB"/>
    <w:rsid w:val="006245B4"/>
    <w:rsid w:val="00630DE6"/>
    <w:rsid w:val="006324F7"/>
    <w:rsid w:val="006329A7"/>
    <w:rsid w:val="00634C63"/>
    <w:rsid w:val="006530C0"/>
    <w:rsid w:val="006540A2"/>
    <w:rsid w:val="006547D3"/>
    <w:rsid w:val="00654D07"/>
    <w:rsid w:val="0065540D"/>
    <w:rsid w:val="00660B9D"/>
    <w:rsid w:val="00693C78"/>
    <w:rsid w:val="006A6A77"/>
    <w:rsid w:val="006D0470"/>
    <w:rsid w:val="006D0875"/>
    <w:rsid w:val="006D1501"/>
    <w:rsid w:val="006E3A27"/>
    <w:rsid w:val="006E7E81"/>
    <w:rsid w:val="006F2F7A"/>
    <w:rsid w:val="006F6FB5"/>
    <w:rsid w:val="00701C43"/>
    <w:rsid w:val="00707444"/>
    <w:rsid w:val="00710DF2"/>
    <w:rsid w:val="007121EF"/>
    <w:rsid w:val="0071268B"/>
    <w:rsid w:val="00712CEA"/>
    <w:rsid w:val="00714DFE"/>
    <w:rsid w:val="00740A3B"/>
    <w:rsid w:val="007473F2"/>
    <w:rsid w:val="0075158F"/>
    <w:rsid w:val="00752153"/>
    <w:rsid w:val="00752343"/>
    <w:rsid w:val="00757783"/>
    <w:rsid w:val="00765EBD"/>
    <w:rsid w:val="00777488"/>
    <w:rsid w:val="00784EF4"/>
    <w:rsid w:val="007973A4"/>
    <w:rsid w:val="007A1F95"/>
    <w:rsid w:val="007B0552"/>
    <w:rsid w:val="007B65F1"/>
    <w:rsid w:val="007E0551"/>
    <w:rsid w:val="007E2F35"/>
    <w:rsid w:val="007E62AA"/>
    <w:rsid w:val="007F5060"/>
    <w:rsid w:val="0080541F"/>
    <w:rsid w:val="00810A30"/>
    <w:rsid w:val="00811718"/>
    <w:rsid w:val="008131F8"/>
    <w:rsid w:val="00814F07"/>
    <w:rsid w:val="00816B01"/>
    <w:rsid w:val="00831139"/>
    <w:rsid w:val="008365C7"/>
    <w:rsid w:val="008433CC"/>
    <w:rsid w:val="0084416D"/>
    <w:rsid w:val="008510D3"/>
    <w:rsid w:val="00851E3F"/>
    <w:rsid w:val="00864B2E"/>
    <w:rsid w:val="008657B5"/>
    <w:rsid w:val="00877D3E"/>
    <w:rsid w:val="0088484E"/>
    <w:rsid w:val="008872D2"/>
    <w:rsid w:val="00890BC4"/>
    <w:rsid w:val="008C1D3C"/>
    <w:rsid w:val="008C2057"/>
    <w:rsid w:val="008C5023"/>
    <w:rsid w:val="008D4EBD"/>
    <w:rsid w:val="008E3BB6"/>
    <w:rsid w:val="008F2C70"/>
    <w:rsid w:val="0090339F"/>
    <w:rsid w:val="00914880"/>
    <w:rsid w:val="0092410D"/>
    <w:rsid w:val="00924CDF"/>
    <w:rsid w:val="0094194D"/>
    <w:rsid w:val="00946223"/>
    <w:rsid w:val="0095509C"/>
    <w:rsid w:val="00956C49"/>
    <w:rsid w:val="00956EE8"/>
    <w:rsid w:val="00963892"/>
    <w:rsid w:val="00963DE8"/>
    <w:rsid w:val="009705C6"/>
    <w:rsid w:val="0097135A"/>
    <w:rsid w:val="00974B4C"/>
    <w:rsid w:val="0097563A"/>
    <w:rsid w:val="00991B1D"/>
    <w:rsid w:val="00996E6F"/>
    <w:rsid w:val="009B3EB7"/>
    <w:rsid w:val="009B623F"/>
    <w:rsid w:val="009B6E66"/>
    <w:rsid w:val="009E11CA"/>
    <w:rsid w:val="009E2E99"/>
    <w:rsid w:val="009E5CA6"/>
    <w:rsid w:val="009F4C99"/>
    <w:rsid w:val="00A02052"/>
    <w:rsid w:val="00A0532F"/>
    <w:rsid w:val="00A11AD5"/>
    <w:rsid w:val="00A3686F"/>
    <w:rsid w:val="00A37C6A"/>
    <w:rsid w:val="00A46C56"/>
    <w:rsid w:val="00A47E71"/>
    <w:rsid w:val="00A55B7E"/>
    <w:rsid w:val="00A60B95"/>
    <w:rsid w:val="00A669DF"/>
    <w:rsid w:val="00A67603"/>
    <w:rsid w:val="00A7172C"/>
    <w:rsid w:val="00A7300B"/>
    <w:rsid w:val="00A8172C"/>
    <w:rsid w:val="00AA447A"/>
    <w:rsid w:val="00AA5620"/>
    <w:rsid w:val="00AB1AA8"/>
    <w:rsid w:val="00AB71F3"/>
    <w:rsid w:val="00AC0652"/>
    <w:rsid w:val="00AC17BC"/>
    <w:rsid w:val="00AD374D"/>
    <w:rsid w:val="00AD5E96"/>
    <w:rsid w:val="00AE350A"/>
    <w:rsid w:val="00AE5EAC"/>
    <w:rsid w:val="00B01126"/>
    <w:rsid w:val="00B131F4"/>
    <w:rsid w:val="00B15C6C"/>
    <w:rsid w:val="00B17BD7"/>
    <w:rsid w:val="00B310D2"/>
    <w:rsid w:val="00B33BF0"/>
    <w:rsid w:val="00B34C3B"/>
    <w:rsid w:val="00B366A4"/>
    <w:rsid w:val="00B42703"/>
    <w:rsid w:val="00B45848"/>
    <w:rsid w:val="00B46D9C"/>
    <w:rsid w:val="00B539F3"/>
    <w:rsid w:val="00B63538"/>
    <w:rsid w:val="00B676CE"/>
    <w:rsid w:val="00B71095"/>
    <w:rsid w:val="00B73711"/>
    <w:rsid w:val="00B76029"/>
    <w:rsid w:val="00B80066"/>
    <w:rsid w:val="00B952FA"/>
    <w:rsid w:val="00B959AC"/>
    <w:rsid w:val="00B962F7"/>
    <w:rsid w:val="00B9630C"/>
    <w:rsid w:val="00B97151"/>
    <w:rsid w:val="00BA5CD5"/>
    <w:rsid w:val="00BA61AB"/>
    <w:rsid w:val="00BA6D66"/>
    <w:rsid w:val="00BB457F"/>
    <w:rsid w:val="00BC7A5E"/>
    <w:rsid w:val="00BD280B"/>
    <w:rsid w:val="00BE34B2"/>
    <w:rsid w:val="00BE4F66"/>
    <w:rsid w:val="00BF6956"/>
    <w:rsid w:val="00BF7F05"/>
    <w:rsid w:val="00C147BF"/>
    <w:rsid w:val="00C209E2"/>
    <w:rsid w:val="00C23A71"/>
    <w:rsid w:val="00C25723"/>
    <w:rsid w:val="00C259FF"/>
    <w:rsid w:val="00C26053"/>
    <w:rsid w:val="00C27E6F"/>
    <w:rsid w:val="00C34506"/>
    <w:rsid w:val="00C35F37"/>
    <w:rsid w:val="00C36D56"/>
    <w:rsid w:val="00C40684"/>
    <w:rsid w:val="00C460C6"/>
    <w:rsid w:val="00C46C87"/>
    <w:rsid w:val="00C61FC5"/>
    <w:rsid w:val="00C6681B"/>
    <w:rsid w:val="00C80772"/>
    <w:rsid w:val="00C90A5C"/>
    <w:rsid w:val="00C928D5"/>
    <w:rsid w:val="00C95EEB"/>
    <w:rsid w:val="00C97F23"/>
    <w:rsid w:val="00CA0972"/>
    <w:rsid w:val="00CA2377"/>
    <w:rsid w:val="00CA5824"/>
    <w:rsid w:val="00CA5B1C"/>
    <w:rsid w:val="00CB12D6"/>
    <w:rsid w:val="00CB172E"/>
    <w:rsid w:val="00CB45B9"/>
    <w:rsid w:val="00CB78C2"/>
    <w:rsid w:val="00CC21F2"/>
    <w:rsid w:val="00CC49EE"/>
    <w:rsid w:val="00CC74AB"/>
    <w:rsid w:val="00CE00C7"/>
    <w:rsid w:val="00CE2D06"/>
    <w:rsid w:val="00CE37AE"/>
    <w:rsid w:val="00CE39CB"/>
    <w:rsid w:val="00CE597C"/>
    <w:rsid w:val="00D006E9"/>
    <w:rsid w:val="00D02102"/>
    <w:rsid w:val="00D257E6"/>
    <w:rsid w:val="00D308F3"/>
    <w:rsid w:val="00D33A35"/>
    <w:rsid w:val="00D343F7"/>
    <w:rsid w:val="00D34E94"/>
    <w:rsid w:val="00D35D82"/>
    <w:rsid w:val="00D4055A"/>
    <w:rsid w:val="00D612CC"/>
    <w:rsid w:val="00D77890"/>
    <w:rsid w:val="00DA233D"/>
    <w:rsid w:val="00DB4803"/>
    <w:rsid w:val="00DC22BE"/>
    <w:rsid w:val="00DC24A9"/>
    <w:rsid w:val="00DD6C3C"/>
    <w:rsid w:val="00DE51D3"/>
    <w:rsid w:val="00DF52F3"/>
    <w:rsid w:val="00E103E8"/>
    <w:rsid w:val="00E154B3"/>
    <w:rsid w:val="00E179E0"/>
    <w:rsid w:val="00E25FA2"/>
    <w:rsid w:val="00E30C58"/>
    <w:rsid w:val="00E32A34"/>
    <w:rsid w:val="00E353EE"/>
    <w:rsid w:val="00E42919"/>
    <w:rsid w:val="00E445EB"/>
    <w:rsid w:val="00E62B88"/>
    <w:rsid w:val="00E64068"/>
    <w:rsid w:val="00E65155"/>
    <w:rsid w:val="00E67F76"/>
    <w:rsid w:val="00E740FC"/>
    <w:rsid w:val="00E75695"/>
    <w:rsid w:val="00E86297"/>
    <w:rsid w:val="00E90CF5"/>
    <w:rsid w:val="00E94613"/>
    <w:rsid w:val="00EA095A"/>
    <w:rsid w:val="00EB00B8"/>
    <w:rsid w:val="00EC0593"/>
    <w:rsid w:val="00EC3FA7"/>
    <w:rsid w:val="00ED21C9"/>
    <w:rsid w:val="00ED4331"/>
    <w:rsid w:val="00EE27FA"/>
    <w:rsid w:val="00EE2F1D"/>
    <w:rsid w:val="00EE4ED3"/>
    <w:rsid w:val="00EF2BFA"/>
    <w:rsid w:val="00F00BF7"/>
    <w:rsid w:val="00F05DD2"/>
    <w:rsid w:val="00F34D3F"/>
    <w:rsid w:val="00F659BB"/>
    <w:rsid w:val="00F663A4"/>
    <w:rsid w:val="00F679B5"/>
    <w:rsid w:val="00F7011E"/>
    <w:rsid w:val="00F75C48"/>
    <w:rsid w:val="00F7797A"/>
    <w:rsid w:val="00F816B8"/>
    <w:rsid w:val="00F94432"/>
    <w:rsid w:val="00F96D59"/>
    <w:rsid w:val="00FA0359"/>
    <w:rsid w:val="00FB108C"/>
    <w:rsid w:val="00FB1D21"/>
    <w:rsid w:val="00FB26B7"/>
    <w:rsid w:val="00FC2DE5"/>
    <w:rsid w:val="00FC360D"/>
    <w:rsid w:val="00FC5263"/>
    <w:rsid w:val="00FD3F98"/>
    <w:rsid w:val="00FD4D5C"/>
    <w:rsid w:val="00FE0431"/>
    <w:rsid w:val="00FE0C81"/>
    <w:rsid w:val="00FE37E4"/>
    <w:rsid w:val="00FE46EB"/>
    <w:rsid w:val="00FE6F50"/>
    <w:rsid w:val="00FF0E72"/>
    <w:rsid w:val="00FF5F76"/>
    <w:rsid w:val="00FF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customStyle="1" w:styleId="ColorfulShading-Accent11">
    <w:name w:val="Colorful Shading - Accent 11"/>
    <w:hidden/>
    <w:uiPriority w:val="99"/>
    <w:semiHidden/>
    <w:rsid w:val="001C3B04"/>
    <w:rPr>
      <w:sz w:val="22"/>
      <w:szCs w:val="22"/>
    </w:rPr>
  </w:style>
  <w:style w:type="character" w:customStyle="1" w:styleId="ParaNumChar">
    <w:name w:val="ParaNum Char"/>
    <w:link w:val="ParaNum"/>
    <w:rsid w:val="004529BC"/>
    <w:rPr>
      <w:sz w:val="22"/>
      <w:szCs w:val="22"/>
      <w:lang w:val="x-none" w:eastAsia="x-none"/>
    </w:rPr>
  </w:style>
  <w:style w:type="character" w:customStyle="1" w:styleId="FooterChar">
    <w:name w:val="Footer Char"/>
    <w:link w:val="Footer"/>
    <w:uiPriority w:val="99"/>
    <w:rsid w:val="00ED39F0"/>
    <w:rPr>
      <w:sz w:val="22"/>
      <w:szCs w:val="22"/>
    </w:rPr>
  </w:style>
  <w:style w:type="paragraph" w:styleId="Revision">
    <w:name w:val="Revision"/>
    <w:hidden/>
    <w:rsid w:val="008872D2"/>
    <w:rPr>
      <w:sz w:val="22"/>
      <w:szCs w:val="22"/>
    </w:rPr>
  </w:style>
  <w:style w:type="paragraph" w:styleId="ListParagraph">
    <w:name w:val="List Paragraph"/>
    <w:basedOn w:val="Normal"/>
    <w:qFormat/>
    <w:rsid w:val="00383B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customStyle="1" w:styleId="ColorfulShading-Accent11">
    <w:name w:val="Colorful Shading - Accent 11"/>
    <w:hidden/>
    <w:uiPriority w:val="99"/>
    <w:semiHidden/>
    <w:rsid w:val="001C3B04"/>
    <w:rPr>
      <w:sz w:val="22"/>
      <w:szCs w:val="22"/>
    </w:rPr>
  </w:style>
  <w:style w:type="character" w:customStyle="1" w:styleId="ParaNumChar">
    <w:name w:val="ParaNum Char"/>
    <w:link w:val="ParaNum"/>
    <w:rsid w:val="004529BC"/>
    <w:rPr>
      <w:sz w:val="22"/>
      <w:szCs w:val="22"/>
      <w:lang w:val="x-none" w:eastAsia="x-none"/>
    </w:rPr>
  </w:style>
  <w:style w:type="character" w:customStyle="1" w:styleId="FooterChar">
    <w:name w:val="Footer Char"/>
    <w:link w:val="Footer"/>
    <w:uiPriority w:val="99"/>
    <w:rsid w:val="00ED39F0"/>
    <w:rPr>
      <w:sz w:val="22"/>
      <w:szCs w:val="22"/>
    </w:rPr>
  </w:style>
  <w:style w:type="paragraph" w:styleId="Revision">
    <w:name w:val="Revision"/>
    <w:hidden/>
    <w:rsid w:val="008872D2"/>
    <w:rPr>
      <w:sz w:val="22"/>
      <w:szCs w:val="22"/>
    </w:rPr>
  </w:style>
  <w:style w:type="paragraph" w:styleId="ListParagraph">
    <w:name w:val="List Paragraph"/>
    <w:basedOn w:val="Normal"/>
    <w:qFormat/>
    <w:rsid w:val="0038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97BBE-E229-472F-A98C-DFDB3717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judith</cp:lastModifiedBy>
  <cp:revision>2</cp:revision>
  <cp:lastPrinted>2013-07-18T14:54:00Z</cp:lastPrinted>
  <dcterms:created xsi:type="dcterms:W3CDTF">2013-09-11T18:06:00Z</dcterms:created>
  <dcterms:modified xsi:type="dcterms:W3CDTF">2013-09-11T18:06:00Z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