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E3" w:rsidRPr="000C27D2" w:rsidRDefault="00AB01E3" w:rsidP="00F37CCC">
      <w:pPr>
        <w:pStyle w:val="InsightHeading1"/>
        <w:jc w:val="left"/>
        <w:rPr>
          <w:lang w:val="en-US"/>
        </w:rPr>
      </w:pPr>
      <w:r w:rsidRPr="000C27D2">
        <w:rPr>
          <w:lang w:val="en-US"/>
        </w:rPr>
        <w:t>Memorandum</w:t>
      </w:r>
      <w:r w:rsidRPr="000C27D2">
        <w:rPr>
          <w:lang w:val="en-US"/>
        </w:rPr>
        <w:tab/>
      </w:r>
      <w:r w:rsidRPr="000C27D2">
        <w:rPr>
          <w:lang w:val="en-US"/>
        </w:rPr>
        <w:tab/>
      </w:r>
      <w:r w:rsidRPr="000C27D2">
        <w:rPr>
          <w:lang w:val="en-US"/>
        </w:rPr>
        <w:tab/>
      </w:r>
      <w:r w:rsidRPr="000C27D2">
        <w:rPr>
          <w:lang w:val="en-US"/>
        </w:rPr>
        <w:tab/>
      </w:r>
      <w:r w:rsidRPr="000C27D2">
        <w:rPr>
          <w:lang w:val="en-US"/>
        </w:rPr>
        <w:tab/>
      </w:r>
      <w:r w:rsidRPr="000C27D2">
        <w:rPr>
          <w:lang w:val="en-US"/>
        </w:rPr>
        <w:tab/>
      </w:r>
    </w:p>
    <w:p w:rsidR="00AB01E3" w:rsidRPr="000C27D2" w:rsidRDefault="00AB01E3" w:rsidP="00D75851">
      <w:pPr>
        <w:rPr>
          <w:rFonts w:asciiTheme="majorHAnsi" w:hAnsiTheme="majorHAnsi" w:cs="Arial"/>
          <w:b/>
          <w:bCs/>
          <w:sz w:val="22"/>
          <w:szCs w:val="22"/>
          <w:lang w:val="en-US"/>
        </w:rPr>
      </w:pPr>
    </w:p>
    <w:p w:rsidR="00AB01E3" w:rsidRPr="000C27D2" w:rsidRDefault="00AB01E3" w:rsidP="009B7735">
      <w:pPr>
        <w:pStyle w:val="BodyCNMIOMB"/>
      </w:pPr>
      <w:r w:rsidRPr="000C27D2">
        <w:t>Date:</w:t>
      </w:r>
      <w:r w:rsidRPr="000C27D2">
        <w:tab/>
      </w:r>
      <w:r w:rsidRPr="000C27D2">
        <w:tab/>
      </w:r>
      <w:r w:rsidR="00A4223A">
        <w:t>July 22</w:t>
      </w:r>
      <w:r w:rsidR="00AB0C8E" w:rsidRPr="000C27D2">
        <w:t>, 2014</w:t>
      </w:r>
    </w:p>
    <w:p w:rsidR="00AB01E3" w:rsidRPr="000C27D2" w:rsidRDefault="00AB01E3" w:rsidP="009B7735">
      <w:pPr>
        <w:pStyle w:val="BodyCNMIOMB"/>
      </w:pPr>
      <w:r w:rsidRPr="000C27D2">
        <w:t>To:</w:t>
      </w:r>
      <w:r w:rsidRPr="000C27D2">
        <w:tab/>
      </w:r>
      <w:r w:rsidRPr="000C27D2">
        <w:tab/>
      </w:r>
      <w:r w:rsidR="00EC4B37" w:rsidRPr="000C27D2">
        <w:t>Julie Wise, OMB Desk Officer</w:t>
      </w:r>
      <w:r w:rsidR="00DC4A0E" w:rsidRPr="000C27D2">
        <w:t>, Food and Nutrition Service</w:t>
      </w:r>
      <w:r w:rsidR="00EC4B37" w:rsidRPr="000C27D2">
        <w:t xml:space="preserve"> </w:t>
      </w:r>
    </w:p>
    <w:p w:rsidR="001813F9" w:rsidRDefault="00AB01E3" w:rsidP="001813F9">
      <w:pPr>
        <w:pStyle w:val="BodyCNMIOMB"/>
        <w:spacing w:after="0"/>
        <w:ind w:left="1440" w:hanging="1440"/>
      </w:pPr>
      <w:r w:rsidRPr="000C27D2">
        <w:t>Through:</w:t>
      </w:r>
      <w:r w:rsidRPr="000C27D2">
        <w:tab/>
      </w:r>
      <w:r w:rsidR="009A5C6A">
        <w:t>Lynnette Thomas</w:t>
      </w:r>
      <w:r w:rsidR="00EC4B37" w:rsidRPr="000C27D2">
        <w:t xml:space="preserve">, </w:t>
      </w:r>
      <w:r w:rsidR="009A5C6A">
        <w:t xml:space="preserve">Branch Chief, </w:t>
      </w:r>
      <w:r w:rsidR="00EC4B37" w:rsidRPr="000C27D2">
        <w:t xml:space="preserve">Planning and Regulatory Affairs </w:t>
      </w:r>
      <w:r w:rsidR="00634939" w:rsidRPr="000C27D2">
        <w:t xml:space="preserve">Office and </w:t>
      </w:r>
    </w:p>
    <w:p w:rsidR="001813F9" w:rsidRDefault="00634939" w:rsidP="001813F9">
      <w:pPr>
        <w:pStyle w:val="BodyCNMIOMB"/>
        <w:spacing w:after="0"/>
        <w:ind w:left="1440"/>
      </w:pPr>
      <w:r w:rsidRPr="000C27D2">
        <w:t xml:space="preserve">Ruth Brown, </w:t>
      </w:r>
      <w:r w:rsidR="009A5C6A">
        <w:t xml:space="preserve">Department Clearance Officer, </w:t>
      </w:r>
      <w:r w:rsidR="00DC4A0E" w:rsidRPr="000C27D2">
        <w:t>Office of Chief Information Office</w:t>
      </w:r>
    </w:p>
    <w:p w:rsidR="00EC4B37" w:rsidRPr="000C27D2" w:rsidRDefault="00634939" w:rsidP="001813F9">
      <w:pPr>
        <w:pStyle w:val="BodyCNMIOMB"/>
        <w:spacing w:after="0"/>
        <w:ind w:left="1440"/>
      </w:pPr>
      <w:r w:rsidRPr="000C27D2">
        <w:t xml:space="preserve"> </w:t>
      </w:r>
    </w:p>
    <w:p w:rsidR="009B7735" w:rsidRDefault="00AB01E3" w:rsidP="009B7735">
      <w:pPr>
        <w:pStyle w:val="BodyCNMIOMB"/>
        <w:spacing w:after="0"/>
      </w:pPr>
      <w:r w:rsidRPr="000C27D2">
        <w:t xml:space="preserve">From:  </w:t>
      </w:r>
      <w:r w:rsidR="009B7735">
        <w:tab/>
      </w:r>
      <w:r w:rsidRPr="000C27D2">
        <w:tab/>
      </w:r>
      <w:r w:rsidR="00AB0C8E" w:rsidRPr="000C27D2">
        <w:t>Sangeetha Malaiyandi</w:t>
      </w:r>
      <w:r w:rsidRPr="000C27D2">
        <w:t xml:space="preserve">, </w:t>
      </w:r>
      <w:r w:rsidR="00AB0C8E" w:rsidRPr="000C27D2">
        <w:t>Office of Policy Support</w:t>
      </w:r>
    </w:p>
    <w:p w:rsidR="00AB01E3" w:rsidRPr="000C27D2" w:rsidRDefault="00AB01E3" w:rsidP="009B7735">
      <w:pPr>
        <w:pStyle w:val="BodyCNMIOMB"/>
        <w:ind w:left="720" w:firstLine="720"/>
      </w:pPr>
      <w:r w:rsidRPr="000C27D2">
        <w:t>USDA – Food and Nutrition Service</w:t>
      </w:r>
    </w:p>
    <w:p w:rsidR="00AC4EEA" w:rsidRPr="000C27D2" w:rsidRDefault="00AB01E3" w:rsidP="009B7735">
      <w:pPr>
        <w:pStyle w:val="BodyCNMIOMB"/>
        <w:spacing w:after="0"/>
      </w:pPr>
      <w:r w:rsidRPr="000C27D2">
        <w:t>Re:</w:t>
      </w:r>
      <w:r w:rsidRPr="000C27D2">
        <w:tab/>
      </w:r>
      <w:r w:rsidR="009B7735">
        <w:tab/>
      </w:r>
      <w:r w:rsidR="00DC4A0E" w:rsidRPr="000C27D2">
        <w:t xml:space="preserve">Under Approved Generic </w:t>
      </w:r>
      <w:r w:rsidR="00AB0C8E" w:rsidRPr="000C27D2">
        <w:t xml:space="preserve">OMB Clearance No. </w:t>
      </w:r>
      <w:r w:rsidR="00DC4A0E" w:rsidRPr="000C27D2">
        <w:t>0584-0524</w:t>
      </w:r>
      <w:r w:rsidR="00910369" w:rsidRPr="000C27D2">
        <w:t xml:space="preserve"> </w:t>
      </w:r>
    </w:p>
    <w:p w:rsidR="00AB01E3" w:rsidRPr="000C27D2" w:rsidRDefault="00833424" w:rsidP="009B7735">
      <w:pPr>
        <w:pStyle w:val="BodyCNMIOMB"/>
        <w:ind w:left="1440"/>
      </w:pPr>
      <w:r w:rsidRPr="000C27D2">
        <w:t xml:space="preserve">Request Approval to Perform Research </w:t>
      </w:r>
      <w:r w:rsidR="00706470" w:rsidRPr="000C27D2">
        <w:t>on the Feasibility of Implementing the Supplemental Nutrition Assistance Program (SNAP) in the Commonwealth of the Northern Mariana Islands (CNMI)</w:t>
      </w:r>
    </w:p>
    <w:p w:rsidR="00AB01E3" w:rsidRPr="000C27D2" w:rsidRDefault="005613FA" w:rsidP="008F7547">
      <w:pPr>
        <w:tabs>
          <w:tab w:val="right" w:pos="9360"/>
        </w:tabs>
        <w:rPr>
          <w:rFonts w:asciiTheme="majorHAnsi" w:hAnsiTheme="majorHAnsi" w:cs="Arial"/>
          <w:sz w:val="22"/>
          <w:szCs w:val="22"/>
          <w:lang w:val="en-US"/>
        </w:rPr>
      </w:pPr>
      <w:r w:rsidRPr="000C27D2">
        <w:rPr>
          <w:rFonts w:asciiTheme="majorHAnsi" w:hAnsiTheme="majorHAnsi" w:cs="Arial"/>
          <w:noProof/>
          <w:sz w:val="22"/>
          <w:szCs w:val="22"/>
          <w:lang w:val="en-US"/>
        </w:rPr>
        <mc:AlternateContent>
          <mc:Choice Requires="wps">
            <w:drawing>
              <wp:anchor distT="4294967294" distB="4294967294" distL="114300" distR="114300" simplePos="0" relativeHeight="251658240" behindDoc="0" locked="0" layoutInCell="1" allowOverlap="1" wp14:anchorId="3D4326A4" wp14:editId="542E3A11">
                <wp:simplePos x="0" y="0"/>
                <wp:positionH relativeFrom="column">
                  <wp:posOffset>12940</wp:posOffset>
                </wp:positionH>
                <wp:positionV relativeFrom="paragraph">
                  <wp:posOffset>109963</wp:posOffset>
                </wp:positionV>
                <wp:extent cx="5477773" cy="0"/>
                <wp:effectExtent l="0" t="0" r="2794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77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pt;margin-top:8.65pt;width:431.3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cyHA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"/>
            </w:pict>
          </mc:Fallback>
        </mc:AlternateContent>
      </w:r>
      <w:r w:rsidR="00DF79A9">
        <w:rPr>
          <w:rFonts w:asciiTheme="majorHAnsi" w:hAnsiTheme="majorHAnsi" w:cs="Arial"/>
          <w:sz w:val="22"/>
          <w:szCs w:val="22"/>
          <w:lang w:val="en-US"/>
        </w:rPr>
        <w:tab/>
      </w:r>
    </w:p>
    <w:p w:rsidR="00AC4EEA" w:rsidRPr="000C27D2" w:rsidRDefault="00AC4EEA" w:rsidP="00EF3E12">
      <w:pPr>
        <w:rPr>
          <w:rFonts w:asciiTheme="majorHAnsi" w:hAnsiTheme="majorHAnsi" w:cs="Arial"/>
          <w:sz w:val="22"/>
          <w:szCs w:val="22"/>
          <w:lang w:val="en-US"/>
        </w:rPr>
      </w:pPr>
    </w:p>
    <w:p w:rsidR="00AB01E3" w:rsidRPr="000C27D2" w:rsidRDefault="00AB01E3" w:rsidP="009B7735">
      <w:pPr>
        <w:pStyle w:val="BodyCNMIOMB"/>
      </w:pPr>
      <w:r w:rsidRPr="00624EE3">
        <w:t xml:space="preserve">The </w:t>
      </w:r>
      <w:r w:rsidR="00BC2FBE" w:rsidRPr="00624EE3">
        <w:t>Food and Nutrition Service</w:t>
      </w:r>
      <w:r w:rsidR="009572FF" w:rsidRPr="00624EE3">
        <w:t xml:space="preserve"> (FNS) of the USDA </w:t>
      </w:r>
      <w:r w:rsidRPr="00624EE3">
        <w:t xml:space="preserve">is requesting approval for formative research under </w:t>
      </w:r>
      <w:r w:rsidR="00910369" w:rsidRPr="00624EE3">
        <w:t xml:space="preserve">Approved Generic OMB Clearance No. </w:t>
      </w:r>
      <w:r w:rsidR="00DC4A0E" w:rsidRPr="00624EE3">
        <w:t>0584-0524</w:t>
      </w:r>
      <w:r w:rsidR="00910369" w:rsidRPr="00624EE3">
        <w:t>.</w:t>
      </w:r>
      <w:r w:rsidR="001A746F" w:rsidRPr="00624EE3">
        <w:t xml:space="preserve"> </w:t>
      </w:r>
    </w:p>
    <w:p w:rsidR="0028225F" w:rsidRPr="000C27D2" w:rsidRDefault="00AB01E3" w:rsidP="00624EE3">
      <w:pPr>
        <w:pStyle w:val="BodyCNMIOMB"/>
      </w:pPr>
      <w:r w:rsidRPr="000C27D2">
        <w:t>This r</w:t>
      </w:r>
      <w:r w:rsidR="005703E7" w:rsidRPr="000C27D2">
        <w:t>equest is to acquire clearance to conduct</w:t>
      </w:r>
      <w:r w:rsidRPr="000C27D2">
        <w:t xml:space="preserve"> </w:t>
      </w:r>
      <w:r w:rsidR="00AB0C8E" w:rsidRPr="000C27D2">
        <w:t>qualitative</w:t>
      </w:r>
      <w:r w:rsidRPr="000C27D2">
        <w:t xml:space="preserve"> research</w:t>
      </w:r>
      <w:r w:rsidR="00A9509A" w:rsidRPr="000C27D2">
        <w:t xml:space="preserve"> </w:t>
      </w:r>
      <w:r w:rsidR="00AB0C8E" w:rsidRPr="000C27D2">
        <w:t>on</w:t>
      </w:r>
      <w:r w:rsidR="00E95676" w:rsidRPr="000C27D2">
        <w:t xml:space="preserve"> the feasibility of operating the Supplemental Nutrition Assistance Program (SNAP) in the Commonwealth of the Northern Mariana Islands (CNMI)</w:t>
      </w:r>
      <w:r w:rsidR="0028225F" w:rsidRPr="000C27D2">
        <w:t xml:space="preserve">.  The information collected will be critical for the USDA to effectively comply with </w:t>
      </w:r>
      <w:r w:rsidR="000B2708" w:rsidRPr="000C27D2">
        <w:t xml:space="preserve">Section 4031 of the Agricultural Act of 2014 (P.L. 113-79).  </w:t>
      </w:r>
      <w:r w:rsidR="0028225F" w:rsidRPr="000C27D2">
        <w:t xml:space="preserve">This package addresses research that </w:t>
      </w:r>
      <w:r w:rsidR="000B2708" w:rsidRPr="000C27D2">
        <w:t xml:space="preserve">will </w:t>
      </w:r>
      <w:r w:rsidR="00706470" w:rsidRPr="000C27D2">
        <w:t>examine</w:t>
      </w:r>
      <w:r w:rsidR="000B2708" w:rsidRPr="000C27D2">
        <w:t xml:space="preserve"> the CNMI’s capacity to administer SNAP in a manner similar to the way that States currently administer the program; </w:t>
      </w:r>
      <w:r w:rsidR="00706470" w:rsidRPr="000C27D2">
        <w:t>identify</w:t>
      </w:r>
      <w:r w:rsidR="000B2708" w:rsidRPr="000C27D2">
        <w:t xml:space="preserve"> specific modifications to current SNAP requirements (e.g., program operation and benefit delivery) that would need to be made for a c</w:t>
      </w:r>
      <w:r w:rsidR="00706470" w:rsidRPr="000C27D2">
        <w:t xml:space="preserve">omparable program design; and describe </w:t>
      </w:r>
      <w:r w:rsidR="000B2708" w:rsidRPr="000C27D2">
        <w:t>the barriers to implementing SNAP or an alternative model</w:t>
      </w:r>
      <w:r w:rsidR="00C33D76" w:rsidRPr="000C27D2">
        <w:t>.</w:t>
      </w:r>
      <w:r w:rsidR="0028225F" w:rsidRPr="000C27D2">
        <w:t xml:space="preserve"> </w:t>
      </w:r>
      <w:r w:rsidR="004B47D0" w:rsidRPr="000C27D2">
        <w:t xml:space="preserve"> </w:t>
      </w:r>
      <w:r w:rsidR="00C33D76" w:rsidRPr="000C27D2">
        <w:t xml:space="preserve">Specifically, FNS seeks to conduct </w:t>
      </w:r>
      <w:r w:rsidR="000B2708" w:rsidRPr="000C27D2">
        <w:t>semi-</w:t>
      </w:r>
      <w:r w:rsidR="00C33D76" w:rsidRPr="000C27D2">
        <w:t>structu</w:t>
      </w:r>
      <w:r w:rsidR="009572FF" w:rsidRPr="000C27D2">
        <w:t xml:space="preserve">red qualitative interviews with </w:t>
      </w:r>
      <w:r w:rsidR="00706470" w:rsidRPr="000C27D2">
        <w:t>participants in the CNMI’s current Nutrition Assistance Program (NAP)</w:t>
      </w:r>
      <w:r w:rsidR="009572FF" w:rsidRPr="000C27D2">
        <w:t xml:space="preserve"> and</w:t>
      </w:r>
      <w:r w:rsidR="00706470" w:rsidRPr="000C27D2">
        <w:t xml:space="preserve"> authorized NAP retailers</w:t>
      </w:r>
      <w:r w:rsidR="009572FF" w:rsidRPr="000C27D2">
        <w:t xml:space="preserve"> </w:t>
      </w:r>
      <w:r w:rsidR="00706470" w:rsidRPr="000C27D2">
        <w:t xml:space="preserve">in the CNMI.  </w:t>
      </w:r>
      <w:r w:rsidR="00C33D76" w:rsidRPr="000C27D2">
        <w:t xml:space="preserve">This package includes final versions of </w:t>
      </w:r>
      <w:r w:rsidR="00524130" w:rsidRPr="000C27D2">
        <w:t xml:space="preserve">the </w:t>
      </w:r>
      <w:r w:rsidR="00706470" w:rsidRPr="000C27D2">
        <w:t>participant and retailer</w:t>
      </w:r>
      <w:r w:rsidR="00524130" w:rsidRPr="000C27D2">
        <w:t xml:space="preserve"> </w:t>
      </w:r>
      <w:r w:rsidR="00706470" w:rsidRPr="000C27D2">
        <w:t xml:space="preserve">interview protocols, participant and retailer consent forms, advance letter and recruitment materials, and a privacy pledge completed by all study team members.  </w:t>
      </w:r>
    </w:p>
    <w:p w:rsidR="00AB01E3" w:rsidRPr="000C27D2" w:rsidRDefault="00AB01E3" w:rsidP="00624EE3">
      <w:pPr>
        <w:pStyle w:val="BodyCNMIOMB"/>
      </w:pPr>
      <w:r w:rsidRPr="000C27D2">
        <w:t>The following information is provided for your review:</w:t>
      </w:r>
    </w:p>
    <w:p w:rsidR="00AB01E3" w:rsidRPr="000C27D2" w:rsidRDefault="00AB01E3" w:rsidP="00624EE3">
      <w:pPr>
        <w:pStyle w:val="Numbers"/>
      </w:pPr>
      <w:r w:rsidRPr="000C27D2">
        <w:rPr>
          <w:b/>
        </w:rPr>
        <w:t xml:space="preserve">Title of the Project: </w:t>
      </w:r>
      <w:r w:rsidR="001E1788" w:rsidRPr="00624EE3">
        <w:rPr>
          <w:b/>
        </w:rPr>
        <w:t>Assessing the Feasibility of Implementing SNAP in the Commonwealth of the Northern Mariana Islands (CNMI)</w:t>
      </w:r>
      <w:r w:rsidR="00184A7E" w:rsidRPr="000C27D2">
        <w:t xml:space="preserve"> </w:t>
      </w:r>
    </w:p>
    <w:p w:rsidR="00AB01E3" w:rsidRPr="000C27D2" w:rsidRDefault="00AB01E3" w:rsidP="00624EE3">
      <w:pPr>
        <w:pStyle w:val="Numbers"/>
      </w:pPr>
      <w:r w:rsidRPr="000C27D2">
        <w:rPr>
          <w:b/>
        </w:rPr>
        <w:t xml:space="preserve">Control Number: </w:t>
      </w:r>
      <w:r w:rsidR="000B2708" w:rsidRPr="000C27D2">
        <w:rPr>
          <w:bCs/>
        </w:rPr>
        <w:t>0584</w:t>
      </w:r>
      <w:r w:rsidR="00AB0C8E" w:rsidRPr="000C27D2">
        <w:rPr>
          <w:bCs/>
        </w:rPr>
        <w:t>-</w:t>
      </w:r>
      <w:r w:rsidR="000B2708" w:rsidRPr="000C27D2">
        <w:rPr>
          <w:bCs/>
        </w:rPr>
        <w:t>0524</w:t>
      </w:r>
      <w:r w:rsidR="00C33D76" w:rsidRPr="000C27D2">
        <w:rPr>
          <w:bCs/>
        </w:rPr>
        <w:t xml:space="preserve">, Expires </w:t>
      </w:r>
      <w:r w:rsidR="000B2708" w:rsidRPr="000C27D2">
        <w:t>06/30/2016</w:t>
      </w:r>
    </w:p>
    <w:p w:rsidR="006021AC" w:rsidRPr="000C27D2" w:rsidRDefault="00CB6A90" w:rsidP="00624EE3">
      <w:pPr>
        <w:pStyle w:val="Numbers"/>
      </w:pPr>
      <w:r w:rsidRPr="000C27D2">
        <w:rPr>
          <w:b/>
        </w:rPr>
        <w:t xml:space="preserve">Affected Public:  </w:t>
      </w:r>
      <w:r w:rsidR="000B2708" w:rsidRPr="000C27D2">
        <w:t>Individuals/Households, Retailers, and a Community-Based Organization</w:t>
      </w:r>
      <w:r w:rsidRPr="000C27D2">
        <w:rPr>
          <w:b/>
        </w:rPr>
        <w:t xml:space="preserve"> </w:t>
      </w:r>
      <w:r w:rsidR="000B2708" w:rsidRPr="000C27D2">
        <w:t>(CBO)</w:t>
      </w:r>
    </w:p>
    <w:p w:rsidR="00706470" w:rsidRPr="000C27D2" w:rsidRDefault="00706470" w:rsidP="00624EE3">
      <w:pPr>
        <w:pStyle w:val="BulletsCNMI"/>
      </w:pPr>
      <w:r w:rsidRPr="000C27D2">
        <w:t>Individuals from households participating in NAP</w:t>
      </w:r>
    </w:p>
    <w:p w:rsidR="00896903" w:rsidRPr="000C27D2" w:rsidRDefault="00706470" w:rsidP="00624EE3">
      <w:pPr>
        <w:pStyle w:val="BulletsCNMI"/>
      </w:pPr>
      <w:r w:rsidRPr="000C27D2">
        <w:t>Retailers who are authorized to redeem NAP benefits</w:t>
      </w:r>
    </w:p>
    <w:p w:rsidR="00896903" w:rsidRPr="000C27D2" w:rsidRDefault="00706470" w:rsidP="00624EE3">
      <w:pPr>
        <w:pStyle w:val="BulletsCNMI"/>
      </w:pPr>
      <w:r w:rsidRPr="000C27D2">
        <w:t xml:space="preserve">One CBO </w:t>
      </w:r>
      <w:r w:rsidR="009572FF" w:rsidRPr="000C27D2">
        <w:t xml:space="preserve">that </w:t>
      </w:r>
      <w:r w:rsidRPr="000C27D2">
        <w:t>has agreed to assist the study team by recruiting NAP participants and scheduling interviews</w:t>
      </w:r>
    </w:p>
    <w:p w:rsidR="00AB01E3" w:rsidRPr="00624EE3" w:rsidRDefault="00AB01E3" w:rsidP="00624EE3">
      <w:pPr>
        <w:pStyle w:val="Numbers"/>
        <w:rPr>
          <w:b/>
        </w:rPr>
      </w:pPr>
      <w:r w:rsidRPr="00624EE3">
        <w:rPr>
          <w:b/>
        </w:rPr>
        <w:t>Number of Respondents:</w:t>
      </w:r>
    </w:p>
    <w:p w:rsidR="00CC662D" w:rsidRPr="000C27D2" w:rsidRDefault="00C104E1" w:rsidP="00624EE3">
      <w:pPr>
        <w:pStyle w:val="BodyCNMIOMB"/>
      </w:pPr>
      <w:r w:rsidRPr="000C27D2">
        <w:lastRenderedPageBreak/>
        <w:t>Targeted r</w:t>
      </w:r>
      <w:r w:rsidR="00CC662D" w:rsidRPr="000C27D2">
        <w:t xml:space="preserve">espondent groups include 40 NAP-certified retailers, 20 current NAP participants, and one </w:t>
      </w:r>
      <w:r w:rsidR="00C63353" w:rsidRPr="000C27D2">
        <w:t>CBO</w:t>
      </w:r>
      <w:r w:rsidR="00CC662D" w:rsidRPr="000C27D2">
        <w:t xml:space="preserve"> staff member who will assist with recruiting and scheduling NAP participant interviews.</w:t>
      </w:r>
    </w:p>
    <w:p w:rsidR="00CC662D" w:rsidRPr="009B7735" w:rsidRDefault="00CC662D" w:rsidP="009B7735">
      <w:pPr>
        <w:pStyle w:val="BodyCNMIOMB"/>
      </w:pPr>
      <w:r w:rsidRPr="000C27D2">
        <w:t>The total estimated number of respondents is 57.  This includes 36 NAP-certified retailers (assuming a 10 percent nonresponse rate from 40 targeted retailers), 20 current NAP participants (</w:t>
      </w:r>
      <w:r w:rsidR="00C63353" w:rsidRPr="000C27D2">
        <w:t xml:space="preserve">assuming </w:t>
      </w:r>
      <w:r w:rsidRPr="000C27D2">
        <w:t>100 percent of the targeted 20 participants will complete interviews), and 1 staff member from a CBO in the CNMI, who has agreed to assist with recruiti</w:t>
      </w:r>
      <w:r w:rsidR="00C63353" w:rsidRPr="000C27D2">
        <w:t>ng NAP participants and scheduling</w:t>
      </w:r>
      <w:r w:rsidRPr="000C27D2">
        <w:t xml:space="preserve"> interviews for the study.  </w:t>
      </w:r>
    </w:p>
    <w:p w:rsidR="002F25A6" w:rsidRPr="000C27D2" w:rsidRDefault="00055689" w:rsidP="00624EE3">
      <w:pPr>
        <w:pStyle w:val="TableTitle"/>
      </w:pPr>
      <w:r w:rsidRPr="000C27D2">
        <w:t xml:space="preserve">Number </w:t>
      </w:r>
      <w:r w:rsidR="005F2D19" w:rsidRPr="000C27D2">
        <w:t>of R</w:t>
      </w:r>
      <w:r w:rsidRPr="000C27D2">
        <w:t>espondents</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703"/>
        <w:gridCol w:w="2873"/>
      </w:tblGrid>
      <w:tr w:rsidR="002531BC" w:rsidRPr="000C27D2" w:rsidTr="00C104E1">
        <w:tc>
          <w:tcPr>
            <w:tcW w:w="3500" w:type="pct"/>
            <w:shd w:val="clear" w:color="auto" w:fill="D9D9D9"/>
            <w:vAlign w:val="center"/>
          </w:tcPr>
          <w:p w:rsidR="002531BC" w:rsidRPr="000C27D2" w:rsidRDefault="002531BC" w:rsidP="00624EE3">
            <w:pPr>
              <w:pStyle w:val="TableText"/>
              <w:rPr>
                <w:b/>
              </w:rPr>
            </w:pPr>
            <w:r w:rsidRPr="000C27D2">
              <w:rPr>
                <w:b/>
              </w:rPr>
              <w:t>Respondent Type</w:t>
            </w:r>
          </w:p>
        </w:tc>
        <w:tc>
          <w:tcPr>
            <w:tcW w:w="1500" w:type="pct"/>
            <w:shd w:val="clear" w:color="auto" w:fill="D9D9D9"/>
          </w:tcPr>
          <w:p w:rsidR="002531BC" w:rsidRPr="000C27D2" w:rsidRDefault="002531BC" w:rsidP="00624EE3">
            <w:pPr>
              <w:pStyle w:val="TableText"/>
              <w:rPr>
                <w:b/>
              </w:rPr>
            </w:pPr>
            <w:r w:rsidRPr="000C27D2">
              <w:rPr>
                <w:b/>
              </w:rPr>
              <w:t>Number of Persons</w:t>
            </w:r>
          </w:p>
        </w:tc>
      </w:tr>
      <w:tr w:rsidR="002531BC" w:rsidRPr="000C27D2" w:rsidTr="00C104E1">
        <w:tc>
          <w:tcPr>
            <w:tcW w:w="3500" w:type="pct"/>
          </w:tcPr>
          <w:p w:rsidR="002531BC" w:rsidRPr="00624EE3" w:rsidRDefault="002531BC" w:rsidP="00624EE3">
            <w:pPr>
              <w:pStyle w:val="TableText"/>
            </w:pPr>
            <w:bookmarkStart w:id="0" w:name="_Hlk275338585"/>
            <w:bookmarkStart w:id="1" w:name="_GoBack"/>
            <w:bookmarkEnd w:id="1"/>
            <w:r w:rsidRPr="00624EE3">
              <w:t>Current NAP Participants</w:t>
            </w:r>
          </w:p>
        </w:tc>
        <w:tc>
          <w:tcPr>
            <w:tcW w:w="1500" w:type="pct"/>
            <w:vAlign w:val="center"/>
          </w:tcPr>
          <w:p w:rsidR="002531BC" w:rsidRPr="00624EE3" w:rsidRDefault="002531BC" w:rsidP="00624EE3">
            <w:pPr>
              <w:pStyle w:val="TableText"/>
            </w:pPr>
            <w:r w:rsidRPr="00624EE3">
              <w:t>20</w:t>
            </w:r>
          </w:p>
        </w:tc>
      </w:tr>
      <w:bookmarkEnd w:id="0"/>
      <w:tr w:rsidR="00B67612" w:rsidRPr="000C27D2" w:rsidTr="00C104E1">
        <w:tc>
          <w:tcPr>
            <w:tcW w:w="3500" w:type="pct"/>
          </w:tcPr>
          <w:p w:rsidR="00B67612" w:rsidRPr="00624EE3" w:rsidRDefault="00B67612" w:rsidP="00A26164">
            <w:pPr>
              <w:pStyle w:val="TableText"/>
            </w:pPr>
            <w:r w:rsidRPr="00624EE3">
              <w:t>NAP-Certified Retailers</w:t>
            </w:r>
          </w:p>
        </w:tc>
        <w:tc>
          <w:tcPr>
            <w:tcW w:w="1500" w:type="pct"/>
            <w:vAlign w:val="center"/>
          </w:tcPr>
          <w:p w:rsidR="00B67612" w:rsidRPr="00624EE3" w:rsidRDefault="00B67612" w:rsidP="00A26164">
            <w:pPr>
              <w:pStyle w:val="TableText"/>
            </w:pPr>
            <w:r w:rsidRPr="00624EE3">
              <w:t>36</w:t>
            </w:r>
          </w:p>
        </w:tc>
      </w:tr>
      <w:tr w:rsidR="00B67612" w:rsidRPr="000C27D2" w:rsidTr="00C104E1">
        <w:tc>
          <w:tcPr>
            <w:tcW w:w="3500" w:type="pct"/>
          </w:tcPr>
          <w:p w:rsidR="00B67612" w:rsidRPr="00624EE3" w:rsidRDefault="00B67612" w:rsidP="00624EE3">
            <w:pPr>
              <w:pStyle w:val="TableText"/>
            </w:pPr>
            <w:r w:rsidRPr="00624EE3">
              <w:t>CBO Staff</w:t>
            </w:r>
          </w:p>
        </w:tc>
        <w:tc>
          <w:tcPr>
            <w:tcW w:w="1500" w:type="pct"/>
            <w:vAlign w:val="center"/>
          </w:tcPr>
          <w:p w:rsidR="00B67612" w:rsidRPr="00624EE3" w:rsidRDefault="00B67612" w:rsidP="00624EE3">
            <w:pPr>
              <w:pStyle w:val="TableText"/>
            </w:pPr>
            <w:r w:rsidRPr="00624EE3">
              <w:t>1</w:t>
            </w:r>
          </w:p>
        </w:tc>
      </w:tr>
      <w:tr w:rsidR="00B67612" w:rsidRPr="000C27D2" w:rsidTr="00C104E1">
        <w:tc>
          <w:tcPr>
            <w:tcW w:w="3500" w:type="pct"/>
          </w:tcPr>
          <w:p w:rsidR="00B67612" w:rsidRPr="00624EE3" w:rsidRDefault="00B67612" w:rsidP="00624EE3">
            <w:pPr>
              <w:pStyle w:val="TableText"/>
              <w:rPr>
                <w:i/>
              </w:rPr>
            </w:pPr>
            <w:r w:rsidRPr="00624EE3">
              <w:rPr>
                <w:i/>
              </w:rPr>
              <w:t>Total</w:t>
            </w:r>
          </w:p>
        </w:tc>
        <w:tc>
          <w:tcPr>
            <w:tcW w:w="1500" w:type="pct"/>
            <w:vAlign w:val="center"/>
          </w:tcPr>
          <w:p w:rsidR="00B67612" w:rsidRPr="00624EE3" w:rsidRDefault="00B67612" w:rsidP="00624EE3">
            <w:pPr>
              <w:pStyle w:val="TableText"/>
            </w:pPr>
            <w:r w:rsidRPr="00624EE3">
              <w:t>57</w:t>
            </w:r>
          </w:p>
        </w:tc>
      </w:tr>
    </w:tbl>
    <w:p w:rsidR="002531BC" w:rsidRPr="000C27D2" w:rsidRDefault="002531BC">
      <w:pPr>
        <w:spacing w:after="60"/>
        <w:rPr>
          <w:rFonts w:asciiTheme="majorHAnsi" w:hAnsiTheme="majorHAnsi" w:cs="Arial"/>
          <w:i/>
          <w:sz w:val="22"/>
          <w:szCs w:val="22"/>
          <w:lang w:val="en-US"/>
        </w:rPr>
      </w:pPr>
    </w:p>
    <w:p w:rsidR="00F44482" w:rsidRPr="009B7735" w:rsidRDefault="00AB01E3" w:rsidP="00F44482">
      <w:pPr>
        <w:pStyle w:val="Numbers"/>
        <w:rPr>
          <w:b/>
        </w:rPr>
      </w:pPr>
      <w:r w:rsidRPr="00624EE3">
        <w:rPr>
          <w:b/>
        </w:rPr>
        <w:t xml:space="preserve">Time </w:t>
      </w:r>
      <w:r w:rsidR="00734548" w:rsidRPr="00624EE3">
        <w:rPr>
          <w:b/>
        </w:rPr>
        <w:t>Needed P</w:t>
      </w:r>
      <w:r w:rsidRPr="00624EE3">
        <w:rPr>
          <w:b/>
        </w:rPr>
        <w:t xml:space="preserve">er </w:t>
      </w:r>
      <w:r w:rsidR="00734548" w:rsidRPr="00624EE3">
        <w:rPr>
          <w:b/>
        </w:rPr>
        <w:t>R</w:t>
      </w:r>
      <w:r w:rsidRPr="00624EE3">
        <w:rPr>
          <w:b/>
        </w:rPr>
        <w:t>esponse:</w:t>
      </w:r>
    </w:p>
    <w:p w:rsidR="005F2D19" w:rsidRPr="009B7735" w:rsidRDefault="00F44482" w:rsidP="009B7735">
      <w:pPr>
        <w:pStyle w:val="BodyCNMIOMB"/>
      </w:pPr>
      <w:r w:rsidRPr="000C27D2">
        <w:t>Estimates of time needed per response for</w:t>
      </w:r>
      <w:r w:rsidR="00D73D0E" w:rsidRPr="000C27D2">
        <w:t xml:space="preserve"> both</w:t>
      </w:r>
      <w:r w:rsidRPr="000C27D2">
        <w:t xml:space="preserve"> NAP participants and retailers include time to review </w:t>
      </w:r>
      <w:r w:rsidR="00C63353" w:rsidRPr="000C27D2">
        <w:t>the advance letter</w:t>
      </w:r>
      <w:r w:rsidRPr="000C27D2">
        <w:t xml:space="preserve"> and study information</w:t>
      </w:r>
      <w:r w:rsidR="00C63353" w:rsidRPr="000C27D2">
        <w:t xml:space="preserve"> sheet</w:t>
      </w:r>
      <w:r w:rsidRPr="000C27D2">
        <w:t>, schedule the interview</w:t>
      </w:r>
      <w:r w:rsidR="00C63353" w:rsidRPr="000C27D2">
        <w:t xml:space="preserve"> during follow-up communications</w:t>
      </w:r>
      <w:r w:rsidRPr="000C27D2">
        <w:t>, and complete the interview.  Estimates of time needed per response for CBO staff include assisting with NAP participant recruitment and interview scheduling.</w:t>
      </w:r>
    </w:p>
    <w:p w:rsidR="00F44482" w:rsidRPr="000C27D2" w:rsidRDefault="005F2D19" w:rsidP="00624EE3">
      <w:pPr>
        <w:pStyle w:val="TableTitle"/>
      </w:pPr>
      <w:r w:rsidRPr="000C27D2">
        <w:t>Time Needed Per Response</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56"/>
        <w:gridCol w:w="2210"/>
        <w:gridCol w:w="2210"/>
      </w:tblGrid>
      <w:tr w:rsidR="00F44482" w:rsidRPr="00624EE3" w:rsidTr="00C104E1">
        <w:tc>
          <w:tcPr>
            <w:tcW w:w="2692" w:type="pct"/>
            <w:shd w:val="clear" w:color="auto" w:fill="D9D9D9"/>
            <w:vAlign w:val="center"/>
          </w:tcPr>
          <w:p w:rsidR="00F44482" w:rsidRPr="00624EE3" w:rsidRDefault="00F44482" w:rsidP="00624EE3">
            <w:pPr>
              <w:pStyle w:val="TableText"/>
              <w:rPr>
                <w:b/>
              </w:rPr>
            </w:pPr>
            <w:r w:rsidRPr="00624EE3">
              <w:rPr>
                <w:b/>
              </w:rPr>
              <w:t>Respondent Type</w:t>
            </w:r>
          </w:p>
        </w:tc>
        <w:tc>
          <w:tcPr>
            <w:tcW w:w="1154" w:type="pct"/>
            <w:shd w:val="clear" w:color="auto" w:fill="D9D9D9"/>
          </w:tcPr>
          <w:p w:rsidR="00F44482" w:rsidRPr="00624EE3" w:rsidRDefault="00F44482" w:rsidP="00624EE3">
            <w:pPr>
              <w:pStyle w:val="TableText"/>
              <w:rPr>
                <w:b/>
              </w:rPr>
            </w:pPr>
            <w:r w:rsidRPr="00624EE3">
              <w:rPr>
                <w:b/>
              </w:rPr>
              <w:t>Time (minutes)</w:t>
            </w:r>
          </w:p>
        </w:tc>
        <w:tc>
          <w:tcPr>
            <w:tcW w:w="1154" w:type="pct"/>
            <w:shd w:val="clear" w:color="auto" w:fill="D9D9D9"/>
          </w:tcPr>
          <w:p w:rsidR="00F44482" w:rsidRPr="00624EE3" w:rsidRDefault="00F44482" w:rsidP="00624EE3">
            <w:pPr>
              <w:pStyle w:val="TableText"/>
              <w:rPr>
                <w:b/>
              </w:rPr>
            </w:pPr>
            <w:r w:rsidRPr="00624EE3">
              <w:rPr>
                <w:b/>
              </w:rPr>
              <w:t>Time (hours)</w:t>
            </w:r>
          </w:p>
        </w:tc>
      </w:tr>
      <w:tr w:rsidR="00F44482" w:rsidRPr="000C27D2" w:rsidTr="00C104E1">
        <w:tc>
          <w:tcPr>
            <w:tcW w:w="2692" w:type="pct"/>
          </w:tcPr>
          <w:p w:rsidR="00F44482" w:rsidRPr="000C27D2" w:rsidRDefault="00F44482" w:rsidP="00624EE3">
            <w:pPr>
              <w:pStyle w:val="TableText"/>
            </w:pPr>
            <w:r w:rsidRPr="000C27D2">
              <w:t>Current NAP Participants (n=20)</w:t>
            </w:r>
          </w:p>
        </w:tc>
        <w:tc>
          <w:tcPr>
            <w:tcW w:w="1154" w:type="pct"/>
          </w:tcPr>
          <w:p w:rsidR="00F44482" w:rsidRPr="000C27D2" w:rsidRDefault="00F44482" w:rsidP="00624EE3">
            <w:pPr>
              <w:pStyle w:val="TableText"/>
            </w:pPr>
            <w:r w:rsidRPr="000C27D2">
              <w:t>70</w:t>
            </w:r>
          </w:p>
        </w:tc>
        <w:tc>
          <w:tcPr>
            <w:tcW w:w="1154" w:type="pct"/>
            <w:vAlign w:val="center"/>
          </w:tcPr>
          <w:p w:rsidR="00F44482" w:rsidRPr="000C27D2" w:rsidRDefault="00F44482" w:rsidP="00624EE3">
            <w:pPr>
              <w:pStyle w:val="TableText"/>
            </w:pPr>
            <w:r w:rsidRPr="000C27D2">
              <w:t>1.1</w:t>
            </w:r>
            <w:r w:rsidR="00D73D0E" w:rsidRPr="000C27D2">
              <w:t>6</w:t>
            </w:r>
          </w:p>
        </w:tc>
      </w:tr>
      <w:tr w:rsidR="002914E1" w:rsidRPr="000C27D2" w:rsidTr="00C104E1">
        <w:tc>
          <w:tcPr>
            <w:tcW w:w="2692" w:type="pct"/>
          </w:tcPr>
          <w:p w:rsidR="002914E1" w:rsidRPr="000C27D2" w:rsidRDefault="002914E1" w:rsidP="004E76B8">
            <w:pPr>
              <w:pStyle w:val="TableText"/>
            </w:pPr>
            <w:r w:rsidRPr="000C27D2">
              <w:t>NAP-Certified Retailers (n=36)</w:t>
            </w:r>
          </w:p>
        </w:tc>
        <w:tc>
          <w:tcPr>
            <w:tcW w:w="1154" w:type="pct"/>
          </w:tcPr>
          <w:p w:rsidR="002914E1" w:rsidRPr="000C27D2" w:rsidRDefault="002914E1" w:rsidP="004E76B8">
            <w:pPr>
              <w:pStyle w:val="TableText"/>
            </w:pPr>
            <w:r w:rsidRPr="000C27D2">
              <w:t>70</w:t>
            </w:r>
          </w:p>
        </w:tc>
        <w:tc>
          <w:tcPr>
            <w:tcW w:w="1154" w:type="pct"/>
            <w:vAlign w:val="center"/>
          </w:tcPr>
          <w:p w:rsidR="002914E1" w:rsidRPr="000C27D2" w:rsidRDefault="002914E1" w:rsidP="004E76B8">
            <w:pPr>
              <w:pStyle w:val="TableText"/>
            </w:pPr>
            <w:r w:rsidRPr="000C27D2">
              <w:t>1.16</w:t>
            </w:r>
          </w:p>
        </w:tc>
      </w:tr>
      <w:tr w:rsidR="002914E1" w:rsidRPr="000C27D2" w:rsidTr="00C104E1">
        <w:tc>
          <w:tcPr>
            <w:tcW w:w="2692" w:type="pct"/>
          </w:tcPr>
          <w:p w:rsidR="002914E1" w:rsidRPr="000C27D2" w:rsidRDefault="002914E1" w:rsidP="00624EE3">
            <w:pPr>
              <w:pStyle w:val="TableText"/>
            </w:pPr>
            <w:r w:rsidRPr="000C27D2">
              <w:t>CBO Staff (n=1)</w:t>
            </w:r>
          </w:p>
        </w:tc>
        <w:tc>
          <w:tcPr>
            <w:tcW w:w="1154" w:type="pct"/>
          </w:tcPr>
          <w:p w:rsidR="002914E1" w:rsidRPr="000C27D2" w:rsidRDefault="002914E1" w:rsidP="00624EE3">
            <w:pPr>
              <w:pStyle w:val="TableText"/>
            </w:pPr>
            <w:r w:rsidRPr="000C27D2">
              <w:t>960</w:t>
            </w:r>
          </w:p>
        </w:tc>
        <w:tc>
          <w:tcPr>
            <w:tcW w:w="1154" w:type="pct"/>
            <w:vAlign w:val="center"/>
          </w:tcPr>
          <w:p w:rsidR="002914E1" w:rsidRPr="000C27D2" w:rsidRDefault="002914E1" w:rsidP="00624EE3">
            <w:pPr>
              <w:pStyle w:val="TableText"/>
            </w:pPr>
            <w:r w:rsidRPr="000C27D2">
              <w:t>16</w:t>
            </w:r>
          </w:p>
        </w:tc>
      </w:tr>
    </w:tbl>
    <w:p w:rsidR="00F9092A" w:rsidRPr="000C27D2" w:rsidRDefault="00F9092A" w:rsidP="0027441F">
      <w:pPr>
        <w:rPr>
          <w:rFonts w:asciiTheme="majorHAnsi" w:hAnsiTheme="majorHAnsi" w:cs="Arial"/>
          <w:b/>
          <w:sz w:val="22"/>
          <w:szCs w:val="22"/>
          <w:lang w:val="en-US"/>
        </w:rPr>
      </w:pPr>
    </w:p>
    <w:p w:rsidR="00A70349" w:rsidRPr="009B7735" w:rsidRDefault="00055689" w:rsidP="00A70349">
      <w:pPr>
        <w:pStyle w:val="Numbers"/>
        <w:rPr>
          <w:b/>
        </w:rPr>
      </w:pPr>
      <w:r w:rsidRPr="00624EE3">
        <w:rPr>
          <w:b/>
        </w:rPr>
        <w:t xml:space="preserve">Total </w:t>
      </w:r>
      <w:r w:rsidR="00734548" w:rsidRPr="00624EE3">
        <w:rPr>
          <w:b/>
        </w:rPr>
        <w:t>B</w:t>
      </w:r>
      <w:r w:rsidRPr="00624EE3">
        <w:rPr>
          <w:b/>
        </w:rPr>
        <w:t xml:space="preserve">urden </w:t>
      </w:r>
      <w:r w:rsidR="00734548" w:rsidRPr="00624EE3">
        <w:rPr>
          <w:b/>
        </w:rPr>
        <w:t>H</w:t>
      </w:r>
      <w:r w:rsidRPr="00624EE3">
        <w:rPr>
          <w:b/>
        </w:rPr>
        <w:t xml:space="preserve">ours on </w:t>
      </w:r>
      <w:r w:rsidR="000F69EC" w:rsidRPr="00624EE3">
        <w:rPr>
          <w:rFonts w:eastAsia="Calibri"/>
          <w:b/>
        </w:rPr>
        <w:t>Target Audiences</w:t>
      </w:r>
      <w:r w:rsidRPr="00624EE3">
        <w:rPr>
          <w:b/>
        </w:rPr>
        <w:t>:</w:t>
      </w:r>
    </w:p>
    <w:tbl>
      <w:tblPr>
        <w:tblW w:w="9625" w:type="dxa"/>
        <w:tblInd w:w="-72" w:type="dxa"/>
        <w:tblLook w:val="04A0" w:firstRow="1" w:lastRow="0" w:firstColumn="1" w:lastColumn="0" w:noHBand="0" w:noVBand="1"/>
      </w:tblPr>
      <w:tblGrid>
        <w:gridCol w:w="2340"/>
        <w:gridCol w:w="3780"/>
        <w:gridCol w:w="630"/>
        <w:gridCol w:w="720"/>
        <w:gridCol w:w="720"/>
        <w:gridCol w:w="720"/>
        <w:gridCol w:w="715"/>
      </w:tblGrid>
      <w:tr w:rsidR="002914E1" w:rsidTr="002914E1">
        <w:trPr>
          <w:trHeight w:val="1168"/>
        </w:trPr>
        <w:tc>
          <w:tcPr>
            <w:tcW w:w="2340" w:type="dxa"/>
            <w:tcBorders>
              <w:top w:val="single" w:sz="8" w:space="0" w:color="auto"/>
              <w:left w:val="nil"/>
              <w:bottom w:val="single" w:sz="8" w:space="0" w:color="auto"/>
              <w:right w:val="single" w:sz="8" w:space="0" w:color="auto"/>
            </w:tcBorders>
            <w:shd w:val="clear" w:color="000000" w:fill="D9D9D9"/>
            <w:vAlign w:val="center"/>
            <w:hideMark/>
          </w:tcPr>
          <w:p w:rsidR="002914E1" w:rsidRDefault="002914E1">
            <w:pPr>
              <w:rPr>
                <w:rFonts w:ascii="Cambria" w:hAnsi="Cambria"/>
                <w:b/>
                <w:bCs/>
                <w:color w:val="000000"/>
                <w:sz w:val="18"/>
                <w:szCs w:val="18"/>
              </w:rPr>
            </w:pPr>
            <w:r>
              <w:rPr>
                <w:rFonts w:ascii="Cambria" w:hAnsi="Cambria"/>
                <w:b/>
                <w:bCs/>
                <w:color w:val="000000"/>
                <w:sz w:val="18"/>
                <w:szCs w:val="18"/>
              </w:rPr>
              <w:t>Target Audience</w:t>
            </w:r>
          </w:p>
        </w:tc>
        <w:tc>
          <w:tcPr>
            <w:tcW w:w="3780" w:type="dxa"/>
            <w:tcBorders>
              <w:top w:val="single" w:sz="8" w:space="0" w:color="auto"/>
              <w:left w:val="nil"/>
              <w:bottom w:val="single" w:sz="8" w:space="0" w:color="auto"/>
              <w:right w:val="single" w:sz="8" w:space="0" w:color="auto"/>
            </w:tcBorders>
            <w:shd w:val="clear" w:color="000000" w:fill="D9D9D9"/>
            <w:vAlign w:val="center"/>
            <w:hideMark/>
          </w:tcPr>
          <w:p w:rsidR="002914E1" w:rsidRDefault="002914E1">
            <w:pPr>
              <w:rPr>
                <w:rFonts w:ascii="Cambria" w:hAnsi="Cambria"/>
                <w:b/>
                <w:bCs/>
                <w:color w:val="000000"/>
                <w:sz w:val="18"/>
                <w:szCs w:val="18"/>
              </w:rPr>
            </w:pPr>
            <w:r>
              <w:rPr>
                <w:rFonts w:ascii="Cambria" w:hAnsi="Cambria"/>
                <w:b/>
                <w:bCs/>
                <w:color w:val="000000"/>
                <w:sz w:val="18"/>
                <w:szCs w:val="18"/>
              </w:rPr>
              <w:t>Instrument/Task</w:t>
            </w:r>
          </w:p>
        </w:tc>
        <w:tc>
          <w:tcPr>
            <w:tcW w:w="630" w:type="dxa"/>
            <w:tcBorders>
              <w:top w:val="single" w:sz="8" w:space="0" w:color="auto"/>
              <w:left w:val="nil"/>
              <w:bottom w:val="single" w:sz="8" w:space="0" w:color="auto"/>
              <w:right w:val="single" w:sz="8" w:space="0" w:color="auto"/>
            </w:tcBorders>
            <w:shd w:val="clear" w:color="000000" w:fill="D9D9D9"/>
            <w:textDirection w:val="btLr"/>
            <w:vAlign w:val="center"/>
            <w:hideMark/>
          </w:tcPr>
          <w:p w:rsidR="002914E1" w:rsidRDefault="002914E1" w:rsidP="002914E1">
            <w:pPr>
              <w:jc w:val="center"/>
              <w:rPr>
                <w:rFonts w:ascii="Cambria" w:hAnsi="Cambria"/>
                <w:b/>
                <w:bCs/>
                <w:color w:val="000000"/>
                <w:sz w:val="16"/>
                <w:szCs w:val="16"/>
              </w:rPr>
            </w:pPr>
            <w:r>
              <w:rPr>
                <w:rFonts w:ascii="Cambria" w:hAnsi="Cambria"/>
                <w:b/>
                <w:bCs/>
                <w:color w:val="000000"/>
                <w:sz w:val="16"/>
                <w:szCs w:val="16"/>
              </w:rPr>
              <w:t>Number of Respondents</w:t>
            </w:r>
          </w:p>
        </w:tc>
        <w:tc>
          <w:tcPr>
            <w:tcW w:w="720" w:type="dxa"/>
            <w:tcBorders>
              <w:top w:val="single" w:sz="8" w:space="0" w:color="auto"/>
              <w:left w:val="nil"/>
              <w:bottom w:val="single" w:sz="8" w:space="0" w:color="auto"/>
              <w:right w:val="single" w:sz="8" w:space="0" w:color="auto"/>
            </w:tcBorders>
            <w:shd w:val="clear" w:color="000000" w:fill="D9D9D9"/>
            <w:textDirection w:val="btLr"/>
            <w:vAlign w:val="center"/>
            <w:hideMark/>
          </w:tcPr>
          <w:p w:rsidR="002914E1" w:rsidRDefault="002914E1" w:rsidP="002914E1">
            <w:pPr>
              <w:jc w:val="center"/>
              <w:rPr>
                <w:rFonts w:ascii="Cambria" w:hAnsi="Cambria"/>
                <w:b/>
                <w:bCs/>
                <w:color w:val="000000"/>
                <w:sz w:val="16"/>
                <w:szCs w:val="16"/>
              </w:rPr>
            </w:pPr>
            <w:r>
              <w:rPr>
                <w:rFonts w:ascii="Cambria" w:hAnsi="Cambria"/>
                <w:b/>
                <w:bCs/>
                <w:color w:val="000000"/>
                <w:sz w:val="16"/>
                <w:szCs w:val="18"/>
              </w:rPr>
              <w:t>Freq. of Response (annual)</w:t>
            </w:r>
          </w:p>
        </w:tc>
        <w:tc>
          <w:tcPr>
            <w:tcW w:w="720" w:type="dxa"/>
            <w:tcBorders>
              <w:top w:val="single" w:sz="8" w:space="0" w:color="auto"/>
              <w:left w:val="nil"/>
              <w:bottom w:val="single" w:sz="8" w:space="0" w:color="auto"/>
              <w:right w:val="single" w:sz="8" w:space="0" w:color="auto"/>
            </w:tcBorders>
            <w:shd w:val="clear" w:color="000000" w:fill="D9D9D9"/>
            <w:textDirection w:val="btLr"/>
            <w:vAlign w:val="center"/>
            <w:hideMark/>
          </w:tcPr>
          <w:p w:rsidR="002914E1" w:rsidRDefault="002914E1" w:rsidP="002914E1">
            <w:pPr>
              <w:jc w:val="center"/>
              <w:rPr>
                <w:rFonts w:ascii="Cambria" w:hAnsi="Cambria"/>
                <w:b/>
                <w:bCs/>
                <w:color w:val="000000"/>
                <w:sz w:val="16"/>
                <w:szCs w:val="16"/>
              </w:rPr>
            </w:pPr>
            <w:r>
              <w:rPr>
                <w:rFonts w:ascii="Cambria" w:hAnsi="Cambria"/>
                <w:b/>
                <w:bCs/>
                <w:color w:val="000000"/>
                <w:sz w:val="16"/>
                <w:szCs w:val="18"/>
              </w:rPr>
              <w:t>Total Annual Response</w:t>
            </w:r>
          </w:p>
        </w:tc>
        <w:tc>
          <w:tcPr>
            <w:tcW w:w="720" w:type="dxa"/>
            <w:tcBorders>
              <w:top w:val="single" w:sz="8" w:space="0" w:color="auto"/>
              <w:left w:val="nil"/>
              <w:bottom w:val="single" w:sz="8" w:space="0" w:color="auto"/>
              <w:right w:val="single" w:sz="8" w:space="0" w:color="auto"/>
            </w:tcBorders>
            <w:shd w:val="clear" w:color="000000" w:fill="D9D9D9"/>
            <w:textDirection w:val="btLr"/>
            <w:vAlign w:val="center"/>
            <w:hideMark/>
          </w:tcPr>
          <w:p w:rsidR="002914E1" w:rsidRDefault="002914E1" w:rsidP="002914E1">
            <w:pPr>
              <w:jc w:val="center"/>
              <w:rPr>
                <w:rFonts w:ascii="Cambria" w:hAnsi="Cambria"/>
                <w:b/>
                <w:bCs/>
                <w:color w:val="000000"/>
                <w:sz w:val="16"/>
                <w:szCs w:val="16"/>
              </w:rPr>
            </w:pPr>
            <w:r>
              <w:rPr>
                <w:rFonts w:ascii="Cambria" w:hAnsi="Cambria"/>
                <w:b/>
                <w:bCs/>
                <w:color w:val="000000"/>
                <w:sz w:val="16"/>
                <w:szCs w:val="18"/>
              </w:rPr>
              <w:t>Avg. Hours per Response</w:t>
            </w:r>
          </w:p>
        </w:tc>
        <w:tc>
          <w:tcPr>
            <w:tcW w:w="715" w:type="dxa"/>
            <w:tcBorders>
              <w:top w:val="single" w:sz="8" w:space="0" w:color="auto"/>
              <w:left w:val="nil"/>
              <w:bottom w:val="single" w:sz="8" w:space="0" w:color="auto"/>
              <w:right w:val="nil"/>
            </w:tcBorders>
            <w:shd w:val="clear" w:color="000000" w:fill="D9D9D9"/>
            <w:textDirection w:val="btLr"/>
            <w:vAlign w:val="center"/>
            <w:hideMark/>
          </w:tcPr>
          <w:p w:rsidR="002914E1" w:rsidRDefault="002914E1" w:rsidP="002914E1">
            <w:pPr>
              <w:jc w:val="center"/>
              <w:rPr>
                <w:rFonts w:ascii="Cambria" w:hAnsi="Cambria"/>
                <w:b/>
                <w:bCs/>
                <w:color w:val="000000"/>
                <w:sz w:val="16"/>
                <w:szCs w:val="16"/>
              </w:rPr>
            </w:pPr>
            <w:r>
              <w:rPr>
                <w:rFonts w:ascii="Cambria" w:hAnsi="Cambria"/>
                <w:b/>
                <w:bCs/>
                <w:color w:val="000000"/>
                <w:sz w:val="16"/>
                <w:szCs w:val="18"/>
              </w:rPr>
              <w:t>Total Annual Burden</w:t>
            </w:r>
          </w:p>
        </w:tc>
      </w:tr>
      <w:tr w:rsidR="002914E1" w:rsidTr="002914E1">
        <w:trPr>
          <w:trHeight w:val="250"/>
        </w:trPr>
        <w:tc>
          <w:tcPr>
            <w:tcW w:w="234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Current NAP participants</w:t>
            </w:r>
          </w:p>
        </w:tc>
        <w:tc>
          <w:tcPr>
            <w:tcW w:w="378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Advance letter/study information sheet</w:t>
            </w:r>
          </w:p>
        </w:tc>
        <w:tc>
          <w:tcPr>
            <w:tcW w:w="63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0.08</w:t>
            </w:r>
          </w:p>
        </w:tc>
        <w:tc>
          <w:tcPr>
            <w:tcW w:w="715" w:type="dxa"/>
            <w:tcBorders>
              <w:top w:val="nil"/>
              <w:left w:val="nil"/>
              <w:bottom w:val="single" w:sz="8" w:space="0" w:color="auto"/>
              <w:right w:val="nil"/>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1.6</w:t>
            </w:r>
          </w:p>
        </w:tc>
      </w:tr>
      <w:tr w:rsidR="002914E1" w:rsidTr="002914E1">
        <w:trPr>
          <w:trHeight w:val="259"/>
        </w:trPr>
        <w:tc>
          <w:tcPr>
            <w:tcW w:w="234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Current NAP participants</w:t>
            </w:r>
          </w:p>
        </w:tc>
        <w:tc>
          <w:tcPr>
            <w:tcW w:w="378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Follow-up/scheduling communications</w:t>
            </w:r>
          </w:p>
        </w:tc>
        <w:tc>
          <w:tcPr>
            <w:tcW w:w="63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0.08</w:t>
            </w:r>
          </w:p>
        </w:tc>
        <w:tc>
          <w:tcPr>
            <w:tcW w:w="715" w:type="dxa"/>
            <w:tcBorders>
              <w:top w:val="nil"/>
              <w:left w:val="nil"/>
              <w:bottom w:val="single" w:sz="8" w:space="0" w:color="auto"/>
              <w:right w:val="nil"/>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1.6</w:t>
            </w:r>
          </w:p>
        </w:tc>
      </w:tr>
      <w:tr w:rsidR="002914E1" w:rsidTr="002914E1">
        <w:trPr>
          <w:trHeight w:val="160"/>
        </w:trPr>
        <w:tc>
          <w:tcPr>
            <w:tcW w:w="234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Current NAP participants</w:t>
            </w:r>
          </w:p>
        </w:tc>
        <w:tc>
          <w:tcPr>
            <w:tcW w:w="378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In-person interview</w:t>
            </w:r>
          </w:p>
        </w:tc>
        <w:tc>
          <w:tcPr>
            <w:tcW w:w="63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15" w:type="dxa"/>
            <w:tcBorders>
              <w:top w:val="nil"/>
              <w:left w:val="nil"/>
              <w:bottom w:val="single" w:sz="8" w:space="0" w:color="auto"/>
              <w:right w:val="nil"/>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20</w:t>
            </w:r>
          </w:p>
        </w:tc>
      </w:tr>
      <w:tr w:rsidR="002914E1" w:rsidTr="002914E1">
        <w:trPr>
          <w:trHeight w:val="196"/>
        </w:trPr>
        <w:tc>
          <w:tcPr>
            <w:tcW w:w="2340" w:type="dxa"/>
            <w:tcBorders>
              <w:top w:val="nil"/>
              <w:left w:val="nil"/>
              <w:bottom w:val="single" w:sz="8" w:space="0" w:color="auto"/>
              <w:right w:val="single" w:sz="8" w:space="0" w:color="auto"/>
            </w:tcBorders>
            <w:shd w:val="clear" w:color="000000" w:fill="D9D9D9"/>
            <w:vAlign w:val="center"/>
            <w:hideMark/>
          </w:tcPr>
          <w:p w:rsidR="002914E1" w:rsidRDefault="002914E1">
            <w:pPr>
              <w:rPr>
                <w:rFonts w:ascii="Cambria" w:hAnsi="Cambria"/>
                <w:color w:val="000000"/>
                <w:sz w:val="18"/>
                <w:szCs w:val="18"/>
              </w:rPr>
            </w:pPr>
            <w:r>
              <w:rPr>
                <w:rFonts w:ascii="Cambria" w:hAnsi="Cambria"/>
                <w:color w:val="000000"/>
                <w:sz w:val="18"/>
                <w:szCs w:val="18"/>
              </w:rPr>
              <w:t>Sub-Total I/H</w:t>
            </w:r>
          </w:p>
        </w:tc>
        <w:tc>
          <w:tcPr>
            <w:tcW w:w="3780" w:type="dxa"/>
            <w:tcBorders>
              <w:top w:val="nil"/>
              <w:left w:val="nil"/>
              <w:bottom w:val="single" w:sz="8" w:space="0" w:color="auto"/>
              <w:right w:val="single" w:sz="8" w:space="0" w:color="auto"/>
            </w:tcBorders>
            <w:shd w:val="clear" w:color="000000" w:fill="D9D9D9"/>
            <w:vAlign w:val="center"/>
            <w:hideMark/>
          </w:tcPr>
          <w:p w:rsidR="002914E1" w:rsidRDefault="002914E1">
            <w:pPr>
              <w:rPr>
                <w:rFonts w:ascii="Cambria" w:hAnsi="Cambria"/>
                <w:color w:val="000000"/>
                <w:sz w:val="18"/>
                <w:szCs w:val="18"/>
              </w:rPr>
            </w:pPr>
            <w:r>
              <w:rPr>
                <w:rFonts w:ascii="Cambria" w:hAnsi="Cambria"/>
                <w:color w:val="000000"/>
                <w:sz w:val="18"/>
                <w:szCs w:val="18"/>
              </w:rPr>
              <w:t> </w:t>
            </w:r>
          </w:p>
        </w:tc>
        <w:tc>
          <w:tcPr>
            <w:tcW w:w="630" w:type="dxa"/>
            <w:tcBorders>
              <w:top w:val="nil"/>
              <w:left w:val="nil"/>
              <w:bottom w:val="single" w:sz="8" w:space="0" w:color="auto"/>
              <w:right w:val="single" w:sz="8" w:space="0" w:color="auto"/>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20</w:t>
            </w:r>
          </w:p>
        </w:tc>
        <w:tc>
          <w:tcPr>
            <w:tcW w:w="720" w:type="dxa"/>
            <w:tcBorders>
              <w:top w:val="nil"/>
              <w:left w:val="nil"/>
              <w:bottom w:val="single" w:sz="8" w:space="0" w:color="auto"/>
              <w:right w:val="single" w:sz="8" w:space="0" w:color="auto"/>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3</w:t>
            </w:r>
          </w:p>
        </w:tc>
        <w:tc>
          <w:tcPr>
            <w:tcW w:w="720" w:type="dxa"/>
            <w:tcBorders>
              <w:top w:val="nil"/>
              <w:left w:val="nil"/>
              <w:bottom w:val="single" w:sz="8" w:space="0" w:color="auto"/>
              <w:right w:val="single" w:sz="8" w:space="0" w:color="auto"/>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60</w:t>
            </w:r>
          </w:p>
        </w:tc>
        <w:tc>
          <w:tcPr>
            <w:tcW w:w="720" w:type="dxa"/>
            <w:tcBorders>
              <w:top w:val="nil"/>
              <w:left w:val="nil"/>
              <w:bottom w:val="single" w:sz="8" w:space="0" w:color="auto"/>
              <w:right w:val="single" w:sz="8" w:space="0" w:color="auto"/>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0.387</w:t>
            </w:r>
          </w:p>
        </w:tc>
        <w:tc>
          <w:tcPr>
            <w:tcW w:w="715" w:type="dxa"/>
            <w:tcBorders>
              <w:top w:val="nil"/>
              <w:left w:val="nil"/>
              <w:bottom w:val="single" w:sz="8" w:space="0" w:color="auto"/>
              <w:right w:val="nil"/>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23.2</w:t>
            </w:r>
          </w:p>
        </w:tc>
      </w:tr>
      <w:tr w:rsidR="002914E1" w:rsidTr="002914E1">
        <w:trPr>
          <w:trHeight w:val="241"/>
        </w:trPr>
        <w:tc>
          <w:tcPr>
            <w:tcW w:w="234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CBO</w:t>
            </w:r>
          </w:p>
        </w:tc>
        <w:tc>
          <w:tcPr>
            <w:tcW w:w="378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Assist with NAP participant recruitment and interview scheduling</w:t>
            </w:r>
          </w:p>
        </w:tc>
        <w:tc>
          <w:tcPr>
            <w:tcW w:w="63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16</w:t>
            </w:r>
          </w:p>
        </w:tc>
        <w:tc>
          <w:tcPr>
            <w:tcW w:w="715" w:type="dxa"/>
            <w:tcBorders>
              <w:top w:val="nil"/>
              <w:left w:val="nil"/>
              <w:bottom w:val="single" w:sz="8" w:space="0" w:color="auto"/>
              <w:right w:val="nil"/>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16</w:t>
            </w:r>
          </w:p>
        </w:tc>
      </w:tr>
      <w:tr w:rsidR="002914E1" w:rsidTr="002914E1">
        <w:trPr>
          <w:trHeight w:val="241"/>
        </w:trPr>
        <w:tc>
          <w:tcPr>
            <w:tcW w:w="234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NAP-Certified retailers</w:t>
            </w:r>
          </w:p>
        </w:tc>
        <w:tc>
          <w:tcPr>
            <w:tcW w:w="378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Advance letter/ study information sheet</w:t>
            </w:r>
          </w:p>
        </w:tc>
        <w:tc>
          <w:tcPr>
            <w:tcW w:w="63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40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40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0.08</w:t>
            </w:r>
          </w:p>
        </w:tc>
        <w:tc>
          <w:tcPr>
            <w:tcW w:w="715" w:type="dxa"/>
            <w:tcBorders>
              <w:top w:val="nil"/>
              <w:left w:val="nil"/>
              <w:bottom w:val="single" w:sz="8" w:space="0" w:color="auto"/>
              <w:right w:val="nil"/>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3.2</w:t>
            </w:r>
          </w:p>
        </w:tc>
      </w:tr>
      <w:tr w:rsidR="002914E1" w:rsidTr="002914E1">
        <w:trPr>
          <w:trHeight w:val="160"/>
        </w:trPr>
        <w:tc>
          <w:tcPr>
            <w:tcW w:w="234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NAP-Certified retailers</w:t>
            </w:r>
          </w:p>
        </w:tc>
        <w:tc>
          <w:tcPr>
            <w:tcW w:w="378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Follow-up/scheduling communications</w:t>
            </w:r>
          </w:p>
        </w:tc>
        <w:tc>
          <w:tcPr>
            <w:tcW w:w="63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40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40</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0.08</w:t>
            </w:r>
          </w:p>
        </w:tc>
        <w:tc>
          <w:tcPr>
            <w:tcW w:w="715" w:type="dxa"/>
            <w:tcBorders>
              <w:top w:val="nil"/>
              <w:left w:val="nil"/>
              <w:bottom w:val="single" w:sz="8" w:space="0" w:color="auto"/>
              <w:right w:val="nil"/>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3.2</w:t>
            </w:r>
          </w:p>
        </w:tc>
      </w:tr>
      <w:tr w:rsidR="002914E1" w:rsidTr="002914E1">
        <w:trPr>
          <w:trHeight w:val="205"/>
        </w:trPr>
        <w:tc>
          <w:tcPr>
            <w:tcW w:w="234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NAP-Certified retailers</w:t>
            </w:r>
          </w:p>
        </w:tc>
        <w:tc>
          <w:tcPr>
            <w:tcW w:w="3780" w:type="dxa"/>
            <w:tcBorders>
              <w:top w:val="nil"/>
              <w:left w:val="nil"/>
              <w:bottom w:val="single" w:sz="8" w:space="0" w:color="auto"/>
              <w:right w:val="single" w:sz="8" w:space="0" w:color="auto"/>
            </w:tcBorders>
            <w:shd w:val="clear" w:color="auto" w:fill="auto"/>
            <w:vAlign w:val="center"/>
            <w:hideMark/>
          </w:tcPr>
          <w:p w:rsidR="002914E1" w:rsidRDefault="002914E1">
            <w:pPr>
              <w:rPr>
                <w:rFonts w:ascii="Cambria" w:hAnsi="Cambria"/>
                <w:color w:val="000000"/>
                <w:sz w:val="18"/>
                <w:szCs w:val="18"/>
              </w:rPr>
            </w:pPr>
            <w:r>
              <w:rPr>
                <w:rFonts w:ascii="Cambria" w:hAnsi="Cambria"/>
                <w:color w:val="000000"/>
                <w:sz w:val="18"/>
                <w:szCs w:val="18"/>
              </w:rPr>
              <w:t>In-person interview</w:t>
            </w:r>
          </w:p>
        </w:tc>
        <w:tc>
          <w:tcPr>
            <w:tcW w:w="63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36</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36</w:t>
            </w:r>
          </w:p>
        </w:tc>
        <w:tc>
          <w:tcPr>
            <w:tcW w:w="720" w:type="dxa"/>
            <w:tcBorders>
              <w:top w:val="nil"/>
              <w:left w:val="nil"/>
              <w:bottom w:val="single" w:sz="8" w:space="0" w:color="auto"/>
              <w:right w:val="single" w:sz="8" w:space="0" w:color="auto"/>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w:t>
            </w:r>
          </w:p>
        </w:tc>
        <w:tc>
          <w:tcPr>
            <w:tcW w:w="715" w:type="dxa"/>
            <w:tcBorders>
              <w:top w:val="nil"/>
              <w:left w:val="nil"/>
              <w:bottom w:val="single" w:sz="8" w:space="0" w:color="auto"/>
              <w:right w:val="nil"/>
            </w:tcBorders>
            <w:shd w:val="clear" w:color="auto" w:fill="auto"/>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36</w:t>
            </w:r>
          </w:p>
        </w:tc>
      </w:tr>
      <w:tr w:rsidR="002914E1" w:rsidTr="002914E1">
        <w:trPr>
          <w:trHeight w:val="160"/>
        </w:trPr>
        <w:tc>
          <w:tcPr>
            <w:tcW w:w="2340" w:type="dxa"/>
            <w:tcBorders>
              <w:top w:val="nil"/>
              <w:left w:val="nil"/>
              <w:bottom w:val="single" w:sz="8" w:space="0" w:color="auto"/>
              <w:right w:val="single" w:sz="8" w:space="0" w:color="auto"/>
            </w:tcBorders>
            <w:shd w:val="clear" w:color="000000" w:fill="D9D9D9"/>
            <w:vAlign w:val="center"/>
            <w:hideMark/>
          </w:tcPr>
          <w:p w:rsidR="002914E1" w:rsidRDefault="002914E1">
            <w:pPr>
              <w:rPr>
                <w:rFonts w:ascii="Cambria" w:hAnsi="Cambria"/>
                <w:color w:val="000000"/>
                <w:sz w:val="18"/>
                <w:szCs w:val="18"/>
              </w:rPr>
            </w:pPr>
            <w:r>
              <w:rPr>
                <w:rFonts w:ascii="Cambria" w:hAnsi="Cambria"/>
                <w:color w:val="000000"/>
                <w:sz w:val="18"/>
                <w:szCs w:val="18"/>
              </w:rPr>
              <w:t>Sub-Total Business</w:t>
            </w:r>
          </w:p>
        </w:tc>
        <w:tc>
          <w:tcPr>
            <w:tcW w:w="3780" w:type="dxa"/>
            <w:tcBorders>
              <w:top w:val="nil"/>
              <w:left w:val="nil"/>
              <w:bottom w:val="single" w:sz="8" w:space="0" w:color="auto"/>
              <w:right w:val="single" w:sz="8" w:space="0" w:color="auto"/>
            </w:tcBorders>
            <w:shd w:val="clear" w:color="000000" w:fill="D9D9D9"/>
            <w:vAlign w:val="center"/>
            <w:hideMark/>
          </w:tcPr>
          <w:p w:rsidR="002914E1" w:rsidRDefault="002914E1">
            <w:pPr>
              <w:rPr>
                <w:rFonts w:ascii="Cambria" w:hAnsi="Cambria"/>
                <w:color w:val="000000"/>
                <w:sz w:val="18"/>
                <w:szCs w:val="18"/>
              </w:rPr>
            </w:pPr>
            <w:r>
              <w:rPr>
                <w:rFonts w:ascii="Cambria" w:hAnsi="Cambria"/>
                <w:color w:val="000000"/>
                <w:sz w:val="18"/>
                <w:szCs w:val="18"/>
              </w:rPr>
              <w:t> </w:t>
            </w:r>
          </w:p>
        </w:tc>
        <w:tc>
          <w:tcPr>
            <w:tcW w:w="630" w:type="dxa"/>
            <w:tcBorders>
              <w:top w:val="nil"/>
              <w:left w:val="nil"/>
              <w:bottom w:val="single" w:sz="8" w:space="0" w:color="auto"/>
              <w:right w:val="single" w:sz="8" w:space="0" w:color="auto"/>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41</w:t>
            </w:r>
          </w:p>
        </w:tc>
        <w:tc>
          <w:tcPr>
            <w:tcW w:w="720" w:type="dxa"/>
            <w:tcBorders>
              <w:top w:val="nil"/>
              <w:left w:val="nil"/>
              <w:bottom w:val="single" w:sz="8" w:space="0" w:color="auto"/>
              <w:right w:val="single" w:sz="8" w:space="0" w:color="auto"/>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2.854</w:t>
            </w:r>
          </w:p>
        </w:tc>
        <w:tc>
          <w:tcPr>
            <w:tcW w:w="720" w:type="dxa"/>
            <w:tcBorders>
              <w:top w:val="nil"/>
              <w:left w:val="nil"/>
              <w:bottom w:val="single" w:sz="8" w:space="0" w:color="auto"/>
              <w:right w:val="single" w:sz="8" w:space="0" w:color="auto"/>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117</w:t>
            </w:r>
          </w:p>
        </w:tc>
        <w:tc>
          <w:tcPr>
            <w:tcW w:w="720" w:type="dxa"/>
            <w:tcBorders>
              <w:top w:val="nil"/>
              <w:left w:val="nil"/>
              <w:bottom w:val="single" w:sz="8" w:space="0" w:color="auto"/>
              <w:right w:val="single" w:sz="8" w:space="0" w:color="auto"/>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0.499</w:t>
            </w:r>
          </w:p>
        </w:tc>
        <w:tc>
          <w:tcPr>
            <w:tcW w:w="715" w:type="dxa"/>
            <w:tcBorders>
              <w:top w:val="nil"/>
              <w:left w:val="nil"/>
              <w:bottom w:val="single" w:sz="8" w:space="0" w:color="auto"/>
              <w:right w:val="nil"/>
            </w:tcBorders>
            <w:shd w:val="clear" w:color="000000" w:fill="D9D9D9"/>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58.4</w:t>
            </w:r>
          </w:p>
        </w:tc>
      </w:tr>
      <w:tr w:rsidR="002914E1" w:rsidTr="002914E1">
        <w:trPr>
          <w:trHeight w:val="315"/>
        </w:trPr>
        <w:tc>
          <w:tcPr>
            <w:tcW w:w="2340" w:type="dxa"/>
            <w:tcBorders>
              <w:top w:val="nil"/>
              <w:left w:val="nil"/>
              <w:bottom w:val="single" w:sz="8" w:space="0" w:color="auto"/>
              <w:right w:val="single" w:sz="8" w:space="0" w:color="auto"/>
            </w:tcBorders>
            <w:shd w:val="clear" w:color="000000" w:fill="BFBFBF"/>
            <w:vAlign w:val="center"/>
            <w:hideMark/>
          </w:tcPr>
          <w:p w:rsidR="002914E1" w:rsidRDefault="002914E1">
            <w:pPr>
              <w:rPr>
                <w:rFonts w:ascii="Cambria" w:hAnsi="Cambria"/>
                <w:color w:val="000000"/>
                <w:sz w:val="18"/>
                <w:szCs w:val="18"/>
              </w:rPr>
            </w:pPr>
            <w:r>
              <w:rPr>
                <w:rFonts w:ascii="Cambria" w:hAnsi="Cambria"/>
                <w:color w:val="000000"/>
                <w:sz w:val="18"/>
                <w:szCs w:val="18"/>
              </w:rPr>
              <w:t>Total</w:t>
            </w:r>
          </w:p>
        </w:tc>
        <w:tc>
          <w:tcPr>
            <w:tcW w:w="3780" w:type="dxa"/>
            <w:tcBorders>
              <w:top w:val="nil"/>
              <w:left w:val="nil"/>
              <w:bottom w:val="single" w:sz="8" w:space="0" w:color="auto"/>
              <w:right w:val="single" w:sz="8" w:space="0" w:color="auto"/>
            </w:tcBorders>
            <w:shd w:val="clear" w:color="000000" w:fill="BFBFBF"/>
            <w:noWrap/>
            <w:vAlign w:val="center"/>
            <w:hideMark/>
          </w:tcPr>
          <w:p w:rsidR="002914E1" w:rsidRDefault="002914E1">
            <w:pPr>
              <w:rPr>
                <w:rFonts w:ascii="Cambria" w:hAnsi="Cambria"/>
                <w:color w:val="000000"/>
                <w:sz w:val="18"/>
                <w:szCs w:val="18"/>
              </w:rPr>
            </w:pPr>
            <w:r>
              <w:rPr>
                <w:rFonts w:ascii="Cambria" w:hAnsi="Cambria"/>
                <w:color w:val="000000"/>
                <w:sz w:val="18"/>
                <w:szCs w:val="18"/>
              </w:rPr>
              <w:t> </w:t>
            </w:r>
          </w:p>
        </w:tc>
        <w:tc>
          <w:tcPr>
            <w:tcW w:w="630" w:type="dxa"/>
            <w:tcBorders>
              <w:top w:val="nil"/>
              <w:left w:val="nil"/>
              <w:bottom w:val="single" w:sz="8" w:space="0" w:color="auto"/>
              <w:right w:val="single" w:sz="8" w:space="0" w:color="auto"/>
            </w:tcBorders>
            <w:shd w:val="clear" w:color="000000" w:fill="BFBFBF"/>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61</w:t>
            </w:r>
          </w:p>
        </w:tc>
        <w:tc>
          <w:tcPr>
            <w:tcW w:w="720" w:type="dxa"/>
            <w:tcBorders>
              <w:top w:val="nil"/>
              <w:left w:val="nil"/>
              <w:bottom w:val="single" w:sz="8" w:space="0" w:color="auto"/>
              <w:right w:val="single" w:sz="8" w:space="0" w:color="auto"/>
            </w:tcBorders>
            <w:shd w:val="clear" w:color="000000" w:fill="BFBFBF"/>
            <w:noWrap/>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2.902</w:t>
            </w:r>
          </w:p>
        </w:tc>
        <w:tc>
          <w:tcPr>
            <w:tcW w:w="720" w:type="dxa"/>
            <w:tcBorders>
              <w:top w:val="nil"/>
              <w:left w:val="nil"/>
              <w:bottom w:val="single" w:sz="8" w:space="0" w:color="auto"/>
              <w:right w:val="single" w:sz="8" w:space="0" w:color="auto"/>
            </w:tcBorders>
            <w:shd w:val="clear" w:color="000000" w:fill="BFBFBF"/>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177</w:t>
            </w:r>
          </w:p>
        </w:tc>
        <w:tc>
          <w:tcPr>
            <w:tcW w:w="720" w:type="dxa"/>
            <w:tcBorders>
              <w:top w:val="nil"/>
              <w:left w:val="nil"/>
              <w:bottom w:val="single" w:sz="8" w:space="0" w:color="auto"/>
              <w:right w:val="single" w:sz="8" w:space="0" w:color="auto"/>
            </w:tcBorders>
            <w:shd w:val="clear" w:color="000000" w:fill="BFBFBF"/>
            <w:noWrap/>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0.461</w:t>
            </w:r>
          </w:p>
        </w:tc>
        <w:tc>
          <w:tcPr>
            <w:tcW w:w="715" w:type="dxa"/>
            <w:tcBorders>
              <w:top w:val="nil"/>
              <w:left w:val="nil"/>
              <w:bottom w:val="single" w:sz="8" w:space="0" w:color="auto"/>
              <w:right w:val="single" w:sz="8" w:space="0" w:color="auto"/>
            </w:tcBorders>
            <w:shd w:val="clear" w:color="000000" w:fill="BFBFBF"/>
            <w:vAlign w:val="center"/>
            <w:hideMark/>
          </w:tcPr>
          <w:p w:rsidR="002914E1" w:rsidRDefault="002914E1">
            <w:pPr>
              <w:jc w:val="right"/>
              <w:rPr>
                <w:rFonts w:ascii="Cambria" w:hAnsi="Cambria"/>
                <w:color w:val="000000"/>
                <w:sz w:val="18"/>
                <w:szCs w:val="18"/>
              </w:rPr>
            </w:pPr>
            <w:r>
              <w:rPr>
                <w:rFonts w:ascii="Cambria" w:hAnsi="Cambria"/>
                <w:color w:val="000000"/>
                <w:sz w:val="18"/>
                <w:szCs w:val="18"/>
              </w:rPr>
              <w:t>81.6</w:t>
            </w:r>
          </w:p>
        </w:tc>
      </w:tr>
    </w:tbl>
    <w:p w:rsidR="00D2346A" w:rsidRDefault="00D2346A">
      <w:pPr>
        <w:rPr>
          <w:rFonts w:asciiTheme="majorHAnsi" w:hAnsiTheme="majorHAnsi" w:cs="Arial"/>
          <w:b/>
          <w:color w:val="FF0000"/>
          <w:sz w:val="22"/>
          <w:szCs w:val="22"/>
          <w:lang w:val="en-US"/>
        </w:rPr>
      </w:pPr>
    </w:p>
    <w:p w:rsidR="002914E1" w:rsidRDefault="002914E1">
      <w:pPr>
        <w:rPr>
          <w:rFonts w:asciiTheme="majorHAnsi" w:hAnsiTheme="majorHAnsi" w:cs="Arial"/>
          <w:b/>
          <w:color w:val="FF0000"/>
          <w:sz w:val="22"/>
          <w:szCs w:val="22"/>
          <w:lang w:val="en-US"/>
        </w:rPr>
      </w:pPr>
    </w:p>
    <w:p w:rsidR="002914E1" w:rsidRDefault="002914E1">
      <w:pPr>
        <w:rPr>
          <w:rFonts w:asciiTheme="majorHAnsi" w:hAnsiTheme="majorHAnsi" w:cs="Arial"/>
          <w:b/>
          <w:color w:val="FF0000"/>
          <w:sz w:val="22"/>
          <w:szCs w:val="22"/>
          <w:lang w:val="en-US"/>
        </w:rPr>
      </w:pPr>
    </w:p>
    <w:p w:rsidR="002914E1" w:rsidRDefault="002914E1">
      <w:pPr>
        <w:rPr>
          <w:rFonts w:asciiTheme="majorHAnsi" w:hAnsiTheme="majorHAnsi" w:cs="Arial"/>
          <w:b/>
          <w:color w:val="FF0000"/>
          <w:sz w:val="22"/>
          <w:szCs w:val="22"/>
          <w:lang w:val="en-US"/>
        </w:rPr>
      </w:pPr>
    </w:p>
    <w:p w:rsidR="002914E1" w:rsidRPr="000C27D2" w:rsidRDefault="002914E1">
      <w:pPr>
        <w:rPr>
          <w:rFonts w:asciiTheme="majorHAnsi" w:hAnsiTheme="majorHAnsi" w:cs="Arial"/>
          <w:b/>
          <w:color w:val="FF0000"/>
          <w:sz w:val="22"/>
          <w:szCs w:val="22"/>
          <w:lang w:val="en-US"/>
        </w:rPr>
      </w:pPr>
    </w:p>
    <w:p w:rsidR="00B8094E" w:rsidRPr="009B7735" w:rsidRDefault="00AB01E3" w:rsidP="009B7735">
      <w:pPr>
        <w:pStyle w:val="Numbers"/>
        <w:rPr>
          <w:b/>
        </w:rPr>
      </w:pPr>
      <w:r w:rsidRPr="009B7735">
        <w:rPr>
          <w:b/>
        </w:rPr>
        <w:lastRenderedPageBreak/>
        <w:t xml:space="preserve">Project </w:t>
      </w:r>
      <w:r w:rsidR="00734548" w:rsidRPr="009B7735">
        <w:rPr>
          <w:b/>
        </w:rPr>
        <w:t>P</w:t>
      </w:r>
      <w:r w:rsidRPr="009B7735">
        <w:rPr>
          <w:b/>
        </w:rPr>
        <w:t xml:space="preserve">urpose, </w:t>
      </w:r>
      <w:r w:rsidR="00734548" w:rsidRPr="009B7735">
        <w:rPr>
          <w:b/>
        </w:rPr>
        <w:t>M</w:t>
      </w:r>
      <w:r w:rsidRPr="009B7735">
        <w:rPr>
          <w:b/>
        </w:rPr>
        <w:t xml:space="preserve">ethodology, and </w:t>
      </w:r>
      <w:r w:rsidR="00734548" w:rsidRPr="009B7735">
        <w:rPr>
          <w:b/>
        </w:rPr>
        <w:t>F</w:t>
      </w:r>
      <w:r w:rsidRPr="009B7735">
        <w:rPr>
          <w:b/>
        </w:rPr>
        <w:t xml:space="preserve">ormative </w:t>
      </w:r>
      <w:r w:rsidR="00734548" w:rsidRPr="009B7735">
        <w:rPr>
          <w:b/>
        </w:rPr>
        <w:t>R</w:t>
      </w:r>
      <w:r w:rsidRPr="009B7735">
        <w:rPr>
          <w:b/>
        </w:rPr>
        <w:t xml:space="preserve">esearch </w:t>
      </w:r>
      <w:r w:rsidR="00734548" w:rsidRPr="009B7735">
        <w:rPr>
          <w:b/>
        </w:rPr>
        <w:t>D</w:t>
      </w:r>
      <w:r w:rsidRPr="009B7735">
        <w:rPr>
          <w:b/>
        </w:rPr>
        <w:t>esign:</w:t>
      </w:r>
    </w:p>
    <w:p w:rsidR="00B8094E" w:rsidRPr="009B7735" w:rsidRDefault="00B8094E" w:rsidP="009B7735">
      <w:pPr>
        <w:pStyle w:val="BodyCNMIOMB"/>
        <w:rPr>
          <w:u w:val="single"/>
        </w:rPr>
      </w:pPr>
      <w:r w:rsidRPr="009B7735">
        <w:rPr>
          <w:u w:val="single"/>
        </w:rPr>
        <w:t>Background</w:t>
      </w:r>
    </w:p>
    <w:p w:rsidR="00F10CA1" w:rsidRPr="000C27D2" w:rsidRDefault="00F10CA1" w:rsidP="009B7735">
      <w:pPr>
        <w:pStyle w:val="BodyCNMIOMB"/>
      </w:pPr>
      <w:r w:rsidRPr="000C27D2">
        <w:t xml:space="preserve">Section 4031 of the Agricultural Act of 2014 (P.L. 113-79) requires a study to determine the feasibility of operating SNAP in the CNMI. </w:t>
      </w:r>
      <w:r w:rsidR="005769D5" w:rsidRPr="000C27D2">
        <w:t xml:space="preserve"> </w:t>
      </w:r>
      <w:r w:rsidRPr="000C27D2">
        <w:t>It requires an examination of the CNMI’s capacity to administer SNAP in a manner similar to the way that States currently administer the program; identification of specific modifications to current SNAP requirements (e.g., program operation and benefit delivery) that would need to be made for a comparable program design; and a description of the barriers to implementing SNAP or an alternative model.</w:t>
      </w:r>
    </w:p>
    <w:p w:rsidR="00F10CA1" w:rsidRPr="000C27D2" w:rsidRDefault="00F10CA1" w:rsidP="009B7735">
      <w:pPr>
        <w:pStyle w:val="BodyCNMIOMB"/>
      </w:pPr>
      <w:r w:rsidRPr="000C27D2">
        <w:t xml:space="preserve">The CNMI currently administers its NAP with funding from a Federal block grant.  While the block grant provides limited funding, it grants the CNMI flexibility in administering its NAP (such as providing coupons to participants, determining eligibility rules, and establishing benefit levels). </w:t>
      </w:r>
      <w:r w:rsidR="005769D5" w:rsidRPr="000C27D2">
        <w:t xml:space="preserve"> </w:t>
      </w:r>
      <w:r w:rsidRPr="000C27D2">
        <w:t xml:space="preserve">Currently, the block grant differs from SNAP in several important respects: 1) the block grant is capped each year at an amount that is negotiated annually with USDA; 2) benefit levels may be reduced to ensure that program costs do not exceed the authorized funding levels; 3) 30 percent of all NAP benefits must be used for the purchase of local commodities; and 4) NAP benefits are issued in the form of coupons rather than through EBT. </w:t>
      </w:r>
      <w:r w:rsidR="005769D5" w:rsidRPr="000C27D2">
        <w:t xml:space="preserve"> </w:t>
      </w:r>
      <w:r w:rsidRPr="000C27D2">
        <w:t>Additionally, unlike State SNAP agencies, which share 50 percent of the administrative costs with the United States, 100 percent of the CNMI’s administrative program costs are funded by the grant.</w:t>
      </w:r>
    </w:p>
    <w:p w:rsidR="00B8094E" w:rsidRPr="009B7735" w:rsidRDefault="0056622D" w:rsidP="009B7735">
      <w:pPr>
        <w:pStyle w:val="BodyCNMIOMB"/>
        <w:rPr>
          <w:u w:val="single"/>
        </w:rPr>
      </w:pPr>
      <w:r w:rsidRPr="009B7735">
        <w:rPr>
          <w:u w:val="single"/>
        </w:rPr>
        <w:t>Project Purpose</w:t>
      </w:r>
    </w:p>
    <w:p w:rsidR="00F10CA1" w:rsidRPr="000C27D2" w:rsidRDefault="00F10CA1" w:rsidP="009B7735">
      <w:pPr>
        <w:pStyle w:val="BodyCNMIOMB"/>
      </w:pPr>
      <w:r w:rsidRPr="000C27D2">
        <w:t xml:space="preserve">The main goal of this study is to </w:t>
      </w:r>
      <w:r w:rsidR="00D73D0E" w:rsidRPr="000C27D2">
        <w:t>assess</w:t>
      </w:r>
      <w:r w:rsidRPr="000C27D2">
        <w:t xml:space="preserve"> the capabilities of the CNMI to operate the SNAP and to assess alternative models of SNAP program operations and benefit delivery that best meet the nutrition assistance needs of individuals in the CNMI. </w:t>
      </w:r>
      <w:r w:rsidR="005769D5" w:rsidRPr="000C27D2">
        <w:t xml:space="preserve"> </w:t>
      </w:r>
      <w:r w:rsidRPr="000C27D2">
        <w:t xml:space="preserve">Specifically, this study will assess the administrative, financial, technical, and other changes that would be necessary to implement SNAP (or a SNAP-like program) and describe potential barriers to implementing those changes. </w:t>
      </w:r>
      <w:r w:rsidR="005769D5" w:rsidRPr="000C27D2">
        <w:t xml:space="preserve"> </w:t>
      </w:r>
      <w:r w:rsidRPr="000C27D2">
        <w:t xml:space="preserve">Capabilities that will be examined include establishing and operating an eligibility and certification system, issuing benefits through EBT cards, maintaining program integrity, and running an employment and training program. </w:t>
      </w:r>
    </w:p>
    <w:p w:rsidR="00E904DA" w:rsidRPr="009B7735" w:rsidRDefault="00E904DA" w:rsidP="009B7735">
      <w:pPr>
        <w:pStyle w:val="BodyCNMIOMB"/>
        <w:rPr>
          <w:u w:val="single"/>
        </w:rPr>
      </w:pPr>
      <w:r w:rsidRPr="009B7735">
        <w:rPr>
          <w:u w:val="single"/>
        </w:rPr>
        <w:t>Methodology/Research Design</w:t>
      </w:r>
    </w:p>
    <w:p w:rsidR="005A3CCE" w:rsidRPr="000C27D2" w:rsidRDefault="005A3CCE" w:rsidP="009B7735">
      <w:pPr>
        <w:pStyle w:val="BodyCNMIOMB"/>
      </w:pPr>
      <w:r w:rsidRPr="000C27D2">
        <w:t xml:space="preserve">This study will employ semi-structured in-depth interviews with NAP-certified retailers </w:t>
      </w:r>
      <w:r w:rsidR="00C81567" w:rsidRPr="000C27D2">
        <w:t xml:space="preserve">and </w:t>
      </w:r>
      <w:r w:rsidRPr="000C27D2">
        <w:t xml:space="preserve">current NAP participants.  </w:t>
      </w:r>
      <w:r w:rsidR="00C104E1" w:rsidRPr="000C27D2">
        <w:t xml:space="preserve">In-depth interviews will allow a skilled interviewer to probe for additional details about retailer and participant experiences, and collect qualitative information that cannot easily be collected based on a brief telephone survey.  </w:t>
      </w:r>
      <w:r w:rsidRPr="000C27D2">
        <w:t xml:space="preserve">Interviews will </w:t>
      </w:r>
      <w:r w:rsidR="00C104E1" w:rsidRPr="000C27D2">
        <w:t xml:space="preserve">be conversational in format, will </w:t>
      </w:r>
      <w:r w:rsidRPr="000C27D2">
        <w:t>take place in person</w:t>
      </w:r>
      <w:r w:rsidR="00C104E1" w:rsidRPr="000C27D2">
        <w:t>,</w:t>
      </w:r>
      <w:r w:rsidRPr="000C27D2">
        <w:t xml:space="preserve"> and will last approximately one hour each.  The purpose of these interviews is to develop a full understanding of how NAP is implemented in the local communities, potential barriers to the implementation of SNAP, and how a transition to SNAP might affect the community.</w:t>
      </w:r>
    </w:p>
    <w:p w:rsidR="0040770F" w:rsidRPr="000C27D2" w:rsidRDefault="0040770F" w:rsidP="009B7735">
      <w:pPr>
        <w:pStyle w:val="BodyCNMIOMB"/>
      </w:pPr>
      <w:r w:rsidRPr="000C27D2">
        <w:t xml:space="preserve">The data collection instruments were pretested with </w:t>
      </w:r>
      <w:r w:rsidR="002A1AC5" w:rsidRPr="000C27D2">
        <w:t>two</w:t>
      </w:r>
      <w:r w:rsidR="005F2D19" w:rsidRPr="000C27D2">
        <w:t xml:space="preserve"> </w:t>
      </w:r>
      <w:r w:rsidRPr="000C27D2">
        <w:t xml:space="preserve">NAP participants and </w:t>
      </w:r>
      <w:r w:rsidR="002A1AC5" w:rsidRPr="000C27D2">
        <w:t>three</w:t>
      </w:r>
      <w:r w:rsidR="005F2D19" w:rsidRPr="000C27D2">
        <w:t xml:space="preserve"> </w:t>
      </w:r>
      <w:r w:rsidRPr="000C27D2">
        <w:t>retailers to determine whether questions were written appropriately and captured data most relevant to the research questions and objectives.  The feedback was then used to refine and finalize the data collection instruments included in this package for OMB clearance.</w:t>
      </w:r>
    </w:p>
    <w:p w:rsidR="00306B89" w:rsidRPr="000C27D2" w:rsidRDefault="00306B89" w:rsidP="009B7735">
      <w:pPr>
        <w:pStyle w:val="BodyCNMIOMB"/>
      </w:pPr>
      <w:r w:rsidRPr="000C27D2">
        <w:t xml:space="preserve">We expect to bring bilingual interviewers to any interview that will not be conducted in English, so they can serve as translators as needed.  These interviewers will be provided with the training </w:t>
      </w:r>
      <w:r w:rsidRPr="000C27D2">
        <w:lastRenderedPageBreak/>
        <w:t xml:space="preserve">materials in advance of the visit and will participate in an interviewer training prior to attending interviews.  Our initial introductory visit to the CNMI indicated that most NAP participants speak English, </w:t>
      </w:r>
      <w:r w:rsidR="00C81567" w:rsidRPr="000C27D2">
        <w:t>although</w:t>
      </w:r>
      <w:r w:rsidRPr="000C27D2">
        <w:t xml:space="preserve"> some retailer interviews may need to be conducted in Chinese. </w:t>
      </w:r>
      <w:r w:rsidR="005769D5" w:rsidRPr="000C27D2">
        <w:t xml:space="preserve"> </w:t>
      </w:r>
      <w:r w:rsidRPr="000C27D2">
        <w:t>Translators will be recruited through the assistance of a CBO or through a translation contractor used by the CNMI Department of Community and Cultural Affairs, the agency that administers NAP.</w:t>
      </w:r>
    </w:p>
    <w:p w:rsidR="00F24121" w:rsidRPr="000C27D2" w:rsidRDefault="00F24121" w:rsidP="009B7735">
      <w:pPr>
        <w:pStyle w:val="BodyCNMIOMB"/>
      </w:pPr>
      <w:r w:rsidRPr="000C27D2">
        <w:t>With permission of the interview respondents, all interviews will be recorded.  In the event a respondent is not comfortable with recording the interview, each interview will be conducted by a two-person study team, so that one person is available to lead the interview while the other person takes detailed notes.</w:t>
      </w:r>
    </w:p>
    <w:p w:rsidR="00306B89" w:rsidRPr="000C27D2" w:rsidRDefault="00D2346A" w:rsidP="009B7735">
      <w:pPr>
        <w:pStyle w:val="BodyCNMIOMB"/>
      </w:pPr>
      <w:r w:rsidRPr="000C27D2">
        <w:t xml:space="preserve">Participation in </w:t>
      </w:r>
      <w:r w:rsidR="00F10CA1" w:rsidRPr="000C27D2">
        <w:t>interviews</w:t>
      </w:r>
      <w:r w:rsidR="00F73D14" w:rsidRPr="000C27D2">
        <w:t xml:space="preserve"> is voluntary</w:t>
      </w:r>
      <w:r w:rsidR="00715350" w:rsidRPr="000C27D2">
        <w:rPr>
          <w:bCs/>
        </w:rPr>
        <w:t xml:space="preserve"> and there are no penalties if participants choose not to respond to a specific question or in whole.</w:t>
      </w:r>
      <w:r w:rsidR="0072040A" w:rsidRPr="000C27D2">
        <w:t xml:space="preserve"> </w:t>
      </w:r>
      <w:r w:rsidR="005769D5" w:rsidRPr="000C27D2">
        <w:t xml:space="preserve"> </w:t>
      </w:r>
      <w:r w:rsidR="0072040A" w:rsidRPr="000C27D2">
        <w:t>P</w:t>
      </w:r>
      <w:r w:rsidR="00F73D14" w:rsidRPr="000C27D2">
        <w:t xml:space="preserve">articipants will be informed </w:t>
      </w:r>
      <w:r w:rsidR="00F13E18" w:rsidRPr="000C27D2">
        <w:t xml:space="preserve">that </w:t>
      </w:r>
      <w:r w:rsidR="00F73D14" w:rsidRPr="000C27D2">
        <w:t xml:space="preserve">their information will be kept </w:t>
      </w:r>
      <w:r w:rsidR="00C20324">
        <w:t>private</w:t>
      </w:r>
      <w:r w:rsidR="00C20324" w:rsidRPr="000C27D2">
        <w:t xml:space="preserve"> </w:t>
      </w:r>
      <w:r w:rsidR="00F73D14" w:rsidRPr="000C27D2">
        <w:t>and only used for research purposes unless otherwise required by law.</w:t>
      </w:r>
    </w:p>
    <w:p w:rsidR="00D70B50" w:rsidRPr="000C27D2" w:rsidRDefault="00306B89" w:rsidP="009B7735">
      <w:pPr>
        <w:pStyle w:val="BodyCNMIOMB"/>
      </w:pPr>
      <w:r w:rsidRPr="000C27D2">
        <w:t>The interview protocol for NAP-certified retailers is located in Attachment A, and the interview protocol for current NAP participants is located in Attachment B.  Consent forms for these groups are located in Attachments C and D, respectively.  Attachment E includes the advance letter</w:t>
      </w:r>
      <w:r w:rsidR="00B91D32" w:rsidRPr="000C27D2">
        <w:t>s</w:t>
      </w:r>
      <w:r w:rsidRPr="000C27D2">
        <w:t xml:space="preserve"> and study information sheet</w:t>
      </w:r>
      <w:r w:rsidR="00B91D32" w:rsidRPr="000C27D2">
        <w:t>s</w:t>
      </w:r>
      <w:r w:rsidRPr="000C27D2">
        <w:t xml:space="preserve"> provided to respondents during recruitment.</w:t>
      </w:r>
    </w:p>
    <w:p w:rsidR="00FD51DD" w:rsidRPr="009B7735" w:rsidRDefault="00FD51DD" w:rsidP="009B7735">
      <w:pPr>
        <w:pStyle w:val="BodyCNMIOMB"/>
        <w:rPr>
          <w:u w:val="single"/>
        </w:rPr>
      </w:pPr>
      <w:r w:rsidRPr="009B7735">
        <w:rPr>
          <w:u w:val="single"/>
        </w:rPr>
        <w:t>Payments/Gifts to Respondents</w:t>
      </w:r>
    </w:p>
    <w:p w:rsidR="005A3CCE" w:rsidRPr="000C27D2" w:rsidRDefault="005A3CCE" w:rsidP="009B7735">
      <w:pPr>
        <w:pStyle w:val="BodyCNMIOMB"/>
      </w:pPr>
      <w:r w:rsidRPr="000C27D2">
        <w:t xml:space="preserve">NAP participants and NAP-certified retailers will be offered a $20 </w:t>
      </w:r>
      <w:r w:rsidR="00C81567" w:rsidRPr="000C27D2">
        <w:t>gift card</w:t>
      </w:r>
      <w:r w:rsidRPr="000C27D2">
        <w:t xml:space="preserve"> as an appreciation for their time.  The payment is consistent with the amount used in other studies of persons participating in food assistance programs. </w:t>
      </w:r>
      <w:r w:rsidR="005769D5" w:rsidRPr="000C27D2">
        <w:t xml:space="preserve"> </w:t>
      </w:r>
      <w:r w:rsidRPr="000C27D2">
        <w:t>One such example for FNS was a $20 gift card provided to those who participated in-person interviews covering some similar topics—including household income, family composition, and eligibility—among participants in the Supplemental Nutrition Program for Women, Infants, and Children (WIC) in 2009 (OMB Control number 0584-0484, expired 6/30/2012).</w:t>
      </w:r>
    </w:p>
    <w:p w:rsidR="00FD51DD" w:rsidRPr="000C27D2" w:rsidRDefault="005A3CCE" w:rsidP="009B7735">
      <w:pPr>
        <w:pStyle w:val="BodyCNMIOMB"/>
      </w:pPr>
      <w:r w:rsidRPr="000C27D2">
        <w:t xml:space="preserve">One local </w:t>
      </w:r>
      <w:r w:rsidR="00C81567" w:rsidRPr="000C27D2">
        <w:t>CBO</w:t>
      </w:r>
      <w:r w:rsidRPr="000C27D2">
        <w:t xml:space="preserve"> that has agreed to assist the study team with recruiting NAP participants and schedule the in-person interviews will be offered a $200 incentive as an appreciation for their time and assistance.</w:t>
      </w:r>
    </w:p>
    <w:p w:rsidR="0056622D" w:rsidRPr="009B7735" w:rsidRDefault="00E904DA" w:rsidP="009B7735">
      <w:pPr>
        <w:pStyle w:val="BodyCNMIOMB"/>
        <w:rPr>
          <w:u w:val="single"/>
        </w:rPr>
      </w:pPr>
      <w:r w:rsidRPr="009B7735">
        <w:rPr>
          <w:u w:val="single"/>
        </w:rPr>
        <w:t>Des</w:t>
      </w:r>
      <w:r w:rsidR="00F24121" w:rsidRPr="009B7735">
        <w:rPr>
          <w:u w:val="single"/>
        </w:rPr>
        <w:t>ign/Sampling Procedures</w:t>
      </w:r>
    </w:p>
    <w:p w:rsidR="0040770F" w:rsidRPr="000C27D2" w:rsidRDefault="0040770F" w:rsidP="009B7735">
      <w:pPr>
        <w:pStyle w:val="BodyCNMIOMB"/>
      </w:pPr>
      <w:r w:rsidRPr="000C27D2">
        <w:t>No sampling will be used to select respondents for th</w:t>
      </w:r>
      <w:r w:rsidR="00306B89" w:rsidRPr="000C27D2">
        <w:t>e NAP participant interviews.  Twenty c</w:t>
      </w:r>
      <w:r w:rsidRPr="000C27D2">
        <w:t xml:space="preserve">urrent NAP participants will be recruited with the assistance of a CBO in the CNMI, which has already agreed to assist with recruiting interview participants and scheduling interviews.  </w:t>
      </w:r>
      <w:r w:rsidR="00C104E1" w:rsidRPr="000C27D2">
        <w:t>The CBO</w:t>
      </w:r>
      <w:r w:rsidR="00306B89" w:rsidRPr="000C27D2">
        <w:t xml:space="preserve"> will provide</w:t>
      </w:r>
      <w:r w:rsidR="00C104E1" w:rsidRPr="000C27D2">
        <w:t xml:space="preserve"> potential study participants with</w:t>
      </w:r>
      <w:r w:rsidR="00306B89" w:rsidRPr="000C27D2">
        <w:t xml:space="preserve"> an advance letter and study information sheet to describe the purpose of the study and request their participation in an interview.</w:t>
      </w:r>
    </w:p>
    <w:p w:rsidR="00306B89" w:rsidRPr="000C27D2" w:rsidRDefault="0040770F" w:rsidP="009B7735">
      <w:pPr>
        <w:pStyle w:val="BodyCNMIOMB"/>
      </w:pPr>
      <w:r w:rsidRPr="000C27D2">
        <w:t xml:space="preserve">NAP-certified retailers will be </w:t>
      </w:r>
      <w:r w:rsidR="00B91D32" w:rsidRPr="000C27D2">
        <w:t xml:space="preserve">identified </w:t>
      </w:r>
      <w:r w:rsidR="00306B89" w:rsidRPr="000C27D2">
        <w:t>from a list of all certified retailers provided by NAP staff in the CNMI.  The study</w:t>
      </w:r>
      <w:r w:rsidR="005F2D19" w:rsidRPr="000C27D2">
        <w:t xml:space="preserve"> aims to interview 40 retailers</w:t>
      </w:r>
      <w:r w:rsidR="00306B89" w:rsidRPr="000C27D2">
        <w:t xml:space="preserve"> from the universe of approximately 120 total retailers.  Retailers will be </w:t>
      </w:r>
      <w:r w:rsidR="00B91D32" w:rsidRPr="000C27D2">
        <w:t xml:space="preserve">contacted by the CBO and mailed an </w:t>
      </w:r>
      <w:r w:rsidR="00306B89" w:rsidRPr="000C27D2">
        <w:t xml:space="preserve">advance letter and study information sheet.  </w:t>
      </w:r>
      <w:r w:rsidR="00C104E1" w:rsidRPr="000C27D2">
        <w:t>The study team will then follow-up with retailers to arrange the interviews.</w:t>
      </w:r>
    </w:p>
    <w:p w:rsidR="00B659CB" w:rsidRPr="000C27D2" w:rsidRDefault="00306B89" w:rsidP="009B7735">
      <w:pPr>
        <w:pStyle w:val="BodyCNMIOMB"/>
      </w:pPr>
      <w:r w:rsidRPr="000C27D2">
        <w:t xml:space="preserve">NAP participants and retailers will be selected from each of the three permanently inhabited islands in the CNMI, including Saipan, Tinian, and Rota.  </w:t>
      </w:r>
    </w:p>
    <w:p w:rsidR="00B659CB" w:rsidRPr="009B7735" w:rsidRDefault="00B659CB" w:rsidP="009B7735">
      <w:pPr>
        <w:pStyle w:val="BodyCNMIOMB"/>
        <w:rPr>
          <w:u w:val="single"/>
        </w:rPr>
      </w:pPr>
      <w:r w:rsidRPr="000C27D2">
        <w:rPr>
          <w:u w:val="single"/>
        </w:rPr>
        <w:t xml:space="preserve">Data Analysis </w:t>
      </w:r>
    </w:p>
    <w:p w:rsidR="00157417" w:rsidRPr="000C27D2" w:rsidRDefault="0040770F" w:rsidP="009B7735">
      <w:pPr>
        <w:pStyle w:val="BodyCNMIOMB"/>
      </w:pPr>
      <w:r w:rsidRPr="000C27D2">
        <w:lastRenderedPageBreak/>
        <w:t xml:space="preserve">All interviews will be transcribed and, if needed, </w:t>
      </w:r>
      <w:r w:rsidR="00F24121" w:rsidRPr="000C27D2">
        <w:t>translated into English</w:t>
      </w:r>
      <w:r w:rsidRPr="000C27D2">
        <w:t xml:space="preserve">.  Verbatim transcripts of each interview will be imported into </w:t>
      </w:r>
      <w:proofErr w:type="spellStart"/>
      <w:r w:rsidRPr="000C27D2">
        <w:t>NVivo</w:t>
      </w:r>
      <w:proofErr w:type="spellEnd"/>
      <w:r w:rsidRPr="000C27D2">
        <w:t xml:space="preserve"> qualitative software and coded using a standard coding scheme for each interview type.  </w:t>
      </w:r>
      <w:r w:rsidR="00F24121" w:rsidRPr="000C27D2">
        <w:t>Data from the interviews will be analyzed as a whole to determine patterns among the group.  The findings from the analysis will be reported in a final published report, which will be available to the public.</w:t>
      </w:r>
    </w:p>
    <w:p w:rsidR="00FD51DD" w:rsidRPr="009B7735" w:rsidRDefault="00900416" w:rsidP="009B7735">
      <w:pPr>
        <w:pStyle w:val="BodyCNMIOMB"/>
        <w:rPr>
          <w:u w:val="single"/>
        </w:rPr>
      </w:pPr>
      <w:r w:rsidRPr="000C27D2">
        <w:rPr>
          <w:u w:val="single"/>
        </w:rPr>
        <w:t>Outcome</w:t>
      </w:r>
    </w:p>
    <w:p w:rsidR="00B659CB" w:rsidRPr="000C27D2" w:rsidRDefault="00F24121" w:rsidP="009B7735">
      <w:pPr>
        <w:pStyle w:val="BodyCNMIOMB"/>
      </w:pPr>
      <w:r w:rsidRPr="000C27D2">
        <w:t>The results from the interviews will be presented alongside results from document and literature r</w:t>
      </w:r>
      <w:r w:rsidR="00B91D32" w:rsidRPr="000C27D2">
        <w:t>eviews, meetings with FNS SNAP</w:t>
      </w:r>
      <w:r w:rsidRPr="000C27D2">
        <w:t xml:space="preserve"> officials, and analyses of available U.S. Census data</w:t>
      </w:r>
      <w:r w:rsidR="00B91D32" w:rsidRPr="000C27D2">
        <w:t xml:space="preserve"> and administrative cost data</w:t>
      </w:r>
      <w:r w:rsidRPr="000C27D2">
        <w:t xml:space="preserve"> to assess the overall feasibility of implementing SNAP in the CNMI.  In particular, these interviews will help to identify the changes that would have to occur to transition from NAP to SNAP, inform the potential barriers to the implementation of SNAP, and describe potential impacts such a transition might have on the local community.</w:t>
      </w:r>
    </w:p>
    <w:p w:rsidR="00B8094E" w:rsidRPr="009B7735" w:rsidRDefault="00D745AB" w:rsidP="009B7735">
      <w:pPr>
        <w:pStyle w:val="Numbers"/>
        <w:rPr>
          <w:b/>
        </w:rPr>
      </w:pPr>
      <w:r w:rsidRPr="009B7735">
        <w:rPr>
          <w:b/>
        </w:rPr>
        <w:t>Privacy</w:t>
      </w:r>
      <w:r w:rsidR="00C553D7" w:rsidRPr="009B7735">
        <w:rPr>
          <w:b/>
        </w:rPr>
        <w:t>:</w:t>
      </w:r>
    </w:p>
    <w:p w:rsidR="00F24121" w:rsidRPr="000C27D2" w:rsidRDefault="00F24121" w:rsidP="009B7735">
      <w:pPr>
        <w:pStyle w:val="BodyCNMIOMB"/>
      </w:pPr>
      <w:r w:rsidRPr="000C27D2">
        <w:t xml:space="preserve">Participants in this study will be subject to safeguards as provided by the Privacy Act of 1974 (5 USC 552a), which requires the safeguarding of individuals against invasion of privacy. </w:t>
      </w:r>
      <w:r w:rsidR="005769D5" w:rsidRPr="000C27D2">
        <w:t xml:space="preserve"> </w:t>
      </w:r>
      <w:r w:rsidRPr="000C27D2">
        <w:t xml:space="preserve">The Privacy Act also provides for the </w:t>
      </w:r>
      <w:r w:rsidR="009066BA">
        <w:t>private</w:t>
      </w:r>
      <w:r w:rsidRPr="000C27D2">
        <w:t xml:space="preserve"> treatment of records maintained by a Federal agency according to either the individual’s name or some other identifier.  A </w:t>
      </w:r>
      <w:r w:rsidR="005769D5" w:rsidRPr="000C27D2">
        <w:t>S</w:t>
      </w:r>
      <w:r w:rsidRPr="000C27D2">
        <w:t xml:space="preserve">ystem of </w:t>
      </w:r>
      <w:r w:rsidR="005769D5" w:rsidRPr="000C27D2">
        <w:t>R</w:t>
      </w:r>
      <w:r w:rsidRPr="000C27D2">
        <w:t xml:space="preserve">ecord </w:t>
      </w:r>
      <w:r w:rsidR="005769D5" w:rsidRPr="000C27D2">
        <w:t>N</w:t>
      </w:r>
      <w:r w:rsidRPr="000C27D2">
        <w:t>otice (SORN)</w:t>
      </w:r>
      <w:r w:rsidR="005769D5" w:rsidRPr="000C27D2">
        <w:t>,</w:t>
      </w:r>
      <w:r w:rsidRPr="000C27D2">
        <w:t xml:space="preserve"> titled FNS-8 USDA/FNS Studies and Reports in the Federal Register on April 25, 1991, Volume 56, Pages 19078-19080</w:t>
      </w:r>
      <w:r w:rsidR="005769D5" w:rsidRPr="000C27D2">
        <w:t>,</w:t>
      </w:r>
      <w:r w:rsidRPr="000C27D2">
        <w:t xml:space="preserve"> discusses the terms of protections that will be provided to respondents.  </w:t>
      </w:r>
    </w:p>
    <w:p w:rsidR="00F24121" w:rsidRPr="000C27D2" w:rsidRDefault="00F24121" w:rsidP="009B7735">
      <w:pPr>
        <w:pStyle w:val="BodyCNMIOMB"/>
      </w:pPr>
      <w:r w:rsidRPr="000C27D2">
        <w:t>All interview respondents participating in the study will be told that any information they provide will be kept private and their participation will have no impact on their receipt of NAP benefits (for participants) or their status as a NAP-certified retailer (for retailers).  Interviewees will also be told that no individually</w:t>
      </w:r>
      <w:r w:rsidR="005769D5" w:rsidRPr="000C27D2">
        <w:t xml:space="preserve"> </w:t>
      </w:r>
      <w:r w:rsidRPr="000C27D2">
        <w:t>identifiable information will be included with any response and the key that links any response to any individual will be maintained in a locked file (hard copy) or encrypted (computer file) and destroyed at the conclusion of the study pursuant to USDA regulations.</w:t>
      </w:r>
      <w:r w:rsidRPr="000C27D2">
        <w:rPr>
          <w:vertAlign w:val="superscript"/>
        </w:rPr>
        <w:footnoteReference w:id="1"/>
      </w:r>
      <w:r w:rsidRPr="000C27D2">
        <w:t xml:space="preserve"> </w:t>
      </w:r>
    </w:p>
    <w:p w:rsidR="009B7735" w:rsidRPr="000C27D2" w:rsidRDefault="00F24121" w:rsidP="009B7735">
      <w:pPr>
        <w:pStyle w:val="BodyCNMIOMB"/>
      </w:pPr>
      <w:r w:rsidRPr="000C27D2">
        <w:t xml:space="preserve">All data collection staff are required to sign a data </w:t>
      </w:r>
      <w:r w:rsidR="009066BA">
        <w:t>privac</w:t>
      </w:r>
      <w:r w:rsidRPr="000C27D2">
        <w:t xml:space="preserve">y pledge associated specifically with this study (Attachment </w:t>
      </w:r>
      <w:r w:rsidR="00157417" w:rsidRPr="000C27D2">
        <w:t>F</w:t>
      </w:r>
      <w:r w:rsidRPr="000C27D2">
        <w:t xml:space="preserve">).  A copy of the consent forms that will be read to NAP retailers and participants detailing the </w:t>
      </w:r>
      <w:r w:rsidR="009066BA">
        <w:t>privacy</w:t>
      </w:r>
      <w:r w:rsidRPr="000C27D2">
        <w:t xml:space="preserve"> of the data are provided in Attachment</w:t>
      </w:r>
      <w:r w:rsidR="00087F5D" w:rsidRPr="000C27D2">
        <w:t>s C and D, respectively</w:t>
      </w:r>
      <w:r w:rsidRPr="000C27D2">
        <w:t xml:space="preserve">.  Respondents will be provided oral and written notification that their data will be treated as private and released to the public only in the form of aggregate study findings. </w:t>
      </w:r>
    </w:p>
    <w:p w:rsidR="00F24121" w:rsidRPr="009B7735" w:rsidRDefault="001E0761" w:rsidP="009B7735">
      <w:pPr>
        <w:pStyle w:val="Numbers"/>
        <w:rPr>
          <w:b/>
        </w:rPr>
      </w:pPr>
      <w:r w:rsidRPr="009B7735">
        <w:rPr>
          <w:b/>
        </w:rPr>
        <w:t xml:space="preserve">Federal Costs: </w:t>
      </w:r>
    </w:p>
    <w:p w:rsidR="00F24121" w:rsidRPr="009B7735" w:rsidRDefault="00F24121" w:rsidP="009B7735">
      <w:pPr>
        <w:pStyle w:val="BodyCNMIOMB"/>
      </w:pPr>
      <w:r w:rsidRPr="000C27D2">
        <w:t xml:space="preserve">The total cost to the Federal Government for this feasibility study is $1,990,930.  This total includes the cost of design, instrument development, printing/processing/maintaining forms, information collection, transcription, coding, analysis, reporting, and presentation/publication of the results.  </w:t>
      </w:r>
    </w:p>
    <w:p w:rsidR="00333197" w:rsidRPr="009B7735" w:rsidRDefault="001E0761" w:rsidP="009B7735">
      <w:pPr>
        <w:pStyle w:val="Numbers"/>
        <w:rPr>
          <w:b/>
        </w:rPr>
      </w:pPr>
      <w:r w:rsidRPr="009B7735">
        <w:rPr>
          <w:b/>
        </w:rPr>
        <w:t>Research Tools/Instruments:</w:t>
      </w:r>
    </w:p>
    <w:p w:rsidR="00157417" w:rsidRPr="000C27D2" w:rsidRDefault="00157417" w:rsidP="009B7735">
      <w:pPr>
        <w:pStyle w:val="BulletsCNMI"/>
      </w:pPr>
      <w:r w:rsidRPr="000C27D2">
        <w:t xml:space="preserve">Attachment A: </w:t>
      </w:r>
      <w:r w:rsidRPr="000C27D2">
        <w:tab/>
        <w:t>NAP-Certified Retailer Interview Protocol</w:t>
      </w:r>
    </w:p>
    <w:p w:rsidR="00157417" w:rsidRPr="000C27D2" w:rsidRDefault="00157417" w:rsidP="009B7735">
      <w:pPr>
        <w:pStyle w:val="BulletsCNMI"/>
      </w:pPr>
      <w:r w:rsidRPr="000C27D2">
        <w:t xml:space="preserve">Attachment B: </w:t>
      </w:r>
      <w:r w:rsidRPr="000C27D2">
        <w:tab/>
        <w:t>NAP Participant Interview Protocol</w:t>
      </w:r>
    </w:p>
    <w:p w:rsidR="00157417" w:rsidRPr="000C27D2" w:rsidRDefault="009B7735" w:rsidP="009B7735">
      <w:pPr>
        <w:pStyle w:val="BulletsCNMI"/>
      </w:pPr>
      <w:r>
        <w:t>Attachment C:</w:t>
      </w:r>
      <w:r>
        <w:tab/>
      </w:r>
      <w:r w:rsidR="00157417" w:rsidRPr="000C27D2">
        <w:t>NAP-Certified Retailer Consent Form</w:t>
      </w:r>
    </w:p>
    <w:p w:rsidR="00157417" w:rsidRPr="000C27D2" w:rsidRDefault="00157417" w:rsidP="009B7735">
      <w:pPr>
        <w:pStyle w:val="BulletsCNMI"/>
      </w:pPr>
      <w:r w:rsidRPr="000C27D2">
        <w:t>Atta</w:t>
      </w:r>
      <w:r w:rsidR="009B7735">
        <w:t>chment D:</w:t>
      </w:r>
      <w:r w:rsidR="009B7735">
        <w:tab/>
      </w:r>
      <w:r w:rsidRPr="000C27D2">
        <w:t>NAP Participant Consent Form</w:t>
      </w:r>
    </w:p>
    <w:p w:rsidR="00157417" w:rsidRPr="000C27D2" w:rsidRDefault="009B7735" w:rsidP="009B7735">
      <w:pPr>
        <w:pStyle w:val="BulletsCNMI"/>
      </w:pPr>
      <w:r>
        <w:t>Attachment E:</w:t>
      </w:r>
      <w:r>
        <w:tab/>
      </w:r>
      <w:r w:rsidR="00157417" w:rsidRPr="000C27D2">
        <w:t>Advance Letter</w:t>
      </w:r>
      <w:r w:rsidR="00B91D32" w:rsidRPr="000C27D2">
        <w:t>s</w:t>
      </w:r>
      <w:r w:rsidR="00157417" w:rsidRPr="000C27D2">
        <w:t xml:space="preserve"> and Study Information Sheet</w:t>
      </w:r>
      <w:r w:rsidR="00B91D32" w:rsidRPr="000C27D2">
        <w:t>s</w:t>
      </w:r>
    </w:p>
    <w:p w:rsidR="00157417" w:rsidRPr="000C27D2" w:rsidRDefault="009B7735" w:rsidP="009B7735">
      <w:pPr>
        <w:pStyle w:val="BulletsCNMI"/>
      </w:pPr>
      <w:r>
        <w:lastRenderedPageBreak/>
        <w:t>Attachment F:</w:t>
      </w:r>
      <w:r>
        <w:tab/>
      </w:r>
      <w:r w:rsidR="00157417" w:rsidRPr="000C27D2">
        <w:t>Privacy Pledge</w:t>
      </w:r>
    </w:p>
    <w:p w:rsidR="00575F36" w:rsidRDefault="00575F36">
      <w:pPr>
        <w:rPr>
          <w:rFonts w:asciiTheme="majorHAnsi" w:eastAsia="Calibri" w:hAnsiTheme="majorHAnsi"/>
          <w:b/>
        </w:rPr>
      </w:pPr>
    </w:p>
    <w:sectPr w:rsidR="00575F36" w:rsidSect="000C27D2">
      <w:footerReference w:type="even" r:id="rId9"/>
      <w:footerReference w:type="default" r:id="rId10"/>
      <w:type w:val="continuous"/>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E3" w:rsidRDefault="00624EE3">
      <w:r>
        <w:separator/>
      </w:r>
    </w:p>
  </w:endnote>
  <w:endnote w:type="continuationSeparator" w:id="0">
    <w:p w:rsidR="00624EE3" w:rsidRDefault="006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Default="00624EE3"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EE3" w:rsidRDefault="00624EE3" w:rsidP="00B528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Pr="00E66E5C" w:rsidRDefault="00624EE3" w:rsidP="00B52821">
    <w:pPr>
      <w:pStyle w:val="Foote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E3" w:rsidRDefault="00624EE3">
      <w:r>
        <w:separator/>
      </w:r>
    </w:p>
  </w:footnote>
  <w:footnote w:type="continuationSeparator" w:id="0">
    <w:p w:rsidR="00624EE3" w:rsidRDefault="00624EE3">
      <w:r>
        <w:continuationSeparator/>
      </w:r>
    </w:p>
  </w:footnote>
  <w:footnote w:id="1">
    <w:p w:rsidR="00624EE3" w:rsidRPr="009B7735" w:rsidRDefault="00624EE3" w:rsidP="009B7735">
      <w:pPr>
        <w:pStyle w:val="Footnotes"/>
      </w:pPr>
      <w:r w:rsidRPr="009B7735">
        <w:rPr>
          <w:rStyle w:val="FootnoteReference"/>
          <w:rFonts w:ascii="Arial" w:hAnsi="Arial"/>
          <w:vertAlign w:val="superscript"/>
        </w:rPr>
        <w:footnoteRef/>
      </w:r>
      <w:r w:rsidRPr="009B7735">
        <w:t xml:space="preserve"> See http://www.fns.usda.gov/foia/reading/systems-of-</w:t>
      </w:r>
      <w:proofErr w:type="gramStart"/>
      <w:r w:rsidRPr="009B7735">
        <w:t>records.pdf  USDA</w:t>
      </w:r>
      <w:proofErr w:type="gramEnd"/>
      <w:r w:rsidRPr="009B7735">
        <w:t xml:space="preserve">/FNS-8: FNS Studies and Reports.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E97A95"/>
    <w:multiLevelType w:val="hybridMultilevel"/>
    <w:tmpl w:val="469A11D4"/>
    <w:lvl w:ilvl="0" w:tplc="30E2A312">
      <w:start w:val="1"/>
      <w:numFmt w:val="decimal"/>
      <w:pStyle w:val="InsightNumbers"/>
      <w:lvlText w:val="%1."/>
      <w:lvlJc w:val="left"/>
      <w:pPr>
        <w:ind w:left="360" w:hanging="360"/>
      </w:pPr>
      <w:rPr>
        <w:b w:val="0"/>
        <w:i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ACB32A6"/>
    <w:multiLevelType w:val="hybridMultilevel"/>
    <w:tmpl w:val="9E5E0F7A"/>
    <w:lvl w:ilvl="0" w:tplc="047A22EA">
      <w:start w:val="1"/>
      <w:numFmt w:val="decimal"/>
      <w:pStyle w:val="Numbers"/>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1178DD"/>
    <w:multiLevelType w:val="hybridMultilevel"/>
    <w:tmpl w:val="1718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9713A"/>
    <w:multiLevelType w:val="hybridMultilevel"/>
    <w:tmpl w:val="0904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A403104"/>
    <w:multiLevelType w:val="hybridMultilevel"/>
    <w:tmpl w:val="C648392C"/>
    <w:lvl w:ilvl="0" w:tplc="D88045E0">
      <w:numFmt w:val="none"/>
      <w:lvlText w:val=""/>
      <w:lvlJc w:val="left"/>
      <w:pPr>
        <w:tabs>
          <w:tab w:val="num" w:pos="360"/>
        </w:tabs>
        <w:ind w:left="0" w:firstLine="0"/>
      </w:pPr>
    </w:lvl>
    <w:lvl w:ilvl="1" w:tplc="16D66654">
      <w:numFmt w:val="decimal"/>
      <w:lvlText w:val=""/>
      <w:lvlJc w:val="left"/>
      <w:pPr>
        <w:ind w:left="0" w:firstLine="0"/>
      </w:pPr>
    </w:lvl>
    <w:lvl w:ilvl="2" w:tplc="0004DF82">
      <w:numFmt w:val="decimal"/>
      <w:lvlText w:val=""/>
      <w:lvlJc w:val="left"/>
      <w:pPr>
        <w:ind w:left="0" w:firstLine="0"/>
      </w:pPr>
    </w:lvl>
    <w:lvl w:ilvl="3" w:tplc="0DA61BD2">
      <w:numFmt w:val="decimal"/>
      <w:lvlText w:val=""/>
      <w:lvlJc w:val="left"/>
      <w:pPr>
        <w:ind w:left="0" w:firstLine="0"/>
      </w:pPr>
    </w:lvl>
    <w:lvl w:ilvl="4" w:tplc="AEC2CE84">
      <w:numFmt w:val="decimal"/>
      <w:lvlText w:val=""/>
      <w:lvlJc w:val="left"/>
      <w:pPr>
        <w:ind w:left="0" w:firstLine="0"/>
      </w:pPr>
    </w:lvl>
    <w:lvl w:ilvl="5" w:tplc="3D8CAEC6">
      <w:numFmt w:val="decimal"/>
      <w:lvlText w:val=""/>
      <w:lvlJc w:val="left"/>
      <w:pPr>
        <w:ind w:left="0" w:firstLine="0"/>
      </w:pPr>
    </w:lvl>
    <w:lvl w:ilvl="6" w:tplc="886E4E2A">
      <w:numFmt w:val="decimal"/>
      <w:lvlText w:val=""/>
      <w:lvlJc w:val="left"/>
      <w:pPr>
        <w:ind w:left="0" w:firstLine="0"/>
      </w:pPr>
    </w:lvl>
    <w:lvl w:ilvl="7" w:tplc="31340214">
      <w:numFmt w:val="decimal"/>
      <w:lvlText w:val=""/>
      <w:lvlJc w:val="left"/>
      <w:pPr>
        <w:ind w:left="0" w:firstLine="0"/>
      </w:pPr>
    </w:lvl>
    <w:lvl w:ilvl="8" w:tplc="321CB102">
      <w:numFmt w:val="decimal"/>
      <w:lvlText w:val=""/>
      <w:lvlJc w:val="left"/>
      <w:pPr>
        <w:ind w:left="0" w:firstLine="0"/>
      </w:pPr>
    </w:lvl>
  </w:abstractNum>
  <w:abstractNum w:abstractNumId="14">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CD68B6"/>
    <w:multiLevelType w:val="hybridMultilevel"/>
    <w:tmpl w:val="B99080DE"/>
    <w:lvl w:ilvl="0" w:tplc="35CE891A">
      <w:start w:val="1"/>
      <w:numFmt w:val="bullet"/>
      <w:pStyle w:val="Insigh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25586177"/>
    <w:multiLevelType w:val="hybridMultilevel"/>
    <w:tmpl w:val="D308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43C1077"/>
    <w:multiLevelType w:val="hybridMultilevel"/>
    <w:tmpl w:val="2B720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9D4BBF"/>
    <w:multiLevelType w:val="hybridMultilevel"/>
    <w:tmpl w:val="30CA378A"/>
    <w:lvl w:ilvl="0" w:tplc="D584C1E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3E2A1700"/>
    <w:multiLevelType w:val="hybridMultilevel"/>
    <w:tmpl w:val="19C63EB8"/>
    <w:lvl w:ilvl="0" w:tplc="7FEAAF66">
      <w:numFmt w:val="none"/>
      <w:pStyle w:val="RedBullet"/>
      <w:lvlText w:val=""/>
      <w:lvlJc w:val="left"/>
      <w:pPr>
        <w:tabs>
          <w:tab w:val="num" w:pos="360"/>
        </w:tabs>
      </w:pPr>
    </w:lvl>
    <w:lvl w:ilvl="1" w:tplc="4CE2C84E">
      <w:numFmt w:val="decimal"/>
      <w:lvlText w:val=""/>
      <w:lvlJc w:val="left"/>
    </w:lvl>
    <w:lvl w:ilvl="2" w:tplc="15C0C314">
      <w:numFmt w:val="decimal"/>
      <w:lvlText w:val=""/>
      <w:lvlJc w:val="left"/>
    </w:lvl>
    <w:lvl w:ilvl="3" w:tplc="6D56D992">
      <w:numFmt w:val="decimal"/>
      <w:lvlText w:val=""/>
      <w:lvlJc w:val="left"/>
    </w:lvl>
    <w:lvl w:ilvl="4" w:tplc="4666125C">
      <w:numFmt w:val="decimal"/>
      <w:lvlText w:val=""/>
      <w:lvlJc w:val="left"/>
    </w:lvl>
    <w:lvl w:ilvl="5" w:tplc="B7BAE7A4">
      <w:numFmt w:val="decimal"/>
      <w:lvlText w:val=""/>
      <w:lvlJc w:val="left"/>
    </w:lvl>
    <w:lvl w:ilvl="6" w:tplc="2760FDBA">
      <w:numFmt w:val="decimal"/>
      <w:lvlText w:val=""/>
      <w:lvlJc w:val="left"/>
    </w:lvl>
    <w:lvl w:ilvl="7" w:tplc="532C1420">
      <w:numFmt w:val="decimal"/>
      <w:lvlText w:val=""/>
      <w:lvlJc w:val="left"/>
    </w:lvl>
    <w:lvl w:ilvl="8" w:tplc="6646E7FA">
      <w:numFmt w:val="decimal"/>
      <w:lvlText w:val=""/>
      <w:lvlJc w:val="left"/>
    </w:lvl>
  </w:abstractNum>
  <w:abstractNum w:abstractNumId="2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6624618"/>
    <w:multiLevelType w:val="hybridMultilevel"/>
    <w:tmpl w:val="75688860"/>
    <w:lvl w:ilvl="0" w:tplc="ACBC3DB8">
      <w:numFmt w:val="decimal"/>
      <w:lvlText w:val=""/>
      <w:lvlJc w:val="left"/>
      <w:pPr>
        <w:ind w:left="0" w:firstLine="0"/>
      </w:pPr>
    </w:lvl>
    <w:lvl w:ilvl="1" w:tplc="A1142C78">
      <w:numFmt w:val="decimal"/>
      <w:lvlText w:val=""/>
      <w:lvlJc w:val="left"/>
      <w:pPr>
        <w:ind w:left="0" w:firstLine="0"/>
      </w:pPr>
    </w:lvl>
    <w:lvl w:ilvl="2" w:tplc="04090003">
      <w:start w:val="1"/>
      <w:numFmt w:val="bullet"/>
      <w:lvlText w:val="o"/>
      <w:lvlJc w:val="left"/>
      <w:pPr>
        <w:ind w:left="0" w:firstLine="0"/>
      </w:pPr>
      <w:rPr>
        <w:rFonts w:ascii="Courier New" w:hAnsi="Courier New" w:cs="Courier New" w:hint="default"/>
      </w:r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8">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8F70FFD"/>
    <w:multiLevelType w:val="hybridMultilevel"/>
    <w:tmpl w:val="BBF8BB64"/>
    <w:lvl w:ilvl="0" w:tplc="71B22928">
      <w:start w:val="1"/>
      <w:numFmt w:val="decimal"/>
      <w:lvlText w:val="%1."/>
      <w:lvlJc w:val="left"/>
      <w:pPr>
        <w:ind w:left="1080" w:hanging="360"/>
      </w:pPr>
      <w:rPr>
        <w:color w:val="C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41">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9B1FAF"/>
    <w:multiLevelType w:val="hybridMultilevel"/>
    <w:tmpl w:val="6D108262"/>
    <w:lvl w:ilvl="0" w:tplc="809C73DA">
      <w:start w:val="1"/>
      <w:numFmt w:val="bullet"/>
      <w:pStyle w:val="BulletsCN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95D2767"/>
    <w:multiLevelType w:val="hybridMultilevel"/>
    <w:tmpl w:val="84F4F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7C134565"/>
    <w:multiLevelType w:val="hybridMultilevel"/>
    <w:tmpl w:val="726C11A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7E6116B5"/>
    <w:multiLevelType w:val="hybridMultilevel"/>
    <w:tmpl w:val="BBBCA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44"/>
  </w:num>
  <w:num w:numId="3">
    <w:abstractNumId w:val="41"/>
  </w:num>
  <w:num w:numId="4">
    <w:abstractNumId w:val="4"/>
  </w:num>
  <w:num w:numId="5">
    <w:abstractNumId w:val="12"/>
  </w:num>
  <w:num w:numId="6">
    <w:abstractNumId w:val="43"/>
  </w:num>
  <w:num w:numId="7">
    <w:abstractNumId w:val="24"/>
  </w:num>
  <w:num w:numId="8">
    <w:abstractNumId w:val="48"/>
  </w:num>
  <w:num w:numId="9">
    <w:abstractNumId w:val="14"/>
  </w:num>
  <w:num w:numId="10">
    <w:abstractNumId w:val="8"/>
  </w:num>
  <w:num w:numId="11">
    <w:abstractNumId w:val="15"/>
  </w:num>
  <w:num w:numId="12">
    <w:abstractNumId w:val="32"/>
  </w:num>
  <w:num w:numId="13">
    <w:abstractNumId w:val="35"/>
  </w:num>
  <w:num w:numId="14">
    <w:abstractNumId w:val="30"/>
  </w:num>
  <w:num w:numId="15">
    <w:abstractNumId w:val="0"/>
  </w:num>
  <w:num w:numId="16">
    <w:abstractNumId w:val="37"/>
  </w:num>
  <w:num w:numId="17">
    <w:abstractNumId w:val="3"/>
  </w:num>
  <w:num w:numId="18">
    <w:abstractNumId w:val="17"/>
  </w:num>
  <w:num w:numId="19">
    <w:abstractNumId w:val="29"/>
  </w:num>
  <w:num w:numId="20">
    <w:abstractNumId w:val="40"/>
  </w:num>
  <w:num w:numId="21">
    <w:abstractNumId w:val="6"/>
  </w:num>
  <w:num w:numId="22">
    <w:abstractNumId w:val="42"/>
  </w:num>
  <w:num w:numId="23">
    <w:abstractNumId w:val="16"/>
  </w:num>
  <w:num w:numId="24">
    <w:abstractNumId w:val="25"/>
  </w:num>
  <w:num w:numId="25">
    <w:abstractNumId w:val="45"/>
  </w:num>
  <w:num w:numId="26">
    <w:abstractNumId w:val="9"/>
  </w:num>
  <w:num w:numId="27">
    <w:abstractNumId w:val="22"/>
  </w:num>
  <w:num w:numId="28">
    <w:abstractNumId w:val="7"/>
  </w:num>
  <w:num w:numId="29">
    <w:abstractNumId w:val="38"/>
  </w:num>
  <w:num w:numId="30">
    <w:abstractNumId w:val="2"/>
  </w:num>
  <w:num w:numId="31">
    <w:abstractNumId w:val="19"/>
  </w:num>
  <w:num w:numId="32">
    <w:abstractNumId w:val="34"/>
  </w:num>
  <w:num w:numId="33">
    <w:abstractNumId w:val="31"/>
  </w:num>
  <w:num w:numId="34">
    <w:abstractNumId w:val="1"/>
  </w:num>
  <w:num w:numId="35">
    <w:abstractNumId w:val="33"/>
  </w:num>
  <w:num w:numId="36">
    <w:abstractNumId w:val="23"/>
  </w:num>
  <w:num w:numId="37">
    <w:abstractNumId w:val="46"/>
  </w:num>
  <w:num w:numId="38">
    <w:abstractNumId w:val="10"/>
  </w:num>
  <w:num w:numId="39">
    <w:abstractNumId w:val="50"/>
  </w:num>
  <w:num w:numId="40">
    <w:abstractNumId w:val="11"/>
  </w:num>
  <w:num w:numId="41">
    <w:abstractNumId w:val="26"/>
  </w:num>
  <w:num w:numId="42">
    <w:abstractNumId w:val="47"/>
  </w:num>
  <w:num w:numId="43">
    <w:abstractNumId w:val="49"/>
  </w:num>
  <w:num w:numId="44">
    <w:abstractNumId w:val="28"/>
  </w:num>
  <w:num w:numId="45">
    <w:abstractNumId w:val="18"/>
  </w:num>
  <w:num w:numId="46">
    <w:abstractNumId w:val="5"/>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13"/>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40F8"/>
    <w:rsid w:val="00006718"/>
    <w:rsid w:val="0000799D"/>
    <w:rsid w:val="00010878"/>
    <w:rsid w:val="00011F60"/>
    <w:rsid w:val="0001550C"/>
    <w:rsid w:val="0001596C"/>
    <w:rsid w:val="00017657"/>
    <w:rsid w:val="00020BD9"/>
    <w:rsid w:val="00022242"/>
    <w:rsid w:val="00022865"/>
    <w:rsid w:val="0002363C"/>
    <w:rsid w:val="00024EF8"/>
    <w:rsid w:val="00027E43"/>
    <w:rsid w:val="00040301"/>
    <w:rsid w:val="00044742"/>
    <w:rsid w:val="0004520E"/>
    <w:rsid w:val="000513D8"/>
    <w:rsid w:val="00053567"/>
    <w:rsid w:val="00055689"/>
    <w:rsid w:val="00060171"/>
    <w:rsid w:val="00061252"/>
    <w:rsid w:val="00063EF9"/>
    <w:rsid w:val="000653B3"/>
    <w:rsid w:val="000672DF"/>
    <w:rsid w:val="00072931"/>
    <w:rsid w:val="00087F5D"/>
    <w:rsid w:val="00096954"/>
    <w:rsid w:val="00096A13"/>
    <w:rsid w:val="000B2708"/>
    <w:rsid w:val="000B404A"/>
    <w:rsid w:val="000B6DF2"/>
    <w:rsid w:val="000B7765"/>
    <w:rsid w:val="000C0DF2"/>
    <w:rsid w:val="000C27D2"/>
    <w:rsid w:val="000C366E"/>
    <w:rsid w:val="000C3F98"/>
    <w:rsid w:val="000C5C39"/>
    <w:rsid w:val="000D1E79"/>
    <w:rsid w:val="000D2897"/>
    <w:rsid w:val="000D70F5"/>
    <w:rsid w:val="000D79EB"/>
    <w:rsid w:val="000D7DF7"/>
    <w:rsid w:val="000E0A63"/>
    <w:rsid w:val="000E67F0"/>
    <w:rsid w:val="000F1393"/>
    <w:rsid w:val="000F30F6"/>
    <w:rsid w:val="000F3734"/>
    <w:rsid w:val="000F69EC"/>
    <w:rsid w:val="00112E30"/>
    <w:rsid w:val="001206A2"/>
    <w:rsid w:val="00120E8C"/>
    <w:rsid w:val="00121AD4"/>
    <w:rsid w:val="00122D32"/>
    <w:rsid w:val="001317A4"/>
    <w:rsid w:val="0013384D"/>
    <w:rsid w:val="001342B8"/>
    <w:rsid w:val="00134ECA"/>
    <w:rsid w:val="00135062"/>
    <w:rsid w:val="00140288"/>
    <w:rsid w:val="00140841"/>
    <w:rsid w:val="00140A76"/>
    <w:rsid w:val="00153E96"/>
    <w:rsid w:val="001545BD"/>
    <w:rsid w:val="001550AC"/>
    <w:rsid w:val="00156887"/>
    <w:rsid w:val="00157417"/>
    <w:rsid w:val="00161BB3"/>
    <w:rsid w:val="00161DA2"/>
    <w:rsid w:val="00163BE0"/>
    <w:rsid w:val="001710B6"/>
    <w:rsid w:val="0017194F"/>
    <w:rsid w:val="00172AB5"/>
    <w:rsid w:val="0017420D"/>
    <w:rsid w:val="00174C6F"/>
    <w:rsid w:val="00176E12"/>
    <w:rsid w:val="0018055F"/>
    <w:rsid w:val="00180C0F"/>
    <w:rsid w:val="001813F9"/>
    <w:rsid w:val="00181887"/>
    <w:rsid w:val="00184A7E"/>
    <w:rsid w:val="0018640D"/>
    <w:rsid w:val="00187030"/>
    <w:rsid w:val="00187B38"/>
    <w:rsid w:val="001903EB"/>
    <w:rsid w:val="001943C8"/>
    <w:rsid w:val="001945AC"/>
    <w:rsid w:val="00195F3A"/>
    <w:rsid w:val="001969FE"/>
    <w:rsid w:val="001A265E"/>
    <w:rsid w:val="001A40E9"/>
    <w:rsid w:val="001A67B2"/>
    <w:rsid w:val="001A746F"/>
    <w:rsid w:val="001B28A2"/>
    <w:rsid w:val="001B31DC"/>
    <w:rsid w:val="001B7402"/>
    <w:rsid w:val="001C004A"/>
    <w:rsid w:val="001C60C0"/>
    <w:rsid w:val="001D08AB"/>
    <w:rsid w:val="001D3E84"/>
    <w:rsid w:val="001D5235"/>
    <w:rsid w:val="001D613D"/>
    <w:rsid w:val="001E0761"/>
    <w:rsid w:val="001E1788"/>
    <w:rsid w:val="001E23CC"/>
    <w:rsid w:val="001E2649"/>
    <w:rsid w:val="001E5016"/>
    <w:rsid w:val="001E503C"/>
    <w:rsid w:val="001F2488"/>
    <w:rsid w:val="001F5645"/>
    <w:rsid w:val="001F618F"/>
    <w:rsid w:val="001F7BBC"/>
    <w:rsid w:val="00202591"/>
    <w:rsid w:val="00203618"/>
    <w:rsid w:val="00207FE2"/>
    <w:rsid w:val="002149BE"/>
    <w:rsid w:val="00216535"/>
    <w:rsid w:val="00217D59"/>
    <w:rsid w:val="00220696"/>
    <w:rsid w:val="0022085F"/>
    <w:rsid w:val="002214C4"/>
    <w:rsid w:val="00224300"/>
    <w:rsid w:val="00236B50"/>
    <w:rsid w:val="0024072F"/>
    <w:rsid w:val="002531BC"/>
    <w:rsid w:val="00260350"/>
    <w:rsid w:val="00264AD0"/>
    <w:rsid w:val="00265BB7"/>
    <w:rsid w:val="002661EE"/>
    <w:rsid w:val="0027441F"/>
    <w:rsid w:val="002816A9"/>
    <w:rsid w:val="0028225F"/>
    <w:rsid w:val="00282736"/>
    <w:rsid w:val="00283C3D"/>
    <w:rsid w:val="00285A8A"/>
    <w:rsid w:val="00287D42"/>
    <w:rsid w:val="002914E1"/>
    <w:rsid w:val="002940B8"/>
    <w:rsid w:val="00295E49"/>
    <w:rsid w:val="0029702A"/>
    <w:rsid w:val="002A1AC5"/>
    <w:rsid w:val="002A2FDF"/>
    <w:rsid w:val="002B0697"/>
    <w:rsid w:val="002B45E2"/>
    <w:rsid w:val="002D1C7B"/>
    <w:rsid w:val="002D1F5B"/>
    <w:rsid w:val="002D48DB"/>
    <w:rsid w:val="002D5E66"/>
    <w:rsid w:val="002D7071"/>
    <w:rsid w:val="002D75DE"/>
    <w:rsid w:val="002E0C8E"/>
    <w:rsid w:val="002E1FCB"/>
    <w:rsid w:val="002F25A6"/>
    <w:rsid w:val="002F3422"/>
    <w:rsid w:val="002F7DD2"/>
    <w:rsid w:val="00302953"/>
    <w:rsid w:val="003030ED"/>
    <w:rsid w:val="00303A37"/>
    <w:rsid w:val="00304874"/>
    <w:rsid w:val="00304E78"/>
    <w:rsid w:val="00306B89"/>
    <w:rsid w:val="00307519"/>
    <w:rsid w:val="00312677"/>
    <w:rsid w:val="003142AF"/>
    <w:rsid w:val="00322B39"/>
    <w:rsid w:val="00322F36"/>
    <w:rsid w:val="0032349B"/>
    <w:rsid w:val="00324E08"/>
    <w:rsid w:val="003264FA"/>
    <w:rsid w:val="003274BF"/>
    <w:rsid w:val="00330FB7"/>
    <w:rsid w:val="00332621"/>
    <w:rsid w:val="00333197"/>
    <w:rsid w:val="00333E36"/>
    <w:rsid w:val="00334995"/>
    <w:rsid w:val="003404F3"/>
    <w:rsid w:val="003441CE"/>
    <w:rsid w:val="00346BA6"/>
    <w:rsid w:val="00352E4F"/>
    <w:rsid w:val="00353F1A"/>
    <w:rsid w:val="00355AD7"/>
    <w:rsid w:val="0035741B"/>
    <w:rsid w:val="0037148A"/>
    <w:rsid w:val="0037749F"/>
    <w:rsid w:val="00380F3D"/>
    <w:rsid w:val="003813BF"/>
    <w:rsid w:val="00382461"/>
    <w:rsid w:val="00384233"/>
    <w:rsid w:val="00384D45"/>
    <w:rsid w:val="003854CD"/>
    <w:rsid w:val="003923E5"/>
    <w:rsid w:val="00392595"/>
    <w:rsid w:val="00392D9F"/>
    <w:rsid w:val="003A2682"/>
    <w:rsid w:val="003B02B9"/>
    <w:rsid w:val="003B0A83"/>
    <w:rsid w:val="003B11E9"/>
    <w:rsid w:val="003B6EE0"/>
    <w:rsid w:val="003C1F92"/>
    <w:rsid w:val="003C294E"/>
    <w:rsid w:val="003C6498"/>
    <w:rsid w:val="003C71C6"/>
    <w:rsid w:val="003D40AB"/>
    <w:rsid w:val="003F1B95"/>
    <w:rsid w:val="003F1BCE"/>
    <w:rsid w:val="003F345F"/>
    <w:rsid w:val="003F7EEA"/>
    <w:rsid w:val="00402252"/>
    <w:rsid w:val="00402EE1"/>
    <w:rsid w:val="00403736"/>
    <w:rsid w:val="00405D6A"/>
    <w:rsid w:val="0040770F"/>
    <w:rsid w:val="004129AC"/>
    <w:rsid w:val="00413B8C"/>
    <w:rsid w:val="00413F30"/>
    <w:rsid w:val="00426A0B"/>
    <w:rsid w:val="004317AC"/>
    <w:rsid w:val="004410AC"/>
    <w:rsid w:val="00452003"/>
    <w:rsid w:val="00453D5A"/>
    <w:rsid w:val="004640FA"/>
    <w:rsid w:val="00472936"/>
    <w:rsid w:val="00477A5D"/>
    <w:rsid w:val="004822FC"/>
    <w:rsid w:val="00482564"/>
    <w:rsid w:val="0048568A"/>
    <w:rsid w:val="004870E7"/>
    <w:rsid w:val="004906EF"/>
    <w:rsid w:val="00494E48"/>
    <w:rsid w:val="004A27CB"/>
    <w:rsid w:val="004A314D"/>
    <w:rsid w:val="004A4449"/>
    <w:rsid w:val="004A446D"/>
    <w:rsid w:val="004A61D2"/>
    <w:rsid w:val="004B47D0"/>
    <w:rsid w:val="004B5636"/>
    <w:rsid w:val="004B796E"/>
    <w:rsid w:val="004B7CDE"/>
    <w:rsid w:val="004C164A"/>
    <w:rsid w:val="004C43B2"/>
    <w:rsid w:val="004C50C7"/>
    <w:rsid w:val="004C6072"/>
    <w:rsid w:val="004D04EC"/>
    <w:rsid w:val="004E1E16"/>
    <w:rsid w:val="004E1FE4"/>
    <w:rsid w:val="004E3617"/>
    <w:rsid w:val="004E43F8"/>
    <w:rsid w:val="004E6474"/>
    <w:rsid w:val="004F04DE"/>
    <w:rsid w:val="004F6376"/>
    <w:rsid w:val="005006C1"/>
    <w:rsid w:val="00500FF7"/>
    <w:rsid w:val="005020F8"/>
    <w:rsid w:val="0050540E"/>
    <w:rsid w:val="005063DA"/>
    <w:rsid w:val="0051168F"/>
    <w:rsid w:val="0051605C"/>
    <w:rsid w:val="00516364"/>
    <w:rsid w:val="00524130"/>
    <w:rsid w:val="00524AB3"/>
    <w:rsid w:val="00527C25"/>
    <w:rsid w:val="0053053B"/>
    <w:rsid w:val="00535580"/>
    <w:rsid w:val="00536240"/>
    <w:rsid w:val="00542AFD"/>
    <w:rsid w:val="00543B9A"/>
    <w:rsid w:val="005442A1"/>
    <w:rsid w:val="00544E1C"/>
    <w:rsid w:val="00544FDC"/>
    <w:rsid w:val="0054599B"/>
    <w:rsid w:val="0055115D"/>
    <w:rsid w:val="00553820"/>
    <w:rsid w:val="0055567D"/>
    <w:rsid w:val="005613FA"/>
    <w:rsid w:val="005638CA"/>
    <w:rsid w:val="0056506D"/>
    <w:rsid w:val="0056622D"/>
    <w:rsid w:val="005703E7"/>
    <w:rsid w:val="00571158"/>
    <w:rsid w:val="0057122D"/>
    <w:rsid w:val="00575F36"/>
    <w:rsid w:val="005769D5"/>
    <w:rsid w:val="00590136"/>
    <w:rsid w:val="00592D7D"/>
    <w:rsid w:val="0059334D"/>
    <w:rsid w:val="00593B0F"/>
    <w:rsid w:val="005A00B2"/>
    <w:rsid w:val="005A312F"/>
    <w:rsid w:val="005A3CCE"/>
    <w:rsid w:val="005A63EC"/>
    <w:rsid w:val="005B0139"/>
    <w:rsid w:val="005B0597"/>
    <w:rsid w:val="005B0B38"/>
    <w:rsid w:val="005B0F05"/>
    <w:rsid w:val="005B6FDE"/>
    <w:rsid w:val="005C70AB"/>
    <w:rsid w:val="005D3A2B"/>
    <w:rsid w:val="005D40BC"/>
    <w:rsid w:val="005D75D7"/>
    <w:rsid w:val="005E1343"/>
    <w:rsid w:val="005E2DFD"/>
    <w:rsid w:val="005E3370"/>
    <w:rsid w:val="005E76F7"/>
    <w:rsid w:val="005F2D19"/>
    <w:rsid w:val="005F3D0D"/>
    <w:rsid w:val="005F4B72"/>
    <w:rsid w:val="005F4C17"/>
    <w:rsid w:val="006021AC"/>
    <w:rsid w:val="00602682"/>
    <w:rsid w:val="00602D5D"/>
    <w:rsid w:val="0060656E"/>
    <w:rsid w:val="00617CBB"/>
    <w:rsid w:val="00624C1B"/>
    <w:rsid w:val="00624EE3"/>
    <w:rsid w:val="00627345"/>
    <w:rsid w:val="006300D1"/>
    <w:rsid w:val="00632D9D"/>
    <w:rsid w:val="00634939"/>
    <w:rsid w:val="00652DFC"/>
    <w:rsid w:val="00652ED8"/>
    <w:rsid w:val="00655D51"/>
    <w:rsid w:val="00660643"/>
    <w:rsid w:val="00662CA2"/>
    <w:rsid w:val="00662D29"/>
    <w:rsid w:val="0066345C"/>
    <w:rsid w:val="00671855"/>
    <w:rsid w:val="00671C19"/>
    <w:rsid w:val="006729F2"/>
    <w:rsid w:val="00675B35"/>
    <w:rsid w:val="00693367"/>
    <w:rsid w:val="006949C9"/>
    <w:rsid w:val="006958AE"/>
    <w:rsid w:val="006A2B3B"/>
    <w:rsid w:val="006A44BC"/>
    <w:rsid w:val="006B22AF"/>
    <w:rsid w:val="006B29D3"/>
    <w:rsid w:val="006B4A63"/>
    <w:rsid w:val="006B59EA"/>
    <w:rsid w:val="006C1A75"/>
    <w:rsid w:val="006C6C19"/>
    <w:rsid w:val="006D286B"/>
    <w:rsid w:val="006D5EA5"/>
    <w:rsid w:val="006D6419"/>
    <w:rsid w:val="006D7C89"/>
    <w:rsid w:val="006E4A2C"/>
    <w:rsid w:val="006E5A58"/>
    <w:rsid w:val="006F36E2"/>
    <w:rsid w:val="006F5C0E"/>
    <w:rsid w:val="00701234"/>
    <w:rsid w:val="00705BE5"/>
    <w:rsid w:val="00706470"/>
    <w:rsid w:val="007073FA"/>
    <w:rsid w:val="00715350"/>
    <w:rsid w:val="00716020"/>
    <w:rsid w:val="007174F5"/>
    <w:rsid w:val="00717597"/>
    <w:rsid w:val="0072040A"/>
    <w:rsid w:val="00723160"/>
    <w:rsid w:val="00734548"/>
    <w:rsid w:val="007359EB"/>
    <w:rsid w:val="00736012"/>
    <w:rsid w:val="00737BF8"/>
    <w:rsid w:val="00740A2A"/>
    <w:rsid w:val="00740DF0"/>
    <w:rsid w:val="00741049"/>
    <w:rsid w:val="00751C85"/>
    <w:rsid w:val="00752C24"/>
    <w:rsid w:val="00754CB2"/>
    <w:rsid w:val="00757471"/>
    <w:rsid w:val="00795CC4"/>
    <w:rsid w:val="00796967"/>
    <w:rsid w:val="00796BA5"/>
    <w:rsid w:val="007A4912"/>
    <w:rsid w:val="007B21EB"/>
    <w:rsid w:val="007B6F54"/>
    <w:rsid w:val="007C2924"/>
    <w:rsid w:val="007C7049"/>
    <w:rsid w:val="007C7DF7"/>
    <w:rsid w:val="007D6C7E"/>
    <w:rsid w:val="007E3347"/>
    <w:rsid w:val="007E67FA"/>
    <w:rsid w:val="007E7D45"/>
    <w:rsid w:val="007F1BFD"/>
    <w:rsid w:val="007F51FC"/>
    <w:rsid w:val="007F7482"/>
    <w:rsid w:val="00802017"/>
    <w:rsid w:val="0080489C"/>
    <w:rsid w:val="00804DD9"/>
    <w:rsid w:val="008132F3"/>
    <w:rsid w:val="00816F3A"/>
    <w:rsid w:val="008211F3"/>
    <w:rsid w:val="008255BA"/>
    <w:rsid w:val="0082625E"/>
    <w:rsid w:val="00832AE7"/>
    <w:rsid w:val="00832CD7"/>
    <w:rsid w:val="00833424"/>
    <w:rsid w:val="00834A99"/>
    <w:rsid w:val="00842E15"/>
    <w:rsid w:val="00843642"/>
    <w:rsid w:val="008474EA"/>
    <w:rsid w:val="00854DAB"/>
    <w:rsid w:val="00860579"/>
    <w:rsid w:val="008640A2"/>
    <w:rsid w:val="0086418C"/>
    <w:rsid w:val="00864E24"/>
    <w:rsid w:val="0087288A"/>
    <w:rsid w:val="008732F9"/>
    <w:rsid w:val="00875174"/>
    <w:rsid w:val="00875AE1"/>
    <w:rsid w:val="0088418E"/>
    <w:rsid w:val="008903D4"/>
    <w:rsid w:val="00891DF0"/>
    <w:rsid w:val="0089663C"/>
    <w:rsid w:val="00896903"/>
    <w:rsid w:val="00897D74"/>
    <w:rsid w:val="008A047B"/>
    <w:rsid w:val="008A3E50"/>
    <w:rsid w:val="008A472F"/>
    <w:rsid w:val="008B2309"/>
    <w:rsid w:val="008B3B11"/>
    <w:rsid w:val="008B60FA"/>
    <w:rsid w:val="008C6B92"/>
    <w:rsid w:val="008D4D4D"/>
    <w:rsid w:val="008D7642"/>
    <w:rsid w:val="008E24E5"/>
    <w:rsid w:val="008E2C5D"/>
    <w:rsid w:val="008E4053"/>
    <w:rsid w:val="008E5719"/>
    <w:rsid w:val="008E5B25"/>
    <w:rsid w:val="008E67ED"/>
    <w:rsid w:val="008E6F5F"/>
    <w:rsid w:val="008E7277"/>
    <w:rsid w:val="008F198F"/>
    <w:rsid w:val="008F3AB8"/>
    <w:rsid w:val="008F5BCB"/>
    <w:rsid w:val="008F6DEE"/>
    <w:rsid w:val="008F7547"/>
    <w:rsid w:val="008F7ECF"/>
    <w:rsid w:val="00900416"/>
    <w:rsid w:val="00902C6C"/>
    <w:rsid w:val="009066BA"/>
    <w:rsid w:val="00907394"/>
    <w:rsid w:val="00910369"/>
    <w:rsid w:val="00910B87"/>
    <w:rsid w:val="00912288"/>
    <w:rsid w:val="00913EAE"/>
    <w:rsid w:val="00925073"/>
    <w:rsid w:val="00925D03"/>
    <w:rsid w:val="00933F50"/>
    <w:rsid w:val="009351D1"/>
    <w:rsid w:val="00940E3E"/>
    <w:rsid w:val="00943925"/>
    <w:rsid w:val="00947F2A"/>
    <w:rsid w:val="0095000E"/>
    <w:rsid w:val="009572FF"/>
    <w:rsid w:val="00957AE1"/>
    <w:rsid w:val="00960899"/>
    <w:rsid w:val="0096098B"/>
    <w:rsid w:val="00961662"/>
    <w:rsid w:val="00963EA7"/>
    <w:rsid w:val="0096427B"/>
    <w:rsid w:val="009668E8"/>
    <w:rsid w:val="009743CC"/>
    <w:rsid w:val="009775D6"/>
    <w:rsid w:val="00977651"/>
    <w:rsid w:val="009801BB"/>
    <w:rsid w:val="00982B44"/>
    <w:rsid w:val="00983426"/>
    <w:rsid w:val="0098789F"/>
    <w:rsid w:val="00991749"/>
    <w:rsid w:val="00992179"/>
    <w:rsid w:val="009A0BCB"/>
    <w:rsid w:val="009A5C6A"/>
    <w:rsid w:val="009B157C"/>
    <w:rsid w:val="009B18D6"/>
    <w:rsid w:val="009B26D6"/>
    <w:rsid w:val="009B28A4"/>
    <w:rsid w:val="009B529E"/>
    <w:rsid w:val="009B6DAF"/>
    <w:rsid w:val="009B7575"/>
    <w:rsid w:val="009B7735"/>
    <w:rsid w:val="009C0C68"/>
    <w:rsid w:val="009C4800"/>
    <w:rsid w:val="009D19D4"/>
    <w:rsid w:val="009D2A22"/>
    <w:rsid w:val="009D2A40"/>
    <w:rsid w:val="009D3BF4"/>
    <w:rsid w:val="009D7A0A"/>
    <w:rsid w:val="009E4D40"/>
    <w:rsid w:val="009E508D"/>
    <w:rsid w:val="009E714C"/>
    <w:rsid w:val="009E7663"/>
    <w:rsid w:val="00A023BE"/>
    <w:rsid w:val="00A02B30"/>
    <w:rsid w:val="00A03383"/>
    <w:rsid w:val="00A14771"/>
    <w:rsid w:val="00A15782"/>
    <w:rsid w:val="00A15D20"/>
    <w:rsid w:val="00A169F3"/>
    <w:rsid w:val="00A20367"/>
    <w:rsid w:val="00A20F7E"/>
    <w:rsid w:val="00A2323B"/>
    <w:rsid w:val="00A24CEB"/>
    <w:rsid w:val="00A25112"/>
    <w:rsid w:val="00A32343"/>
    <w:rsid w:val="00A3448B"/>
    <w:rsid w:val="00A35780"/>
    <w:rsid w:val="00A374D9"/>
    <w:rsid w:val="00A4223A"/>
    <w:rsid w:val="00A4494A"/>
    <w:rsid w:val="00A506A0"/>
    <w:rsid w:val="00A515F7"/>
    <w:rsid w:val="00A620BC"/>
    <w:rsid w:val="00A6230D"/>
    <w:rsid w:val="00A63719"/>
    <w:rsid w:val="00A64289"/>
    <w:rsid w:val="00A652CC"/>
    <w:rsid w:val="00A66857"/>
    <w:rsid w:val="00A67FBE"/>
    <w:rsid w:val="00A70349"/>
    <w:rsid w:val="00A70940"/>
    <w:rsid w:val="00A7126E"/>
    <w:rsid w:val="00A72826"/>
    <w:rsid w:val="00A72F18"/>
    <w:rsid w:val="00A763B7"/>
    <w:rsid w:val="00A80342"/>
    <w:rsid w:val="00A8528F"/>
    <w:rsid w:val="00A86291"/>
    <w:rsid w:val="00A94D99"/>
    <w:rsid w:val="00A9509A"/>
    <w:rsid w:val="00AA23BA"/>
    <w:rsid w:val="00AA39AA"/>
    <w:rsid w:val="00AB0107"/>
    <w:rsid w:val="00AB01E3"/>
    <w:rsid w:val="00AB0C8E"/>
    <w:rsid w:val="00AB3A8F"/>
    <w:rsid w:val="00AB44A3"/>
    <w:rsid w:val="00AB4976"/>
    <w:rsid w:val="00AC1010"/>
    <w:rsid w:val="00AC3236"/>
    <w:rsid w:val="00AC4EEA"/>
    <w:rsid w:val="00AC61E4"/>
    <w:rsid w:val="00AD0750"/>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0D12"/>
    <w:rsid w:val="00B631B8"/>
    <w:rsid w:val="00B639F0"/>
    <w:rsid w:val="00B659CB"/>
    <w:rsid w:val="00B66E41"/>
    <w:rsid w:val="00B67612"/>
    <w:rsid w:val="00B71B4A"/>
    <w:rsid w:val="00B753ED"/>
    <w:rsid w:val="00B8094E"/>
    <w:rsid w:val="00B8167B"/>
    <w:rsid w:val="00B819E0"/>
    <w:rsid w:val="00B842B4"/>
    <w:rsid w:val="00B868DB"/>
    <w:rsid w:val="00B87ED2"/>
    <w:rsid w:val="00B91D32"/>
    <w:rsid w:val="00B9346E"/>
    <w:rsid w:val="00B93BA2"/>
    <w:rsid w:val="00B93F64"/>
    <w:rsid w:val="00B976FD"/>
    <w:rsid w:val="00BA21A8"/>
    <w:rsid w:val="00BA3448"/>
    <w:rsid w:val="00BB1538"/>
    <w:rsid w:val="00BB2CF8"/>
    <w:rsid w:val="00BB7DF3"/>
    <w:rsid w:val="00BC2FBE"/>
    <w:rsid w:val="00BC30B8"/>
    <w:rsid w:val="00BC368E"/>
    <w:rsid w:val="00BD08FC"/>
    <w:rsid w:val="00BD196F"/>
    <w:rsid w:val="00BD4D9E"/>
    <w:rsid w:val="00BD78E4"/>
    <w:rsid w:val="00BE0422"/>
    <w:rsid w:val="00BE777A"/>
    <w:rsid w:val="00BF4F52"/>
    <w:rsid w:val="00BF5EC1"/>
    <w:rsid w:val="00BF60A8"/>
    <w:rsid w:val="00BF630D"/>
    <w:rsid w:val="00C0030E"/>
    <w:rsid w:val="00C003B3"/>
    <w:rsid w:val="00C01495"/>
    <w:rsid w:val="00C018E3"/>
    <w:rsid w:val="00C04CEB"/>
    <w:rsid w:val="00C06269"/>
    <w:rsid w:val="00C104E1"/>
    <w:rsid w:val="00C13EC6"/>
    <w:rsid w:val="00C15844"/>
    <w:rsid w:val="00C20324"/>
    <w:rsid w:val="00C23467"/>
    <w:rsid w:val="00C31BF0"/>
    <w:rsid w:val="00C3252A"/>
    <w:rsid w:val="00C33274"/>
    <w:rsid w:val="00C33D76"/>
    <w:rsid w:val="00C34271"/>
    <w:rsid w:val="00C37AD7"/>
    <w:rsid w:val="00C420D5"/>
    <w:rsid w:val="00C553D7"/>
    <w:rsid w:val="00C57446"/>
    <w:rsid w:val="00C57BB4"/>
    <w:rsid w:val="00C63353"/>
    <w:rsid w:val="00C66DBC"/>
    <w:rsid w:val="00C778CF"/>
    <w:rsid w:val="00C81567"/>
    <w:rsid w:val="00C81616"/>
    <w:rsid w:val="00C848C1"/>
    <w:rsid w:val="00C84907"/>
    <w:rsid w:val="00C91F87"/>
    <w:rsid w:val="00C94438"/>
    <w:rsid w:val="00CA01AB"/>
    <w:rsid w:val="00CA3847"/>
    <w:rsid w:val="00CA4E4A"/>
    <w:rsid w:val="00CA56F4"/>
    <w:rsid w:val="00CA5C7C"/>
    <w:rsid w:val="00CA78AA"/>
    <w:rsid w:val="00CB4740"/>
    <w:rsid w:val="00CB68A4"/>
    <w:rsid w:val="00CB6A90"/>
    <w:rsid w:val="00CC0E9C"/>
    <w:rsid w:val="00CC31E6"/>
    <w:rsid w:val="00CC5182"/>
    <w:rsid w:val="00CC662D"/>
    <w:rsid w:val="00CD1437"/>
    <w:rsid w:val="00CD4CA1"/>
    <w:rsid w:val="00CD6DFF"/>
    <w:rsid w:val="00CE0B1E"/>
    <w:rsid w:val="00CE168F"/>
    <w:rsid w:val="00CF0624"/>
    <w:rsid w:val="00CF0897"/>
    <w:rsid w:val="00CF092A"/>
    <w:rsid w:val="00CF1871"/>
    <w:rsid w:val="00CF18FE"/>
    <w:rsid w:val="00CF2166"/>
    <w:rsid w:val="00CF416D"/>
    <w:rsid w:val="00CF4825"/>
    <w:rsid w:val="00CF7F67"/>
    <w:rsid w:val="00D00A41"/>
    <w:rsid w:val="00D177A3"/>
    <w:rsid w:val="00D2346A"/>
    <w:rsid w:val="00D241DD"/>
    <w:rsid w:val="00D25432"/>
    <w:rsid w:val="00D319BA"/>
    <w:rsid w:val="00D34608"/>
    <w:rsid w:val="00D37612"/>
    <w:rsid w:val="00D441C2"/>
    <w:rsid w:val="00D442C5"/>
    <w:rsid w:val="00D44917"/>
    <w:rsid w:val="00D4596D"/>
    <w:rsid w:val="00D47C39"/>
    <w:rsid w:val="00D50C72"/>
    <w:rsid w:val="00D52606"/>
    <w:rsid w:val="00D536A5"/>
    <w:rsid w:val="00D5579F"/>
    <w:rsid w:val="00D55951"/>
    <w:rsid w:val="00D6010E"/>
    <w:rsid w:val="00D61D96"/>
    <w:rsid w:val="00D62743"/>
    <w:rsid w:val="00D63ABA"/>
    <w:rsid w:val="00D66700"/>
    <w:rsid w:val="00D70B50"/>
    <w:rsid w:val="00D727D4"/>
    <w:rsid w:val="00D729A1"/>
    <w:rsid w:val="00D73D0E"/>
    <w:rsid w:val="00D745AB"/>
    <w:rsid w:val="00D75851"/>
    <w:rsid w:val="00D76974"/>
    <w:rsid w:val="00D808C5"/>
    <w:rsid w:val="00D8744D"/>
    <w:rsid w:val="00D901CC"/>
    <w:rsid w:val="00D916C9"/>
    <w:rsid w:val="00D9248C"/>
    <w:rsid w:val="00D93D07"/>
    <w:rsid w:val="00D95171"/>
    <w:rsid w:val="00DB4D2A"/>
    <w:rsid w:val="00DB72AC"/>
    <w:rsid w:val="00DC323E"/>
    <w:rsid w:val="00DC4356"/>
    <w:rsid w:val="00DC473A"/>
    <w:rsid w:val="00DC49A9"/>
    <w:rsid w:val="00DC4A0E"/>
    <w:rsid w:val="00DC5B39"/>
    <w:rsid w:val="00DC61CB"/>
    <w:rsid w:val="00DD340B"/>
    <w:rsid w:val="00DD4D85"/>
    <w:rsid w:val="00DD7001"/>
    <w:rsid w:val="00DE5B3B"/>
    <w:rsid w:val="00DF4DAE"/>
    <w:rsid w:val="00DF79A9"/>
    <w:rsid w:val="00E01910"/>
    <w:rsid w:val="00E037DB"/>
    <w:rsid w:val="00E04AE7"/>
    <w:rsid w:val="00E060DE"/>
    <w:rsid w:val="00E06293"/>
    <w:rsid w:val="00E06331"/>
    <w:rsid w:val="00E06865"/>
    <w:rsid w:val="00E13E53"/>
    <w:rsid w:val="00E168F4"/>
    <w:rsid w:val="00E16E07"/>
    <w:rsid w:val="00E17177"/>
    <w:rsid w:val="00E31F3C"/>
    <w:rsid w:val="00E33A3B"/>
    <w:rsid w:val="00E37540"/>
    <w:rsid w:val="00E379CC"/>
    <w:rsid w:val="00E37F60"/>
    <w:rsid w:val="00E44577"/>
    <w:rsid w:val="00E4595E"/>
    <w:rsid w:val="00E569A9"/>
    <w:rsid w:val="00E65769"/>
    <w:rsid w:val="00E66E5C"/>
    <w:rsid w:val="00E6740B"/>
    <w:rsid w:val="00E84F2E"/>
    <w:rsid w:val="00E856F7"/>
    <w:rsid w:val="00E904DA"/>
    <w:rsid w:val="00E9147D"/>
    <w:rsid w:val="00E9310D"/>
    <w:rsid w:val="00E93D8E"/>
    <w:rsid w:val="00E95676"/>
    <w:rsid w:val="00EA0BFD"/>
    <w:rsid w:val="00EA2A46"/>
    <w:rsid w:val="00EA5660"/>
    <w:rsid w:val="00EA70BF"/>
    <w:rsid w:val="00EB12E9"/>
    <w:rsid w:val="00EC3644"/>
    <w:rsid w:val="00EC4B37"/>
    <w:rsid w:val="00EC64BE"/>
    <w:rsid w:val="00ED14E6"/>
    <w:rsid w:val="00ED218D"/>
    <w:rsid w:val="00ED246E"/>
    <w:rsid w:val="00ED282A"/>
    <w:rsid w:val="00ED507F"/>
    <w:rsid w:val="00ED6E76"/>
    <w:rsid w:val="00EE3760"/>
    <w:rsid w:val="00EF02C4"/>
    <w:rsid w:val="00EF3E12"/>
    <w:rsid w:val="00EF54C1"/>
    <w:rsid w:val="00F019D2"/>
    <w:rsid w:val="00F023E0"/>
    <w:rsid w:val="00F04886"/>
    <w:rsid w:val="00F074B1"/>
    <w:rsid w:val="00F07A01"/>
    <w:rsid w:val="00F10CA1"/>
    <w:rsid w:val="00F12851"/>
    <w:rsid w:val="00F13B61"/>
    <w:rsid w:val="00F13E18"/>
    <w:rsid w:val="00F1407D"/>
    <w:rsid w:val="00F21B36"/>
    <w:rsid w:val="00F22D1E"/>
    <w:rsid w:val="00F24121"/>
    <w:rsid w:val="00F31AEC"/>
    <w:rsid w:val="00F3312E"/>
    <w:rsid w:val="00F36A90"/>
    <w:rsid w:val="00F370BB"/>
    <w:rsid w:val="00F371C1"/>
    <w:rsid w:val="00F37CCC"/>
    <w:rsid w:val="00F409C2"/>
    <w:rsid w:val="00F41B06"/>
    <w:rsid w:val="00F44482"/>
    <w:rsid w:val="00F453F5"/>
    <w:rsid w:val="00F45809"/>
    <w:rsid w:val="00F46975"/>
    <w:rsid w:val="00F46B7A"/>
    <w:rsid w:val="00F56941"/>
    <w:rsid w:val="00F73D14"/>
    <w:rsid w:val="00F779C7"/>
    <w:rsid w:val="00F82081"/>
    <w:rsid w:val="00F83775"/>
    <w:rsid w:val="00F86A7A"/>
    <w:rsid w:val="00F9092A"/>
    <w:rsid w:val="00F90CA7"/>
    <w:rsid w:val="00F95AA7"/>
    <w:rsid w:val="00FB1674"/>
    <w:rsid w:val="00FB2D4F"/>
    <w:rsid w:val="00FC1712"/>
    <w:rsid w:val="00FC6487"/>
    <w:rsid w:val="00FD0B70"/>
    <w:rsid w:val="00FD0D2A"/>
    <w:rsid w:val="00FD51DD"/>
    <w:rsid w:val="00FD5B3A"/>
    <w:rsid w:val="00FD75E7"/>
    <w:rsid w:val="00FE0ADA"/>
    <w:rsid w:val="00FF0A49"/>
    <w:rsid w:val="00FF0AA7"/>
    <w:rsid w:val="00FF44ED"/>
    <w:rsid w:val="00FF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42358557">
      <w:bodyDiv w:val="1"/>
      <w:marLeft w:val="0"/>
      <w:marRight w:val="0"/>
      <w:marTop w:val="0"/>
      <w:marBottom w:val="0"/>
      <w:divBdr>
        <w:top w:val="none" w:sz="0" w:space="0" w:color="auto"/>
        <w:left w:val="none" w:sz="0" w:space="0" w:color="auto"/>
        <w:bottom w:val="none" w:sz="0" w:space="0" w:color="auto"/>
        <w:right w:val="none" w:sz="0" w:space="0" w:color="auto"/>
      </w:divBdr>
      <w:divsChild>
        <w:div w:id="809596012">
          <w:marLeft w:val="0"/>
          <w:marRight w:val="0"/>
          <w:marTop w:val="0"/>
          <w:marBottom w:val="0"/>
          <w:divBdr>
            <w:top w:val="none" w:sz="0" w:space="0" w:color="auto"/>
            <w:left w:val="none" w:sz="0" w:space="0" w:color="auto"/>
            <w:bottom w:val="none" w:sz="0" w:space="0" w:color="auto"/>
            <w:right w:val="none" w:sz="0" w:space="0" w:color="auto"/>
          </w:divBdr>
        </w:div>
      </w:divsChild>
    </w:div>
    <w:div w:id="148450531">
      <w:bodyDiv w:val="1"/>
      <w:marLeft w:val="0"/>
      <w:marRight w:val="0"/>
      <w:marTop w:val="0"/>
      <w:marBottom w:val="0"/>
      <w:divBdr>
        <w:top w:val="none" w:sz="0" w:space="0" w:color="auto"/>
        <w:left w:val="none" w:sz="0" w:space="0" w:color="auto"/>
        <w:bottom w:val="none" w:sz="0" w:space="0" w:color="auto"/>
        <w:right w:val="none" w:sz="0" w:space="0" w:color="auto"/>
      </w:divBdr>
    </w:div>
    <w:div w:id="197668281">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13635961">
      <w:bodyDiv w:val="1"/>
      <w:marLeft w:val="0"/>
      <w:marRight w:val="0"/>
      <w:marTop w:val="0"/>
      <w:marBottom w:val="0"/>
      <w:divBdr>
        <w:top w:val="none" w:sz="0" w:space="0" w:color="auto"/>
        <w:left w:val="none" w:sz="0" w:space="0" w:color="auto"/>
        <w:bottom w:val="none" w:sz="0" w:space="0" w:color="auto"/>
        <w:right w:val="none" w:sz="0" w:space="0" w:color="auto"/>
      </w:divBdr>
    </w:div>
    <w:div w:id="630939514">
      <w:bodyDiv w:val="1"/>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004817780">
      <w:bodyDiv w:val="1"/>
      <w:marLeft w:val="0"/>
      <w:marRight w:val="0"/>
      <w:marTop w:val="0"/>
      <w:marBottom w:val="0"/>
      <w:divBdr>
        <w:top w:val="none" w:sz="0" w:space="0" w:color="auto"/>
        <w:left w:val="none" w:sz="0" w:space="0" w:color="auto"/>
        <w:bottom w:val="none" w:sz="0" w:space="0" w:color="auto"/>
        <w:right w:val="none" w:sz="0" w:space="0" w:color="auto"/>
      </w:divBdr>
    </w:div>
    <w:div w:id="1184711078">
      <w:bodyDiv w:val="1"/>
      <w:marLeft w:val="0"/>
      <w:marRight w:val="0"/>
      <w:marTop w:val="0"/>
      <w:marBottom w:val="0"/>
      <w:divBdr>
        <w:top w:val="none" w:sz="0" w:space="0" w:color="auto"/>
        <w:left w:val="none" w:sz="0" w:space="0" w:color="auto"/>
        <w:bottom w:val="none" w:sz="0" w:space="0" w:color="auto"/>
        <w:right w:val="none" w:sz="0" w:space="0" w:color="auto"/>
      </w:divBdr>
    </w:div>
    <w:div w:id="1417634469">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690981595">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880430878">
      <w:bodyDiv w:val="1"/>
      <w:marLeft w:val="0"/>
      <w:marRight w:val="0"/>
      <w:marTop w:val="0"/>
      <w:marBottom w:val="0"/>
      <w:divBdr>
        <w:top w:val="none" w:sz="0" w:space="0" w:color="auto"/>
        <w:left w:val="none" w:sz="0" w:space="0" w:color="auto"/>
        <w:bottom w:val="none" w:sz="0" w:space="0" w:color="auto"/>
        <w:right w:val="none" w:sz="0" w:space="0" w:color="auto"/>
      </w:divBdr>
      <w:divsChild>
        <w:div w:id="133182741">
          <w:marLeft w:val="0"/>
          <w:marRight w:val="0"/>
          <w:marTop w:val="0"/>
          <w:marBottom w:val="0"/>
          <w:divBdr>
            <w:top w:val="none" w:sz="0" w:space="0" w:color="auto"/>
            <w:left w:val="none" w:sz="0" w:space="0" w:color="auto"/>
            <w:bottom w:val="none" w:sz="0" w:space="0" w:color="auto"/>
            <w:right w:val="none" w:sz="0" w:space="0" w:color="auto"/>
          </w:divBdr>
        </w:div>
      </w:divsChild>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78F25-270C-4598-9845-DF6D5057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Memorandum</vt:lpstr>
    </vt:vector>
  </TitlesOfParts>
  <Company>Interpublic</Company>
  <LinksUpToDate>false</LinksUpToDate>
  <CharactersWithSpaces>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Lynnette Thomas</cp:lastModifiedBy>
  <cp:revision>2</cp:revision>
  <cp:lastPrinted>2014-06-23T19:15:00Z</cp:lastPrinted>
  <dcterms:created xsi:type="dcterms:W3CDTF">2014-08-04T19:52:00Z</dcterms:created>
  <dcterms:modified xsi:type="dcterms:W3CDTF">2014-08-04T19:52:00Z</dcterms:modified>
</cp:coreProperties>
</file>