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AE" w:rsidRDefault="00743BCC" w:rsidP="00743BCC">
      <w:pPr>
        <w:jc w:val="center"/>
      </w:pPr>
      <w:r>
        <w:t>SUPPORTING STATEMENT:</w:t>
      </w:r>
    </w:p>
    <w:p w:rsidR="00743BCC" w:rsidRDefault="00743BCC" w:rsidP="00743BCC">
      <w:pPr>
        <w:jc w:val="center"/>
      </w:pPr>
      <w:r>
        <w:t>OMB CONTROL NUMBER 0704-0290</w:t>
      </w:r>
    </w:p>
    <w:p w:rsidR="00743BCC" w:rsidRDefault="00743BCC" w:rsidP="00743BCC">
      <w:pPr>
        <w:jc w:val="center"/>
      </w:pPr>
      <w:r>
        <w:t>“Armed Forces Participation in Public Events”</w:t>
      </w:r>
      <w:r>
        <w:br/>
        <w:t>DD 2535 &amp; DD 2536</w:t>
      </w:r>
    </w:p>
    <w:p w:rsidR="00C627BA" w:rsidRDefault="00C627BA"/>
    <w:p w:rsidR="00C627BA" w:rsidRPr="00743BCC" w:rsidRDefault="00C627BA" w:rsidP="00C627BA">
      <w:pPr>
        <w:rPr>
          <w:b/>
        </w:rPr>
      </w:pPr>
      <w:r w:rsidRPr="00743BCC">
        <w:rPr>
          <w:b/>
        </w:rPr>
        <w:t>A.  JUSTIFICATION</w:t>
      </w:r>
    </w:p>
    <w:p w:rsidR="00C627BA" w:rsidRDefault="00C627BA" w:rsidP="00C627BA"/>
    <w:p w:rsidR="00743BCC" w:rsidRDefault="0053383E" w:rsidP="008D5A5B">
      <w:pPr>
        <w:autoSpaceDE w:val="0"/>
        <w:autoSpaceDN w:val="0"/>
        <w:adjustRightInd w:val="0"/>
      </w:pPr>
      <w:r w:rsidRPr="00E16B83">
        <w:t xml:space="preserve">1. </w:t>
      </w:r>
      <w:r w:rsidR="008D5A5B">
        <w:t xml:space="preserve"> </w:t>
      </w:r>
      <w:r w:rsidR="00743BCC">
        <w:t>NEED FOR THE INFORMATION:</w:t>
      </w:r>
    </w:p>
    <w:p w:rsidR="00743BCC" w:rsidRDefault="00743BCC" w:rsidP="008D5A5B">
      <w:pPr>
        <w:autoSpaceDE w:val="0"/>
        <w:autoSpaceDN w:val="0"/>
        <w:adjustRightInd w:val="0"/>
      </w:pPr>
    </w:p>
    <w:p w:rsidR="00C627BA" w:rsidRPr="00E16B83" w:rsidRDefault="0053383E" w:rsidP="00743BCC">
      <w:pPr>
        <w:autoSpaceDE w:val="0"/>
        <w:autoSpaceDN w:val="0"/>
        <w:adjustRightInd w:val="0"/>
        <w:ind w:firstLine="720"/>
      </w:pPr>
      <w:r w:rsidRPr="00E16B83">
        <w:t xml:space="preserve">DoD units and agencies must collect information from event sponsors who request military support </w:t>
      </w:r>
      <w:r w:rsidR="008D5A5B">
        <w:t>per DoD Instruction 5410.19,</w:t>
      </w:r>
      <w:r w:rsidRPr="00E16B83">
        <w:t xml:space="preserve"> paragraph </w:t>
      </w:r>
      <w:r w:rsidR="00805799" w:rsidRPr="00E16B83">
        <w:t>6.</w:t>
      </w:r>
      <w:r w:rsidR="00E16B83" w:rsidRPr="00E16B83">
        <w:t>4</w:t>
      </w:r>
      <w:r w:rsidRPr="00E16B83">
        <w:t>, “</w:t>
      </w:r>
      <w:r w:rsidR="00E16B83" w:rsidRPr="00E16B83">
        <w:t>The DoD Components shall use current DoD support request forms, such as</w:t>
      </w:r>
      <w:r w:rsidR="00E16B83">
        <w:t xml:space="preserve"> </w:t>
      </w:r>
      <w:r w:rsidR="00E16B83" w:rsidRPr="00E16B83">
        <w:t>DD Form 2535, "Request for Military Aerial Support," and DD Form 2536, "Request for</w:t>
      </w:r>
      <w:r w:rsidR="00E16B83">
        <w:t xml:space="preserve"> </w:t>
      </w:r>
      <w:r w:rsidR="00E16B83" w:rsidRPr="00E16B83">
        <w:t>Armed Forces Participation in Public Events (Non-aviation)," in evaluating and</w:t>
      </w:r>
      <w:r w:rsidR="00E16B83">
        <w:t xml:space="preserve"> </w:t>
      </w:r>
      <w:r w:rsidR="00E16B83" w:rsidRPr="00E16B83">
        <w:t>processing requests from event sponsors for support by the Military Services in</w:t>
      </w:r>
      <w:r w:rsidR="00E16B83">
        <w:t xml:space="preserve"> </w:t>
      </w:r>
      <w:r w:rsidR="00E16B83" w:rsidRPr="00E16B83">
        <w:t>community relations activities. The information entered into those forms by the</w:t>
      </w:r>
      <w:r w:rsidR="00E16B83">
        <w:t xml:space="preserve"> </w:t>
      </w:r>
      <w:r w:rsidR="00E16B83" w:rsidRPr="00E16B83">
        <w:t>sponsors of an event must provide sufficient information for evaluating the level of</w:t>
      </w:r>
      <w:r w:rsidR="00E16B83">
        <w:t xml:space="preserve"> </w:t>
      </w:r>
      <w:proofErr w:type="gramStart"/>
      <w:r w:rsidR="00E16B83" w:rsidRPr="00E16B83">
        <w:t>DoD</w:t>
      </w:r>
      <w:proofErr w:type="gramEnd"/>
      <w:r w:rsidR="00E16B83" w:rsidRPr="00E16B83">
        <w:t xml:space="preserve"> support applicable for the event and overall compliance with the requirements of</w:t>
      </w:r>
      <w:r w:rsidR="00E16B83">
        <w:t xml:space="preserve"> </w:t>
      </w:r>
      <w:r w:rsidR="00E16B83" w:rsidRPr="00E16B83">
        <w:t>this Instruction.</w:t>
      </w:r>
      <w:r w:rsidRPr="00E16B83">
        <w:t>”</w:t>
      </w:r>
      <w:r w:rsidR="008D5A5B">
        <w:t xml:space="preserve">  In addition, DODI 5410.19,</w:t>
      </w:r>
      <w:r w:rsidR="008D5A5B" w:rsidRPr="00E16B83">
        <w:t xml:space="preserve"> paragraph 6.</w:t>
      </w:r>
      <w:r w:rsidR="00E16B83" w:rsidRPr="00E16B83">
        <w:t>5</w:t>
      </w:r>
      <w:r w:rsidR="008D5A5B">
        <w:t xml:space="preserve"> states,</w:t>
      </w:r>
      <w:r w:rsidR="00E16B83" w:rsidRPr="00E16B83">
        <w:t xml:space="preserve"> “Requests from local event sponsors for community relations support by the</w:t>
      </w:r>
      <w:r w:rsidR="008D5A5B">
        <w:t xml:space="preserve"> </w:t>
      </w:r>
      <w:r w:rsidR="00E16B83" w:rsidRPr="00E16B83">
        <w:t>Military Services shall be addressed to the nearest military installation and forwarded, if</w:t>
      </w:r>
      <w:r w:rsidR="008D5A5B">
        <w:t xml:space="preserve"> </w:t>
      </w:r>
      <w:r w:rsidR="00E16B83" w:rsidRPr="00E16B83">
        <w:t>required, with applicable recommendations, to the applicable approval level through</w:t>
      </w:r>
      <w:r w:rsidR="008D5A5B">
        <w:t xml:space="preserve"> </w:t>
      </w:r>
      <w:r w:rsidR="00E16B83" w:rsidRPr="00E16B83">
        <w:t>normal chain of command procedures.”</w:t>
      </w:r>
    </w:p>
    <w:p w:rsidR="0053383E" w:rsidRDefault="0053383E" w:rsidP="00C627BA"/>
    <w:p w:rsidR="00743BCC" w:rsidRDefault="0053383E" w:rsidP="00C627BA">
      <w:r>
        <w:t xml:space="preserve">2.  </w:t>
      </w:r>
      <w:r w:rsidR="00743BCC">
        <w:t>USE OF THE INFORMATION:</w:t>
      </w:r>
    </w:p>
    <w:p w:rsidR="00743BCC" w:rsidRDefault="00743BCC" w:rsidP="00743BCC">
      <w:pPr>
        <w:ind w:firstLine="720"/>
      </w:pPr>
    </w:p>
    <w:p w:rsidR="0053383E" w:rsidRDefault="0053383E" w:rsidP="00743BCC">
      <w:pPr>
        <w:ind w:firstLine="720"/>
      </w:pPr>
      <w:r>
        <w:t xml:space="preserve">Installation and command public affairs offices will use the collected information to evaluate public affairs requests.  The community relations staff will compare the information against </w:t>
      </w:r>
      <w:proofErr w:type="gramStart"/>
      <w:r>
        <w:t>DoD</w:t>
      </w:r>
      <w:proofErr w:type="gramEnd"/>
      <w:r>
        <w:t xml:space="preserve"> standards to determine if Armed Forces participation is authorized and then determine if asse</w:t>
      </w:r>
      <w:r w:rsidR="00D3670A">
        <w:t>ts are available</w:t>
      </w:r>
      <w:r>
        <w:t xml:space="preserve">.  </w:t>
      </w:r>
      <w:r w:rsidRPr="00DB69AC">
        <w:t>The information is then placed into unit files and destroy</w:t>
      </w:r>
      <w:r w:rsidR="00D3670A" w:rsidRPr="00DB69AC">
        <w:t>ed</w:t>
      </w:r>
      <w:r w:rsidR="008712BD" w:rsidRPr="00DB69AC">
        <w:t xml:space="preserve"> in accordance with agency’s records disposition schedule. </w:t>
      </w:r>
      <w:r w:rsidR="00DB69AC">
        <w:t xml:space="preserve"> </w:t>
      </w:r>
      <w:r>
        <w:t>The informat</w:t>
      </w:r>
      <w:r w:rsidR="00D3670A">
        <w:t>i</w:t>
      </w:r>
      <w:r>
        <w:t>on is not shared with other staffs or agencies except o</w:t>
      </w:r>
      <w:r w:rsidR="00A17730">
        <w:t>n</w:t>
      </w:r>
      <w:r>
        <w:t xml:space="preserve"> a need to k</w:t>
      </w:r>
      <w:r w:rsidR="00D3670A">
        <w:t>n</w:t>
      </w:r>
      <w:r>
        <w:t>ow basis.  Typically, the only data shared is information necessary for the tasked unit to arrive at the proper location at the correct time with the requested support.</w:t>
      </w:r>
    </w:p>
    <w:p w:rsidR="00D3670A" w:rsidRDefault="00D3670A" w:rsidP="00C627BA"/>
    <w:p w:rsidR="00743BCC" w:rsidRDefault="00D3670A" w:rsidP="00C627BA">
      <w:r>
        <w:t xml:space="preserve">3.  </w:t>
      </w:r>
      <w:r w:rsidR="00743BCC">
        <w:t>USE OF INFORMATION TECHNOLOGY</w:t>
      </w:r>
    </w:p>
    <w:p w:rsidR="00743BCC" w:rsidRDefault="00743BCC" w:rsidP="00743BCC">
      <w:pPr>
        <w:ind w:firstLine="720"/>
      </w:pPr>
    </w:p>
    <w:p w:rsidR="00D3670A" w:rsidRDefault="00FA319B" w:rsidP="00743BCC">
      <w:pPr>
        <w:ind w:firstLine="720"/>
      </w:pPr>
      <w:r>
        <w:t xml:space="preserve">Both forms are available online in fillable </w:t>
      </w:r>
      <w:proofErr w:type="spellStart"/>
      <w:r>
        <w:t>fileable</w:t>
      </w:r>
      <w:proofErr w:type="spellEnd"/>
      <w:r>
        <w:t xml:space="preserve"> format. </w:t>
      </w:r>
      <w:proofErr w:type="gramStart"/>
      <w:r>
        <w:t>DoD</w:t>
      </w:r>
      <w:proofErr w:type="gramEnd"/>
      <w:r>
        <w:t xml:space="preserve"> receives 90% of all submissions electronically.</w:t>
      </w:r>
    </w:p>
    <w:p w:rsidR="00D3670A" w:rsidRDefault="00D3670A" w:rsidP="00C627BA"/>
    <w:p w:rsidR="00743BCC" w:rsidRDefault="00D3670A" w:rsidP="00C627BA">
      <w:r>
        <w:t xml:space="preserve">4.  </w:t>
      </w:r>
      <w:r w:rsidR="00743BCC">
        <w:t>NON-DUPLICATION</w:t>
      </w:r>
    </w:p>
    <w:p w:rsidR="00743BCC" w:rsidRDefault="00743BCC" w:rsidP="00743BCC">
      <w:pPr>
        <w:ind w:firstLine="720"/>
      </w:pPr>
    </w:p>
    <w:p w:rsidR="00D3670A" w:rsidRDefault="00D3670A" w:rsidP="00743BCC">
      <w:pPr>
        <w:ind w:firstLine="720"/>
      </w:pPr>
      <w:r>
        <w:t xml:space="preserve">The Office of the Assistant Secretary of Defense for Public Affairs and its counterpart Service staffs are the only organizations having responsibility for public affairs matters.  Information required </w:t>
      </w:r>
      <w:proofErr w:type="gramStart"/>
      <w:r>
        <w:t>to determine</w:t>
      </w:r>
      <w:proofErr w:type="gramEnd"/>
      <w:r>
        <w:t xml:space="preserve"> eligibility for community relations support of public events is sufficiently unique to preclude duplication of this collection of information elsewhere in the Department of Defense.</w:t>
      </w:r>
    </w:p>
    <w:p w:rsidR="00743BCC" w:rsidRDefault="00743BCC"/>
    <w:p w:rsidR="00743BCC" w:rsidRDefault="00BC6FFA" w:rsidP="00C627BA">
      <w:r>
        <w:lastRenderedPageBreak/>
        <w:t xml:space="preserve">5.  </w:t>
      </w:r>
      <w:r w:rsidR="00743BCC">
        <w:t>BURDEN ON SMALL BUSINESS</w:t>
      </w:r>
    </w:p>
    <w:p w:rsidR="00743BCC" w:rsidRDefault="00743BCC" w:rsidP="00C627BA"/>
    <w:p w:rsidR="00BC6FFA" w:rsidRDefault="00BC6FFA" w:rsidP="00743BCC">
      <w:pPr>
        <w:ind w:firstLine="720"/>
      </w:pPr>
      <w:r>
        <w:t>This is no significant impact on small business entities.</w:t>
      </w:r>
    </w:p>
    <w:p w:rsidR="00743BCC" w:rsidRDefault="00743BCC"/>
    <w:p w:rsidR="00743BCC" w:rsidRDefault="00BC6FFA" w:rsidP="00C627BA">
      <w:r>
        <w:t xml:space="preserve">6.  </w:t>
      </w:r>
      <w:r w:rsidR="00743BCC">
        <w:t>LESS FREQUENT COLLECTION</w:t>
      </w:r>
    </w:p>
    <w:p w:rsidR="00743BCC" w:rsidRDefault="00743BCC" w:rsidP="00C627BA"/>
    <w:p w:rsidR="00BC6FFA" w:rsidRDefault="00BC6FFA" w:rsidP="00743BCC">
      <w:pPr>
        <w:ind w:firstLine="720"/>
      </w:pPr>
      <w:proofErr w:type="gramStart"/>
      <w:r>
        <w:t>DoD</w:t>
      </w:r>
      <w:proofErr w:type="gramEnd"/>
      <w:r>
        <w:t xml:space="preserve"> will be unable to conduct its community relations program if it cannot collect information necessary to evaluate the propriety of military participation in public events.  Collection cannot be conducted less frequently because each request is, in and of itself, unique and must be evaluated on a case-by-case basis.</w:t>
      </w:r>
    </w:p>
    <w:p w:rsidR="00BC6FFA" w:rsidRDefault="00BC6FFA" w:rsidP="00C627BA"/>
    <w:p w:rsidR="00743BCC" w:rsidRDefault="00BC6FFA" w:rsidP="00C627BA">
      <w:r>
        <w:t xml:space="preserve">7.  </w:t>
      </w:r>
      <w:r w:rsidR="00743BCC">
        <w:t>PAPERWORK REDUCTION ACT GUIDELINES</w:t>
      </w:r>
    </w:p>
    <w:p w:rsidR="00743BCC" w:rsidRDefault="00743BCC" w:rsidP="00C627BA"/>
    <w:p w:rsidR="00BC6FFA" w:rsidRDefault="00BC6FFA" w:rsidP="00743BCC">
      <w:pPr>
        <w:ind w:firstLine="720"/>
      </w:pPr>
      <w:r>
        <w:t>There are no special circumstances.  The data collection will be conducted in a manner consistent with the guidelines in 5 CFR 1320.5(d</w:t>
      </w:r>
      <w:proofErr w:type="gramStart"/>
      <w:r>
        <w:t>)(</w:t>
      </w:r>
      <w:proofErr w:type="gramEnd"/>
      <w:r>
        <w:t>2).</w:t>
      </w:r>
    </w:p>
    <w:p w:rsidR="00BC6FFA" w:rsidRDefault="00BC6FFA" w:rsidP="00C627BA"/>
    <w:p w:rsidR="00743BCC" w:rsidRDefault="00BC6FFA" w:rsidP="00C627BA">
      <w:r w:rsidRPr="006836CB">
        <w:t xml:space="preserve">8.  </w:t>
      </w:r>
      <w:r w:rsidR="00743BCC">
        <w:t>CONSULTATION AND PUBLIC COMMENTS</w:t>
      </w:r>
    </w:p>
    <w:p w:rsidR="00743BCC" w:rsidRDefault="00743BCC" w:rsidP="00C627BA"/>
    <w:p w:rsidR="00BC6FFA" w:rsidRDefault="00BC6FFA" w:rsidP="00743BCC">
      <w:pPr>
        <w:ind w:firstLine="720"/>
      </w:pPr>
      <w:r w:rsidRPr="006836CB">
        <w:t xml:space="preserve">An Office of the Assistance Secretary of Defense for Public Affairs notice appeared in the Federal Register, dated </w:t>
      </w:r>
      <w:r w:rsidR="006836CB">
        <w:t>Monday</w:t>
      </w:r>
      <w:r w:rsidRPr="006836CB">
        <w:t xml:space="preserve">, </w:t>
      </w:r>
      <w:r w:rsidR="006836CB">
        <w:t>April 1, 2013</w:t>
      </w:r>
      <w:r w:rsidRPr="006836CB">
        <w:t xml:space="preserve">, soliciting comments (see </w:t>
      </w:r>
      <w:r w:rsidR="005B1B51" w:rsidRPr="006836CB">
        <w:t xml:space="preserve">page </w:t>
      </w:r>
      <w:r w:rsidR="006836CB">
        <w:t>4</w:t>
      </w:r>
      <w:r w:rsidR="005B1B51" w:rsidRPr="006836CB">
        <w:t xml:space="preserve"> attached), but no one responded to the announcement.</w:t>
      </w:r>
    </w:p>
    <w:p w:rsidR="005B1B51" w:rsidRDefault="005B1B51" w:rsidP="00C627BA"/>
    <w:p w:rsidR="00743BCC" w:rsidRDefault="005B1B51" w:rsidP="00C627BA">
      <w:r>
        <w:t xml:space="preserve">9.  </w:t>
      </w:r>
      <w:r w:rsidR="00743BCC">
        <w:t>GIFTS OR PAYMENT</w:t>
      </w:r>
    </w:p>
    <w:p w:rsidR="00743BCC" w:rsidRDefault="00743BCC" w:rsidP="00C627BA"/>
    <w:p w:rsidR="005B1B51" w:rsidRDefault="005B1B51" w:rsidP="00743BCC">
      <w:pPr>
        <w:ind w:firstLine="720"/>
      </w:pPr>
      <w:r>
        <w:t>No payments or gifts will be made to respondents.</w:t>
      </w:r>
    </w:p>
    <w:p w:rsidR="00533152" w:rsidRDefault="00533152" w:rsidP="00C627BA"/>
    <w:p w:rsidR="00743BCC" w:rsidRDefault="005B1B51" w:rsidP="00C627BA">
      <w:r>
        <w:t xml:space="preserve">10.  </w:t>
      </w:r>
      <w:r w:rsidR="00743BCC">
        <w:t>CONFIDENTIALITY</w:t>
      </w:r>
    </w:p>
    <w:p w:rsidR="00743BCC" w:rsidRDefault="00743BCC" w:rsidP="00C627BA"/>
    <w:p w:rsidR="005B1B51" w:rsidRDefault="005B1B51" w:rsidP="00743BCC">
      <w:pPr>
        <w:ind w:firstLine="720"/>
      </w:pPr>
      <w:r>
        <w:t>The forms specify that “All data will be handled on a ‘For Official Use Only’ basis.”</w:t>
      </w:r>
      <w:r w:rsidR="00FA319B">
        <w:t xml:space="preserve"> </w:t>
      </w:r>
    </w:p>
    <w:p w:rsidR="005B1B51" w:rsidRDefault="005B1B51" w:rsidP="00C627BA"/>
    <w:p w:rsidR="00743BCC" w:rsidRDefault="002F1400" w:rsidP="00C627BA">
      <w:r>
        <w:t xml:space="preserve">11.  </w:t>
      </w:r>
      <w:r w:rsidR="00743BCC">
        <w:t>SENSITIVE QUESTIONS</w:t>
      </w:r>
    </w:p>
    <w:p w:rsidR="00743BCC" w:rsidRDefault="00743BCC" w:rsidP="00C627BA"/>
    <w:p w:rsidR="002F1400" w:rsidRDefault="002F1400" w:rsidP="00743BCC">
      <w:pPr>
        <w:ind w:firstLine="720"/>
      </w:pPr>
      <w:r>
        <w:t>No questions of a sensitive matter are included in the request format.</w:t>
      </w:r>
    </w:p>
    <w:p w:rsidR="002F1400" w:rsidRDefault="002F1400" w:rsidP="00C627BA"/>
    <w:p w:rsidR="00743BCC" w:rsidRDefault="002F1400" w:rsidP="00C627BA">
      <w:r w:rsidRPr="004419DD">
        <w:t xml:space="preserve">12.  </w:t>
      </w:r>
      <w:r w:rsidR="00743BCC">
        <w:t>ESTIMATION OF RESPONDENT BURDEN</w:t>
      </w:r>
    </w:p>
    <w:p w:rsidR="00743BCC" w:rsidRDefault="00743BCC" w:rsidP="00C627BA"/>
    <w:p w:rsidR="002F1400" w:rsidRPr="004419DD" w:rsidRDefault="002F1400" w:rsidP="00743BCC">
      <w:pPr>
        <w:ind w:firstLine="720"/>
      </w:pPr>
      <w:r w:rsidRPr="004419DD">
        <w:t>Estimates of Response Burden and Annual Cost to the Respondent</w:t>
      </w:r>
    </w:p>
    <w:p w:rsidR="002F1400" w:rsidRPr="004419DD" w:rsidRDefault="002F1400" w:rsidP="00C627BA"/>
    <w:p w:rsidR="002F1400" w:rsidRPr="004419DD" w:rsidRDefault="002F1400" w:rsidP="00C627BA">
      <w:r w:rsidRPr="004419DD">
        <w:tab/>
      </w:r>
      <w:proofErr w:type="gramStart"/>
      <w:r w:rsidRPr="004419DD">
        <w:t>a.  Respondent</w:t>
      </w:r>
      <w:proofErr w:type="gramEnd"/>
      <w:r w:rsidRPr="004419DD">
        <w:t xml:space="preserve"> Burden:</w:t>
      </w:r>
    </w:p>
    <w:p w:rsidR="002F1400" w:rsidRPr="004419DD" w:rsidRDefault="002F1400" w:rsidP="00C627BA"/>
    <w:p w:rsidR="002F1400" w:rsidRPr="004419DD" w:rsidRDefault="002F1400" w:rsidP="00C627BA">
      <w:r w:rsidRPr="004419DD">
        <w:tab/>
      </w:r>
      <w:r w:rsidRPr="004419DD">
        <w:tab/>
        <w:t>(1) DD Form 2536</w:t>
      </w:r>
    </w:p>
    <w:p w:rsidR="002F1400" w:rsidRPr="004419DD" w:rsidRDefault="002F1400" w:rsidP="00C627BA"/>
    <w:p w:rsidR="002F1400" w:rsidRPr="004419DD" w:rsidRDefault="002F1400" w:rsidP="00C627BA">
      <w:r w:rsidRPr="004419DD">
        <w:tab/>
      </w:r>
      <w:r w:rsidRPr="004419DD">
        <w:tab/>
        <w:t>Response</w:t>
      </w:r>
      <w:r w:rsidR="00E959EA" w:rsidRPr="004419DD">
        <w:t>s</w:t>
      </w:r>
      <w:r w:rsidRPr="004419DD">
        <w:t xml:space="preserve"> per Respondent:</w:t>
      </w:r>
      <w:r w:rsidRPr="004419DD">
        <w:tab/>
      </w:r>
      <w:r w:rsidRPr="004419DD">
        <w:tab/>
        <w:t>1</w:t>
      </w:r>
    </w:p>
    <w:p w:rsidR="002F1400" w:rsidRPr="004419DD" w:rsidRDefault="002F1400" w:rsidP="00C627BA">
      <w:r w:rsidRPr="004419DD">
        <w:tab/>
      </w:r>
      <w:r w:rsidRPr="004419DD">
        <w:tab/>
        <w:t>Number of Respondents:</w:t>
      </w:r>
      <w:r w:rsidRPr="004419DD">
        <w:tab/>
      </w:r>
      <w:r w:rsidRPr="004419DD">
        <w:tab/>
        <w:t>4</w:t>
      </w:r>
      <w:r w:rsidR="00A6321F" w:rsidRPr="004419DD">
        <w:t>5</w:t>
      </w:r>
      <w:r w:rsidRPr="004419DD">
        <w:t>,000</w:t>
      </w:r>
    </w:p>
    <w:p w:rsidR="002F1400" w:rsidRPr="004419DD" w:rsidRDefault="002F1400" w:rsidP="00C627BA">
      <w:r w:rsidRPr="004419DD">
        <w:tab/>
      </w:r>
      <w:r w:rsidRPr="004419DD">
        <w:tab/>
      </w:r>
      <w:r w:rsidR="00E959EA" w:rsidRPr="004419DD">
        <w:t>Hours per Response:</w:t>
      </w:r>
      <w:r w:rsidR="00E959EA" w:rsidRPr="004419DD">
        <w:tab/>
      </w:r>
      <w:r w:rsidR="00E959EA" w:rsidRPr="004419DD">
        <w:tab/>
      </w:r>
      <w:r w:rsidR="00E959EA" w:rsidRPr="004419DD">
        <w:tab/>
        <w:t>0.</w:t>
      </w:r>
      <w:r w:rsidR="00A6321F" w:rsidRPr="004419DD">
        <w:t>33</w:t>
      </w:r>
    </w:p>
    <w:p w:rsidR="00E959EA" w:rsidRPr="004419DD" w:rsidRDefault="00E959EA" w:rsidP="00C627BA">
      <w:r w:rsidRPr="004419DD">
        <w:tab/>
      </w:r>
      <w:r w:rsidRPr="004419DD">
        <w:tab/>
        <w:t>Annual Burden:</w:t>
      </w:r>
      <w:r w:rsidRPr="004419DD">
        <w:tab/>
      </w:r>
      <w:r w:rsidRPr="004419DD">
        <w:tab/>
      </w:r>
      <w:r w:rsidRPr="004419DD">
        <w:tab/>
      </w:r>
      <w:r w:rsidR="00A6321F" w:rsidRPr="004419DD">
        <w:t>14,850</w:t>
      </w:r>
      <w:r w:rsidRPr="004419DD">
        <w:t xml:space="preserve"> </w:t>
      </w:r>
      <w:proofErr w:type="spellStart"/>
      <w:r w:rsidRPr="004419DD">
        <w:t>hrs</w:t>
      </w:r>
      <w:proofErr w:type="spellEnd"/>
    </w:p>
    <w:p w:rsidR="00E959EA" w:rsidRPr="004419DD" w:rsidRDefault="00E959EA" w:rsidP="00C627BA"/>
    <w:p w:rsidR="00E959EA" w:rsidRPr="004419DD" w:rsidRDefault="00E959EA" w:rsidP="00C627BA">
      <w:r w:rsidRPr="004419DD">
        <w:tab/>
      </w:r>
      <w:r w:rsidRPr="004419DD">
        <w:tab/>
        <w:t>(2)  DD From 2535</w:t>
      </w:r>
    </w:p>
    <w:p w:rsidR="00E959EA" w:rsidRPr="004419DD" w:rsidRDefault="00E959EA" w:rsidP="00C627BA"/>
    <w:p w:rsidR="00E959EA" w:rsidRPr="004419DD" w:rsidRDefault="00E959EA" w:rsidP="00E959EA">
      <w:r w:rsidRPr="004419DD">
        <w:tab/>
      </w:r>
      <w:r w:rsidRPr="004419DD">
        <w:tab/>
        <w:t>Responses per Respondent:</w:t>
      </w:r>
      <w:r w:rsidRPr="004419DD">
        <w:tab/>
      </w:r>
      <w:r w:rsidRPr="004419DD">
        <w:tab/>
        <w:t>1</w:t>
      </w:r>
    </w:p>
    <w:p w:rsidR="00E959EA" w:rsidRPr="004419DD" w:rsidRDefault="00E959EA" w:rsidP="00E959EA">
      <w:r w:rsidRPr="004419DD">
        <w:tab/>
      </w:r>
      <w:r w:rsidRPr="004419DD">
        <w:tab/>
        <w:t>Number of Respondents:</w:t>
      </w:r>
      <w:r w:rsidRPr="004419DD">
        <w:tab/>
      </w:r>
      <w:r w:rsidRPr="004419DD">
        <w:tab/>
      </w:r>
      <w:r w:rsidR="00A6321F" w:rsidRPr="004419DD">
        <w:t>6</w:t>
      </w:r>
      <w:r w:rsidRPr="004419DD">
        <w:t>,000</w:t>
      </w:r>
    </w:p>
    <w:p w:rsidR="00E959EA" w:rsidRPr="004419DD" w:rsidRDefault="00E959EA" w:rsidP="00E959EA">
      <w:r w:rsidRPr="004419DD">
        <w:tab/>
      </w:r>
      <w:r w:rsidRPr="004419DD">
        <w:tab/>
        <w:t>Hours per Response:</w:t>
      </w:r>
      <w:r w:rsidRPr="004419DD">
        <w:tab/>
      </w:r>
      <w:r w:rsidRPr="004419DD">
        <w:tab/>
      </w:r>
      <w:r w:rsidRPr="004419DD">
        <w:tab/>
        <w:t>0.5</w:t>
      </w:r>
    </w:p>
    <w:p w:rsidR="00E959EA" w:rsidRPr="004419DD" w:rsidRDefault="00E959EA" w:rsidP="00E959EA">
      <w:r w:rsidRPr="004419DD">
        <w:tab/>
      </w:r>
      <w:r w:rsidRPr="004419DD">
        <w:tab/>
        <w:t>Annual Burden:</w:t>
      </w:r>
      <w:r w:rsidRPr="004419DD">
        <w:tab/>
      </w:r>
      <w:r w:rsidRPr="004419DD">
        <w:tab/>
      </w:r>
      <w:r w:rsidRPr="004419DD">
        <w:tab/>
      </w:r>
      <w:r w:rsidR="00A6321F" w:rsidRPr="004419DD">
        <w:t>3,0</w:t>
      </w:r>
      <w:r w:rsidRPr="004419DD">
        <w:t xml:space="preserve">00 </w:t>
      </w:r>
      <w:proofErr w:type="spellStart"/>
      <w:r w:rsidRPr="004419DD">
        <w:t>hrs</w:t>
      </w:r>
      <w:proofErr w:type="spellEnd"/>
    </w:p>
    <w:p w:rsidR="00E959EA" w:rsidRPr="004419DD" w:rsidRDefault="00E959EA" w:rsidP="00C627BA"/>
    <w:p w:rsidR="00E959EA" w:rsidRPr="004419DD" w:rsidRDefault="00E959EA" w:rsidP="00C627BA">
      <w:r w:rsidRPr="004419DD">
        <w:tab/>
      </w:r>
      <w:r w:rsidRPr="004419DD">
        <w:tab/>
        <w:t>Estimated Average Annual Burden</w:t>
      </w:r>
    </w:p>
    <w:p w:rsidR="00E959EA" w:rsidRPr="004419DD" w:rsidRDefault="00E959EA" w:rsidP="00C627BA"/>
    <w:p w:rsidR="00E959EA" w:rsidRPr="004419DD" w:rsidRDefault="00E959EA" w:rsidP="00C627BA">
      <w:r w:rsidRPr="004419DD">
        <w:tab/>
      </w:r>
      <w:r w:rsidRPr="004419DD">
        <w:tab/>
        <w:t>Number of Respondents:</w:t>
      </w:r>
      <w:r w:rsidRPr="004419DD">
        <w:tab/>
      </w:r>
      <w:r w:rsidRPr="004419DD">
        <w:tab/>
      </w:r>
      <w:r w:rsidR="00A6321F" w:rsidRPr="004419DD">
        <w:t>51</w:t>
      </w:r>
      <w:r w:rsidRPr="004419DD">
        <w:t>,000</w:t>
      </w:r>
    </w:p>
    <w:p w:rsidR="00E959EA" w:rsidRPr="004419DD" w:rsidRDefault="00E959EA" w:rsidP="00C627BA">
      <w:r w:rsidRPr="004419DD">
        <w:tab/>
      </w:r>
      <w:r w:rsidRPr="004419DD">
        <w:tab/>
        <w:t>Responses per Respondent:</w:t>
      </w:r>
      <w:r w:rsidRPr="004419DD">
        <w:tab/>
      </w:r>
      <w:r w:rsidRPr="004419DD">
        <w:tab/>
        <w:t>1</w:t>
      </w:r>
    </w:p>
    <w:p w:rsidR="00E959EA" w:rsidRPr="004419DD" w:rsidRDefault="00E959EA" w:rsidP="00C627BA">
      <w:r w:rsidRPr="004419DD">
        <w:tab/>
      </w:r>
      <w:r w:rsidRPr="004419DD">
        <w:tab/>
        <w:t>Total Annual Responses:</w:t>
      </w:r>
      <w:r w:rsidRPr="004419DD">
        <w:tab/>
      </w:r>
      <w:r w:rsidRPr="004419DD">
        <w:tab/>
      </w:r>
      <w:r w:rsidR="00A6321F" w:rsidRPr="004419DD">
        <w:t>51</w:t>
      </w:r>
      <w:r w:rsidRPr="004419DD">
        <w:t>,000</w:t>
      </w:r>
    </w:p>
    <w:p w:rsidR="00E959EA" w:rsidRPr="004419DD" w:rsidRDefault="00E959EA" w:rsidP="00C627BA">
      <w:r w:rsidRPr="004419DD">
        <w:tab/>
      </w:r>
      <w:r w:rsidRPr="004419DD">
        <w:tab/>
        <w:t>Average Hours per Response:</w:t>
      </w:r>
      <w:r w:rsidRPr="004419DD">
        <w:tab/>
      </w:r>
      <w:r w:rsidRPr="004419DD">
        <w:tab/>
        <w:t>0.</w:t>
      </w:r>
      <w:r w:rsidR="00A6321F" w:rsidRPr="004419DD">
        <w:t xml:space="preserve">35   </w:t>
      </w:r>
      <w:r w:rsidR="004C34AF" w:rsidRPr="004419DD">
        <w:t xml:space="preserve"> (Total annual hours divided by</w:t>
      </w:r>
    </w:p>
    <w:p w:rsidR="004C34AF" w:rsidRPr="004419DD" w:rsidRDefault="004C34AF" w:rsidP="00C627BA">
      <w:r w:rsidRPr="004419DD">
        <w:tab/>
      </w:r>
      <w:r w:rsidRPr="004419DD">
        <w:tab/>
      </w:r>
      <w:r w:rsidRPr="004419DD">
        <w:tab/>
      </w:r>
      <w:r w:rsidRPr="004419DD">
        <w:tab/>
      </w:r>
      <w:r w:rsidRPr="004419DD">
        <w:tab/>
      </w:r>
      <w:r w:rsidRPr="004419DD">
        <w:tab/>
      </w:r>
      <w:r w:rsidRPr="004419DD">
        <w:tab/>
      </w:r>
      <w:r w:rsidRPr="004419DD">
        <w:tab/>
      </w:r>
      <w:proofErr w:type="gramStart"/>
      <w:r w:rsidRPr="004419DD">
        <w:t>total</w:t>
      </w:r>
      <w:proofErr w:type="gramEnd"/>
      <w:r w:rsidRPr="004419DD">
        <w:t xml:space="preserve"> annual responses equals</w:t>
      </w:r>
    </w:p>
    <w:p w:rsidR="004C34AF" w:rsidRPr="004419DD" w:rsidRDefault="004C34AF" w:rsidP="00C627BA">
      <w:r w:rsidRPr="004419DD">
        <w:tab/>
      </w:r>
      <w:r w:rsidRPr="004419DD">
        <w:tab/>
      </w:r>
      <w:r w:rsidRPr="004419DD">
        <w:tab/>
      </w:r>
      <w:r w:rsidRPr="004419DD">
        <w:tab/>
      </w:r>
      <w:r w:rsidRPr="004419DD">
        <w:tab/>
      </w:r>
      <w:r w:rsidRPr="004419DD">
        <w:tab/>
      </w:r>
      <w:r w:rsidRPr="004419DD">
        <w:tab/>
      </w:r>
      <w:r w:rsidRPr="004419DD">
        <w:tab/>
      </w:r>
      <w:proofErr w:type="gramStart"/>
      <w:r w:rsidRPr="004419DD">
        <w:t>average</w:t>
      </w:r>
      <w:proofErr w:type="gramEnd"/>
      <w:r w:rsidRPr="004419DD">
        <w:t xml:space="preserve"> hours per response)</w:t>
      </w:r>
      <w:r w:rsidR="00A6321F" w:rsidRPr="004419DD">
        <w:t>*51000</w:t>
      </w:r>
    </w:p>
    <w:p w:rsidR="004C34AF" w:rsidRPr="004419DD" w:rsidRDefault="004C34AF" w:rsidP="00C627BA"/>
    <w:p w:rsidR="004C34AF" w:rsidRPr="004419DD" w:rsidRDefault="004C34AF" w:rsidP="00C627BA">
      <w:r w:rsidRPr="004419DD">
        <w:tab/>
      </w:r>
      <w:r w:rsidRPr="004419DD">
        <w:tab/>
        <w:t>Total Annual Burden:</w:t>
      </w:r>
      <w:r w:rsidRPr="004419DD">
        <w:tab/>
      </w:r>
      <w:r w:rsidRPr="004419DD">
        <w:tab/>
      </w:r>
      <w:r w:rsidRPr="004419DD">
        <w:tab/>
      </w:r>
      <w:r w:rsidR="00A6321F" w:rsidRPr="004419DD">
        <w:t>17,850</w:t>
      </w:r>
      <w:r w:rsidRPr="004419DD">
        <w:t xml:space="preserve"> (Total annual responses times</w:t>
      </w:r>
    </w:p>
    <w:p w:rsidR="004C34AF" w:rsidRPr="004419DD" w:rsidRDefault="004C34AF" w:rsidP="00C627BA">
      <w:r w:rsidRPr="004419DD">
        <w:tab/>
      </w:r>
      <w:r w:rsidRPr="004419DD">
        <w:tab/>
      </w:r>
      <w:r w:rsidRPr="004419DD">
        <w:tab/>
      </w:r>
      <w:r w:rsidRPr="004419DD">
        <w:tab/>
      </w:r>
      <w:r w:rsidRPr="004419DD">
        <w:tab/>
      </w:r>
      <w:r w:rsidRPr="004419DD">
        <w:tab/>
      </w:r>
      <w:r w:rsidRPr="004419DD">
        <w:tab/>
      </w:r>
      <w:r w:rsidRPr="004419DD">
        <w:tab/>
      </w:r>
      <w:proofErr w:type="gramStart"/>
      <w:r w:rsidRPr="004419DD">
        <w:t>average</w:t>
      </w:r>
      <w:proofErr w:type="gramEnd"/>
      <w:r w:rsidRPr="004419DD">
        <w:t xml:space="preserve"> </w:t>
      </w:r>
      <w:proofErr w:type="spellStart"/>
      <w:r w:rsidRPr="004419DD">
        <w:t>hrs</w:t>
      </w:r>
      <w:proofErr w:type="spellEnd"/>
      <w:r w:rsidRPr="004419DD">
        <w:t xml:space="preserve"> per response</w:t>
      </w:r>
    </w:p>
    <w:p w:rsidR="004C34AF" w:rsidRPr="004419DD" w:rsidRDefault="004C34AF" w:rsidP="00C627BA">
      <w:r w:rsidRPr="004419DD">
        <w:tab/>
      </w:r>
      <w:r w:rsidRPr="004419DD">
        <w:tab/>
      </w:r>
      <w:r w:rsidRPr="004419DD">
        <w:tab/>
      </w:r>
      <w:r w:rsidRPr="004419DD">
        <w:tab/>
      </w:r>
      <w:r w:rsidRPr="004419DD">
        <w:tab/>
      </w:r>
      <w:r w:rsidRPr="004419DD">
        <w:tab/>
      </w:r>
      <w:r w:rsidRPr="004419DD">
        <w:tab/>
      </w:r>
      <w:r w:rsidRPr="004419DD">
        <w:tab/>
      </w:r>
      <w:proofErr w:type="gramStart"/>
      <w:r w:rsidRPr="004419DD">
        <w:t>equals</w:t>
      </w:r>
      <w:proofErr w:type="gramEnd"/>
      <w:r w:rsidRPr="004419DD">
        <w:t xml:space="preserve"> annual burden)</w:t>
      </w:r>
    </w:p>
    <w:p w:rsidR="004C34AF" w:rsidRDefault="004C34AF" w:rsidP="00C627BA">
      <w:pPr>
        <w:rPr>
          <w:highlight w:val="yellow"/>
        </w:rPr>
      </w:pPr>
    </w:p>
    <w:p w:rsidR="002046A6" w:rsidRPr="00CA6044" w:rsidRDefault="002046A6" w:rsidP="00C627BA">
      <w:pPr>
        <w:rPr>
          <w:highlight w:val="yellow"/>
        </w:rPr>
      </w:pPr>
    </w:p>
    <w:p w:rsidR="004C34AF" w:rsidRPr="004419DD" w:rsidRDefault="00155777" w:rsidP="00C627BA">
      <w:r w:rsidRPr="004419DD">
        <w:tab/>
      </w:r>
      <w:proofErr w:type="gramStart"/>
      <w:r w:rsidRPr="004419DD">
        <w:t>b.  Annual</w:t>
      </w:r>
      <w:proofErr w:type="gramEnd"/>
      <w:r w:rsidRPr="004419DD">
        <w:t xml:space="preserve"> Cost to Respondent</w:t>
      </w:r>
    </w:p>
    <w:p w:rsidR="00155777" w:rsidRPr="004419DD" w:rsidRDefault="00155777" w:rsidP="00C627BA"/>
    <w:p w:rsidR="00155777" w:rsidRPr="004419DD" w:rsidRDefault="00155777" w:rsidP="00C627BA">
      <w:r w:rsidRPr="004419DD">
        <w:tab/>
      </w:r>
      <w:r w:rsidRPr="004419DD">
        <w:tab/>
        <w:t xml:space="preserve">Hourly pay for </w:t>
      </w:r>
      <w:r w:rsidR="006E6EA6" w:rsidRPr="004419DD">
        <w:t>respondents:  $13.95</w:t>
      </w:r>
    </w:p>
    <w:p w:rsidR="00155777" w:rsidRPr="004419DD" w:rsidRDefault="00155777" w:rsidP="00C627BA"/>
    <w:p w:rsidR="00155777" w:rsidRPr="004419DD" w:rsidRDefault="00155777" w:rsidP="00C627BA">
      <w:r w:rsidRPr="004419DD">
        <w:tab/>
      </w:r>
      <w:r w:rsidRPr="004419DD">
        <w:tab/>
        <w:t xml:space="preserve">(1) DD </w:t>
      </w:r>
      <w:r w:rsidR="00777C7F" w:rsidRPr="004419DD">
        <w:t>Form 2536:  4</w:t>
      </w:r>
      <w:r w:rsidR="00A52101" w:rsidRPr="004419DD">
        <w:t>5</w:t>
      </w:r>
      <w:r w:rsidR="00777C7F" w:rsidRPr="004419DD">
        <w:t>,000 forms @ 0.</w:t>
      </w:r>
      <w:r w:rsidR="00A52101" w:rsidRPr="004419DD">
        <w:t>33</w:t>
      </w:r>
      <w:r w:rsidR="00D2462D" w:rsidRPr="004419DD">
        <w:t xml:space="preserve"> </w:t>
      </w:r>
      <w:proofErr w:type="spellStart"/>
      <w:r w:rsidR="00D2462D" w:rsidRPr="004419DD">
        <w:t>hrs</w:t>
      </w:r>
      <w:proofErr w:type="spellEnd"/>
      <w:r w:rsidR="00D2462D" w:rsidRPr="004419DD">
        <w:t xml:space="preserve"> per form = $</w:t>
      </w:r>
      <w:r w:rsidR="00A52101" w:rsidRPr="004419DD">
        <w:t>207</w:t>
      </w:r>
      <w:r w:rsidR="006E6EA6" w:rsidRPr="004419DD">
        <w:t>,</w:t>
      </w:r>
      <w:r w:rsidR="00A52101" w:rsidRPr="004419DD">
        <w:t>157.50</w:t>
      </w:r>
    </w:p>
    <w:p w:rsidR="00D2462D" w:rsidRPr="004419DD" w:rsidRDefault="00D2462D" w:rsidP="00C627BA">
      <w:r w:rsidRPr="004419DD">
        <w:tab/>
      </w:r>
      <w:r w:rsidRPr="004419DD">
        <w:tab/>
        <w:t xml:space="preserve">(2) DD Form 2535:    </w:t>
      </w:r>
      <w:r w:rsidR="00A52101" w:rsidRPr="004419DD">
        <w:t>6</w:t>
      </w:r>
      <w:r w:rsidRPr="004419DD">
        <w:t xml:space="preserve">,000 forms @ 0.5 </w:t>
      </w:r>
      <w:proofErr w:type="spellStart"/>
      <w:r w:rsidRPr="004419DD">
        <w:t>hrs</w:t>
      </w:r>
      <w:proofErr w:type="spellEnd"/>
      <w:r w:rsidRPr="004419DD">
        <w:t xml:space="preserve"> per form = $</w:t>
      </w:r>
      <w:r w:rsidR="00A52101" w:rsidRPr="004419DD">
        <w:t>41</w:t>
      </w:r>
      <w:r w:rsidRPr="004419DD">
        <w:t>,</w:t>
      </w:r>
      <w:r w:rsidR="00A52101" w:rsidRPr="004419DD">
        <w:t>850</w:t>
      </w:r>
    </w:p>
    <w:p w:rsidR="00D2462D" w:rsidRPr="00CA6044" w:rsidRDefault="00D2462D" w:rsidP="00C627BA">
      <w:pPr>
        <w:rPr>
          <w:highlight w:val="yellow"/>
        </w:rPr>
      </w:pPr>
    </w:p>
    <w:p w:rsidR="00D2462D" w:rsidRDefault="00D2462D" w:rsidP="00C627BA">
      <w:r w:rsidRPr="004419DD">
        <w:tab/>
      </w:r>
      <w:r w:rsidRPr="004419DD">
        <w:tab/>
      </w:r>
      <w:r w:rsidRPr="004419DD">
        <w:tab/>
        <w:t>Total annual cost to respondents:  $</w:t>
      </w:r>
      <w:r w:rsidR="004419DD" w:rsidRPr="004419DD">
        <w:t>249,007.50</w:t>
      </w:r>
    </w:p>
    <w:p w:rsidR="00D82D46" w:rsidRDefault="00D82D46" w:rsidP="00C627BA"/>
    <w:p w:rsidR="00743BCC" w:rsidRDefault="00D82D46" w:rsidP="00C627BA">
      <w:r>
        <w:t>13</w:t>
      </w:r>
      <w:r w:rsidR="001876C2">
        <w:t>.</w:t>
      </w:r>
      <w:r>
        <w:t xml:space="preserve">  </w:t>
      </w:r>
      <w:r w:rsidR="00743BCC">
        <w:t>RESPONDENT COSTS OTHER THAN BURDEN HOUR COSTS</w:t>
      </w:r>
    </w:p>
    <w:p w:rsidR="00743BCC" w:rsidRDefault="00743BCC" w:rsidP="00C627BA"/>
    <w:p w:rsidR="00D82D46" w:rsidRDefault="00D82D46" w:rsidP="00743BCC">
      <w:pPr>
        <w:ind w:firstLine="720"/>
      </w:pPr>
      <w:r>
        <w:t>There are no additional costs to respondents.  No start-up costs are required.</w:t>
      </w:r>
      <w:r w:rsidR="00A94EFB">
        <w:t xml:space="preserve">  </w:t>
      </w:r>
    </w:p>
    <w:p w:rsidR="006836CB" w:rsidRDefault="006836CB" w:rsidP="00C627BA"/>
    <w:p w:rsidR="00743BCC" w:rsidRDefault="00D82D46" w:rsidP="00C627BA">
      <w:r w:rsidRPr="00A94EFB">
        <w:t xml:space="preserve">14.  </w:t>
      </w:r>
      <w:r w:rsidR="00743BCC">
        <w:t>COST TO FEDERAL GOVERNMENT</w:t>
      </w:r>
    </w:p>
    <w:p w:rsidR="00743BCC" w:rsidRDefault="00743BCC" w:rsidP="00C627BA"/>
    <w:p w:rsidR="00D82D46" w:rsidRDefault="00D82D46" w:rsidP="00743BCC">
      <w:pPr>
        <w:ind w:firstLine="720"/>
      </w:pPr>
      <w:r w:rsidRPr="00A94EFB">
        <w:t xml:space="preserve">Total annual cost to the Federal Government is </w:t>
      </w:r>
      <w:r w:rsidR="00A94EFB" w:rsidRPr="00A94EFB">
        <w:t xml:space="preserve">estimated at </w:t>
      </w:r>
      <w:r w:rsidR="00CB5A08" w:rsidRPr="00A94EFB">
        <w:t>$</w:t>
      </w:r>
      <w:r w:rsidR="00A94EFB" w:rsidRPr="00A94EFB">
        <w:t>3</w:t>
      </w:r>
      <w:r w:rsidR="006836CB">
        <w:t>55,725</w:t>
      </w:r>
      <w:r w:rsidR="00CB5A08" w:rsidRPr="00A94EFB">
        <w:t>.  This includes the manpower costs of pro</w:t>
      </w:r>
      <w:r w:rsidR="00AF531A" w:rsidRPr="00A94EFB">
        <w:t xml:space="preserve">cessing and responding to the </w:t>
      </w:r>
      <w:r w:rsidR="00A94EFB" w:rsidRPr="00A94EFB">
        <w:t>51</w:t>
      </w:r>
      <w:r w:rsidR="00CB5A08" w:rsidRPr="00A94EFB">
        <w:t>,000 annual inquiries (</w:t>
      </w:r>
      <w:r w:rsidR="00A94EFB" w:rsidRPr="00A94EFB">
        <w:t>3</w:t>
      </w:r>
      <w:r w:rsidR="00CB5A08" w:rsidRPr="00A94EFB">
        <w:t xml:space="preserve">0 minutes per </w:t>
      </w:r>
      <w:r w:rsidR="00AF531A" w:rsidRPr="00A94EFB">
        <w:t>4</w:t>
      </w:r>
      <w:r w:rsidR="00A94EFB" w:rsidRPr="00A94EFB">
        <w:t>5</w:t>
      </w:r>
      <w:r w:rsidR="00AF531A" w:rsidRPr="00A94EFB">
        <w:t xml:space="preserve">,000 inquiries </w:t>
      </w:r>
      <w:r w:rsidR="00A94EFB" w:rsidRPr="00A94EFB">
        <w:t>[</w:t>
      </w:r>
      <w:r w:rsidR="00AF531A" w:rsidRPr="00A94EFB">
        <w:t>DD Form 2536</w:t>
      </w:r>
      <w:r w:rsidR="00A94EFB" w:rsidRPr="00A94EFB">
        <w:t>]</w:t>
      </w:r>
      <w:r w:rsidR="00CB5A08" w:rsidRPr="00A94EFB">
        <w:t xml:space="preserve"> at $13.95 per hour</w:t>
      </w:r>
      <w:r w:rsidR="00A94EFB" w:rsidRPr="00A94EFB">
        <w:t>;</w:t>
      </w:r>
      <w:r w:rsidR="00AF531A" w:rsidRPr="00A94EFB">
        <w:t xml:space="preserve"> and 30 minutes per </w:t>
      </w:r>
      <w:r w:rsidR="00A94EFB" w:rsidRPr="00A94EFB">
        <w:t>6</w:t>
      </w:r>
      <w:r w:rsidR="00AF531A" w:rsidRPr="00A94EFB">
        <w:t xml:space="preserve">,000 inquiries </w:t>
      </w:r>
      <w:r w:rsidR="00A94EFB" w:rsidRPr="00A94EFB">
        <w:t>[</w:t>
      </w:r>
      <w:r w:rsidR="00AF531A" w:rsidRPr="00A94EFB">
        <w:t>DD Form 2535</w:t>
      </w:r>
      <w:r w:rsidR="00A94EFB" w:rsidRPr="00A94EFB">
        <w:t>]</w:t>
      </w:r>
      <w:r w:rsidR="00AF531A" w:rsidRPr="00A94EFB">
        <w:t xml:space="preserve"> at $13.95 per hour</w:t>
      </w:r>
      <w:r w:rsidR="00896731" w:rsidRPr="00A94EFB">
        <w:t>)</w:t>
      </w:r>
      <w:r w:rsidR="005044A5">
        <w:t>.</w:t>
      </w:r>
      <w:r w:rsidR="00896731" w:rsidRPr="00A94EFB">
        <w:t xml:space="preserve">  Printing </w:t>
      </w:r>
      <w:r w:rsidR="001A07F1" w:rsidRPr="00A94EFB">
        <w:t xml:space="preserve">of forms is not required because the forms are available </w:t>
      </w:r>
      <w:r w:rsidR="00CB5A08" w:rsidRPr="00A94EFB">
        <w:t>throu</w:t>
      </w:r>
      <w:r w:rsidR="001A07F1" w:rsidRPr="00A94EFB">
        <w:t xml:space="preserve">gh </w:t>
      </w:r>
      <w:r w:rsidR="00A94EFB" w:rsidRPr="00A94EFB">
        <w:t>electronic media</w:t>
      </w:r>
      <w:r w:rsidR="00CB5A08" w:rsidRPr="00A94EFB">
        <w:t>.  The Federal Government currently incurs all of these cost</w:t>
      </w:r>
      <w:r w:rsidR="00787FBE">
        <w:t>s</w:t>
      </w:r>
      <w:r w:rsidR="00A94EFB">
        <w:t>.</w:t>
      </w:r>
    </w:p>
    <w:p w:rsidR="00297C26" w:rsidRDefault="00297C26" w:rsidP="00C627BA"/>
    <w:p w:rsidR="00743BCC" w:rsidRDefault="00297C26" w:rsidP="00C627BA">
      <w:r w:rsidRPr="00533152">
        <w:t xml:space="preserve">15.  </w:t>
      </w:r>
      <w:r w:rsidR="00743BCC">
        <w:t>REASONS FOR CHANGE IN BURDEN</w:t>
      </w:r>
    </w:p>
    <w:p w:rsidR="00743BCC" w:rsidRDefault="00743BCC" w:rsidP="00C627BA"/>
    <w:p w:rsidR="00297C26" w:rsidRDefault="00297C26" w:rsidP="00743BCC">
      <w:pPr>
        <w:ind w:firstLine="720"/>
      </w:pPr>
      <w:r w:rsidRPr="00533152">
        <w:lastRenderedPageBreak/>
        <w:t>This is an extension of a previously approved collection</w:t>
      </w:r>
      <w:bookmarkStart w:id="0" w:name="_GoBack"/>
      <w:bookmarkEnd w:id="0"/>
      <w:r w:rsidRPr="00533152">
        <w:t>.</w:t>
      </w:r>
      <w:r w:rsidR="00EF7392">
        <w:t xml:space="preserve"> </w:t>
      </w:r>
      <w:r w:rsidR="00FA319B">
        <w:t>There has been no change in burden since the last submission.</w:t>
      </w:r>
    </w:p>
    <w:p w:rsidR="00297C26" w:rsidRDefault="00297C26" w:rsidP="00C627BA"/>
    <w:p w:rsidR="00743BCC" w:rsidRDefault="00297C26" w:rsidP="00C627BA">
      <w:r>
        <w:t xml:space="preserve">16.  </w:t>
      </w:r>
      <w:r w:rsidR="00743BCC">
        <w:t>PUBLICATION OF RESULTS</w:t>
      </w:r>
    </w:p>
    <w:p w:rsidR="00743BCC" w:rsidRDefault="00743BCC" w:rsidP="00C627BA"/>
    <w:p w:rsidR="00297C26" w:rsidRDefault="00297C26" w:rsidP="00743BCC">
      <w:pPr>
        <w:ind w:firstLine="720"/>
      </w:pPr>
      <w:r>
        <w:t>Collected information will not be published in any form.</w:t>
      </w:r>
    </w:p>
    <w:p w:rsidR="00297C26" w:rsidRDefault="00297C26" w:rsidP="00C627BA"/>
    <w:p w:rsidR="00743BCC" w:rsidRDefault="00297C26" w:rsidP="00C627BA">
      <w:r>
        <w:t xml:space="preserve">17.  </w:t>
      </w:r>
      <w:r w:rsidR="00743BCC">
        <w:t>NON-DISPLAY OF OMB EXPIRATION DATE</w:t>
      </w:r>
    </w:p>
    <w:p w:rsidR="00743BCC" w:rsidRDefault="00743BCC" w:rsidP="00C627BA"/>
    <w:p w:rsidR="00297C26" w:rsidRDefault="00297C26" w:rsidP="00743BCC">
      <w:pPr>
        <w:ind w:firstLine="720"/>
      </w:pPr>
      <w:r>
        <w:t>This office requests that the expiration date for OMB approval of the information collection be displayed.</w:t>
      </w:r>
    </w:p>
    <w:p w:rsidR="00297C26" w:rsidRDefault="00297C26" w:rsidP="00C627BA"/>
    <w:p w:rsidR="00743BCC" w:rsidRDefault="00297C26" w:rsidP="00C627BA">
      <w:r>
        <w:t xml:space="preserve">18.  </w:t>
      </w:r>
      <w:r w:rsidR="00743BCC">
        <w:t>EXCEPTIONS TO “CERTIFICATION FOR PAPERWORK REDUCTION”</w:t>
      </w:r>
    </w:p>
    <w:p w:rsidR="00743BCC" w:rsidRDefault="00743BCC" w:rsidP="00C627BA"/>
    <w:p w:rsidR="00297C26" w:rsidRDefault="00297C26" w:rsidP="00743BCC">
      <w:pPr>
        <w:ind w:firstLine="720"/>
      </w:pPr>
      <w:r>
        <w:t xml:space="preserve">This office seeks no exception to the certification statement identified in Item 19 </w:t>
      </w:r>
      <w:r w:rsidR="001876C2">
        <w:t>of the OMB Form 83-I.</w:t>
      </w:r>
    </w:p>
    <w:p w:rsidR="001876C2" w:rsidRDefault="001876C2" w:rsidP="00C627BA"/>
    <w:p w:rsidR="001876C2" w:rsidRPr="00743BCC" w:rsidRDefault="001876C2" w:rsidP="00C627BA">
      <w:pPr>
        <w:rPr>
          <w:b/>
        </w:rPr>
      </w:pPr>
      <w:r w:rsidRPr="00743BCC">
        <w:rPr>
          <w:b/>
        </w:rPr>
        <w:t>B.  STATISTICAL METHODS</w:t>
      </w:r>
    </w:p>
    <w:p w:rsidR="001876C2" w:rsidRDefault="001876C2" w:rsidP="00C627BA"/>
    <w:p w:rsidR="0005509F" w:rsidRDefault="001876C2" w:rsidP="001876C2">
      <w:pPr>
        <w:ind w:firstLine="360"/>
      </w:pPr>
      <w:r>
        <w:t>This collection of information does not employ statistical techniques.</w:t>
      </w:r>
    </w:p>
    <w:p w:rsidR="001876C2" w:rsidRDefault="001876C2" w:rsidP="00EF7392"/>
    <w:sectPr w:rsidR="001876C2" w:rsidSect="00C627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9F" w:rsidRDefault="0005509F" w:rsidP="0005509F">
      <w:r>
        <w:separator/>
      </w:r>
    </w:p>
  </w:endnote>
  <w:endnote w:type="continuationSeparator" w:id="0">
    <w:p w:rsidR="0005509F" w:rsidRDefault="0005509F" w:rsidP="0005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536076"/>
      <w:docPartObj>
        <w:docPartGallery w:val="Page Numbers (Bottom of Page)"/>
        <w:docPartUnique/>
      </w:docPartObj>
    </w:sdtPr>
    <w:sdtEndPr>
      <w:rPr>
        <w:noProof/>
      </w:rPr>
    </w:sdtEndPr>
    <w:sdtContent>
      <w:p w:rsidR="0005509F" w:rsidRDefault="0005509F">
        <w:pPr>
          <w:pStyle w:val="Footer"/>
          <w:jc w:val="center"/>
        </w:pPr>
        <w:r>
          <w:fldChar w:fldCharType="begin"/>
        </w:r>
        <w:r>
          <w:instrText xml:space="preserve"> PAGE   \* MERGEFORMAT </w:instrText>
        </w:r>
        <w:r>
          <w:fldChar w:fldCharType="separate"/>
        </w:r>
        <w:r w:rsidR="00FA319B">
          <w:rPr>
            <w:noProof/>
          </w:rPr>
          <w:t>4</w:t>
        </w:r>
        <w:r>
          <w:rPr>
            <w:noProof/>
          </w:rPr>
          <w:fldChar w:fldCharType="end"/>
        </w:r>
      </w:p>
    </w:sdtContent>
  </w:sdt>
  <w:p w:rsidR="0005509F" w:rsidRDefault="00055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9F" w:rsidRDefault="0005509F" w:rsidP="0005509F">
      <w:r>
        <w:separator/>
      </w:r>
    </w:p>
  </w:footnote>
  <w:footnote w:type="continuationSeparator" w:id="0">
    <w:p w:rsidR="0005509F" w:rsidRDefault="0005509F" w:rsidP="00055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06265"/>
    <w:multiLevelType w:val="hybridMultilevel"/>
    <w:tmpl w:val="6C7A18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BA"/>
    <w:rsid w:val="0005509F"/>
    <w:rsid w:val="00155777"/>
    <w:rsid w:val="001876C2"/>
    <w:rsid w:val="001A07F1"/>
    <w:rsid w:val="001C534F"/>
    <w:rsid w:val="002046A6"/>
    <w:rsid w:val="002920B9"/>
    <w:rsid w:val="00297C26"/>
    <w:rsid w:val="002B7D73"/>
    <w:rsid w:val="002F1400"/>
    <w:rsid w:val="00351341"/>
    <w:rsid w:val="004419DD"/>
    <w:rsid w:val="00466AE7"/>
    <w:rsid w:val="004C34AF"/>
    <w:rsid w:val="005044A5"/>
    <w:rsid w:val="00533152"/>
    <w:rsid w:val="0053383E"/>
    <w:rsid w:val="005B1B51"/>
    <w:rsid w:val="006836CB"/>
    <w:rsid w:val="006E6EA6"/>
    <w:rsid w:val="00743BCC"/>
    <w:rsid w:val="00777C7F"/>
    <w:rsid w:val="00787FBE"/>
    <w:rsid w:val="00805799"/>
    <w:rsid w:val="008712BD"/>
    <w:rsid w:val="00896731"/>
    <w:rsid w:val="008D5A5B"/>
    <w:rsid w:val="00961365"/>
    <w:rsid w:val="009E065B"/>
    <w:rsid w:val="00A17730"/>
    <w:rsid w:val="00A52101"/>
    <w:rsid w:val="00A6321F"/>
    <w:rsid w:val="00A94EFB"/>
    <w:rsid w:val="00AF531A"/>
    <w:rsid w:val="00BC6FFA"/>
    <w:rsid w:val="00C627BA"/>
    <w:rsid w:val="00CA6044"/>
    <w:rsid w:val="00CB5A08"/>
    <w:rsid w:val="00D2462D"/>
    <w:rsid w:val="00D3670A"/>
    <w:rsid w:val="00D82D46"/>
    <w:rsid w:val="00DB69AC"/>
    <w:rsid w:val="00E16B83"/>
    <w:rsid w:val="00E836A8"/>
    <w:rsid w:val="00E959EA"/>
    <w:rsid w:val="00EF7392"/>
    <w:rsid w:val="00F437AE"/>
    <w:rsid w:val="00FA319B"/>
    <w:rsid w:val="00FC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712BD"/>
    <w:rPr>
      <w:sz w:val="16"/>
      <w:szCs w:val="16"/>
    </w:rPr>
  </w:style>
  <w:style w:type="paragraph" w:styleId="CommentText">
    <w:name w:val="annotation text"/>
    <w:basedOn w:val="Normal"/>
    <w:link w:val="CommentTextChar"/>
    <w:rsid w:val="008712BD"/>
    <w:rPr>
      <w:sz w:val="20"/>
      <w:szCs w:val="20"/>
    </w:rPr>
  </w:style>
  <w:style w:type="character" w:customStyle="1" w:styleId="CommentTextChar">
    <w:name w:val="Comment Text Char"/>
    <w:basedOn w:val="DefaultParagraphFont"/>
    <w:link w:val="CommentText"/>
    <w:rsid w:val="008712BD"/>
  </w:style>
  <w:style w:type="paragraph" w:styleId="CommentSubject">
    <w:name w:val="annotation subject"/>
    <w:basedOn w:val="CommentText"/>
    <w:next w:val="CommentText"/>
    <w:link w:val="CommentSubjectChar"/>
    <w:rsid w:val="008712BD"/>
    <w:rPr>
      <w:b/>
      <w:bCs/>
    </w:rPr>
  </w:style>
  <w:style w:type="character" w:customStyle="1" w:styleId="CommentSubjectChar">
    <w:name w:val="Comment Subject Char"/>
    <w:basedOn w:val="CommentTextChar"/>
    <w:link w:val="CommentSubject"/>
    <w:rsid w:val="008712BD"/>
    <w:rPr>
      <w:b/>
      <w:bCs/>
    </w:rPr>
  </w:style>
  <w:style w:type="paragraph" w:styleId="BalloonText">
    <w:name w:val="Balloon Text"/>
    <w:basedOn w:val="Normal"/>
    <w:link w:val="BalloonTextChar"/>
    <w:rsid w:val="008712BD"/>
    <w:rPr>
      <w:rFonts w:ascii="Tahoma" w:hAnsi="Tahoma" w:cs="Tahoma"/>
      <w:sz w:val="16"/>
      <w:szCs w:val="16"/>
    </w:rPr>
  </w:style>
  <w:style w:type="character" w:customStyle="1" w:styleId="BalloonTextChar">
    <w:name w:val="Balloon Text Char"/>
    <w:basedOn w:val="DefaultParagraphFont"/>
    <w:link w:val="BalloonText"/>
    <w:rsid w:val="008712BD"/>
    <w:rPr>
      <w:rFonts w:ascii="Tahoma" w:hAnsi="Tahoma" w:cs="Tahoma"/>
      <w:sz w:val="16"/>
      <w:szCs w:val="16"/>
    </w:rPr>
  </w:style>
  <w:style w:type="paragraph" w:styleId="Header">
    <w:name w:val="header"/>
    <w:basedOn w:val="Normal"/>
    <w:link w:val="HeaderChar"/>
    <w:rsid w:val="0005509F"/>
    <w:pPr>
      <w:tabs>
        <w:tab w:val="center" w:pos="4680"/>
        <w:tab w:val="right" w:pos="9360"/>
      </w:tabs>
    </w:pPr>
  </w:style>
  <w:style w:type="character" w:customStyle="1" w:styleId="HeaderChar">
    <w:name w:val="Header Char"/>
    <w:basedOn w:val="DefaultParagraphFont"/>
    <w:link w:val="Header"/>
    <w:rsid w:val="0005509F"/>
    <w:rPr>
      <w:sz w:val="24"/>
      <w:szCs w:val="24"/>
    </w:rPr>
  </w:style>
  <w:style w:type="paragraph" w:styleId="Footer">
    <w:name w:val="footer"/>
    <w:basedOn w:val="Normal"/>
    <w:link w:val="FooterChar"/>
    <w:uiPriority w:val="99"/>
    <w:rsid w:val="0005509F"/>
    <w:pPr>
      <w:tabs>
        <w:tab w:val="center" w:pos="4680"/>
        <w:tab w:val="right" w:pos="9360"/>
      </w:tabs>
    </w:pPr>
  </w:style>
  <w:style w:type="character" w:customStyle="1" w:styleId="FooterChar">
    <w:name w:val="Footer Char"/>
    <w:basedOn w:val="DefaultParagraphFont"/>
    <w:link w:val="Footer"/>
    <w:uiPriority w:val="99"/>
    <w:rsid w:val="0005509F"/>
    <w:rPr>
      <w:sz w:val="24"/>
      <w:szCs w:val="24"/>
    </w:rPr>
  </w:style>
  <w:style w:type="paragraph" w:styleId="ListParagraph">
    <w:name w:val="List Paragraph"/>
    <w:basedOn w:val="Normal"/>
    <w:uiPriority w:val="34"/>
    <w:qFormat/>
    <w:rsid w:val="00743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712BD"/>
    <w:rPr>
      <w:sz w:val="16"/>
      <w:szCs w:val="16"/>
    </w:rPr>
  </w:style>
  <w:style w:type="paragraph" w:styleId="CommentText">
    <w:name w:val="annotation text"/>
    <w:basedOn w:val="Normal"/>
    <w:link w:val="CommentTextChar"/>
    <w:rsid w:val="008712BD"/>
    <w:rPr>
      <w:sz w:val="20"/>
      <w:szCs w:val="20"/>
    </w:rPr>
  </w:style>
  <w:style w:type="character" w:customStyle="1" w:styleId="CommentTextChar">
    <w:name w:val="Comment Text Char"/>
    <w:basedOn w:val="DefaultParagraphFont"/>
    <w:link w:val="CommentText"/>
    <w:rsid w:val="008712BD"/>
  </w:style>
  <w:style w:type="paragraph" w:styleId="CommentSubject">
    <w:name w:val="annotation subject"/>
    <w:basedOn w:val="CommentText"/>
    <w:next w:val="CommentText"/>
    <w:link w:val="CommentSubjectChar"/>
    <w:rsid w:val="008712BD"/>
    <w:rPr>
      <w:b/>
      <w:bCs/>
    </w:rPr>
  </w:style>
  <w:style w:type="character" w:customStyle="1" w:styleId="CommentSubjectChar">
    <w:name w:val="Comment Subject Char"/>
    <w:basedOn w:val="CommentTextChar"/>
    <w:link w:val="CommentSubject"/>
    <w:rsid w:val="008712BD"/>
    <w:rPr>
      <w:b/>
      <w:bCs/>
    </w:rPr>
  </w:style>
  <w:style w:type="paragraph" w:styleId="BalloonText">
    <w:name w:val="Balloon Text"/>
    <w:basedOn w:val="Normal"/>
    <w:link w:val="BalloonTextChar"/>
    <w:rsid w:val="008712BD"/>
    <w:rPr>
      <w:rFonts w:ascii="Tahoma" w:hAnsi="Tahoma" w:cs="Tahoma"/>
      <w:sz w:val="16"/>
      <w:szCs w:val="16"/>
    </w:rPr>
  </w:style>
  <w:style w:type="character" w:customStyle="1" w:styleId="BalloonTextChar">
    <w:name w:val="Balloon Text Char"/>
    <w:basedOn w:val="DefaultParagraphFont"/>
    <w:link w:val="BalloonText"/>
    <w:rsid w:val="008712BD"/>
    <w:rPr>
      <w:rFonts w:ascii="Tahoma" w:hAnsi="Tahoma" w:cs="Tahoma"/>
      <w:sz w:val="16"/>
      <w:szCs w:val="16"/>
    </w:rPr>
  </w:style>
  <w:style w:type="paragraph" w:styleId="Header">
    <w:name w:val="header"/>
    <w:basedOn w:val="Normal"/>
    <w:link w:val="HeaderChar"/>
    <w:rsid w:val="0005509F"/>
    <w:pPr>
      <w:tabs>
        <w:tab w:val="center" w:pos="4680"/>
        <w:tab w:val="right" w:pos="9360"/>
      </w:tabs>
    </w:pPr>
  </w:style>
  <w:style w:type="character" w:customStyle="1" w:styleId="HeaderChar">
    <w:name w:val="Header Char"/>
    <w:basedOn w:val="DefaultParagraphFont"/>
    <w:link w:val="Header"/>
    <w:rsid w:val="0005509F"/>
    <w:rPr>
      <w:sz w:val="24"/>
      <w:szCs w:val="24"/>
    </w:rPr>
  </w:style>
  <w:style w:type="paragraph" w:styleId="Footer">
    <w:name w:val="footer"/>
    <w:basedOn w:val="Normal"/>
    <w:link w:val="FooterChar"/>
    <w:uiPriority w:val="99"/>
    <w:rsid w:val="0005509F"/>
    <w:pPr>
      <w:tabs>
        <w:tab w:val="center" w:pos="4680"/>
        <w:tab w:val="right" w:pos="9360"/>
      </w:tabs>
    </w:pPr>
  </w:style>
  <w:style w:type="character" w:customStyle="1" w:styleId="FooterChar">
    <w:name w:val="Footer Char"/>
    <w:basedOn w:val="DefaultParagraphFont"/>
    <w:link w:val="Footer"/>
    <w:uiPriority w:val="99"/>
    <w:rsid w:val="0005509F"/>
    <w:rPr>
      <w:sz w:val="24"/>
      <w:szCs w:val="24"/>
    </w:rPr>
  </w:style>
  <w:style w:type="paragraph" w:styleId="ListParagraph">
    <w:name w:val="List Paragraph"/>
    <w:basedOn w:val="Normal"/>
    <w:uiPriority w:val="34"/>
    <w:qFormat/>
    <w:rsid w:val="00743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0F6D3-F373-4B51-8072-AC43B99B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DFOISR</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creator>pltoppings</dc:creator>
  <cp:lastModifiedBy>EITSD</cp:lastModifiedBy>
  <cp:revision>2</cp:revision>
  <cp:lastPrinted>2013-06-20T16:43:00Z</cp:lastPrinted>
  <dcterms:created xsi:type="dcterms:W3CDTF">2013-08-19T16:57:00Z</dcterms:created>
  <dcterms:modified xsi:type="dcterms:W3CDTF">2013-08-19T16:57:00Z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