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0109B" w14:textId="77777777" w:rsidR="001A30E8" w:rsidRDefault="001A30E8" w:rsidP="001A30E8">
      <w:pPr>
        <w:jc w:val="center"/>
        <w:rPr>
          <w:rFonts w:eastAsia="Calibri"/>
          <w:b/>
        </w:rPr>
      </w:pPr>
      <w:r>
        <w:rPr>
          <w:rFonts w:eastAsia="Calibri"/>
          <w:b/>
        </w:rPr>
        <w:t>Generic Information Collection: Emerging mosquito-borne diseases: assessment of chikungunya and dengue-related knowledge, attitudes and practices for Mexican-origin audiences along the U.S-Mexico border</w:t>
      </w:r>
    </w:p>
    <w:p w14:paraId="4789E234" w14:textId="77777777" w:rsidR="001A30E8" w:rsidRDefault="001A30E8" w:rsidP="001A30E8">
      <w:pPr>
        <w:spacing w:line="276" w:lineRule="auto"/>
        <w:jc w:val="center"/>
        <w:rPr>
          <w:rFonts w:eastAsia="Calibri"/>
          <w:b/>
        </w:rPr>
      </w:pPr>
    </w:p>
    <w:p w14:paraId="0FB7B1D8" w14:textId="77777777" w:rsidR="001A30E8" w:rsidRDefault="001A30E8" w:rsidP="001A30E8">
      <w:pPr>
        <w:spacing w:line="276" w:lineRule="auto"/>
        <w:jc w:val="center"/>
        <w:rPr>
          <w:rFonts w:eastAsia="Calibri"/>
          <w:b/>
        </w:rPr>
      </w:pPr>
      <w:r>
        <w:rPr>
          <w:rFonts w:eastAsia="Calibri"/>
          <w:b/>
        </w:rPr>
        <w:t>Generic Information Collection Request</w:t>
      </w:r>
    </w:p>
    <w:p w14:paraId="152E73DA" w14:textId="77777777" w:rsidR="001A30E8" w:rsidRDefault="001A30E8" w:rsidP="001A30E8">
      <w:pPr>
        <w:tabs>
          <w:tab w:val="right" w:pos="9360"/>
        </w:tabs>
        <w:jc w:val="center"/>
        <w:rPr>
          <w:rFonts w:eastAsia="Calibri"/>
          <w:b/>
        </w:rPr>
      </w:pPr>
      <w:r>
        <w:rPr>
          <w:rFonts w:eastAsia="Calibri"/>
          <w:b/>
        </w:rPr>
        <w:t>OMB No. 0920-0987</w:t>
      </w:r>
    </w:p>
    <w:p w14:paraId="321F3781" w14:textId="77777777" w:rsidR="001A30E8" w:rsidRDefault="001A30E8" w:rsidP="001A30E8">
      <w:pPr>
        <w:tabs>
          <w:tab w:val="right" w:pos="9360"/>
        </w:tabs>
        <w:jc w:val="center"/>
        <w:rPr>
          <w:rFonts w:eastAsia="Calibri"/>
          <w:b/>
        </w:rPr>
      </w:pPr>
      <w:r>
        <w:rPr>
          <w:rFonts w:eastAsia="Calibri"/>
          <w:b/>
        </w:rPr>
        <w:t>Expiration Date XX/XX/2016</w:t>
      </w:r>
    </w:p>
    <w:p w14:paraId="72A12A60" w14:textId="77777777" w:rsidR="001A30E8" w:rsidRDefault="001A30E8" w:rsidP="001A30E8">
      <w:pPr>
        <w:spacing w:line="276" w:lineRule="auto"/>
        <w:rPr>
          <w:b/>
        </w:rPr>
      </w:pPr>
    </w:p>
    <w:p w14:paraId="2BE38EE6" w14:textId="77777777" w:rsidR="001A30E8" w:rsidRDefault="001A30E8" w:rsidP="001A30E8">
      <w:pPr>
        <w:spacing w:line="276" w:lineRule="auto"/>
        <w:rPr>
          <w:b/>
        </w:rPr>
      </w:pPr>
    </w:p>
    <w:p w14:paraId="53EDE84B" w14:textId="4303BB70" w:rsidR="001A30E8" w:rsidRDefault="001A30E8" w:rsidP="001A30E8">
      <w:pPr>
        <w:spacing w:line="276" w:lineRule="auto"/>
        <w:jc w:val="center"/>
        <w:rPr>
          <w:b/>
          <w:color w:val="FF0000"/>
        </w:rPr>
      </w:pPr>
      <w:r>
        <w:rPr>
          <w:b/>
        </w:rPr>
        <w:t xml:space="preserve">Submitted on: </w:t>
      </w:r>
      <w:r w:rsidR="00DD4E37">
        <w:rPr>
          <w:b/>
        </w:rPr>
        <w:t>8/13</w:t>
      </w:r>
      <w:r>
        <w:rPr>
          <w:b/>
        </w:rPr>
        <w:t>/2015</w:t>
      </w:r>
    </w:p>
    <w:p w14:paraId="3037D03B" w14:textId="77777777" w:rsidR="00A735B6" w:rsidRDefault="00A735B6" w:rsidP="00A735B6">
      <w:pPr>
        <w:rPr>
          <w:b/>
          <w:u w:val="single"/>
        </w:rPr>
      </w:pPr>
    </w:p>
    <w:p w14:paraId="683C2985" w14:textId="77777777" w:rsidR="00A735B6" w:rsidRDefault="00A735B6" w:rsidP="00A735B6">
      <w:pPr>
        <w:jc w:val="center"/>
        <w:rPr>
          <w:b/>
        </w:rPr>
      </w:pPr>
      <w:r>
        <w:rPr>
          <w:b/>
          <w:u w:val="single"/>
        </w:rPr>
        <w:t>B. Collections of Information Employing Statistical Methods</w:t>
      </w:r>
      <w:r>
        <w:rPr>
          <w:b/>
        </w:rPr>
        <w:t xml:space="preserve"> </w:t>
      </w:r>
    </w:p>
    <w:p w14:paraId="6711B519" w14:textId="77777777" w:rsidR="00A735B6" w:rsidRDefault="00A735B6" w:rsidP="00A735B6">
      <w:pPr>
        <w:jc w:val="center"/>
        <w:rPr>
          <w:b/>
        </w:rPr>
      </w:pPr>
    </w:p>
    <w:p w14:paraId="2D5D5B7F" w14:textId="77777777" w:rsidR="00A735B6" w:rsidRDefault="00A735B6" w:rsidP="00A735B6">
      <w:pPr>
        <w:jc w:val="center"/>
        <w:rPr>
          <w:b/>
        </w:rPr>
      </w:pPr>
    </w:p>
    <w:p w14:paraId="718BE1B0" w14:textId="77777777" w:rsidR="00A735B6" w:rsidRPr="00A735B6" w:rsidRDefault="00A735B6" w:rsidP="00A735B6">
      <w:pPr>
        <w:pStyle w:val="TOCHeading"/>
        <w:rPr>
          <w:rFonts w:ascii="Times New Roman" w:hAnsi="Times New Roman"/>
          <w:color w:val="auto"/>
        </w:rPr>
      </w:pPr>
      <w:r w:rsidRPr="00A735B6">
        <w:rPr>
          <w:rFonts w:ascii="Times New Roman" w:hAnsi="Times New Roman"/>
          <w:color w:val="auto"/>
        </w:rPr>
        <w:t>Contents</w:t>
      </w:r>
    </w:p>
    <w:p w14:paraId="1E5E12E1" w14:textId="77777777" w:rsidR="00A735B6" w:rsidRDefault="00A735B6">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2307768" w:history="1">
        <w:r w:rsidRPr="005D6641">
          <w:rPr>
            <w:rStyle w:val="Hyperlink"/>
            <w:noProof/>
          </w:rPr>
          <w:t>1. Respondent Universe and Sampling Methods</w:t>
        </w:r>
        <w:r>
          <w:rPr>
            <w:noProof/>
            <w:webHidden/>
          </w:rPr>
          <w:tab/>
        </w:r>
        <w:r>
          <w:rPr>
            <w:noProof/>
            <w:webHidden/>
          </w:rPr>
          <w:fldChar w:fldCharType="begin"/>
        </w:r>
        <w:r>
          <w:rPr>
            <w:noProof/>
            <w:webHidden/>
          </w:rPr>
          <w:instrText xml:space="preserve"> PAGEREF _Toc382307768 \h </w:instrText>
        </w:r>
        <w:r>
          <w:rPr>
            <w:noProof/>
            <w:webHidden/>
          </w:rPr>
        </w:r>
        <w:r>
          <w:rPr>
            <w:noProof/>
            <w:webHidden/>
          </w:rPr>
          <w:fldChar w:fldCharType="separate"/>
        </w:r>
        <w:r>
          <w:rPr>
            <w:noProof/>
            <w:webHidden/>
          </w:rPr>
          <w:t>2</w:t>
        </w:r>
        <w:r>
          <w:rPr>
            <w:noProof/>
            <w:webHidden/>
          </w:rPr>
          <w:fldChar w:fldCharType="end"/>
        </w:r>
      </w:hyperlink>
    </w:p>
    <w:p w14:paraId="1A06F19F" w14:textId="77777777" w:rsidR="00A735B6" w:rsidRDefault="005F0FB9">
      <w:pPr>
        <w:pStyle w:val="TOC1"/>
        <w:tabs>
          <w:tab w:val="right" w:leader="dot" w:pos="8630"/>
        </w:tabs>
        <w:rPr>
          <w:rFonts w:asciiTheme="minorHAnsi" w:eastAsiaTheme="minorEastAsia" w:hAnsiTheme="minorHAnsi" w:cstheme="minorBidi"/>
          <w:noProof/>
          <w:sz w:val="22"/>
          <w:szCs w:val="22"/>
        </w:rPr>
      </w:pPr>
      <w:hyperlink w:anchor="_Toc382307769" w:history="1">
        <w:r w:rsidR="00A735B6" w:rsidRPr="005D6641">
          <w:rPr>
            <w:rStyle w:val="Hyperlink"/>
            <w:noProof/>
          </w:rPr>
          <w:t>2. Procedures for the Collection of Information</w:t>
        </w:r>
        <w:r w:rsidR="00A735B6">
          <w:rPr>
            <w:noProof/>
            <w:webHidden/>
          </w:rPr>
          <w:tab/>
        </w:r>
        <w:r w:rsidR="00A735B6">
          <w:rPr>
            <w:noProof/>
            <w:webHidden/>
          </w:rPr>
          <w:fldChar w:fldCharType="begin"/>
        </w:r>
        <w:r w:rsidR="00A735B6">
          <w:rPr>
            <w:noProof/>
            <w:webHidden/>
          </w:rPr>
          <w:instrText xml:space="preserve"> PAGEREF _Toc382307769 \h </w:instrText>
        </w:r>
        <w:r w:rsidR="00A735B6">
          <w:rPr>
            <w:noProof/>
            <w:webHidden/>
          </w:rPr>
        </w:r>
        <w:r w:rsidR="00A735B6">
          <w:rPr>
            <w:noProof/>
            <w:webHidden/>
          </w:rPr>
          <w:fldChar w:fldCharType="separate"/>
        </w:r>
        <w:r w:rsidR="00A735B6">
          <w:rPr>
            <w:noProof/>
            <w:webHidden/>
          </w:rPr>
          <w:t>2</w:t>
        </w:r>
        <w:r w:rsidR="00A735B6">
          <w:rPr>
            <w:noProof/>
            <w:webHidden/>
          </w:rPr>
          <w:fldChar w:fldCharType="end"/>
        </w:r>
      </w:hyperlink>
    </w:p>
    <w:p w14:paraId="177016DD" w14:textId="77777777" w:rsidR="00A735B6" w:rsidRDefault="005F0FB9">
      <w:pPr>
        <w:pStyle w:val="TOC1"/>
        <w:tabs>
          <w:tab w:val="right" w:leader="dot" w:pos="8630"/>
        </w:tabs>
        <w:rPr>
          <w:rFonts w:asciiTheme="minorHAnsi" w:eastAsiaTheme="minorEastAsia" w:hAnsiTheme="minorHAnsi" w:cstheme="minorBidi"/>
          <w:noProof/>
          <w:sz w:val="22"/>
          <w:szCs w:val="22"/>
        </w:rPr>
      </w:pPr>
      <w:hyperlink w:anchor="_Toc382307770" w:history="1">
        <w:r w:rsidR="00A735B6" w:rsidRPr="005D6641">
          <w:rPr>
            <w:rStyle w:val="Hyperlink"/>
            <w:noProof/>
          </w:rPr>
          <w:t>3. Methods to Maximize Response Rates and Deal with No Response</w:t>
        </w:r>
        <w:r w:rsidR="00A735B6">
          <w:rPr>
            <w:noProof/>
            <w:webHidden/>
          </w:rPr>
          <w:tab/>
        </w:r>
        <w:r w:rsidR="00A735B6">
          <w:rPr>
            <w:noProof/>
            <w:webHidden/>
          </w:rPr>
          <w:fldChar w:fldCharType="begin"/>
        </w:r>
        <w:r w:rsidR="00A735B6">
          <w:rPr>
            <w:noProof/>
            <w:webHidden/>
          </w:rPr>
          <w:instrText xml:space="preserve"> PAGEREF _Toc382307770 \h </w:instrText>
        </w:r>
        <w:r w:rsidR="00A735B6">
          <w:rPr>
            <w:noProof/>
            <w:webHidden/>
          </w:rPr>
        </w:r>
        <w:r w:rsidR="00A735B6">
          <w:rPr>
            <w:noProof/>
            <w:webHidden/>
          </w:rPr>
          <w:fldChar w:fldCharType="separate"/>
        </w:r>
        <w:r w:rsidR="00A735B6">
          <w:rPr>
            <w:noProof/>
            <w:webHidden/>
          </w:rPr>
          <w:t>2</w:t>
        </w:r>
        <w:r w:rsidR="00A735B6">
          <w:rPr>
            <w:noProof/>
            <w:webHidden/>
          </w:rPr>
          <w:fldChar w:fldCharType="end"/>
        </w:r>
      </w:hyperlink>
    </w:p>
    <w:p w14:paraId="4229D54E" w14:textId="77777777" w:rsidR="00A735B6" w:rsidRDefault="005F0FB9">
      <w:pPr>
        <w:pStyle w:val="TOC1"/>
        <w:tabs>
          <w:tab w:val="right" w:leader="dot" w:pos="8630"/>
        </w:tabs>
        <w:rPr>
          <w:rFonts w:asciiTheme="minorHAnsi" w:eastAsiaTheme="minorEastAsia" w:hAnsiTheme="minorHAnsi" w:cstheme="minorBidi"/>
          <w:noProof/>
          <w:sz w:val="22"/>
          <w:szCs w:val="22"/>
        </w:rPr>
      </w:pPr>
      <w:hyperlink w:anchor="_Toc382307771" w:history="1">
        <w:r w:rsidR="00A735B6" w:rsidRPr="005D6641">
          <w:rPr>
            <w:rStyle w:val="Hyperlink"/>
            <w:noProof/>
          </w:rPr>
          <w:t>4. Tests of Procedures or Methods to be Undertaken</w:t>
        </w:r>
        <w:r w:rsidR="00A735B6">
          <w:rPr>
            <w:noProof/>
            <w:webHidden/>
          </w:rPr>
          <w:tab/>
        </w:r>
        <w:r w:rsidR="00A735B6">
          <w:rPr>
            <w:noProof/>
            <w:webHidden/>
          </w:rPr>
          <w:fldChar w:fldCharType="begin"/>
        </w:r>
        <w:r w:rsidR="00A735B6">
          <w:rPr>
            <w:noProof/>
            <w:webHidden/>
          </w:rPr>
          <w:instrText xml:space="preserve"> PAGEREF _Toc382307771 \h </w:instrText>
        </w:r>
        <w:r w:rsidR="00A735B6">
          <w:rPr>
            <w:noProof/>
            <w:webHidden/>
          </w:rPr>
        </w:r>
        <w:r w:rsidR="00A735B6">
          <w:rPr>
            <w:noProof/>
            <w:webHidden/>
          </w:rPr>
          <w:fldChar w:fldCharType="separate"/>
        </w:r>
        <w:r w:rsidR="00A735B6">
          <w:rPr>
            <w:noProof/>
            <w:webHidden/>
          </w:rPr>
          <w:t>3</w:t>
        </w:r>
        <w:r w:rsidR="00A735B6">
          <w:rPr>
            <w:noProof/>
            <w:webHidden/>
          </w:rPr>
          <w:fldChar w:fldCharType="end"/>
        </w:r>
      </w:hyperlink>
    </w:p>
    <w:p w14:paraId="59E8F3F1" w14:textId="77777777" w:rsidR="00A735B6" w:rsidRDefault="005F0FB9">
      <w:pPr>
        <w:pStyle w:val="TOC1"/>
        <w:tabs>
          <w:tab w:val="right" w:leader="dot" w:pos="8630"/>
        </w:tabs>
        <w:rPr>
          <w:rFonts w:asciiTheme="minorHAnsi" w:eastAsiaTheme="minorEastAsia" w:hAnsiTheme="minorHAnsi" w:cstheme="minorBidi"/>
          <w:noProof/>
          <w:sz w:val="22"/>
          <w:szCs w:val="22"/>
        </w:rPr>
      </w:pPr>
      <w:hyperlink w:anchor="_Toc382307772" w:history="1">
        <w:r w:rsidR="00A735B6" w:rsidRPr="005D6641">
          <w:rPr>
            <w:rStyle w:val="Hyperlink"/>
            <w:noProof/>
          </w:rPr>
          <w:t>5. Individuals Consulted on Statistical Aspects and Individuals Collecting and/or</w:t>
        </w:r>
        <w:r w:rsidR="00A735B6">
          <w:rPr>
            <w:noProof/>
            <w:webHidden/>
          </w:rPr>
          <w:tab/>
        </w:r>
        <w:r w:rsidR="00A735B6">
          <w:rPr>
            <w:noProof/>
            <w:webHidden/>
          </w:rPr>
          <w:fldChar w:fldCharType="begin"/>
        </w:r>
        <w:r w:rsidR="00A735B6">
          <w:rPr>
            <w:noProof/>
            <w:webHidden/>
          </w:rPr>
          <w:instrText xml:space="preserve"> PAGEREF _Toc382307772 \h </w:instrText>
        </w:r>
        <w:r w:rsidR="00A735B6">
          <w:rPr>
            <w:noProof/>
            <w:webHidden/>
          </w:rPr>
        </w:r>
        <w:r w:rsidR="00A735B6">
          <w:rPr>
            <w:noProof/>
            <w:webHidden/>
          </w:rPr>
          <w:fldChar w:fldCharType="separate"/>
        </w:r>
        <w:r w:rsidR="00A735B6">
          <w:rPr>
            <w:noProof/>
            <w:webHidden/>
          </w:rPr>
          <w:t>3</w:t>
        </w:r>
        <w:r w:rsidR="00A735B6">
          <w:rPr>
            <w:noProof/>
            <w:webHidden/>
          </w:rPr>
          <w:fldChar w:fldCharType="end"/>
        </w:r>
      </w:hyperlink>
    </w:p>
    <w:p w14:paraId="58E33FE3" w14:textId="77777777" w:rsidR="00A735B6" w:rsidRDefault="00A735B6" w:rsidP="00A735B6">
      <w:r>
        <w:rPr>
          <w:b/>
          <w:bCs/>
          <w:noProof/>
        </w:rPr>
        <w:fldChar w:fldCharType="end"/>
      </w:r>
    </w:p>
    <w:p w14:paraId="2116D16A" w14:textId="77777777" w:rsidR="00A735B6" w:rsidRDefault="00A735B6" w:rsidP="00A735B6">
      <w:pPr>
        <w:jc w:val="center"/>
        <w:rPr>
          <w:b/>
        </w:rPr>
      </w:pPr>
      <w:r>
        <w:rPr>
          <w:b/>
        </w:rPr>
        <w:br w:type="page"/>
      </w:r>
    </w:p>
    <w:p w14:paraId="344B42F9" w14:textId="77777777" w:rsidR="00A735B6" w:rsidRDefault="00A735B6" w:rsidP="00A735B6">
      <w:pPr>
        <w:rPr>
          <w:b/>
          <w:u w:val="single"/>
        </w:rPr>
      </w:pPr>
    </w:p>
    <w:p w14:paraId="46552B0A" w14:textId="77777777" w:rsidR="00A735B6" w:rsidRDefault="00A735B6" w:rsidP="00A735B6">
      <w:r>
        <w:rPr>
          <w:b/>
          <w:u w:val="single"/>
        </w:rPr>
        <w:t>B. Collections of Information Employing Statistical Methods</w:t>
      </w:r>
    </w:p>
    <w:p w14:paraId="4C60FDA4" w14:textId="77777777" w:rsidR="00A735B6" w:rsidRDefault="00A735B6" w:rsidP="00A735B6"/>
    <w:p w14:paraId="3FEF62B5" w14:textId="77777777" w:rsidR="00A735B6" w:rsidRPr="00DF7118" w:rsidRDefault="00A735B6" w:rsidP="00A735B6">
      <w:r w:rsidRPr="00DF7118">
        <w:t>No statistical methods are used in this data collection.</w:t>
      </w:r>
    </w:p>
    <w:p w14:paraId="5DAA8355" w14:textId="77777777" w:rsidR="00A735B6" w:rsidRPr="00034430" w:rsidRDefault="00A735B6" w:rsidP="00A735B6">
      <w:pPr>
        <w:widowControl w:val="0"/>
      </w:pPr>
    </w:p>
    <w:p w14:paraId="717D3BF4" w14:textId="77777777" w:rsidR="00A735B6" w:rsidRPr="00DF7118" w:rsidRDefault="00A735B6" w:rsidP="00A735B6">
      <w:pPr>
        <w:pStyle w:val="Heading1"/>
        <w:rPr>
          <w:rFonts w:ascii="Times New Roman" w:hAnsi="Times New Roman"/>
          <w:sz w:val="24"/>
          <w:szCs w:val="24"/>
        </w:rPr>
      </w:pPr>
      <w:bookmarkStart w:id="0" w:name="_Toc382307768"/>
      <w:r w:rsidRPr="00DF7118">
        <w:rPr>
          <w:rFonts w:ascii="Times New Roman" w:hAnsi="Times New Roman"/>
          <w:sz w:val="24"/>
          <w:szCs w:val="24"/>
        </w:rPr>
        <w:t>1. Respondent Universe and Sampling Methods</w:t>
      </w:r>
      <w:bookmarkEnd w:id="0"/>
    </w:p>
    <w:p w14:paraId="6C71E4F1" w14:textId="77777777" w:rsidR="00A735B6" w:rsidRDefault="00A735B6" w:rsidP="00A735B6">
      <w:pPr>
        <w:widowControl w:val="0"/>
      </w:pPr>
    </w:p>
    <w:p w14:paraId="6868E191" w14:textId="77777777" w:rsidR="00292E2E" w:rsidRPr="00342091" w:rsidRDefault="00292E2E" w:rsidP="00292E2E">
      <w:pPr>
        <w:pStyle w:val="Heading1"/>
        <w:rPr>
          <w:rFonts w:ascii="Times New Roman" w:hAnsi="Times New Roman"/>
          <w:sz w:val="24"/>
          <w:szCs w:val="24"/>
        </w:rPr>
      </w:pPr>
      <w:bookmarkStart w:id="1" w:name="_Toc423590885"/>
      <w:r w:rsidRPr="00342091">
        <w:rPr>
          <w:rFonts w:ascii="Times New Roman" w:hAnsi="Times New Roman"/>
          <w:sz w:val="24"/>
          <w:szCs w:val="24"/>
        </w:rPr>
        <w:t>Respondent Universe and Sampling Methods</w:t>
      </w:r>
      <w:bookmarkEnd w:id="1"/>
      <w:r w:rsidRPr="00342091">
        <w:rPr>
          <w:rFonts w:ascii="Times New Roman" w:hAnsi="Times New Roman"/>
          <w:sz w:val="24"/>
          <w:szCs w:val="24"/>
        </w:rPr>
        <w:t xml:space="preserve"> </w:t>
      </w:r>
    </w:p>
    <w:p w14:paraId="1AA266CC" w14:textId="4F28C34F" w:rsidR="00292E2E" w:rsidRPr="00143490" w:rsidRDefault="00292E2E" w:rsidP="00292E2E">
      <w:r w:rsidRPr="00143490">
        <w:t xml:space="preserve">Up to ten focus groups will be implemented in different locations across the U.S-Mexico border region (Southern California, Arizona, New Mexico, and Southern Texas). Local health departments (such as San Diego County Health and Human Services Agency, Imperial County Health and Human Services, Maricopa County Public Health Department, El Paso Health Department) will identify community based organizations (CBOs) in the area </w:t>
      </w:r>
      <w:r>
        <w:t>with whom to partner</w:t>
      </w:r>
      <w:r w:rsidRPr="00143490">
        <w:t xml:space="preserve">. Purposeful and venue-based recruitment will take place at the community based organizations </w:t>
      </w:r>
      <w:r w:rsidR="00560CA6">
        <w:t xml:space="preserve">(CBOs) </w:t>
      </w:r>
      <w:r w:rsidRPr="00143490">
        <w:t xml:space="preserve">offering services for Spanish-speaking Mexican-born populations residing in the U.S.-Mexico border region. </w:t>
      </w:r>
    </w:p>
    <w:p w14:paraId="634E61E5" w14:textId="77777777" w:rsidR="00292E2E" w:rsidRPr="00143490" w:rsidRDefault="00292E2E" w:rsidP="00292E2E"/>
    <w:p w14:paraId="510E7A76" w14:textId="1B97633A" w:rsidR="00292E2E" w:rsidRPr="00143490" w:rsidRDefault="00292E2E" w:rsidP="00292E2E">
      <w:pPr>
        <w:autoSpaceDE w:val="0"/>
        <w:autoSpaceDN w:val="0"/>
        <w:adjustRightInd w:val="0"/>
      </w:pPr>
      <w:r w:rsidRPr="00143490">
        <w:t>The partnering CBO</w:t>
      </w:r>
      <w:r w:rsidR="000F0197">
        <w:t>s</w:t>
      </w:r>
      <w:r w:rsidRPr="00143490">
        <w:t xml:space="preserve"> will use a screening tool in-person and over the phone in Spanish to ensure appropriate participant recruitment (See Attachment </w:t>
      </w:r>
      <w:r>
        <w:t>H</w:t>
      </w:r>
      <w:r w:rsidRPr="00143490">
        <w:t>: Participant Screener). The screening process will take less than ten minutes. The forms for any people who do not agree to participant will be destroyed.</w:t>
      </w:r>
    </w:p>
    <w:p w14:paraId="337CECC4" w14:textId="77777777" w:rsidR="00292E2E" w:rsidRPr="00143490" w:rsidRDefault="00292E2E" w:rsidP="00292E2E">
      <w:pPr>
        <w:autoSpaceDE w:val="0"/>
        <w:autoSpaceDN w:val="0"/>
        <w:adjustRightInd w:val="0"/>
      </w:pPr>
    </w:p>
    <w:p w14:paraId="5A93E442" w14:textId="77777777" w:rsidR="00292E2E" w:rsidRPr="00CE7A2A" w:rsidRDefault="00292E2E" w:rsidP="00292E2E">
      <w:pPr>
        <w:pStyle w:val="Heading2"/>
        <w:rPr>
          <w:rFonts w:ascii="Times New Roman" w:hAnsi="Times New Roman" w:cs="Times New Roman"/>
          <w:b/>
          <w:color w:val="auto"/>
          <w:sz w:val="24"/>
          <w:szCs w:val="24"/>
        </w:rPr>
      </w:pPr>
      <w:bookmarkStart w:id="2" w:name="_Toc423590886"/>
      <w:r w:rsidRPr="00CE7A2A">
        <w:rPr>
          <w:rFonts w:ascii="Times New Roman" w:hAnsi="Times New Roman" w:cs="Times New Roman"/>
          <w:color w:val="auto"/>
          <w:sz w:val="24"/>
          <w:szCs w:val="24"/>
        </w:rPr>
        <w:t>Table A.1: Participation criteria</w:t>
      </w:r>
      <w:bookmarkEnd w:id="2"/>
    </w:p>
    <w:p w14:paraId="76A895A2" w14:textId="77777777" w:rsidR="00292E2E" w:rsidRPr="00143490" w:rsidRDefault="00292E2E" w:rsidP="00292E2E">
      <w:pPr>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7"/>
        <w:gridCol w:w="6993"/>
      </w:tblGrid>
      <w:tr w:rsidR="00292E2E" w:rsidRPr="00143490" w14:paraId="7CDD36E4" w14:textId="77777777" w:rsidTr="004960E4">
        <w:tc>
          <w:tcPr>
            <w:tcW w:w="1638" w:type="dxa"/>
            <w:vAlign w:val="center"/>
          </w:tcPr>
          <w:p w14:paraId="3C816A01" w14:textId="77777777" w:rsidR="00292E2E" w:rsidRPr="00143490" w:rsidRDefault="00292E2E" w:rsidP="004960E4">
            <w:pPr>
              <w:spacing w:after="120"/>
              <w:contextualSpacing/>
            </w:pPr>
            <w:r w:rsidRPr="00143490">
              <w:t>Age</w:t>
            </w:r>
          </w:p>
        </w:tc>
        <w:tc>
          <w:tcPr>
            <w:tcW w:w="7020" w:type="dxa"/>
            <w:vAlign w:val="center"/>
          </w:tcPr>
          <w:p w14:paraId="4BCC6F78" w14:textId="77777777" w:rsidR="00292E2E" w:rsidRPr="00143490" w:rsidRDefault="00292E2E" w:rsidP="004960E4">
            <w:pPr>
              <w:spacing w:after="120"/>
              <w:contextualSpacing/>
            </w:pPr>
            <w:r w:rsidRPr="00143490">
              <w:t>All participants will be at least 18 years of age.</w:t>
            </w:r>
          </w:p>
        </w:tc>
      </w:tr>
      <w:tr w:rsidR="00292E2E" w:rsidRPr="00143490" w14:paraId="121E14C7" w14:textId="77777777" w:rsidTr="004960E4">
        <w:tc>
          <w:tcPr>
            <w:tcW w:w="1638" w:type="dxa"/>
            <w:vAlign w:val="center"/>
          </w:tcPr>
          <w:p w14:paraId="4D8FC309" w14:textId="77777777" w:rsidR="00292E2E" w:rsidRPr="00143490" w:rsidRDefault="00292E2E" w:rsidP="004960E4">
            <w:pPr>
              <w:spacing w:after="120"/>
              <w:contextualSpacing/>
            </w:pPr>
            <w:r w:rsidRPr="00143490">
              <w:t>Location</w:t>
            </w:r>
          </w:p>
        </w:tc>
        <w:tc>
          <w:tcPr>
            <w:tcW w:w="7020" w:type="dxa"/>
            <w:vAlign w:val="center"/>
          </w:tcPr>
          <w:p w14:paraId="1F3A1400" w14:textId="77777777" w:rsidR="00292E2E" w:rsidRPr="00143490" w:rsidRDefault="00292E2E" w:rsidP="004960E4">
            <w:pPr>
              <w:spacing w:after="120"/>
              <w:contextualSpacing/>
            </w:pPr>
            <w:r w:rsidRPr="00143490">
              <w:t>All participants should currently be living in the border region of the United States during the data collection period.</w:t>
            </w:r>
            <w:r w:rsidRPr="00143490">
              <w:rPr>
                <w:lang w:bidi="en-US"/>
              </w:rPr>
              <w:t xml:space="preserve"> </w:t>
            </w:r>
          </w:p>
        </w:tc>
      </w:tr>
      <w:tr w:rsidR="00292E2E" w:rsidRPr="00143490" w14:paraId="5536E043" w14:textId="77777777" w:rsidTr="004960E4">
        <w:tc>
          <w:tcPr>
            <w:tcW w:w="1638" w:type="dxa"/>
            <w:vAlign w:val="center"/>
          </w:tcPr>
          <w:p w14:paraId="270FC26D" w14:textId="77777777" w:rsidR="00292E2E" w:rsidRPr="00143490" w:rsidRDefault="00292E2E" w:rsidP="004960E4">
            <w:pPr>
              <w:spacing w:after="120"/>
              <w:contextualSpacing/>
            </w:pPr>
            <w:r w:rsidRPr="00143490">
              <w:t>Language</w:t>
            </w:r>
          </w:p>
        </w:tc>
        <w:tc>
          <w:tcPr>
            <w:tcW w:w="7020" w:type="dxa"/>
            <w:vAlign w:val="center"/>
          </w:tcPr>
          <w:p w14:paraId="22A2A8EA" w14:textId="77777777" w:rsidR="00292E2E" w:rsidRPr="00143490" w:rsidRDefault="00292E2E" w:rsidP="004960E4">
            <w:pPr>
              <w:spacing w:after="120"/>
              <w:contextualSpacing/>
            </w:pPr>
            <w:r w:rsidRPr="00143490">
              <w:t>All participants should speak Spanish</w:t>
            </w:r>
          </w:p>
        </w:tc>
      </w:tr>
      <w:tr w:rsidR="00292E2E" w:rsidRPr="00143490" w14:paraId="10E6CF8E" w14:textId="77777777" w:rsidTr="004960E4">
        <w:tc>
          <w:tcPr>
            <w:tcW w:w="1638" w:type="dxa"/>
            <w:vAlign w:val="center"/>
          </w:tcPr>
          <w:p w14:paraId="35466094" w14:textId="77777777" w:rsidR="00292E2E" w:rsidRPr="00143490" w:rsidRDefault="00292E2E" w:rsidP="004960E4">
            <w:pPr>
              <w:spacing w:after="120"/>
              <w:contextualSpacing/>
            </w:pPr>
            <w:r w:rsidRPr="00143490">
              <w:t>Gender</w:t>
            </w:r>
          </w:p>
        </w:tc>
        <w:tc>
          <w:tcPr>
            <w:tcW w:w="7020" w:type="dxa"/>
            <w:vAlign w:val="center"/>
          </w:tcPr>
          <w:p w14:paraId="67F3D95E" w14:textId="77777777" w:rsidR="00292E2E" w:rsidRPr="00143490" w:rsidRDefault="00292E2E" w:rsidP="004960E4">
            <w:pPr>
              <w:spacing w:after="120"/>
              <w:contextualSpacing/>
            </w:pPr>
            <w:r w:rsidRPr="00143490">
              <w:t>Approximately half of the participants will be female.</w:t>
            </w:r>
          </w:p>
        </w:tc>
      </w:tr>
      <w:tr w:rsidR="00292E2E" w:rsidRPr="00143490" w14:paraId="7E23E921" w14:textId="77777777" w:rsidTr="004960E4">
        <w:tc>
          <w:tcPr>
            <w:tcW w:w="1638" w:type="dxa"/>
            <w:vAlign w:val="center"/>
          </w:tcPr>
          <w:p w14:paraId="01B53D5A" w14:textId="77777777" w:rsidR="00292E2E" w:rsidRPr="00143490" w:rsidRDefault="00292E2E" w:rsidP="004960E4">
            <w:pPr>
              <w:spacing w:after="120"/>
              <w:contextualSpacing/>
            </w:pPr>
            <w:r w:rsidRPr="00143490">
              <w:t>Country of birth</w:t>
            </w:r>
          </w:p>
        </w:tc>
        <w:tc>
          <w:tcPr>
            <w:tcW w:w="7020" w:type="dxa"/>
            <w:vAlign w:val="center"/>
          </w:tcPr>
          <w:p w14:paraId="20FF531B" w14:textId="77777777" w:rsidR="00292E2E" w:rsidRPr="00143490" w:rsidRDefault="00292E2E" w:rsidP="004960E4">
            <w:pPr>
              <w:spacing w:after="120"/>
              <w:contextualSpacing/>
            </w:pPr>
            <w:r w:rsidRPr="00143490">
              <w:t>Participants will have been born in Mexico.</w:t>
            </w:r>
          </w:p>
        </w:tc>
      </w:tr>
      <w:tr w:rsidR="00292E2E" w:rsidRPr="00143490" w14:paraId="4EBC8709" w14:textId="77777777" w:rsidTr="004960E4">
        <w:tc>
          <w:tcPr>
            <w:tcW w:w="1638" w:type="dxa"/>
            <w:vAlign w:val="center"/>
          </w:tcPr>
          <w:p w14:paraId="42B3A248" w14:textId="77777777" w:rsidR="00292E2E" w:rsidRPr="00143490" w:rsidRDefault="00292E2E" w:rsidP="004960E4">
            <w:pPr>
              <w:spacing w:after="120"/>
              <w:contextualSpacing/>
            </w:pPr>
            <w:r w:rsidRPr="00143490">
              <w:t>Education</w:t>
            </w:r>
          </w:p>
        </w:tc>
        <w:tc>
          <w:tcPr>
            <w:tcW w:w="7020" w:type="dxa"/>
            <w:vAlign w:val="center"/>
          </w:tcPr>
          <w:p w14:paraId="00657169" w14:textId="77777777" w:rsidR="00292E2E" w:rsidRPr="00143490" w:rsidRDefault="00292E2E" w:rsidP="004960E4">
            <w:pPr>
              <w:spacing w:after="120"/>
              <w:contextualSpacing/>
            </w:pPr>
            <w:r w:rsidRPr="00143490">
              <w:t>No education criteria.</w:t>
            </w:r>
          </w:p>
        </w:tc>
      </w:tr>
      <w:tr w:rsidR="00292E2E" w:rsidRPr="00143490" w14:paraId="18DC5610" w14:textId="77777777" w:rsidTr="004960E4">
        <w:tc>
          <w:tcPr>
            <w:tcW w:w="1638" w:type="dxa"/>
            <w:vAlign w:val="center"/>
          </w:tcPr>
          <w:p w14:paraId="31953F76" w14:textId="77777777" w:rsidR="00292E2E" w:rsidRPr="00143490" w:rsidRDefault="00292E2E" w:rsidP="004960E4">
            <w:pPr>
              <w:spacing w:after="120"/>
              <w:contextualSpacing/>
            </w:pPr>
            <w:r w:rsidRPr="00143490">
              <w:t>Employment</w:t>
            </w:r>
          </w:p>
        </w:tc>
        <w:tc>
          <w:tcPr>
            <w:tcW w:w="7020" w:type="dxa"/>
            <w:vAlign w:val="center"/>
          </w:tcPr>
          <w:p w14:paraId="45B055E7" w14:textId="77777777" w:rsidR="00292E2E" w:rsidRPr="00143490" w:rsidRDefault="00292E2E" w:rsidP="004960E4">
            <w:pPr>
              <w:spacing w:after="120"/>
              <w:contextualSpacing/>
            </w:pPr>
            <w:r w:rsidRPr="00143490">
              <w:t>No employment criteria.</w:t>
            </w:r>
          </w:p>
        </w:tc>
      </w:tr>
      <w:tr w:rsidR="00292E2E" w:rsidRPr="00143490" w14:paraId="40FD4017" w14:textId="77777777" w:rsidTr="004960E4">
        <w:tc>
          <w:tcPr>
            <w:tcW w:w="1638" w:type="dxa"/>
            <w:vAlign w:val="center"/>
          </w:tcPr>
          <w:p w14:paraId="57DE60CE" w14:textId="77777777" w:rsidR="00292E2E" w:rsidRPr="00143490" w:rsidRDefault="00292E2E" w:rsidP="004960E4">
            <w:pPr>
              <w:spacing w:after="120"/>
              <w:contextualSpacing/>
            </w:pPr>
            <w:r w:rsidRPr="00143490">
              <w:t>Race</w:t>
            </w:r>
          </w:p>
        </w:tc>
        <w:tc>
          <w:tcPr>
            <w:tcW w:w="7020" w:type="dxa"/>
            <w:vAlign w:val="center"/>
          </w:tcPr>
          <w:p w14:paraId="09349322" w14:textId="77777777" w:rsidR="00292E2E" w:rsidRPr="00143490" w:rsidRDefault="00292E2E" w:rsidP="004960E4">
            <w:pPr>
              <w:spacing w:after="120"/>
              <w:contextualSpacing/>
            </w:pPr>
            <w:r w:rsidRPr="00143490">
              <w:t>No criteria regarding race.</w:t>
            </w:r>
          </w:p>
        </w:tc>
      </w:tr>
    </w:tbl>
    <w:p w14:paraId="4E9089CC" w14:textId="69B854F0" w:rsidR="00292E2E" w:rsidRPr="00342091" w:rsidRDefault="0002349A" w:rsidP="00292E2E">
      <w:pPr>
        <w:pStyle w:val="Heading1"/>
        <w:rPr>
          <w:rFonts w:ascii="Times New Roman" w:hAnsi="Times New Roman"/>
          <w:sz w:val="24"/>
          <w:szCs w:val="24"/>
        </w:rPr>
      </w:pPr>
      <w:bookmarkStart w:id="3" w:name="_Toc423590887"/>
      <w:r>
        <w:rPr>
          <w:rFonts w:ascii="Times New Roman" w:hAnsi="Times New Roman"/>
          <w:sz w:val="24"/>
          <w:szCs w:val="24"/>
        </w:rPr>
        <w:t xml:space="preserve">2. </w:t>
      </w:r>
      <w:r w:rsidR="00292E2E" w:rsidRPr="00342091">
        <w:rPr>
          <w:rFonts w:ascii="Times New Roman" w:hAnsi="Times New Roman"/>
          <w:sz w:val="24"/>
          <w:szCs w:val="24"/>
        </w:rPr>
        <w:t>Procedures for the Collection of Information</w:t>
      </w:r>
      <w:bookmarkEnd w:id="3"/>
      <w:r w:rsidR="00292E2E" w:rsidRPr="00342091">
        <w:rPr>
          <w:rFonts w:ascii="Times New Roman" w:hAnsi="Times New Roman"/>
          <w:sz w:val="24"/>
          <w:szCs w:val="24"/>
        </w:rPr>
        <w:t xml:space="preserve"> </w:t>
      </w:r>
    </w:p>
    <w:p w14:paraId="1A032FFA" w14:textId="77777777" w:rsidR="00292E2E" w:rsidRPr="00143490" w:rsidRDefault="00292E2E" w:rsidP="00292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pPr>
    </w:p>
    <w:p w14:paraId="07544DA2" w14:textId="77777777" w:rsidR="00292E2E" w:rsidRPr="00143490" w:rsidRDefault="00292E2E" w:rsidP="00023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
      </w:pPr>
      <w:r w:rsidRPr="00143490">
        <w:t xml:space="preserve">Individuals responding to this request are doing so voluntarily. Participants who do not wish to be recorded will be thanked for attending, and told that the audio recording is necessary, so they are free to leave if they do not want to participate. Any information collected </w:t>
      </w:r>
      <w:r>
        <w:t>from</w:t>
      </w:r>
      <w:r w:rsidRPr="00143490">
        <w:t xml:space="preserve"> these participants will be destroyed.</w:t>
      </w:r>
    </w:p>
    <w:p w14:paraId="48330217" w14:textId="77777777" w:rsidR="00292E2E" w:rsidRPr="00143490" w:rsidRDefault="00292E2E" w:rsidP="0002349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0" w:right="-72"/>
      </w:pPr>
    </w:p>
    <w:p w14:paraId="67E3F5B5" w14:textId="77777777" w:rsidR="00292E2E" w:rsidRPr="00143490" w:rsidRDefault="00292E2E" w:rsidP="00023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72"/>
      </w:pPr>
      <w:r>
        <w:t>At the very beginning of the focus groups p</w:t>
      </w:r>
      <w:r w:rsidRPr="00143490">
        <w:t>rior to participation in the information collection, the moderator will inform each participant that the session is being audio-</w:t>
      </w:r>
      <w:r w:rsidRPr="00143490">
        <w:lastRenderedPageBreak/>
        <w:t>recorded</w:t>
      </w:r>
      <w:r>
        <w:t xml:space="preserve"> and get oral consent from each individual</w:t>
      </w:r>
      <w:r w:rsidRPr="00143490">
        <w:t xml:space="preserve">. The Participant Information Sheet (See Attachment </w:t>
      </w:r>
      <w:r>
        <w:t>I</w:t>
      </w:r>
      <w:r w:rsidRPr="00143490">
        <w:t xml:space="preserve">) will be distributed to participants at the beginning of the session, which may include the following: details regarding the nature of the information collection activity, the length of time it will require, sponsorship of the project, their rights as participants, risks and benefits in participating, and contacts for more information about the project. Respondents will be advised that participation is purely voluntary. Moderators will orally communicate information provided in the written description aloud to the group and, if needed, an experienced interpreter will be available during this time to ensure that all information is accurately communicated to participants. Prior to the beginning of the information collection, a staff member will address any questions the participants have about the project. Informed consent will be secured orally in the group setting after participants have had the opportunity to be fully briefed about the discussion. Consent will be obtained orally </w:t>
      </w:r>
      <w:r>
        <w:t xml:space="preserve">after screening and prior to any information collection during the focus group </w:t>
      </w:r>
      <w:r w:rsidRPr="00143490">
        <w:t>to avoid drawing attention to any participants who may be illiterate or unable to provide their signature.</w:t>
      </w:r>
    </w:p>
    <w:p w14:paraId="2F561A4A" w14:textId="77777777" w:rsidR="00292E2E" w:rsidRPr="00143490" w:rsidRDefault="00292E2E" w:rsidP="0002349A">
      <w:pPr>
        <w:pStyle w:val="ListParagraph"/>
        <w:ind w:left="0"/>
        <w:rPr>
          <w:color w:val="000000"/>
        </w:rPr>
      </w:pPr>
    </w:p>
    <w:p w14:paraId="153B5430" w14:textId="77777777" w:rsidR="00292E2E" w:rsidRPr="0002349A" w:rsidRDefault="00292E2E" w:rsidP="0002349A">
      <w:pPr>
        <w:rPr>
          <w:color w:val="000000"/>
        </w:rPr>
      </w:pPr>
      <w:r w:rsidRPr="0002349A">
        <w:rPr>
          <w:color w:val="000000"/>
        </w:rPr>
        <w:t>All data will be stored in secured electronic files at CDC’s and/or a contractor’s office and will be accessible only to staff directly involved in the project. All members of the project will be required to sign a statement pledging their personal commitment to guard the security of data. Data files will be retained for a period of no more than three years and then destroyed. After the three years, the documents and multimedia recordings will be deleted. Online data collections will conform totally to federal regulations [the Hawkins-Stafford Amendments of 1988 (P.L. 100-297) and the Computer Security Act of 1987] and will be required to have comprehensive, written plans to maintain security. This plan will include having all personnel who will have access to individual identifiers sign data security agreements. They will also be trained in the meaning of data security, particularly as it relates to handling requests for information from respondents, and in providing assurance to respondents about the protection of their responses.</w:t>
      </w:r>
    </w:p>
    <w:p w14:paraId="20197DF8" w14:textId="77777777" w:rsidR="00292E2E" w:rsidRPr="00143490" w:rsidRDefault="00292E2E" w:rsidP="0002349A">
      <w:pPr>
        <w:pStyle w:val="ListParagraph"/>
        <w:ind w:left="0"/>
        <w:rPr>
          <w:color w:val="000000"/>
        </w:rPr>
      </w:pPr>
    </w:p>
    <w:p w14:paraId="0D026658" w14:textId="77777777" w:rsidR="00292E2E" w:rsidRPr="0002349A" w:rsidRDefault="00292E2E" w:rsidP="0002349A">
      <w:pPr>
        <w:rPr>
          <w:color w:val="000000"/>
        </w:rPr>
      </w:pPr>
      <w:r w:rsidRPr="0002349A">
        <w:rPr>
          <w:color w:val="000000"/>
        </w:rPr>
        <w:t>No system of records is being created under the Privacy Act. This information collection request has been reviewed by the National Center for Emerging and Zoonotic Infectious Diseases (NCEZID), and determined that the Privacy Act does not apply. Individuals responding to this request will not provide any personal identifying information.</w:t>
      </w:r>
    </w:p>
    <w:p w14:paraId="301CE9E1" w14:textId="77777777" w:rsidR="00292E2E" w:rsidRPr="00143490" w:rsidRDefault="00292E2E" w:rsidP="00292E2E">
      <w:pPr>
        <w:autoSpaceDE w:val="0"/>
        <w:autoSpaceDN w:val="0"/>
        <w:adjustRightInd w:val="0"/>
        <w:ind w:left="360" w:hanging="360"/>
      </w:pPr>
    </w:p>
    <w:p w14:paraId="5715826C" w14:textId="0E02882D" w:rsidR="00292E2E" w:rsidRPr="00143490" w:rsidRDefault="00292E2E" w:rsidP="00292E2E">
      <w:pPr>
        <w:autoSpaceDE w:val="0"/>
        <w:autoSpaceDN w:val="0"/>
        <w:adjustRightInd w:val="0"/>
      </w:pPr>
      <w:r w:rsidRPr="00143490">
        <w:t>All focus group discussion participants will be informed t</w:t>
      </w:r>
      <w:r w:rsidR="004960E4">
        <w:t>hat discussions are secure</w:t>
      </w:r>
      <w:r w:rsidRPr="00143490">
        <w:t xml:space="preserve">. As such, no identifiers (other than audio recording) will be used. First names may be written during the course of discussion, however, no last names or other identifiers will be written down. Participants are free to use a pseudonym if they would like to have a greater degree of assurance about </w:t>
      </w:r>
      <w:r w:rsidR="0002349A">
        <w:t>security</w:t>
      </w:r>
      <w:r w:rsidRPr="00143490">
        <w:t>.  Staff will not have any personally identifying information for the participants.</w:t>
      </w:r>
    </w:p>
    <w:p w14:paraId="6F395E58" w14:textId="71AA50A5" w:rsidR="00A735B6" w:rsidRPr="00975C1E" w:rsidRDefault="00292E2E" w:rsidP="00A735B6">
      <w:pPr>
        <w:pStyle w:val="Heading1"/>
        <w:rPr>
          <w:rFonts w:ascii="Times New Roman" w:hAnsi="Times New Roman"/>
          <w:b w:val="0"/>
          <w:bCs w:val="0"/>
          <w:kern w:val="0"/>
          <w:sz w:val="24"/>
          <w:szCs w:val="24"/>
        </w:rPr>
      </w:pPr>
      <w:r w:rsidRPr="00975C1E">
        <w:rPr>
          <w:rFonts w:ascii="Times New Roman" w:hAnsi="Times New Roman"/>
          <w:b w:val="0"/>
          <w:bCs w:val="0"/>
          <w:kern w:val="0"/>
          <w:sz w:val="24"/>
          <w:szCs w:val="24"/>
        </w:rPr>
        <w:t>Focus groups will be led by a trained moderator, who will follow a discussion guide (See Attachment J). Focus group discussion questions will explore participants’ understanding of vector borne disease transmission, their awareness and knowledge of chikungunya dengue; mosquito prevention knowledge and practices; and their reaction to specific chikungunya and dengue messages developed by CDC (See Attachment K).</w:t>
      </w:r>
    </w:p>
    <w:p w14:paraId="06E55281" w14:textId="77777777" w:rsidR="00A735B6" w:rsidRDefault="00A735B6" w:rsidP="00A735B6">
      <w:pPr>
        <w:widowControl w:val="0"/>
      </w:pPr>
    </w:p>
    <w:p w14:paraId="752FC44D" w14:textId="77777777" w:rsidR="00A735B6" w:rsidRPr="00DF7118" w:rsidRDefault="00A735B6" w:rsidP="00A735B6">
      <w:pPr>
        <w:pStyle w:val="Heading1"/>
        <w:rPr>
          <w:rFonts w:ascii="Times New Roman" w:hAnsi="Times New Roman"/>
          <w:sz w:val="24"/>
          <w:szCs w:val="24"/>
        </w:rPr>
      </w:pPr>
      <w:bookmarkStart w:id="4" w:name="_Toc382307770"/>
      <w:r w:rsidRPr="00DF7118">
        <w:rPr>
          <w:rFonts w:ascii="Times New Roman" w:hAnsi="Times New Roman"/>
          <w:sz w:val="24"/>
          <w:szCs w:val="24"/>
        </w:rPr>
        <w:lastRenderedPageBreak/>
        <w:t>3. Methods to Maximize Response Rates and Deal with No Response</w:t>
      </w:r>
      <w:bookmarkEnd w:id="4"/>
    </w:p>
    <w:p w14:paraId="448AC3F2" w14:textId="77777777" w:rsidR="00A735B6" w:rsidRDefault="00A735B6" w:rsidP="00A735B6">
      <w:pPr>
        <w:widowControl w:val="0"/>
      </w:pPr>
    </w:p>
    <w:p w14:paraId="21C3EF9B" w14:textId="77777777" w:rsidR="00F07266" w:rsidRDefault="00A735B6" w:rsidP="00A735B6">
      <w:pPr>
        <w:widowControl w:val="0"/>
      </w:pPr>
      <w:r>
        <w:t>Response to this data collection is</w:t>
      </w:r>
      <w:r w:rsidR="00B37A30">
        <w:t xml:space="preserve"> voluntary.  T</w:t>
      </w:r>
      <w:r>
        <w:t xml:space="preserve">he information requested </w:t>
      </w:r>
      <w:r w:rsidR="00B37A30">
        <w:t>on each of the forms has been streamlined to ensure the ease of response and</w:t>
      </w:r>
      <w:r>
        <w:t xml:space="preserve"> to minimize the public burden.  </w:t>
      </w:r>
    </w:p>
    <w:p w14:paraId="4AC90CFF" w14:textId="77777777" w:rsidR="00F07266" w:rsidRDefault="00F07266" w:rsidP="00A735B6">
      <w:pPr>
        <w:widowControl w:val="0"/>
      </w:pPr>
    </w:p>
    <w:p w14:paraId="4CD2976B" w14:textId="6E39DBEC" w:rsidR="00F07266" w:rsidRPr="007E6B67" w:rsidRDefault="00F07266" w:rsidP="00F0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6B67">
        <w:t>The following procedures wi</w:t>
      </w:r>
      <w:r>
        <w:t>ll be used to obtain the highest possible response rate</w:t>
      </w:r>
      <w:r w:rsidRPr="007E6B67">
        <w:t>:</w:t>
      </w:r>
    </w:p>
    <w:p w14:paraId="4607CDAB" w14:textId="77777777" w:rsidR="00F07266" w:rsidRPr="007E6B67" w:rsidRDefault="00F07266" w:rsidP="00F0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0ADB58" w14:textId="19C66F68" w:rsidR="00F07266" w:rsidRPr="00F07266" w:rsidRDefault="00F07266" w:rsidP="00F07266">
      <w:pPr>
        <w:pStyle w:val="Level1"/>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Pr>
          <w:rFonts w:ascii="Times New Roman" w:hAnsi="Times New Roman"/>
        </w:rPr>
        <w:t xml:space="preserve">Selection of partners </w:t>
      </w:r>
      <w:r w:rsidR="000F0197">
        <w:rPr>
          <w:rFonts w:ascii="Times New Roman" w:hAnsi="Times New Roman"/>
        </w:rPr>
        <w:t xml:space="preserve">(such as CBOs) </w:t>
      </w:r>
      <w:r>
        <w:rPr>
          <w:rFonts w:ascii="Times New Roman" w:hAnsi="Times New Roman"/>
        </w:rPr>
        <w:t>to assist in the information collection who are cultural and linguistic capacities, as well as</w:t>
      </w:r>
      <w:r w:rsidRPr="00F07266">
        <w:rPr>
          <w:rFonts w:ascii="Times New Roman" w:hAnsi="Times New Roman"/>
        </w:rPr>
        <w:t xml:space="preserve"> experienced and proficient in border culture and Mexican Spanish.</w:t>
      </w:r>
      <w:r>
        <w:rPr>
          <w:rFonts w:ascii="Times New Roman" w:hAnsi="Times New Roman"/>
        </w:rPr>
        <w:t xml:space="preserve"> </w:t>
      </w:r>
    </w:p>
    <w:p w14:paraId="62B598FC" w14:textId="6BBAECC3" w:rsidR="00F07266" w:rsidRPr="00F07266" w:rsidRDefault="00F07266" w:rsidP="00F07266">
      <w:pPr>
        <w:pStyle w:val="Level1"/>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ind w:right="720"/>
        <w:textAlignment w:val="baseline"/>
        <w:rPr>
          <w:rFonts w:ascii="Times New Roman" w:hAnsi="Times New Roman"/>
          <w:i/>
        </w:rPr>
      </w:pPr>
      <w:r>
        <w:rPr>
          <w:rFonts w:ascii="Times New Roman" w:hAnsi="Times New Roman"/>
        </w:rPr>
        <w:t>Execution of the focus groups in Spanish</w:t>
      </w:r>
    </w:p>
    <w:p w14:paraId="0F8D9BE2" w14:textId="77777777" w:rsidR="00F07266" w:rsidRPr="007E6B67" w:rsidRDefault="00F07266" w:rsidP="00F07266">
      <w:pPr>
        <w:pStyle w:val="Level1"/>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Informing respondents of what the project is asking, why it is being asked, who will see the results, and how the results will be used, as well as discussing how respondents will benefit from the results and how the findings will be put into action.</w:t>
      </w:r>
    </w:p>
    <w:p w14:paraId="4C8A4FEB" w14:textId="013A97D3" w:rsidR="00F07266" w:rsidRPr="007E6B67" w:rsidRDefault="00F07266" w:rsidP="00F07266">
      <w:pPr>
        <w:pStyle w:val="Level1"/>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 xml:space="preserve">A token of appreciation for a respondent’s time and interest </w:t>
      </w:r>
      <w:r>
        <w:rPr>
          <w:rFonts w:ascii="Times New Roman" w:hAnsi="Times New Roman"/>
        </w:rPr>
        <w:t>may</w:t>
      </w:r>
      <w:r w:rsidRPr="007E6B67">
        <w:rPr>
          <w:rFonts w:ascii="Times New Roman" w:hAnsi="Times New Roman"/>
        </w:rPr>
        <w:t xml:space="preserve"> be given to research participants</w:t>
      </w:r>
      <w:bookmarkStart w:id="5" w:name="_GoBack"/>
      <w:bookmarkEnd w:id="5"/>
      <w:r w:rsidR="00B5766F">
        <w:rPr>
          <w:rFonts w:ascii="Times New Roman" w:hAnsi="Times New Roman"/>
        </w:rPr>
        <w:t xml:space="preserve"> </w:t>
      </w:r>
      <w:r w:rsidR="00700F5C">
        <w:rPr>
          <w:rFonts w:ascii="Times New Roman" w:hAnsi="Times New Roman"/>
        </w:rPr>
        <w:t>a</w:t>
      </w:r>
      <w:r w:rsidR="00B5766F">
        <w:rPr>
          <w:rFonts w:ascii="Times New Roman" w:hAnsi="Times New Roman"/>
        </w:rPr>
        <w:t>t the conclusion of the focus group.</w:t>
      </w:r>
    </w:p>
    <w:p w14:paraId="43BD27CE" w14:textId="77777777" w:rsidR="00F07266" w:rsidRPr="007E6B67" w:rsidRDefault="00F07266" w:rsidP="00F07266">
      <w:pPr>
        <w:pStyle w:val="Level1"/>
        <w:widowControl w:val="0"/>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E6B67">
        <w:rPr>
          <w:rFonts w:ascii="Times New Roman" w:hAnsi="Times New Roman"/>
        </w:rPr>
        <w:t>Informing respondents how much time the project will take so that they know what to expect.</w:t>
      </w:r>
    </w:p>
    <w:p w14:paraId="2CBC3F3B" w14:textId="77777777" w:rsidR="00F07266" w:rsidRDefault="00F07266" w:rsidP="00A735B6">
      <w:pPr>
        <w:widowControl w:val="0"/>
      </w:pPr>
    </w:p>
    <w:p w14:paraId="1A8BEC10" w14:textId="2B2FE587" w:rsidR="00A735B6" w:rsidRDefault="00045CA0" w:rsidP="00A735B6">
      <w:pPr>
        <w:widowControl w:val="0"/>
      </w:pPr>
      <w:r>
        <w:t xml:space="preserve">If certain biases are identified during the analysis of the collected information, CDC </w:t>
      </w:r>
      <w:r w:rsidR="00F07266">
        <w:t>will conduct a review to determine how such biases can be addressed in future similar projects.</w:t>
      </w:r>
    </w:p>
    <w:p w14:paraId="04EBF0CA" w14:textId="77777777" w:rsidR="00A735B6" w:rsidRDefault="00A735B6" w:rsidP="00A735B6"/>
    <w:p w14:paraId="6A813A17" w14:textId="77777777" w:rsidR="00A735B6" w:rsidRPr="00DF7118" w:rsidRDefault="00A735B6" w:rsidP="00A735B6">
      <w:pPr>
        <w:pStyle w:val="Heading1"/>
        <w:rPr>
          <w:rFonts w:ascii="Times New Roman" w:hAnsi="Times New Roman"/>
          <w:sz w:val="24"/>
          <w:szCs w:val="24"/>
        </w:rPr>
      </w:pPr>
      <w:bookmarkStart w:id="6" w:name="_Toc382307771"/>
      <w:r w:rsidRPr="00DF7118">
        <w:rPr>
          <w:rFonts w:ascii="Times New Roman" w:hAnsi="Times New Roman"/>
          <w:sz w:val="24"/>
          <w:szCs w:val="24"/>
        </w:rPr>
        <w:t>4. Tests of Procedures or Methods to be Undertaken</w:t>
      </w:r>
      <w:bookmarkEnd w:id="6"/>
      <w:r w:rsidRPr="00DF7118">
        <w:rPr>
          <w:rFonts w:ascii="Times New Roman" w:hAnsi="Times New Roman"/>
          <w:sz w:val="24"/>
          <w:szCs w:val="24"/>
        </w:rPr>
        <w:t xml:space="preserve"> </w:t>
      </w:r>
    </w:p>
    <w:p w14:paraId="7A9E73D8" w14:textId="77777777" w:rsidR="00A735B6" w:rsidRDefault="00A735B6" w:rsidP="00A735B6"/>
    <w:p w14:paraId="2BCF3076" w14:textId="2DABF74F" w:rsidR="00A735B6" w:rsidRDefault="00B05497" w:rsidP="00A735B6">
      <w:r>
        <w:t>CDC has conducted and had success with numerous focus groups in the past, some with similar populations along the southwest border.  The procedures are consistent with those previous studies.</w:t>
      </w:r>
    </w:p>
    <w:p w14:paraId="4682F69C" w14:textId="77777777" w:rsidR="00A735B6" w:rsidRDefault="00A735B6" w:rsidP="00A735B6"/>
    <w:p w14:paraId="293B8D0C" w14:textId="77777777" w:rsidR="00A735B6" w:rsidRPr="00A735B6" w:rsidRDefault="00A735B6" w:rsidP="00A735B6">
      <w:pPr>
        <w:rPr>
          <w:b/>
        </w:rPr>
      </w:pPr>
      <w:bookmarkStart w:id="7" w:name="_Toc382307772"/>
      <w:r w:rsidRPr="00A735B6">
        <w:rPr>
          <w:rStyle w:val="Heading1Char"/>
          <w:rFonts w:ascii="Times New Roman" w:hAnsi="Times New Roman"/>
          <w:sz w:val="24"/>
          <w:szCs w:val="24"/>
        </w:rPr>
        <w:t>5. Individuals Consulted on Statistical Aspects and Individuals Collecting and/or</w:t>
      </w:r>
      <w:bookmarkEnd w:id="7"/>
      <w:r w:rsidRPr="00A735B6">
        <w:t xml:space="preserve"> </w:t>
      </w:r>
      <w:r w:rsidRPr="00A735B6">
        <w:rPr>
          <w:b/>
        </w:rPr>
        <w:t>Analyzing Data</w:t>
      </w:r>
    </w:p>
    <w:p w14:paraId="6C9EDF0C" w14:textId="77777777" w:rsidR="00A735B6" w:rsidRDefault="00A735B6" w:rsidP="00A735B6"/>
    <w:p w14:paraId="12DA9F23" w14:textId="68331FC7" w:rsidR="004960E4" w:rsidRDefault="00A735B6">
      <w:r>
        <w:t xml:space="preserve">Not </w:t>
      </w:r>
      <w:r w:rsidR="0023301B">
        <w:t>applicable</w:t>
      </w:r>
      <w:r w:rsidR="003B2474">
        <w:t>, as no statistics will be employed in the collection or analysis of this data.</w:t>
      </w:r>
    </w:p>
    <w:sectPr w:rsidR="004960E4" w:rsidSect="004960E4">
      <w:footerReference w:type="even" r:id="rId7"/>
      <w:footerReference w:type="default" r:id="rId8"/>
      <w:pgSz w:w="12240" w:h="15840"/>
      <w:pgMar w:top="1440" w:right="1800" w:bottom="99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47101" w14:textId="77777777" w:rsidR="004960E4" w:rsidRDefault="004960E4">
      <w:r>
        <w:separator/>
      </w:r>
    </w:p>
  </w:endnote>
  <w:endnote w:type="continuationSeparator" w:id="0">
    <w:p w14:paraId="1A8207CD" w14:textId="77777777" w:rsidR="004960E4" w:rsidRDefault="0049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altName w:val="Cambria"/>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B1B48" w14:textId="77777777" w:rsidR="004960E4" w:rsidRDefault="004960E4" w:rsidP="004960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274F2" w14:textId="77777777" w:rsidR="004960E4" w:rsidRDefault="004960E4" w:rsidP="004960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DB3E" w14:textId="77777777" w:rsidR="004960E4" w:rsidRDefault="004960E4" w:rsidP="004960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0FB9">
      <w:rPr>
        <w:rStyle w:val="PageNumber"/>
        <w:noProof/>
      </w:rPr>
      <w:t>4</w:t>
    </w:r>
    <w:r>
      <w:rPr>
        <w:rStyle w:val="PageNumber"/>
      </w:rPr>
      <w:fldChar w:fldCharType="end"/>
    </w:r>
  </w:p>
  <w:p w14:paraId="27BDD7DB" w14:textId="77777777" w:rsidR="004960E4" w:rsidRDefault="004960E4" w:rsidP="004960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187E8" w14:textId="77777777" w:rsidR="004960E4" w:rsidRDefault="004960E4">
      <w:r>
        <w:separator/>
      </w:r>
    </w:p>
  </w:footnote>
  <w:footnote w:type="continuationSeparator" w:id="0">
    <w:p w14:paraId="461CFC10" w14:textId="77777777" w:rsidR="004960E4" w:rsidRDefault="00496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9695586"/>
    <w:multiLevelType w:val="hybridMultilevel"/>
    <w:tmpl w:val="00900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B6"/>
    <w:rsid w:val="0002097D"/>
    <w:rsid w:val="0002349A"/>
    <w:rsid w:val="00045CA0"/>
    <w:rsid w:val="00055E81"/>
    <w:rsid w:val="000C5629"/>
    <w:rsid w:val="000F0197"/>
    <w:rsid w:val="00102F01"/>
    <w:rsid w:val="00123AFE"/>
    <w:rsid w:val="00192D62"/>
    <w:rsid w:val="001A30E8"/>
    <w:rsid w:val="001E780B"/>
    <w:rsid w:val="00217BF9"/>
    <w:rsid w:val="0023301B"/>
    <w:rsid w:val="0024002F"/>
    <w:rsid w:val="0026511E"/>
    <w:rsid w:val="00292E2E"/>
    <w:rsid w:val="002960AA"/>
    <w:rsid w:val="002C4172"/>
    <w:rsid w:val="002E294A"/>
    <w:rsid w:val="00311D2C"/>
    <w:rsid w:val="00320E36"/>
    <w:rsid w:val="003274AF"/>
    <w:rsid w:val="0037404F"/>
    <w:rsid w:val="003959D9"/>
    <w:rsid w:val="003B2474"/>
    <w:rsid w:val="004435B3"/>
    <w:rsid w:val="004960E4"/>
    <w:rsid w:val="004D0528"/>
    <w:rsid w:val="00517C8F"/>
    <w:rsid w:val="00540D27"/>
    <w:rsid w:val="00550DAA"/>
    <w:rsid w:val="00553B4F"/>
    <w:rsid w:val="00560CA6"/>
    <w:rsid w:val="005766F3"/>
    <w:rsid w:val="005A19D7"/>
    <w:rsid w:val="005F0FB9"/>
    <w:rsid w:val="005F30EE"/>
    <w:rsid w:val="006705B2"/>
    <w:rsid w:val="00700F5C"/>
    <w:rsid w:val="00755861"/>
    <w:rsid w:val="00765FF7"/>
    <w:rsid w:val="007C58B7"/>
    <w:rsid w:val="008E2297"/>
    <w:rsid w:val="00975C1E"/>
    <w:rsid w:val="009B2279"/>
    <w:rsid w:val="009E6834"/>
    <w:rsid w:val="00A15B39"/>
    <w:rsid w:val="00A735B6"/>
    <w:rsid w:val="00AF77CA"/>
    <w:rsid w:val="00B05497"/>
    <w:rsid w:val="00B37A30"/>
    <w:rsid w:val="00B5766F"/>
    <w:rsid w:val="00B65384"/>
    <w:rsid w:val="00CB3D8A"/>
    <w:rsid w:val="00D00DC1"/>
    <w:rsid w:val="00D2245B"/>
    <w:rsid w:val="00DD4E37"/>
    <w:rsid w:val="00DD5398"/>
    <w:rsid w:val="00DE549B"/>
    <w:rsid w:val="00ED15C5"/>
    <w:rsid w:val="00F07266"/>
    <w:rsid w:val="00FE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007C"/>
  <w15:docId w15:val="{0720F7F9-05E5-4E2E-BD8B-FE7CB26F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35B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92E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5B6"/>
    <w:rPr>
      <w:rFonts w:ascii="Cambria" w:eastAsia="Times New Roman" w:hAnsi="Cambria" w:cs="Times New Roman"/>
      <w:b/>
      <w:bCs/>
      <w:kern w:val="32"/>
      <w:sz w:val="32"/>
      <w:szCs w:val="32"/>
    </w:rPr>
  </w:style>
  <w:style w:type="paragraph" w:styleId="Footer">
    <w:name w:val="footer"/>
    <w:basedOn w:val="Normal"/>
    <w:link w:val="FooterChar"/>
    <w:rsid w:val="00A735B6"/>
    <w:pPr>
      <w:tabs>
        <w:tab w:val="center" w:pos="4320"/>
        <w:tab w:val="right" w:pos="8640"/>
      </w:tabs>
    </w:pPr>
  </w:style>
  <w:style w:type="character" w:customStyle="1" w:styleId="FooterChar">
    <w:name w:val="Footer Char"/>
    <w:basedOn w:val="DefaultParagraphFont"/>
    <w:link w:val="Footer"/>
    <w:rsid w:val="00A735B6"/>
    <w:rPr>
      <w:rFonts w:ascii="Times New Roman" w:eastAsia="Times New Roman" w:hAnsi="Times New Roman" w:cs="Times New Roman"/>
      <w:sz w:val="24"/>
      <w:szCs w:val="24"/>
    </w:rPr>
  </w:style>
  <w:style w:type="character" w:styleId="PageNumber">
    <w:name w:val="page number"/>
    <w:rsid w:val="00A735B6"/>
  </w:style>
  <w:style w:type="paragraph" w:styleId="TOCHeading">
    <w:name w:val="TOC Heading"/>
    <w:basedOn w:val="Heading1"/>
    <w:next w:val="Normal"/>
    <w:uiPriority w:val="39"/>
    <w:semiHidden/>
    <w:unhideWhenUsed/>
    <w:qFormat/>
    <w:rsid w:val="00A735B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A735B6"/>
  </w:style>
  <w:style w:type="character" w:styleId="Hyperlink">
    <w:name w:val="Hyperlink"/>
    <w:uiPriority w:val="99"/>
    <w:unhideWhenUsed/>
    <w:rsid w:val="00A735B6"/>
    <w:rPr>
      <w:color w:val="0000FF"/>
      <w:u w:val="single"/>
    </w:rPr>
  </w:style>
  <w:style w:type="character" w:styleId="CommentReference">
    <w:name w:val="annotation reference"/>
    <w:basedOn w:val="DefaultParagraphFont"/>
    <w:uiPriority w:val="99"/>
    <w:rsid w:val="00B37A30"/>
    <w:rPr>
      <w:sz w:val="16"/>
      <w:szCs w:val="16"/>
    </w:rPr>
  </w:style>
  <w:style w:type="paragraph" w:styleId="CommentText">
    <w:name w:val="annotation text"/>
    <w:basedOn w:val="Normal"/>
    <w:link w:val="CommentTextChar"/>
    <w:uiPriority w:val="99"/>
    <w:rsid w:val="00B37A30"/>
    <w:rPr>
      <w:sz w:val="20"/>
      <w:szCs w:val="20"/>
    </w:rPr>
  </w:style>
  <w:style w:type="character" w:customStyle="1" w:styleId="CommentTextChar">
    <w:name w:val="Comment Text Char"/>
    <w:basedOn w:val="DefaultParagraphFont"/>
    <w:link w:val="CommentText"/>
    <w:uiPriority w:val="99"/>
    <w:rsid w:val="00B37A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7A30"/>
    <w:rPr>
      <w:rFonts w:ascii="Tahoma" w:hAnsi="Tahoma" w:cs="Tahoma"/>
      <w:sz w:val="16"/>
      <w:szCs w:val="16"/>
    </w:rPr>
  </w:style>
  <w:style w:type="character" w:customStyle="1" w:styleId="BalloonTextChar">
    <w:name w:val="Balloon Text Char"/>
    <w:basedOn w:val="DefaultParagraphFont"/>
    <w:link w:val="BalloonText"/>
    <w:uiPriority w:val="99"/>
    <w:semiHidden/>
    <w:rsid w:val="00B37A3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02F01"/>
    <w:rPr>
      <w:b/>
      <w:bCs/>
    </w:rPr>
  </w:style>
  <w:style w:type="character" w:customStyle="1" w:styleId="CommentSubjectChar">
    <w:name w:val="Comment Subject Char"/>
    <w:basedOn w:val="CommentTextChar"/>
    <w:link w:val="CommentSubject"/>
    <w:uiPriority w:val="99"/>
    <w:semiHidden/>
    <w:rsid w:val="00102F0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292E2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92E2E"/>
    <w:pPr>
      <w:ind w:left="720"/>
      <w:contextualSpacing/>
    </w:pPr>
  </w:style>
  <w:style w:type="paragraph" w:customStyle="1" w:styleId="Level1">
    <w:name w:val="Level 1"/>
    <w:rsid w:val="00F07266"/>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Pearson</dc:creator>
  <cp:lastModifiedBy>Zirger, Jeffrey (CDC/OD/OADS)</cp:lastModifiedBy>
  <cp:revision>5</cp:revision>
  <dcterms:created xsi:type="dcterms:W3CDTF">2015-08-05T18:49:00Z</dcterms:created>
  <dcterms:modified xsi:type="dcterms:W3CDTF">2015-08-13T18:48:00Z</dcterms:modified>
</cp:coreProperties>
</file>