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5F" w:rsidRPr="007A4DF1" w:rsidRDefault="0006555F" w:rsidP="0006555F">
      <w:pPr>
        <w:pStyle w:val="BodyText3"/>
        <w:rPr>
          <w:rFonts w:ascii="Verdana" w:hAnsi="Verdana" w:cs="Arial"/>
          <w:b/>
          <w:sz w:val="24"/>
          <w:szCs w:val="24"/>
        </w:rPr>
      </w:pPr>
      <w:r w:rsidRPr="007A4DF1">
        <w:rPr>
          <w:rFonts w:ascii="Verdana" w:hAnsi="Verdana" w:cs="Arial"/>
          <w:b/>
          <w:sz w:val="24"/>
          <w:szCs w:val="24"/>
        </w:rPr>
        <w:t>&lt;This text will be visible when the participant clicks on the ‘FAQs’ link, which will be under the ‘Confidentiality Statement’ link and visible on each survey screen.&gt;</w:t>
      </w:r>
    </w:p>
    <w:p w:rsidR="0006555F" w:rsidRPr="007A4DF1" w:rsidRDefault="0006555F" w:rsidP="0006555F">
      <w:pPr>
        <w:pStyle w:val="BodyText3"/>
        <w:rPr>
          <w:rFonts w:ascii="Verdana" w:hAnsi="Verdana" w:cs="Arial"/>
          <w:b/>
          <w:sz w:val="24"/>
          <w:szCs w:val="24"/>
        </w:rPr>
      </w:pPr>
    </w:p>
    <w:p w:rsidR="0006555F" w:rsidRPr="007A4DF1" w:rsidRDefault="0006555F" w:rsidP="0006555F">
      <w:pPr>
        <w:pStyle w:val="BodyText3"/>
        <w:rPr>
          <w:rFonts w:ascii="Verdana" w:hAnsi="Verdana" w:cs="Arial"/>
          <w:b/>
          <w:sz w:val="24"/>
          <w:szCs w:val="24"/>
        </w:rPr>
      </w:pPr>
      <w:r w:rsidRPr="007A4DF1">
        <w:rPr>
          <w:rFonts w:ascii="Verdana" w:hAnsi="Verdana" w:cs="Arial"/>
          <w:b/>
          <w:sz w:val="24"/>
          <w:szCs w:val="24"/>
        </w:rPr>
        <w:t xml:space="preserve">Frequently Asked Questions (FAQs) </w:t>
      </w:r>
    </w:p>
    <w:p w:rsidR="0006555F" w:rsidRPr="007A4DF1" w:rsidRDefault="0006555F" w:rsidP="0006555F">
      <w:pPr>
        <w:pStyle w:val="BodyText3"/>
        <w:rPr>
          <w:rFonts w:ascii="Verdana" w:hAnsi="Verdana" w:cs="Arial"/>
          <w:b/>
          <w:sz w:val="24"/>
          <w:szCs w:val="24"/>
        </w:rPr>
      </w:pPr>
    </w:p>
    <w:p w:rsidR="0006555F" w:rsidRDefault="0006555F" w:rsidP="0006555F">
      <w:pPr>
        <w:pStyle w:val="BodyText3"/>
        <w:rPr>
          <w:rFonts w:ascii="Verdana" w:hAnsi="Verdana"/>
          <w:sz w:val="24"/>
          <w:szCs w:val="24"/>
        </w:rPr>
      </w:pPr>
      <w:r w:rsidRPr="007A4DF1">
        <w:rPr>
          <w:rFonts w:ascii="Verdana" w:hAnsi="Verdana" w:cs="Arial"/>
          <w:sz w:val="24"/>
          <w:szCs w:val="24"/>
        </w:rPr>
        <w:t xml:space="preserve">Below are some Frequently Asked Questions (FAQs) about the </w:t>
      </w:r>
      <w:r>
        <w:rPr>
          <w:rFonts w:ascii="Verdana" w:hAnsi="Verdana" w:cs="Arial"/>
          <w:sz w:val="24"/>
          <w:szCs w:val="24"/>
        </w:rPr>
        <w:t>Agricultural Health Study Health Follow-Up</w:t>
      </w:r>
      <w:r w:rsidRPr="007A4DF1">
        <w:rPr>
          <w:rFonts w:ascii="Verdana" w:hAnsi="Verdana" w:cs="Arial"/>
          <w:sz w:val="24"/>
          <w:szCs w:val="24"/>
        </w:rPr>
        <w:t xml:space="preserve"> Online Survey. </w:t>
      </w:r>
      <w:r>
        <w:rPr>
          <w:rFonts w:ascii="Verdana" w:hAnsi="Verdana" w:cs="Arial"/>
          <w:sz w:val="24"/>
          <w:szCs w:val="24"/>
        </w:rPr>
        <w:t xml:space="preserve"> </w:t>
      </w:r>
      <w:r w:rsidRPr="007A4DF1">
        <w:rPr>
          <w:rFonts w:ascii="Verdana" w:hAnsi="Verdana"/>
          <w:sz w:val="24"/>
          <w:szCs w:val="24"/>
        </w:rPr>
        <w:t>Simply click on the question you would like to see more information on. When you have found your answer, click on ‘BACK TO TOP’ to see more options, or close the browser.</w:t>
      </w:r>
    </w:p>
    <w:p w:rsidR="0006555F" w:rsidRDefault="0006555F" w:rsidP="0006555F">
      <w:pPr>
        <w:pStyle w:val="BodyText3"/>
        <w:rPr>
          <w:rFonts w:ascii="Verdana" w:hAnsi="Verdana"/>
          <w:sz w:val="24"/>
          <w:szCs w:val="24"/>
        </w:rPr>
      </w:pPr>
    </w:p>
    <w:p w:rsidR="0006555F" w:rsidRDefault="0006555F" w:rsidP="0006555F">
      <w:pPr>
        <w:pStyle w:val="BodyText3"/>
        <w:rPr>
          <w:rFonts w:ascii="Verdana" w:hAnsi="Verdana"/>
          <w:sz w:val="24"/>
          <w:szCs w:val="24"/>
        </w:rPr>
      </w:pPr>
      <w:r>
        <w:rPr>
          <w:rFonts w:ascii="Verdana" w:hAnsi="Verdana"/>
          <w:sz w:val="24"/>
          <w:szCs w:val="24"/>
        </w:rPr>
        <w:t>How long will it take to complete this survey?</w:t>
      </w:r>
    </w:p>
    <w:p w:rsidR="0006555F" w:rsidRDefault="0006555F" w:rsidP="0006555F">
      <w:pPr>
        <w:pStyle w:val="BodyText3"/>
        <w:rPr>
          <w:rFonts w:ascii="Verdana" w:hAnsi="Verdana"/>
          <w:sz w:val="24"/>
          <w:szCs w:val="24"/>
        </w:rPr>
      </w:pPr>
      <w:r>
        <w:rPr>
          <w:rFonts w:ascii="Verdana" w:hAnsi="Verdana"/>
          <w:sz w:val="24"/>
          <w:szCs w:val="24"/>
        </w:rPr>
        <w:t>Which internet browser should I use to complete this survey?</w:t>
      </w:r>
    </w:p>
    <w:p w:rsidR="0006555F" w:rsidRDefault="0006555F" w:rsidP="0006555F">
      <w:pPr>
        <w:pStyle w:val="BodyText3"/>
        <w:rPr>
          <w:rFonts w:ascii="Verdana" w:hAnsi="Verdana"/>
          <w:sz w:val="24"/>
          <w:szCs w:val="24"/>
        </w:rPr>
      </w:pPr>
      <w:r>
        <w:rPr>
          <w:rFonts w:ascii="Verdana" w:hAnsi="Verdana"/>
          <w:sz w:val="24"/>
          <w:szCs w:val="24"/>
        </w:rPr>
        <w:t>Why is the survey not starting?</w:t>
      </w:r>
    </w:p>
    <w:p w:rsidR="0006555F" w:rsidRDefault="0006555F" w:rsidP="0006555F">
      <w:pPr>
        <w:pStyle w:val="BodyText3"/>
        <w:rPr>
          <w:rFonts w:ascii="Verdana" w:hAnsi="Verdana"/>
          <w:sz w:val="24"/>
          <w:szCs w:val="24"/>
        </w:rPr>
      </w:pPr>
      <w:r>
        <w:rPr>
          <w:rFonts w:ascii="Verdana" w:hAnsi="Verdana"/>
          <w:sz w:val="24"/>
          <w:szCs w:val="24"/>
        </w:rPr>
        <w:t>How do I make the text bigger?</w:t>
      </w:r>
    </w:p>
    <w:p w:rsidR="0006555F" w:rsidRDefault="0006555F" w:rsidP="0006555F">
      <w:pPr>
        <w:pStyle w:val="BodyText3"/>
        <w:rPr>
          <w:rFonts w:ascii="Verdana" w:hAnsi="Verdana"/>
          <w:sz w:val="24"/>
          <w:szCs w:val="24"/>
        </w:rPr>
      </w:pPr>
      <w:r>
        <w:rPr>
          <w:rFonts w:ascii="Verdana" w:hAnsi="Verdana"/>
          <w:sz w:val="24"/>
          <w:szCs w:val="24"/>
        </w:rPr>
        <w:t>What if I cannot remember certain dates and ages?</w:t>
      </w:r>
    </w:p>
    <w:p w:rsidR="0006555F" w:rsidRDefault="0006555F" w:rsidP="0006555F">
      <w:pPr>
        <w:pStyle w:val="BodyText3"/>
        <w:rPr>
          <w:rFonts w:ascii="Verdana" w:hAnsi="Verdana"/>
          <w:sz w:val="24"/>
          <w:szCs w:val="24"/>
        </w:rPr>
      </w:pPr>
      <w:r>
        <w:rPr>
          <w:rFonts w:ascii="Verdana" w:hAnsi="Verdana"/>
          <w:sz w:val="24"/>
          <w:szCs w:val="24"/>
        </w:rPr>
        <w:t>How do I change answers I gave earlier in the survey?</w:t>
      </w:r>
    </w:p>
    <w:p w:rsidR="0006555F" w:rsidRDefault="002B7426" w:rsidP="0006555F">
      <w:pPr>
        <w:pStyle w:val="BodyText3"/>
        <w:rPr>
          <w:rFonts w:ascii="Verdana" w:hAnsi="Verdana"/>
          <w:sz w:val="24"/>
          <w:szCs w:val="24"/>
        </w:rPr>
      </w:pPr>
      <w:r>
        <w:rPr>
          <w:rFonts w:ascii="Verdana" w:hAnsi="Verdana"/>
          <w:sz w:val="24"/>
          <w:szCs w:val="24"/>
        </w:rPr>
        <w:t>What if I don’t want to answer a question?</w:t>
      </w:r>
    </w:p>
    <w:p w:rsidR="002B7426" w:rsidRPr="007A4DF1" w:rsidRDefault="002B7426" w:rsidP="0006555F">
      <w:pPr>
        <w:pStyle w:val="BodyText3"/>
        <w:rPr>
          <w:rFonts w:ascii="Verdana" w:hAnsi="Verdana"/>
          <w:sz w:val="24"/>
          <w:szCs w:val="24"/>
        </w:rPr>
      </w:pPr>
      <w:r>
        <w:rPr>
          <w:rFonts w:ascii="Verdana" w:hAnsi="Verdana"/>
          <w:sz w:val="24"/>
          <w:szCs w:val="24"/>
        </w:rPr>
        <w:t>How can I learn more and have my questions answered?</w:t>
      </w:r>
    </w:p>
    <w:p w:rsidR="00CB22F8" w:rsidRPr="009666EB" w:rsidRDefault="009666EB" w:rsidP="009666EB">
      <w:pPr>
        <w:rPr>
          <w:rFonts w:ascii="Verdana" w:hAnsi="Verdana"/>
        </w:rPr>
      </w:pPr>
      <w:r w:rsidRPr="009666EB">
        <w:rPr>
          <w:rFonts w:ascii="Verdana" w:hAnsi="Verdana"/>
        </w:rPr>
        <w:t xml:space="preserve">What </w:t>
      </w:r>
      <w:proofErr w:type="gramStart"/>
      <w:r w:rsidRPr="009666EB">
        <w:rPr>
          <w:rFonts w:ascii="Verdana" w:hAnsi="Verdana"/>
        </w:rPr>
        <w:t>is</w:t>
      </w:r>
      <w:proofErr w:type="gramEnd"/>
      <w:r w:rsidRPr="009666EB">
        <w:rPr>
          <w:rFonts w:ascii="Verdana" w:hAnsi="Verdana"/>
        </w:rPr>
        <w:t xml:space="preserve"> the OMB number and Expiration Date for this study?</w:t>
      </w:r>
    </w:p>
    <w:p w:rsidR="0006555F" w:rsidRDefault="0006555F" w:rsidP="0006555F">
      <w:pPr>
        <w:pStyle w:val="BodyText3"/>
        <w:rPr>
          <w:rFonts w:ascii="Verdana" w:hAnsi="Verdana"/>
          <w:b/>
          <w:szCs w:val="22"/>
          <w:u w:val="single"/>
        </w:rPr>
      </w:pPr>
      <w:r w:rsidRPr="0006555F">
        <w:rPr>
          <w:rFonts w:ascii="Verdana" w:hAnsi="Verdana"/>
          <w:b/>
          <w:szCs w:val="22"/>
          <w:u w:val="single"/>
        </w:rPr>
        <w:t>How long will it take to complete this survey?</w:t>
      </w:r>
    </w:p>
    <w:p w:rsidR="0006555F" w:rsidRPr="0006555F" w:rsidRDefault="0006555F" w:rsidP="0006555F">
      <w:pPr>
        <w:pStyle w:val="BodyText3"/>
        <w:rPr>
          <w:rFonts w:ascii="Verdana" w:hAnsi="Verdana"/>
          <w:b/>
          <w:szCs w:val="22"/>
          <w:u w:val="single"/>
        </w:rPr>
      </w:pPr>
    </w:p>
    <w:p w:rsidR="0006555F" w:rsidRDefault="0006555F" w:rsidP="0006555F">
      <w:pPr>
        <w:rPr>
          <w:rFonts w:ascii="Verdana" w:hAnsi="Verdana" w:cs="Verdana"/>
        </w:rPr>
      </w:pPr>
      <w:r>
        <w:rPr>
          <w:rFonts w:ascii="Verdana" w:hAnsi="Verdana" w:cs="Verdana"/>
        </w:rPr>
        <w:t xml:space="preserve">The </w:t>
      </w:r>
      <w:r w:rsidRPr="006510A5">
        <w:rPr>
          <w:rFonts w:ascii="Verdana" w:hAnsi="Verdana" w:cs="Verdana"/>
          <w:b/>
        </w:rPr>
        <w:t>full participant survey</w:t>
      </w:r>
      <w:r>
        <w:rPr>
          <w:rFonts w:ascii="Verdana" w:hAnsi="Verdana" w:cs="Verdana"/>
        </w:rPr>
        <w:t xml:space="preserve"> should take about 25 minutes to complete</w:t>
      </w:r>
      <w:r w:rsidRPr="007A4DF1">
        <w:rPr>
          <w:rFonts w:ascii="Verdana" w:hAnsi="Verdana" w:cs="Verdana"/>
        </w:rPr>
        <w:t>.  If you need to stop at any time, the answers you provided up to that point will be saved when you exit.</w:t>
      </w:r>
      <w:r>
        <w:rPr>
          <w:rFonts w:ascii="Verdana" w:hAnsi="Verdana" w:cs="Verdana"/>
        </w:rPr>
        <w:t xml:space="preserve">  When you return to complete the survey, you will be taken to the point in the survey where you stopped at the end of your last session.  </w:t>
      </w:r>
      <w:r w:rsidRPr="007A4DF1">
        <w:rPr>
          <w:rFonts w:ascii="Verdana" w:hAnsi="Verdana" w:cs="Verdana"/>
        </w:rPr>
        <w:t xml:space="preserve">If you are </w:t>
      </w:r>
      <w:r>
        <w:rPr>
          <w:rFonts w:ascii="Verdana" w:hAnsi="Verdana" w:cs="Verdana"/>
        </w:rPr>
        <w:t xml:space="preserve">taking this survey on behalf of a deceased, incapacitated, or otherwise unavailable AHS cohort member, an abbreviated </w:t>
      </w:r>
      <w:r w:rsidRPr="006510A5">
        <w:rPr>
          <w:rFonts w:ascii="Verdana" w:hAnsi="Verdana" w:cs="Verdana"/>
          <w:b/>
        </w:rPr>
        <w:t>proxy version</w:t>
      </w:r>
      <w:r>
        <w:rPr>
          <w:rFonts w:ascii="Verdana" w:hAnsi="Verdana" w:cs="Verdana"/>
        </w:rPr>
        <w:t xml:space="preserve"> of the full participant survey takes approximately 10 – 15 minutes to complete.</w:t>
      </w:r>
      <w:r w:rsidRPr="007A4DF1">
        <w:rPr>
          <w:rFonts w:ascii="Verdana" w:hAnsi="Verdana" w:cs="Verdana"/>
        </w:rPr>
        <w:t xml:space="preserve"> </w:t>
      </w:r>
      <w:r>
        <w:rPr>
          <w:rFonts w:ascii="Verdana" w:hAnsi="Verdana" w:cs="Verdana"/>
        </w:rPr>
        <w:t xml:space="preserve"> With the proxy version, if you need to stop at any time, the answers you provided up to that point will </w:t>
      </w:r>
      <w:r>
        <w:rPr>
          <w:rFonts w:ascii="Verdana" w:hAnsi="Verdana" w:cs="Verdana"/>
          <w:b/>
          <w:i/>
        </w:rPr>
        <w:t>not</w:t>
      </w:r>
      <w:r>
        <w:rPr>
          <w:rFonts w:ascii="Verdana" w:hAnsi="Verdana" w:cs="Verdana"/>
        </w:rPr>
        <w:t xml:space="preserve"> be saved.  When you return to complete the survey, you will need to start from the beginning.</w:t>
      </w:r>
    </w:p>
    <w:p w:rsidR="001B71C1" w:rsidRPr="001B71C1" w:rsidRDefault="001B71C1" w:rsidP="0006555F">
      <w:pPr>
        <w:rPr>
          <w:rFonts w:ascii="Verdana" w:hAnsi="Verdana" w:cs="Verdana"/>
          <w:b/>
        </w:rPr>
      </w:pPr>
      <w:r w:rsidRPr="001B71C1">
        <w:rPr>
          <w:rFonts w:ascii="Verdana" w:hAnsi="Verdana" w:cs="Verdana"/>
          <w:b/>
          <w:color w:val="4F81BD" w:themeColor="accent1"/>
        </w:rPr>
        <w:t>&lt;Back to Top&gt;</w:t>
      </w:r>
    </w:p>
    <w:p w:rsidR="0006555F" w:rsidRDefault="0006555F" w:rsidP="0006555F">
      <w:pPr>
        <w:pStyle w:val="BodyText3"/>
        <w:rPr>
          <w:rFonts w:ascii="Verdana" w:hAnsi="Verdana"/>
          <w:b/>
          <w:szCs w:val="22"/>
          <w:u w:val="single"/>
        </w:rPr>
      </w:pPr>
      <w:r w:rsidRPr="0006555F">
        <w:rPr>
          <w:rFonts w:ascii="Verdana" w:hAnsi="Verdana" w:cs="Verdana"/>
          <w:b/>
          <w:szCs w:val="22"/>
          <w:u w:val="single"/>
        </w:rPr>
        <w:t>W</w:t>
      </w:r>
      <w:r w:rsidRPr="0006555F">
        <w:rPr>
          <w:rFonts w:ascii="Verdana" w:hAnsi="Verdana"/>
          <w:b/>
          <w:szCs w:val="22"/>
          <w:u w:val="single"/>
        </w:rPr>
        <w:t>hich internet browser should I use to complete this survey?</w:t>
      </w:r>
    </w:p>
    <w:p w:rsidR="0006555F" w:rsidRPr="0006555F" w:rsidRDefault="0006555F" w:rsidP="0006555F">
      <w:pPr>
        <w:pStyle w:val="BodyText3"/>
        <w:rPr>
          <w:rFonts w:ascii="Verdana" w:hAnsi="Verdana"/>
          <w:b/>
          <w:szCs w:val="22"/>
          <w:u w:val="single"/>
        </w:rPr>
      </w:pPr>
    </w:p>
    <w:p w:rsidR="0006555F" w:rsidRDefault="0006555F" w:rsidP="0006555F">
      <w:pPr>
        <w:spacing w:after="0" w:line="240" w:lineRule="auto"/>
        <w:rPr>
          <w:rFonts w:ascii="Verdana" w:hAnsi="Verdana"/>
          <w:color w:val="000000"/>
        </w:rPr>
      </w:pPr>
      <w:r w:rsidRPr="0006555F">
        <w:rPr>
          <w:rFonts w:ascii="Verdana" w:hAnsi="Verdana"/>
          <w:color w:val="000000"/>
        </w:rPr>
        <w:t xml:space="preserve">The Online Survey is best viewed using Internet Explorer version 6 or newer. </w:t>
      </w:r>
      <w:r>
        <w:rPr>
          <w:rFonts w:ascii="Verdana" w:hAnsi="Verdana"/>
          <w:color w:val="000000"/>
        </w:rPr>
        <w:t xml:space="preserve"> </w:t>
      </w:r>
      <w:r w:rsidRPr="0006555F">
        <w:rPr>
          <w:rFonts w:ascii="Verdana" w:hAnsi="Verdana"/>
          <w:color w:val="000000"/>
        </w:rPr>
        <w:t>Download Internet Explorer now.</w:t>
      </w:r>
    </w:p>
    <w:p w:rsidR="0006555F" w:rsidRPr="0006555F" w:rsidRDefault="0006555F" w:rsidP="0006555F">
      <w:pPr>
        <w:spacing w:after="0" w:line="240" w:lineRule="auto"/>
        <w:rPr>
          <w:rFonts w:ascii="Verdana" w:hAnsi="Verdana"/>
          <w:color w:val="000000"/>
        </w:rPr>
      </w:pPr>
    </w:p>
    <w:p w:rsidR="0006555F" w:rsidRPr="0006555F" w:rsidRDefault="0006555F" w:rsidP="0006555F">
      <w:pPr>
        <w:spacing w:after="0" w:line="240" w:lineRule="auto"/>
        <w:rPr>
          <w:rFonts w:ascii="Verdana" w:hAnsi="Verdana"/>
          <w:color w:val="4F81BD"/>
        </w:rPr>
      </w:pPr>
      <w:r w:rsidRPr="0006555F">
        <w:rPr>
          <w:rFonts w:ascii="Verdana" w:hAnsi="Verdana"/>
          <w:color w:val="000000"/>
        </w:rPr>
        <w:t>&lt;</w:t>
      </w:r>
      <w:r w:rsidRPr="0006555F">
        <w:rPr>
          <w:rFonts w:ascii="Verdana" w:hAnsi="Verdana"/>
          <w:color w:val="4F81BD"/>
        </w:rPr>
        <w:t xml:space="preserve">Internet Explorer in second sentence should resolve to </w:t>
      </w:r>
    </w:p>
    <w:p w:rsidR="0006555F" w:rsidRPr="0006555F" w:rsidRDefault="00EE67E9" w:rsidP="0006555F">
      <w:pPr>
        <w:spacing w:after="0" w:line="240" w:lineRule="auto"/>
        <w:rPr>
          <w:rFonts w:ascii="Verdana" w:hAnsi="Verdana"/>
          <w:color w:val="000000"/>
        </w:rPr>
      </w:pPr>
      <w:hyperlink r:id="rId7" w:history="1">
        <w:r w:rsidR="0006555F" w:rsidRPr="0006555F">
          <w:rPr>
            <w:rStyle w:val="Hyperlink"/>
            <w:rFonts w:ascii="Verdana" w:hAnsi="Verdana"/>
          </w:rPr>
          <w:t>http://www.microsoft.com/download/en/ie.aspx?q=internet+explorer&amp;WT.mc_id=MSCOM_EN_US_DLC_ICONNAV_121LSUS007796</w:t>
        </w:r>
      </w:hyperlink>
      <w:r w:rsidR="0006555F" w:rsidRPr="0006555F">
        <w:rPr>
          <w:rFonts w:ascii="Verdana" w:hAnsi="Verdana"/>
          <w:color w:val="000000"/>
        </w:rPr>
        <w:t>&gt;</w:t>
      </w:r>
    </w:p>
    <w:p w:rsidR="0006555F" w:rsidRDefault="0006555F" w:rsidP="0006555F"/>
    <w:p w:rsidR="001B71C1" w:rsidRDefault="001B71C1" w:rsidP="0006555F">
      <w:pPr>
        <w:rPr>
          <w:rFonts w:ascii="Verdana" w:hAnsi="Verdana" w:cs="Verdana"/>
          <w:b/>
          <w:color w:val="4F81BD" w:themeColor="accent1"/>
        </w:rPr>
      </w:pPr>
      <w:r w:rsidRPr="001B71C1">
        <w:rPr>
          <w:rFonts w:ascii="Verdana" w:hAnsi="Verdana" w:cs="Verdana"/>
          <w:b/>
          <w:color w:val="4F81BD" w:themeColor="accent1"/>
        </w:rPr>
        <w:t>&lt;Back to Top&gt;</w:t>
      </w:r>
    </w:p>
    <w:p w:rsidR="001B71C1" w:rsidRDefault="001B71C1" w:rsidP="0006555F"/>
    <w:p w:rsidR="0006555F" w:rsidRDefault="0006555F" w:rsidP="0006555F">
      <w:pPr>
        <w:spacing w:after="0" w:line="240" w:lineRule="auto"/>
        <w:rPr>
          <w:rFonts w:ascii="Verdana" w:hAnsi="Verdana"/>
          <w:b/>
          <w:bCs/>
          <w:u w:val="single"/>
        </w:rPr>
      </w:pPr>
      <w:r w:rsidRPr="007A4DF1">
        <w:rPr>
          <w:rFonts w:ascii="Verdana" w:hAnsi="Verdana"/>
          <w:b/>
          <w:bCs/>
          <w:u w:val="single"/>
        </w:rPr>
        <w:lastRenderedPageBreak/>
        <w:t>Why is the survey not starting?</w:t>
      </w:r>
    </w:p>
    <w:p w:rsidR="0006555F" w:rsidRDefault="0006555F" w:rsidP="0006555F">
      <w:pPr>
        <w:spacing w:after="0" w:line="240" w:lineRule="auto"/>
        <w:rPr>
          <w:rFonts w:ascii="Verdana" w:hAnsi="Verdana"/>
        </w:rPr>
      </w:pPr>
      <w:r w:rsidRPr="007A4DF1">
        <w:rPr>
          <w:rFonts w:ascii="Verdana" w:hAnsi="Verdana"/>
        </w:rPr>
        <w:br/>
        <w:t>The most common reason is a pop-up blocker.</w:t>
      </w:r>
      <w:r>
        <w:rPr>
          <w:rFonts w:ascii="Verdana" w:hAnsi="Verdana"/>
        </w:rPr>
        <w:t xml:space="preserve"> </w:t>
      </w:r>
      <w:r w:rsidRPr="007A4DF1">
        <w:rPr>
          <w:rFonts w:ascii="Verdana" w:hAnsi="Verdana"/>
        </w:rPr>
        <w:t xml:space="preserve"> To turn off most pop-up blockers, right click on the area just below the address bar of your Internet browser. </w:t>
      </w:r>
      <w:r>
        <w:rPr>
          <w:rFonts w:ascii="Verdana" w:hAnsi="Verdana"/>
        </w:rPr>
        <w:t xml:space="preserve"> </w:t>
      </w:r>
      <w:r w:rsidRPr="007A4DF1">
        <w:rPr>
          <w:rFonts w:ascii="Verdana" w:hAnsi="Verdana"/>
        </w:rPr>
        <w:t>Then click ‘Allow pop-ups from this site’.</w:t>
      </w:r>
      <w:r>
        <w:rPr>
          <w:rFonts w:ascii="Verdana" w:hAnsi="Verdana"/>
        </w:rPr>
        <w:t xml:space="preserve"> </w:t>
      </w:r>
      <w:r w:rsidRPr="007A4DF1">
        <w:rPr>
          <w:rFonts w:ascii="Verdana" w:hAnsi="Verdana"/>
        </w:rPr>
        <w:t xml:space="preserve"> Another way to bypass a pop-up blocker is to hold the control key while clicking the ‘Launch’</w:t>
      </w:r>
      <w:r>
        <w:rPr>
          <w:rFonts w:ascii="Verdana" w:hAnsi="Verdana"/>
        </w:rPr>
        <w:t xml:space="preserve"> button.</w:t>
      </w:r>
    </w:p>
    <w:p w:rsidR="001B71C1" w:rsidRDefault="001B71C1" w:rsidP="0006555F">
      <w:pPr>
        <w:spacing w:after="0" w:line="240" w:lineRule="auto"/>
        <w:rPr>
          <w:rFonts w:ascii="Verdana" w:hAnsi="Verdana"/>
        </w:rPr>
      </w:pPr>
    </w:p>
    <w:p w:rsidR="001B71C1" w:rsidRDefault="001B71C1" w:rsidP="0006555F">
      <w:pPr>
        <w:spacing w:after="0" w:line="240" w:lineRule="auto"/>
        <w:rPr>
          <w:rFonts w:ascii="Verdana" w:hAnsi="Verdana" w:cs="Verdana"/>
          <w:b/>
          <w:color w:val="4F81BD" w:themeColor="accent1"/>
        </w:rPr>
      </w:pPr>
      <w:r w:rsidRPr="001B71C1">
        <w:rPr>
          <w:rFonts w:ascii="Verdana" w:hAnsi="Verdana" w:cs="Verdana"/>
          <w:b/>
          <w:color w:val="4F81BD" w:themeColor="accent1"/>
        </w:rPr>
        <w:t>&lt;Back to Top&gt;</w:t>
      </w:r>
    </w:p>
    <w:p w:rsidR="001B71C1" w:rsidRDefault="001B71C1" w:rsidP="0006555F">
      <w:pPr>
        <w:spacing w:after="0" w:line="240" w:lineRule="auto"/>
        <w:rPr>
          <w:rFonts w:ascii="Verdana" w:hAnsi="Verdana"/>
        </w:rPr>
      </w:pPr>
    </w:p>
    <w:p w:rsidR="0006555F" w:rsidRDefault="0006555F" w:rsidP="0006555F">
      <w:pPr>
        <w:spacing w:after="0" w:line="240" w:lineRule="auto"/>
        <w:rPr>
          <w:rFonts w:ascii="Verdana" w:hAnsi="Verdana"/>
        </w:rPr>
      </w:pPr>
      <w:r>
        <w:rPr>
          <w:rFonts w:ascii="Verdana" w:hAnsi="Verdana"/>
          <w:b/>
          <w:bCs/>
          <w:u w:val="single"/>
        </w:rPr>
        <w:t>H</w:t>
      </w:r>
      <w:r w:rsidRPr="007A4DF1">
        <w:rPr>
          <w:rFonts w:ascii="Verdana" w:hAnsi="Verdana"/>
          <w:b/>
          <w:bCs/>
          <w:u w:val="single"/>
        </w:rPr>
        <w:t>ow do I make the text bigger?</w:t>
      </w:r>
      <w:r w:rsidRPr="007A4DF1">
        <w:rPr>
          <w:rFonts w:ascii="Verdana" w:hAnsi="Verdana"/>
        </w:rPr>
        <w:t xml:space="preserve"> </w:t>
      </w:r>
    </w:p>
    <w:p w:rsidR="0006555F" w:rsidRDefault="0006555F" w:rsidP="0006555F">
      <w:pPr>
        <w:spacing w:after="0" w:line="240" w:lineRule="auto"/>
        <w:rPr>
          <w:rFonts w:ascii="Verdana" w:hAnsi="Verdana" w:cs="Verdana"/>
        </w:rPr>
      </w:pPr>
      <w:r w:rsidRPr="007A4DF1">
        <w:rPr>
          <w:rFonts w:ascii="Verdana" w:hAnsi="Verdana" w:cs="Verdana"/>
          <w:color w:val="000000"/>
        </w:rPr>
        <w:br/>
        <w:t xml:space="preserve">To make text appear larger, most web browsers (such as Internet Explorer or Mozilla Firefox) allow you to zoom in or increase font or text size. In most cases, these options can generally be accessed by clicking on menu items (such as 'View' or 'Tools') on the browser’s menu bar. Other short-cut solutions may </w:t>
      </w:r>
      <w:r w:rsidRPr="007A4DF1">
        <w:rPr>
          <w:rFonts w:ascii="Verdana" w:hAnsi="Verdana" w:cs="Verdana"/>
        </w:rPr>
        <w:t>include holding down the control key (‘Ctrl’) and scrolling up with your mouse, OR, using the ‘Ctrl’ key and the ‘+’ key simultaneously. Use your browser's Help menu to find more information about using the zoom function, or adjusting font or text</w:t>
      </w:r>
      <w:r>
        <w:rPr>
          <w:rFonts w:ascii="Verdana" w:hAnsi="Verdana" w:cs="Verdana"/>
        </w:rPr>
        <w:t xml:space="preserve"> size.</w:t>
      </w:r>
    </w:p>
    <w:p w:rsidR="001B71C1" w:rsidRDefault="001B71C1" w:rsidP="0006555F">
      <w:pPr>
        <w:spacing w:after="0" w:line="240" w:lineRule="auto"/>
        <w:rPr>
          <w:rFonts w:ascii="Verdana" w:hAnsi="Verdana" w:cs="Verdana"/>
        </w:rPr>
      </w:pPr>
    </w:p>
    <w:p w:rsidR="001B71C1" w:rsidRDefault="001B71C1" w:rsidP="0006555F">
      <w:pPr>
        <w:spacing w:after="0" w:line="240" w:lineRule="auto"/>
        <w:rPr>
          <w:rFonts w:ascii="Verdana" w:hAnsi="Verdana" w:cs="Verdana"/>
        </w:rPr>
      </w:pPr>
      <w:r w:rsidRPr="001B71C1">
        <w:rPr>
          <w:rFonts w:ascii="Verdana" w:hAnsi="Verdana" w:cs="Verdana"/>
          <w:b/>
          <w:color w:val="4F81BD" w:themeColor="accent1"/>
        </w:rPr>
        <w:t>&lt;Back to Top&gt;</w:t>
      </w:r>
    </w:p>
    <w:p w:rsidR="0006555F" w:rsidRDefault="0006555F" w:rsidP="0006555F">
      <w:pPr>
        <w:spacing w:after="0" w:line="240" w:lineRule="auto"/>
        <w:rPr>
          <w:rFonts w:ascii="Verdana" w:hAnsi="Verdana" w:cs="Verdana"/>
        </w:rPr>
      </w:pPr>
    </w:p>
    <w:p w:rsidR="0006555F" w:rsidRDefault="0006555F" w:rsidP="0006555F">
      <w:pPr>
        <w:spacing w:after="0" w:line="240" w:lineRule="auto"/>
        <w:rPr>
          <w:rFonts w:ascii="Verdana" w:hAnsi="Verdana"/>
          <w:b/>
          <w:bCs/>
          <w:u w:val="single"/>
        </w:rPr>
      </w:pPr>
      <w:r w:rsidRPr="0006555F">
        <w:rPr>
          <w:rFonts w:ascii="Verdana" w:hAnsi="Verdana"/>
          <w:b/>
          <w:bCs/>
          <w:u w:val="single"/>
        </w:rPr>
        <w:t>What if I cannot remember certain dates and ages?</w:t>
      </w:r>
    </w:p>
    <w:p w:rsidR="0006555F" w:rsidRDefault="0006555F" w:rsidP="0006555F">
      <w:pPr>
        <w:spacing w:after="0" w:line="240" w:lineRule="auto"/>
        <w:rPr>
          <w:rFonts w:ascii="Verdana" w:hAnsi="Verdana" w:cs="Arial"/>
        </w:rPr>
      </w:pPr>
      <w:r w:rsidRPr="0006555F">
        <w:rPr>
          <w:rFonts w:ascii="Verdana" w:hAnsi="Verdana"/>
        </w:rPr>
        <w:br/>
      </w:r>
      <w:r w:rsidRPr="0006555F">
        <w:rPr>
          <w:rFonts w:ascii="Verdana" w:hAnsi="Verdana" w:cs="Arial"/>
        </w:rPr>
        <w:t>We understand that the answers to some of the questions about dates and ages may be difficult to remember, so please take the time you need to give us your best estimate for each question.</w:t>
      </w:r>
    </w:p>
    <w:p w:rsidR="001B71C1" w:rsidRDefault="001B71C1" w:rsidP="0006555F">
      <w:pPr>
        <w:spacing w:after="0" w:line="240" w:lineRule="auto"/>
        <w:rPr>
          <w:rFonts w:ascii="Verdana" w:hAnsi="Verdana" w:cs="Arial"/>
        </w:rPr>
      </w:pPr>
    </w:p>
    <w:p w:rsidR="001B71C1" w:rsidRDefault="001B71C1" w:rsidP="0006555F">
      <w:pPr>
        <w:spacing w:after="0" w:line="240" w:lineRule="auto"/>
        <w:rPr>
          <w:rFonts w:ascii="Verdana" w:hAnsi="Verdana" w:cs="Arial"/>
        </w:rPr>
      </w:pPr>
      <w:r w:rsidRPr="001B71C1">
        <w:rPr>
          <w:rFonts w:ascii="Verdana" w:hAnsi="Verdana" w:cs="Verdana"/>
          <w:b/>
          <w:color w:val="4F81BD" w:themeColor="accent1"/>
        </w:rPr>
        <w:t>&lt;Back to Top&gt;</w:t>
      </w:r>
    </w:p>
    <w:p w:rsidR="0006555F" w:rsidRDefault="0006555F" w:rsidP="0006555F">
      <w:pPr>
        <w:spacing w:after="0" w:line="240" w:lineRule="auto"/>
        <w:rPr>
          <w:rFonts w:ascii="Verdana" w:hAnsi="Verdana" w:cs="Arial"/>
        </w:rPr>
      </w:pPr>
    </w:p>
    <w:p w:rsidR="0006555F" w:rsidRDefault="0006555F" w:rsidP="0006555F">
      <w:pPr>
        <w:spacing w:after="0" w:line="240" w:lineRule="auto"/>
        <w:rPr>
          <w:rFonts w:ascii="Verdana" w:hAnsi="Verdana"/>
          <w:b/>
          <w:bCs/>
          <w:u w:val="single"/>
        </w:rPr>
      </w:pPr>
      <w:r w:rsidRPr="007A4DF1">
        <w:rPr>
          <w:rFonts w:ascii="Verdana" w:hAnsi="Verdana"/>
          <w:b/>
          <w:bCs/>
          <w:u w:val="single"/>
        </w:rPr>
        <w:t>How do I change answers I gave earlier in the survey?</w:t>
      </w:r>
    </w:p>
    <w:p w:rsidR="0006555F" w:rsidRDefault="0006555F" w:rsidP="001B71C1">
      <w:pPr>
        <w:spacing w:after="0" w:line="240" w:lineRule="auto"/>
        <w:rPr>
          <w:rFonts w:ascii="Verdana" w:hAnsi="Verdana"/>
        </w:rPr>
      </w:pPr>
      <w:r w:rsidRPr="007A4DF1">
        <w:rPr>
          <w:rFonts w:ascii="Verdana" w:hAnsi="Verdana"/>
        </w:rPr>
        <w:br/>
        <w:t>You can use the ‘Previous’ button that is located at the bottom of every page to go back one question at a time.  You can then use the ‘Next’ button to return to where you left</w:t>
      </w:r>
      <w:r>
        <w:rPr>
          <w:rFonts w:ascii="Verdana" w:hAnsi="Verdana"/>
        </w:rPr>
        <w:t xml:space="preserve"> off.</w:t>
      </w:r>
    </w:p>
    <w:p w:rsidR="0006555F" w:rsidRDefault="0006555F" w:rsidP="001B71C1">
      <w:pPr>
        <w:spacing w:after="0" w:line="240" w:lineRule="auto"/>
        <w:rPr>
          <w:rFonts w:ascii="Verdana" w:hAnsi="Verdana"/>
          <w:b/>
          <w:bCs/>
          <w:u w:val="single"/>
        </w:rPr>
      </w:pPr>
    </w:p>
    <w:p w:rsidR="001B71C1" w:rsidRDefault="001B71C1" w:rsidP="0006555F">
      <w:pPr>
        <w:rPr>
          <w:rFonts w:ascii="Verdana" w:hAnsi="Verdana"/>
          <w:b/>
          <w:bCs/>
          <w:u w:val="single"/>
        </w:rPr>
      </w:pPr>
      <w:r w:rsidRPr="001B71C1">
        <w:rPr>
          <w:rFonts w:ascii="Verdana" w:hAnsi="Verdana" w:cs="Verdana"/>
          <w:b/>
          <w:color w:val="4F81BD" w:themeColor="accent1"/>
        </w:rPr>
        <w:t>&lt;Back to Top&gt;</w:t>
      </w:r>
    </w:p>
    <w:p w:rsidR="0006555F" w:rsidRDefault="0006555F" w:rsidP="0006555F">
      <w:pPr>
        <w:spacing w:after="0" w:line="240" w:lineRule="auto"/>
        <w:rPr>
          <w:rFonts w:ascii="Verdana" w:hAnsi="Verdana"/>
          <w:b/>
          <w:bCs/>
          <w:u w:val="single"/>
        </w:rPr>
      </w:pPr>
      <w:r w:rsidRPr="0006555F">
        <w:rPr>
          <w:rFonts w:ascii="Verdana" w:hAnsi="Verdana"/>
          <w:b/>
          <w:bCs/>
          <w:u w:val="single"/>
        </w:rPr>
        <w:t>What if I don't want to answer a question?</w:t>
      </w:r>
    </w:p>
    <w:p w:rsidR="0006555F" w:rsidRDefault="0006555F" w:rsidP="0006555F">
      <w:pPr>
        <w:spacing w:after="0" w:line="240" w:lineRule="auto"/>
        <w:rPr>
          <w:rFonts w:ascii="Verdana" w:hAnsi="Verdana" w:cs="Arial"/>
        </w:rPr>
      </w:pPr>
      <w:r w:rsidRPr="0006555F">
        <w:rPr>
          <w:rFonts w:ascii="Verdana" w:hAnsi="Verdana"/>
        </w:rPr>
        <w:br/>
      </w:r>
      <w:r w:rsidRPr="0006555F">
        <w:rPr>
          <w:rFonts w:ascii="Verdana" w:hAnsi="Verdana" w:cs="Arial"/>
        </w:rPr>
        <w:t>We hope that you will answer every question so that your answers can be combined with those of all the other cohort members participating in this study. However, if there is a question that you do not want to answer, you will be able to indicate that you prefer not to answer the question.</w:t>
      </w:r>
    </w:p>
    <w:p w:rsidR="001B71C1" w:rsidRDefault="001B71C1" w:rsidP="0006555F">
      <w:pPr>
        <w:spacing w:after="0" w:line="240" w:lineRule="auto"/>
        <w:rPr>
          <w:rFonts w:ascii="Verdana" w:hAnsi="Verdana" w:cs="Arial"/>
        </w:rPr>
      </w:pPr>
    </w:p>
    <w:p w:rsidR="001B71C1" w:rsidRDefault="001B71C1" w:rsidP="0006555F">
      <w:pPr>
        <w:spacing w:after="0" w:line="240" w:lineRule="auto"/>
        <w:rPr>
          <w:rFonts w:ascii="Verdana" w:hAnsi="Verdana" w:cs="Arial"/>
        </w:rPr>
      </w:pPr>
      <w:r w:rsidRPr="001B71C1">
        <w:rPr>
          <w:rFonts w:ascii="Verdana" w:hAnsi="Verdana" w:cs="Verdana"/>
          <w:b/>
          <w:color w:val="4F81BD" w:themeColor="accent1"/>
        </w:rPr>
        <w:t>&lt;Back to Top&gt;</w:t>
      </w:r>
    </w:p>
    <w:p w:rsidR="0006555F" w:rsidRDefault="0006555F" w:rsidP="0006555F">
      <w:pPr>
        <w:spacing w:after="0" w:line="240" w:lineRule="auto"/>
        <w:rPr>
          <w:rFonts w:ascii="Verdana" w:hAnsi="Verdana" w:cs="Arial"/>
        </w:rPr>
      </w:pPr>
    </w:p>
    <w:p w:rsidR="0006555F" w:rsidRDefault="0006555F" w:rsidP="0006555F">
      <w:pPr>
        <w:rPr>
          <w:rFonts w:ascii="Verdana" w:hAnsi="Verdana" w:cs="Arial"/>
        </w:rPr>
      </w:pPr>
      <w:r w:rsidRPr="007A4DF1">
        <w:rPr>
          <w:rFonts w:ascii="Verdana" w:hAnsi="Verdana"/>
          <w:b/>
          <w:bCs/>
          <w:u w:val="single"/>
        </w:rPr>
        <w:t>How can I learn more and have my questions answered?</w:t>
      </w:r>
    </w:p>
    <w:p w:rsidR="0006555F" w:rsidRDefault="0006555F" w:rsidP="0006555F">
      <w:pPr>
        <w:rPr>
          <w:rFonts w:ascii="Verdana" w:hAnsi="Verdana" w:cs="Arial"/>
        </w:rPr>
      </w:pPr>
      <w:r w:rsidRPr="007A4DF1">
        <w:rPr>
          <w:rFonts w:ascii="Verdana" w:hAnsi="Verdana" w:cs="Arial"/>
        </w:rPr>
        <w:t>If you have any questions while you are completing this survey, or at any time, please contact study staff at 1 (</w:t>
      </w:r>
      <w:r>
        <w:rPr>
          <w:rFonts w:ascii="Verdana" w:hAnsi="Verdana" w:cs="Arial"/>
        </w:rPr>
        <w:t>XXX</w:t>
      </w:r>
      <w:r w:rsidRPr="007A4DF1">
        <w:rPr>
          <w:rFonts w:ascii="Verdana" w:hAnsi="Verdana" w:cs="Arial"/>
        </w:rPr>
        <w:t xml:space="preserve">) </w:t>
      </w:r>
      <w:r>
        <w:rPr>
          <w:rFonts w:ascii="Verdana" w:hAnsi="Verdana" w:cs="Arial"/>
        </w:rPr>
        <w:t>XXX – XXXX.</w:t>
      </w:r>
    </w:p>
    <w:p w:rsidR="001B71C1" w:rsidRPr="0006555F" w:rsidRDefault="001B71C1" w:rsidP="0006555F">
      <w:pPr>
        <w:rPr>
          <w:rFonts w:ascii="Verdana" w:hAnsi="Verdana" w:cs="Arial"/>
        </w:rPr>
      </w:pPr>
      <w:r w:rsidRPr="001B71C1">
        <w:rPr>
          <w:rFonts w:ascii="Verdana" w:hAnsi="Verdana" w:cs="Verdana"/>
          <w:b/>
          <w:color w:val="4F81BD" w:themeColor="accent1"/>
        </w:rPr>
        <w:t>&lt;Back to Top&gt;</w:t>
      </w:r>
    </w:p>
    <w:p w:rsidR="009666EB" w:rsidRDefault="009666EB" w:rsidP="0006555F">
      <w:pPr>
        <w:rPr>
          <w:rFonts w:ascii="Verdana" w:hAnsi="Verdana"/>
          <w:b/>
          <w:u w:val="single"/>
        </w:rPr>
      </w:pPr>
      <w:r w:rsidRPr="009666EB">
        <w:rPr>
          <w:rFonts w:ascii="Verdana" w:hAnsi="Verdana"/>
          <w:b/>
          <w:noProof/>
          <w:u w:val="single"/>
        </w:rPr>
        <w:lastRenderedPageBreak/>
        <mc:AlternateContent>
          <mc:Choice Requires="wps">
            <w:drawing>
              <wp:anchor distT="0" distB="0" distL="114300" distR="114300" simplePos="0" relativeHeight="251659264" behindDoc="0" locked="0" layoutInCell="1" allowOverlap="1" wp14:anchorId="479DCBF5" wp14:editId="0BA654A4">
                <wp:simplePos x="0" y="0"/>
                <wp:positionH relativeFrom="column">
                  <wp:posOffset>-392430</wp:posOffset>
                </wp:positionH>
                <wp:positionV relativeFrom="paragraph">
                  <wp:posOffset>386715</wp:posOffset>
                </wp:positionV>
                <wp:extent cx="7343775" cy="19240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1924050"/>
                        </a:xfrm>
                        <a:prstGeom prst="rect">
                          <a:avLst/>
                        </a:prstGeom>
                        <a:solidFill>
                          <a:srgbClr val="FFFFFF"/>
                        </a:solidFill>
                        <a:ln w="9525">
                          <a:noFill/>
                          <a:miter lim="800000"/>
                          <a:headEnd/>
                          <a:tailEnd/>
                        </a:ln>
                      </wps:spPr>
                      <wps:txbx>
                        <w:txbxContent>
                          <w:p w:rsidR="009666EB" w:rsidRPr="00313CF7" w:rsidRDefault="009666EB" w:rsidP="009666EB">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0406</w:t>
                            </w:r>
                          </w:p>
                          <w:p w:rsidR="009666EB" w:rsidRPr="00313CF7" w:rsidRDefault="009666EB" w:rsidP="009666EB">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Expiration Date</w:t>
                            </w:r>
                            <w:r w:rsidRPr="00B40CBD">
                              <w:rPr>
                                <w:rFonts w:ascii="HelveticaNeueLTStd-Md" w:hAnsi="HelveticaNeueLTStd-Md" w:cs="HelveticaNeueLTStd-Md"/>
                                <w:sz w:val="16"/>
                                <w:szCs w:val="16"/>
                              </w:rPr>
                              <w:t xml:space="preserve">:  </w:t>
                            </w:r>
                            <w:r>
                              <w:rPr>
                                <w:rFonts w:ascii="HelveticaNeueLTStd-Md" w:hAnsi="HelveticaNeueLTStd-Md" w:cs="HelveticaNeueLTStd-Md"/>
                                <w:sz w:val="16"/>
                                <w:szCs w:val="16"/>
                              </w:rPr>
                              <w:t>xx/xx/2016</w:t>
                            </w:r>
                          </w:p>
                          <w:p w:rsidR="009666EB" w:rsidRPr="00EE67E9" w:rsidRDefault="009666EB" w:rsidP="009666EB">
                            <w:pPr>
                              <w:autoSpaceDE w:val="0"/>
                              <w:autoSpaceDN w:val="0"/>
                              <w:adjustRightInd w:val="0"/>
                              <w:spacing w:after="0" w:line="240" w:lineRule="auto"/>
                              <w:rPr>
                                <w:rFonts w:ascii="HelveticaNeueLTStd-Bd" w:hAnsi="HelveticaNeueLTStd-Bd"/>
                                <w:sz w:val="16"/>
                                <w:szCs w:val="16"/>
                              </w:rPr>
                            </w:pPr>
                            <w:r w:rsidRPr="00313CF7">
                              <w:rPr>
                                <w:rFonts w:ascii="HelveticaNeueLTStd-Roman" w:hAnsi="HelveticaNeueLTStd-Roman" w:cs="HelveticaNeueLTStd-Roman"/>
                                <w:sz w:val="16"/>
                                <w:szCs w:val="16"/>
                              </w:rPr>
                              <w:t>Collection of this information is authorized by The Public Health Service Act (42 USC 285</w:t>
                            </w:r>
                            <w:r>
                              <w:rPr>
                                <w:rFonts w:ascii="HelveticaNeueLTStd-Roman" w:hAnsi="HelveticaNeueLTStd-Roman" w:cs="HelveticaNeueLTStd-Roman"/>
                                <w:sz w:val="16"/>
                                <w:szCs w:val="16"/>
                              </w:rPr>
                              <w:t>l</w:t>
                            </w:r>
                            <w:r w:rsidRPr="00313CF7">
                              <w:rPr>
                                <w:rFonts w:ascii="HelveticaNeueLTStd-Roman" w:hAnsi="HelveticaNeueLTStd-Roman" w:cs="HelveticaNeueLTStd-Roman"/>
                                <w:sz w:val="16"/>
                                <w:szCs w:val="16"/>
                              </w:rPr>
                              <w:t xml:space="preserve">). Rights of study participants are protected by The </w:t>
                            </w:r>
                            <w:r w:rsidRPr="003A57A1">
                              <w:rPr>
                                <w:rFonts w:ascii="HelveticaNeueLTStd-Bd" w:hAnsi="HelveticaNeueLTStd-Bd" w:cs="HelveticaNeueLTStd-Roman"/>
                                <w:sz w:val="16"/>
                                <w:szCs w:val="16"/>
                              </w:rPr>
                              <w:t xml:space="preserve">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w:t>
                            </w:r>
                            <w:r w:rsidRPr="00EE67E9">
                              <w:rPr>
                                <w:rFonts w:ascii="HelveticaNeueLTStd-Bd" w:hAnsi="HelveticaNeueLTStd-Bd" w:cs="HelveticaNeueLTStd-Roman"/>
                                <w:sz w:val="16"/>
                                <w:szCs w:val="16"/>
                              </w:rPr>
                              <w:t>any report of the study. Information provided will be combined for all study participants and reported as summaries.  You are being contacted by mail or telephone to complete the health follow-up survey for m</w:t>
                            </w:r>
                            <w:r w:rsidRPr="00EE67E9">
                              <w:rPr>
                                <w:rFonts w:ascii="HelveticaNeueLTStd-Bd" w:hAnsi="HelveticaNeueLTStd-Bd"/>
                                <w:sz w:val="16"/>
                                <w:szCs w:val="16"/>
                              </w:rPr>
                              <w:t>embers of the Agricultural Health Study because</w:t>
                            </w:r>
                            <w:r w:rsidRPr="00EE67E9">
                              <w:rPr>
                                <w:rFonts w:ascii="HelveticaNeueLTStd-Bd" w:hAnsi="HelveticaNeueLTStd-Bd" w:cs="HelveticaNeueLTStd-Roman"/>
                                <w:sz w:val="16"/>
                                <w:szCs w:val="16"/>
                              </w:rPr>
                              <w:t xml:space="preserve"> continued involvement in this study can help us learn more about how agricultural and environmental factors may affect the health of farmers and their families.</w:t>
                            </w:r>
                          </w:p>
                          <w:p w:rsidR="009666EB" w:rsidRPr="00EE67E9" w:rsidRDefault="009666EB" w:rsidP="009666EB">
                            <w:pPr>
                              <w:autoSpaceDE w:val="0"/>
                              <w:autoSpaceDN w:val="0"/>
                              <w:adjustRightInd w:val="0"/>
                              <w:spacing w:after="0" w:line="240" w:lineRule="auto"/>
                              <w:rPr>
                                <w:rFonts w:ascii="HelveticaNeueLTStd-Bd" w:hAnsi="HelveticaNeueLTStd-Bd" w:cs="HelveticaNeueLTStd-Md"/>
                                <w:sz w:val="16"/>
                                <w:szCs w:val="16"/>
                              </w:rPr>
                            </w:pPr>
                          </w:p>
                          <w:p w:rsidR="009666EB" w:rsidRPr="00313CF7" w:rsidRDefault="009666EB" w:rsidP="009666EB">
                            <w:pPr>
                              <w:autoSpaceDE w:val="0"/>
                              <w:autoSpaceDN w:val="0"/>
                              <w:adjustRightInd w:val="0"/>
                              <w:spacing w:after="0" w:line="240" w:lineRule="auto"/>
                              <w:rPr>
                                <w:rFonts w:ascii="HelveticaNeueLTStd-Md" w:hAnsi="HelveticaNeueLTStd-Md" w:cs="HelveticaNeueLTStd-Md"/>
                                <w:sz w:val="16"/>
                                <w:szCs w:val="16"/>
                              </w:rPr>
                            </w:pPr>
                            <w:r w:rsidRPr="00EE67E9">
                              <w:rPr>
                                <w:rFonts w:ascii="HelveticaNeueLTStd-Bd" w:hAnsi="HelveticaNeueLTStd-Bd" w:cs="HelveticaNeueLTStd-Roman"/>
                                <w:sz w:val="16"/>
                                <w:szCs w:val="16"/>
                              </w:rPr>
                              <w:t>Public reporting burden for this collection of information is estimated to average 25 minutes per response for members of the Agricultural Health Study cohort and about 10 - 15 minutes per response for those answering on behalf of the cohort member, including the time for reviewing instructions, searching existing data sources, gathering and maintaining the data n</w:t>
                            </w:r>
                            <w:bookmarkStart w:id="0" w:name="_GoBack"/>
                            <w:bookmarkEnd w:id="0"/>
                            <w:r w:rsidRPr="00EE67E9">
                              <w:rPr>
                                <w:rFonts w:ascii="HelveticaNeueLTStd-Bd" w:hAnsi="HelveticaNeueLTStd-Bd" w:cs="HelveticaNeueLTStd-Roman"/>
                                <w:sz w:val="16"/>
                                <w:szCs w:val="16"/>
                              </w:rPr>
                              <w:t>eeded, and completing and reviewing the collection of information.</w:t>
                            </w:r>
                            <w:r w:rsidRPr="00EE67E9">
                              <w:rPr>
                                <w:rFonts w:ascii="HelveticaNeueLTStd-Roman" w:hAnsi="HelveticaNeueLTStd-Roman" w:cs="HelveticaNeueLTStd-Roman"/>
                                <w:sz w:val="16"/>
                                <w:szCs w:val="16"/>
                              </w:rPr>
                              <w:t xml:space="preserve"> </w:t>
                            </w:r>
                            <w:r w:rsidRPr="00EE67E9">
                              <w:rPr>
                                <w:rFonts w:ascii="HelveticaNeueLTStd-Bd" w:hAnsi="HelveticaNeueLTStd-Bd" w:cs="HelveticaNeueLTStd-Bd"/>
                                <w:b/>
                                <w:sz w:val="16"/>
                                <w:szCs w:val="16"/>
                              </w:rPr>
                              <w:t>An agency may not conduct or sponsor, and a person is not required</w:t>
                            </w:r>
                            <w:r w:rsidRPr="00313CF7">
                              <w:rPr>
                                <w:rFonts w:ascii="HelveticaNeueLTStd-Bd" w:hAnsi="HelveticaNeueLTStd-Bd" w:cs="HelveticaNeueLTStd-Bd"/>
                                <w:b/>
                                <w:sz w:val="16"/>
                                <w:szCs w:val="16"/>
                              </w:rPr>
                              <w:t xml:space="preserve">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0406</w:t>
                            </w:r>
                            <w:r w:rsidRPr="00313CF7">
                              <w:rPr>
                                <w:rFonts w:ascii="HelveticaNeueLTStd-Roman" w:hAnsi="HelveticaNeueLTStd-Roman" w:cs="HelveticaNeueLTStd-Roman"/>
                                <w:sz w:val="16"/>
                                <w:szCs w:val="16"/>
                              </w:rPr>
                              <w:t>). Do not return the completed form to this address.</w:t>
                            </w:r>
                          </w:p>
                          <w:p w:rsidR="009666EB" w:rsidRDefault="009666EB" w:rsidP="00966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9pt;margin-top:30.45pt;width:578.2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" stroked="f">
                <v:textbox>
                  <w:txbxContent>
                    <w:p w:rsidR="009666EB" w:rsidRPr="00313CF7" w:rsidRDefault="009666EB" w:rsidP="009666EB">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0406</w:t>
                      </w:r>
                    </w:p>
                    <w:p w:rsidR="009666EB" w:rsidRPr="00313CF7" w:rsidRDefault="009666EB" w:rsidP="009666EB">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Expiration Date</w:t>
                      </w:r>
                      <w:r w:rsidRPr="00B40CBD">
                        <w:rPr>
                          <w:rFonts w:ascii="HelveticaNeueLTStd-Md" w:hAnsi="HelveticaNeueLTStd-Md" w:cs="HelveticaNeueLTStd-Md"/>
                          <w:sz w:val="16"/>
                          <w:szCs w:val="16"/>
                        </w:rPr>
                        <w:t xml:space="preserve">:  </w:t>
                      </w:r>
                      <w:r>
                        <w:rPr>
                          <w:rFonts w:ascii="HelveticaNeueLTStd-Md" w:hAnsi="HelveticaNeueLTStd-Md" w:cs="HelveticaNeueLTStd-Md"/>
                          <w:sz w:val="16"/>
                          <w:szCs w:val="16"/>
                        </w:rPr>
                        <w:t>xx/xx/2016</w:t>
                      </w:r>
                    </w:p>
                    <w:p w:rsidR="009666EB" w:rsidRPr="00EE67E9" w:rsidRDefault="009666EB" w:rsidP="009666EB">
                      <w:pPr>
                        <w:autoSpaceDE w:val="0"/>
                        <w:autoSpaceDN w:val="0"/>
                        <w:adjustRightInd w:val="0"/>
                        <w:spacing w:after="0" w:line="240" w:lineRule="auto"/>
                        <w:rPr>
                          <w:rFonts w:ascii="HelveticaNeueLTStd-Bd" w:hAnsi="HelveticaNeueLTStd-Bd"/>
                          <w:sz w:val="16"/>
                          <w:szCs w:val="16"/>
                        </w:rPr>
                      </w:pPr>
                      <w:r w:rsidRPr="00313CF7">
                        <w:rPr>
                          <w:rFonts w:ascii="HelveticaNeueLTStd-Roman" w:hAnsi="HelveticaNeueLTStd-Roman" w:cs="HelveticaNeueLTStd-Roman"/>
                          <w:sz w:val="16"/>
                          <w:szCs w:val="16"/>
                        </w:rPr>
                        <w:t>Collection of this information is authorized by The Public Health Service Act (42 USC 285</w:t>
                      </w:r>
                      <w:r>
                        <w:rPr>
                          <w:rFonts w:ascii="HelveticaNeueLTStd-Roman" w:hAnsi="HelveticaNeueLTStd-Roman" w:cs="HelveticaNeueLTStd-Roman"/>
                          <w:sz w:val="16"/>
                          <w:szCs w:val="16"/>
                        </w:rPr>
                        <w:t>l</w:t>
                      </w:r>
                      <w:r w:rsidRPr="00313CF7">
                        <w:rPr>
                          <w:rFonts w:ascii="HelveticaNeueLTStd-Roman" w:hAnsi="HelveticaNeueLTStd-Roman" w:cs="HelveticaNeueLTStd-Roman"/>
                          <w:sz w:val="16"/>
                          <w:szCs w:val="16"/>
                        </w:rPr>
                        <w:t xml:space="preserve">). Rights of study participants are protected by The </w:t>
                      </w:r>
                      <w:r w:rsidRPr="003A57A1">
                        <w:rPr>
                          <w:rFonts w:ascii="HelveticaNeueLTStd-Bd" w:hAnsi="HelveticaNeueLTStd-Bd" w:cs="HelveticaNeueLTStd-Roman"/>
                          <w:sz w:val="16"/>
                          <w:szCs w:val="16"/>
                        </w:rPr>
                        <w:t xml:space="preserve">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w:t>
                      </w:r>
                      <w:r w:rsidRPr="00EE67E9">
                        <w:rPr>
                          <w:rFonts w:ascii="HelveticaNeueLTStd-Bd" w:hAnsi="HelveticaNeueLTStd-Bd" w:cs="HelveticaNeueLTStd-Roman"/>
                          <w:sz w:val="16"/>
                          <w:szCs w:val="16"/>
                        </w:rPr>
                        <w:t>any report of the study. Information provided will be combined for all study participants and reported as summaries.  You are being contacted by mail or telephone to complete the health follow-up survey for m</w:t>
                      </w:r>
                      <w:r w:rsidRPr="00EE67E9">
                        <w:rPr>
                          <w:rFonts w:ascii="HelveticaNeueLTStd-Bd" w:hAnsi="HelveticaNeueLTStd-Bd"/>
                          <w:sz w:val="16"/>
                          <w:szCs w:val="16"/>
                        </w:rPr>
                        <w:t>embers of the Agricultural Health Study because</w:t>
                      </w:r>
                      <w:r w:rsidRPr="00EE67E9">
                        <w:rPr>
                          <w:rFonts w:ascii="HelveticaNeueLTStd-Bd" w:hAnsi="HelveticaNeueLTStd-Bd" w:cs="HelveticaNeueLTStd-Roman"/>
                          <w:sz w:val="16"/>
                          <w:szCs w:val="16"/>
                        </w:rPr>
                        <w:t xml:space="preserve"> continued involvement in this study can help us learn more about how agricultural and environmental factors may affect the health of farmers and their families.</w:t>
                      </w:r>
                    </w:p>
                    <w:p w:rsidR="009666EB" w:rsidRPr="00EE67E9" w:rsidRDefault="009666EB" w:rsidP="009666EB">
                      <w:pPr>
                        <w:autoSpaceDE w:val="0"/>
                        <w:autoSpaceDN w:val="0"/>
                        <w:adjustRightInd w:val="0"/>
                        <w:spacing w:after="0" w:line="240" w:lineRule="auto"/>
                        <w:rPr>
                          <w:rFonts w:ascii="HelveticaNeueLTStd-Bd" w:hAnsi="HelveticaNeueLTStd-Bd" w:cs="HelveticaNeueLTStd-Md"/>
                          <w:sz w:val="16"/>
                          <w:szCs w:val="16"/>
                        </w:rPr>
                      </w:pPr>
                    </w:p>
                    <w:p w:rsidR="009666EB" w:rsidRPr="00313CF7" w:rsidRDefault="009666EB" w:rsidP="009666EB">
                      <w:pPr>
                        <w:autoSpaceDE w:val="0"/>
                        <w:autoSpaceDN w:val="0"/>
                        <w:adjustRightInd w:val="0"/>
                        <w:spacing w:after="0" w:line="240" w:lineRule="auto"/>
                        <w:rPr>
                          <w:rFonts w:ascii="HelveticaNeueLTStd-Md" w:hAnsi="HelveticaNeueLTStd-Md" w:cs="HelveticaNeueLTStd-Md"/>
                          <w:sz w:val="16"/>
                          <w:szCs w:val="16"/>
                        </w:rPr>
                      </w:pPr>
                      <w:r w:rsidRPr="00EE67E9">
                        <w:rPr>
                          <w:rFonts w:ascii="HelveticaNeueLTStd-Bd" w:hAnsi="HelveticaNeueLTStd-Bd" w:cs="HelveticaNeueLTStd-Roman"/>
                          <w:sz w:val="16"/>
                          <w:szCs w:val="16"/>
                        </w:rPr>
                        <w:t>Public reporting burden for this collection of information is estimated to average 25 minutes per response for members of the Agricultural Health Study cohort and about 10 - 15 minutes per response for those answering on behalf of the cohort member, including the time for reviewing instructions, searching existing data sources, gathering and maintaining the data n</w:t>
                      </w:r>
                      <w:bookmarkStart w:id="1" w:name="_GoBack"/>
                      <w:bookmarkEnd w:id="1"/>
                      <w:r w:rsidRPr="00EE67E9">
                        <w:rPr>
                          <w:rFonts w:ascii="HelveticaNeueLTStd-Bd" w:hAnsi="HelveticaNeueLTStd-Bd" w:cs="HelveticaNeueLTStd-Roman"/>
                          <w:sz w:val="16"/>
                          <w:szCs w:val="16"/>
                        </w:rPr>
                        <w:t>eeded, and completing and reviewing the collection of information.</w:t>
                      </w:r>
                      <w:r w:rsidRPr="00EE67E9">
                        <w:rPr>
                          <w:rFonts w:ascii="HelveticaNeueLTStd-Roman" w:hAnsi="HelveticaNeueLTStd-Roman" w:cs="HelveticaNeueLTStd-Roman"/>
                          <w:sz w:val="16"/>
                          <w:szCs w:val="16"/>
                        </w:rPr>
                        <w:t xml:space="preserve"> </w:t>
                      </w:r>
                      <w:r w:rsidRPr="00EE67E9">
                        <w:rPr>
                          <w:rFonts w:ascii="HelveticaNeueLTStd-Bd" w:hAnsi="HelveticaNeueLTStd-Bd" w:cs="HelveticaNeueLTStd-Bd"/>
                          <w:b/>
                          <w:sz w:val="16"/>
                          <w:szCs w:val="16"/>
                        </w:rPr>
                        <w:t>An agency may not conduct or sponsor, and a person is not required</w:t>
                      </w:r>
                      <w:r w:rsidRPr="00313CF7">
                        <w:rPr>
                          <w:rFonts w:ascii="HelveticaNeueLTStd-Bd" w:hAnsi="HelveticaNeueLTStd-Bd" w:cs="HelveticaNeueLTStd-Bd"/>
                          <w:b/>
                          <w:sz w:val="16"/>
                          <w:szCs w:val="16"/>
                        </w:rPr>
                        <w:t xml:space="preserve">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0406</w:t>
                      </w:r>
                      <w:r w:rsidRPr="00313CF7">
                        <w:rPr>
                          <w:rFonts w:ascii="HelveticaNeueLTStd-Roman" w:hAnsi="HelveticaNeueLTStd-Roman" w:cs="HelveticaNeueLTStd-Roman"/>
                          <w:sz w:val="16"/>
                          <w:szCs w:val="16"/>
                        </w:rPr>
                        <w:t>). Do not return the completed form to this address.</w:t>
                      </w:r>
                    </w:p>
                    <w:p w:rsidR="009666EB" w:rsidRDefault="009666EB" w:rsidP="009666EB"/>
                  </w:txbxContent>
                </v:textbox>
              </v:shape>
            </w:pict>
          </mc:Fallback>
        </mc:AlternateContent>
      </w:r>
      <w:r w:rsidRPr="009666EB">
        <w:rPr>
          <w:rFonts w:ascii="Verdana" w:hAnsi="Verdana"/>
          <w:b/>
          <w:u w:val="single"/>
        </w:rPr>
        <w:t xml:space="preserve">What </w:t>
      </w:r>
      <w:proofErr w:type="gramStart"/>
      <w:r w:rsidRPr="009666EB">
        <w:rPr>
          <w:rFonts w:ascii="Verdana" w:hAnsi="Verdana"/>
          <w:b/>
          <w:u w:val="single"/>
        </w:rPr>
        <w:t>is</w:t>
      </w:r>
      <w:proofErr w:type="gramEnd"/>
      <w:r w:rsidRPr="009666EB">
        <w:rPr>
          <w:rFonts w:ascii="Verdana" w:hAnsi="Verdana"/>
          <w:b/>
          <w:u w:val="single"/>
        </w:rPr>
        <w:t xml:space="preserve"> the OMB number and Expiration Date for this study?</w:t>
      </w:r>
    </w:p>
    <w:p w:rsidR="001B71C1" w:rsidRDefault="001B71C1" w:rsidP="0006555F">
      <w:pPr>
        <w:rPr>
          <w:rFonts w:ascii="Verdana" w:hAnsi="Verdana"/>
          <w:b/>
          <w:u w:val="single"/>
        </w:rPr>
      </w:pPr>
    </w:p>
    <w:p w:rsidR="001B71C1" w:rsidRDefault="001B71C1" w:rsidP="0006555F">
      <w:pPr>
        <w:rPr>
          <w:rFonts w:ascii="Verdana" w:hAnsi="Verdana"/>
          <w:b/>
          <w:u w:val="single"/>
        </w:rPr>
      </w:pPr>
    </w:p>
    <w:p w:rsidR="001B71C1" w:rsidRDefault="001B71C1" w:rsidP="0006555F">
      <w:pPr>
        <w:rPr>
          <w:rFonts w:ascii="Verdana" w:hAnsi="Verdana"/>
          <w:b/>
          <w:u w:val="single"/>
        </w:rPr>
      </w:pPr>
    </w:p>
    <w:p w:rsidR="001B71C1" w:rsidRDefault="001B71C1" w:rsidP="0006555F">
      <w:pPr>
        <w:rPr>
          <w:rFonts w:ascii="Verdana" w:hAnsi="Verdana"/>
          <w:b/>
          <w:u w:val="single"/>
        </w:rPr>
      </w:pPr>
    </w:p>
    <w:p w:rsidR="001B71C1" w:rsidRDefault="001B71C1" w:rsidP="0006555F">
      <w:pPr>
        <w:rPr>
          <w:rFonts w:ascii="Verdana" w:hAnsi="Verdana"/>
          <w:b/>
          <w:u w:val="single"/>
        </w:rPr>
      </w:pPr>
    </w:p>
    <w:p w:rsidR="001B71C1" w:rsidRDefault="001B71C1" w:rsidP="0006555F">
      <w:pPr>
        <w:rPr>
          <w:rFonts w:ascii="Verdana" w:hAnsi="Verdana"/>
          <w:b/>
          <w:u w:val="single"/>
        </w:rPr>
      </w:pPr>
    </w:p>
    <w:p w:rsidR="001B71C1" w:rsidRDefault="001B71C1" w:rsidP="0006555F">
      <w:pPr>
        <w:rPr>
          <w:rFonts w:ascii="Verdana" w:hAnsi="Verdana"/>
          <w:b/>
          <w:u w:val="single"/>
        </w:rPr>
      </w:pPr>
    </w:p>
    <w:p w:rsidR="001B71C1" w:rsidRPr="009666EB" w:rsidRDefault="001B71C1" w:rsidP="0006555F">
      <w:pPr>
        <w:rPr>
          <w:rFonts w:ascii="Verdana" w:hAnsi="Verdana"/>
          <w:b/>
          <w:u w:val="single"/>
        </w:rPr>
      </w:pPr>
      <w:r w:rsidRPr="001B71C1">
        <w:rPr>
          <w:rFonts w:ascii="Verdana" w:hAnsi="Verdana" w:cs="Verdana"/>
          <w:b/>
          <w:color w:val="4F81BD" w:themeColor="accent1"/>
        </w:rPr>
        <w:t>&lt;Back to Top&gt;</w:t>
      </w:r>
    </w:p>
    <w:sectPr w:rsidR="001B71C1" w:rsidRPr="009666EB" w:rsidSect="00210E19">
      <w:headerReference w:type="default" r:id="rId8"/>
      <w:footerReference w:type="default" r:id="rId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0DD" w:rsidRDefault="00CB00DD" w:rsidP="00CB00DD">
      <w:pPr>
        <w:spacing w:after="0" w:line="240" w:lineRule="auto"/>
      </w:pPr>
      <w:r>
        <w:separator/>
      </w:r>
    </w:p>
  </w:endnote>
  <w:endnote w:type="continuationSeparator" w:id="0">
    <w:p w:rsidR="00CB00DD" w:rsidRDefault="00CB00DD" w:rsidP="00CB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857268"/>
      <w:docPartObj>
        <w:docPartGallery w:val="Page Numbers (Bottom of Page)"/>
        <w:docPartUnique/>
      </w:docPartObj>
    </w:sdtPr>
    <w:sdtEndPr>
      <w:rPr>
        <w:noProof/>
      </w:rPr>
    </w:sdtEndPr>
    <w:sdtContent>
      <w:p w:rsidR="00CB00DD" w:rsidRDefault="00210E19" w:rsidP="00210E19">
        <w:pPr>
          <w:pStyle w:val="Footer"/>
        </w:pPr>
        <w:r>
          <w:t>AHS_PhaseIV_HFUP_CAWI_FAQs.docx</w:t>
        </w:r>
        <w:r>
          <w:tab/>
        </w:r>
        <w:r>
          <w:tab/>
        </w:r>
        <w:r>
          <w:tab/>
        </w:r>
        <w:r w:rsidR="00CB00DD">
          <w:fldChar w:fldCharType="begin"/>
        </w:r>
        <w:r w:rsidR="00CB00DD">
          <w:instrText xml:space="preserve"> PAGE   \* MERGEFORMAT </w:instrText>
        </w:r>
        <w:r w:rsidR="00CB00DD">
          <w:fldChar w:fldCharType="separate"/>
        </w:r>
        <w:r w:rsidR="00EE67E9">
          <w:rPr>
            <w:noProof/>
          </w:rPr>
          <w:t>3</w:t>
        </w:r>
        <w:r w:rsidR="00CB00DD">
          <w:rPr>
            <w:noProof/>
          </w:rPr>
          <w:fldChar w:fldCharType="end"/>
        </w:r>
      </w:p>
    </w:sdtContent>
  </w:sdt>
  <w:p w:rsidR="00CB00DD" w:rsidRDefault="00CB0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0DD" w:rsidRDefault="00CB00DD" w:rsidP="00CB00DD">
      <w:pPr>
        <w:spacing w:after="0" w:line="240" w:lineRule="auto"/>
      </w:pPr>
      <w:r>
        <w:separator/>
      </w:r>
    </w:p>
  </w:footnote>
  <w:footnote w:type="continuationSeparator" w:id="0">
    <w:p w:rsidR="00CB00DD" w:rsidRDefault="00CB00DD" w:rsidP="00CB0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5E" w:rsidRDefault="00086C5E" w:rsidP="00086C5E">
    <w:pPr>
      <w:pStyle w:val="Header"/>
      <w:jc w:val="center"/>
    </w:pPr>
    <w:r>
      <w:t>Attachment 28:  Phase IV Health Follow-Up FAQs for CAWI/CATI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55F"/>
    <w:rsid w:val="0006555F"/>
    <w:rsid w:val="00086C5E"/>
    <w:rsid w:val="001B71C1"/>
    <w:rsid w:val="00210E19"/>
    <w:rsid w:val="00252241"/>
    <w:rsid w:val="002B7426"/>
    <w:rsid w:val="009666EB"/>
    <w:rsid w:val="00B80B51"/>
    <w:rsid w:val="00CB00DD"/>
    <w:rsid w:val="00CB22F8"/>
    <w:rsid w:val="00E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6555F"/>
    <w:pPr>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06555F"/>
    <w:rPr>
      <w:rFonts w:ascii="Times New Roman" w:eastAsia="Times New Roman" w:hAnsi="Times New Roman" w:cs="Times New Roman"/>
      <w:szCs w:val="20"/>
    </w:rPr>
  </w:style>
  <w:style w:type="character" w:styleId="Hyperlink">
    <w:name w:val="Hyperlink"/>
    <w:rsid w:val="0006555F"/>
    <w:rPr>
      <w:strike w:val="0"/>
      <w:dstrike w:val="0"/>
      <w:color w:val="0000FF"/>
      <w:u w:val="none"/>
      <w:effect w:val="none"/>
    </w:rPr>
  </w:style>
  <w:style w:type="paragraph" w:styleId="Header">
    <w:name w:val="header"/>
    <w:basedOn w:val="Normal"/>
    <w:link w:val="HeaderChar"/>
    <w:uiPriority w:val="99"/>
    <w:unhideWhenUsed/>
    <w:rsid w:val="00CB0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0DD"/>
  </w:style>
  <w:style w:type="paragraph" w:styleId="Footer">
    <w:name w:val="footer"/>
    <w:basedOn w:val="Normal"/>
    <w:link w:val="FooterChar"/>
    <w:uiPriority w:val="99"/>
    <w:unhideWhenUsed/>
    <w:rsid w:val="00CB0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0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6555F"/>
    <w:pPr>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06555F"/>
    <w:rPr>
      <w:rFonts w:ascii="Times New Roman" w:eastAsia="Times New Roman" w:hAnsi="Times New Roman" w:cs="Times New Roman"/>
      <w:szCs w:val="20"/>
    </w:rPr>
  </w:style>
  <w:style w:type="character" w:styleId="Hyperlink">
    <w:name w:val="Hyperlink"/>
    <w:rsid w:val="0006555F"/>
    <w:rPr>
      <w:strike w:val="0"/>
      <w:dstrike w:val="0"/>
      <w:color w:val="0000FF"/>
      <w:u w:val="none"/>
      <w:effect w:val="none"/>
    </w:rPr>
  </w:style>
  <w:style w:type="paragraph" w:styleId="Header">
    <w:name w:val="header"/>
    <w:basedOn w:val="Normal"/>
    <w:link w:val="HeaderChar"/>
    <w:uiPriority w:val="99"/>
    <w:unhideWhenUsed/>
    <w:rsid w:val="00CB0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0DD"/>
  </w:style>
  <w:style w:type="paragraph" w:styleId="Footer">
    <w:name w:val="footer"/>
    <w:basedOn w:val="Normal"/>
    <w:link w:val="FooterChar"/>
    <w:uiPriority w:val="99"/>
    <w:unhideWhenUsed/>
    <w:rsid w:val="00CB0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crosoft.com/download/en/ie.aspx?q=internet+explorer&amp;WT.mc_id=MSCOM_EN_US_DLC_ICONNAV_121LSUS00779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revak</dc:creator>
  <cp:keywords/>
  <dc:description/>
  <cp:lastModifiedBy>temp</cp:lastModifiedBy>
  <cp:revision>5</cp:revision>
  <dcterms:created xsi:type="dcterms:W3CDTF">2012-10-01T20:23:00Z</dcterms:created>
  <dcterms:modified xsi:type="dcterms:W3CDTF">2012-11-01T18:52:00Z</dcterms:modified>
</cp:coreProperties>
</file>