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A8" w:rsidRDefault="00E473A8" w:rsidP="00AF1FFB">
      <w:pPr>
        <w:pStyle w:val="Heading1"/>
        <w:rPr>
          <w:i/>
        </w:rPr>
      </w:pPr>
    </w:p>
    <w:p w:rsidR="00E473A8" w:rsidRPr="00F1465D" w:rsidRDefault="00E473A8" w:rsidP="00AF1FFB">
      <w:pPr>
        <w:pStyle w:val="Heading1"/>
        <w:jc w:val="center"/>
        <w:rPr>
          <w:rFonts w:ascii="Arial" w:hAnsi="Arial" w:cs="Arial"/>
          <w:sz w:val="28"/>
          <w:szCs w:val="28"/>
        </w:rPr>
      </w:pPr>
      <w:r w:rsidRPr="00F1465D">
        <w:rPr>
          <w:rFonts w:ascii="Arial" w:hAnsi="Arial" w:cs="Arial"/>
          <w:sz w:val="28"/>
          <w:szCs w:val="28"/>
        </w:rPr>
        <w:t>Cross-Site Evaluation of the Garrett Lee Smith Memorial Suicide</w:t>
      </w:r>
    </w:p>
    <w:p w:rsidR="00E473A8" w:rsidRPr="00F1465D" w:rsidRDefault="00E473A8" w:rsidP="00AF1FFB">
      <w:pPr>
        <w:pStyle w:val="Heading1"/>
        <w:jc w:val="center"/>
        <w:rPr>
          <w:rFonts w:ascii="Arial" w:hAnsi="Arial" w:cs="Arial"/>
          <w:sz w:val="28"/>
          <w:szCs w:val="28"/>
        </w:rPr>
      </w:pPr>
      <w:r w:rsidRPr="00F1465D">
        <w:rPr>
          <w:rFonts w:ascii="Arial" w:hAnsi="Arial" w:cs="Arial"/>
          <w:sz w:val="28"/>
          <w:szCs w:val="28"/>
        </w:rPr>
        <w:t>Prevention and Early Intervention Program</w:t>
      </w:r>
    </w:p>
    <w:p w:rsidR="00E473A8" w:rsidRPr="00F1465D" w:rsidRDefault="00E473A8" w:rsidP="00AF1FFB">
      <w:pPr>
        <w:pStyle w:val="Heading1"/>
        <w:jc w:val="center"/>
        <w:rPr>
          <w:rFonts w:ascii="Arial" w:hAnsi="Arial" w:cs="Arial"/>
          <w:sz w:val="28"/>
          <w:szCs w:val="28"/>
        </w:rPr>
      </w:pPr>
      <w:r w:rsidRPr="00F1465D">
        <w:rPr>
          <w:rFonts w:ascii="Arial" w:hAnsi="Arial" w:cs="Arial"/>
          <w:sz w:val="28"/>
          <w:szCs w:val="28"/>
        </w:rPr>
        <w:t>Supporting Statement</w:t>
      </w:r>
    </w:p>
    <w:p w:rsidR="00E473A8" w:rsidRPr="00F1465D" w:rsidRDefault="00E473A8" w:rsidP="002E02E6">
      <w:pPr>
        <w:widowControl/>
        <w:rPr>
          <w:rFonts w:ascii="Arial" w:hAnsi="Arial"/>
          <w:sz w:val="28"/>
          <w:szCs w:val="28"/>
        </w:rPr>
      </w:pPr>
    </w:p>
    <w:p w:rsidR="007A2223" w:rsidRPr="00F1465D" w:rsidRDefault="007A2223" w:rsidP="006471A8">
      <w:pPr>
        <w:pStyle w:val="SuicideHead1"/>
      </w:pPr>
      <w:bookmarkStart w:id="0" w:name="_Toc128970983"/>
      <w:bookmarkStart w:id="1" w:name="_Toc348703726"/>
      <w:r w:rsidRPr="00F1465D">
        <w:t>B.</w:t>
      </w:r>
      <w:r w:rsidRPr="00F1465D">
        <w:tab/>
        <w:t>Statistical Methods</w:t>
      </w:r>
      <w:bookmarkEnd w:id="0"/>
      <w:bookmarkEnd w:id="1"/>
    </w:p>
    <w:p w:rsidR="007A2223" w:rsidRPr="00F1465D" w:rsidRDefault="007A2223" w:rsidP="006471A8">
      <w:pPr>
        <w:pStyle w:val="SuicideHead2"/>
      </w:pPr>
      <w:bookmarkStart w:id="2" w:name="_Toc128970984"/>
      <w:bookmarkStart w:id="3" w:name="_Toc348703727"/>
      <w:r w:rsidRPr="00F1465D">
        <w:t>1</w:t>
      </w:r>
      <w:r w:rsidR="00523EB9" w:rsidRPr="00F1465D">
        <w:t>.</w:t>
      </w:r>
      <w:r w:rsidR="00466BDF" w:rsidRPr="00F1465D">
        <w:tab/>
      </w:r>
      <w:r w:rsidRPr="00F1465D">
        <w:t>Respondent Universe and Sampling Methods</w:t>
      </w:r>
      <w:bookmarkEnd w:id="2"/>
      <w:bookmarkEnd w:id="3"/>
    </w:p>
    <w:p w:rsidR="003328B6" w:rsidRPr="00F1465D" w:rsidRDefault="003328B6" w:rsidP="00466BDF">
      <w:pPr>
        <w:pStyle w:val="SuicideBodyText"/>
      </w:pPr>
      <w:r w:rsidRPr="00F1465D">
        <w:t>The respondent universe and sampling methods are described for each of the data collection instruments below.</w:t>
      </w:r>
    </w:p>
    <w:p w:rsidR="003328B6" w:rsidRPr="00F1465D" w:rsidRDefault="003328B6" w:rsidP="00466BDF">
      <w:pPr>
        <w:pStyle w:val="SuicideBodyText"/>
      </w:pPr>
    </w:p>
    <w:p w:rsidR="003328B6" w:rsidRPr="00F1465D" w:rsidRDefault="003328B6" w:rsidP="00466BDF">
      <w:pPr>
        <w:pStyle w:val="SuicideBodyText"/>
      </w:pPr>
      <w:r w:rsidRPr="00F1465D">
        <w:rPr>
          <w:b/>
          <w:bCs/>
        </w:rPr>
        <w:t>Prevention Strategies Inventory</w:t>
      </w:r>
      <w:r w:rsidR="00B43C69" w:rsidRPr="00F1465D">
        <w:rPr>
          <w:b/>
          <w:bCs/>
        </w:rPr>
        <w:t xml:space="preserve"> (PSI)</w:t>
      </w:r>
      <w:r w:rsidR="00200303" w:rsidRPr="00F1465D">
        <w:rPr>
          <w:b/>
          <w:bCs/>
        </w:rPr>
        <w:t>.</w:t>
      </w:r>
      <w:r w:rsidRPr="00F1465D">
        <w:rPr>
          <w:b/>
        </w:rPr>
        <w:t xml:space="preserve"> </w:t>
      </w:r>
      <w:r w:rsidRPr="00F1465D">
        <w:t xml:space="preserve">Respondents for the Prevention Strategies Inventory will be project evaluators and/or program staff. Each of the </w:t>
      </w:r>
      <w:r w:rsidR="006B57C9" w:rsidRPr="00F1465D">
        <w:t xml:space="preserve">61 </w:t>
      </w:r>
      <w:r w:rsidRPr="00F1465D">
        <w:t xml:space="preserve">State/Tribal grantees and </w:t>
      </w:r>
      <w:r w:rsidR="006B57C9" w:rsidRPr="00F1465D">
        <w:t xml:space="preserve">6 </w:t>
      </w:r>
      <w:r w:rsidRPr="00F1465D">
        <w:t>Campus grantees will be required to complete the inventory</w:t>
      </w:r>
      <w:r w:rsidR="00523EB9" w:rsidRPr="00F1465D">
        <w:t xml:space="preserve">. </w:t>
      </w:r>
    </w:p>
    <w:p w:rsidR="003328B6" w:rsidRPr="00F1465D" w:rsidRDefault="003328B6" w:rsidP="00466BDF">
      <w:pPr>
        <w:pStyle w:val="SuicideBodyText"/>
      </w:pPr>
    </w:p>
    <w:p w:rsidR="001B55B0" w:rsidRPr="00F1465D" w:rsidRDefault="007A2223" w:rsidP="00466BDF">
      <w:pPr>
        <w:pStyle w:val="SuicideBodyText"/>
      </w:pPr>
      <w:r w:rsidRPr="00F1465D">
        <w:rPr>
          <w:b/>
          <w:bCs/>
        </w:rPr>
        <w:t>Training Exit Survey</w:t>
      </w:r>
      <w:r w:rsidR="00B43C69" w:rsidRPr="00F1465D">
        <w:rPr>
          <w:b/>
          <w:bCs/>
        </w:rPr>
        <w:t xml:space="preserve"> (TES)</w:t>
      </w:r>
      <w:r w:rsidR="00523EB9" w:rsidRPr="00F1465D">
        <w:t xml:space="preserve">. </w:t>
      </w:r>
    </w:p>
    <w:p w:rsidR="001B55B0" w:rsidRPr="00F1465D" w:rsidRDefault="001B55B0" w:rsidP="001B55B0">
      <w:r w:rsidRPr="00F1465D">
        <w:t>The target populations of the TES is adult (i.e. 18 and older) participants in GLS Campus sponsored trainings in one of the 60 grantees from cohort 5 and 6 during FY 2014 to FY2016. It is estimated that these grantees will train as much as 45,000 adults during that period.</w:t>
      </w:r>
    </w:p>
    <w:p w:rsidR="001B55B0" w:rsidRPr="00F1465D" w:rsidRDefault="001B55B0" w:rsidP="001B55B0">
      <w:pPr>
        <w:pStyle w:val="ListParagraph"/>
      </w:pPr>
    </w:p>
    <w:p w:rsidR="001B55B0" w:rsidRPr="00F1465D" w:rsidRDefault="001B55B0" w:rsidP="001B55B0">
      <w:r w:rsidRPr="00F1465D">
        <w:t xml:space="preserve">We propose a </w:t>
      </w:r>
      <w:r w:rsidRPr="00F1465D">
        <w:rPr>
          <w:iCs/>
        </w:rPr>
        <w:t>single</w:t>
      </w:r>
      <w:r w:rsidRPr="00F1465D">
        <w:t>-</w:t>
      </w:r>
      <w:r w:rsidRPr="00F1465D">
        <w:rPr>
          <w:iCs/>
        </w:rPr>
        <w:t>stage cluster sampling</w:t>
      </w:r>
      <w:r w:rsidRPr="00F1465D">
        <w:t xml:space="preserve">. Within each stratum, composed by a cohort of campus grantees, a simple random sample of grantees is selected. The TES is administered to all the adult trainees participating in training events in the selected campuses. When compared with other alternatives (such as simple random sampling of trainees or cluster sample of trainings), cluster sampling of campuses results in a reduction in the amount of information per sampled unit. However, the proposed alternative has several </w:t>
      </w:r>
      <w:proofErr w:type="gramStart"/>
      <w:r w:rsidRPr="00F1465D">
        <w:t>advantages,</w:t>
      </w:r>
      <w:proofErr w:type="gramEnd"/>
      <w:r w:rsidRPr="00F1465D">
        <w:t xml:space="preserve"> in particular, it minimizes the administrative costs and logistic requirements imposed to the grantees implementing the trainings, some of which may not have the capacity to carry out the procedures that alternative sampling strategies would require. For the same reason, the proposed alternative maximizes the likelihood that data collection is performed according to protocol. </w:t>
      </w:r>
    </w:p>
    <w:p w:rsidR="001B55B0" w:rsidRPr="00F1465D" w:rsidRDefault="001B55B0" w:rsidP="001B55B0">
      <w:pPr>
        <w:pStyle w:val="ListParagraph"/>
      </w:pPr>
    </w:p>
    <w:p w:rsidR="001B55B0" w:rsidRPr="00F1465D" w:rsidRDefault="001B55B0" w:rsidP="001B55B0">
      <w:r w:rsidRPr="00F1465D">
        <w:t xml:space="preserve">A total of 30 grantees will be randomly selected, 10 from cohort 5 and 20 from cohort 6 stratum. We anticipate that, at a minimum, the proposed sampling plan will result in a total of 13,000 respondents (6, 5 and 2 thousand in fiscal years 2014, 2015 and 2016, respectively) based on a conservatively estimated response rate of 60%. </w:t>
      </w:r>
    </w:p>
    <w:p w:rsidR="001B55B0" w:rsidRPr="00F1465D" w:rsidRDefault="001B55B0" w:rsidP="001B55B0">
      <w:pPr>
        <w:pStyle w:val="ListParagraph"/>
      </w:pPr>
    </w:p>
    <w:p w:rsidR="001B55B0" w:rsidRPr="00F1465D" w:rsidRDefault="001B55B0" w:rsidP="001B55B0">
      <w:r w:rsidRPr="00F1465D">
        <w:t xml:space="preserve">For the power analysis, we focused on a set of selected indicators, and compute the precision associated with their estimation (see Table 8). Along with the results for the overall sample, results are shown for domains representing 50%, 25% and 10% of the sample. In the context of TES, a typical domain of interest is constituted by the subtype of training or the main role of the participants. The main inputs for the analysis (i.e. mean, standard deviation and intra-class correlation for each indicator) are estimated based on more than 16,000 TES interviews from trainings implemented by cohort 4 and 6 sites between FY2012 and 2013. In sum, the overall sample affords quite precise estimations with standard errors no greater than 2.5%. For domains of moderate size (representing between 25% and 50% of the sample) the precision is still considerable with standard errors no greater than 5% unless the intra-class correlation (ICC) is unusually large. Only estimation in small domains (representing 10% of the sample) becomes relatively imprecise, particular when in presence of a large ICC. </w:t>
      </w:r>
    </w:p>
    <w:p w:rsidR="001B55B0" w:rsidRPr="00F1465D" w:rsidRDefault="001B55B0" w:rsidP="001B55B0">
      <w:pPr>
        <w:pStyle w:val="SuicideBodyText"/>
        <w:ind w:left="720"/>
        <w:rPr>
          <w:rFonts w:ascii="Arial" w:hAnsi="Arial" w:cs="Arial"/>
          <w:b/>
          <w:sz w:val="20"/>
          <w:szCs w:val="20"/>
        </w:rPr>
      </w:pPr>
    </w:p>
    <w:p w:rsidR="001B55B0" w:rsidRPr="00F1465D" w:rsidRDefault="001B55B0" w:rsidP="001B55B0">
      <w:pPr>
        <w:pStyle w:val="SuicideBodyText"/>
        <w:ind w:left="720"/>
        <w:rPr>
          <w:rFonts w:ascii="Arial" w:hAnsi="Arial" w:cs="Arial"/>
          <w:b/>
          <w:sz w:val="20"/>
          <w:szCs w:val="20"/>
        </w:rPr>
      </w:pPr>
    </w:p>
    <w:p w:rsidR="001B55B0" w:rsidRPr="00F1465D" w:rsidRDefault="001B55B0" w:rsidP="001B55B0">
      <w:pPr>
        <w:pStyle w:val="SuicideBodyText"/>
        <w:ind w:left="720"/>
        <w:rPr>
          <w:rFonts w:ascii="Arial" w:hAnsi="Arial" w:cs="Arial"/>
          <w:b/>
          <w:sz w:val="20"/>
          <w:szCs w:val="20"/>
        </w:rPr>
      </w:pPr>
    </w:p>
    <w:p w:rsidR="001B55B0" w:rsidRPr="00F1465D" w:rsidRDefault="001B55B0" w:rsidP="001B55B0">
      <w:pPr>
        <w:pStyle w:val="SuicideBodyText"/>
        <w:ind w:left="720"/>
        <w:rPr>
          <w:rFonts w:ascii="Arial" w:hAnsi="Arial" w:cs="Arial"/>
          <w:b/>
          <w:sz w:val="20"/>
          <w:szCs w:val="20"/>
        </w:rPr>
      </w:pPr>
    </w:p>
    <w:p w:rsidR="001B55B0" w:rsidRPr="00F1465D" w:rsidRDefault="001B55B0" w:rsidP="001B55B0">
      <w:pPr>
        <w:pStyle w:val="SuicideBodyText"/>
        <w:ind w:left="360"/>
        <w:jc w:val="center"/>
        <w:rPr>
          <w:rFonts w:ascii="Arial" w:hAnsi="Arial" w:cs="Arial"/>
          <w:b/>
          <w:sz w:val="20"/>
          <w:szCs w:val="20"/>
        </w:rPr>
      </w:pPr>
      <w:r w:rsidRPr="00F1465D">
        <w:rPr>
          <w:rFonts w:ascii="Arial" w:hAnsi="Arial" w:cs="Arial"/>
          <w:b/>
          <w:sz w:val="20"/>
          <w:szCs w:val="20"/>
        </w:rPr>
        <w:lastRenderedPageBreak/>
        <w:t>Table 8 TES: Standard Error for selected indicators</w:t>
      </w:r>
    </w:p>
    <w:tbl>
      <w:tblPr>
        <w:tblW w:w="977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3758"/>
        <w:gridCol w:w="1489"/>
        <w:gridCol w:w="1350"/>
        <w:gridCol w:w="1582"/>
        <w:gridCol w:w="1600"/>
      </w:tblGrid>
      <w:tr w:rsidR="001B55B0" w:rsidRPr="00F1465D" w:rsidTr="009240F7">
        <w:trPr>
          <w:trHeight w:val="486"/>
          <w:jc w:val="center"/>
        </w:trPr>
        <w:tc>
          <w:tcPr>
            <w:tcW w:w="3758" w:type="dxa"/>
            <w:vMerge w:val="restart"/>
            <w:shd w:val="clear" w:color="auto" w:fill="000000" w:themeFill="text1"/>
            <w:noWrap/>
            <w:vAlign w:val="center"/>
          </w:tcPr>
          <w:p w:rsidR="001B55B0" w:rsidRPr="00F1465D" w:rsidRDefault="001B55B0" w:rsidP="009240F7">
            <w:pPr>
              <w:pStyle w:val="SuicideTableHeading1"/>
              <w:rPr>
                <w:bCs/>
                <w:sz w:val="18"/>
                <w:szCs w:val="18"/>
              </w:rPr>
            </w:pPr>
            <w:r w:rsidRPr="00F1465D">
              <w:rPr>
                <w:bCs/>
                <w:sz w:val="18"/>
                <w:szCs w:val="18"/>
              </w:rPr>
              <w:t>Estimated Values</w:t>
            </w:r>
          </w:p>
        </w:tc>
        <w:tc>
          <w:tcPr>
            <w:tcW w:w="1489" w:type="dxa"/>
            <w:vMerge w:val="restart"/>
            <w:shd w:val="clear" w:color="auto" w:fill="000000" w:themeFill="text1"/>
            <w:vAlign w:val="center"/>
          </w:tcPr>
          <w:p w:rsidR="001B55B0" w:rsidRPr="00F1465D" w:rsidRDefault="001B55B0" w:rsidP="009240F7">
            <w:pPr>
              <w:pStyle w:val="SuicideTableHeading1"/>
              <w:rPr>
                <w:color w:val="auto"/>
                <w:sz w:val="18"/>
                <w:szCs w:val="18"/>
              </w:rPr>
            </w:pPr>
          </w:p>
          <w:p w:rsidR="001B55B0" w:rsidRPr="00F1465D" w:rsidRDefault="001B55B0" w:rsidP="009240F7">
            <w:pPr>
              <w:pStyle w:val="SuicideTableHeading1"/>
              <w:rPr>
                <w:bCs/>
                <w:sz w:val="18"/>
                <w:szCs w:val="18"/>
              </w:rPr>
            </w:pPr>
            <w:r w:rsidRPr="00F1465D">
              <w:rPr>
                <w:color w:val="auto"/>
                <w:sz w:val="18"/>
                <w:szCs w:val="18"/>
              </w:rPr>
              <w:t>Overall</w:t>
            </w:r>
          </w:p>
        </w:tc>
        <w:tc>
          <w:tcPr>
            <w:tcW w:w="4532" w:type="dxa"/>
            <w:gridSpan w:val="3"/>
            <w:shd w:val="clear" w:color="auto" w:fill="000000" w:themeFill="text1"/>
          </w:tcPr>
          <w:p w:rsidR="001B55B0" w:rsidRPr="00F1465D" w:rsidRDefault="001B55B0" w:rsidP="009240F7">
            <w:pPr>
              <w:pStyle w:val="SuicideTableHeading1"/>
              <w:rPr>
                <w:bCs/>
                <w:sz w:val="18"/>
                <w:szCs w:val="18"/>
              </w:rPr>
            </w:pPr>
            <w:r w:rsidRPr="00F1465D">
              <w:rPr>
                <w:color w:val="auto"/>
                <w:sz w:val="18"/>
                <w:szCs w:val="18"/>
              </w:rPr>
              <w:t>Domain</w:t>
            </w:r>
          </w:p>
        </w:tc>
      </w:tr>
      <w:tr w:rsidR="001B55B0" w:rsidRPr="00F1465D" w:rsidTr="009240F7">
        <w:trPr>
          <w:trHeight w:val="576"/>
          <w:jc w:val="center"/>
        </w:trPr>
        <w:tc>
          <w:tcPr>
            <w:tcW w:w="3758" w:type="dxa"/>
            <w:vMerge/>
            <w:shd w:val="clear" w:color="auto" w:fill="000000" w:themeFill="text1"/>
            <w:noWrap/>
            <w:vAlign w:val="center"/>
          </w:tcPr>
          <w:p w:rsidR="001B55B0" w:rsidRPr="00F1465D" w:rsidRDefault="001B55B0" w:rsidP="009240F7">
            <w:pPr>
              <w:pStyle w:val="SuicideTableHeading1"/>
              <w:rPr>
                <w:bCs/>
                <w:sz w:val="18"/>
                <w:szCs w:val="18"/>
              </w:rPr>
            </w:pPr>
          </w:p>
        </w:tc>
        <w:tc>
          <w:tcPr>
            <w:tcW w:w="1489" w:type="dxa"/>
            <w:vMerge/>
            <w:shd w:val="clear" w:color="auto" w:fill="000000" w:themeFill="text1"/>
            <w:vAlign w:val="center"/>
          </w:tcPr>
          <w:p w:rsidR="001B55B0" w:rsidRPr="00F1465D" w:rsidRDefault="001B55B0" w:rsidP="009240F7">
            <w:pPr>
              <w:pStyle w:val="SuicideTableHeading1"/>
              <w:rPr>
                <w:bCs/>
                <w:color w:val="FFFFFF" w:themeColor="background1"/>
                <w:sz w:val="18"/>
                <w:szCs w:val="18"/>
              </w:rPr>
            </w:pPr>
          </w:p>
        </w:tc>
        <w:tc>
          <w:tcPr>
            <w:tcW w:w="1350" w:type="dxa"/>
            <w:shd w:val="clear" w:color="auto" w:fill="000000" w:themeFill="text1"/>
          </w:tcPr>
          <w:p w:rsidR="001B55B0" w:rsidRPr="00F1465D" w:rsidRDefault="001B55B0" w:rsidP="009240F7">
            <w:pPr>
              <w:pStyle w:val="SuicideTableHeading1"/>
              <w:rPr>
                <w:color w:val="auto"/>
                <w:sz w:val="18"/>
                <w:szCs w:val="18"/>
              </w:rPr>
            </w:pPr>
            <w:r w:rsidRPr="00F1465D">
              <w:rPr>
                <w:color w:val="auto"/>
                <w:sz w:val="18"/>
                <w:szCs w:val="18"/>
              </w:rPr>
              <w:t>50% of the sample</w:t>
            </w:r>
          </w:p>
        </w:tc>
        <w:tc>
          <w:tcPr>
            <w:tcW w:w="1582" w:type="dxa"/>
            <w:shd w:val="clear" w:color="auto" w:fill="000000" w:themeFill="text1"/>
          </w:tcPr>
          <w:p w:rsidR="001B55B0" w:rsidRPr="00F1465D" w:rsidRDefault="001B55B0" w:rsidP="009240F7">
            <w:pPr>
              <w:pStyle w:val="SuicideTableHeading1"/>
              <w:rPr>
                <w:color w:val="auto"/>
                <w:sz w:val="18"/>
                <w:szCs w:val="18"/>
              </w:rPr>
            </w:pPr>
            <w:r w:rsidRPr="00F1465D">
              <w:rPr>
                <w:color w:val="auto"/>
                <w:sz w:val="18"/>
                <w:szCs w:val="18"/>
              </w:rPr>
              <w:t>25% of the sample</w:t>
            </w:r>
          </w:p>
        </w:tc>
        <w:tc>
          <w:tcPr>
            <w:tcW w:w="1600" w:type="dxa"/>
            <w:shd w:val="clear" w:color="auto" w:fill="000000" w:themeFill="text1"/>
          </w:tcPr>
          <w:p w:rsidR="001B55B0" w:rsidRPr="00F1465D" w:rsidRDefault="001B55B0" w:rsidP="009240F7">
            <w:pPr>
              <w:pStyle w:val="SuicideTableHeading1"/>
              <w:ind w:left="5"/>
              <w:rPr>
                <w:color w:val="auto"/>
                <w:sz w:val="18"/>
                <w:szCs w:val="18"/>
              </w:rPr>
            </w:pPr>
            <w:r w:rsidRPr="00F1465D">
              <w:rPr>
                <w:color w:val="auto"/>
                <w:sz w:val="18"/>
                <w:szCs w:val="18"/>
              </w:rPr>
              <w:t>10% of the sample</w:t>
            </w:r>
          </w:p>
        </w:tc>
      </w:tr>
      <w:tr w:rsidR="001B55B0" w:rsidRPr="00F1465D" w:rsidTr="009240F7">
        <w:trPr>
          <w:trHeight w:val="288"/>
          <w:jc w:val="center"/>
        </w:trPr>
        <w:tc>
          <w:tcPr>
            <w:tcW w:w="3758" w:type="dxa"/>
            <w:shd w:val="clear" w:color="auto" w:fill="auto"/>
            <w:noWrap/>
            <w:vAlign w:val="center"/>
            <w:hideMark/>
          </w:tcPr>
          <w:p w:rsidR="001B55B0" w:rsidRPr="00F1465D" w:rsidRDefault="001B55B0" w:rsidP="009240F7">
            <w:pPr>
              <w:jc w:val="center"/>
              <w:rPr>
                <w:rFonts w:ascii="Arial" w:hAnsi="Arial" w:cs="Arial"/>
                <w:bCs/>
                <w:color w:val="000000"/>
                <w:sz w:val="18"/>
                <w:szCs w:val="18"/>
              </w:rPr>
            </w:pPr>
            <w:r w:rsidRPr="00F1465D">
              <w:rPr>
                <w:rFonts w:ascii="Arial" w:hAnsi="Arial" w:cs="Arial"/>
                <w:bCs/>
                <w:color w:val="000000"/>
                <w:sz w:val="18"/>
                <w:szCs w:val="18"/>
              </w:rPr>
              <w:t>Intent to use what was learned  to identify students who might be at risk for suicide  (Mean=.73; SD=.45; ICC=.06)</w:t>
            </w:r>
          </w:p>
        </w:tc>
        <w:tc>
          <w:tcPr>
            <w:tcW w:w="1489" w:type="dxa"/>
            <w:shd w:val="clear" w:color="auto" w:fill="auto"/>
            <w:noWrap/>
            <w:vAlign w:val="bottom"/>
          </w:tcPr>
          <w:p w:rsidR="001B55B0" w:rsidRPr="00F1465D" w:rsidRDefault="001B55B0" w:rsidP="009240F7">
            <w:pPr>
              <w:jc w:val="right"/>
              <w:rPr>
                <w:rFonts w:ascii="Calibri" w:hAnsi="Calibri"/>
                <w:color w:val="000000"/>
              </w:rPr>
            </w:pPr>
            <w:r w:rsidRPr="00F1465D">
              <w:rPr>
                <w:rFonts w:ascii="Calibri" w:hAnsi="Calibri"/>
                <w:color w:val="000000"/>
              </w:rPr>
              <w:t>1.4%</w:t>
            </w:r>
          </w:p>
        </w:tc>
        <w:tc>
          <w:tcPr>
            <w:tcW w:w="1350"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2.9%</w:t>
            </w:r>
          </w:p>
        </w:tc>
        <w:tc>
          <w:tcPr>
            <w:tcW w:w="1582"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4.1%</w:t>
            </w:r>
          </w:p>
        </w:tc>
        <w:tc>
          <w:tcPr>
            <w:tcW w:w="1600"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6.5%</w:t>
            </w:r>
          </w:p>
        </w:tc>
      </w:tr>
      <w:tr w:rsidR="001B55B0" w:rsidRPr="00F1465D" w:rsidTr="009240F7">
        <w:trPr>
          <w:trHeight w:val="288"/>
          <w:jc w:val="center"/>
        </w:trPr>
        <w:tc>
          <w:tcPr>
            <w:tcW w:w="3758" w:type="dxa"/>
            <w:shd w:val="clear" w:color="auto" w:fill="auto"/>
            <w:noWrap/>
            <w:vAlign w:val="center"/>
            <w:hideMark/>
          </w:tcPr>
          <w:p w:rsidR="001B55B0" w:rsidRPr="00F1465D" w:rsidRDefault="001B55B0" w:rsidP="009240F7">
            <w:pPr>
              <w:jc w:val="center"/>
              <w:rPr>
                <w:rFonts w:ascii="Arial" w:hAnsi="Arial" w:cs="Arial"/>
                <w:bCs/>
                <w:color w:val="000000"/>
                <w:sz w:val="18"/>
                <w:szCs w:val="18"/>
              </w:rPr>
            </w:pPr>
            <w:r w:rsidRPr="00F1465D">
              <w:rPr>
                <w:rFonts w:ascii="Arial" w:hAnsi="Arial" w:cs="Arial"/>
                <w:bCs/>
                <w:color w:val="000000"/>
                <w:sz w:val="18"/>
                <w:szCs w:val="18"/>
              </w:rPr>
              <w:t>Strongly Agree that the training increased their knowledge about suicide prevention (Mean=.60; SD=.49; ICC=.04)</w:t>
            </w:r>
          </w:p>
        </w:tc>
        <w:tc>
          <w:tcPr>
            <w:tcW w:w="1489" w:type="dxa"/>
            <w:shd w:val="clear" w:color="auto" w:fill="auto"/>
            <w:noWrap/>
            <w:vAlign w:val="bottom"/>
          </w:tcPr>
          <w:p w:rsidR="001B55B0" w:rsidRPr="00F1465D" w:rsidRDefault="001B55B0" w:rsidP="009240F7">
            <w:pPr>
              <w:jc w:val="right"/>
              <w:rPr>
                <w:rFonts w:ascii="Calibri" w:hAnsi="Calibri"/>
                <w:color w:val="000000"/>
              </w:rPr>
            </w:pPr>
            <w:r w:rsidRPr="00F1465D">
              <w:rPr>
                <w:rFonts w:ascii="Calibri" w:hAnsi="Calibri"/>
                <w:color w:val="000000"/>
              </w:rPr>
              <w:t>1.3%</w:t>
            </w:r>
          </w:p>
        </w:tc>
        <w:tc>
          <w:tcPr>
            <w:tcW w:w="1350"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2.6%</w:t>
            </w:r>
          </w:p>
        </w:tc>
        <w:tc>
          <w:tcPr>
            <w:tcW w:w="1582"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3.7%</w:t>
            </w:r>
          </w:p>
        </w:tc>
        <w:tc>
          <w:tcPr>
            <w:tcW w:w="1600"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5.8%</w:t>
            </w:r>
          </w:p>
        </w:tc>
      </w:tr>
      <w:tr w:rsidR="001B55B0" w:rsidRPr="00F1465D" w:rsidTr="009240F7">
        <w:trPr>
          <w:trHeight w:val="288"/>
          <w:jc w:val="center"/>
        </w:trPr>
        <w:tc>
          <w:tcPr>
            <w:tcW w:w="3758" w:type="dxa"/>
            <w:shd w:val="clear" w:color="auto" w:fill="auto"/>
            <w:noWrap/>
            <w:vAlign w:val="center"/>
            <w:hideMark/>
          </w:tcPr>
          <w:p w:rsidR="001B55B0" w:rsidRPr="00F1465D" w:rsidRDefault="001B55B0" w:rsidP="009240F7">
            <w:pPr>
              <w:jc w:val="center"/>
              <w:rPr>
                <w:rFonts w:ascii="Arial" w:hAnsi="Arial" w:cs="Arial"/>
                <w:bCs/>
                <w:color w:val="000000"/>
                <w:sz w:val="18"/>
                <w:szCs w:val="18"/>
              </w:rPr>
            </w:pPr>
            <w:r w:rsidRPr="00F1465D">
              <w:rPr>
                <w:rFonts w:ascii="Arial" w:hAnsi="Arial" w:cs="Arial"/>
                <w:bCs/>
                <w:color w:val="000000"/>
                <w:sz w:val="18"/>
                <w:szCs w:val="18"/>
              </w:rPr>
              <w:t>Trainee involve in crisis response, primary or mental health services, residential life services or teaching</w:t>
            </w:r>
            <w:r w:rsidRPr="00F1465D">
              <w:rPr>
                <w:rFonts w:ascii="Arial" w:hAnsi="Arial" w:cs="Arial"/>
                <w:bCs/>
                <w:color w:val="000000"/>
                <w:sz w:val="18"/>
                <w:szCs w:val="18"/>
              </w:rPr>
              <w:br/>
              <w:t>(Mean= .56; SD= .5; ICC=.15)</w:t>
            </w:r>
          </w:p>
        </w:tc>
        <w:tc>
          <w:tcPr>
            <w:tcW w:w="1489" w:type="dxa"/>
            <w:shd w:val="clear" w:color="auto" w:fill="auto"/>
            <w:noWrap/>
            <w:vAlign w:val="bottom"/>
          </w:tcPr>
          <w:p w:rsidR="001B55B0" w:rsidRPr="00F1465D" w:rsidRDefault="001B55B0" w:rsidP="009240F7">
            <w:pPr>
              <w:jc w:val="right"/>
              <w:rPr>
                <w:rFonts w:ascii="Calibri" w:hAnsi="Calibri"/>
                <w:color w:val="000000"/>
              </w:rPr>
            </w:pPr>
            <w:r w:rsidRPr="00F1465D">
              <w:rPr>
                <w:rFonts w:ascii="Calibri" w:hAnsi="Calibri"/>
                <w:color w:val="000000"/>
              </w:rPr>
              <w:t>2.5%</w:t>
            </w:r>
          </w:p>
        </w:tc>
        <w:tc>
          <w:tcPr>
            <w:tcW w:w="1350"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5.0%</w:t>
            </w:r>
          </w:p>
        </w:tc>
        <w:tc>
          <w:tcPr>
            <w:tcW w:w="1582"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7.1%</w:t>
            </w:r>
          </w:p>
        </w:tc>
        <w:tc>
          <w:tcPr>
            <w:tcW w:w="1600" w:type="dxa"/>
            <w:vAlign w:val="bottom"/>
          </w:tcPr>
          <w:p w:rsidR="001B55B0" w:rsidRPr="00F1465D" w:rsidRDefault="001B55B0" w:rsidP="009240F7">
            <w:pPr>
              <w:jc w:val="right"/>
              <w:rPr>
                <w:rFonts w:ascii="Calibri" w:hAnsi="Calibri"/>
                <w:color w:val="000000"/>
              </w:rPr>
            </w:pPr>
            <w:r w:rsidRPr="00F1465D">
              <w:rPr>
                <w:rFonts w:ascii="Calibri" w:hAnsi="Calibri"/>
                <w:color w:val="000000"/>
              </w:rPr>
              <w:t>11.3%</w:t>
            </w:r>
          </w:p>
        </w:tc>
      </w:tr>
    </w:tbl>
    <w:p w:rsidR="001B55B0" w:rsidRPr="00F1465D" w:rsidRDefault="001B55B0" w:rsidP="001B55B0">
      <w:pPr>
        <w:pStyle w:val="ListParagraph"/>
      </w:pPr>
    </w:p>
    <w:p w:rsidR="001B55B0" w:rsidRPr="00F1465D" w:rsidRDefault="001B55B0" w:rsidP="001B55B0">
      <w:pPr>
        <w:pStyle w:val="ListParagraph"/>
      </w:pPr>
    </w:p>
    <w:p w:rsidR="00007F02" w:rsidRPr="00F1465D" w:rsidRDefault="003328B6" w:rsidP="00466BDF">
      <w:pPr>
        <w:pStyle w:val="SuicideBodyText"/>
      </w:pPr>
      <w:r w:rsidRPr="00F1465D">
        <w:rPr>
          <w:b/>
        </w:rPr>
        <w:t>Training Utilization and Preservation Survey (TUP-S)</w:t>
      </w:r>
      <w:r w:rsidR="00243045" w:rsidRPr="00F1465D">
        <w:rPr>
          <w:b/>
        </w:rPr>
        <w:t xml:space="preserve">: </w:t>
      </w:r>
      <w:r w:rsidR="00007F02" w:rsidRPr="00F1465D">
        <w:rPr>
          <w:b/>
        </w:rPr>
        <w:t>State/Tribal, 6</w:t>
      </w:r>
      <w:r w:rsidR="003768DB" w:rsidRPr="00F1465D">
        <w:rPr>
          <w:b/>
        </w:rPr>
        <w:t>-</w:t>
      </w:r>
      <w:r w:rsidR="00007F02" w:rsidRPr="00F1465D">
        <w:rPr>
          <w:b/>
        </w:rPr>
        <w:t>Month Follow-</w:t>
      </w:r>
      <w:r w:rsidR="00E266FD" w:rsidRPr="00F1465D">
        <w:rPr>
          <w:b/>
        </w:rPr>
        <w:t>u</w:t>
      </w:r>
      <w:r w:rsidR="00007F02" w:rsidRPr="00F1465D">
        <w:rPr>
          <w:b/>
        </w:rPr>
        <w:t xml:space="preserve">p, </w:t>
      </w:r>
      <w:r w:rsidR="00243045" w:rsidRPr="00F1465D">
        <w:rPr>
          <w:b/>
        </w:rPr>
        <w:t>Campus</w:t>
      </w:r>
      <w:r w:rsidR="00007F02" w:rsidRPr="00F1465D">
        <w:rPr>
          <w:b/>
        </w:rPr>
        <w:t>, and Adolescent</w:t>
      </w:r>
      <w:r w:rsidR="00243045" w:rsidRPr="00F1465D">
        <w:rPr>
          <w:b/>
        </w:rPr>
        <w:t xml:space="preserve"> Versions</w:t>
      </w:r>
      <w:r w:rsidR="00C24251" w:rsidRPr="00F1465D">
        <w:rPr>
          <w:b/>
        </w:rPr>
        <w:t>.</w:t>
      </w:r>
      <w:r w:rsidR="00D624E9" w:rsidRPr="00F1465D">
        <w:t xml:space="preserve"> </w:t>
      </w:r>
      <w:r w:rsidR="00007F02" w:rsidRPr="00F1465D">
        <w:t xml:space="preserve">The target population of TUP-S instruments is participants in GLS sponsored trainings. The different versions of the instrument target three distinct strata within that population. The </w:t>
      </w:r>
      <w:r w:rsidR="003768DB" w:rsidRPr="00F1465D">
        <w:t>State/</w:t>
      </w:r>
      <w:r w:rsidR="00007F02" w:rsidRPr="00F1465D">
        <w:t>Tribal TUP-S and TUP-S 6</w:t>
      </w:r>
      <w:r w:rsidR="003768DB" w:rsidRPr="00F1465D">
        <w:t>-m</w:t>
      </w:r>
      <w:r w:rsidR="00007F02" w:rsidRPr="00F1465D">
        <w:t xml:space="preserve">onth </w:t>
      </w:r>
      <w:r w:rsidR="003768DB" w:rsidRPr="00F1465D">
        <w:t>f</w:t>
      </w:r>
      <w:r w:rsidR="00007F02" w:rsidRPr="00F1465D">
        <w:t>ollow-</w:t>
      </w:r>
      <w:proofErr w:type="gramStart"/>
      <w:r w:rsidR="00007F02" w:rsidRPr="00F1465D">
        <w:t>up,</w:t>
      </w:r>
      <w:proofErr w:type="gramEnd"/>
      <w:r w:rsidR="00007F02" w:rsidRPr="00F1465D">
        <w:t xml:space="preserve"> will target adults (18 and older) who participated in State</w:t>
      </w:r>
      <w:r w:rsidR="003768DB" w:rsidRPr="00F1465D">
        <w:t>/</w:t>
      </w:r>
      <w:r w:rsidR="00007F02" w:rsidRPr="00F1465D">
        <w:t xml:space="preserve"> Tribal sponsored trainings (about 900 per grantee in FY 2012). The Adolescent TUP-S will target adolescents (12 to 17) who participated in State and Tribal sponsored trainings (approximately 170 per grantee in FY 2012). The campus TUP-S will target adults (18 and older) who participated in Campus sponsored trainings (about 450 per grantee in FY 2012).</w:t>
      </w:r>
      <w:r w:rsidR="009E5A29" w:rsidRPr="00F1465D">
        <w:t xml:space="preserve"> </w:t>
      </w:r>
    </w:p>
    <w:p w:rsidR="00007F02" w:rsidRPr="00F1465D" w:rsidRDefault="00007F02" w:rsidP="00466BDF">
      <w:pPr>
        <w:pStyle w:val="SuicideBodyText"/>
      </w:pPr>
    </w:p>
    <w:p w:rsidR="00007F02" w:rsidRPr="00F1465D" w:rsidRDefault="00007F02" w:rsidP="00466BDF">
      <w:pPr>
        <w:pStyle w:val="SuicideBodyText"/>
      </w:pPr>
      <w:r w:rsidRPr="00F1465D">
        <w:t xml:space="preserve">All adult participants of GLS sponsored trainings will be administered a </w:t>
      </w:r>
      <w:r w:rsidR="003768DB" w:rsidRPr="00F1465D">
        <w:t>consent-</w:t>
      </w:r>
      <w:r w:rsidRPr="00F1465D">
        <w:t>to</w:t>
      </w:r>
      <w:r w:rsidR="003768DB" w:rsidRPr="00F1465D">
        <w:t>-</w:t>
      </w:r>
      <w:r w:rsidRPr="00F1465D">
        <w:t>contact form by the training facilitator or grantee staff during a training event. Respondents to the State</w:t>
      </w:r>
      <w:r w:rsidR="003768DB" w:rsidRPr="00F1465D">
        <w:t>/</w:t>
      </w:r>
      <w:r w:rsidRPr="00F1465D">
        <w:t xml:space="preserve">Tribal TUP-S will be asked to consent to be contacted for a second time (in 3 months). Consent to contact for the Adolescent TUP-S will be obtained from parent/guardians by training facilitators and/or grantee staff in conjunction with the consent to participate in the training itself. </w:t>
      </w:r>
    </w:p>
    <w:p w:rsidR="003C5CF1" w:rsidRPr="00F1465D" w:rsidRDefault="003C5CF1" w:rsidP="00466BDF">
      <w:pPr>
        <w:pStyle w:val="SuicideBodyText"/>
      </w:pPr>
    </w:p>
    <w:p w:rsidR="00007F02" w:rsidRPr="00F1465D" w:rsidRDefault="00007F02" w:rsidP="00466BDF">
      <w:pPr>
        <w:pStyle w:val="SuicideBodyText"/>
      </w:pPr>
      <w:r w:rsidRPr="00F1465D">
        <w:t>The cross-site evaluation team will select a probabilistic sample of participants who consent to be contacted on an ongoing basis, as trainings are implemented and consents received, using systematic sampling. The sample fraction will be determined and updated yearly based on the projected number of consents so as to ensure the target sample sizes per year. Changes in the sample fraction will alter inclusion probabilities and must be taken into account in the analysis across years through the use of sampling weights.</w:t>
      </w:r>
      <w:r w:rsidR="009E5A29" w:rsidRPr="00F1465D">
        <w:t xml:space="preserve"> </w:t>
      </w:r>
    </w:p>
    <w:p w:rsidR="00466BDF" w:rsidRPr="00F1465D" w:rsidRDefault="00466BDF" w:rsidP="00466BDF">
      <w:pPr>
        <w:pStyle w:val="SuicideBodyText"/>
      </w:pPr>
    </w:p>
    <w:p w:rsidR="003F10A4" w:rsidRPr="00F1465D" w:rsidRDefault="00007F02" w:rsidP="007D19C0">
      <w:pPr>
        <w:pStyle w:val="SuicideBodyText"/>
      </w:pPr>
      <w:r w:rsidRPr="00F1465D">
        <w:t>Target sample sizes were determined so as to afford small standard errors for the estimates of the quantities of interest in a given year considering available resources. In addition, the sample size for each version is roughly proportional to the size of the stratum they represent in FY</w:t>
      </w:r>
      <w:r w:rsidR="003768DB" w:rsidRPr="00F1465D">
        <w:t xml:space="preserve"> </w:t>
      </w:r>
      <w:r w:rsidRPr="00F1465D">
        <w:t xml:space="preserve">2012. Key survey estimates will take the form of the percentage or proportions, such as the proportion of trainees who identified a youth at risk </w:t>
      </w:r>
      <w:r w:rsidR="00C25D09" w:rsidRPr="00F1465D">
        <w:t xml:space="preserve">for </w:t>
      </w:r>
      <w:r w:rsidRPr="00F1465D">
        <w:t xml:space="preserve">suicide during the </w:t>
      </w:r>
      <w:r w:rsidR="003768DB" w:rsidRPr="00F1465D">
        <w:t xml:space="preserve">3 </w:t>
      </w:r>
      <w:r w:rsidRPr="00F1465D">
        <w:t>months after the training. In the case of the TUP-S 6</w:t>
      </w:r>
      <w:r w:rsidR="003768DB" w:rsidRPr="00F1465D">
        <w:t>-</w:t>
      </w:r>
      <w:r w:rsidRPr="00F1465D">
        <w:t>month follow</w:t>
      </w:r>
      <w:r w:rsidR="003768DB" w:rsidRPr="00F1465D">
        <w:t>-</w:t>
      </w:r>
      <w:r w:rsidRPr="00F1465D">
        <w:t>up, the main interest is the change between administrations in these proportions of interest. Results are presented for the maximum standard errors, i.e.</w:t>
      </w:r>
      <w:r w:rsidR="003768DB" w:rsidRPr="00F1465D">
        <w:t>,</w:t>
      </w:r>
      <w:r w:rsidRPr="00F1465D">
        <w:t xml:space="preserve"> for a proportion close to </w:t>
      </w:r>
      <w:r w:rsidR="003768DB" w:rsidRPr="00F1465D">
        <w:t>50%</w:t>
      </w:r>
      <w:r w:rsidR="002C5A65" w:rsidRPr="00F1465D">
        <w:t>—</w:t>
      </w:r>
      <w:r w:rsidR="003768DB" w:rsidRPr="00F1465D">
        <w:t>in which</w:t>
      </w:r>
      <w:r w:rsidRPr="00F1465D">
        <w:t xml:space="preserve"> the variance is the </w:t>
      </w:r>
      <w:r w:rsidR="003768DB" w:rsidRPr="00F1465D">
        <w:t xml:space="preserve">largest—and </w:t>
      </w:r>
      <w:r w:rsidRPr="00F1465D">
        <w:t>for no correlation over</w:t>
      </w:r>
      <w:r w:rsidR="003768DB" w:rsidRPr="00F1465D">
        <w:t xml:space="preserve"> </w:t>
      </w:r>
      <w:r w:rsidRPr="00F1465D">
        <w:t xml:space="preserve">time in the case of the TUP-S </w:t>
      </w:r>
      <w:r w:rsidR="003768DB" w:rsidRPr="00F1465D">
        <w:t>6-</w:t>
      </w:r>
      <w:r w:rsidRPr="00F1465D">
        <w:t>month follow</w:t>
      </w:r>
      <w:r w:rsidR="003768DB" w:rsidRPr="00F1465D">
        <w:t>-</w:t>
      </w:r>
      <w:r w:rsidRPr="00F1465D">
        <w:t xml:space="preserve">up. </w:t>
      </w:r>
      <w:r w:rsidR="0077279F" w:rsidRPr="00F1465D">
        <w:t>Along the result for the overall sample, results are shown for domains representing 50%, 25% and 10% of the sample.</w:t>
      </w:r>
      <w:r w:rsidR="007D19C0" w:rsidRPr="00F1465D">
        <w:t xml:space="preserve"> </w:t>
      </w:r>
      <w:r w:rsidR="0077279F" w:rsidRPr="00F1465D">
        <w:t>In sum t</w:t>
      </w:r>
      <w:r w:rsidR="003F10A4" w:rsidRPr="00F1465D">
        <w:t>he State/Tribal TUP-</w:t>
      </w:r>
      <w:r w:rsidR="003F10A4" w:rsidRPr="00F1465D">
        <w:lastRenderedPageBreak/>
        <w:t xml:space="preserve">S has considerable precision even for estimation within small domains (e.g. maximum standard errors no greater than 3.5% for a domain comprising 10% of the sample). The new TUP-S instruments (i.e. State/Tribal TUP-S 6 months follow up; Campus TUP-S and Adolescent TUP-S), however, afford reasonable precision only for relatively large domains (comprising at least 50% of the sample). Nevertheless, increased precision for small domains can be obtained by combining two or three years of data collection. </w:t>
      </w:r>
    </w:p>
    <w:p w:rsidR="003F10A4" w:rsidRPr="00F1465D" w:rsidRDefault="003F10A4" w:rsidP="00466BDF">
      <w:pPr>
        <w:pStyle w:val="SuicideBodyText"/>
      </w:pPr>
    </w:p>
    <w:p w:rsidR="003F10A4" w:rsidRPr="00F1465D" w:rsidRDefault="001B55B0" w:rsidP="003F10A4">
      <w:pPr>
        <w:pStyle w:val="SuicideBodyText"/>
        <w:ind w:left="720" w:firstLine="720"/>
        <w:rPr>
          <w:rFonts w:ascii="Arial" w:hAnsi="Arial" w:cs="Arial"/>
          <w:b/>
          <w:sz w:val="20"/>
          <w:szCs w:val="20"/>
        </w:rPr>
      </w:pPr>
      <w:proofErr w:type="gramStart"/>
      <w:r w:rsidRPr="00F1465D">
        <w:rPr>
          <w:rFonts w:ascii="Arial" w:hAnsi="Arial" w:cs="Arial"/>
          <w:b/>
          <w:sz w:val="20"/>
          <w:szCs w:val="20"/>
        </w:rPr>
        <w:t>Table 9</w:t>
      </w:r>
      <w:r w:rsidR="00D74D9E" w:rsidRPr="00F1465D">
        <w:rPr>
          <w:rFonts w:ascii="Arial" w:hAnsi="Arial" w:cs="Arial"/>
          <w:b/>
          <w:sz w:val="20"/>
          <w:szCs w:val="20"/>
        </w:rPr>
        <w:t>.</w:t>
      </w:r>
      <w:proofErr w:type="gramEnd"/>
      <w:r w:rsidR="00D74D9E" w:rsidRPr="00F1465D">
        <w:rPr>
          <w:rFonts w:ascii="Arial" w:hAnsi="Arial" w:cs="Arial"/>
          <w:b/>
          <w:sz w:val="20"/>
          <w:szCs w:val="20"/>
        </w:rPr>
        <w:t xml:space="preserve"> </w:t>
      </w:r>
      <w:r w:rsidR="003F10A4" w:rsidRPr="00F1465D">
        <w:rPr>
          <w:rFonts w:ascii="Arial" w:hAnsi="Arial" w:cs="Arial"/>
          <w:b/>
          <w:sz w:val="20"/>
          <w:szCs w:val="20"/>
        </w:rPr>
        <w:t>TUP-S instruments: Maximum Standard Error for a proportion</w:t>
      </w:r>
    </w:p>
    <w:tbl>
      <w:tblPr>
        <w:tblW w:w="77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200"/>
        <w:gridCol w:w="1847"/>
        <w:gridCol w:w="1529"/>
        <w:gridCol w:w="1266"/>
        <w:gridCol w:w="926"/>
      </w:tblGrid>
      <w:tr w:rsidR="003F10A4" w:rsidRPr="00F1465D" w:rsidTr="00BC4C0F">
        <w:trPr>
          <w:trHeight w:val="297"/>
          <w:jc w:val="center"/>
        </w:trPr>
        <w:tc>
          <w:tcPr>
            <w:tcW w:w="2200" w:type="dxa"/>
            <w:vMerge w:val="restart"/>
            <w:shd w:val="clear" w:color="auto" w:fill="000000" w:themeFill="text1"/>
            <w:vAlign w:val="center"/>
          </w:tcPr>
          <w:p w:rsidR="003F10A4" w:rsidRPr="00F1465D" w:rsidRDefault="003F10A4" w:rsidP="00BC4C0F">
            <w:pPr>
              <w:pStyle w:val="SuicideTableHeading1"/>
              <w:ind w:left="360"/>
              <w:rPr>
                <w:color w:val="auto"/>
                <w:sz w:val="18"/>
                <w:szCs w:val="18"/>
              </w:rPr>
            </w:pPr>
            <w:r w:rsidRPr="00F1465D">
              <w:rPr>
                <w:color w:val="auto"/>
                <w:sz w:val="18"/>
                <w:szCs w:val="18"/>
              </w:rPr>
              <w:t>Instrument Version</w:t>
            </w:r>
          </w:p>
        </w:tc>
        <w:tc>
          <w:tcPr>
            <w:tcW w:w="1847" w:type="dxa"/>
            <w:vMerge w:val="restart"/>
            <w:shd w:val="clear" w:color="auto" w:fill="000000" w:themeFill="text1"/>
            <w:vAlign w:val="center"/>
          </w:tcPr>
          <w:p w:rsidR="003F10A4" w:rsidRPr="00F1465D" w:rsidRDefault="003F10A4" w:rsidP="00BC4C0F">
            <w:pPr>
              <w:pStyle w:val="SuicideTableHeading1"/>
              <w:ind w:left="46"/>
              <w:rPr>
                <w:color w:val="auto"/>
                <w:sz w:val="18"/>
                <w:szCs w:val="18"/>
              </w:rPr>
            </w:pPr>
            <w:r w:rsidRPr="00F1465D">
              <w:rPr>
                <w:color w:val="auto"/>
                <w:sz w:val="18"/>
                <w:szCs w:val="18"/>
              </w:rPr>
              <w:t>Overall</w:t>
            </w:r>
          </w:p>
        </w:tc>
        <w:tc>
          <w:tcPr>
            <w:tcW w:w="3721" w:type="dxa"/>
            <w:gridSpan w:val="3"/>
            <w:shd w:val="clear" w:color="auto" w:fill="000000" w:themeFill="text1"/>
          </w:tcPr>
          <w:p w:rsidR="003F10A4" w:rsidRPr="00F1465D" w:rsidRDefault="003F10A4" w:rsidP="00BC4C0F">
            <w:pPr>
              <w:pStyle w:val="SuicideTableHeading1"/>
              <w:ind w:left="-1"/>
              <w:rPr>
                <w:color w:val="auto"/>
                <w:sz w:val="18"/>
                <w:szCs w:val="18"/>
              </w:rPr>
            </w:pPr>
            <w:r w:rsidRPr="00F1465D">
              <w:rPr>
                <w:color w:val="auto"/>
                <w:sz w:val="18"/>
                <w:szCs w:val="18"/>
              </w:rPr>
              <w:t>Domain</w:t>
            </w:r>
          </w:p>
        </w:tc>
      </w:tr>
      <w:tr w:rsidR="003F10A4" w:rsidRPr="00F1465D" w:rsidTr="00BC4C0F">
        <w:trPr>
          <w:jc w:val="center"/>
        </w:trPr>
        <w:tc>
          <w:tcPr>
            <w:tcW w:w="2200" w:type="dxa"/>
            <w:vMerge/>
            <w:tcBorders>
              <w:bottom w:val="single" w:sz="6" w:space="0" w:color="auto"/>
            </w:tcBorders>
            <w:shd w:val="clear" w:color="auto" w:fill="000000" w:themeFill="text1"/>
            <w:vAlign w:val="center"/>
          </w:tcPr>
          <w:p w:rsidR="003F10A4" w:rsidRPr="00F1465D" w:rsidRDefault="003F10A4" w:rsidP="00BC4C0F">
            <w:pPr>
              <w:pStyle w:val="SuicideTableHeading1"/>
              <w:ind w:left="360"/>
              <w:rPr>
                <w:color w:val="auto"/>
                <w:sz w:val="18"/>
                <w:szCs w:val="18"/>
              </w:rPr>
            </w:pPr>
          </w:p>
        </w:tc>
        <w:tc>
          <w:tcPr>
            <w:tcW w:w="1847" w:type="dxa"/>
            <w:vMerge/>
            <w:shd w:val="clear" w:color="auto" w:fill="000000" w:themeFill="text1"/>
            <w:vAlign w:val="center"/>
          </w:tcPr>
          <w:p w:rsidR="003F10A4" w:rsidRPr="00F1465D" w:rsidRDefault="003F10A4" w:rsidP="00BC4C0F">
            <w:pPr>
              <w:pStyle w:val="SuicideTableHeading1"/>
              <w:ind w:left="360"/>
              <w:rPr>
                <w:color w:val="auto"/>
                <w:sz w:val="18"/>
                <w:szCs w:val="18"/>
              </w:rPr>
            </w:pPr>
          </w:p>
        </w:tc>
        <w:tc>
          <w:tcPr>
            <w:tcW w:w="1529" w:type="dxa"/>
            <w:shd w:val="clear" w:color="auto" w:fill="000000" w:themeFill="text1"/>
          </w:tcPr>
          <w:p w:rsidR="003F10A4" w:rsidRPr="00F1465D" w:rsidRDefault="003F10A4" w:rsidP="00BC4C0F">
            <w:pPr>
              <w:pStyle w:val="SuicideTableHeading1"/>
              <w:ind w:left="360"/>
              <w:rPr>
                <w:color w:val="auto"/>
                <w:sz w:val="18"/>
                <w:szCs w:val="18"/>
              </w:rPr>
            </w:pPr>
            <w:r w:rsidRPr="00F1465D">
              <w:rPr>
                <w:color w:val="auto"/>
                <w:sz w:val="18"/>
                <w:szCs w:val="18"/>
              </w:rPr>
              <w:t>50% of the sample</w:t>
            </w:r>
          </w:p>
        </w:tc>
        <w:tc>
          <w:tcPr>
            <w:tcW w:w="1266" w:type="dxa"/>
            <w:shd w:val="clear" w:color="auto" w:fill="000000" w:themeFill="text1"/>
          </w:tcPr>
          <w:p w:rsidR="003F10A4" w:rsidRPr="00F1465D" w:rsidRDefault="003F10A4" w:rsidP="00BC4C0F">
            <w:pPr>
              <w:pStyle w:val="SuicideTableHeading1"/>
              <w:ind w:left="45" w:firstLine="35"/>
              <w:rPr>
                <w:color w:val="auto"/>
                <w:sz w:val="18"/>
                <w:szCs w:val="18"/>
              </w:rPr>
            </w:pPr>
            <w:r w:rsidRPr="00F1465D">
              <w:rPr>
                <w:color w:val="auto"/>
                <w:sz w:val="18"/>
                <w:szCs w:val="18"/>
              </w:rPr>
              <w:t>25% of the sample</w:t>
            </w:r>
          </w:p>
        </w:tc>
        <w:tc>
          <w:tcPr>
            <w:tcW w:w="926" w:type="dxa"/>
            <w:shd w:val="clear" w:color="auto" w:fill="000000" w:themeFill="text1"/>
          </w:tcPr>
          <w:p w:rsidR="003F10A4" w:rsidRPr="00F1465D" w:rsidRDefault="003F10A4" w:rsidP="00BC4C0F">
            <w:pPr>
              <w:pStyle w:val="SuicideTableHeading1"/>
              <w:ind w:left="84" w:firstLine="1"/>
              <w:rPr>
                <w:color w:val="auto"/>
                <w:sz w:val="18"/>
                <w:szCs w:val="18"/>
              </w:rPr>
            </w:pPr>
            <w:r w:rsidRPr="00F1465D">
              <w:rPr>
                <w:color w:val="auto"/>
                <w:sz w:val="18"/>
                <w:szCs w:val="18"/>
              </w:rPr>
              <w:t>10% of the sample</w:t>
            </w:r>
          </w:p>
        </w:tc>
      </w:tr>
      <w:tr w:rsidR="0077279F" w:rsidRPr="00F1465D" w:rsidTr="00BC4C0F">
        <w:trPr>
          <w:jc w:val="center"/>
        </w:trPr>
        <w:tc>
          <w:tcPr>
            <w:tcW w:w="2200" w:type="dxa"/>
            <w:tcBorders>
              <w:top w:val="single" w:sz="6" w:space="0" w:color="auto"/>
              <w:bottom w:val="single" w:sz="6" w:space="0" w:color="auto"/>
            </w:tcBorders>
            <w:shd w:val="clear" w:color="auto" w:fill="D9D9D9" w:themeFill="background1" w:themeFillShade="D9"/>
            <w:vAlign w:val="center"/>
          </w:tcPr>
          <w:p w:rsidR="0077279F" w:rsidRPr="00F1465D" w:rsidRDefault="0077279F" w:rsidP="00BC4C0F">
            <w:pPr>
              <w:pStyle w:val="SuicideTableHeading2"/>
              <w:spacing w:before="80" w:after="80"/>
              <w:rPr>
                <w:sz w:val="18"/>
                <w:szCs w:val="18"/>
              </w:rPr>
            </w:pPr>
            <w:r w:rsidRPr="00F1465D">
              <w:rPr>
                <w:sz w:val="18"/>
                <w:szCs w:val="18"/>
              </w:rPr>
              <w:t>State/Tribal TUP-S</w:t>
            </w:r>
          </w:p>
        </w:tc>
        <w:tc>
          <w:tcPr>
            <w:tcW w:w="1847" w:type="dxa"/>
            <w:vAlign w:val="center"/>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1.1%</w:t>
            </w:r>
          </w:p>
        </w:tc>
        <w:tc>
          <w:tcPr>
            <w:tcW w:w="1529"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1.6%</w:t>
            </w:r>
          </w:p>
        </w:tc>
        <w:tc>
          <w:tcPr>
            <w:tcW w:w="1266" w:type="dxa"/>
          </w:tcPr>
          <w:p w:rsidR="0077279F" w:rsidRPr="00F1465D" w:rsidRDefault="0077279F" w:rsidP="00BC4C0F">
            <w:pPr>
              <w:ind w:left="45" w:firstLine="35"/>
              <w:jc w:val="center"/>
              <w:rPr>
                <w:rFonts w:ascii="Arial" w:hAnsi="Arial" w:cs="Arial"/>
                <w:color w:val="000000"/>
                <w:sz w:val="18"/>
                <w:szCs w:val="18"/>
              </w:rPr>
            </w:pPr>
            <w:r w:rsidRPr="00F1465D">
              <w:rPr>
                <w:rFonts w:ascii="Arial" w:hAnsi="Arial" w:cs="Arial"/>
                <w:color w:val="000000"/>
                <w:sz w:val="18"/>
                <w:szCs w:val="18"/>
              </w:rPr>
              <w:t>2.2%</w:t>
            </w:r>
          </w:p>
        </w:tc>
        <w:tc>
          <w:tcPr>
            <w:tcW w:w="92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3.5%</w:t>
            </w:r>
          </w:p>
        </w:tc>
      </w:tr>
      <w:tr w:rsidR="0077279F" w:rsidRPr="00F1465D" w:rsidTr="00BC4C0F">
        <w:trPr>
          <w:jc w:val="center"/>
        </w:trPr>
        <w:tc>
          <w:tcPr>
            <w:tcW w:w="2200" w:type="dxa"/>
            <w:tcBorders>
              <w:top w:val="single" w:sz="6" w:space="0" w:color="auto"/>
              <w:bottom w:val="single" w:sz="6" w:space="0" w:color="auto"/>
            </w:tcBorders>
            <w:shd w:val="clear" w:color="auto" w:fill="D9D9D9" w:themeFill="background1" w:themeFillShade="D9"/>
            <w:vAlign w:val="center"/>
          </w:tcPr>
          <w:p w:rsidR="0077279F" w:rsidRPr="00F1465D" w:rsidRDefault="0077279F" w:rsidP="00BC4C0F">
            <w:pPr>
              <w:pStyle w:val="SuicideTableHeading2"/>
              <w:spacing w:before="80" w:after="80"/>
              <w:rPr>
                <w:sz w:val="18"/>
                <w:szCs w:val="18"/>
              </w:rPr>
            </w:pPr>
            <w:r w:rsidRPr="00F1465D">
              <w:rPr>
                <w:sz w:val="18"/>
                <w:szCs w:val="18"/>
              </w:rPr>
              <w:t>State/Tribal TUP-S 6-Month Follow-up*</w:t>
            </w:r>
          </w:p>
        </w:tc>
        <w:tc>
          <w:tcPr>
            <w:tcW w:w="1847" w:type="dxa"/>
            <w:vAlign w:val="center"/>
          </w:tcPr>
          <w:p w:rsidR="0077279F" w:rsidRPr="00F1465D" w:rsidRDefault="0077279F" w:rsidP="00086B95">
            <w:pPr>
              <w:jc w:val="center"/>
              <w:rPr>
                <w:rFonts w:ascii="Arial" w:hAnsi="Arial" w:cs="Arial"/>
                <w:color w:val="000000"/>
                <w:sz w:val="18"/>
                <w:szCs w:val="18"/>
              </w:rPr>
            </w:pPr>
            <w:r w:rsidRPr="00F1465D">
              <w:rPr>
                <w:rFonts w:ascii="Arial" w:hAnsi="Arial" w:cs="Arial"/>
                <w:color w:val="000000"/>
                <w:sz w:val="18"/>
                <w:szCs w:val="18"/>
              </w:rPr>
              <w:t xml:space="preserve">2.9% </w:t>
            </w:r>
          </w:p>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(5.0% pilot)</w:t>
            </w:r>
          </w:p>
        </w:tc>
        <w:tc>
          <w:tcPr>
            <w:tcW w:w="1529"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4.1%</w:t>
            </w:r>
          </w:p>
        </w:tc>
        <w:tc>
          <w:tcPr>
            <w:tcW w:w="126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5.8%</w:t>
            </w:r>
          </w:p>
        </w:tc>
        <w:tc>
          <w:tcPr>
            <w:tcW w:w="92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9.1%</w:t>
            </w:r>
          </w:p>
        </w:tc>
      </w:tr>
      <w:tr w:rsidR="0077279F" w:rsidRPr="00F1465D" w:rsidTr="00BC4C0F">
        <w:trPr>
          <w:jc w:val="center"/>
        </w:trPr>
        <w:tc>
          <w:tcPr>
            <w:tcW w:w="2200" w:type="dxa"/>
            <w:tcBorders>
              <w:top w:val="single" w:sz="6" w:space="0" w:color="auto"/>
              <w:bottom w:val="single" w:sz="6" w:space="0" w:color="auto"/>
            </w:tcBorders>
            <w:shd w:val="clear" w:color="auto" w:fill="D9D9D9" w:themeFill="background1" w:themeFillShade="D9"/>
            <w:vAlign w:val="center"/>
          </w:tcPr>
          <w:p w:rsidR="0077279F" w:rsidRPr="00F1465D" w:rsidRDefault="0077279F" w:rsidP="00BC4C0F">
            <w:pPr>
              <w:pStyle w:val="SuicideTableHeading2"/>
              <w:spacing w:before="80" w:after="80"/>
              <w:rPr>
                <w:sz w:val="18"/>
                <w:szCs w:val="18"/>
              </w:rPr>
            </w:pPr>
            <w:r w:rsidRPr="00F1465D">
              <w:rPr>
                <w:sz w:val="18"/>
                <w:szCs w:val="18"/>
              </w:rPr>
              <w:t>Campus TUP-S</w:t>
            </w:r>
          </w:p>
        </w:tc>
        <w:tc>
          <w:tcPr>
            <w:tcW w:w="1847" w:type="dxa"/>
            <w:vAlign w:val="center"/>
          </w:tcPr>
          <w:p w:rsidR="0077279F" w:rsidRPr="00F1465D" w:rsidRDefault="0077279F" w:rsidP="00086B95">
            <w:pPr>
              <w:jc w:val="center"/>
              <w:rPr>
                <w:rFonts w:ascii="Arial" w:hAnsi="Arial" w:cs="Arial"/>
                <w:color w:val="000000"/>
                <w:sz w:val="18"/>
                <w:szCs w:val="18"/>
              </w:rPr>
            </w:pPr>
            <w:r w:rsidRPr="00F1465D">
              <w:rPr>
                <w:rFonts w:ascii="Arial" w:hAnsi="Arial" w:cs="Arial"/>
                <w:color w:val="000000"/>
                <w:sz w:val="18"/>
                <w:szCs w:val="18"/>
              </w:rPr>
              <w:t>2.2%</w:t>
            </w:r>
          </w:p>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(5.0% pilot)</w:t>
            </w:r>
          </w:p>
        </w:tc>
        <w:tc>
          <w:tcPr>
            <w:tcW w:w="1529"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3.2%</w:t>
            </w:r>
          </w:p>
        </w:tc>
        <w:tc>
          <w:tcPr>
            <w:tcW w:w="126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4.5%</w:t>
            </w:r>
          </w:p>
        </w:tc>
        <w:tc>
          <w:tcPr>
            <w:tcW w:w="92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7.1%</w:t>
            </w:r>
          </w:p>
        </w:tc>
      </w:tr>
      <w:tr w:rsidR="0077279F" w:rsidRPr="00F1465D" w:rsidTr="00BC4C0F">
        <w:trPr>
          <w:jc w:val="center"/>
        </w:trPr>
        <w:tc>
          <w:tcPr>
            <w:tcW w:w="2200" w:type="dxa"/>
            <w:tcBorders>
              <w:top w:val="single" w:sz="6" w:space="0" w:color="auto"/>
              <w:bottom w:val="single" w:sz="4" w:space="0" w:color="auto"/>
            </w:tcBorders>
            <w:shd w:val="clear" w:color="auto" w:fill="D9D9D9" w:themeFill="background1" w:themeFillShade="D9"/>
            <w:vAlign w:val="center"/>
          </w:tcPr>
          <w:p w:rsidR="0077279F" w:rsidRPr="00F1465D" w:rsidRDefault="0077279F" w:rsidP="00BC4C0F">
            <w:pPr>
              <w:pStyle w:val="SuicideTableHeading2"/>
              <w:spacing w:before="80" w:after="80"/>
              <w:rPr>
                <w:sz w:val="18"/>
                <w:szCs w:val="18"/>
              </w:rPr>
            </w:pPr>
            <w:r w:rsidRPr="00F1465D">
              <w:rPr>
                <w:sz w:val="18"/>
                <w:szCs w:val="18"/>
              </w:rPr>
              <w:t>Adolescent TUP-S</w:t>
            </w:r>
          </w:p>
        </w:tc>
        <w:tc>
          <w:tcPr>
            <w:tcW w:w="1847" w:type="dxa"/>
            <w:vAlign w:val="center"/>
          </w:tcPr>
          <w:p w:rsidR="0077279F" w:rsidRPr="00F1465D" w:rsidRDefault="0077279F" w:rsidP="00086B95">
            <w:pPr>
              <w:jc w:val="center"/>
              <w:rPr>
                <w:rFonts w:ascii="Arial" w:hAnsi="Arial" w:cs="Arial"/>
                <w:color w:val="000000"/>
                <w:sz w:val="18"/>
                <w:szCs w:val="18"/>
              </w:rPr>
            </w:pPr>
            <w:r w:rsidRPr="00F1465D">
              <w:rPr>
                <w:rFonts w:ascii="Arial" w:hAnsi="Arial" w:cs="Arial"/>
                <w:color w:val="000000"/>
                <w:sz w:val="18"/>
                <w:szCs w:val="18"/>
              </w:rPr>
              <w:t>2.5%</w:t>
            </w:r>
          </w:p>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(5.0% pilot)</w:t>
            </w:r>
          </w:p>
        </w:tc>
        <w:tc>
          <w:tcPr>
            <w:tcW w:w="1529"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3.5%</w:t>
            </w:r>
          </w:p>
        </w:tc>
        <w:tc>
          <w:tcPr>
            <w:tcW w:w="126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5.0%</w:t>
            </w:r>
          </w:p>
        </w:tc>
        <w:tc>
          <w:tcPr>
            <w:tcW w:w="926" w:type="dxa"/>
          </w:tcPr>
          <w:p w:rsidR="0077279F" w:rsidRPr="00F1465D" w:rsidRDefault="0077279F" w:rsidP="00BC4C0F">
            <w:pPr>
              <w:jc w:val="center"/>
              <w:rPr>
                <w:rFonts w:ascii="Arial" w:hAnsi="Arial" w:cs="Arial"/>
                <w:color w:val="000000"/>
                <w:sz w:val="18"/>
                <w:szCs w:val="18"/>
              </w:rPr>
            </w:pPr>
            <w:r w:rsidRPr="00F1465D">
              <w:rPr>
                <w:rFonts w:ascii="Arial" w:hAnsi="Arial" w:cs="Arial"/>
                <w:color w:val="000000"/>
                <w:sz w:val="18"/>
                <w:szCs w:val="18"/>
              </w:rPr>
              <w:t>7.9%</w:t>
            </w:r>
          </w:p>
        </w:tc>
      </w:tr>
      <w:tr w:rsidR="003F10A4" w:rsidRPr="00F1465D" w:rsidTr="00BC4C0F">
        <w:trPr>
          <w:jc w:val="center"/>
        </w:trPr>
        <w:tc>
          <w:tcPr>
            <w:tcW w:w="7768" w:type="dxa"/>
            <w:gridSpan w:val="5"/>
          </w:tcPr>
          <w:p w:rsidR="003F10A4" w:rsidRPr="00F1465D" w:rsidRDefault="003F10A4" w:rsidP="00BC4C0F">
            <w:pPr>
              <w:spacing w:before="60" w:after="60"/>
              <w:rPr>
                <w:rFonts w:ascii="Arial" w:hAnsi="Arial" w:cs="Arial"/>
                <w:sz w:val="18"/>
                <w:szCs w:val="18"/>
              </w:rPr>
            </w:pPr>
            <w:r w:rsidRPr="00F1465D">
              <w:rPr>
                <w:rFonts w:ascii="Arial" w:hAnsi="Arial" w:cs="Arial"/>
                <w:sz w:val="18"/>
                <w:szCs w:val="18"/>
              </w:rPr>
              <w:t xml:space="preserve">*Note the precision here is for a difference in proportions, instead of a single proportion, assuming no correlation over time. </w:t>
            </w:r>
          </w:p>
        </w:tc>
      </w:tr>
    </w:tbl>
    <w:p w:rsidR="003F10A4" w:rsidRPr="00F1465D" w:rsidRDefault="003F10A4" w:rsidP="003F10A4">
      <w:pPr>
        <w:pStyle w:val="ListParagraph"/>
        <w:rPr>
          <w:sz w:val="22"/>
          <w:szCs w:val="22"/>
        </w:rPr>
      </w:pPr>
    </w:p>
    <w:p w:rsidR="00007F02" w:rsidRPr="00F1465D" w:rsidRDefault="00007F02" w:rsidP="00007F02"/>
    <w:p w:rsidR="006B57C9" w:rsidRPr="00F1465D" w:rsidRDefault="007A2223" w:rsidP="00466BDF">
      <w:pPr>
        <w:pStyle w:val="SuicideBodyText"/>
      </w:pPr>
      <w:r w:rsidRPr="00F1465D">
        <w:rPr>
          <w:b/>
          <w:bCs/>
        </w:rPr>
        <w:t>Referral Network Survey</w:t>
      </w:r>
      <w:r w:rsidR="00B43C69" w:rsidRPr="00F1465D">
        <w:rPr>
          <w:b/>
          <w:bCs/>
        </w:rPr>
        <w:t xml:space="preserve"> (RNS)</w:t>
      </w:r>
      <w:r w:rsidR="00523EB9" w:rsidRPr="00F1465D">
        <w:rPr>
          <w:b/>
          <w:bCs/>
        </w:rPr>
        <w:t xml:space="preserve">. </w:t>
      </w:r>
      <w:r w:rsidR="006B57C9" w:rsidRPr="00F1465D">
        <w:t xml:space="preserve">Using zip code data submitted by grantees on the Training Activity Summary Page forms, cross-site evaluation staff will determine the county or region where the grantee has the greatest impact. The grantee will then be asked to </w:t>
      </w:r>
      <w:r w:rsidR="002F3D5C" w:rsidRPr="00F1465D">
        <w:t xml:space="preserve">provide contact information for at least one and up to three organizations </w:t>
      </w:r>
      <w:r w:rsidR="006B57C9" w:rsidRPr="00F1465D">
        <w:t>in this county or region.</w:t>
      </w:r>
      <w:r w:rsidR="009E5A29" w:rsidRPr="00F1465D">
        <w:t xml:space="preserve"> </w:t>
      </w:r>
      <w:r w:rsidR="006B57C9" w:rsidRPr="00F1465D">
        <w:t>Cross-site evaluation staff will make a preliminary phone call to ask these primary organizations for their referral network. Using snowball sampling to determine the entire referral network for the county or region, cross-site evaluation staff will contact all organizations within the referral network to conduct the Referral Network Survey. Snowball sampling will be repeated until saturation is reached. However, in large networks, four waves with an average of three referrals per wave will be conducted, for a total of 27 respondents. For these large networks, protocol will be followed:</w:t>
      </w:r>
    </w:p>
    <w:p w:rsidR="00F97735" w:rsidRPr="00F1465D" w:rsidRDefault="00F97735" w:rsidP="00FF670E">
      <w:pPr>
        <w:pStyle w:val="CommentText"/>
        <w:ind w:left="720" w:firstLine="720"/>
        <w:rPr>
          <w:sz w:val="24"/>
          <w:szCs w:val="24"/>
        </w:rPr>
      </w:pPr>
    </w:p>
    <w:p w:rsidR="006B57C9" w:rsidRPr="00F1465D" w:rsidRDefault="006B57C9" w:rsidP="00F97735">
      <w:pPr>
        <w:pStyle w:val="SuicideBullet1"/>
      </w:pPr>
      <w:r w:rsidRPr="00F1465D">
        <w:t>Wave 1</w:t>
      </w:r>
      <w:r w:rsidR="00F97735" w:rsidRPr="00F1465D">
        <w:t>—</w:t>
      </w:r>
      <w:r w:rsidRPr="00F1465D">
        <w:t>grantee identifies one respondent</w:t>
      </w:r>
    </w:p>
    <w:p w:rsidR="006B57C9" w:rsidRPr="00F1465D" w:rsidRDefault="006B57C9" w:rsidP="00F97735">
      <w:pPr>
        <w:pStyle w:val="SuicideBullet1"/>
      </w:pPr>
      <w:r w:rsidRPr="00F1465D">
        <w:t>Wave 2</w:t>
      </w:r>
      <w:r w:rsidR="00F97735" w:rsidRPr="00F1465D">
        <w:t>—</w:t>
      </w:r>
      <w:r w:rsidRPr="00F1465D">
        <w:t xml:space="preserve">1 agency provides 3 respondents </w:t>
      </w:r>
    </w:p>
    <w:p w:rsidR="006B57C9" w:rsidRPr="00F1465D" w:rsidRDefault="006B57C9" w:rsidP="00F97735">
      <w:pPr>
        <w:pStyle w:val="SuicideBullet1"/>
      </w:pPr>
      <w:r w:rsidRPr="00F1465D">
        <w:t>Wave 3</w:t>
      </w:r>
      <w:r w:rsidR="00F97735" w:rsidRPr="00F1465D">
        <w:t>—</w:t>
      </w:r>
      <w:r w:rsidRPr="00F1465D">
        <w:t>3 agencies each can provide 3 more respondents</w:t>
      </w:r>
    </w:p>
    <w:p w:rsidR="006B57C9" w:rsidRPr="00F1465D" w:rsidRDefault="006B57C9" w:rsidP="00F97735">
      <w:pPr>
        <w:pStyle w:val="SuicideBullet1"/>
      </w:pPr>
      <w:r w:rsidRPr="00F1465D">
        <w:t>Wave 4</w:t>
      </w:r>
      <w:r w:rsidR="00F97735" w:rsidRPr="00F1465D">
        <w:t>—</w:t>
      </w:r>
      <w:r w:rsidRPr="00F1465D">
        <w:t>9 agencies can each provide 3 respondents</w:t>
      </w:r>
    </w:p>
    <w:p w:rsidR="006B57C9" w:rsidRPr="00F1465D" w:rsidRDefault="006B57C9" w:rsidP="006B57C9"/>
    <w:p w:rsidR="006B57C9" w:rsidRPr="00F1465D" w:rsidRDefault="006B57C9" w:rsidP="00F97735">
      <w:pPr>
        <w:pStyle w:val="SuicideBodyText"/>
      </w:pPr>
      <w:r w:rsidRPr="00F1465D">
        <w:t>If the participant agrees to participate in the survey during the initial phone call, respondents will be asked to provide a current email address.</w:t>
      </w:r>
      <w:r w:rsidR="009E5A29" w:rsidRPr="00F1465D">
        <w:t xml:space="preserve"> </w:t>
      </w:r>
      <w:r w:rsidRPr="00F1465D">
        <w:t>Once the referral network has been established, respondents will be sent an online survey. This online survey will be prefilled with the entire list of the network so respondents may select which organizations are in their direct referral network.</w:t>
      </w:r>
      <w:r w:rsidR="009E5A29" w:rsidRPr="00F1465D">
        <w:t xml:space="preserve"> </w:t>
      </w:r>
      <w:r w:rsidRPr="00F1465D">
        <w:t xml:space="preserve"> </w:t>
      </w:r>
    </w:p>
    <w:p w:rsidR="00A378BB" w:rsidRPr="00F1465D" w:rsidRDefault="00A378BB" w:rsidP="00F97735">
      <w:pPr>
        <w:pStyle w:val="SuicideBodyText"/>
      </w:pPr>
    </w:p>
    <w:p w:rsidR="00A378BB" w:rsidRPr="00F1465D" w:rsidRDefault="00A378BB" w:rsidP="00F97735">
      <w:pPr>
        <w:pStyle w:val="SuicideBodyText"/>
      </w:pPr>
      <w:proofErr w:type="gramStart"/>
      <w:r w:rsidRPr="00F1465D">
        <w:rPr>
          <w:b/>
        </w:rPr>
        <w:t>Coalition Survey.</w:t>
      </w:r>
      <w:proofErr w:type="gramEnd"/>
      <w:r w:rsidRPr="00F1465D">
        <w:rPr>
          <w:b/>
        </w:rPr>
        <w:t xml:space="preserve"> </w:t>
      </w:r>
      <w:r w:rsidR="002F3D5C" w:rsidRPr="00F1465D">
        <w:t>All grantees that indicate participation in coalition</w:t>
      </w:r>
      <w:r w:rsidR="00762F2D" w:rsidRPr="00F1465D">
        <w:t>-</w:t>
      </w:r>
      <w:r w:rsidR="002F3D5C" w:rsidRPr="00F1465D">
        <w:t xml:space="preserve">building activities in the Prevention Strategies Inventory (PSI) will be asked to identify up to 10 members of their coalition. Respondents will be contacted initially by phone by the cross-site evaluation staff, and </w:t>
      </w:r>
      <w:r w:rsidR="002F3D5C" w:rsidRPr="00F1465D">
        <w:lastRenderedPageBreak/>
        <w:t>will be asked to provide an email address. Respondents will then be sent a link to the online survey.</w:t>
      </w:r>
    </w:p>
    <w:p w:rsidR="002F3D5C" w:rsidRPr="00F1465D" w:rsidRDefault="002F3D5C" w:rsidP="00F97735">
      <w:pPr>
        <w:pStyle w:val="SuicideBodyText"/>
      </w:pPr>
    </w:p>
    <w:p w:rsidR="002F3D5C" w:rsidRPr="00F1465D" w:rsidRDefault="002F3D5C" w:rsidP="00F97735">
      <w:pPr>
        <w:pStyle w:val="SuicideBodyText"/>
      </w:pPr>
      <w:proofErr w:type="gramStart"/>
      <w:r w:rsidRPr="00F1465D">
        <w:rPr>
          <w:b/>
        </w:rPr>
        <w:t>Coalition Profile.</w:t>
      </w:r>
      <w:proofErr w:type="gramEnd"/>
      <w:r w:rsidRPr="00F1465D">
        <w:rPr>
          <w:b/>
        </w:rPr>
        <w:t xml:space="preserve"> </w:t>
      </w:r>
      <w:r w:rsidRPr="00F1465D">
        <w:t xml:space="preserve">All grantees who indicate their involvement with </w:t>
      </w:r>
      <w:r w:rsidR="003768DB" w:rsidRPr="00F1465D">
        <w:t>coalition-</w:t>
      </w:r>
      <w:r w:rsidRPr="00F1465D">
        <w:t xml:space="preserve">building efforts in the Prevention Strategies Inventory (PSI) will be contacted to complete a short survey about their primary coalition. If the grantee is involved with multiple coalitions, </w:t>
      </w:r>
      <w:r w:rsidR="003768DB" w:rsidRPr="00F1465D">
        <w:t xml:space="preserve">the grantee </w:t>
      </w:r>
      <w:r w:rsidRPr="00F1465D">
        <w:t xml:space="preserve">may select </w:t>
      </w:r>
      <w:r w:rsidR="003768DB" w:rsidRPr="00F1465D">
        <w:t xml:space="preserve">only </w:t>
      </w:r>
      <w:r w:rsidRPr="00F1465D">
        <w:t xml:space="preserve">one. Responses to the survey will be used to determine coalition members and basic information about the coalition structure. </w:t>
      </w:r>
    </w:p>
    <w:p w:rsidR="00A378BB" w:rsidRPr="00F1465D" w:rsidRDefault="00A378BB" w:rsidP="00F97735">
      <w:pPr>
        <w:pStyle w:val="SuicideBodyText"/>
        <w:rPr>
          <w:b/>
        </w:rPr>
      </w:pPr>
    </w:p>
    <w:p w:rsidR="00A378BB" w:rsidRPr="00F1465D" w:rsidRDefault="00A378BB" w:rsidP="00F97735">
      <w:pPr>
        <w:pStyle w:val="SuicideBodyText"/>
        <w:rPr>
          <w:b/>
        </w:rPr>
      </w:pPr>
      <w:proofErr w:type="gramStart"/>
      <w:r w:rsidRPr="00F1465D">
        <w:rPr>
          <w:b/>
        </w:rPr>
        <w:t xml:space="preserve">Life </w:t>
      </w:r>
      <w:r w:rsidR="00F65A09" w:rsidRPr="00F1465D">
        <w:rPr>
          <w:b/>
        </w:rPr>
        <w:t>S</w:t>
      </w:r>
      <w:r w:rsidRPr="00F1465D">
        <w:rPr>
          <w:b/>
        </w:rPr>
        <w:t>kills Activities Follow</w:t>
      </w:r>
      <w:r w:rsidR="00AB7990" w:rsidRPr="00F1465D">
        <w:rPr>
          <w:b/>
        </w:rPr>
        <w:t>-u</w:t>
      </w:r>
      <w:r w:rsidRPr="00F1465D">
        <w:rPr>
          <w:b/>
        </w:rPr>
        <w:t>p Interview (LA</w:t>
      </w:r>
      <w:r w:rsidR="003E2EF7" w:rsidRPr="00F1465D">
        <w:rPr>
          <w:b/>
        </w:rPr>
        <w:t>F</w:t>
      </w:r>
      <w:r w:rsidRPr="00F1465D">
        <w:rPr>
          <w:b/>
        </w:rPr>
        <w:t>I).</w:t>
      </w:r>
      <w:proofErr w:type="gramEnd"/>
      <w:r w:rsidRPr="00F1465D">
        <w:rPr>
          <w:b/>
        </w:rPr>
        <w:t xml:space="preserve"> </w:t>
      </w:r>
      <w:r w:rsidRPr="00F1465D">
        <w:t>Many of the Campus programs are planning multiple training activities; therefore</w:t>
      </w:r>
      <w:r w:rsidR="003768DB" w:rsidRPr="00F1465D">
        <w:t>,</w:t>
      </w:r>
      <w:r w:rsidRPr="00F1465D">
        <w:t xml:space="preserve"> in attempts to obtain information from key informants who experienced the same training activity, the cross-site evaluation team</w:t>
      </w:r>
      <w:r w:rsidR="003768DB" w:rsidRPr="00F1465D">
        <w:t>,</w:t>
      </w:r>
      <w:r w:rsidRPr="00F1465D">
        <w:t xml:space="preserve"> in consultation with local program staff</w:t>
      </w:r>
      <w:r w:rsidR="003768DB" w:rsidRPr="00F1465D">
        <w:t>,</w:t>
      </w:r>
      <w:r w:rsidRPr="00F1465D">
        <w:t xml:space="preserve"> will select five particular training activities per year </w:t>
      </w:r>
      <w:r w:rsidR="003768DB" w:rsidRPr="00F1465D">
        <w:t xml:space="preserve">in </w:t>
      </w:r>
      <w:r w:rsidRPr="00F1465D">
        <w:t>which to administer the LA</w:t>
      </w:r>
      <w:r w:rsidR="003E2EF7" w:rsidRPr="00F1465D">
        <w:t>F</w:t>
      </w:r>
      <w:r w:rsidRPr="00F1465D">
        <w:t xml:space="preserve">I. Trainees will be asked to complete </w:t>
      </w:r>
      <w:r w:rsidR="002F3D5C" w:rsidRPr="00F1465D">
        <w:t>consent</w:t>
      </w:r>
      <w:r w:rsidR="003768DB" w:rsidRPr="00F1465D">
        <w:t>-</w:t>
      </w:r>
      <w:r w:rsidRPr="00F1465D">
        <w:t>to</w:t>
      </w:r>
      <w:r w:rsidR="003768DB" w:rsidRPr="00F1465D">
        <w:t>-</w:t>
      </w:r>
      <w:r w:rsidRPr="00F1465D">
        <w:t>contact form indicating their willingness to be contacted to participate in the LA</w:t>
      </w:r>
      <w:r w:rsidR="003E2EF7" w:rsidRPr="00F1465D">
        <w:t>F</w:t>
      </w:r>
      <w:r w:rsidRPr="00F1465D">
        <w:t>I and return the form to local program staff. Key informants for the LA</w:t>
      </w:r>
      <w:r w:rsidR="003E2EF7" w:rsidRPr="00F1465D">
        <w:t>F</w:t>
      </w:r>
      <w:r w:rsidRPr="00F1465D">
        <w:t xml:space="preserve">I will be randomly selected from those individuals who consent to be contacted by the cross-site evaluation team. Local program staff will forward the </w:t>
      </w:r>
      <w:r w:rsidR="003768DB" w:rsidRPr="00F1465D">
        <w:t>consent-</w:t>
      </w:r>
      <w:r w:rsidR="002F3D5C" w:rsidRPr="00F1465D">
        <w:t>to</w:t>
      </w:r>
      <w:r w:rsidR="003768DB" w:rsidRPr="00F1465D">
        <w:t>-</w:t>
      </w:r>
      <w:r w:rsidR="002F3D5C" w:rsidRPr="00F1465D">
        <w:t>contact</w:t>
      </w:r>
      <w:r w:rsidRPr="00F1465D">
        <w:t xml:space="preserve"> forms to the cross-site evaluation team. Up to seven respondents from each of the five selected trainings will be randomly selected from among the potential respondents based on consent</w:t>
      </w:r>
      <w:r w:rsidR="003768DB" w:rsidRPr="00F1465D">
        <w:t>-</w:t>
      </w:r>
      <w:r w:rsidRPr="00F1465D">
        <w:t>to</w:t>
      </w:r>
      <w:r w:rsidR="003768DB" w:rsidRPr="00F1465D">
        <w:t>-</w:t>
      </w:r>
      <w:r w:rsidRPr="00F1465D">
        <w:t xml:space="preserve">contact information, for a total of up to 35 respondents per year. Interviews will be conducted within 3 months of completion of the training activity. </w:t>
      </w:r>
      <w:r w:rsidR="00784182" w:rsidRPr="00F1465D">
        <w:t>It is estimated</w:t>
      </w:r>
      <w:r w:rsidRPr="00F1465D">
        <w:t xml:space="preserve"> that seven respondents per grantee will be sufficient to ensure saturation of themes in the content analysis of results from the qualitative interviews.</w:t>
      </w:r>
    </w:p>
    <w:p w:rsidR="00A378BB" w:rsidRPr="00F1465D" w:rsidRDefault="00A378BB" w:rsidP="00F97735">
      <w:pPr>
        <w:pStyle w:val="SuicideBodyText"/>
        <w:rPr>
          <w:b/>
        </w:rPr>
      </w:pPr>
    </w:p>
    <w:p w:rsidR="004F3213" w:rsidRPr="00F1465D" w:rsidRDefault="004F3213" w:rsidP="00F97735">
      <w:pPr>
        <w:pStyle w:val="SuicideBodyText"/>
      </w:pPr>
      <w:r w:rsidRPr="00F1465D">
        <w:rPr>
          <w:b/>
        </w:rPr>
        <w:t xml:space="preserve">Short Message Service Survey (SMSS). </w:t>
      </w:r>
      <w:r w:rsidRPr="00F1465D">
        <w:t xml:space="preserve">The target population is students enrolled in each Campus at years </w:t>
      </w:r>
      <w:r w:rsidR="003768DB" w:rsidRPr="00F1465D">
        <w:t xml:space="preserve">1 </w:t>
      </w:r>
      <w:r w:rsidRPr="00F1465D">
        <w:t xml:space="preserve">and </w:t>
      </w:r>
      <w:r w:rsidR="003768DB" w:rsidRPr="00F1465D">
        <w:t xml:space="preserve">3 </w:t>
      </w:r>
      <w:r w:rsidRPr="00F1465D">
        <w:t xml:space="preserve">of the grant funding. Each year, the list of mobile phone numbers for all students will be obtained from each campus. A random sample of mobile phone numbers will be selected. The target number of respondents will be 100 per campus. It is expected that </w:t>
      </w:r>
      <w:r w:rsidR="0011166F" w:rsidRPr="00F1465D">
        <w:t xml:space="preserve">1,000 </w:t>
      </w:r>
      <w:r w:rsidRPr="00F1465D">
        <w:t xml:space="preserve">mobile phone numbers will be required to achieve 100 responses. The list of mobile phone numbers from year </w:t>
      </w:r>
      <w:r w:rsidR="003768DB" w:rsidRPr="00F1465D">
        <w:t xml:space="preserve">3 </w:t>
      </w:r>
      <w:r w:rsidRPr="00F1465D">
        <w:t xml:space="preserve">will be compared to that of year </w:t>
      </w:r>
      <w:r w:rsidR="003768DB" w:rsidRPr="00F1465D">
        <w:t xml:space="preserve">1 </w:t>
      </w:r>
      <w:r w:rsidRPr="00F1465D">
        <w:t xml:space="preserve">to identify a stratum of mobile phone numbers present both years and </w:t>
      </w:r>
      <w:r w:rsidR="003768DB" w:rsidRPr="00F1465D">
        <w:t xml:space="preserve">to </w:t>
      </w:r>
      <w:r w:rsidRPr="00F1465D">
        <w:t xml:space="preserve">determine its relative size. Respondents in year </w:t>
      </w:r>
      <w:r w:rsidR="003768DB" w:rsidRPr="00F1465D">
        <w:t xml:space="preserve">1 </w:t>
      </w:r>
      <w:r w:rsidRPr="00F1465D">
        <w:t xml:space="preserve">will be contacted again in year 3 if their mobile phone number is still present in the year </w:t>
      </w:r>
      <w:r w:rsidR="003768DB" w:rsidRPr="00F1465D">
        <w:t xml:space="preserve">3 </w:t>
      </w:r>
      <w:r w:rsidRPr="00F1465D">
        <w:t xml:space="preserve">list. Oversampling mobile phone numbers present in both years will </w:t>
      </w:r>
      <w:r w:rsidR="003768DB" w:rsidRPr="00F1465D">
        <w:t xml:space="preserve">result in a more precise </w:t>
      </w:r>
      <w:r w:rsidRPr="00F1465D">
        <w:t xml:space="preserve">estimate </w:t>
      </w:r>
      <w:r w:rsidR="003768DB" w:rsidRPr="00F1465D">
        <w:t xml:space="preserve">of </w:t>
      </w:r>
      <w:r w:rsidRPr="00F1465D">
        <w:t xml:space="preserve">change. </w:t>
      </w:r>
    </w:p>
    <w:p w:rsidR="00E874EC" w:rsidRPr="00F1465D" w:rsidRDefault="00E874EC">
      <w:pPr>
        <w:widowControl/>
        <w:autoSpaceDE/>
        <w:autoSpaceDN/>
        <w:adjustRightInd/>
        <w:rPr>
          <w:rFonts w:ascii="Arial" w:hAnsi="Arial" w:cs="Arial"/>
          <w:b/>
          <w:i/>
          <w:sz w:val="26"/>
          <w:szCs w:val="26"/>
        </w:rPr>
      </w:pPr>
    </w:p>
    <w:p w:rsidR="00A449B0" w:rsidRPr="00F1465D" w:rsidRDefault="00A449B0" w:rsidP="00F97735">
      <w:pPr>
        <w:pStyle w:val="SuicideHead3"/>
        <w:numPr>
          <w:ilvl w:val="0"/>
          <w:numId w:val="0"/>
        </w:numPr>
      </w:pPr>
      <w:r w:rsidRPr="00F1465D">
        <w:t>Power Estimation</w:t>
      </w:r>
    </w:p>
    <w:p w:rsidR="00A449B0" w:rsidRPr="00F1465D" w:rsidRDefault="00A449B0" w:rsidP="00F97735">
      <w:pPr>
        <w:pStyle w:val="SuicideBodyText"/>
      </w:pPr>
      <w:r w:rsidRPr="00F1465D">
        <w:t xml:space="preserve">The minimum detectable </w:t>
      </w:r>
      <w:r w:rsidR="003768DB" w:rsidRPr="00F1465D">
        <w:t>difference—with</w:t>
      </w:r>
      <w:r w:rsidRPr="00F1465D">
        <w:t xml:space="preserve"> desired power (80%) and significance level (5%</w:t>
      </w:r>
      <w:r w:rsidR="003768DB" w:rsidRPr="00F1465D">
        <w:t xml:space="preserve">)—for </w:t>
      </w:r>
      <w:r w:rsidRPr="00F1465D">
        <w:t>a change in a proportion of interest (e.g.</w:t>
      </w:r>
      <w:r w:rsidR="003768DB" w:rsidRPr="00F1465D">
        <w:t>,</w:t>
      </w:r>
      <w:r w:rsidRPr="00F1465D">
        <w:t xml:space="preserve"> proportion of students who attempt</w:t>
      </w:r>
      <w:r w:rsidR="00532967" w:rsidRPr="00F1465D">
        <w:t>ed</w:t>
      </w:r>
      <w:r w:rsidRPr="00F1465D">
        <w:t xml:space="preserve"> suicide in the last year) between the two waves of administration of SMSS was estimated for a sample size of 2,500 students per wave (corresponding to a typical cohort of 25 campuses).</w:t>
      </w:r>
    </w:p>
    <w:p w:rsidR="00A449B0" w:rsidRPr="00F1465D" w:rsidRDefault="00A449B0" w:rsidP="006D749A">
      <w:pPr>
        <w:ind w:firstLine="720"/>
        <w:rPr>
          <w:b/>
        </w:rPr>
      </w:pPr>
    </w:p>
    <w:p w:rsidR="00DF6C64" w:rsidRPr="00F1465D" w:rsidRDefault="00DF6C64" w:rsidP="00F97735">
      <w:pPr>
        <w:pStyle w:val="SuicideHead3"/>
        <w:numPr>
          <w:ilvl w:val="0"/>
          <w:numId w:val="0"/>
        </w:numPr>
      </w:pPr>
    </w:p>
    <w:p w:rsidR="00A449B0" w:rsidRPr="00F1465D" w:rsidRDefault="00A449B0" w:rsidP="00F97735">
      <w:pPr>
        <w:pStyle w:val="SuicideHead3"/>
        <w:numPr>
          <w:ilvl w:val="0"/>
          <w:numId w:val="0"/>
        </w:numPr>
      </w:pPr>
      <w:r w:rsidRPr="00F1465D">
        <w:t>Method</w:t>
      </w:r>
    </w:p>
    <w:p w:rsidR="00A449B0" w:rsidRPr="00F1465D" w:rsidRDefault="00A449B0" w:rsidP="00F97735">
      <w:pPr>
        <w:pStyle w:val="SuicideBodyText"/>
      </w:pPr>
      <w:r w:rsidRPr="00F1465D">
        <w:t xml:space="preserve">For the present power analysis the null hypothesis is that there is no difference in the proportion of interest between the two waves of administration; the alternative hypothesis is that the two proportions differ in any direction. Though the design calls for some overlap between the </w:t>
      </w:r>
      <w:r w:rsidRPr="00F1465D">
        <w:lastRenderedPageBreak/>
        <w:t xml:space="preserve">samples from the two waves, a two-sample test is used to compare the proportions. This is a conservative approach consistent with no overlap (or no correlation between observations from the same student, given some overlap). </w:t>
      </w:r>
    </w:p>
    <w:p w:rsidR="00A449B0" w:rsidRPr="00F1465D" w:rsidRDefault="00A449B0" w:rsidP="00F97735">
      <w:pPr>
        <w:pStyle w:val="SuicideBodyText"/>
      </w:pPr>
    </w:p>
    <w:p w:rsidR="00A449B0" w:rsidRPr="00F1465D" w:rsidRDefault="00A449B0" w:rsidP="00F97735">
      <w:pPr>
        <w:pStyle w:val="SuicideBodyText"/>
      </w:pPr>
      <w:r w:rsidRPr="00F1465D">
        <w:t>The assumed target of inference is a typical cohort of campus grantees</w:t>
      </w:r>
      <w:r w:rsidRPr="00F1465D">
        <w:rPr>
          <w:rStyle w:val="FootnoteReference"/>
          <w:vertAlign w:val="superscript"/>
        </w:rPr>
        <w:footnoteReference w:id="2"/>
      </w:r>
      <w:r w:rsidRPr="00F1465D">
        <w:rPr>
          <w:vertAlign w:val="superscript"/>
        </w:rPr>
        <w:t>.</w:t>
      </w:r>
      <w:r w:rsidRPr="00F1465D">
        <w:t xml:space="preserve"> On average, such a cohort includes 25 campuses, which results in a total sample size of 2,500 students per wave. The design calls for equal sample sizes per campus. However, campus sizes (in terms of number of students) are not homogeneous. This will result in unequal probability of selection across students from different campuses and a variance increase compared to simple random sampling. This impact may be quantified by the Design Effect (DEFF). Based on typical variation in campus sizes</w:t>
      </w:r>
      <w:r w:rsidR="002C5A65" w:rsidRPr="00F1465D">
        <w:t>,</w:t>
      </w:r>
      <w:r w:rsidRPr="00F1465D">
        <w:t xml:space="preserve"> a DEFF close to </w:t>
      </w:r>
      <w:r w:rsidR="003768DB" w:rsidRPr="00F1465D">
        <w:t>three</w:t>
      </w:r>
      <w:r w:rsidR="00784182" w:rsidRPr="00F1465D">
        <w:t xml:space="preserve"> is anticipated</w:t>
      </w:r>
      <w:r w:rsidRPr="00F1465D">
        <w:t>.</w:t>
      </w:r>
    </w:p>
    <w:p w:rsidR="00A449B0" w:rsidRPr="00F1465D" w:rsidRDefault="00A449B0" w:rsidP="00A449B0">
      <w:pPr>
        <w:rPr>
          <w:b/>
        </w:rPr>
      </w:pPr>
    </w:p>
    <w:p w:rsidR="00A449B0" w:rsidRPr="00F1465D" w:rsidRDefault="00A449B0" w:rsidP="00F97735">
      <w:pPr>
        <w:pStyle w:val="SuicideHead3"/>
        <w:numPr>
          <w:ilvl w:val="0"/>
          <w:numId w:val="0"/>
        </w:numPr>
      </w:pPr>
      <w:r w:rsidRPr="00F1465D">
        <w:t>Results</w:t>
      </w:r>
    </w:p>
    <w:p w:rsidR="0077279F" w:rsidRPr="00F1465D" w:rsidRDefault="00A449B0" w:rsidP="0077279F">
      <w:pPr>
        <w:pStyle w:val="SuicideBodyText"/>
      </w:pPr>
      <w:r w:rsidRPr="00F1465D">
        <w:t>The table below presents the minimum detectable difference with the desired power and significance level for a set of proportions with different initial level. In sum, a sample of 2,500 students per wave has 80% power to detect at a 5% significance level, a difference between 4.5% and 6.8%</w:t>
      </w:r>
      <w:r w:rsidR="003768DB" w:rsidRPr="00F1465D">
        <w:t>,</w:t>
      </w:r>
      <w:r w:rsidRPr="00F1465D">
        <w:t xml:space="preserve"> depending on the initial proportion. </w:t>
      </w:r>
      <w:r w:rsidR="0077279F" w:rsidRPr="00F1465D">
        <w:t xml:space="preserve">Along the result for the overall sample, results are shown for domains representing 50%, 25% and 10% of the sample. </w:t>
      </w:r>
      <w:r w:rsidR="0077279F" w:rsidRPr="00F1465D">
        <w:rPr>
          <w:sz w:val="22"/>
          <w:szCs w:val="22"/>
        </w:rPr>
        <w:t xml:space="preserve"> In sum, in domains comprising 50% to 25% of the sample it would be possible to detect small changes (using Cohen’s conventional labels), while it will be only possible to detect medium size effects in small domains (i.e. comprising 10% of the sample). Changes of that magnitude are conceivable for the measures of exposure to GLS activities, but are not expected for youth suicidal behavior.</w:t>
      </w:r>
    </w:p>
    <w:p w:rsidR="00A449B0" w:rsidRPr="00F1465D" w:rsidRDefault="00A449B0" w:rsidP="0077279F">
      <w:pPr>
        <w:pStyle w:val="SuicideBodyText"/>
        <w:rPr>
          <w:b/>
        </w:rPr>
      </w:pPr>
    </w:p>
    <w:p w:rsidR="00A449B0" w:rsidRPr="00F1465D" w:rsidRDefault="001B55B0" w:rsidP="00A449B0">
      <w:pPr>
        <w:jc w:val="center"/>
        <w:rPr>
          <w:b/>
        </w:rPr>
      </w:pPr>
      <w:proofErr w:type="gramStart"/>
      <w:r w:rsidRPr="00F1465D">
        <w:rPr>
          <w:rFonts w:ascii="Arial" w:hAnsi="Arial" w:cs="Arial"/>
          <w:b/>
          <w:sz w:val="20"/>
          <w:szCs w:val="20"/>
        </w:rPr>
        <w:t>Table 10</w:t>
      </w:r>
      <w:r w:rsidR="00D74D9E" w:rsidRPr="00F1465D">
        <w:rPr>
          <w:rFonts w:ascii="Arial" w:hAnsi="Arial" w:cs="Arial"/>
          <w:b/>
          <w:sz w:val="20"/>
          <w:szCs w:val="20"/>
        </w:rPr>
        <w:t>.</w:t>
      </w:r>
      <w:proofErr w:type="gramEnd"/>
      <w:r w:rsidR="00D74D9E" w:rsidRPr="00F1465D">
        <w:rPr>
          <w:rFonts w:ascii="Arial" w:hAnsi="Arial" w:cs="Arial"/>
          <w:b/>
          <w:sz w:val="20"/>
          <w:szCs w:val="20"/>
        </w:rPr>
        <w:t xml:space="preserve"> </w:t>
      </w:r>
      <w:r w:rsidR="003F10A4" w:rsidRPr="00F1465D">
        <w:rPr>
          <w:rFonts w:ascii="Arial" w:hAnsi="Arial" w:cs="Arial"/>
          <w:b/>
          <w:sz w:val="20"/>
          <w:szCs w:val="20"/>
        </w:rPr>
        <w:t>SMSS: Minimum detectable difference (between waves of administration) with 80% power at 5% significance level</w:t>
      </w:r>
      <w:r w:rsidR="003F10A4" w:rsidRPr="00F1465D" w:rsidDel="003F10A4">
        <w:t xml:space="preserve"> </w:t>
      </w:r>
    </w:p>
    <w:tbl>
      <w:tblPr>
        <w:tblW w:w="1015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361"/>
        <w:gridCol w:w="2292"/>
        <w:gridCol w:w="1833"/>
        <w:gridCol w:w="1833"/>
        <w:gridCol w:w="1833"/>
      </w:tblGrid>
      <w:tr w:rsidR="003F10A4" w:rsidRPr="00F1465D" w:rsidTr="003F10A4">
        <w:trPr>
          <w:jc w:val="center"/>
        </w:trPr>
        <w:tc>
          <w:tcPr>
            <w:tcW w:w="2361" w:type="dxa"/>
            <w:vMerge w:val="restart"/>
            <w:shd w:val="clear" w:color="auto" w:fill="000000" w:themeFill="text1"/>
            <w:vAlign w:val="center"/>
          </w:tcPr>
          <w:p w:rsidR="003F10A4" w:rsidRPr="00F1465D" w:rsidRDefault="003F10A4" w:rsidP="00BC4C0F">
            <w:pPr>
              <w:tabs>
                <w:tab w:val="left" w:pos="-1440"/>
              </w:tabs>
              <w:jc w:val="center"/>
              <w:rPr>
                <w:rFonts w:ascii="Arial" w:hAnsi="Arial" w:cs="Arial"/>
                <w:b/>
                <w:color w:val="FFFFFF" w:themeColor="background1"/>
                <w:sz w:val="18"/>
                <w:szCs w:val="18"/>
              </w:rPr>
            </w:pPr>
            <w:r w:rsidRPr="00F1465D">
              <w:rPr>
                <w:rFonts w:ascii="Arial" w:hAnsi="Arial" w:cs="Arial"/>
                <w:b/>
                <w:color w:val="FFFFFF" w:themeColor="background1"/>
                <w:sz w:val="18"/>
                <w:szCs w:val="18"/>
              </w:rPr>
              <w:t>Initial proportion</w:t>
            </w:r>
          </w:p>
        </w:tc>
        <w:tc>
          <w:tcPr>
            <w:tcW w:w="2292" w:type="dxa"/>
            <w:vMerge w:val="restart"/>
            <w:shd w:val="clear" w:color="auto" w:fill="000000" w:themeFill="text1"/>
            <w:vAlign w:val="center"/>
          </w:tcPr>
          <w:p w:rsidR="003F10A4" w:rsidRPr="00F1465D" w:rsidRDefault="003F10A4" w:rsidP="00BC4C0F">
            <w:pPr>
              <w:tabs>
                <w:tab w:val="left" w:pos="-1440"/>
              </w:tabs>
              <w:jc w:val="center"/>
              <w:rPr>
                <w:rFonts w:ascii="Arial" w:hAnsi="Arial" w:cs="Arial"/>
                <w:b/>
                <w:color w:val="FFFFFF" w:themeColor="background1"/>
                <w:sz w:val="18"/>
                <w:szCs w:val="18"/>
              </w:rPr>
            </w:pPr>
            <w:r w:rsidRPr="00F1465D">
              <w:rPr>
                <w:b/>
                <w:sz w:val="18"/>
                <w:szCs w:val="18"/>
              </w:rPr>
              <w:t>Overall</w:t>
            </w:r>
          </w:p>
        </w:tc>
        <w:tc>
          <w:tcPr>
            <w:tcW w:w="5499" w:type="dxa"/>
            <w:gridSpan w:val="3"/>
            <w:shd w:val="clear" w:color="auto" w:fill="000000" w:themeFill="text1"/>
          </w:tcPr>
          <w:p w:rsidR="003F10A4" w:rsidRPr="00F1465D" w:rsidRDefault="003F10A4" w:rsidP="00BC4C0F">
            <w:pPr>
              <w:pStyle w:val="SuicideTableHeading1"/>
              <w:ind w:left="360"/>
              <w:rPr>
                <w:color w:val="auto"/>
                <w:sz w:val="18"/>
                <w:szCs w:val="18"/>
              </w:rPr>
            </w:pPr>
            <w:r w:rsidRPr="00F1465D">
              <w:rPr>
                <w:color w:val="auto"/>
                <w:sz w:val="18"/>
                <w:szCs w:val="18"/>
              </w:rPr>
              <w:t>Domain</w:t>
            </w:r>
          </w:p>
        </w:tc>
      </w:tr>
      <w:tr w:rsidR="003F10A4" w:rsidRPr="00F1465D" w:rsidTr="003F10A4">
        <w:trPr>
          <w:jc w:val="center"/>
        </w:trPr>
        <w:tc>
          <w:tcPr>
            <w:tcW w:w="2361" w:type="dxa"/>
            <w:vMerge/>
            <w:shd w:val="clear" w:color="auto" w:fill="000000" w:themeFill="text1"/>
            <w:vAlign w:val="center"/>
          </w:tcPr>
          <w:p w:rsidR="003F10A4" w:rsidRPr="00F1465D" w:rsidRDefault="003F10A4" w:rsidP="00BC4C0F">
            <w:pPr>
              <w:tabs>
                <w:tab w:val="left" w:pos="-1440"/>
              </w:tabs>
              <w:jc w:val="center"/>
              <w:rPr>
                <w:rFonts w:ascii="Arial" w:hAnsi="Arial" w:cs="Arial"/>
                <w:b/>
                <w:color w:val="FFFFFF" w:themeColor="background1"/>
                <w:sz w:val="18"/>
                <w:szCs w:val="18"/>
              </w:rPr>
            </w:pPr>
          </w:p>
        </w:tc>
        <w:tc>
          <w:tcPr>
            <w:tcW w:w="2292" w:type="dxa"/>
            <w:vMerge/>
            <w:shd w:val="clear" w:color="auto" w:fill="000000" w:themeFill="text1"/>
            <w:vAlign w:val="center"/>
          </w:tcPr>
          <w:p w:rsidR="003F10A4" w:rsidRPr="00F1465D" w:rsidRDefault="003F10A4" w:rsidP="00BC4C0F">
            <w:pPr>
              <w:tabs>
                <w:tab w:val="left" w:pos="-1440"/>
              </w:tabs>
              <w:jc w:val="center"/>
              <w:rPr>
                <w:rFonts w:ascii="Arial" w:hAnsi="Arial" w:cs="Arial"/>
                <w:b/>
                <w:bCs/>
                <w:color w:val="FFFFFF" w:themeColor="background1"/>
                <w:sz w:val="18"/>
                <w:szCs w:val="18"/>
              </w:rPr>
            </w:pPr>
          </w:p>
        </w:tc>
        <w:tc>
          <w:tcPr>
            <w:tcW w:w="1833" w:type="dxa"/>
            <w:shd w:val="clear" w:color="auto" w:fill="000000" w:themeFill="text1"/>
          </w:tcPr>
          <w:p w:rsidR="003F10A4" w:rsidRPr="00F1465D" w:rsidRDefault="003F10A4" w:rsidP="00BC4C0F">
            <w:pPr>
              <w:pStyle w:val="SuicideTableHeading1"/>
              <w:ind w:left="360"/>
              <w:rPr>
                <w:color w:val="auto"/>
                <w:sz w:val="18"/>
                <w:szCs w:val="18"/>
              </w:rPr>
            </w:pPr>
            <w:r w:rsidRPr="00F1465D">
              <w:rPr>
                <w:color w:val="auto"/>
                <w:sz w:val="18"/>
                <w:szCs w:val="18"/>
              </w:rPr>
              <w:t>50% of the sample</w:t>
            </w:r>
          </w:p>
        </w:tc>
        <w:tc>
          <w:tcPr>
            <w:tcW w:w="1833" w:type="dxa"/>
            <w:shd w:val="clear" w:color="auto" w:fill="000000" w:themeFill="text1"/>
          </w:tcPr>
          <w:p w:rsidR="003F10A4" w:rsidRPr="00F1465D" w:rsidRDefault="003F10A4" w:rsidP="00BC4C0F">
            <w:pPr>
              <w:pStyle w:val="SuicideTableHeading1"/>
              <w:ind w:left="360"/>
              <w:rPr>
                <w:color w:val="auto"/>
                <w:sz w:val="18"/>
                <w:szCs w:val="18"/>
              </w:rPr>
            </w:pPr>
            <w:r w:rsidRPr="00F1465D">
              <w:rPr>
                <w:color w:val="auto"/>
                <w:sz w:val="18"/>
                <w:szCs w:val="18"/>
              </w:rPr>
              <w:t>25% of the sample</w:t>
            </w:r>
          </w:p>
        </w:tc>
        <w:tc>
          <w:tcPr>
            <w:tcW w:w="1833" w:type="dxa"/>
            <w:shd w:val="clear" w:color="auto" w:fill="000000" w:themeFill="text1"/>
          </w:tcPr>
          <w:p w:rsidR="003F10A4" w:rsidRPr="00F1465D" w:rsidRDefault="003F10A4" w:rsidP="00BC4C0F">
            <w:pPr>
              <w:pStyle w:val="SuicideTableHeading1"/>
              <w:ind w:left="360"/>
              <w:rPr>
                <w:color w:val="auto"/>
                <w:sz w:val="18"/>
                <w:szCs w:val="18"/>
              </w:rPr>
            </w:pPr>
            <w:r w:rsidRPr="00F1465D">
              <w:rPr>
                <w:color w:val="auto"/>
                <w:sz w:val="18"/>
                <w:szCs w:val="18"/>
              </w:rPr>
              <w:t>10% of the sample</w:t>
            </w:r>
          </w:p>
        </w:tc>
      </w:tr>
      <w:tr w:rsidR="003F10A4" w:rsidRPr="00F1465D" w:rsidTr="003F10A4">
        <w:trPr>
          <w:jc w:val="center"/>
        </w:trPr>
        <w:tc>
          <w:tcPr>
            <w:tcW w:w="2361"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10%</w:t>
            </w:r>
          </w:p>
        </w:tc>
        <w:tc>
          <w:tcPr>
            <w:tcW w:w="2292"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4.5%</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6.6%</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9.7%</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16.7%</w:t>
            </w:r>
          </w:p>
        </w:tc>
      </w:tr>
      <w:tr w:rsidR="003F10A4" w:rsidRPr="00F1465D" w:rsidTr="003F10A4">
        <w:trPr>
          <w:jc w:val="center"/>
        </w:trPr>
        <w:tc>
          <w:tcPr>
            <w:tcW w:w="2361"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20%</w:t>
            </w:r>
          </w:p>
        </w:tc>
        <w:tc>
          <w:tcPr>
            <w:tcW w:w="2292"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5.8%</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8.3%</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12.0%</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19.7%</w:t>
            </w:r>
          </w:p>
        </w:tc>
      </w:tr>
      <w:tr w:rsidR="003F10A4" w:rsidRPr="00F1465D" w:rsidTr="003F10A4">
        <w:trPr>
          <w:jc w:val="center"/>
        </w:trPr>
        <w:tc>
          <w:tcPr>
            <w:tcW w:w="2361"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30%</w:t>
            </w:r>
          </w:p>
        </w:tc>
        <w:tc>
          <w:tcPr>
            <w:tcW w:w="2292"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6.5%</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9.2%</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13.2%</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21.2%</w:t>
            </w:r>
          </w:p>
        </w:tc>
      </w:tr>
      <w:tr w:rsidR="003F10A4" w:rsidRPr="00F1465D" w:rsidTr="003F10A4">
        <w:trPr>
          <w:jc w:val="center"/>
        </w:trPr>
        <w:tc>
          <w:tcPr>
            <w:tcW w:w="2361"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40%</w:t>
            </w:r>
          </w:p>
        </w:tc>
        <w:tc>
          <w:tcPr>
            <w:tcW w:w="2292"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6.8%</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9.6%</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13.7%</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21.5%</w:t>
            </w:r>
          </w:p>
        </w:tc>
      </w:tr>
      <w:tr w:rsidR="003F10A4" w:rsidRPr="00F1465D" w:rsidTr="003F10A4">
        <w:trPr>
          <w:jc w:val="center"/>
        </w:trPr>
        <w:tc>
          <w:tcPr>
            <w:tcW w:w="2361"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50%</w:t>
            </w:r>
          </w:p>
        </w:tc>
        <w:tc>
          <w:tcPr>
            <w:tcW w:w="2292" w:type="dxa"/>
            <w:shd w:val="clear" w:color="auto" w:fill="auto"/>
            <w:vAlign w:val="center"/>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6.8%</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9.7%</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13.6%</w:t>
            </w:r>
          </w:p>
        </w:tc>
        <w:tc>
          <w:tcPr>
            <w:tcW w:w="1833" w:type="dxa"/>
          </w:tcPr>
          <w:p w:rsidR="003F10A4" w:rsidRPr="00F1465D" w:rsidRDefault="003F10A4" w:rsidP="00BC4C0F">
            <w:pPr>
              <w:spacing w:before="40" w:after="40"/>
              <w:jc w:val="center"/>
              <w:rPr>
                <w:rFonts w:ascii="Arial" w:hAnsi="Arial" w:cs="Arial"/>
                <w:sz w:val="18"/>
                <w:szCs w:val="18"/>
              </w:rPr>
            </w:pPr>
            <w:r w:rsidRPr="00F1465D">
              <w:rPr>
                <w:rFonts w:ascii="Arial" w:hAnsi="Arial" w:cs="Arial"/>
                <w:sz w:val="18"/>
                <w:szCs w:val="18"/>
              </w:rPr>
              <w:t>21.1%</w:t>
            </w:r>
          </w:p>
        </w:tc>
      </w:tr>
    </w:tbl>
    <w:p w:rsidR="00736BBB" w:rsidRPr="00F1465D" w:rsidRDefault="00AD5B5B" w:rsidP="00F209B7">
      <w:pPr>
        <w:pStyle w:val="SuicideBodyText"/>
        <w:spacing w:before="240"/>
      </w:pPr>
      <w:r w:rsidRPr="00F1465D">
        <w:rPr>
          <w:b/>
        </w:rPr>
        <w:t xml:space="preserve">Student Awareness Intercept Survey (SAIS). </w:t>
      </w:r>
      <w:r w:rsidRPr="00F1465D">
        <w:t>Respondents for the SAIS will represent a sample of the student population at</w:t>
      </w:r>
      <w:r w:rsidR="006F60F3" w:rsidRPr="00F1465D">
        <w:t xml:space="preserve"> up to</w:t>
      </w:r>
      <w:r w:rsidRPr="00F1465D">
        <w:t xml:space="preserve"> </w:t>
      </w:r>
      <w:r w:rsidR="00736BBB" w:rsidRPr="00F1465D">
        <w:t xml:space="preserve">four </w:t>
      </w:r>
      <w:r w:rsidR="006F60F3" w:rsidRPr="00F1465D">
        <w:t xml:space="preserve">selected </w:t>
      </w:r>
      <w:r w:rsidRPr="00F1465D">
        <w:t>campus</w:t>
      </w:r>
      <w:r w:rsidR="003A0B11" w:rsidRPr="00F1465D">
        <w:t>es</w:t>
      </w:r>
      <w:r w:rsidRPr="00F1465D">
        <w:t>.</w:t>
      </w:r>
      <w:r w:rsidR="006F60F3" w:rsidRPr="00F1465D">
        <w:t xml:space="preserve"> Campuses implementing targeted suicide prevention campaigns will be identified and selected by reviewing grant applications and through technical assistance activities.</w:t>
      </w:r>
      <w:r w:rsidRPr="00F1465D">
        <w:t xml:space="preserve"> A sampling plan to obtain </w:t>
      </w:r>
      <w:r w:rsidR="00736BBB" w:rsidRPr="00F1465D">
        <w:t>400</w:t>
      </w:r>
      <w:r w:rsidR="002F3D5C" w:rsidRPr="00F1465D">
        <w:t xml:space="preserve"> student</w:t>
      </w:r>
      <w:r w:rsidRPr="00F1465D">
        <w:t xml:space="preserve"> respondents at </w:t>
      </w:r>
      <w:r w:rsidR="006F60F3" w:rsidRPr="00F1465D">
        <w:t xml:space="preserve">up to </w:t>
      </w:r>
      <w:r w:rsidR="00AF1FFB" w:rsidRPr="00F1465D">
        <w:t>four participating</w:t>
      </w:r>
      <w:r w:rsidRPr="00F1465D">
        <w:t xml:space="preserve"> campuses will be developed by the cross-site evaluation team in conjunction with the campus project team using geographical and temporal sampling frames of student activity. Working with the campus grantee, the evaluation team will recruit respondents utilizing a systematic process that randomly selects campus locations and times.</w:t>
      </w:r>
      <w:r w:rsidR="009E5A29" w:rsidRPr="00F1465D">
        <w:t xml:space="preserve"> </w:t>
      </w:r>
      <w:r w:rsidR="00736BBB" w:rsidRPr="00F1465D">
        <w:t>For the follow</w:t>
      </w:r>
      <w:r w:rsidR="003768DB" w:rsidRPr="00F1465D">
        <w:t>-</w:t>
      </w:r>
      <w:r w:rsidR="00736BBB" w:rsidRPr="00F1465D">
        <w:t>up administration, the same sample size will be targeted. However, that sample will result from a combination of follow</w:t>
      </w:r>
      <w:r w:rsidR="003768DB" w:rsidRPr="00F1465D">
        <w:t>-</w:t>
      </w:r>
      <w:r w:rsidR="00736BBB" w:rsidRPr="00F1465D">
        <w:t xml:space="preserve">up interviews </w:t>
      </w:r>
      <w:r w:rsidR="003768DB" w:rsidRPr="00F1465D">
        <w:t xml:space="preserve">with </w:t>
      </w:r>
      <w:r w:rsidR="00736BBB" w:rsidRPr="00F1465D">
        <w:t xml:space="preserve">students from the initial sample, in </w:t>
      </w:r>
      <w:r w:rsidR="00736BBB" w:rsidRPr="00F1465D">
        <w:lastRenderedPageBreak/>
        <w:t xml:space="preserve">combination with students </w:t>
      </w:r>
      <w:r w:rsidR="003768DB" w:rsidRPr="00F1465D">
        <w:t xml:space="preserve">newly recruited </w:t>
      </w:r>
      <w:r w:rsidR="00736BBB" w:rsidRPr="00F1465D">
        <w:t>th</w:t>
      </w:r>
      <w:r w:rsidR="00800D0C" w:rsidRPr="00F1465D">
        <w:t>r</w:t>
      </w:r>
      <w:r w:rsidR="00736BBB" w:rsidRPr="00F1465D">
        <w:t xml:space="preserve">ough </w:t>
      </w:r>
      <w:r w:rsidR="00800D0C" w:rsidRPr="00F1465D">
        <w:t>an intercept procedure similar</w:t>
      </w:r>
      <w:r w:rsidR="002C5A65" w:rsidRPr="00F1465D">
        <w:t xml:space="preserve"> to the procedure</w:t>
      </w:r>
      <w:r w:rsidR="00736BBB" w:rsidRPr="00F1465D">
        <w:t>.</w:t>
      </w:r>
    </w:p>
    <w:p w:rsidR="00AD5B5B" w:rsidRPr="00F1465D" w:rsidRDefault="00AD5B5B" w:rsidP="00FF670E">
      <w:pPr>
        <w:ind w:left="720"/>
      </w:pPr>
    </w:p>
    <w:p w:rsidR="00AD5B5B" w:rsidRPr="00F1465D" w:rsidRDefault="00736BBB" w:rsidP="00F97735">
      <w:pPr>
        <w:pStyle w:val="SuicideHead3"/>
        <w:numPr>
          <w:ilvl w:val="0"/>
          <w:numId w:val="0"/>
        </w:numPr>
        <w:rPr>
          <w:u w:val="single"/>
        </w:rPr>
      </w:pPr>
      <w:r w:rsidRPr="00F1465D">
        <w:t>Power Estimation</w:t>
      </w:r>
    </w:p>
    <w:p w:rsidR="00736BBB" w:rsidRPr="00F1465D" w:rsidRDefault="00736BBB" w:rsidP="00F97735">
      <w:pPr>
        <w:pStyle w:val="SuicideBodyText"/>
      </w:pPr>
      <w:r w:rsidRPr="00F1465D">
        <w:t xml:space="preserve">The minimum detectable </w:t>
      </w:r>
      <w:r w:rsidR="003768DB" w:rsidRPr="00F1465D">
        <w:t xml:space="preserve">difference—with </w:t>
      </w:r>
      <w:r w:rsidRPr="00F1465D">
        <w:t>desired power (80%) and significance level (5%</w:t>
      </w:r>
      <w:r w:rsidR="003768DB" w:rsidRPr="00F1465D">
        <w:t xml:space="preserve">)—in </w:t>
      </w:r>
      <w:r w:rsidRPr="00F1465D">
        <w:t>a set of selected variables between the two waves of administration of SAIS was estimated for a sample of 400 students per campus per wave. To increase the precision in the estimation of change, the sample was designed to obtain a substantial overlap between administrations. The gains in precision due to such a design depend not only on the extent of the overlap, but also on the correlation among repeated observations on the same individual, both difficult to determine a priori. This difficulty is overcome by providing estimations for two scenarios, complete and no overlap between samples.</w:t>
      </w:r>
    </w:p>
    <w:p w:rsidR="00736BBB" w:rsidRPr="00F1465D" w:rsidRDefault="00736BBB" w:rsidP="00FF670E">
      <w:pPr>
        <w:ind w:firstLine="720"/>
        <w:rPr>
          <w:b/>
        </w:rPr>
      </w:pPr>
    </w:p>
    <w:p w:rsidR="00F97735" w:rsidRPr="00F1465D" w:rsidRDefault="00736BBB" w:rsidP="00F97735">
      <w:pPr>
        <w:pStyle w:val="SuicideHead3"/>
        <w:numPr>
          <w:ilvl w:val="0"/>
          <w:numId w:val="0"/>
        </w:numPr>
      </w:pPr>
      <w:r w:rsidRPr="00F1465D">
        <w:t>Method</w:t>
      </w:r>
    </w:p>
    <w:p w:rsidR="00736BBB" w:rsidRPr="00F1465D" w:rsidRDefault="00736BBB" w:rsidP="00F97735">
      <w:pPr>
        <w:pStyle w:val="SuicideBodyText"/>
        <w:rPr>
          <w:b/>
        </w:rPr>
      </w:pPr>
      <w:r w:rsidRPr="00F1465D">
        <w:t>For the present power analysis</w:t>
      </w:r>
      <w:r w:rsidR="003768DB" w:rsidRPr="00F1465D">
        <w:t>,</w:t>
      </w:r>
      <w:r w:rsidRPr="00F1465D">
        <w:t xml:space="preserve"> the null hypothesis is that there is no difference in the mean value of the variable of interest across </w:t>
      </w:r>
      <w:r w:rsidR="003768DB" w:rsidRPr="00F1465D">
        <w:t xml:space="preserve">two </w:t>
      </w:r>
      <w:r w:rsidRPr="00F1465D">
        <w:t>waves of administration; the alternative hypothesis is that the two means differ in any direction.</w:t>
      </w:r>
      <w:r w:rsidR="009E5A29" w:rsidRPr="00F1465D">
        <w:t xml:space="preserve"> </w:t>
      </w:r>
      <w:r w:rsidRPr="00F1465D">
        <w:t xml:space="preserve">Two estimations are presented. For </w:t>
      </w:r>
      <w:r w:rsidR="00800D0C" w:rsidRPr="00F1465D">
        <w:t>continuous</w:t>
      </w:r>
      <w:r w:rsidR="003768DB" w:rsidRPr="00F1465D">
        <w:t xml:space="preserve"> </w:t>
      </w:r>
      <w:r w:rsidRPr="00F1465D">
        <w:t>variables, the first estimation is based on a t-test of difference in means for two independent samples, which would be adequate if the samples for the two administrations did not overlap at all. The second estimation is based on a paired t-test, which would be adequate if the two samples overlapped completely. In addition, for the second test, the standard deviation for the pair-wise difference between administrations is assumed to be equivalent to the standard deviation of the measure in each wave. This is equivalent to assume a correlation of .5 across two measures from the same youth. Finally, for the discrete variable, the scenarios correspond to one and two sample test of proportions.</w:t>
      </w:r>
    </w:p>
    <w:p w:rsidR="00CA4DEE" w:rsidRPr="00F1465D" w:rsidRDefault="00CA4DEE" w:rsidP="00F97735">
      <w:pPr>
        <w:pStyle w:val="SuicideBodyText"/>
      </w:pPr>
    </w:p>
    <w:p w:rsidR="00736BBB" w:rsidRPr="00F1465D" w:rsidRDefault="00736BBB" w:rsidP="00F97735">
      <w:pPr>
        <w:pStyle w:val="SuicideBodyText"/>
      </w:pPr>
      <w:r w:rsidRPr="00F1465D">
        <w:t>Results are presented for a standardized continues variable (i.e.</w:t>
      </w:r>
      <w:r w:rsidR="003768DB" w:rsidRPr="00F1465D">
        <w:t>,</w:t>
      </w:r>
      <w:r w:rsidRPr="00F1465D">
        <w:t xml:space="preserve"> with a mean of 0</w:t>
      </w:r>
      <w:r w:rsidR="003768DB" w:rsidRPr="00F1465D">
        <w:t>,</w:t>
      </w:r>
      <w:r w:rsidRPr="00F1465D">
        <w:t xml:space="preserve"> a standard deviation of 1). In addition, include examples of two constructs that will be assessed by SAIS: </w:t>
      </w:r>
      <w:r w:rsidR="00FB54B4" w:rsidRPr="00F1465D">
        <w:t xml:space="preserve">(1) </w:t>
      </w:r>
      <w:r w:rsidRPr="00F1465D">
        <w:t xml:space="preserve">stigma toward seeking mental health treatment and </w:t>
      </w:r>
      <w:r w:rsidR="00FB54B4" w:rsidRPr="00F1465D">
        <w:t xml:space="preserve">(2) </w:t>
      </w:r>
      <w:r w:rsidRPr="00F1465D">
        <w:t>knowledge of myth and facts about suicide and its prevention</w:t>
      </w:r>
      <w:r w:rsidR="00784182" w:rsidRPr="00F1465D">
        <w:t xml:space="preserve"> are included</w:t>
      </w:r>
      <w:r w:rsidRPr="00F1465D">
        <w:t>. Similar constructs were assessed on a previous survey to campus students (SPEAKS) as part of the GLS national evaluation</w:t>
      </w:r>
      <w:r w:rsidR="009E5A29" w:rsidRPr="00F1465D">
        <w:t xml:space="preserve"> </w:t>
      </w:r>
      <w:r w:rsidRPr="00F1465D">
        <w:t xml:space="preserve">through simple mean scores based on a set of </w:t>
      </w:r>
      <w:r w:rsidR="006C25CC" w:rsidRPr="00F1465D">
        <w:t xml:space="preserve">four </w:t>
      </w:r>
      <w:r w:rsidRPr="00F1465D">
        <w:t xml:space="preserve">5-point Likert questions and 28 dichotomous questions. The estimated means and standard deviation are based on a sample of approximately 20,000 students </w:t>
      </w:r>
      <w:r w:rsidR="006C25CC" w:rsidRPr="00F1465D">
        <w:t xml:space="preserve">from </w:t>
      </w:r>
      <w:r w:rsidRPr="00F1465D">
        <w:t>53 different campuses from that survey. Finally, results are presented for a discrete variable assumed to be close to 50% in the first administration (the most demanding situation).</w:t>
      </w:r>
    </w:p>
    <w:p w:rsidR="00527837" w:rsidRPr="00F1465D" w:rsidRDefault="00527837" w:rsidP="00FF670E">
      <w:pPr>
        <w:ind w:left="720"/>
        <w:rPr>
          <w:b/>
        </w:rPr>
      </w:pPr>
    </w:p>
    <w:p w:rsidR="00F97735" w:rsidRPr="00F1465D" w:rsidRDefault="00736BBB" w:rsidP="00F97735">
      <w:pPr>
        <w:pStyle w:val="SuicideHead3"/>
        <w:numPr>
          <w:ilvl w:val="0"/>
          <w:numId w:val="0"/>
        </w:numPr>
      </w:pPr>
      <w:r w:rsidRPr="00F1465D">
        <w:t>Results</w:t>
      </w:r>
    </w:p>
    <w:p w:rsidR="0077279F" w:rsidRPr="00F1465D" w:rsidRDefault="00736BBB" w:rsidP="007D19C0">
      <w:pPr>
        <w:pStyle w:val="SuicideBodyText"/>
      </w:pPr>
      <w:r w:rsidRPr="00F1465D">
        <w:t>The table below presents the minimum detectable difference for each variable for the desired power and significance level for the two scenarios, complete overlap and no overlap between samples. In sum, a sample of 400 students per campus in each wave has 80% power to detect at a 5% significance level a relatively small difference</w:t>
      </w:r>
      <w:r w:rsidR="006C25CC" w:rsidRPr="00F1465D">
        <w:t>,</w:t>
      </w:r>
      <w:r w:rsidRPr="00F1465D">
        <w:t xml:space="preserve"> between 15% and 20% of the standard deviation of the variable. </w:t>
      </w:r>
      <w:r w:rsidR="0077279F" w:rsidRPr="00F1465D">
        <w:t>Along the result for the overall sample, results are shown for domains representing 50%, 25% and 10% of the sample.</w:t>
      </w:r>
      <w:r w:rsidR="007D19C0" w:rsidRPr="00F1465D">
        <w:t xml:space="preserve"> </w:t>
      </w:r>
      <w:r w:rsidR="0077279F" w:rsidRPr="00F1465D">
        <w:t xml:space="preserve">In sum, in domains comprising 50% to 25% of the sample it would be possible to detect small effects (using Cohen’s conventional labels), while it will be only possible to detect medium size effects in small domains (i.e. comprising 10% of </w:t>
      </w:r>
      <w:r w:rsidR="0077279F" w:rsidRPr="00F1465D">
        <w:lastRenderedPageBreak/>
        <w:t xml:space="preserve">the sample). Increased precision can be obtained, however, by combining samples across the four participating campuses. </w:t>
      </w:r>
    </w:p>
    <w:p w:rsidR="00736BBB" w:rsidRPr="00F1465D" w:rsidRDefault="00736BBB" w:rsidP="00F97735">
      <w:pPr>
        <w:rPr>
          <w:u w:val="single"/>
        </w:rPr>
      </w:pPr>
    </w:p>
    <w:p w:rsidR="003F10A4" w:rsidRPr="00F1465D" w:rsidRDefault="001B55B0" w:rsidP="003F10A4">
      <w:pPr>
        <w:pStyle w:val="SuicideBodyText"/>
        <w:ind w:left="540"/>
        <w:rPr>
          <w:rFonts w:ascii="Arial" w:hAnsi="Arial" w:cs="Arial"/>
          <w:b/>
          <w:sz w:val="20"/>
          <w:szCs w:val="20"/>
        </w:rPr>
      </w:pPr>
      <w:proofErr w:type="gramStart"/>
      <w:r w:rsidRPr="00F1465D">
        <w:rPr>
          <w:rFonts w:ascii="Arial" w:hAnsi="Arial" w:cs="Arial"/>
          <w:b/>
          <w:sz w:val="20"/>
          <w:szCs w:val="20"/>
        </w:rPr>
        <w:t>Table 11</w:t>
      </w:r>
      <w:r w:rsidR="00D74D9E" w:rsidRPr="00F1465D">
        <w:rPr>
          <w:rFonts w:ascii="Arial" w:hAnsi="Arial" w:cs="Arial"/>
          <w:b/>
          <w:sz w:val="20"/>
          <w:szCs w:val="20"/>
        </w:rPr>
        <w:t>.</w:t>
      </w:r>
      <w:proofErr w:type="gramEnd"/>
      <w:r w:rsidR="00D74D9E" w:rsidRPr="00F1465D">
        <w:rPr>
          <w:rFonts w:ascii="Arial" w:hAnsi="Arial" w:cs="Arial"/>
          <w:b/>
          <w:sz w:val="20"/>
          <w:szCs w:val="20"/>
        </w:rPr>
        <w:t xml:space="preserve"> </w:t>
      </w:r>
      <w:r w:rsidR="003F10A4" w:rsidRPr="00F1465D">
        <w:rPr>
          <w:rFonts w:ascii="Arial" w:hAnsi="Arial" w:cs="Arial"/>
          <w:b/>
          <w:sz w:val="20"/>
          <w:szCs w:val="20"/>
        </w:rPr>
        <w:t>SAIS: Standardized Minimum detectable difference (across waves of administration) with 80% power at 5% significance level</w:t>
      </w:r>
    </w:p>
    <w:tbl>
      <w:tblPr>
        <w:tblW w:w="977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3758"/>
        <w:gridCol w:w="1489"/>
        <w:gridCol w:w="1350"/>
        <w:gridCol w:w="1582"/>
        <w:gridCol w:w="1600"/>
      </w:tblGrid>
      <w:tr w:rsidR="003F10A4" w:rsidRPr="00F1465D" w:rsidTr="00BC4C0F">
        <w:trPr>
          <w:trHeight w:val="576"/>
          <w:jc w:val="center"/>
        </w:trPr>
        <w:tc>
          <w:tcPr>
            <w:tcW w:w="3758" w:type="dxa"/>
            <w:vMerge w:val="restart"/>
            <w:shd w:val="clear" w:color="auto" w:fill="000000" w:themeFill="text1"/>
            <w:noWrap/>
            <w:vAlign w:val="center"/>
          </w:tcPr>
          <w:p w:rsidR="003F10A4" w:rsidRPr="00F1465D" w:rsidRDefault="003F10A4" w:rsidP="00BC4C0F">
            <w:pPr>
              <w:pStyle w:val="SuicideTableHeading1"/>
              <w:rPr>
                <w:bCs/>
                <w:sz w:val="18"/>
                <w:szCs w:val="18"/>
              </w:rPr>
            </w:pPr>
            <w:r w:rsidRPr="00F1465D">
              <w:rPr>
                <w:bCs/>
                <w:sz w:val="18"/>
                <w:szCs w:val="18"/>
              </w:rPr>
              <w:t>Estimated Values</w:t>
            </w:r>
          </w:p>
        </w:tc>
        <w:tc>
          <w:tcPr>
            <w:tcW w:w="1489" w:type="dxa"/>
            <w:vMerge w:val="restart"/>
            <w:shd w:val="clear" w:color="auto" w:fill="000000" w:themeFill="text1"/>
            <w:vAlign w:val="center"/>
          </w:tcPr>
          <w:p w:rsidR="003F10A4" w:rsidRPr="00F1465D" w:rsidRDefault="003F10A4" w:rsidP="00BC4C0F">
            <w:pPr>
              <w:pStyle w:val="SuicideTableHeading1"/>
              <w:rPr>
                <w:color w:val="auto"/>
                <w:sz w:val="18"/>
                <w:szCs w:val="18"/>
              </w:rPr>
            </w:pPr>
          </w:p>
          <w:p w:rsidR="003F10A4" w:rsidRPr="00F1465D" w:rsidRDefault="003F10A4" w:rsidP="00BC4C0F">
            <w:pPr>
              <w:pStyle w:val="SuicideTableHeading1"/>
              <w:rPr>
                <w:bCs/>
                <w:sz w:val="18"/>
                <w:szCs w:val="18"/>
              </w:rPr>
            </w:pPr>
            <w:r w:rsidRPr="00F1465D">
              <w:rPr>
                <w:color w:val="auto"/>
                <w:sz w:val="18"/>
                <w:szCs w:val="18"/>
              </w:rPr>
              <w:t>Overall</w:t>
            </w:r>
          </w:p>
        </w:tc>
        <w:tc>
          <w:tcPr>
            <w:tcW w:w="4532" w:type="dxa"/>
            <w:gridSpan w:val="3"/>
            <w:shd w:val="clear" w:color="auto" w:fill="000000" w:themeFill="text1"/>
          </w:tcPr>
          <w:p w:rsidR="003F10A4" w:rsidRPr="00F1465D" w:rsidRDefault="003F10A4" w:rsidP="00BC4C0F">
            <w:pPr>
              <w:pStyle w:val="SuicideTableHeading1"/>
              <w:rPr>
                <w:bCs/>
                <w:sz w:val="18"/>
                <w:szCs w:val="18"/>
              </w:rPr>
            </w:pPr>
            <w:r w:rsidRPr="00F1465D">
              <w:rPr>
                <w:color w:val="auto"/>
                <w:sz w:val="18"/>
                <w:szCs w:val="18"/>
              </w:rPr>
              <w:t>Domain</w:t>
            </w:r>
          </w:p>
        </w:tc>
      </w:tr>
      <w:tr w:rsidR="003F10A4" w:rsidRPr="00F1465D" w:rsidTr="00BC4C0F">
        <w:trPr>
          <w:trHeight w:val="576"/>
          <w:jc w:val="center"/>
        </w:trPr>
        <w:tc>
          <w:tcPr>
            <w:tcW w:w="3758" w:type="dxa"/>
            <w:vMerge/>
            <w:shd w:val="clear" w:color="auto" w:fill="000000" w:themeFill="text1"/>
            <w:noWrap/>
            <w:vAlign w:val="center"/>
          </w:tcPr>
          <w:p w:rsidR="003F10A4" w:rsidRPr="00F1465D" w:rsidRDefault="003F10A4" w:rsidP="00BC4C0F">
            <w:pPr>
              <w:pStyle w:val="SuicideTableHeading1"/>
              <w:rPr>
                <w:bCs/>
                <w:sz w:val="18"/>
                <w:szCs w:val="18"/>
              </w:rPr>
            </w:pPr>
          </w:p>
        </w:tc>
        <w:tc>
          <w:tcPr>
            <w:tcW w:w="1489" w:type="dxa"/>
            <w:vMerge/>
            <w:shd w:val="clear" w:color="auto" w:fill="000000" w:themeFill="text1"/>
            <w:vAlign w:val="center"/>
          </w:tcPr>
          <w:p w:rsidR="003F10A4" w:rsidRPr="00F1465D" w:rsidRDefault="003F10A4" w:rsidP="00BC4C0F">
            <w:pPr>
              <w:pStyle w:val="SuicideTableHeading1"/>
              <w:rPr>
                <w:bCs/>
                <w:color w:val="FFFFFF" w:themeColor="background1"/>
                <w:sz w:val="18"/>
                <w:szCs w:val="18"/>
              </w:rPr>
            </w:pPr>
          </w:p>
        </w:tc>
        <w:tc>
          <w:tcPr>
            <w:tcW w:w="1350" w:type="dxa"/>
            <w:shd w:val="clear" w:color="auto" w:fill="000000" w:themeFill="text1"/>
          </w:tcPr>
          <w:p w:rsidR="003F10A4" w:rsidRPr="00F1465D" w:rsidRDefault="003F10A4" w:rsidP="00BC4C0F">
            <w:pPr>
              <w:pStyle w:val="SuicideTableHeading1"/>
              <w:rPr>
                <w:color w:val="auto"/>
                <w:sz w:val="18"/>
                <w:szCs w:val="18"/>
              </w:rPr>
            </w:pPr>
            <w:r w:rsidRPr="00F1465D">
              <w:rPr>
                <w:color w:val="auto"/>
                <w:sz w:val="18"/>
                <w:szCs w:val="18"/>
              </w:rPr>
              <w:t>50% of the sample</w:t>
            </w:r>
          </w:p>
        </w:tc>
        <w:tc>
          <w:tcPr>
            <w:tcW w:w="1582" w:type="dxa"/>
            <w:shd w:val="clear" w:color="auto" w:fill="000000" w:themeFill="text1"/>
          </w:tcPr>
          <w:p w:rsidR="003F10A4" w:rsidRPr="00F1465D" w:rsidRDefault="003F10A4" w:rsidP="00BC4C0F">
            <w:pPr>
              <w:pStyle w:val="SuicideTableHeading1"/>
              <w:rPr>
                <w:color w:val="auto"/>
                <w:sz w:val="18"/>
                <w:szCs w:val="18"/>
              </w:rPr>
            </w:pPr>
            <w:r w:rsidRPr="00F1465D">
              <w:rPr>
                <w:color w:val="auto"/>
                <w:sz w:val="18"/>
                <w:szCs w:val="18"/>
              </w:rPr>
              <w:t>25% of the sample</w:t>
            </w:r>
          </w:p>
        </w:tc>
        <w:tc>
          <w:tcPr>
            <w:tcW w:w="1600" w:type="dxa"/>
            <w:shd w:val="clear" w:color="auto" w:fill="000000" w:themeFill="text1"/>
          </w:tcPr>
          <w:p w:rsidR="003F10A4" w:rsidRPr="00F1465D" w:rsidRDefault="003F10A4" w:rsidP="00BC4C0F">
            <w:pPr>
              <w:pStyle w:val="SuicideTableHeading1"/>
              <w:ind w:left="5"/>
              <w:rPr>
                <w:color w:val="auto"/>
                <w:sz w:val="18"/>
                <w:szCs w:val="18"/>
              </w:rPr>
            </w:pPr>
            <w:r w:rsidRPr="00F1465D">
              <w:rPr>
                <w:color w:val="auto"/>
                <w:sz w:val="18"/>
                <w:szCs w:val="18"/>
              </w:rPr>
              <w:t>10% of the sample</w:t>
            </w:r>
          </w:p>
        </w:tc>
      </w:tr>
      <w:tr w:rsidR="003F10A4" w:rsidRPr="00F1465D" w:rsidTr="00BC4C0F">
        <w:trPr>
          <w:trHeight w:val="576"/>
          <w:jc w:val="center"/>
        </w:trPr>
        <w:tc>
          <w:tcPr>
            <w:tcW w:w="3758" w:type="dxa"/>
            <w:shd w:val="clear" w:color="auto" w:fill="D9D9D9" w:themeFill="background1" w:themeFillShade="D9"/>
            <w:noWrap/>
            <w:vAlign w:val="center"/>
            <w:hideMark/>
          </w:tcPr>
          <w:p w:rsidR="003F10A4" w:rsidRPr="00F1465D" w:rsidRDefault="003F10A4" w:rsidP="00BC4C0F">
            <w:pPr>
              <w:pStyle w:val="SuicideTableHeading2"/>
              <w:spacing w:before="0"/>
              <w:jc w:val="center"/>
              <w:rPr>
                <w:bCs/>
                <w:sz w:val="18"/>
                <w:szCs w:val="18"/>
              </w:rPr>
            </w:pPr>
          </w:p>
        </w:tc>
        <w:tc>
          <w:tcPr>
            <w:tcW w:w="1489" w:type="dxa"/>
            <w:shd w:val="clear" w:color="auto" w:fill="D9D9D9" w:themeFill="background1" w:themeFillShade="D9"/>
            <w:vAlign w:val="center"/>
            <w:hideMark/>
          </w:tcPr>
          <w:p w:rsidR="003F10A4" w:rsidRPr="00F1465D" w:rsidRDefault="003F10A4" w:rsidP="00BC4C0F">
            <w:pPr>
              <w:pStyle w:val="SuicideTableHeading2"/>
              <w:spacing w:before="0"/>
              <w:jc w:val="center"/>
              <w:rPr>
                <w:bCs/>
                <w:sz w:val="18"/>
                <w:szCs w:val="18"/>
              </w:rPr>
            </w:pPr>
            <w:r w:rsidRPr="00F1465D">
              <w:rPr>
                <w:bCs/>
                <w:sz w:val="18"/>
                <w:szCs w:val="18"/>
              </w:rPr>
              <w:t>No Overlap- Complete Overlap</w:t>
            </w:r>
          </w:p>
        </w:tc>
        <w:tc>
          <w:tcPr>
            <w:tcW w:w="1350" w:type="dxa"/>
            <w:shd w:val="clear" w:color="auto" w:fill="D9D9D9" w:themeFill="background1" w:themeFillShade="D9"/>
          </w:tcPr>
          <w:p w:rsidR="003F10A4" w:rsidRPr="00F1465D" w:rsidRDefault="003F10A4" w:rsidP="00BC4C0F">
            <w:pPr>
              <w:pStyle w:val="SuicideTableHeading2"/>
              <w:spacing w:before="0"/>
              <w:jc w:val="center"/>
              <w:rPr>
                <w:bCs/>
                <w:sz w:val="18"/>
                <w:szCs w:val="18"/>
              </w:rPr>
            </w:pPr>
            <w:r w:rsidRPr="00F1465D">
              <w:rPr>
                <w:bCs/>
                <w:sz w:val="18"/>
                <w:szCs w:val="18"/>
              </w:rPr>
              <w:t>No Overlap- Complete Overlap</w:t>
            </w:r>
          </w:p>
        </w:tc>
        <w:tc>
          <w:tcPr>
            <w:tcW w:w="1582" w:type="dxa"/>
            <w:shd w:val="clear" w:color="auto" w:fill="D9D9D9" w:themeFill="background1" w:themeFillShade="D9"/>
          </w:tcPr>
          <w:p w:rsidR="003F10A4" w:rsidRPr="00F1465D" w:rsidRDefault="003F10A4" w:rsidP="00BC4C0F">
            <w:pPr>
              <w:pStyle w:val="SuicideTableHeading2"/>
              <w:spacing w:before="0"/>
              <w:jc w:val="center"/>
              <w:rPr>
                <w:bCs/>
                <w:sz w:val="18"/>
                <w:szCs w:val="18"/>
              </w:rPr>
            </w:pPr>
            <w:r w:rsidRPr="00F1465D">
              <w:rPr>
                <w:bCs/>
                <w:sz w:val="18"/>
                <w:szCs w:val="18"/>
              </w:rPr>
              <w:t>No Overlap- Complete Overlap</w:t>
            </w:r>
          </w:p>
        </w:tc>
        <w:tc>
          <w:tcPr>
            <w:tcW w:w="1600" w:type="dxa"/>
            <w:shd w:val="clear" w:color="auto" w:fill="D9D9D9" w:themeFill="background1" w:themeFillShade="D9"/>
          </w:tcPr>
          <w:p w:rsidR="003F10A4" w:rsidRPr="00F1465D" w:rsidRDefault="003F10A4" w:rsidP="00BC4C0F">
            <w:pPr>
              <w:pStyle w:val="SuicideTableHeading2"/>
              <w:spacing w:before="0"/>
              <w:jc w:val="center"/>
              <w:rPr>
                <w:bCs/>
                <w:sz w:val="18"/>
                <w:szCs w:val="18"/>
              </w:rPr>
            </w:pPr>
            <w:r w:rsidRPr="00F1465D">
              <w:rPr>
                <w:bCs/>
                <w:sz w:val="18"/>
                <w:szCs w:val="18"/>
              </w:rPr>
              <w:t>No Overlap- Complete Overlap</w:t>
            </w:r>
          </w:p>
        </w:tc>
      </w:tr>
      <w:tr w:rsidR="003F10A4" w:rsidRPr="00F1465D" w:rsidTr="00BC4C0F">
        <w:trPr>
          <w:trHeight w:val="288"/>
          <w:jc w:val="center"/>
        </w:trPr>
        <w:tc>
          <w:tcPr>
            <w:tcW w:w="3758" w:type="dxa"/>
            <w:shd w:val="clear" w:color="auto" w:fill="auto"/>
            <w:noWrap/>
            <w:vAlign w:val="center"/>
            <w:hideMark/>
          </w:tcPr>
          <w:p w:rsidR="003F10A4" w:rsidRPr="00F1465D" w:rsidRDefault="003F10A4" w:rsidP="00BC4C0F">
            <w:pPr>
              <w:jc w:val="center"/>
              <w:rPr>
                <w:rFonts w:ascii="Arial" w:hAnsi="Arial" w:cs="Arial"/>
                <w:color w:val="000000"/>
                <w:sz w:val="18"/>
                <w:szCs w:val="18"/>
              </w:rPr>
            </w:pPr>
            <w:r w:rsidRPr="00F1465D">
              <w:rPr>
                <w:rFonts w:ascii="Arial" w:hAnsi="Arial" w:cs="Arial"/>
                <w:bCs/>
                <w:color w:val="000000"/>
                <w:sz w:val="18"/>
                <w:szCs w:val="18"/>
              </w:rPr>
              <w:t>Perception of Seeking Mental Health Treatment (Mean=2.15; SD=0.54)</w:t>
            </w:r>
          </w:p>
        </w:tc>
        <w:tc>
          <w:tcPr>
            <w:tcW w:w="1489" w:type="dxa"/>
            <w:shd w:val="clear" w:color="auto" w:fill="auto"/>
            <w:noWrap/>
            <w:hideMark/>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0.107-0.076</w:t>
            </w:r>
          </w:p>
        </w:tc>
        <w:tc>
          <w:tcPr>
            <w:tcW w:w="135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.152-.108</w:t>
            </w:r>
          </w:p>
        </w:tc>
        <w:tc>
          <w:tcPr>
            <w:tcW w:w="1582"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.215-.153</w:t>
            </w:r>
          </w:p>
        </w:tc>
        <w:tc>
          <w:tcPr>
            <w:tcW w:w="160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.343-.245</w:t>
            </w:r>
          </w:p>
        </w:tc>
      </w:tr>
      <w:tr w:rsidR="003F10A4" w:rsidRPr="00F1465D" w:rsidTr="00BC4C0F">
        <w:trPr>
          <w:trHeight w:val="288"/>
          <w:jc w:val="center"/>
        </w:trPr>
        <w:tc>
          <w:tcPr>
            <w:tcW w:w="3758" w:type="dxa"/>
            <w:shd w:val="clear" w:color="auto" w:fill="auto"/>
            <w:noWrap/>
            <w:vAlign w:val="center"/>
            <w:hideMark/>
          </w:tcPr>
          <w:p w:rsidR="003F10A4" w:rsidRPr="00F1465D" w:rsidRDefault="003F10A4" w:rsidP="00BC4C0F">
            <w:pPr>
              <w:jc w:val="center"/>
              <w:rPr>
                <w:rFonts w:ascii="Arial" w:hAnsi="Arial" w:cs="Arial"/>
                <w:color w:val="000000"/>
                <w:sz w:val="18"/>
                <w:szCs w:val="18"/>
              </w:rPr>
            </w:pPr>
            <w:r w:rsidRPr="00F1465D">
              <w:rPr>
                <w:rFonts w:ascii="Arial" w:hAnsi="Arial" w:cs="Arial"/>
                <w:bCs/>
                <w:color w:val="000000"/>
                <w:sz w:val="18"/>
                <w:szCs w:val="18"/>
              </w:rPr>
              <w:t>Knowledge of Myths and Facts about Suicide (Mean=0.73; SD=0.11)</w:t>
            </w:r>
          </w:p>
        </w:tc>
        <w:tc>
          <w:tcPr>
            <w:tcW w:w="1489" w:type="dxa"/>
            <w:shd w:val="clear" w:color="auto" w:fill="auto"/>
            <w:noWrap/>
            <w:hideMark/>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0.022-0.015</w:t>
            </w:r>
          </w:p>
        </w:tc>
        <w:tc>
          <w:tcPr>
            <w:tcW w:w="135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.031-.022</w:t>
            </w:r>
          </w:p>
        </w:tc>
        <w:tc>
          <w:tcPr>
            <w:tcW w:w="1582"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.044-.031</w:t>
            </w:r>
          </w:p>
        </w:tc>
        <w:tc>
          <w:tcPr>
            <w:tcW w:w="160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.070-.050</w:t>
            </w:r>
          </w:p>
        </w:tc>
      </w:tr>
      <w:tr w:rsidR="003F10A4" w:rsidRPr="00F1465D" w:rsidTr="00BC4C0F">
        <w:trPr>
          <w:trHeight w:val="288"/>
          <w:jc w:val="center"/>
        </w:trPr>
        <w:tc>
          <w:tcPr>
            <w:tcW w:w="3758" w:type="dxa"/>
            <w:shd w:val="clear" w:color="auto" w:fill="auto"/>
            <w:noWrap/>
            <w:vAlign w:val="center"/>
            <w:hideMark/>
          </w:tcPr>
          <w:p w:rsidR="003F10A4" w:rsidRPr="00F1465D" w:rsidRDefault="003F10A4" w:rsidP="00BC4C0F">
            <w:pPr>
              <w:jc w:val="center"/>
              <w:rPr>
                <w:rFonts w:ascii="Arial" w:hAnsi="Arial" w:cs="Arial"/>
                <w:color w:val="000000"/>
                <w:sz w:val="18"/>
                <w:szCs w:val="18"/>
              </w:rPr>
            </w:pPr>
            <w:r w:rsidRPr="00F1465D">
              <w:rPr>
                <w:rFonts w:ascii="Arial" w:hAnsi="Arial" w:cs="Arial"/>
                <w:bCs/>
                <w:color w:val="000000"/>
                <w:sz w:val="18"/>
                <w:szCs w:val="18"/>
              </w:rPr>
              <w:t>Standardized Variable (Mean=0; SD=1)</w:t>
            </w:r>
          </w:p>
        </w:tc>
        <w:tc>
          <w:tcPr>
            <w:tcW w:w="1489" w:type="dxa"/>
            <w:shd w:val="clear" w:color="auto" w:fill="auto"/>
            <w:noWrap/>
            <w:hideMark/>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0.198-0.140</w:t>
            </w:r>
          </w:p>
        </w:tc>
        <w:tc>
          <w:tcPr>
            <w:tcW w:w="135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.281-.199</w:t>
            </w:r>
          </w:p>
        </w:tc>
        <w:tc>
          <w:tcPr>
            <w:tcW w:w="1582"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.398-.283</w:t>
            </w:r>
          </w:p>
        </w:tc>
        <w:tc>
          <w:tcPr>
            <w:tcW w:w="160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.634-.454</w:t>
            </w:r>
          </w:p>
        </w:tc>
      </w:tr>
      <w:tr w:rsidR="003F10A4" w:rsidRPr="00F1465D" w:rsidTr="00BC4C0F">
        <w:trPr>
          <w:trHeight w:val="288"/>
          <w:jc w:val="center"/>
        </w:trPr>
        <w:tc>
          <w:tcPr>
            <w:tcW w:w="3758" w:type="dxa"/>
            <w:shd w:val="clear" w:color="auto" w:fill="auto"/>
            <w:noWrap/>
            <w:vAlign w:val="center"/>
            <w:hideMark/>
          </w:tcPr>
          <w:p w:rsidR="003F10A4" w:rsidRPr="00F1465D" w:rsidRDefault="003F10A4" w:rsidP="00BC4C0F">
            <w:pPr>
              <w:jc w:val="center"/>
              <w:rPr>
                <w:rFonts w:ascii="Arial" w:hAnsi="Arial" w:cs="Arial"/>
                <w:color w:val="000000"/>
                <w:sz w:val="18"/>
                <w:szCs w:val="18"/>
              </w:rPr>
            </w:pPr>
            <w:r w:rsidRPr="00F1465D">
              <w:rPr>
                <w:rFonts w:ascii="Arial" w:hAnsi="Arial" w:cs="Arial"/>
                <w:bCs/>
                <w:color w:val="000000"/>
                <w:sz w:val="18"/>
                <w:szCs w:val="18"/>
              </w:rPr>
              <w:t>Proportion (Mean=0.5; SD=0.5)</w:t>
            </w:r>
          </w:p>
        </w:tc>
        <w:tc>
          <w:tcPr>
            <w:tcW w:w="1489" w:type="dxa"/>
            <w:shd w:val="clear" w:color="auto" w:fill="auto"/>
            <w:noWrap/>
            <w:hideMark/>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0.098-0.070</w:t>
            </w:r>
          </w:p>
        </w:tc>
        <w:tc>
          <w:tcPr>
            <w:tcW w:w="135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.140-.100</w:t>
            </w:r>
          </w:p>
        </w:tc>
        <w:tc>
          <w:tcPr>
            <w:tcW w:w="1582"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.199-.141</w:t>
            </w:r>
          </w:p>
        </w:tc>
        <w:tc>
          <w:tcPr>
            <w:tcW w:w="1600" w:type="dxa"/>
          </w:tcPr>
          <w:p w:rsidR="003F10A4" w:rsidRPr="00F1465D" w:rsidRDefault="003F10A4" w:rsidP="00BC4C0F">
            <w:pPr>
              <w:jc w:val="center"/>
              <w:rPr>
                <w:rFonts w:ascii="Arial" w:hAnsi="Arial" w:cs="Arial"/>
                <w:color w:val="000000"/>
                <w:sz w:val="18"/>
                <w:szCs w:val="18"/>
              </w:rPr>
            </w:pPr>
            <w:r w:rsidRPr="00F1465D">
              <w:rPr>
                <w:rFonts w:ascii="Arial" w:hAnsi="Arial" w:cs="Arial"/>
                <w:color w:val="000000"/>
                <w:sz w:val="18"/>
                <w:szCs w:val="18"/>
              </w:rPr>
              <w:t>.317-.227</w:t>
            </w:r>
          </w:p>
        </w:tc>
      </w:tr>
    </w:tbl>
    <w:p w:rsidR="003F10A4" w:rsidRPr="00F1465D" w:rsidRDefault="003F10A4" w:rsidP="003F10A4"/>
    <w:p w:rsidR="007A2223" w:rsidRPr="00F1465D" w:rsidRDefault="007A2223" w:rsidP="00FF670E"/>
    <w:p w:rsidR="003F10A4" w:rsidRPr="00F1465D" w:rsidRDefault="003A2142" w:rsidP="007D19C0">
      <w:pPr>
        <w:pStyle w:val="SuicideBodyText"/>
      </w:pPr>
      <w:r w:rsidRPr="00F1465D">
        <w:t xml:space="preserve">Data </w:t>
      </w:r>
      <w:r w:rsidR="002D5507" w:rsidRPr="00F1465D">
        <w:t xml:space="preserve">collection </w:t>
      </w:r>
      <w:r w:rsidRPr="00F1465D">
        <w:t>activities for the Early Identification, Referral and Follow</w:t>
      </w:r>
      <w:r w:rsidR="006C25CC" w:rsidRPr="00F1465D">
        <w:t>-u</w:t>
      </w:r>
      <w:r w:rsidRPr="00F1465D">
        <w:t>p Analys</w:t>
      </w:r>
      <w:r w:rsidR="00B461A0" w:rsidRPr="00F1465D">
        <w:t>i</w:t>
      </w:r>
      <w:r w:rsidRPr="00F1465D">
        <w:t xml:space="preserve">s </w:t>
      </w:r>
      <w:r w:rsidR="00455A42" w:rsidRPr="00F1465D">
        <w:t>(EIRF)</w:t>
      </w:r>
      <w:r w:rsidRPr="00F1465D">
        <w:t>, Early Identification, Referral and Follow</w:t>
      </w:r>
      <w:r w:rsidR="0093436B" w:rsidRPr="00F1465D">
        <w:t>-</w:t>
      </w:r>
      <w:r w:rsidRPr="00F1465D">
        <w:t>up Screening Form</w:t>
      </w:r>
      <w:r w:rsidR="00455A42" w:rsidRPr="00F1465D">
        <w:t xml:space="preserve"> (EIRF-S)</w:t>
      </w:r>
      <w:r w:rsidRPr="00F1465D">
        <w:t xml:space="preserve">, MIS </w:t>
      </w:r>
      <w:r w:rsidR="006C25CC" w:rsidRPr="00F1465D">
        <w:t xml:space="preserve">Data </w:t>
      </w:r>
      <w:r w:rsidR="002D5507" w:rsidRPr="00F1465D">
        <w:t xml:space="preserve">Collection Activity </w:t>
      </w:r>
      <w:r w:rsidRPr="00F1465D">
        <w:t xml:space="preserve">and Training </w:t>
      </w:r>
      <w:r w:rsidR="00AD5B5B" w:rsidRPr="00F1465D">
        <w:t>Activity Summary Page</w:t>
      </w:r>
      <w:r w:rsidRPr="00F1465D">
        <w:t xml:space="preserve"> </w:t>
      </w:r>
      <w:r w:rsidR="00455A42" w:rsidRPr="00F1465D">
        <w:t>(</w:t>
      </w:r>
      <w:r w:rsidR="00AD5B5B" w:rsidRPr="00F1465D">
        <w:t>TASP</w:t>
      </w:r>
      <w:r w:rsidR="00455A42" w:rsidRPr="00F1465D">
        <w:t xml:space="preserve">) </w:t>
      </w:r>
      <w:r w:rsidRPr="00F1465D">
        <w:t xml:space="preserve">are utilizing existing data maintained in grantee reporting systems. Statistical methods are not applied for these </w:t>
      </w:r>
      <w:r w:rsidR="008650D3" w:rsidRPr="00F1465D">
        <w:t>activities</w:t>
      </w:r>
      <w:r w:rsidRPr="00F1465D">
        <w:t>.</w:t>
      </w:r>
      <w:r w:rsidR="007D19C0" w:rsidRPr="00F1465D">
        <w:t xml:space="preserve"> </w:t>
      </w:r>
      <w:r w:rsidR="003F10A4" w:rsidRPr="00F1465D">
        <w:t xml:space="preserve">All the power analyses were based on the targeted sample size of actual respondents. For this reason, the power analyses inherently reflect sampling error. To achieve the targeted number of respondents, however, a larger sample of cases must be sampled due to different forms of non-response. Table </w:t>
      </w:r>
      <w:r w:rsidR="00D74D9E" w:rsidRPr="00F1465D">
        <w:t>11</w:t>
      </w:r>
      <w:r w:rsidR="003F10A4" w:rsidRPr="00F1465D">
        <w:t xml:space="preserve"> presents the estimated number of cases needed to achieve the desired sample size by instrument.</w:t>
      </w:r>
    </w:p>
    <w:p w:rsidR="003F10A4" w:rsidRPr="00F1465D" w:rsidRDefault="001B55B0" w:rsidP="003F10A4">
      <w:pPr>
        <w:ind w:hanging="360"/>
        <w:jc w:val="center"/>
        <w:rPr>
          <w:rFonts w:ascii="Arial" w:hAnsi="Arial" w:cs="Arial"/>
          <w:b/>
          <w:sz w:val="20"/>
          <w:szCs w:val="20"/>
        </w:rPr>
      </w:pPr>
      <w:proofErr w:type="gramStart"/>
      <w:r w:rsidRPr="00F1465D">
        <w:rPr>
          <w:rFonts w:ascii="Arial" w:hAnsi="Arial" w:cs="Arial"/>
          <w:b/>
          <w:sz w:val="20"/>
          <w:szCs w:val="20"/>
        </w:rPr>
        <w:t>Table 12</w:t>
      </w:r>
      <w:r w:rsidR="00D74D9E" w:rsidRPr="00F1465D">
        <w:rPr>
          <w:rFonts w:ascii="Arial" w:hAnsi="Arial" w:cs="Arial"/>
          <w:b/>
          <w:sz w:val="20"/>
          <w:szCs w:val="20"/>
        </w:rPr>
        <w:t>.</w:t>
      </w:r>
      <w:proofErr w:type="gramEnd"/>
      <w:r w:rsidR="00D74D9E" w:rsidRPr="00F1465D">
        <w:rPr>
          <w:rFonts w:ascii="Arial" w:hAnsi="Arial" w:cs="Arial"/>
          <w:b/>
          <w:sz w:val="20"/>
          <w:szCs w:val="20"/>
        </w:rPr>
        <w:t xml:space="preserve"> </w:t>
      </w:r>
      <w:r w:rsidR="003F10A4" w:rsidRPr="00F1465D">
        <w:rPr>
          <w:rFonts w:ascii="Arial" w:hAnsi="Arial" w:cs="Arial"/>
          <w:b/>
          <w:sz w:val="20"/>
          <w:szCs w:val="20"/>
        </w:rPr>
        <w:t>Estimated Number of Cases Needed to Achieve Sample Size</w:t>
      </w:r>
    </w:p>
    <w:tbl>
      <w:tblPr>
        <w:tblW w:w="10677" w:type="dxa"/>
        <w:jc w:val="center"/>
        <w:tblInd w:w="-4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447"/>
        <w:gridCol w:w="1794"/>
        <w:gridCol w:w="2520"/>
        <w:gridCol w:w="3916"/>
      </w:tblGrid>
      <w:tr w:rsidR="003F10A4" w:rsidRPr="00F1465D" w:rsidTr="00BC4C0F">
        <w:trPr>
          <w:trHeight w:val="720"/>
          <w:jc w:val="center"/>
        </w:trPr>
        <w:tc>
          <w:tcPr>
            <w:tcW w:w="2447" w:type="dxa"/>
            <w:shd w:val="clear" w:color="auto" w:fill="000000" w:themeFill="text1"/>
            <w:vAlign w:val="center"/>
          </w:tcPr>
          <w:p w:rsidR="003F10A4" w:rsidRPr="00F1465D" w:rsidRDefault="003F10A4" w:rsidP="00BC4C0F">
            <w:pPr>
              <w:pStyle w:val="SuicideTableHeading1"/>
              <w:ind w:left="6" w:hanging="180"/>
              <w:rPr>
                <w:color w:val="auto"/>
                <w:sz w:val="18"/>
                <w:szCs w:val="18"/>
              </w:rPr>
            </w:pPr>
            <w:r w:rsidRPr="00F1465D">
              <w:rPr>
                <w:color w:val="auto"/>
                <w:sz w:val="18"/>
                <w:szCs w:val="18"/>
              </w:rPr>
              <w:t>Instrument Version</w:t>
            </w:r>
          </w:p>
        </w:tc>
        <w:tc>
          <w:tcPr>
            <w:tcW w:w="1794" w:type="dxa"/>
            <w:shd w:val="clear" w:color="auto" w:fill="000000" w:themeFill="text1"/>
            <w:vAlign w:val="center"/>
          </w:tcPr>
          <w:p w:rsidR="003F10A4" w:rsidRPr="00F1465D" w:rsidRDefault="003F10A4" w:rsidP="00BC4C0F">
            <w:pPr>
              <w:pStyle w:val="SuicideTableHeading1"/>
              <w:ind w:left="-6"/>
              <w:rPr>
                <w:color w:val="auto"/>
                <w:sz w:val="18"/>
                <w:szCs w:val="18"/>
              </w:rPr>
            </w:pPr>
            <w:r w:rsidRPr="00F1465D">
              <w:rPr>
                <w:color w:val="auto"/>
                <w:sz w:val="18"/>
                <w:szCs w:val="18"/>
              </w:rPr>
              <w:t>Target sample size of respondents</w:t>
            </w:r>
          </w:p>
        </w:tc>
        <w:tc>
          <w:tcPr>
            <w:tcW w:w="2520" w:type="dxa"/>
            <w:shd w:val="clear" w:color="auto" w:fill="000000" w:themeFill="text1"/>
            <w:vAlign w:val="center"/>
          </w:tcPr>
          <w:p w:rsidR="003F10A4" w:rsidRPr="00F1465D" w:rsidRDefault="003F10A4" w:rsidP="00BC4C0F">
            <w:pPr>
              <w:pStyle w:val="SuicideTableHeading1"/>
              <w:rPr>
                <w:color w:val="auto"/>
                <w:sz w:val="18"/>
                <w:szCs w:val="18"/>
              </w:rPr>
            </w:pPr>
            <w:r w:rsidRPr="00F1465D">
              <w:rPr>
                <w:color w:val="auto"/>
                <w:sz w:val="18"/>
                <w:szCs w:val="18"/>
              </w:rPr>
              <w:t>Total sample size</w:t>
            </w:r>
          </w:p>
        </w:tc>
        <w:tc>
          <w:tcPr>
            <w:tcW w:w="3916" w:type="dxa"/>
            <w:shd w:val="clear" w:color="auto" w:fill="000000" w:themeFill="text1"/>
            <w:vAlign w:val="center"/>
          </w:tcPr>
          <w:p w:rsidR="003F10A4" w:rsidRPr="00F1465D" w:rsidRDefault="003F10A4" w:rsidP="00BC4C0F">
            <w:pPr>
              <w:pStyle w:val="SuicideTableHeading1"/>
              <w:ind w:left="-18"/>
              <w:rPr>
                <w:color w:val="auto"/>
                <w:sz w:val="18"/>
                <w:szCs w:val="18"/>
              </w:rPr>
            </w:pPr>
            <w:r w:rsidRPr="00F1465D">
              <w:rPr>
                <w:color w:val="auto"/>
                <w:sz w:val="18"/>
                <w:szCs w:val="18"/>
              </w:rPr>
              <w:t>Source</w:t>
            </w:r>
          </w:p>
        </w:tc>
      </w:tr>
      <w:tr w:rsidR="003F10A4" w:rsidRPr="00F1465D" w:rsidTr="00BC4C0F">
        <w:trPr>
          <w:trHeight w:val="669"/>
          <w:jc w:val="center"/>
        </w:trPr>
        <w:tc>
          <w:tcPr>
            <w:tcW w:w="2447" w:type="dxa"/>
            <w:shd w:val="clear" w:color="auto" w:fill="D9D9D9" w:themeFill="background1" w:themeFillShade="D9"/>
            <w:vAlign w:val="center"/>
          </w:tcPr>
          <w:p w:rsidR="003F10A4" w:rsidRPr="00F1465D" w:rsidRDefault="003F10A4" w:rsidP="00BC4C0F">
            <w:pPr>
              <w:pStyle w:val="SuicideTableHeading2"/>
              <w:spacing w:before="80" w:after="80"/>
              <w:rPr>
                <w:sz w:val="18"/>
                <w:szCs w:val="18"/>
              </w:rPr>
            </w:pPr>
            <w:r w:rsidRPr="00F1465D">
              <w:rPr>
                <w:sz w:val="18"/>
                <w:szCs w:val="18"/>
              </w:rPr>
              <w:t>State/Tribal TUP-S</w:t>
            </w:r>
          </w:p>
        </w:tc>
        <w:tc>
          <w:tcPr>
            <w:tcW w:w="1794"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2,000 respondents per year</w:t>
            </w:r>
          </w:p>
        </w:tc>
        <w:tc>
          <w:tcPr>
            <w:tcW w:w="2520"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5,000 consents to participate</w:t>
            </w:r>
          </w:p>
        </w:tc>
        <w:tc>
          <w:tcPr>
            <w:tcW w:w="3916"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Based on TUP-S response rates among trainees who consent to be contacted of 40%; will be revised based on pilot</w:t>
            </w:r>
          </w:p>
        </w:tc>
      </w:tr>
      <w:tr w:rsidR="003F10A4" w:rsidRPr="00F1465D" w:rsidTr="00BC4C0F">
        <w:trPr>
          <w:jc w:val="center"/>
        </w:trPr>
        <w:tc>
          <w:tcPr>
            <w:tcW w:w="2447" w:type="dxa"/>
            <w:shd w:val="clear" w:color="auto" w:fill="D9D9D9" w:themeFill="background1" w:themeFillShade="D9"/>
            <w:vAlign w:val="center"/>
          </w:tcPr>
          <w:p w:rsidR="003F10A4" w:rsidRPr="00F1465D" w:rsidRDefault="003F10A4" w:rsidP="00BC4C0F">
            <w:pPr>
              <w:pStyle w:val="SuicideTableHeading2"/>
              <w:spacing w:before="80" w:after="80"/>
              <w:rPr>
                <w:sz w:val="18"/>
                <w:szCs w:val="18"/>
              </w:rPr>
            </w:pPr>
            <w:r w:rsidRPr="00F1465D">
              <w:rPr>
                <w:sz w:val="18"/>
                <w:szCs w:val="18"/>
              </w:rPr>
              <w:t>State/Tribal TUP-S 6-Month Follow-up*</w:t>
            </w:r>
          </w:p>
        </w:tc>
        <w:tc>
          <w:tcPr>
            <w:tcW w:w="1794"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600 respondents per year (pilot 200)</w:t>
            </w:r>
          </w:p>
        </w:tc>
        <w:tc>
          <w:tcPr>
            <w:tcW w:w="2520"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1,200 TUP-S respondents (pilot 400)</w:t>
            </w:r>
          </w:p>
        </w:tc>
        <w:tc>
          <w:tcPr>
            <w:tcW w:w="3916"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Conservative estimate of 50% lost to follow up; will be revised based on pilot.</w:t>
            </w:r>
          </w:p>
        </w:tc>
      </w:tr>
      <w:tr w:rsidR="003F10A4" w:rsidRPr="00F1465D" w:rsidTr="00BC4C0F">
        <w:trPr>
          <w:trHeight w:val="669"/>
          <w:jc w:val="center"/>
        </w:trPr>
        <w:tc>
          <w:tcPr>
            <w:tcW w:w="2447" w:type="dxa"/>
            <w:shd w:val="clear" w:color="auto" w:fill="D9D9D9" w:themeFill="background1" w:themeFillShade="D9"/>
            <w:vAlign w:val="center"/>
          </w:tcPr>
          <w:p w:rsidR="003F10A4" w:rsidRPr="00F1465D" w:rsidRDefault="003F10A4" w:rsidP="00BC4C0F">
            <w:pPr>
              <w:pStyle w:val="SuicideTableHeading2"/>
              <w:spacing w:before="80" w:after="80"/>
              <w:rPr>
                <w:sz w:val="18"/>
                <w:szCs w:val="18"/>
              </w:rPr>
            </w:pPr>
            <w:r w:rsidRPr="00F1465D">
              <w:rPr>
                <w:sz w:val="18"/>
                <w:szCs w:val="18"/>
              </w:rPr>
              <w:t>Campus TUP-S</w:t>
            </w:r>
          </w:p>
        </w:tc>
        <w:tc>
          <w:tcPr>
            <w:tcW w:w="1794"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500  respondents per year (pilot 100)</w:t>
            </w:r>
          </w:p>
        </w:tc>
        <w:tc>
          <w:tcPr>
            <w:tcW w:w="2520"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1,250 consents to participate</w:t>
            </w:r>
          </w:p>
        </w:tc>
        <w:tc>
          <w:tcPr>
            <w:tcW w:w="3916"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Based on ST TUP-S response rates among trainees who consent to be contacted of 40%; will be revised based on pilot</w:t>
            </w:r>
          </w:p>
        </w:tc>
      </w:tr>
      <w:tr w:rsidR="003F10A4" w:rsidRPr="00F1465D" w:rsidTr="00BC4C0F">
        <w:trPr>
          <w:trHeight w:val="732"/>
          <w:jc w:val="center"/>
        </w:trPr>
        <w:tc>
          <w:tcPr>
            <w:tcW w:w="2447" w:type="dxa"/>
            <w:shd w:val="clear" w:color="auto" w:fill="D9D9D9" w:themeFill="background1" w:themeFillShade="D9"/>
            <w:vAlign w:val="center"/>
          </w:tcPr>
          <w:p w:rsidR="003F10A4" w:rsidRPr="00F1465D" w:rsidRDefault="003F10A4" w:rsidP="00BC4C0F">
            <w:pPr>
              <w:pStyle w:val="SuicideTableHeading2"/>
              <w:spacing w:before="80" w:after="80"/>
              <w:rPr>
                <w:sz w:val="18"/>
                <w:szCs w:val="18"/>
              </w:rPr>
            </w:pPr>
            <w:r w:rsidRPr="00F1465D">
              <w:rPr>
                <w:sz w:val="18"/>
                <w:szCs w:val="18"/>
              </w:rPr>
              <w:t>Adolescent TUP-S</w:t>
            </w:r>
          </w:p>
        </w:tc>
        <w:tc>
          <w:tcPr>
            <w:tcW w:w="1794"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400  respondents per year (pilot 100)</w:t>
            </w:r>
          </w:p>
        </w:tc>
        <w:tc>
          <w:tcPr>
            <w:tcW w:w="2520"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1,000 consents to participate (250 pilot)</w:t>
            </w:r>
          </w:p>
        </w:tc>
        <w:tc>
          <w:tcPr>
            <w:tcW w:w="3916"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Conservative estimate based on typical phone survey response rates of 40%; will be revised based on pilot</w:t>
            </w:r>
          </w:p>
        </w:tc>
      </w:tr>
      <w:tr w:rsidR="003F10A4" w:rsidRPr="00F1465D" w:rsidTr="00BC4C0F">
        <w:trPr>
          <w:trHeight w:val="624"/>
          <w:jc w:val="center"/>
        </w:trPr>
        <w:tc>
          <w:tcPr>
            <w:tcW w:w="2447" w:type="dxa"/>
            <w:shd w:val="clear" w:color="auto" w:fill="D9D9D9" w:themeFill="background1" w:themeFillShade="D9"/>
            <w:vAlign w:val="center"/>
          </w:tcPr>
          <w:p w:rsidR="003F10A4" w:rsidRPr="00F1465D" w:rsidRDefault="003F10A4" w:rsidP="00BC4C0F">
            <w:pPr>
              <w:pStyle w:val="SuicideTableHeading2"/>
              <w:spacing w:before="80" w:after="80"/>
              <w:rPr>
                <w:sz w:val="18"/>
                <w:szCs w:val="18"/>
              </w:rPr>
            </w:pPr>
            <w:r w:rsidRPr="00F1465D">
              <w:rPr>
                <w:sz w:val="18"/>
                <w:szCs w:val="18"/>
              </w:rPr>
              <w:t>SMSS</w:t>
            </w:r>
          </w:p>
        </w:tc>
        <w:tc>
          <w:tcPr>
            <w:tcW w:w="1794"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100 respondents per campus and administration</w:t>
            </w:r>
          </w:p>
        </w:tc>
        <w:tc>
          <w:tcPr>
            <w:tcW w:w="2520"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1,000 cellphones per campus and administration</w:t>
            </w:r>
          </w:p>
        </w:tc>
        <w:tc>
          <w:tcPr>
            <w:tcW w:w="3916"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Conservative estimate based on typical mail response rates of 10%</w:t>
            </w:r>
          </w:p>
        </w:tc>
      </w:tr>
      <w:tr w:rsidR="003F10A4" w:rsidRPr="00F1465D" w:rsidTr="00BC4C0F">
        <w:trPr>
          <w:trHeight w:val="1245"/>
          <w:jc w:val="center"/>
        </w:trPr>
        <w:tc>
          <w:tcPr>
            <w:tcW w:w="2447" w:type="dxa"/>
            <w:shd w:val="clear" w:color="auto" w:fill="D9D9D9" w:themeFill="background1" w:themeFillShade="D9"/>
            <w:vAlign w:val="center"/>
          </w:tcPr>
          <w:p w:rsidR="003F10A4" w:rsidRPr="00F1465D" w:rsidRDefault="003F10A4" w:rsidP="00BC4C0F">
            <w:pPr>
              <w:pStyle w:val="SuicideTableHeading2"/>
              <w:spacing w:before="80" w:after="80"/>
              <w:rPr>
                <w:sz w:val="18"/>
                <w:szCs w:val="18"/>
              </w:rPr>
            </w:pPr>
            <w:r w:rsidRPr="00F1465D">
              <w:rPr>
                <w:sz w:val="18"/>
                <w:szCs w:val="18"/>
              </w:rPr>
              <w:t>SAIS</w:t>
            </w:r>
          </w:p>
        </w:tc>
        <w:tc>
          <w:tcPr>
            <w:tcW w:w="1794" w:type="dxa"/>
          </w:tcPr>
          <w:p w:rsidR="003F10A4" w:rsidRPr="00F1465D" w:rsidRDefault="003F10A4" w:rsidP="00BC4C0F">
            <w:pPr>
              <w:rPr>
                <w:rFonts w:ascii="Arial" w:hAnsi="Arial" w:cs="Arial"/>
                <w:color w:val="000000"/>
                <w:sz w:val="18"/>
                <w:szCs w:val="18"/>
              </w:rPr>
            </w:pPr>
            <w:r w:rsidRPr="00F1465D">
              <w:rPr>
                <w:rFonts w:ascii="Arial" w:hAnsi="Arial" w:cs="Arial"/>
                <w:color w:val="000000"/>
                <w:sz w:val="18"/>
                <w:szCs w:val="18"/>
              </w:rPr>
              <w:t>400 respondents per campus and administration</w:t>
            </w:r>
          </w:p>
        </w:tc>
        <w:tc>
          <w:tcPr>
            <w:tcW w:w="2520" w:type="dxa"/>
          </w:tcPr>
          <w:p w:rsidR="003F10A4" w:rsidRPr="00F1465D" w:rsidRDefault="003F10A4" w:rsidP="007D19C0">
            <w:pPr>
              <w:rPr>
                <w:rFonts w:ascii="Arial" w:hAnsi="Arial" w:cs="Arial"/>
                <w:color w:val="000000"/>
                <w:sz w:val="18"/>
                <w:szCs w:val="18"/>
              </w:rPr>
            </w:pPr>
            <w:r w:rsidRPr="00F1465D">
              <w:rPr>
                <w:rFonts w:ascii="Arial" w:hAnsi="Arial" w:cs="Arial"/>
                <w:color w:val="000000"/>
                <w:sz w:val="18"/>
                <w:szCs w:val="18"/>
              </w:rPr>
              <w:t xml:space="preserve">700 attempts to obtain consent at baseline; at follow up </w:t>
            </w:r>
            <w:r w:rsidR="007D19C0" w:rsidRPr="00F1465D">
              <w:rPr>
                <w:rFonts w:ascii="Arial" w:hAnsi="Arial" w:cs="Arial"/>
                <w:color w:val="000000"/>
                <w:sz w:val="18"/>
                <w:szCs w:val="18"/>
              </w:rPr>
              <w:t>all</w:t>
            </w:r>
            <w:r w:rsidRPr="00F1465D">
              <w:rPr>
                <w:rFonts w:ascii="Arial" w:hAnsi="Arial" w:cs="Arial"/>
                <w:color w:val="000000"/>
                <w:sz w:val="18"/>
                <w:szCs w:val="18"/>
              </w:rPr>
              <w:t xml:space="preserve"> respondents to baseline and 350 new attempts to obtain consent. </w:t>
            </w:r>
          </w:p>
        </w:tc>
        <w:tc>
          <w:tcPr>
            <w:tcW w:w="3916" w:type="dxa"/>
          </w:tcPr>
          <w:p w:rsidR="003F10A4" w:rsidRPr="00F1465D" w:rsidRDefault="003F10A4" w:rsidP="00BC4C0F">
            <w:pPr>
              <w:rPr>
                <w:rFonts w:ascii="Arial" w:hAnsi="Arial" w:cs="Arial"/>
                <w:color w:val="000000"/>
                <w:sz w:val="18"/>
                <w:szCs w:val="18"/>
              </w:rPr>
            </w:pPr>
            <w:r w:rsidRPr="00F1465D">
              <w:rPr>
                <w:rFonts w:ascii="Arial" w:hAnsi="Arial" w:cs="Arial"/>
                <w:sz w:val="18"/>
                <w:szCs w:val="18"/>
              </w:rPr>
              <w:t xml:space="preserve">Based on SPEAKS intercept administrations in two campuses where </w:t>
            </w:r>
            <w:r w:rsidRPr="00F1465D">
              <w:rPr>
                <w:rFonts w:ascii="Arial" w:hAnsi="Arial" w:cs="Arial"/>
                <w:bCs/>
                <w:sz w:val="18"/>
                <w:szCs w:val="18"/>
              </w:rPr>
              <w:t>refusal rates were estimated at between 35-40%</w:t>
            </w:r>
            <w:r w:rsidRPr="00F1465D">
              <w:rPr>
                <w:rFonts w:ascii="Arial" w:hAnsi="Arial" w:cs="Arial"/>
                <w:sz w:val="18"/>
                <w:szCs w:val="18"/>
              </w:rPr>
              <w:t>, and a conservative estimate of 50% lost to follow up</w:t>
            </w:r>
            <w:r w:rsidRPr="00F1465D">
              <w:rPr>
                <w:rFonts w:ascii="Arial" w:hAnsi="Arial" w:cs="Arial"/>
                <w:color w:val="000000"/>
                <w:sz w:val="18"/>
                <w:szCs w:val="18"/>
              </w:rPr>
              <w:t>.</w:t>
            </w:r>
          </w:p>
        </w:tc>
      </w:tr>
    </w:tbl>
    <w:p w:rsidR="003F10A4" w:rsidRPr="00F1465D" w:rsidRDefault="003F10A4" w:rsidP="007D19C0">
      <w:pPr>
        <w:pStyle w:val="SuicideBodyText"/>
      </w:pPr>
    </w:p>
    <w:p w:rsidR="007A2223" w:rsidRPr="00F1465D" w:rsidRDefault="00AC384E" w:rsidP="000D02DE">
      <w:pPr>
        <w:pStyle w:val="SuicideHead2"/>
      </w:pPr>
      <w:bookmarkStart w:id="4" w:name="_Toc128970985"/>
      <w:bookmarkStart w:id="5" w:name="_Toc348703728"/>
      <w:r w:rsidRPr="00F1465D">
        <w:t>2.</w:t>
      </w:r>
      <w:r w:rsidRPr="00F1465D">
        <w:tab/>
      </w:r>
      <w:r w:rsidR="007A2223" w:rsidRPr="00F1465D">
        <w:t>Procedures for Collection of Information</w:t>
      </w:r>
      <w:bookmarkEnd w:id="4"/>
      <w:bookmarkEnd w:id="5"/>
    </w:p>
    <w:p w:rsidR="007A2223" w:rsidRPr="00F1465D" w:rsidRDefault="00112C09" w:rsidP="000D02DE">
      <w:pPr>
        <w:pStyle w:val="SuicideBodyText"/>
      </w:pPr>
      <w:r w:rsidRPr="00F1465D">
        <w:rPr>
          <w:b/>
          <w:bCs/>
        </w:rPr>
        <w:t>Prevention Strategies Inventory</w:t>
      </w:r>
      <w:r w:rsidR="00455A42" w:rsidRPr="00F1465D">
        <w:rPr>
          <w:b/>
          <w:bCs/>
        </w:rPr>
        <w:t xml:space="preserve"> (PSI)</w:t>
      </w:r>
      <w:r w:rsidR="002E3082" w:rsidRPr="00F1465D">
        <w:rPr>
          <w:b/>
          <w:bCs/>
        </w:rPr>
        <w:t>.</w:t>
      </w:r>
      <w:r w:rsidRPr="00F1465D">
        <w:rPr>
          <w:b/>
        </w:rPr>
        <w:t xml:space="preserve"> </w:t>
      </w:r>
      <w:r w:rsidRPr="00F1465D">
        <w:t xml:space="preserve">Respondents for the Prevention Strategies Inventory will be project evaluators and/or program staff. Each of the </w:t>
      </w:r>
      <w:r w:rsidR="00953BB7" w:rsidRPr="00F1465D">
        <w:t xml:space="preserve">61 </w:t>
      </w:r>
      <w:r w:rsidRPr="00F1465D">
        <w:t xml:space="preserve">State/Tribal grantees and </w:t>
      </w:r>
      <w:r w:rsidR="00953BB7" w:rsidRPr="00F1465D">
        <w:t xml:space="preserve">60 </w:t>
      </w:r>
      <w:r w:rsidRPr="00F1465D">
        <w:t>Campus grantees will be required to complete the inventory</w:t>
      </w:r>
      <w:r w:rsidR="00523EB9" w:rsidRPr="00F1465D">
        <w:t xml:space="preserve">. </w:t>
      </w:r>
      <w:r w:rsidR="005D7C69" w:rsidRPr="00F1465D">
        <w:t xml:space="preserve">The </w:t>
      </w:r>
      <w:r w:rsidR="006C25CC" w:rsidRPr="00F1465D">
        <w:t xml:space="preserve">baseline </w:t>
      </w:r>
      <w:r w:rsidR="005D7C69" w:rsidRPr="00F1465D">
        <w:t xml:space="preserve">version of this </w:t>
      </w:r>
      <w:r w:rsidR="006C25CC" w:rsidRPr="00F1465D">
        <w:t>Web</w:t>
      </w:r>
      <w:r w:rsidR="007A2223" w:rsidRPr="00F1465D">
        <w:t xml:space="preserve">-based </w:t>
      </w:r>
      <w:r w:rsidR="005D7C69" w:rsidRPr="00F1465D">
        <w:t xml:space="preserve">inventory will be implemented following the first </w:t>
      </w:r>
      <w:r w:rsidR="006C25CC" w:rsidRPr="00F1465D">
        <w:t xml:space="preserve">2 </w:t>
      </w:r>
      <w:r w:rsidR="005D7C69" w:rsidRPr="00F1465D">
        <w:t xml:space="preserve">quarters in </w:t>
      </w:r>
      <w:r w:rsidR="006C25CC" w:rsidRPr="00F1465D">
        <w:t xml:space="preserve">year </w:t>
      </w:r>
      <w:r w:rsidR="005D7C69" w:rsidRPr="00F1465D">
        <w:t>1 of the grantee’s funding period and</w:t>
      </w:r>
      <w:r w:rsidR="006C25CC" w:rsidRPr="00F1465D">
        <w:t>,</w:t>
      </w:r>
      <w:r w:rsidR="005D7C69" w:rsidRPr="00F1465D">
        <w:t xml:space="preserve"> thereafter</w:t>
      </w:r>
      <w:r w:rsidR="006C25CC" w:rsidRPr="00F1465D">
        <w:t>,</w:t>
      </w:r>
      <w:r w:rsidR="005D7C69" w:rsidRPr="00F1465D">
        <w:t xml:space="preserve"> quarterly over the duration of the grant period. </w:t>
      </w:r>
      <w:r w:rsidR="007A2223" w:rsidRPr="00F1465D">
        <w:t xml:space="preserve">The cross-site evaluation team will provide a </w:t>
      </w:r>
      <w:r w:rsidR="006C25CC" w:rsidRPr="00F1465D">
        <w:t>Web</w:t>
      </w:r>
      <w:r w:rsidR="007A2223" w:rsidRPr="00F1465D">
        <w:t>-based platform for data entry, will train program staff to complete the inventory, and will monitor completion. Each grantee will be provided</w:t>
      </w:r>
      <w:r w:rsidR="005D7C69" w:rsidRPr="00F1465D">
        <w:t xml:space="preserve"> via email</w:t>
      </w:r>
      <w:r w:rsidR="007A2223" w:rsidRPr="00F1465D">
        <w:t xml:space="preserve"> a unique username and password to log in to the </w:t>
      </w:r>
      <w:r w:rsidR="006C25CC" w:rsidRPr="00F1465D">
        <w:t>Web</w:t>
      </w:r>
      <w:r w:rsidR="007A2223" w:rsidRPr="00F1465D">
        <w:t>-based inventory</w:t>
      </w:r>
      <w:r w:rsidR="00523EB9" w:rsidRPr="00F1465D">
        <w:t xml:space="preserve">. </w:t>
      </w:r>
      <w:r w:rsidR="007A2223" w:rsidRPr="00F1465D">
        <w:t>No individual identifying information will be provided when completing the inventory</w:t>
      </w:r>
      <w:r w:rsidR="00523EB9" w:rsidRPr="00F1465D">
        <w:t xml:space="preserve">. </w:t>
      </w:r>
      <w:r w:rsidR="007A2223" w:rsidRPr="00F1465D">
        <w:t>Logging in and completing the inventory will imply consent for completion</w:t>
      </w:r>
      <w:r w:rsidR="00523EB9" w:rsidRPr="00F1465D">
        <w:t>.</w:t>
      </w:r>
      <w:r w:rsidR="009E5A29" w:rsidRPr="00F1465D">
        <w:t xml:space="preserve">     </w:t>
      </w:r>
    </w:p>
    <w:p w:rsidR="007A2223" w:rsidRPr="00F1465D" w:rsidRDefault="007A2223" w:rsidP="000D02DE">
      <w:pPr>
        <w:pStyle w:val="SuicideBodyText"/>
      </w:pPr>
    </w:p>
    <w:p w:rsidR="007A2223" w:rsidRPr="00F1465D" w:rsidRDefault="007A2223" w:rsidP="000D02DE">
      <w:pPr>
        <w:pStyle w:val="SuicideBodyText"/>
        <w:rPr>
          <w:b/>
          <w:bCs/>
        </w:rPr>
      </w:pPr>
      <w:r w:rsidRPr="00F1465D">
        <w:rPr>
          <w:b/>
          <w:bCs/>
        </w:rPr>
        <w:t>Training Exit Survey</w:t>
      </w:r>
      <w:r w:rsidR="00953BB7" w:rsidRPr="00F1465D">
        <w:rPr>
          <w:b/>
          <w:bCs/>
        </w:rPr>
        <w:t xml:space="preserve"> (TES)</w:t>
      </w:r>
      <w:r w:rsidR="00455A42" w:rsidRPr="00F1465D">
        <w:rPr>
          <w:b/>
          <w:bCs/>
        </w:rPr>
        <w:t xml:space="preserve"> </w:t>
      </w:r>
      <w:r w:rsidR="00953BB7" w:rsidRPr="00F1465D">
        <w:rPr>
          <w:b/>
          <w:bCs/>
        </w:rPr>
        <w:t>Individual Forms</w:t>
      </w:r>
      <w:r w:rsidR="00C33E8F" w:rsidRPr="00F1465D">
        <w:rPr>
          <w:b/>
          <w:bCs/>
        </w:rPr>
        <w:t>.</w:t>
      </w:r>
      <w:r w:rsidR="00953BB7" w:rsidRPr="00F1465D">
        <w:rPr>
          <w:b/>
          <w:bCs/>
        </w:rPr>
        <w:t xml:space="preserve"> </w:t>
      </w:r>
      <w:r w:rsidR="002E3082" w:rsidRPr="00F1465D">
        <w:rPr>
          <w:bCs/>
        </w:rPr>
        <w:t>All</w:t>
      </w:r>
      <w:r w:rsidR="002E3082" w:rsidRPr="00F1465D">
        <w:rPr>
          <w:b/>
          <w:bCs/>
        </w:rPr>
        <w:t xml:space="preserve"> </w:t>
      </w:r>
      <w:r w:rsidR="002E3082" w:rsidRPr="00F1465D">
        <w:t>i</w:t>
      </w:r>
      <w:r w:rsidRPr="00F1465D">
        <w:t xml:space="preserve">ndividuals involved in training activities at each of the </w:t>
      </w:r>
      <w:r w:rsidR="00953BB7" w:rsidRPr="00F1465D">
        <w:t>60 Campus</w:t>
      </w:r>
      <w:r w:rsidRPr="00F1465D">
        <w:t xml:space="preserve"> grantee sites will be asked to complete the Training Exit</w:t>
      </w:r>
      <w:r w:rsidR="00200303" w:rsidRPr="00F1465D">
        <w:t xml:space="preserve"> Survey</w:t>
      </w:r>
      <w:r w:rsidR="00523EB9" w:rsidRPr="00F1465D">
        <w:t xml:space="preserve">. </w:t>
      </w:r>
      <w:r w:rsidRPr="00F1465D">
        <w:t xml:space="preserve">Upon completion of a training activity, local program staff and/or project evaluator will be responsible for providing the Training Exit Survey to participants for self-administration and immediate return. </w:t>
      </w:r>
      <w:r w:rsidR="00BB646B" w:rsidRPr="00F1465D">
        <w:t xml:space="preserve">The survey </w:t>
      </w:r>
      <w:r w:rsidRPr="00F1465D">
        <w:t>cover page introduc</w:t>
      </w:r>
      <w:r w:rsidR="00BB646B" w:rsidRPr="00F1465D">
        <w:t xml:space="preserve">es </w:t>
      </w:r>
      <w:r w:rsidRPr="00F1465D">
        <w:t xml:space="preserve">the </w:t>
      </w:r>
      <w:r w:rsidR="00BB646B" w:rsidRPr="00F1465D">
        <w:t>survey</w:t>
      </w:r>
      <w:r w:rsidRPr="00F1465D">
        <w:t xml:space="preserve"> and explain</w:t>
      </w:r>
      <w:r w:rsidR="00BB646B" w:rsidRPr="00F1465D">
        <w:t xml:space="preserve">s </w:t>
      </w:r>
      <w:r w:rsidRPr="00F1465D">
        <w:t>the consent</w:t>
      </w:r>
      <w:r w:rsidR="00BB646B" w:rsidRPr="00F1465D">
        <w:t xml:space="preserve"> process</w:t>
      </w:r>
      <w:r w:rsidR="00523EB9" w:rsidRPr="00F1465D">
        <w:t xml:space="preserve">. </w:t>
      </w:r>
      <w:r w:rsidRPr="00F1465D">
        <w:t>Consent will be implied based on completion and submission of the survey to program and/or evaluation staff</w:t>
      </w:r>
      <w:r w:rsidR="00523EB9" w:rsidRPr="00F1465D">
        <w:t xml:space="preserve">. </w:t>
      </w:r>
      <w:r w:rsidRPr="00F1465D">
        <w:t>A scannable survey option will be made available or</w:t>
      </w:r>
      <w:r w:rsidR="00C33E8F" w:rsidRPr="00F1465D">
        <w:t>,</w:t>
      </w:r>
      <w:r w:rsidRPr="00F1465D">
        <w:t xml:space="preserve"> as an alternative</w:t>
      </w:r>
      <w:r w:rsidR="00C33E8F" w:rsidRPr="00F1465D">
        <w:t>,</w:t>
      </w:r>
      <w:r w:rsidRPr="00F1465D">
        <w:t xml:space="preserve"> the survey can be administered in a paper-and-pencil format</w:t>
      </w:r>
      <w:r w:rsidR="00523EB9" w:rsidRPr="00F1465D">
        <w:t xml:space="preserve">. </w:t>
      </w:r>
      <w:r w:rsidRPr="00F1465D">
        <w:t>If using the scannable surveys, local program staff will collect completed surveys and forward to the cross-site evaluation team</w:t>
      </w:r>
      <w:r w:rsidR="00523EB9" w:rsidRPr="00F1465D">
        <w:t xml:space="preserve">. </w:t>
      </w:r>
      <w:r w:rsidRPr="00F1465D">
        <w:t xml:space="preserve">If paper-and-pencil surveys are used, local program staff will be responsible for entering survey data into the </w:t>
      </w:r>
      <w:r w:rsidR="00C33E8F" w:rsidRPr="00F1465D">
        <w:t>Web</w:t>
      </w:r>
      <w:r w:rsidRPr="00F1465D">
        <w:t>-based data collection system</w:t>
      </w:r>
      <w:r w:rsidR="00523EB9" w:rsidRPr="00F1465D">
        <w:t xml:space="preserve">. </w:t>
      </w:r>
      <w:r w:rsidRPr="00F1465D">
        <w:t>Participation in the Training Exit Survey will be voluntary but a survey will be offered to all training participants.</w:t>
      </w:r>
    </w:p>
    <w:p w:rsidR="007A2223" w:rsidRPr="00F1465D" w:rsidRDefault="007A2223" w:rsidP="000D02DE">
      <w:pPr>
        <w:pStyle w:val="SuicideBodyText"/>
        <w:rPr>
          <w:b/>
          <w:bCs/>
        </w:rPr>
      </w:pPr>
    </w:p>
    <w:p w:rsidR="00C63BCF" w:rsidRPr="00F1465D" w:rsidRDefault="002E3082" w:rsidP="000D02DE">
      <w:pPr>
        <w:pStyle w:val="SuicideBodyText"/>
      </w:pPr>
      <w:r w:rsidRPr="00F1465D">
        <w:rPr>
          <w:b/>
          <w:bCs/>
        </w:rPr>
        <w:t xml:space="preserve">Training Utilization and </w:t>
      </w:r>
      <w:r w:rsidR="00A8032B" w:rsidRPr="00F1465D">
        <w:rPr>
          <w:b/>
          <w:bCs/>
        </w:rPr>
        <w:t>Preservation</w:t>
      </w:r>
      <w:r w:rsidRPr="00F1465D">
        <w:rPr>
          <w:b/>
          <w:bCs/>
        </w:rPr>
        <w:t xml:space="preserve"> – </w:t>
      </w:r>
      <w:r w:rsidR="0093436B" w:rsidRPr="00F1465D">
        <w:rPr>
          <w:b/>
          <w:bCs/>
        </w:rPr>
        <w:t>Survey (</w:t>
      </w:r>
      <w:r w:rsidRPr="00F1465D">
        <w:rPr>
          <w:b/>
          <w:bCs/>
        </w:rPr>
        <w:t>TUP-S)</w:t>
      </w:r>
      <w:r w:rsidR="001801AA" w:rsidRPr="00F1465D">
        <w:rPr>
          <w:b/>
          <w:bCs/>
        </w:rPr>
        <w:t>: State/Tribal</w:t>
      </w:r>
      <w:r w:rsidR="00243045" w:rsidRPr="00F1465D">
        <w:rPr>
          <w:b/>
          <w:bCs/>
        </w:rPr>
        <w:t>, 6</w:t>
      </w:r>
      <w:r w:rsidR="00C33E8F" w:rsidRPr="00F1465D">
        <w:rPr>
          <w:b/>
          <w:bCs/>
        </w:rPr>
        <w:t>-</w:t>
      </w:r>
      <w:r w:rsidR="00243045" w:rsidRPr="00F1465D">
        <w:rPr>
          <w:b/>
          <w:bCs/>
        </w:rPr>
        <w:t>Month Follow-</w:t>
      </w:r>
      <w:r w:rsidR="00A8032B" w:rsidRPr="00F1465D">
        <w:rPr>
          <w:b/>
          <w:bCs/>
        </w:rPr>
        <w:t>u</w:t>
      </w:r>
      <w:r w:rsidR="00243045" w:rsidRPr="00F1465D">
        <w:rPr>
          <w:b/>
          <w:bCs/>
        </w:rPr>
        <w:t>p,</w:t>
      </w:r>
      <w:r w:rsidR="001801AA" w:rsidRPr="00F1465D">
        <w:rPr>
          <w:b/>
          <w:bCs/>
        </w:rPr>
        <w:t xml:space="preserve"> and Campus Versions</w:t>
      </w:r>
      <w:r w:rsidRPr="00F1465D">
        <w:rPr>
          <w:b/>
          <w:bCs/>
        </w:rPr>
        <w:t>.</w:t>
      </w:r>
      <w:r w:rsidR="00C63BCF" w:rsidRPr="00F1465D">
        <w:rPr>
          <w:b/>
          <w:bCs/>
        </w:rPr>
        <w:t xml:space="preserve"> </w:t>
      </w:r>
      <w:r w:rsidR="00C63BCF" w:rsidRPr="00F1465D">
        <w:rPr>
          <w:bCs/>
        </w:rPr>
        <w:t>The</w:t>
      </w:r>
      <w:r w:rsidR="00C63BCF" w:rsidRPr="00F1465D">
        <w:rPr>
          <w:b/>
          <w:bCs/>
        </w:rPr>
        <w:t xml:space="preserve"> Training Utilization and Preservation – Survey (TUPS-S)</w:t>
      </w:r>
      <w:r w:rsidR="00953BB7" w:rsidRPr="00F1465D">
        <w:rPr>
          <w:b/>
          <w:bCs/>
        </w:rPr>
        <w:t xml:space="preserve">: State/Tribal </w:t>
      </w:r>
      <w:r w:rsidR="00243045" w:rsidRPr="00F1465D">
        <w:rPr>
          <w:b/>
          <w:bCs/>
        </w:rPr>
        <w:t>Version</w:t>
      </w:r>
      <w:r w:rsidR="00C63BCF" w:rsidRPr="00F1465D">
        <w:rPr>
          <w:b/>
          <w:bCs/>
        </w:rPr>
        <w:t xml:space="preserve"> </w:t>
      </w:r>
      <w:r w:rsidR="00C63BCF" w:rsidRPr="00F1465D">
        <w:rPr>
          <w:bCs/>
        </w:rPr>
        <w:t>will</w:t>
      </w:r>
      <w:r w:rsidR="00C63BCF" w:rsidRPr="00F1465D">
        <w:rPr>
          <w:b/>
          <w:bCs/>
        </w:rPr>
        <w:t xml:space="preserve"> </w:t>
      </w:r>
      <w:r w:rsidR="00C63BCF" w:rsidRPr="00F1465D">
        <w:rPr>
          <w:bCs/>
        </w:rPr>
        <w:t>be administered to a random sample of 2</w:t>
      </w:r>
      <w:r w:rsidR="00553313" w:rsidRPr="00F1465D">
        <w:rPr>
          <w:bCs/>
        </w:rPr>
        <w:t>,</w:t>
      </w:r>
      <w:r w:rsidR="00C63BCF" w:rsidRPr="00F1465D">
        <w:rPr>
          <w:bCs/>
        </w:rPr>
        <w:t xml:space="preserve">000 </w:t>
      </w:r>
      <w:r w:rsidR="00553313" w:rsidRPr="00F1465D">
        <w:rPr>
          <w:bCs/>
        </w:rPr>
        <w:t xml:space="preserve">State/Tribal training </w:t>
      </w:r>
      <w:r w:rsidR="00C63BCF" w:rsidRPr="00F1465D">
        <w:rPr>
          <w:bCs/>
        </w:rPr>
        <w:t>participants per year</w:t>
      </w:r>
      <w:r w:rsidR="00523EB9" w:rsidRPr="00F1465D">
        <w:rPr>
          <w:bCs/>
        </w:rPr>
        <w:t>.</w:t>
      </w:r>
      <w:r w:rsidR="00553313" w:rsidRPr="00F1465D">
        <w:rPr>
          <w:bCs/>
        </w:rPr>
        <w:t xml:space="preserve"> The </w:t>
      </w:r>
      <w:r w:rsidR="00243045" w:rsidRPr="00F1465D">
        <w:rPr>
          <w:b/>
          <w:bCs/>
        </w:rPr>
        <w:t xml:space="preserve">Training Utilization and Preservation-Survey (TUP-S): </w:t>
      </w:r>
      <w:r w:rsidR="00553313" w:rsidRPr="00F1465D">
        <w:rPr>
          <w:b/>
          <w:bCs/>
        </w:rPr>
        <w:t xml:space="preserve">Campus </w:t>
      </w:r>
      <w:r w:rsidR="00243045" w:rsidRPr="00F1465D">
        <w:rPr>
          <w:b/>
          <w:bCs/>
        </w:rPr>
        <w:t>V</w:t>
      </w:r>
      <w:r w:rsidR="00553313" w:rsidRPr="00F1465D">
        <w:rPr>
          <w:b/>
          <w:bCs/>
        </w:rPr>
        <w:t>ersion</w:t>
      </w:r>
      <w:r w:rsidR="00553313" w:rsidRPr="00F1465D">
        <w:rPr>
          <w:bCs/>
        </w:rPr>
        <w:t xml:space="preserve"> of the instrument will be piloted with 100 students the first year, and will be administered to 500 students in subsequent years.</w:t>
      </w:r>
      <w:r w:rsidR="00523EB9" w:rsidRPr="00F1465D">
        <w:rPr>
          <w:bCs/>
        </w:rPr>
        <w:t xml:space="preserve"> </w:t>
      </w:r>
      <w:r w:rsidR="001801AA" w:rsidRPr="00F1465D">
        <w:t>At the time of a training event at both State/Tribal and Campus grantee sites,</w:t>
      </w:r>
      <w:r w:rsidR="00C63BCF" w:rsidRPr="00F1465D">
        <w:t xml:space="preserve"> responde</w:t>
      </w:r>
      <w:r w:rsidR="00B461A0" w:rsidRPr="00F1465D">
        <w:t xml:space="preserve">nts will be asked to complete </w:t>
      </w:r>
      <w:r w:rsidR="00A709A0" w:rsidRPr="00F1465D">
        <w:t>a consent</w:t>
      </w:r>
      <w:r w:rsidR="00C33E8F" w:rsidRPr="00F1465D">
        <w:t>-</w:t>
      </w:r>
      <w:r w:rsidR="001801AA" w:rsidRPr="00F1465D">
        <w:t>to</w:t>
      </w:r>
      <w:r w:rsidR="00C33E8F" w:rsidRPr="00F1465D">
        <w:t>-</w:t>
      </w:r>
      <w:r w:rsidR="001801AA" w:rsidRPr="00F1465D">
        <w:t xml:space="preserve">contact </w:t>
      </w:r>
      <w:r w:rsidR="00C63BCF" w:rsidRPr="00F1465D">
        <w:t>form indicating their willingness to be contacted by the cross-site evaluation team to participate in the TUP-S</w:t>
      </w:r>
      <w:r w:rsidR="00243045" w:rsidRPr="00F1465D">
        <w:t xml:space="preserve">. Participants from State/Tribal grantees will also consent to be recontacted in </w:t>
      </w:r>
      <w:r w:rsidR="00C33E8F" w:rsidRPr="00F1465D">
        <w:t xml:space="preserve">6 </w:t>
      </w:r>
      <w:r w:rsidR="00243045" w:rsidRPr="00F1465D">
        <w:t xml:space="preserve">months for participation in the </w:t>
      </w:r>
      <w:r w:rsidR="00243045" w:rsidRPr="00F1465D">
        <w:rPr>
          <w:b/>
        </w:rPr>
        <w:t xml:space="preserve">Training Utilization and Preservation-Survey (TUP-S): State/Tribal 6 Month Follow Up. </w:t>
      </w:r>
      <w:r w:rsidR="00243045" w:rsidRPr="00F1465D">
        <w:t>Consent</w:t>
      </w:r>
      <w:r w:rsidR="00C33E8F" w:rsidRPr="00F1465D">
        <w:t>-</w:t>
      </w:r>
      <w:r w:rsidR="00243045" w:rsidRPr="00F1465D">
        <w:t>to</w:t>
      </w:r>
      <w:r w:rsidR="00C33E8F" w:rsidRPr="00F1465D">
        <w:t>-</w:t>
      </w:r>
      <w:r w:rsidR="00243045" w:rsidRPr="00F1465D">
        <w:t>contact forms will be</w:t>
      </w:r>
      <w:r w:rsidR="00C63BCF" w:rsidRPr="00F1465D">
        <w:t xml:space="preserve"> return</w:t>
      </w:r>
      <w:r w:rsidR="00243045" w:rsidRPr="00F1465D">
        <w:t>ed</w:t>
      </w:r>
      <w:r w:rsidR="00C63BCF" w:rsidRPr="00F1465D">
        <w:t xml:space="preserve"> to local program staff</w:t>
      </w:r>
      <w:r w:rsidR="00200303" w:rsidRPr="00F1465D">
        <w:t>.</w:t>
      </w:r>
      <w:r w:rsidR="00C63BCF" w:rsidRPr="00F1465D">
        <w:t xml:space="preserve"> Local program staff will forward consent forms to the cross-site evaluation team</w:t>
      </w:r>
      <w:r w:rsidR="00523EB9" w:rsidRPr="00F1465D">
        <w:t xml:space="preserve">. </w:t>
      </w:r>
      <w:r w:rsidR="00C63BCF" w:rsidRPr="00F1465D">
        <w:t>Because it will be necessary to facilitate administration of the interview, identifying information for each key informant will be forwarded to the cross-site evaluation team</w:t>
      </w:r>
      <w:r w:rsidR="00523EB9" w:rsidRPr="00F1465D">
        <w:t xml:space="preserve">. </w:t>
      </w:r>
      <w:r w:rsidR="00C63BCF" w:rsidRPr="00F1465D">
        <w:t xml:space="preserve">The cross-site evaluation team will contact </w:t>
      </w:r>
      <w:r w:rsidR="001801AA" w:rsidRPr="00F1465D">
        <w:t xml:space="preserve">a random sample of </w:t>
      </w:r>
      <w:r w:rsidR="00C63BCF" w:rsidRPr="00F1465D">
        <w:t>key informant</w:t>
      </w:r>
      <w:r w:rsidR="001801AA" w:rsidRPr="00F1465D">
        <w:t>s</w:t>
      </w:r>
      <w:r w:rsidR="00C63BCF" w:rsidRPr="00F1465D">
        <w:t xml:space="preserve"> via telephone </w:t>
      </w:r>
      <w:r w:rsidR="00C33E8F" w:rsidRPr="00F1465D">
        <w:t xml:space="preserve">3 </w:t>
      </w:r>
      <w:r w:rsidR="00C63BCF" w:rsidRPr="00F1465D">
        <w:t xml:space="preserve">months </w:t>
      </w:r>
      <w:r w:rsidR="00553313" w:rsidRPr="00F1465D">
        <w:t xml:space="preserve">following </w:t>
      </w:r>
      <w:r w:rsidR="00C63BCF" w:rsidRPr="00F1465D">
        <w:t>the training activity to introduce the study, request participation</w:t>
      </w:r>
      <w:r w:rsidR="00C33E8F" w:rsidRPr="00F1465D">
        <w:t>,</w:t>
      </w:r>
      <w:r w:rsidR="00C63BCF" w:rsidRPr="00F1465D">
        <w:t xml:space="preserve"> and to schedule an appointment for administration of the interview</w:t>
      </w:r>
      <w:r w:rsidR="00523EB9" w:rsidRPr="00F1465D">
        <w:t xml:space="preserve">. </w:t>
      </w:r>
      <w:r w:rsidR="00C63BCF" w:rsidRPr="00F1465D">
        <w:t xml:space="preserve">ICF Macro telephone interviewers will be responsible for administering the interview and will be trained by the cross-site evaluation team </w:t>
      </w:r>
      <w:r w:rsidR="00C33E8F" w:rsidRPr="00F1465D">
        <w:t>to administer</w:t>
      </w:r>
      <w:r w:rsidR="00C63BCF" w:rsidRPr="00F1465D">
        <w:t xml:space="preserve"> the survey. </w:t>
      </w:r>
      <w:r w:rsidR="00C33E8F" w:rsidRPr="00F1465D">
        <w:t>Prior</w:t>
      </w:r>
      <w:r w:rsidR="00C63BCF" w:rsidRPr="00F1465D">
        <w:t xml:space="preserve"> to administration of the TUP</w:t>
      </w:r>
      <w:r w:rsidR="001801AA" w:rsidRPr="00F1465D">
        <w:t>-S</w:t>
      </w:r>
      <w:r w:rsidR="00C33E8F" w:rsidRPr="00F1465D">
        <w:t>, each respondent</w:t>
      </w:r>
      <w:r w:rsidR="00C63BCF" w:rsidRPr="00F1465D">
        <w:t xml:space="preserve"> will provide verbal consent</w:t>
      </w:r>
      <w:r w:rsidR="00C33E8F" w:rsidRPr="00F1465D">
        <w:t>.</w:t>
      </w:r>
    </w:p>
    <w:p w:rsidR="001801AA" w:rsidRPr="00F1465D" w:rsidRDefault="001801AA" w:rsidP="002E02E6">
      <w:pPr>
        <w:widowControl/>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D449E8" w:rsidRPr="00F1465D" w:rsidRDefault="001801AA" w:rsidP="000D02DE">
      <w:pPr>
        <w:pStyle w:val="SuicideBodyText"/>
        <w:rPr>
          <w:iCs/>
          <w:lang w:val="en-CA"/>
        </w:rPr>
      </w:pPr>
      <w:r w:rsidRPr="00F1465D">
        <w:rPr>
          <w:b/>
        </w:rPr>
        <w:lastRenderedPageBreak/>
        <w:t>Training Utilization and Preservation</w:t>
      </w:r>
      <w:r w:rsidR="002C5A65" w:rsidRPr="00F1465D">
        <w:rPr>
          <w:b/>
        </w:rPr>
        <w:t>–</w:t>
      </w:r>
      <w:r w:rsidRPr="00F1465D">
        <w:rPr>
          <w:b/>
        </w:rPr>
        <w:t>Survey (TUP-S): Adolescent Version.</w:t>
      </w:r>
      <w:r w:rsidRPr="00F1465D">
        <w:t xml:space="preserve"> As part of a </w:t>
      </w:r>
      <w:r w:rsidR="006C25CC" w:rsidRPr="00F1465D">
        <w:t>1</w:t>
      </w:r>
      <w:r w:rsidRPr="00F1465D">
        <w:t xml:space="preserve">-year pilot, the </w:t>
      </w:r>
      <w:r w:rsidRPr="00F1465D">
        <w:rPr>
          <w:b/>
        </w:rPr>
        <w:t>Training Utilization and Preservation</w:t>
      </w:r>
      <w:r w:rsidR="002C5A65" w:rsidRPr="00F1465D">
        <w:rPr>
          <w:b/>
        </w:rPr>
        <w:t>–</w:t>
      </w:r>
      <w:r w:rsidRPr="00F1465D">
        <w:rPr>
          <w:b/>
        </w:rPr>
        <w:t>Survey (TUP-S): Adolescent Version</w:t>
      </w:r>
      <w:r w:rsidRPr="00F1465D">
        <w:t xml:space="preserve"> will be administered to 100 youth</w:t>
      </w:r>
      <w:r w:rsidR="00C33E8F" w:rsidRPr="00F1465D">
        <w:t>s</w:t>
      </w:r>
      <w:r w:rsidRPr="00F1465D">
        <w:t xml:space="preserve"> under the age of 18 </w:t>
      </w:r>
      <w:r w:rsidR="00D449E8" w:rsidRPr="00F1465D">
        <w:t xml:space="preserve">who have participated in youth-targeted trainings sponsored by State/Tribal grantees. Grantees sponsoring trainings for youth will be identified during start-up and </w:t>
      </w:r>
      <w:r w:rsidR="00D54BC8" w:rsidRPr="00F1465D">
        <w:t>TA</w:t>
      </w:r>
      <w:r w:rsidR="00D449E8" w:rsidRPr="00F1465D">
        <w:t xml:space="preserve"> calls. Trainings will be selected based on whether a process to gather caregiver/youth consent is in place, and the grantee is able to incorporate the TUP-S consent</w:t>
      </w:r>
      <w:r w:rsidR="00C33E8F" w:rsidRPr="00F1465D">
        <w:t>-</w:t>
      </w:r>
      <w:r w:rsidR="00D449E8" w:rsidRPr="00F1465D">
        <w:t>to</w:t>
      </w:r>
      <w:r w:rsidR="00C33E8F" w:rsidRPr="00F1465D">
        <w:t>-</w:t>
      </w:r>
      <w:r w:rsidR="00D449E8" w:rsidRPr="00F1465D">
        <w:t xml:space="preserve">contact process into the general training consent procedures. Consent for a youth’s participation in a training activity will be collected from </w:t>
      </w:r>
      <w:r w:rsidR="00C33E8F" w:rsidRPr="00F1465D">
        <w:t xml:space="preserve">the youth’s </w:t>
      </w:r>
      <w:r w:rsidR="00D449E8" w:rsidRPr="00F1465D">
        <w:t>caregiver/guardian and from the youth by the grantee program staff or training facilitator prior to the training. ICF Macro staff will work with grantees to collect parental and youth consent for the youth participation in the TUP-S. Contact information for the TUP-S will be collected via the consent</w:t>
      </w:r>
      <w:r w:rsidR="00A75BA8" w:rsidRPr="00F1465D">
        <w:t>-</w:t>
      </w:r>
      <w:r w:rsidR="00D449E8" w:rsidRPr="00F1465D">
        <w:t>to</w:t>
      </w:r>
      <w:r w:rsidR="00A75BA8" w:rsidRPr="00F1465D">
        <w:t>-</w:t>
      </w:r>
      <w:r w:rsidR="00D449E8" w:rsidRPr="00F1465D">
        <w:t xml:space="preserve">contact form that will be distributed with the consent for participation in the training event by the grantee and training coordinator. </w:t>
      </w:r>
      <w:r w:rsidR="00D449E8" w:rsidRPr="00F1465D">
        <w:rPr>
          <w:iCs/>
          <w:lang w:val="en-CA"/>
        </w:rPr>
        <w:t>The consent</w:t>
      </w:r>
      <w:r w:rsidR="00A75BA8" w:rsidRPr="00F1465D">
        <w:rPr>
          <w:iCs/>
          <w:lang w:val="en-CA"/>
        </w:rPr>
        <w:t>-</w:t>
      </w:r>
      <w:r w:rsidR="00D449E8" w:rsidRPr="00F1465D">
        <w:rPr>
          <w:iCs/>
          <w:lang w:val="en-CA"/>
        </w:rPr>
        <w:t>to</w:t>
      </w:r>
      <w:r w:rsidR="00A75BA8" w:rsidRPr="00F1465D">
        <w:rPr>
          <w:iCs/>
          <w:lang w:val="en-CA"/>
        </w:rPr>
        <w:t>-</w:t>
      </w:r>
      <w:r w:rsidR="00D449E8" w:rsidRPr="00F1465D">
        <w:rPr>
          <w:iCs/>
          <w:lang w:val="en-CA"/>
        </w:rPr>
        <w:t>contact form will include a training ID and ask participants to provide identifying information (name, cell phone number</w:t>
      </w:r>
      <w:r w:rsidR="00A75BA8" w:rsidRPr="00F1465D">
        <w:rPr>
          <w:iCs/>
          <w:lang w:val="en-CA"/>
        </w:rPr>
        <w:t>,</w:t>
      </w:r>
      <w:r w:rsidR="00D449E8" w:rsidRPr="00F1465D">
        <w:rPr>
          <w:iCs/>
          <w:lang w:val="en-CA"/>
        </w:rPr>
        <w:t xml:space="preserve"> and mailing address) necessary for contacting them for the TUP-S and for administering the incentive.</w:t>
      </w:r>
    </w:p>
    <w:p w:rsidR="00D449E8" w:rsidRPr="00F1465D" w:rsidRDefault="00D449E8" w:rsidP="000D02DE">
      <w:pPr>
        <w:pStyle w:val="SuicideBodyText"/>
      </w:pPr>
    </w:p>
    <w:p w:rsidR="001801AA" w:rsidRPr="00F1465D" w:rsidRDefault="00D449E8" w:rsidP="000D02DE">
      <w:pPr>
        <w:pStyle w:val="SuicideBodyText"/>
        <w:rPr>
          <w:iCs/>
        </w:rPr>
      </w:pPr>
      <w:r w:rsidRPr="00F1465D">
        <w:t xml:space="preserve"> Two methods to reach youth for the TUP-S will be piloted. The first is using a </w:t>
      </w:r>
      <w:r w:rsidR="00A75BA8" w:rsidRPr="00F1465D">
        <w:t xml:space="preserve">Web </w:t>
      </w:r>
      <w:r w:rsidRPr="00F1465D">
        <w:t xml:space="preserve">survey. </w:t>
      </w:r>
      <w:r w:rsidR="00FD0BA2" w:rsidRPr="00F1465D">
        <w:rPr>
          <w:iCs/>
        </w:rPr>
        <w:t>Youth</w:t>
      </w:r>
      <w:r w:rsidRPr="00F1465D">
        <w:rPr>
          <w:iCs/>
        </w:rPr>
        <w:t xml:space="preserve"> will be contacted using their preferred email from the consent</w:t>
      </w:r>
      <w:r w:rsidR="00A75BA8" w:rsidRPr="00F1465D">
        <w:rPr>
          <w:iCs/>
        </w:rPr>
        <w:t>-</w:t>
      </w:r>
      <w:r w:rsidRPr="00F1465D">
        <w:rPr>
          <w:iCs/>
        </w:rPr>
        <w:t>to</w:t>
      </w:r>
      <w:r w:rsidR="00A75BA8" w:rsidRPr="00F1465D">
        <w:rPr>
          <w:iCs/>
        </w:rPr>
        <w:t>-</w:t>
      </w:r>
      <w:r w:rsidRPr="00F1465D">
        <w:rPr>
          <w:iCs/>
        </w:rPr>
        <w:t>contact form. When consent</w:t>
      </w:r>
      <w:r w:rsidR="00D96FE5" w:rsidRPr="00F1465D">
        <w:rPr>
          <w:iCs/>
        </w:rPr>
        <w:t>-</w:t>
      </w:r>
      <w:r w:rsidRPr="00F1465D">
        <w:rPr>
          <w:iCs/>
        </w:rPr>
        <w:t>to</w:t>
      </w:r>
      <w:r w:rsidR="00D96FE5" w:rsidRPr="00F1465D">
        <w:rPr>
          <w:iCs/>
        </w:rPr>
        <w:t>-</w:t>
      </w:r>
      <w:r w:rsidRPr="00F1465D">
        <w:rPr>
          <w:iCs/>
        </w:rPr>
        <w:t>contact informatio</w:t>
      </w:r>
      <w:r w:rsidR="00FD0BA2" w:rsidRPr="00F1465D">
        <w:rPr>
          <w:iCs/>
        </w:rPr>
        <w:t xml:space="preserve">n is received form the grantee, </w:t>
      </w:r>
      <w:r w:rsidRPr="00F1465D">
        <w:rPr>
          <w:iCs/>
        </w:rPr>
        <w:t>the youth will receive a thank</w:t>
      </w:r>
      <w:r w:rsidR="00A75BA8" w:rsidRPr="00F1465D">
        <w:rPr>
          <w:iCs/>
        </w:rPr>
        <w:t>-</w:t>
      </w:r>
      <w:r w:rsidRPr="00F1465D">
        <w:rPr>
          <w:iCs/>
        </w:rPr>
        <w:t xml:space="preserve">you email and a reminder that </w:t>
      </w:r>
      <w:r w:rsidR="00A75BA8" w:rsidRPr="00F1465D">
        <w:rPr>
          <w:iCs/>
        </w:rPr>
        <w:t xml:space="preserve">he or she </w:t>
      </w:r>
      <w:r w:rsidRPr="00F1465D">
        <w:rPr>
          <w:iCs/>
        </w:rPr>
        <w:t xml:space="preserve">will receive a </w:t>
      </w:r>
      <w:r w:rsidR="00A75BA8" w:rsidRPr="00F1465D">
        <w:rPr>
          <w:iCs/>
        </w:rPr>
        <w:t xml:space="preserve">Web </w:t>
      </w:r>
      <w:r w:rsidRPr="00F1465D">
        <w:rPr>
          <w:iCs/>
        </w:rPr>
        <w:t xml:space="preserve">survey in </w:t>
      </w:r>
      <w:r w:rsidR="00A75BA8" w:rsidRPr="00F1465D">
        <w:rPr>
          <w:iCs/>
        </w:rPr>
        <w:t xml:space="preserve">3 </w:t>
      </w:r>
      <w:r w:rsidRPr="00F1465D">
        <w:rPr>
          <w:iCs/>
        </w:rPr>
        <w:t>months.</w:t>
      </w:r>
      <w:r w:rsidR="009E5A29" w:rsidRPr="00F1465D">
        <w:rPr>
          <w:iCs/>
        </w:rPr>
        <w:t xml:space="preserve"> </w:t>
      </w:r>
      <w:r w:rsidRPr="00F1465D">
        <w:rPr>
          <w:iCs/>
        </w:rPr>
        <w:t xml:space="preserve">One week </w:t>
      </w:r>
      <w:r w:rsidR="00FD0BA2" w:rsidRPr="00F1465D">
        <w:rPr>
          <w:iCs/>
        </w:rPr>
        <w:t xml:space="preserve">prior to the administration of the </w:t>
      </w:r>
      <w:r w:rsidR="00A75BA8" w:rsidRPr="00F1465D">
        <w:rPr>
          <w:iCs/>
        </w:rPr>
        <w:t>3-</w:t>
      </w:r>
      <w:r w:rsidR="00FD0BA2" w:rsidRPr="00F1465D">
        <w:rPr>
          <w:iCs/>
        </w:rPr>
        <w:t>month follow-up survey</w:t>
      </w:r>
      <w:r w:rsidRPr="00F1465D">
        <w:rPr>
          <w:iCs/>
        </w:rPr>
        <w:t xml:space="preserve">, the youth will receive another </w:t>
      </w:r>
      <w:r w:rsidR="00FD0BA2" w:rsidRPr="00F1465D">
        <w:rPr>
          <w:iCs/>
        </w:rPr>
        <w:t>reminder email</w:t>
      </w:r>
      <w:r w:rsidRPr="00F1465D">
        <w:rPr>
          <w:iCs/>
        </w:rPr>
        <w:t xml:space="preserve"> about the survey. Three months following the training event</w:t>
      </w:r>
      <w:r w:rsidR="00A75BA8" w:rsidRPr="00F1465D">
        <w:rPr>
          <w:iCs/>
        </w:rPr>
        <w:t>,</w:t>
      </w:r>
      <w:r w:rsidRPr="00F1465D">
        <w:rPr>
          <w:iCs/>
        </w:rPr>
        <w:t xml:space="preserve"> youth participants will receive a link to a </w:t>
      </w:r>
      <w:r w:rsidR="00A75BA8" w:rsidRPr="00F1465D">
        <w:rPr>
          <w:iCs/>
        </w:rPr>
        <w:t>Web</w:t>
      </w:r>
      <w:r w:rsidRPr="00F1465D">
        <w:rPr>
          <w:iCs/>
        </w:rPr>
        <w:t xml:space="preserve">-based survey. The </w:t>
      </w:r>
      <w:r w:rsidR="00A75BA8" w:rsidRPr="00F1465D">
        <w:rPr>
          <w:iCs/>
        </w:rPr>
        <w:t>Web</w:t>
      </w:r>
      <w:r w:rsidRPr="00F1465D">
        <w:rPr>
          <w:iCs/>
        </w:rPr>
        <w:t>-based survey will be maintained on</w:t>
      </w:r>
      <w:r w:rsidR="00FD0BA2" w:rsidRPr="00F1465D">
        <w:rPr>
          <w:iCs/>
        </w:rPr>
        <w:t xml:space="preserve"> an online data management system: </w:t>
      </w:r>
      <w:r w:rsidRPr="00F1465D">
        <w:rPr>
          <w:iCs/>
        </w:rPr>
        <w:t xml:space="preserve">the Suicide Prevention Data Center (SPDC). The youth will be reminded and thanked for their consent to participate that was provided after the training event. </w:t>
      </w:r>
      <w:r w:rsidR="00A75BA8" w:rsidRPr="00F1465D">
        <w:rPr>
          <w:iCs/>
        </w:rPr>
        <w:t xml:space="preserve">After completing </w:t>
      </w:r>
      <w:r w:rsidR="00D96FE5" w:rsidRPr="00F1465D">
        <w:rPr>
          <w:iCs/>
        </w:rPr>
        <w:t>the survey</w:t>
      </w:r>
      <w:r w:rsidR="00A75BA8" w:rsidRPr="00F1465D">
        <w:rPr>
          <w:iCs/>
        </w:rPr>
        <w:t>,</w:t>
      </w:r>
      <w:r w:rsidRPr="00F1465D">
        <w:rPr>
          <w:iCs/>
        </w:rPr>
        <w:t xml:space="preserve"> the youth will be given a choice of incentive (</w:t>
      </w:r>
      <w:r w:rsidR="00A75BA8" w:rsidRPr="00F1465D">
        <w:rPr>
          <w:iCs/>
        </w:rPr>
        <w:t xml:space="preserve">an </w:t>
      </w:r>
      <w:r w:rsidRPr="00F1465D">
        <w:rPr>
          <w:iCs/>
        </w:rPr>
        <w:t xml:space="preserve">online gift code or mailed VISA gift card). If </w:t>
      </w:r>
      <w:r w:rsidR="00A75BA8" w:rsidRPr="00F1465D">
        <w:rPr>
          <w:iCs/>
        </w:rPr>
        <w:t xml:space="preserve">the youth </w:t>
      </w:r>
      <w:r w:rsidRPr="00F1465D">
        <w:rPr>
          <w:iCs/>
        </w:rPr>
        <w:t>select</w:t>
      </w:r>
      <w:r w:rsidR="00A75BA8" w:rsidRPr="00F1465D">
        <w:rPr>
          <w:iCs/>
        </w:rPr>
        <w:t>s</w:t>
      </w:r>
      <w:r w:rsidRPr="00F1465D">
        <w:rPr>
          <w:iCs/>
        </w:rPr>
        <w:t xml:space="preserve"> </w:t>
      </w:r>
      <w:r w:rsidR="00A75BA8" w:rsidRPr="00F1465D">
        <w:rPr>
          <w:iCs/>
        </w:rPr>
        <w:t xml:space="preserve">the </w:t>
      </w:r>
      <w:r w:rsidRPr="00F1465D">
        <w:rPr>
          <w:iCs/>
        </w:rPr>
        <w:t>VISA gift card</w:t>
      </w:r>
      <w:r w:rsidR="00A75BA8" w:rsidRPr="00F1465D">
        <w:rPr>
          <w:iCs/>
        </w:rPr>
        <w:t>,</w:t>
      </w:r>
      <w:r w:rsidRPr="00F1465D">
        <w:rPr>
          <w:iCs/>
        </w:rPr>
        <w:t xml:space="preserve"> </w:t>
      </w:r>
      <w:r w:rsidR="00A75BA8" w:rsidRPr="00F1465D">
        <w:rPr>
          <w:iCs/>
        </w:rPr>
        <w:t xml:space="preserve">he or she </w:t>
      </w:r>
      <w:r w:rsidRPr="00F1465D">
        <w:rPr>
          <w:iCs/>
        </w:rPr>
        <w:t xml:space="preserve">will be asked to enter contact information where the card </w:t>
      </w:r>
      <w:r w:rsidR="00A75BA8" w:rsidRPr="00F1465D">
        <w:rPr>
          <w:iCs/>
        </w:rPr>
        <w:t xml:space="preserve">should </w:t>
      </w:r>
      <w:r w:rsidRPr="00F1465D">
        <w:rPr>
          <w:iCs/>
        </w:rPr>
        <w:t>be mailed.</w:t>
      </w:r>
    </w:p>
    <w:p w:rsidR="00FD0BA2" w:rsidRPr="00F1465D" w:rsidRDefault="00FD0BA2" w:rsidP="002E02E6">
      <w:pPr>
        <w:widowControl/>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rPr>
      </w:pPr>
    </w:p>
    <w:p w:rsidR="00FD0BA2" w:rsidRPr="00F1465D" w:rsidRDefault="00FD0BA2" w:rsidP="000D02DE">
      <w:pPr>
        <w:pStyle w:val="SuicideBodyText"/>
      </w:pPr>
      <w:r w:rsidRPr="00F1465D">
        <w:t xml:space="preserve">The other method to be piloted is a </w:t>
      </w:r>
      <w:r w:rsidRPr="00F1465D">
        <w:rPr>
          <w:b/>
        </w:rPr>
        <w:t xml:space="preserve">Short Message Service </w:t>
      </w:r>
      <w:r w:rsidR="00A75BA8" w:rsidRPr="00F1465D">
        <w:rPr>
          <w:b/>
        </w:rPr>
        <w:t xml:space="preserve">Survey </w:t>
      </w:r>
      <w:r w:rsidRPr="00F1465D">
        <w:rPr>
          <w:b/>
        </w:rPr>
        <w:t>(SMS</w:t>
      </w:r>
      <w:r w:rsidR="00A75BA8" w:rsidRPr="00F1465D">
        <w:rPr>
          <w:b/>
        </w:rPr>
        <w:t>S</w:t>
      </w:r>
      <w:r w:rsidRPr="00F1465D">
        <w:rPr>
          <w:b/>
        </w:rPr>
        <w:t>)</w:t>
      </w:r>
      <w:r w:rsidRPr="00F1465D">
        <w:t>, or text message survey. When consent</w:t>
      </w:r>
      <w:r w:rsidR="00961D31" w:rsidRPr="00F1465D">
        <w:t>-</w:t>
      </w:r>
      <w:r w:rsidRPr="00F1465D">
        <w:t>to</w:t>
      </w:r>
      <w:r w:rsidR="00961D31" w:rsidRPr="00F1465D">
        <w:t>-</w:t>
      </w:r>
      <w:r w:rsidRPr="00F1465D">
        <w:t>contact information is received form the grantee, the youth will receive a thank</w:t>
      </w:r>
      <w:r w:rsidR="00A75BA8" w:rsidRPr="00F1465D">
        <w:t>-</w:t>
      </w:r>
      <w:r w:rsidRPr="00F1465D">
        <w:t xml:space="preserve">you text and a reminder that </w:t>
      </w:r>
      <w:r w:rsidR="00A75BA8" w:rsidRPr="00F1465D">
        <w:t xml:space="preserve">he or she </w:t>
      </w:r>
      <w:r w:rsidRPr="00F1465D">
        <w:t xml:space="preserve">will receive a text survey in </w:t>
      </w:r>
      <w:r w:rsidR="00A75BA8" w:rsidRPr="00F1465D">
        <w:t xml:space="preserve">3 </w:t>
      </w:r>
      <w:r w:rsidRPr="00F1465D">
        <w:t>months.</w:t>
      </w:r>
      <w:r w:rsidR="009E5A29" w:rsidRPr="00F1465D">
        <w:t xml:space="preserve"> </w:t>
      </w:r>
      <w:r w:rsidRPr="00F1465D">
        <w:t xml:space="preserve">One week prior to the administration of the </w:t>
      </w:r>
      <w:r w:rsidR="00A75BA8" w:rsidRPr="00F1465D">
        <w:t>3-</w:t>
      </w:r>
      <w:r w:rsidRPr="00F1465D">
        <w:t>month follow-up survey, the youth will receive another reminder text about the survey.</w:t>
      </w:r>
      <w:r w:rsidR="009E5A29" w:rsidRPr="00F1465D">
        <w:t xml:space="preserve"> </w:t>
      </w:r>
      <w:r w:rsidRPr="00F1465D">
        <w:t>Three months following the training event</w:t>
      </w:r>
      <w:r w:rsidR="00A75BA8" w:rsidRPr="00F1465D">
        <w:t>,</w:t>
      </w:r>
      <w:r w:rsidRPr="00F1465D">
        <w:t xml:space="preserve"> the youth will receive a text message to the cell phone number entered on </w:t>
      </w:r>
      <w:r w:rsidR="00A75BA8" w:rsidRPr="00F1465D">
        <w:t xml:space="preserve">the </w:t>
      </w:r>
      <w:r w:rsidRPr="00F1465D">
        <w:t>consent</w:t>
      </w:r>
      <w:r w:rsidR="00A75BA8" w:rsidRPr="00F1465D">
        <w:t>-</w:t>
      </w:r>
      <w:r w:rsidRPr="00F1465D">
        <w:t>to</w:t>
      </w:r>
      <w:r w:rsidR="00A75BA8" w:rsidRPr="00F1465D">
        <w:t>-</w:t>
      </w:r>
      <w:r w:rsidRPr="00F1465D">
        <w:t xml:space="preserve">contact form. The youth will be reminded of </w:t>
      </w:r>
      <w:r w:rsidR="00A75BA8" w:rsidRPr="00F1465D">
        <w:t xml:space="preserve">the </w:t>
      </w:r>
      <w:r w:rsidRPr="00F1465D">
        <w:t xml:space="preserve">consent to participate that </w:t>
      </w:r>
      <w:r w:rsidR="00CF0B3F" w:rsidRPr="00F1465D">
        <w:t xml:space="preserve">he or she </w:t>
      </w:r>
      <w:r w:rsidRPr="00F1465D">
        <w:t xml:space="preserve">provided at the training event three months prior. </w:t>
      </w:r>
      <w:r w:rsidR="00CF0B3F" w:rsidRPr="00F1465D">
        <w:t xml:space="preserve">The youth </w:t>
      </w:r>
      <w:r w:rsidRPr="00F1465D">
        <w:t xml:space="preserve">will then receive a series of five questions via text message, and will provide response via text. At the conclusion of the survey, respondents will receive an electronic gift code via text message. </w:t>
      </w:r>
    </w:p>
    <w:p w:rsidR="002E3082" w:rsidRPr="00F1465D" w:rsidRDefault="002E3082" w:rsidP="000D02DE">
      <w:pPr>
        <w:pStyle w:val="SuicideBodyText"/>
        <w:rPr>
          <w:b/>
          <w:bCs/>
        </w:rPr>
      </w:pPr>
    </w:p>
    <w:p w:rsidR="00E65E64" w:rsidRPr="00F1465D" w:rsidRDefault="007A2223" w:rsidP="000D02DE">
      <w:pPr>
        <w:pStyle w:val="SuicideBodyText"/>
        <w:rPr>
          <w:bCs/>
        </w:rPr>
      </w:pPr>
      <w:r w:rsidRPr="00F1465D">
        <w:rPr>
          <w:b/>
          <w:bCs/>
        </w:rPr>
        <w:t>Referral Network Survey</w:t>
      </w:r>
      <w:r w:rsidR="00455A42" w:rsidRPr="00F1465D">
        <w:rPr>
          <w:b/>
          <w:bCs/>
        </w:rPr>
        <w:t xml:space="preserve"> (RNS)</w:t>
      </w:r>
      <w:r w:rsidR="00523EB9" w:rsidRPr="00F1465D">
        <w:rPr>
          <w:b/>
          <w:bCs/>
        </w:rPr>
        <w:t>.</w:t>
      </w:r>
      <w:r w:rsidR="00F55119" w:rsidRPr="00F1465D">
        <w:rPr>
          <w:bCs/>
        </w:rPr>
        <w:t xml:space="preserve"> </w:t>
      </w:r>
      <w:r w:rsidR="00E65E64" w:rsidRPr="00F1465D">
        <w:rPr>
          <w:bCs/>
        </w:rPr>
        <w:t xml:space="preserve">The </w:t>
      </w:r>
      <w:r w:rsidR="00E65E64" w:rsidRPr="00F1465D">
        <w:rPr>
          <w:b/>
          <w:bCs/>
        </w:rPr>
        <w:t>Referral Network Survey (RNS)</w:t>
      </w:r>
      <w:r w:rsidR="00E65E64" w:rsidRPr="00F1465D">
        <w:rPr>
          <w:bCs/>
        </w:rPr>
        <w:t xml:space="preserve"> will be administered once in the second year of grant funding, and again in </w:t>
      </w:r>
      <w:r w:rsidR="00CF0B3F" w:rsidRPr="00F1465D">
        <w:rPr>
          <w:bCs/>
        </w:rPr>
        <w:t>year 3</w:t>
      </w:r>
      <w:r w:rsidR="00E65E64" w:rsidRPr="00F1465D">
        <w:rPr>
          <w:bCs/>
        </w:rPr>
        <w:t xml:space="preserve"> of grant funding</w:t>
      </w:r>
      <w:r w:rsidR="00600159" w:rsidRPr="00F1465D">
        <w:rPr>
          <w:bCs/>
        </w:rPr>
        <w:t xml:space="preserve"> </w:t>
      </w:r>
      <w:r w:rsidR="00FE695F" w:rsidRPr="00F1465D">
        <w:rPr>
          <w:bCs/>
        </w:rPr>
        <w:t>to</w:t>
      </w:r>
      <w:r w:rsidR="00600159" w:rsidRPr="00F1465D">
        <w:rPr>
          <w:bCs/>
        </w:rPr>
        <w:t xml:space="preserve"> </w:t>
      </w:r>
      <w:r w:rsidR="00FE695F" w:rsidRPr="00F1465D">
        <w:rPr>
          <w:bCs/>
        </w:rPr>
        <w:t>each of the 61</w:t>
      </w:r>
      <w:r w:rsidR="00600159" w:rsidRPr="00F1465D">
        <w:rPr>
          <w:bCs/>
        </w:rPr>
        <w:t>State/Tribal grantees</w:t>
      </w:r>
      <w:r w:rsidR="00E65E64" w:rsidRPr="00F1465D">
        <w:rPr>
          <w:bCs/>
        </w:rPr>
        <w:t xml:space="preserve">. </w:t>
      </w:r>
      <w:r w:rsidR="00F55119" w:rsidRPr="00F1465D">
        <w:rPr>
          <w:bCs/>
        </w:rPr>
        <w:t xml:space="preserve">Using zip code data submitted by grantees on the </w:t>
      </w:r>
      <w:r w:rsidR="00F55119" w:rsidRPr="00F1465D">
        <w:rPr>
          <w:b/>
          <w:bCs/>
        </w:rPr>
        <w:t>Training Activity Summary Page (TASP)</w:t>
      </w:r>
      <w:r w:rsidR="00F55119" w:rsidRPr="00F1465D">
        <w:rPr>
          <w:bCs/>
        </w:rPr>
        <w:t xml:space="preserve">, cross-site evaluation staff will determine the county or region where the grantee has the greatest impact. The grantee will then be asked to </w:t>
      </w:r>
      <w:r w:rsidR="00553313" w:rsidRPr="00F1465D">
        <w:rPr>
          <w:bCs/>
        </w:rPr>
        <w:t>provide contact information for at least one and up to three organizations</w:t>
      </w:r>
      <w:r w:rsidR="00F55119" w:rsidRPr="00F1465D">
        <w:rPr>
          <w:bCs/>
        </w:rPr>
        <w:t xml:space="preserve"> in this country or region. Cross-site evaluation staff will make a preliminary phone call to ask these primary organizations for their referral network. Using snowball sampling to determine the entire referral network for the county or region, the </w:t>
      </w:r>
      <w:r w:rsidR="00F55119" w:rsidRPr="00F1465D">
        <w:rPr>
          <w:bCs/>
        </w:rPr>
        <w:lastRenderedPageBreak/>
        <w:t xml:space="preserve">cross-site evaluation staff will contact all organizations within the referral network to conduct the RNS. Snowball sampling will be repeated until saturation is reached. </w:t>
      </w:r>
    </w:p>
    <w:p w:rsidR="00E65E64" w:rsidRPr="00F1465D" w:rsidRDefault="00E65E64" w:rsidP="000D02DE">
      <w:pPr>
        <w:pStyle w:val="SuicideBodyText"/>
        <w:rPr>
          <w:b/>
          <w:bCs/>
        </w:rPr>
      </w:pPr>
    </w:p>
    <w:p w:rsidR="00F55119" w:rsidRPr="00F1465D" w:rsidRDefault="00E65E64" w:rsidP="000D02DE">
      <w:pPr>
        <w:pStyle w:val="SuicideBodyText"/>
        <w:rPr>
          <w:b/>
        </w:rPr>
      </w:pPr>
      <w:r w:rsidRPr="00F1465D">
        <w:t xml:space="preserve">If the participant agrees to participate in the survey during the initial phone calls, respondents will be asked to provide a current email address. Once the referral network has been established, respondents will be sent an online survey. This online survey will be prefilled with the entire list of the network so respondents may select which organizations are in their direct referral network. Respondents will have </w:t>
      </w:r>
      <w:r w:rsidR="00CF0B3F" w:rsidRPr="00F1465D">
        <w:t xml:space="preserve">2 </w:t>
      </w:r>
      <w:r w:rsidRPr="00F1465D">
        <w:t>weeks to complete the survey; if, they do not respond</w:t>
      </w:r>
      <w:r w:rsidR="00CF0B3F" w:rsidRPr="00F1465D">
        <w:t xml:space="preserve"> after 2 weeks</w:t>
      </w:r>
      <w:r w:rsidRPr="00F1465D">
        <w:t xml:space="preserve">, cross-site evaluation staff will </w:t>
      </w:r>
      <w:r w:rsidR="00CF0B3F" w:rsidRPr="00F1465D">
        <w:t xml:space="preserve">remind individual respondents via a phone </w:t>
      </w:r>
      <w:r w:rsidRPr="00F1465D">
        <w:t xml:space="preserve">call. Prior to the administration of the survey in year </w:t>
      </w:r>
      <w:r w:rsidR="00CF0B3F" w:rsidRPr="00F1465D">
        <w:t>3</w:t>
      </w:r>
      <w:r w:rsidRPr="00F1465D">
        <w:t xml:space="preserve">, cross-site evaluation staff will call all of the agencies that participated in the survey in year </w:t>
      </w:r>
      <w:r w:rsidR="00CF0B3F" w:rsidRPr="00F1465D">
        <w:t xml:space="preserve">1 </w:t>
      </w:r>
      <w:r w:rsidRPr="00F1465D">
        <w:t xml:space="preserve">to confirm that the contact person is still present at the agency and also to see </w:t>
      </w:r>
      <w:r w:rsidR="00CF0B3F" w:rsidRPr="00F1465D">
        <w:t xml:space="preserve">whether </w:t>
      </w:r>
      <w:r w:rsidRPr="00F1465D">
        <w:t xml:space="preserve">any new organizations have been included in their network. If applicable, these new organizations will be included in the second round of administration. The same data collection procedures will be used for the first and second administrations of the survey. </w:t>
      </w:r>
    </w:p>
    <w:p w:rsidR="00492A2C" w:rsidRPr="00F1465D" w:rsidRDefault="00492A2C" w:rsidP="000D02DE">
      <w:pPr>
        <w:pStyle w:val="SuicideBodyText"/>
        <w:rPr>
          <w:b/>
        </w:rPr>
      </w:pPr>
    </w:p>
    <w:p w:rsidR="00492A2C" w:rsidRPr="00F1465D" w:rsidRDefault="00492A2C" w:rsidP="000D02DE">
      <w:pPr>
        <w:pStyle w:val="SuicideBodyText"/>
      </w:pPr>
      <w:r w:rsidRPr="00F1465D">
        <w:rPr>
          <w:b/>
        </w:rPr>
        <w:t>Coalition Survey</w:t>
      </w:r>
      <w:r w:rsidRPr="00F1465D">
        <w:t xml:space="preserve"> </w:t>
      </w:r>
      <w:r w:rsidRPr="00F1465D">
        <w:rPr>
          <w:b/>
        </w:rPr>
        <w:t xml:space="preserve">(CS). </w:t>
      </w:r>
      <w:r w:rsidRPr="00F1465D">
        <w:t xml:space="preserve">The </w:t>
      </w:r>
      <w:r w:rsidRPr="00F1465D">
        <w:rPr>
          <w:b/>
        </w:rPr>
        <w:t>Coalition Survey (</w:t>
      </w:r>
      <w:r w:rsidR="00600159" w:rsidRPr="00F1465D">
        <w:rPr>
          <w:b/>
        </w:rPr>
        <w:t>CS)</w:t>
      </w:r>
      <w:r w:rsidR="00600159" w:rsidRPr="00F1465D">
        <w:t xml:space="preserve"> will be administered</w:t>
      </w:r>
      <w:r w:rsidR="00553313" w:rsidRPr="00F1465D">
        <w:t xml:space="preserve"> to all State/Tribal grantees that indicate participation in coalition</w:t>
      </w:r>
      <w:r w:rsidR="00CF0B3F" w:rsidRPr="00F1465D">
        <w:t>-</w:t>
      </w:r>
      <w:r w:rsidR="00553313" w:rsidRPr="00F1465D">
        <w:t>building activities in their Prevention Strategies Inventory (PSI)</w:t>
      </w:r>
      <w:r w:rsidR="00600159" w:rsidRPr="00F1465D">
        <w:t xml:space="preserve"> once in the year </w:t>
      </w:r>
      <w:r w:rsidR="00CF0B3F" w:rsidRPr="00F1465D">
        <w:t xml:space="preserve">1 </w:t>
      </w:r>
      <w:r w:rsidR="00600159" w:rsidRPr="00F1465D">
        <w:t>of the grant, and again during the year</w:t>
      </w:r>
      <w:r w:rsidR="00CF0B3F" w:rsidRPr="00F1465D">
        <w:t xml:space="preserve"> 3</w:t>
      </w:r>
      <w:r w:rsidR="00600159" w:rsidRPr="00F1465D">
        <w:t xml:space="preserve"> of grant funding. </w:t>
      </w:r>
      <w:r w:rsidR="00553313" w:rsidRPr="00F1465D">
        <w:t>Each grantee</w:t>
      </w:r>
      <w:r w:rsidR="00600159" w:rsidRPr="00F1465D">
        <w:t xml:space="preserve"> will be asked to provide the names and contact information of up to </w:t>
      </w:r>
      <w:r w:rsidR="00CF0B3F" w:rsidRPr="00F1465D">
        <w:t xml:space="preserve">10 </w:t>
      </w:r>
      <w:r w:rsidR="00600159" w:rsidRPr="00F1465D">
        <w:t xml:space="preserve">individuals identified as part of the suicide prevention coalition. These individuals will be contacted initially </w:t>
      </w:r>
      <w:r w:rsidR="00553313" w:rsidRPr="00F1465D">
        <w:t xml:space="preserve">by phone </w:t>
      </w:r>
      <w:r w:rsidR="00600159" w:rsidRPr="00F1465D">
        <w:t>by the cross-site evaluation team, and then</w:t>
      </w:r>
      <w:r w:rsidR="00553313" w:rsidRPr="00F1465D">
        <w:t xml:space="preserve"> asked for an email address. Respondents will then be</w:t>
      </w:r>
      <w:r w:rsidR="00600159" w:rsidRPr="00F1465D">
        <w:t xml:space="preserve"> sent a link to the online survey. For the second administration of the survey in year </w:t>
      </w:r>
      <w:r w:rsidR="00CF0B3F" w:rsidRPr="00F1465D">
        <w:t>3</w:t>
      </w:r>
      <w:r w:rsidR="00600159" w:rsidRPr="00F1465D">
        <w:t xml:space="preserve">, the grantee will be asked to confirm that the previous respondents are still participants in the coalition and to provide any updated contact information as necessary .The same data collection procedures will be used for the first and second administrations of the survey. </w:t>
      </w:r>
    </w:p>
    <w:p w:rsidR="00553313" w:rsidRPr="00F1465D" w:rsidRDefault="00553313" w:rsidP="000D02DE">
      <w:pPr>
        <w:pStyle w:val="SuicideBodyText"/>
      </w:pPr>
    </w:p>
    <w:p w:rsidR="00553313" w:rsidRPr="00F1465D" w:rsidRDefault="00553313" w:rsidP="000D02DE">
      <w:pPr>
        <w:pStyle w:val="SuicideBodyText"/>
      </w:pPr>
      <w:r w:rsidRPr="00F1465D">
        <w:rPr>
          <w:b/>
        </w:rPr>
        <w:t>Coalition Profile (CP).</w:t>
      </w:r>
      <w:r w:rsidRPr="00F1465D">
        <w:t xml:space="preserve">The </w:t>
      </w:r>
      <w:r w:rsidRPr="00F1465D">
        <w:rPr>
          <w:b/>
        </w:rPr>
        <w:t>Coalition Profile</w:t>
      </w:r>
      <w:r w:rsidRPr="00F1465D">
        <w:t xml:space="preserve"> will be administered once to all State/Tribal grantees who indicate their involvement with coalition</w:t>
      </w:r>
      <w:r w:rsidR="00CF0B3F" w:rsidRPr="00F1465D">
        <w:t>-</w:t>
      </w:r>
      <w:r w:rsidRPr="00F1465D">
        <w:t xml:space="preserve">building efforts in their </w:t>
      </w:r>
      <w:r w:rsidRPr="00F1465D">
        <w:rPr>
          <w:b/>
        </w:rPr>
        <w:t>Prevention Strategies Inventory (PSI)</w:t>
      </w:r>
      <w:r w:rsidRPr="00F1465D">
        <w:t xml:space="preserve">. These grantees will be contacted via email by the cross-site evaluation staff and asked to complete a short online survey about their primary coalition. </w:t>
      </w:r>
    </w:p>
    <w:p w:rsidR="00F55119" w:rsidRPr="00F1465D" w:rsidRDefault="00F55119" w:rsidP="000D02DE">
      <w:pPr>
        <w:pStyle w:val="SuicideBodyText"/>
        <w:rPr>
          <w:b/>
        </w:rPr>
      </w:pPr>
    </w:p>
    <w:p w:rsidR="00F55119" w:rsidRPr="00F1465D" w:rsidRDefault="00A32EAF" w:rsidP="000D02DE">
      <w:pPr>
        <w:pStyle w:val="SuicideBodyText"/>
      </w:pPr>
      <w:r w:rsidRPr="00F1465D">
        <w:rPr>
          <w:b/>
        </w:rPr>
        <w:t xml:space="preserve">Short Message Service Survey (SMSS). </w:t>
      </w:r>
      <w:r w:rsidR="00150BE8" w:rsidRPr="00F1465D">
        <w:t xml:space="preserve">The </w:t>
      </w:r>
      <w:r w:rsidR="00150BE8" w:rsidRPr="00F1465D">
        <w:rPr>
          <w:b/>
        </w:rPr>
        <w:t xml:space="preserve">Short Message Service Survey (SMSS) </w:t>
      </w:r>
      <w:r w:rsidR="00150BE8" w:rsidRPr="00F1465D">
        <w:t>will be administered</w:t>
      </w:r>
      <w:r w:rsidR="00FE695F" w:rsidRPr="00F1465D">
        <w:t xml:space="preserve"> </w:t>
      </w:r>
      <w:r w:rsidR="00553313" w:rsidRPr="00F1465D">
        <w:t xml:space="preserve">to </w:t>
      </w:r>
      <w:r w:rsidR="00FE695F" w:rsidRPr="00F1465D">
        <w:t>Campus grantees</w:t>
      </w:r>
      <w:r w:rsidR="00150BE8" w:rsidRPr="00F1465D">
        <w:t xml:space="preserve"> once during year</w:t>
      </w:r>
      <w:r w:rsidR="00CF0B3F" w:rsidRPr="00F1465D">
        <w:t xml:space="preserve"> 1</w:t>
      </w:r>
      <w:r w:rsidR="00150BE8" w:rsidRPr="00F1465D">
        <w:t xml:space="preserve"> of grant funding, and again in </w:t>
      </w:r>
      <w:r w:rsidR="00CF0B3F" w:rsidRPr="00F1465D">
        <w:t>year 3</w:t>
      </w:r>
      <w:r w:rsidR="00150BE8" w:rsidRPr="00F1465D">
        <w:t xml:space="preserve"> of grant funding. In each of these years, the list of </w:t>
      </w:r>
      <w:r w:rsidR="006A04CD" w:rsidRPr="00F1465D">
        <w:t xml:space="preserve">mobile </w:t>
      </w:r>
      <w:r w:rsidR="00150BE8" w:rsidRPr="00F1465D">
        <w:t xml:space="preserve">phone numbers for all students at each of the </w:t>
      </w:r>
      <w:r w:rsidR="00FE695F" w:rsidRPr="00F1465D">
        <w:t xml:space="preserve">60 </w:t>
      </w:r>
      <w:r w:rsidR="00150BE8" w:rsidRPr="00F1465D">
        <w:t xml:space="preserve">Campus grantee sites will be </w:t>
      </w:r>
      <w:r w:rsidR="00553313" w:rsidRPr="00F1465D">
        <w:t>obtained by the</w:t>
      </w:r>
      <w:r w:rsidR="00150BE8" w:rsidRPr="00F1465D">
        <w:t xml:space="preserve"> cross-site evaluation team</w:t>
      </w:r>
      <w:r w:rsidR="00553313" w:rsidRPr="00F1465D">
        <w:t xml:space="preserve"> through one of three methodologies: directly from the campus, via grantee-led intercept/recruitment, or via ICF Macro intercept/recruitment</w:t>
      </w:r>
      <w:r w:rsidR="006A04CD" w:rsidRPr="00F1465D">
        <w:t xml:space="preserve">. A random sample of mobile phone numbers will be selected to be contacted for survey participation. The target number of respondents will be 100 per campus. The list of mobile phone numbers in year </w:t>
      </w:r>
      <w:r w:rsidR="00CF0B3F" w:rsidRPr="00F1465D">
        <w:t xml:space="preserve">3 </w:t>
      </w:r>
      <w:r w:rsidR="006A04CD" w:rsidRPr="00F1465D">
        <w:t xml:space="preserve">will be compared to that of year </w:t>
      </w:r>
      <w:r w:rsidR="00CF0B3F" w:rsidRPr="00F1465D">
        <w:t xml:space="preserve">1 </w:t>
      </w:r>
      <w:r w:rsidR="006A04CD" w:rsidRPr="00F1465D">
        <w:t xml:space="preserve">to identify a stratum of mobile phone numbers present both years. Respondents from year </w:t>
      </w:r>
      <w:r w:rsidR="00CF0B3F" w:rsidRPr="00F1465D">
        <w:t xml:space="preserve">1 </w:t>
      </w:r>
      <w:r w:rsidR="006A04CD" w:rsidRPr="00F1465D">
        <w:t xml:space="preserve">will be contacted again in year </w:t>
      </w:r>
      <w:r w:rsidR="00CF0B3F" w:rsidRPr="00F1465D">
        <w:t xml:space="preserve">3 </w:t>
      </w:r>
      <w:r w:rsidR="006A04CD" w:rsidRPr="00F1465D">
        <w:t xml:space="preserve">if their mobile phone numbers are still present in </w:t>
      </w:r>
      <w:r w:rsidR="00CF0B3F" w:rsidRPr="00F1465D">
        <w:t>the list for year 3</w:t>
      </w:r>
      <w:r w:rsidR="006A04CD" w:rsidRPr="00F1465D">
        <w:t xml:space="preserve">. </w:t>
      </w:r>
    </w:p>
    <w:p w:rsidR="006A04CD" w:rsidRPr="00F1465D" w:rsidRDefault="006A04CD" w:rsidP="000D02DE">
      <w:pPr>
        <w:pStyle w:val="SuicideBodyText"/>
      </w:pPr>
    </w:p>
    <w:p w:rsidR="006A04CD" w:rsidRPr="00F1465D" w:rsidRDefault="006A04CD" w:rsidP="000D02DE">
      <w:pPr>
        <w:pStyle w:val="SuicideBodyText"/>
      </w:pPr>
      <w:r w:rsidRPr="00F1465D">
        <w:t xml:space="preserve">Each respondent will receive an initial text message asking if they want to participate in a text survey about suicide prevention. Upon responding </w:t>
      </w:r>
      <w:r w:rsidR="00CF0B3F" w:rsidRPr="00F1465D">
        <w:t>“</w:t>
      </w:r>
      <w:r w:rsidRPr="00F1465D">
        <w:t>yes,</w:t>
      </w:r>
      <w:r w:rsidR="00CF0B3F" w:rsidRPr="00F1465D">
        <w:t>”</w:t>
      </w:r>
      <w:r w:rsidRPr="00F1465D">
        <w:t xml:space="preserve"> the respondent will receive two to three text messages containing consent language, including information about the background, risks and benefits to the study,</w:t>
      </w:r>
      <w:r w:rsidR="009C27F8" w:rsidRPr="00F1465D">
        <w:t xml:space="preserve"> compensation,</w:t>
      </w:r>
      <w:r w:rsidRPr="00F1465D">
        <w:t xml:space="preserve"> as well as information to contact the National Suicide Prevention Hotline if they require help. Respondents who choose to continue after the consent process will receive </w:t>
      </w:r>
      <w:r w:rsidR="00553313" w:rsidRPr="00F1465D">
        <w:t>four</w:t>
      </w:r>
      <w:r w:rsidRPr="00F1465D">
        <w:t xml:space="preserve"> questions total with one question per text message. Each text message </w:t>
      </w:r>
      <w:r w:rsidRPr="00F1465D">
        <w:lastRenderedPageBreak/>
        <w:t xml:space="preserve">will also contain response options, including an option to skip the question. Participants will be asked to reply to the text with their response. Subsequent questions will be sent upon receipt of response to the previous question. Respondents completing the survey or opting out will receive </w:t>
      </w:r>
      <w:proofErr w:type="gramStart"/>
      <w:r w:rsidRPr="00F1465D">
        <w:t>a thank</w:t>
      </w:r>
      <w:proofErr w:type="gramEnd"/>
      <w:r w:rsidR="004D3DF9" w:rsidRPr="00F1465D">
        <w:t>-</w:t>
      </w:r>
      <w:r w:rsidRPr="00F1465D">
        <w:t xml:space="preserve"> you text with contact information for the cross-site evaluation team</w:t>
      </w:r>
      <w:r w:rsidR="00553313" w:rsidRPr="00F1465D">
        <w:t xml:space="preserve"> and a reminder of the National Suicide Prevention Hotline number. The survey will remain available for 24 hours after the first message. There is the option of resending the initial message at a later date.</w:t>
      </w:r>
    </w:p>
    <w:p w:rsidR="00D85A5A" w:rsidRPr="00F1465D" w:rsidRDefault="00D85A5A" w:rsidP="002E02E6">
      <w:pPr>
        <w:ind w:left="720"/>
        <w:rPr>
          <w:bCs/>
        </w:rPr>
      </w:pPr>
    </w:p>
    <w:p w:rsidR="00B40AC1" w:rsidRPr="00F1465D" w:rsidRDefault="00A32EAF" w:rsidP="000D02DE">
      <w:pPr>
        <w:pStyle w:val="SuicideBodyText"/>
        <w:rPr>
          <w:spacing w:val="-2"/>
        </w:rPr>
      </w:pPr>
      <w:r w:rsidRPr="00F1465D">
        <w:rPr>
          <w:b/>
          <w:spacing w:val="-2"/>
        </w:rPr>
        <w:t xml:space="preserve">Student Awareness Intercept Survey (SAIS). </w:t>
      </w:r>
      <w:r w:rsidRPr="00F1465D">
        <w:rPr>
          <w:spacing w:val="-2"/>
        </w:rPr>
        <w:t xml:space="preserve">Respondents to the </w:t>
      </w:r>
      <w:r w:rsidRPr="00F1465D">
        <w:rPr>
          <w:b/>
          <w:spacing w:val="-2"/>
        </w:rPr>
        <w:t>Student Awareness Intercept Survey (SAIS)</w:t>
      </w:r>
      <w:r w:rsidRPr="00F1465D">
        <w:rPr>
          <w:spacing w:val="-2"/>
        </w:rPr>
        <w:t xml:space="preserve"> will represent a sample of the student population at </w:t>
      </w:r>
      <w:r w:rsidR="006F60F3" w:rsidRPr="00F1465D">
        <w:rPr>
          <w:spacing w:val="-2"/>
        </w:rPr>
        <w:t xml:space="preserve">up to four selected </w:t>
      </w:r>
      <w:proofErr w:type="gramStart"/>
      <w:r w:rsidRPr="00F1465D">
        <w:rPr>
          <w:spacing w:val="-2"/>
        </w:rPr>
        <w:t>campus</w:t>
      </w:r>
      <w:r w:rsidR="003A0B11" w:rsidRPr="00F1465D">
        <w:rPr>
          <w:spacing w:val="-2"/>
        </w:rPr>
        <w:t>es</w:t>
      </w:r>
      <w:r w:rsidRPr="00F1465D">
        <w:rPr>
          <w:spacing w:val="-2"/>
        </w:rPr>
        <w:t xml:space="preserve"> .</w:t>
      </w:r>
      <w:proofErr w:type="gramEnd"/>
      <w:r w:rsidR="003A0B11" w:rsidRPr="00F1465D">
        <w:rPr>
          <w:spacing w:val="-2"/>
        </w:rPr>
        <w:t xml:space="preserve"> Campuses implementing targeted suicide prevention campaigns will be identified and selected by reviewing grant applications and through technical assistance activities. </w:t>
      </w:r>
      <w:r w:rsidRPr="00F1465D">
        <w:rPr>
          <w:spacing w:val="-2"/>
        </w:rPr>
        <w:t xml:space="preserve"> A sampling plan to obtain </w:t>
      </w:r>
      <w:r w:rsidR="007C4758" w:rsidRPr="00F1465D">
        <w:rPr>
          <w:spacing w:val="-2"/>
        </w:rPr>
        <w:t>400</w:t>
      </w:r>
      <w:r w:rsidRPr="00F1465D">
        <w:rPr>
          <w:spacing w:val="-2"/>
        </w:rPr>
        <w:t xml:space="preserve"> student respondents at </w:t>
      </w:r>
      <w:r w:rsidR="003A0B11" w:rsidRPr="00F1465D">
        <w:rPr>
          <w:spacing w:val="-2"/>
        </w:rPr>
        <w:t xml:space="preserve">up to </w:t>
      </w:r>
      <w:r w:rsidRPr="00F1465D">
        <w:rPr>
          <w:spacing w:val="-2"/>
        </w:rPr>
        <w:t xml:space="preserve">four participating campuses will be implemented by the cross-site evaluation team in conjunction with the campus project team using geographical and temporal sampling frames of student activity. Working with the campus grantee, the evaluation team will recruit respondents utilizing a systematic process that randomly selects campus locations and times. </w:t>
      </w:r>
      <w:r w:rsidR="00362DCA" w:rsidRPr="00F1465D">
        <w:rPr>
          <w:spacing w:val="-2"/>
        </w:rPr>
        <w:t>The b</w:t>
      </w:r>
      <w:r w:rsidR="00B40AC1" w:rsidRPr="00F1465D">
        <w:rPr>
          <w:spacing w:val="-2"/>
        </w:rPr>
        <w:t xml:space="preserve">aseline SAIS will be administered by ICF Macro staff onsite at participating campuses. ICF Macro will utilize screening questions to ensure participants are students of the campus prior to participation. Respondents will participate in the Web-based survey on tablets or laptop computers provided by ICF Macro staff. </w:t>
      </w:r>
    </w:p>
    <w:p w:rsidR="00553313" w:rsidRPr="00F1465D" w:rsidRDefault="00553313" w:rsidP="000D02DE">
      <w:pPr>
        <w:pStyle w:val="SuicideBodyText"/>
      </w:pPr>
    </w:p>
    <w:p w:rsidR="006A04CD" w:rsidRPr="00F1465D" w:rsidRDefault="00B40AC1" w:rsidP="000D02DE">
      <w:pPr>
        <w:pStyle w:val="SuicideBodyText"/>
      </w:pPr>
      <w:r w:rsidRPr="00F1465D">
        <w:t xml:space="preserve">After participation, respondents will be asked to provide their email address and phone number for participation in </w:t>
      </w:r>
      <w:r w:rsidR="004D3DF9" w:rsidRPr="00F1465D">
        <w:t>a 3-</w:t>
      </w:r>
      <w:r w:rsidRPr="00F1465D">
        <w:t xml:space="preserve">month follow-up survey. Participants for </w:t>
      </w:r>
      <w:r w:rsidR="004D3DF9" w:rsidRPr="00F1465D">
        <w:t>3-</w:t>
      </w:r>
      <w:r w:rsidRPr="00F1465D">
        <w:t xml:space="preserve">month follow-up SAIS implementation will be recruited via a multimode method (4 emails and a final phone call). Students who participated in the baseline SAIS will be emailed a password and </w:t>
      </w:r>
      <w:r w:rsidR="009C27F8" w:rsidRPr="00F1465D">
        <w:t>URL</w:t>
      </w:r>
      <w:r w:rsidRPr="00F1465D">
        <w:t xml:space="preserve"> to complete the follow-up survey online. </w:t>
      </w:r>
    </w:p>
    <w:p w:rsidR="00D902CE" w:rsidRPr="00F1465D" w:rsidRDefault="00D902CE" w:rsidP="000D02DE">
      <w:pPr>
        <w:pStyle w:val="SuicideBodyText"/>
      </w:pPr>
    </w:p>
    <w:p w:rsidR="00B84F42" w:rsidRPr="00F1465D" w:rsidRDefault="00910E2A" w:rsidP="000D02DE">
      <w:pPr>
        <w:pStyle w:val="SuicideBodyText"/>
      </w:pPr>
      <w:proofErr w:type="gramStart"/>
      <w:r w:rsidRPr="00F1465D">
        <w:rPr>
          <w:b/>
        </w:rPr>
        <w:t xml:space="preserve">Life </w:t>
      </w:r>
      <w:r w:rsidR="00F65A09" w:rsidRPr="00F1465D">
        <w:rPr>
          <w:b/>
        </w:rPr>
        <w:t>S</w:t>
      </w:r>
      <w:r w:rsidRPr="00F1465D">
        <w:rPr>
          <w:b/>
        </w:rPr>
        <w:t>kills Activities Follow</w:t>
      </w:r>
      <w:r w:rsidR="00AB7990" w:rsidRPr="00F1465D">
        <w:rPr>
          <w:b/>
        </w:rPr>
        <w:t>-</w:t>
      </w:r>
      <w:r w:rsidRPr="00F1465D">
        <w:rPr>
          <w:b/>
        </w:rPr>
        <w:t>up Interview (LA</w:t>
      </w:r>
      <w:r w:rsidR="003E2EF7" w:rsidRPr="00F1465D">
        <w:rPr>
          <w:b/>
        </w:rPr>
        <w:t>F</w:t>
      </w:r>
      <w:r w:rsidRPr="00F1465D">
        <w:rPr>
          <w:b/>
        </w:rPr>
        <w:t>I).</w:t>
      </w:r>
      <w:proofErr w:type="gramEnd"/>
      <w:r w:rsidRPr="00F1465D">
        <w:rPr>
          <w:b/>
        </w:rPr>
        <w:t xml:space="preserve"> </w:t>
      </w:r>
      <w:r w:rsidRPr="00F1465D">
        <w:t xml:space="preserve">The </w:t>
      </w:r>
      <w:r w:rsidRPr="00F1465D">
        <w:rPr>
          <w:b/>
        </w:rPr>
        <w:t xml:space="preserve">Life </w:t>
      </w:r>
      <w:r w:rsidR="00F65A09" w:rsidRPr="00F1465D">
        <w:rPr>
          <w:b/>
        </w:rPr>
        <w:t>S</w:t>
      </w:r>
      <w:r w:rsidRPr="00F1465D">
        <w:rPr>
          <w:b/>
        </w:rPr>
        <w:t>kills Activities Follow</w:t>
      </w:r>
      <w:r w:rsidR="004D3DF9" w:rsidRPr="00F1465D">
        <w:rPr>
          <w:b/>
        </w:rPr>
        <w:t>-</w:t>
      </w:r>
      <w:r w:rsidRPr="00F1465D">
        <w:rPr>
          <w:b/>
        </w:rPr>
        <w:t>up Interview (LA</w:t>
      </w:r>
      <w:r w:rsidR="003E2EF7" w:rsidRPr="00F1465D">
        <w:rPr>
          <w:b/>
        </w:rPr>
        <w:t>F</w:t>
      </w:r>
      <w:r w:rsidRPr="00F1465D">
        <w:rPr>
          <w:b/>
        </w:rPr>
        <w:t>I)</w:t>
      </w:r>
      <w:r w:rsidRPr="00F1465D">
        <w:t xml:space="preserve"> will be administered to respondents from Campus grantee sites </w:t>
      </w:r>
      <w:r w:rsidR="004D3DF9" w:rsidRPr="00F1465D">
        <w:t xml:space="preserve">3 </w:t>
      </w:r>
      <w:r w:rsidRPr="00F1465D">
        <w:t>months following their participation in life skills and wellness training activities specifically for students on campus. The cross-site evaluation team</w:t>
      </w:r>
      <w:r w:rsidR="004D3DF9" w:rsidRPr="00F1465D">
        <w:t>,</w:t>
      </w:r>
      <w:r w:rsidRPr="00F1465D">
        <w:t xml:space="preserve"> in consultation with local program staff</w:t>
      </w:r>
      <w:r w:rsidR="004D3DF9" w:rsidRPr="00F1465D">
        <w:t>,</w:t>
      </w:r>
      <w:r w:rsidRPr="00F1465D">
        <w:t xml:space="preserve"> will select five particular training activities per year for which to administer the LA</w:t>
      </w:r>
      <w:r w:rsidR="003E2EF7" w:rsidRPr="00F1465D">
        <w:t>F</w:t>
      </w:r>
      <w:r w:rsidRPr="00F1465D">
        <w:t>I. Trainees will be asked to complete a consent</w:t>
      </w:r>
      <w:r w:rsidR="004D3DF9" w:rsidRPr="00F1465D">
        <w:t>-</w:t>
      </w:r>
      <w:r w:rsidRPr="00F1465D">
        <w:t>to</w:t>
      </w:r>
      <w:r w:rsidR="004D3DF9" w:rsidRPr="00F1465D">
        <w:t>-</w:t>
      </w:r>
      <w:r w:rsidRPr="00F1465D">
        <w:t xml:space="preserve">contact form indicating their willingness to be contacted to participate in the </w:t>
      </w:r>
      <w:r w:rsidR="003E2EF7" w:rsidRPr="00F1465D">
        <w:t xml:space="preserve">LAFI </w:t>
      </w:r>
      <w:r w:rsidRPr="00F1465D">
        <w:t xml:space="preserve">and return the form to local program staff. Key informants for the </w:t>
      </w:r>
      <w:r w:rsidR="003E2EF7" w:rsidRPr="00F1465D">
        <w:t xml:space="preserve">LAFI </w:t>
      </w:r>
      <w:r w:rsidRPr="00F1465D">
        <w:t>will be randomly selected from those individuals who consent to be contacted by the cross-site evaluation team. Local program staff will forward the contact consent forms to the cross-site evaluation team. Up to seven respondents from each of the five selected trainings will be randomly selected from among the potential respondents based on consent</w:t>
      </w:r>
      <w:r w:rsidR="004D3DF9" w:rsidRPr="00F1465D">
        <w:t>-</w:t>
      </w:r>
      <w:r w:rsidRPr="00F1465D">
        <w:t>to</w:t>
      </w:r>
      <w:r w:rsidR="004D3DF9" w:rsidRPr="00F1465D">
        <w:t>-</w:t>
      </w:r>
      <w:r w:rsidRPr="00F1465D">
        <w:t xml:space="preserve">contact information, for a total of up to 35 respondents per year. Interviews will be conducted within 3 months of completion of the training activity. The cross-site evaluation team will contact each identified key informant via telephone within </w:t>
      </w:r>
      <w:r w:rsidR="004D3DF9" w:rsidRPr="00F1465D">
        <w:t xml:space="preserve">3 </w:t>
      </w:r>
      <w:r w:rsidRPr="00F1465D">
        <w:t xml:space="preserve">months of the training to introduce the study, request participation, and to schedule an appointment for administering the interview. </w:t>
      </w:r>
      <w:r w:rsidR="004D3DF9" w:rsidRPr="00F1465D">
        <w:t xml:space="preserve">Prior to administration of the </w:t>
      </w:r>
      <w:r w:rsidR="003E2EF7" w:rsidRPr="00F1465D">
        <w:t>LAFI</w:t>
      </w:r>
      <w:r w:rsidR="004D3DF9" w:rsidRPr="00F1465D">
        <w:t>, e</w:t>
      </w:r>
      <w:r w:rsidR="00845E09" w:rsidRPr="00F1465D">
        <w:t>ach respondent will provide verbal consent.</w:t>
      </w:r>
      <w:r w:rsidR="004D3DF9" w:rsidRPr="00F1465D">
        <w:t xml:space="preserve"> </w:t>
      </w:r>
      <w:r w:rsidRPr="00F1465D">
        <w:t xml:space="preserve">The interviews consist of a series of open-ended questions. Participants will be contacted via telephone and asked the questions in the </w:t>
      </w:r>
      <w:r w:rsidR="003E2EF7" w:rsidRPr="00F1465D">
        <w:t xml:space="preserve">LAFI </w:t>
      </w:r>
      <w:r w:rsidRPr="00F1465D">
        <w:t>guide. Interviews will be audio recorded with the respondents’ permission and transcribed for analysis</w:t>
      </w:r>
      <w:r w:rsidR="00B461A0" w:rsidRPr="00F1465D">
        <w:t>.</w:t>
      </w:r>
    </w:p>
    <w:p w:rsidR="00B461A0" w:rsidRPr="00F1465D" w:rsidRDefault="00B461A0" w:rsidP="000D02DE"/>
    <w:p w:rsidR="007A2223" w:rsidRPr="00F1465D" w:rsidRDefault="007A2223" w:rsidP="000D02DE">
      <w:pPr>
        <w:pStyle w:val="SuicideHead2"/>
      </w:pPr>
      <w:bookmarkStart w:id="6" w:name="_Toc348703729"/>
      <w:bookmarkStart w:id="7" w:name="_Toc128970987"/>
      <w:r w:rsidRPr="00F1465D">
        <w:lastRenderedPageBreak/>
        <w:t>3.</w:t>
      </w:r>
      <w:r w:rsidRPr="00F1465D">
        <w:tab/>
        <w:t>Methods to Maximize Response Rates</w:t>
      </w:r>
      <w:bookmarkEnd w:id="6"/>
      <w:r w:rsidRPr="00F1465D">
        <w:t xml:space="preserve"> </w:t>
      </w:r>
      <w:bookmarkEnd w:id="7"/>
    </w:p>
    <w:p w:rsidR="007A2223" w:rsidRPr="00F1465D" w:rsidRDefault="007A2223" w:rsidP="000D02DE">
      <w:pPr>
        <w:pStyle w:val="SuicideBodyText"/>
      </w:pPr>
      <w:r w:rsidRPr="00F1465D">
        <w:t xml:space="preserve">Participation in the cross-site evaluation is a requirement of the </w:t>
      </w:r>
      <w:r w:rsidR="002E1A2E" w:rsidRPr="00F1465D">
        <w:t>GLS</w:t>
      </w:r>
      <w:r w:rsidRPr="00F1465D">
        <w:t xml:space="preserve"> Suicide Prevention Program. Therefore, completion of the </w:t>
      </w:r>
      <w:r w:rsidR="00B84F42" w:rsidRPr="00F1465D">
        <w:t>Prevention Strategies</w:t>
      </w:r>
      <w:r w:rsidRPr="00F1465D">
        <w:t xml:space="preserve"> Inventory by program staff will be a requirement</w:t>
      </w:r>
      <w:r w:rsidR="00523EB9" w:rsidRPr="00F1465D">
        <w:t xml:space="preserve">. </w:t>
      </w:r>
      <w:r w:rsidRPr="00F1465D">
        <w:t>However, the cross-site evaluation team has taken a number of steps to minimize the burden on local programs to ensure that completion is timely</w:t>
      </w:r>
      <w:r w:rsidR="00523EB9" w:rsidRPr="00F1465D">
        <w:t xml:space="preserve">. </w:t>
      </w:r>
      <w:r w:rsidRPr="00F1465D">
        <w:t xml:space="preserve">These steps include developing a </w:t>
      </w:r>
      <w:r w:rsidR="004D3DF9" w:rsidRPr="00F1465D">
        <w:t>Web</w:t>
      </w:r>
      <w:r w:rsidRPr="00F1465D">
        <w:t xml:space="preserve">-based data collection system, and providing training and </w:t>
      </w:r>
      <w:r w:rsidR="00D54BC8" w:rsidRPr="00F1465D">
        <w:t>TA</w:t>
      </w:r>
      <w:r w:rsidRPr="00F1465D">
        <w:t xml:space="preserve"> to each grantee</w:t>
      </w:r>
      <w:r w:rsidR="00523EB9" w:rsidRPr="00F1465D">
        <w:t>.</w:t>
      </w:r>
      <w:r w:rsidR="009E5A29" w:rsidRPr="00F1465D">
        <w:t xml:space="preserve">  </w:t>
      </w:r>
      <w:r w:rsidRPr="00F1465D">
        <w:t xml:space="preserve"> </w:t>
      </w:r>
    </w:p>
    <w:p w:rsidR="007A2223" w:rsidRPr="00F1465D" w:rsidRDefault="007A2223" w:rsidP="000D02DE">
      <w:pPr>
        <w:pStyle w:val="SuicideBodyText"/>
      </w:pPr>
    </w:p>
    <w:p w:rsidR="007A2223" w:rsidRPr="00F1465D" w:rsidRDefault="007A2223" w:rsidP="000D02DE">
      <w:pPr>
        <w:pStyle w:val="SuicideBodyText"/>
      </w:pPr>
      <w:r w:rsidRPr="00F1465D">
        <w:t xml:space="preserve">The cross-site evaluation team also will provide </w:t>
      </w:r>
      <w:r w:rsidR="004D3DF9" w:rsidRPr="00F1465D">
        <w:t>TA</w:t>
      </w:r>
      <w:r w:rsidRPr="00F1465D">
        <w:t xml:space="preserve"> and training to all grantee sites to maximize response rates for the other data collection activities</w:t>
      </w:r>
      <w:r w:rsidR="00523EB9" w:rsidRPr="00F1465D">
        <w:t xml:space="preserve">. </w:t>
      </w:r>
      <w:r w:rsidRPr="00F1465D">
        <w:t xml:space="preserve">This will be done by providing </w:t>
      </w:r>
      <w:r w:rsidR="004D3DF9" w:rsidRPr="00F1465D">
        <w:t xml:space="preserve">Web </w:t>
      </w:r>
      <w:r w:rsidRPr="00F1465D">
        <w:t xml:space="preserve">cast trainings, distributing data collection procedures manuals, conducting onsite training visits for the State/Tribal grantees, and providing ongoing one-on-one contact with each grantee through a </w:t>
      </w:r>
      <w:r w:rsidR="007E23DD" w:rsidRPr="00F1465D">
        <w:t>TA</w:t>
      </w:r>
      <w:r w:rsidRPr="00F1465D">
        <w:t xml:space="preserve"> liaison</w:t>
      </w:r>
      <w:r w:rsidR="00523EB9" w:rsidRPr="00F1465D">
        <w:t xml:space="preserve">. </w:t>
      </w:r>
    </w:p>
    <w:p w:rsidR="002C5A65" w:rsidRPr="00F1465D" w:rsidRDefault="002C5A65" w:rsidP="000D02DE">
      <w:pPr>
        <w:pStyle w:val="SuicideBodyText"/>
      </w:pPr>
    </w:p>
    <w:p w:rsidR="008F1D44" w:rsidRPr="00F1465D" w:rsidRDefault="008F1D44" w:rsidP="000D02DE">
      <w:pPr>
        <w:pStyle w:val="SuicideBodyText"/>
      </w:pPr>
      <w:r w:rsidRPr="00F1465D">
        <w:t xml:space="preserve">Methods that will be used to maximize response rates for the </w:t>
      </w:r>
      <w:r w:rsidRPr="00F1465D">
        <w:rPr>
          <w:b/>
        </w:rPr>
        <w:t>Referral Network Survey</w:t>
      </w:r>
      <w:r w:rsidRPr="00F1465D">
        <w:t xml:space="preserve"> and the </w:t>
      </w:r>
      <w:r w:rsidRPr="00F1465D">
        <w:rPr>
          <w:b/>
        </w:rPr>
        <w:t>Coalition Survey</w:t>
      </w:r>
      <w:r w:rsidRPr="00F1465D">
        <w:t xml:space="preserve"> include utilizing a Web-based data collection system for administration of the instrument, and providing training and </w:t>
      </w:r>
      <w:r w:rsidR="004D3DF9" w:rsidRPr="00F1465D">
        <w:t>TA</w:t>
      </w:r>
      <w:r w:rsidRPr="00F1465D">
        <w:t xml:space="preserve"> for completing the survey. Local program staff will also be utilized to obtain contact information for respondents, and respondents will be contacted via telephone to remind them to complete the Web-based survey. </w:t>
      </w:r>
    </w:p>
    <w:p w:rsidR="008F1D44" w:rsidRPr="00F1465D" w:rsidRDefault="008F1D44" w:rsidP="000D02DE">
      <w:pPr>
        <w:pStyle w:val="SuicideBodyText"/>
      </w:pPr>
    </w:p>
    <w:p w:rsidR="008F1D44" w:rsidRPr="00F1465D" w:rsidRDefault="001A47B6" w:rsidP="000D02DE">
      <w:pPr>
        <w:pStyle w:val="SuicideBodyText"/>
      </w:pPr>
      <w:r w:rsidRPr="00F1465D">
        <w:t xml:space="preserve">To increase response rates to the </w:t>
      </w:r>
      <w:r w:rsidRPr="00F1465D">
        <w:rPr>
          <w:b/>
        </w:rPr>
        <w:t>Student Awareness Intercept Survey (SAIS)</w:t>
      </w:r>
      <w:r w:rsidRPr="00F1465D">
        <w:t xml:space="preserve">, the </w:t>
      </w:r>
      <w:r w:rsidR="0088416B" w:rsidRPr="00F1465D">
        <w:t xml:space="preserve">baseline version of the </w:t>
      </w:r>
      <w:r w:rsidRPr="00F1465D">
        <w:t xml:space="preserve">survey will be administered onsite at </w:t>
      </w:r>
      <w:r w:rsidR="003A0B11" w:rsidRPr="00F1465D">
        <w:t>up to</w:t>
      </w:r>
      <w:r w:rsidRPr="00F1465D">
        <w:t xml:space="preserve"> four campuses by cross-site evaluation staff. A Web-based version of the survey will also be utilized for easy implementation. Based on our experience implementing a similar survey with students, </w:t>
      </w:r>
      <w:r w:rsidRPr="00F1465D">
        <w:rPr>
          <w:bCs/>
        </w:rPr>
        <w:t xml:space="preserve">participants for the </w:t>
      </w:r>
      <w:r w:rsidR="004D3DF9" w:rsidRPr="00F1465D">
        <w:rPr>
          <w:bCs/>
        </w:rPr>
        <w:t>3-</w:t>
      </w:r>
      <w:r w:rsidRPr="00F1465D">
        <w:rPr>
          <w:bCs/>
        </w:rPr>
        <w:t>month follow-up SAIS implementation will be recruited and reminded of the survey via a multimode method (4 emails and a final phone call).</w:t>
      </w:r>
      <w:r w:rsidRPr="00F1465D">
        <w:t xml:space="preserve"> Response rates to the </w:t>
      </w:r>
      <w:r w:rsidRPr="00F1465D">
        <w:rPr>
          <w:b/>
        </w:rPr>
        <w:t>Short Message Service Survey</w:t>
      </w:r>
      <w:r w:rsidRPr="00F1465D">
        <w:t xml:space="preserve"> will be augmented by conducting the survey via text message, allowing students to complete the survey at a time convenient for them and via technology with which they are familiar. </w:t>
      </w:r>
      <w:r w:rsidR="00784182" w:rsidRPr="00F1465D">
        <w:t>The</w:t>
      </w:r>
      <w:r w:rsidR="00B0192D" w:rsidRPr="00F1465D">
        <w:t xml:space="preserve"> </w:t>
      </w:r>
      <w:r w:rsidR="00B0192D" w:rsidRPr="00F1465D">
        <w:rPr>
          <w:b/>
        </w:rPr>
        <w:t>Short Message Survey</w:t>
      </w:r>
      <w:r w:rsidR="00B0192D" w:rsidRPr="00F1465D">
        <w:t xml:space="preserve">, which replaces the Suicide Prevention, Exposure, Awareness and Knowledge Survey, </w:t>
      </w:r>
      <w:r w:rsidR="00784182" w:rsidRPr="00F1465D">
        <w:t>has a</w:t>
      </w:r>
      <w:r w:rsidR="00B0192D" w:rsidRPr="00F1465D">
        <w:t xml:space="preserve"> significant reduc</w:t>
      </w:r>
      <w:r w:rsidR="00784182" w:rsidRPr="00F1465D">
        <w:t>tion in</w:t>
      </w:r>
      <w:r w:rsidR="00B0192D" w:rsidRPr="00F1465D">
        <w:t xml:space="preserve"> the number of questions</w:t>
      </w:r>
      <w:r w:rsidR="00784182" w:rsidRPr="00F1465D">
        <w:t xml:space="preserve"> </w:t>
      </w:r>
      <w:r w:rsidR="00B0192D" w:rsidRPr="00F1465D">
        <w:t>in an effort to increase response rates.</w:t>
      </w:r>
    </w:p>
    <w:p w:rsidR="008F1D44" w:rsidRPr="00F1465D" w:rsidRDefault="008F1D44" w:rsidP="002E02E6">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A2223" w:rsidRPr="00F1465D" w:rsidRDefault="007A2223" w:rsidP="000D02DE">
      <w:pPr>
        <w:pStyle w:val="SuicideBodyText"/>
      </w:pPr>
      <w:r w:rsidRPr="00F1465D">
        <w:t xml:space="preserve">Methods that will be used to maximize response rates for the qualitative interviews (i.e., the </w:t>
      </w:r>
      <w:r w:rsidRPr="00F1465D">
        <w:rPr>
          <w:b/>
        </w:rPr>
        <w:t>T</w:t>
      </w:r>
      <w:r w:rsidR="00B84F42" w:rsidRPr="00F1465D">
        <w:rPr>
          <w:b/>
        </w:rPr>
        <w:t xml:space="preserve">raining </w:t>
      </w:r>
      <w:r w:rsidRPr="00F1465D">
        <w:rPr>
          <w:b/>
        </w:rPr>
        <w:t>U</w:t>
      </w:r>
      <w:r w:rsidR="00B84F42" w:rsidRPr="00F1465D">
        <w:rPr>
          <w:b/>
        </w:rPr>
        <w:t xml:space="preserve">tilization </w:t>
      </w:r>
      <w:r w:rsidRPr="00F1465D">
        <w:rPr>
          <w:b/>
        </w:rPr>
        <w:t>P</w:t>
      </w:r>
      <w:r w:rsidR="00B84F42" w:rsidRPr="00F1465D">
        <w:rPr>
          <w:b/>
        </w:rPr>
        <w:t xml:space="preserve">reservation </w:t>
      </w:r>
      <w:r w:rsidR="000054F2" w:rsidRPr="00F1465D">
        <w:rPr>
          <w:b/>
        </w:rPr>
        <w:t>Surveys: State/Tribal, Campus</w:t>
      </w:r>
      <w:r w:rsidR="000054F2" w:rsidRPr="00F1465D">
        <w:t xml:space="preserve"> and </w:t>
      </w:r>
      <w:r w:rsidR="000054F2" w:rsidRPr="00F1465D">
        <w:rPr>
          <w:b/>
        </w:rPr>
        <w:t>Adolescent Versions</w:t>
      </w:r>
      <w:r w:rsidR="000054F2" w:rsidRPr="00F1465D">
        <w:t xml:space="preserve"> </w:t>
      </w:r>
      <w:r w:rsidRPr="00F1465D">
        <w:t xml:space="preserve">and </w:t>
      </w:r>
      <w:r w:rsidR="000054F2" w:rsidRPr="00F1465D">
        <w:rPr>
          <w:b/>
        </w:rPr>
        <w:t xml:space="preserve">Life </w:t>
      </w:r>
      <w:r w:rsidR="00F65A09" w:rsidRPr="00F1465D">
        <w:rPr>
          <w:b/>
        </w:rPr>
        <w:t>S</w:t>
      </w:r>
      <w:r w:rsidR="000054F2" w:rsidRPr="00F1465D">
        <w:rPr>
          <w:b/>
        </w:rPr>
        <w:t>kills Activity Follow</w:t>
      </w:r>
      <w:r w:rsidR="00DE5BF1" w:rsidRPr="00F1465D">
        <w:rPr>
          <w:b/>
        </w:rPr>
        <w:t>-u</w:t>
      </w:r>
      <w:r w:rsidR="000054F2" w:rsidRPr="00F1465D">
        <w:rPr>
          <w:b/>
        </w:rPr>
        <w:t>p Interviews</w:t>
      </w:r>
      <w:r w:rsidRPr="00F1465D">
        <w:t>) include obtaining buy-in from key program stakeholders, providing flexibility in scheduling, and conducting follow-up phone calls and emails to nonresponders. In addition, local program staff will be utilized to obtain contact information for respondents, which will result in more accurate information, thus increasing response rates</w:t>
      </w:r>
      <w:r w:rsidR="00523EB9" w:rsidRPr="00F1465D">
        <w:t xml:space="preserve">. </w:t>
      </w:r>
      <w:r w:rsidRPr="00F1465D">
        <w:t>If any identified respondents for the qualitative interviews are nonresponsive, the cross-site evaluation team will request that local program staff identify replacement respondents</w:t>
      </w:r>
      <w:r w:rsidR="00523EB9" w:rsidRPr="00F1465D">
        <w:t>.</w:t>
      </w:r>
      <w:r w:rsidR="009E5A29" w:rsidRPr="00F1465D">
        <w:t xml:space="preserve"> </w:t>
      </w:r>
      <w:r w:rsidRPr="00F1465D">
        <w:t xml:space="preserve"> </w:t>
      </w:r>
    </w:p>
    <w:p w:rsidR="007A2223" w:rsidRPr="00F1465D" w:rsidRDefault="007A2223" w:rsidP="002E02E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4C0F" w:rsidRPr="00F1465D" w:rsidRDefault="00BC4C0F" w:rsidP="00BC4C0F">
      <w:pPr>
        <w:widowControl/>
        <w:autoSpaceDE/>
        <w:autoSpaceDN/>
        <w:adjustRightInd/>
        <w:rPr>
          <w:b/>
          <w:i/>
          <w:sz w:val="22"/>
          <w:szCs w:val="22"/>
        </w:rPr>
      </w:pPr>
      <w:bookmarkStart w:id="8" w:name="_Toc348703730"/>
      <w:bookmarkStart w:id="9" w:name="_Toc128970988"/>
      <w:r w:rsidRPr="00F1465D">
        <w:t xml:space="preserve">Table </w:t>
      </w:r>
      <w:r w:rsidR="00D74D9E" w:rsidRPr="00F1465D">
        <w:t>12</w:t>
      </w:r>
      <w:r w:rsidRPr="00F1465D">
        <w:t xml:space="preserve"> </w:t>
      </w:r>
      <w:r w:rsidRPr="00F1465D">
        <w:rPr>
          <w:sz w:val="22"/>
          <w:szCs w:val="22"/>
        </w:rPr>
        <w:t xml:space="preserve">provides details on the response rate and psychometric analyses for the instruments that have been collected to date and their relevance to the revisions to the new protocols. </w:t>
      </w:r>
    </w:p>
    <w:p w:rsidR="00BC4C0F" w:rsidRPr="00F1465D" w:rsidRDefault="00BC4C0F" w:rsidP="00BC4C0F">
      <w:pPr>
        <w:widowControl/>
        <w:tabs>
          <w:tab w:val="left" w:pos="-1440"/>
        </w:tabs>
      </w:pPr>
    </w:p>
    <w:p w:rsidR="001B55B0" w:rsidRPr="00F1465D" w:rsidRDefault="001B55B0" w:rsidP="00BC4C0F">
      <w:pPr>
        <w:widowControl/>
        <w:tabs>
          <w:tab w:val="left" w:pos="-1440"/>
        </w:tabs>
      </w:pPr>
    </w:p>
    <w:p w:rsidR="001B55B0" w:rsidRPr="00F1465D" w:rsidRDefault="001B55B0" w:rsidP="00BC4C0F">
      <w:pPr>
        <w:widowControl/>
        <w:tabs>
          <w:tab w:val="left" w:pos="-1440"/>
        </w:tabs>
      </w:pPr>
    </w:p>
    <w:p w:rsidR="001B55B0" w:rsidRPr="00F1465D" w:rsidRDefault="001B55B0" w:rsidP="00BC4C0F">
      <w:pPr>
        <w:widowControl/>
        <w:tabs>
          <w:tab w:val="left" w:pos="-1440"/>
        </w:tabs>
      </w:pPr>
    </w:p>
    <w:p w:rsidR="001B55B0" w:rsidRPr="00F1465D" w:rsidRDefault="001B55B0" w:rsidP="00BC4C0F">
      <w:pPr>
        <w:widowControl/>
        <w:tabs>
          <w:tab w:val="left" w:pos="-1440"/>
        </w:tabs>
      </w:pPr>
    </w:p>
    <w:p w:rsidR="00BC4C0F" w:rsidRPr="00F1465D" w:rsidRDefault="00BC4C0F" w:rsidP="00BC4C0F">
      <w:pPr>
        <w:ind w:left="-450" w:firstLine="90"/>
        <w:jc w:val="center"/>
        <w:rPr>
          <w:b/>
          <w:i/>
          <w:sz w:val="20"/>
          <w:szCs w:val="20"/>
        </w:rPr>
      </w:pPr>
      <w:proofErr w:type="gramStart"/>
      <w:r w:rsidRPr="00F1465D">
        <w:rPr>
          <w:rFonts w:ascii="Arial" w:hAnsi="Arial" w:cs="Arial"/>
          <w:b/>
          <w:sz w:val="20"/>
          <w:szCs w:val="20"/>
        </w:rPr>
        <w:lastRenderedPageBreak/>
        <w:t xml:space="preserve">Table </w:t>
      </w:r>
      <w:r w:rsidR="001B55B0" w:rsidRPr="00F1465D">
        <w:rPr>
          <w:rFonts w:ascii="Arial" w:hAnsi="Arial" w:cs="Arial"/>
          <w:b/>
          <w:sz w:val="20"/>
          <w:szCs w:val="20"/>
        </w:rPr>
        <w:t>13</w:t>
      </w:r>
      <w:r w:rsidRPr="00F1465D">
        <w:rPr>
          <w:rFonts w:ascii="Arial" w:hAnsi="Arial" w:cs="Arial"/>
          <w:b/>
          <w:sz w:val="20"/>
          <w:szCs w:val="20"/>
        </w:rPr>
        <w:t>.</w:t>
      </w:r>
      <w:proofErr w:type="gramEnd"/>
      <w:r w:rsidRPr="00F1465D">
        <w:rPr>
          <w:rFonts w:ascii="Arial" w:hAnsi="Arial" w:cs="Arial"/>
          <w:b/>
          <w:sz w:val="20"/>
          <w:szCs w:val="20"/>
        </w:rPr>
        <w:t xml:space="preserve"> Previously Implemented Instruments and Revisions</w:t>
      </w:r>
    </w:p>
    <w:tbl>
      <w:tblPr>
        <w:tblStyle w:val="TableGrid"/>
        <w:tblW w:w="8820" w:type="dxa"/>
        <w:jc w:val="center"/>
        <w:tblInd w:w="-724" w:type="dxa"/>
        <w:tblLayout w:type="fixed"/>
        <w:tblCellMar>
          <w:top w:w="43" w:type="dxa"/>
          <w:left w:w="86" w:type="dxa"/>
          <w:bottom w:w="14" w:type="dxa"/>
          <w:right w:w="86" w:type="dxa"/>
        </w:tblCellMar>
        <w:tblLook w:val="04A0"/>
      </w:tblPr>
      <w:tblGrid>
        <w:gridCol w:w="1350"/>
        <w:gridCol w:w="900"/>
        <w:gridCol w:w="1170"/>
        <w:gridCol w:w="2970"/>
        <w:gridCol w:w="2430"/>
      </w:tblGrid>
      <w:tr w:rsidR="00BC4C0F" w:rsidRPr="00F1465D" w:rsidTr="00BC4C0F">
        <w:trPr>
          <w:cantSplit/>
          <w:trHeight w:val="424"/>
          <w:tblHeader/>
          <w:jc w:val="center"/>
        </w:trPr>
        <w:tc>
          <w:tcPr>
            <w:tcW w:w="1350" w:type="dxa"/>
            <w:shd w:val="clear" w:color="auto" w:fill="000000" w:themeFill="text1"/>
          </w:tcPr>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Instrument</w:t>
            </w:r>
          </w:p>
        </w:tc>
        <w:tc>
          <w:tcPr>
            <w:tcW w:w="900" w:type="dxa"/>
            <w:shd w:val="clear" w:color="auto" w:fill="000000" w:themeFill="text1"/>
          </w:tcPr>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Grantee Program</w:t>
            </w:r>
          </w:p>
        </w:tc>
        <w:tc>
          <w:tcPr>
            <w:tcW w:w="1170" w:type="dxa"/>
            <w:shd w:val="clear" w:color="auto" w:fill="000000" w:themeFill="text1"/>
          </w:tcPr>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 xml:space="preserve">Newly Proposed </w:t>
            </w:r>
          </w:p>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Instrument?</w:t>
            </w:r>
          </w:p>
        </w:tc>
        <w:tc>
          <w:tcPr>
            <w:tcW w:w="2970" w:type="dxa"/>
            <w:shd w:val="clear" w:color="auto" w:fill="000000" w:themeFill="text1"/>
          </w:tcPr>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Response Rate &amp;</w:t>
            </w:r>
          </w:p>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Psychometric Analyses Information</w:t>
            </w:r>
            <w:r w:rsidRPr="00F1465D">
              <w:rPr>
                <w:rStyle w:val="FootnoteReference"/>
                <w:rFonts w:cs="Arial"/>
                <w:b/>
                <w:color w:val="FFFFFF" w:themeColor="background1"/>
                <w:sz w:val="16"/>
                <w:szCs w:val="16"/>
              </w:rPr>
              <w:footnoteReference w:id="3"/>
            </w:r>
            <w:r w:rsidRPr="00F1465D">
              <w:rPr>
                <w:rFonts w:cs="Arial"/>
                <w:b/>
                <w:color w:val="FFFFFF" w:themeColor="background1"/>
                <w:sz w:val="16"/>
                <w:szCs w:val="16"/>
              </w:rPr>
              <w:t xml:space="preserve"> </w:t>
            </w:r>
          </w:p>
        </w:tc>
        <w:tc>
          <w:tcPr>
            <w:tcW w:w="2430" w:type="dxa"/>
            <w:shd w:val="clear" w:color="auto" w:fill="000000" w:themeFill="text1"/>
          </w:tcPr>
          <w:p w:rsidR="00BC4C0F" w:rsidRPr="00F1465D" w:rsidRDefault="00BC4C0F" w:rsidP="00BC4C0F">
            <w:pPr>
              <w:jc w:val="center"/>
              <w:rPr>
                <w:rFonts w:cs="Arial"/>
                <w:b/>
                <w:color w:val="FFFFFF" w:themeColor="background1"/>
                <w:sz w:val="16"/>
                <w:szCs w:val="16"/>
              </w:rPr>
            </w:pPr>
            <w:r w:rsidRPr="00F1465D">
              <w:rPr>
                <w:rFonts w:cs="Arial"/>
                <w:b/>
                <w:color w:val="FFFFFF" w:themeColor="background1"/>
                <w:sz w:val="16"/>
                <w:szCs w:val="16"/>
              </w:rPr>
              <w:t xml:space="preserve">Revisions to  Proposed Protocol </w:t>
            </w:r>
            <w:r w:rsidR="00DF0C86" w:rsidRPr="00F1465D">
              <w:rPr>
                <w:rStyle w:val="FootnoteReference"/>
                <w:rFonts w:cs="Arial"/>
                <w:b/>
                <w:color w:val="FFFFFF" w:themeColor="background1"/>
                <w:sz w:val="16"/>
                <w:szCs w:val="16"/>
              </w:rPr>
              <w:footnoteReference w:id="4"/>
            </w:r>
          </w:p>
        </w:tc>
      </w:tr>
      <w:tr w:rsidR="00BC4C0F" w:rsidRPr="00F1465D" w:rsidTr="00BC4C0F">
        <w:trPr>
          <w:cantSplit/>
          <w:trHeight w:val="1174"/>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rPr>
                <w:rFonts w:ascii="Arial" w:hAnsi="Arial" w:cs="Arial"/>
                <w:b/>
                <w:sz w:val="16"/>
                <w:szCs w:val="16"/>
              </w:rPr>
            </w:pPr>
            <w:r w:rsidRPr="00F1465D">
              <w:rPr>
                <w:rFonts w:ascii="Arial" w:hAnsi="Arial" w:cs="Arial"/>
                <w:b/>
                <w:sz w:val="16"/>
                <w:szCs w:val="16"/>
              </w:rPr>
              <w:t>Prevention Strategies Inventory (PSI)</w:t>
            </w:r>
          </w:p>
          <w:p w:rsidR="00BC4C0F" w:rsidRPr="00F1465D" w:rsidRDefault="00BC4C0F" w:rsidP="00BC4C0F">
            <w:pPr>
              <w:rPr>
                <w:rFonts w:ascii="Arial" w:hAnsi="Arial" w:cs="Arial"/>
                <w:b/>
                <w:sz w:val="16"/>
                <w:szCs w:val="16"/>
              </w:rPr>
            </w:pP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Campus &amp; State/</w:t>
            </w:r>
          </w:p>
          <w:p w:rsidR="00BC4C0F" w:rsidRPr="00F1465D" w:rsidRDefault="00BC4C0F" w:rsidP="00BC4C0F">
            <w:pPr>
              <w:jc w:val="center"/>
              <w:rPr>
                <w:rFonts w:ascii="Arial" w:hAnsi="Arial" w:cs="Arial"/>
                <w:sz w:val="16"/>
                <w:szCs w:val="16"/>
              </w:rPr>
            </w:pPr>
            <w:r w:rsidRPr="00F1465D">
              <w:rPr>
                <w:rFonts w:ascii="Arial" w:hAnsi="Arial" w:cs="Arial"/>
                <w:sz w:val="16"/>
                <w:szCs w:val="16"/>
              </w:rPr>
              <w:t>Tribal</w:t>
            </w:r>
          </w:p>
        </w:tc>
        <w:tc>
          <w:tcPr>
            <w:tcW w:w="1170" w:type="dxa"/>
          </w:tcPr>
          <w:p w:rsidR="00BC4C0F" w:rsidRPr="00F1465D" w:rsidRDefault="00BC4C0F" w:rsidP="00BC4C0F">
            <w:pPr>
              <w:pStyle w:val="ListParagraph"/>
              <w:ind w:left="0"/>
              <w:jc w:val="center"/>
              <w:rPr>
                <w:rFonts w:ascii="Arial" w:hAnsi="Arial" w:cs="Arial"/>
                <w:sz w:val="16"/>
                <w:szCs w:val="16"/>
              </w:rPr>
            </w:pPr>
            <w:r w:rsidRPr="00F1465D">
              <w:rPr>
                <w:rFonts w:ascii="Arial" w:hAnsi="Arial" w:cs="Arial"/>
                <w:sz w:val="16"/>
                <w:szCs w:val="16"/>
              </w:rPr>
              <w:t>Revised</w:t>
            </w:r>
          </w:p>
        </w:tc>
        <w:tc>
          <w:tcPr>
            <w:tcW w:w="2970" w:type="dxa"/>
            <w:tcMar>
              <w:top w:w="43" w:type="dxa"/>
              <w:left w:w="29" w:type="dxa"/>
              <w:right w:w="29"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 xml:space="preserve">Response Rate: </w:t>
            </w:r>
            <w:r w:rsidRPr="00F1465D">
              <w:rPr>
                <w:rFonts w:ascii="Arial" w:hAnsi="Arial" w:cs="Arial"/>
                <w:sz w:val="16"/>
                <w:szCs w:val="16"/>
              </w:rPr>
              <w:t>Almost all grantees participate in the PSI, among currently funded grantees 100% of campus grantees participated in the last administration of the PSI and over 95% of the currently funded States and Tribes participated</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i/>
                <w:sz w:val="16"/>
                <w:szCs w:val="16"/>
              </w:rPr>
              <w:t>Psychometric Analyses</w:t>
            </w:r>
            <w:r w:rsidRPr="00F1465D">
              <w:rPr>
                <w:rFonts w:ascii="Arial" w:hAnsi="Arial" w:cs="Arial"/>
                <w:b/>
                <w:sz w:val="16"/>
                <w:szCs w:val="16"/>
              </w:rPr>
              <w:t xml:space="preserve">: </w:t>
            </w:r>
            <w:r w:rsidRPr="00F1465D">
              <w:rPr>
                <w:rFonts w:ascii="Arial" w:hAnsi="Arial" w:cs="Arial"/>
                <w:sz w:val="16"/>
                <w:szCs w:val="16"/>
              </w:rPr>
              <w:t xml:space="preserve">Not appropriate for the PSI. </w:t>
            </w:r>
          </w:p>
        </w:tc>
        <w:tc>
          <w:tcPr>
            <w:tcW w:w="2430" w:type="dxa"/>
            <w:tcMar>
              <w:top w:w="58" w:type="dxa"/>
              <w:left w:w="115" w:type="dxa"/>
              <w:right w:w="115" w:type="dxa"/>
            </w:tcMar>
          </w:tcPr>
          <w:p w:rsidR="00BC4C0F" w:rsidRPr="00F1465D" w:rsidRDefault="00BC4C0F" w:rsidP="00BC4C0F">
            <w:pPr>
              <w:jc w:val="both"/>
              <w:rPr>
                <w:rFonts w:ascii="Arial" w:hAnsi="Arial" w:cs="Arial"/>
                <w:sz w:val="16"/>
                <w:szCs w:val="16"/>
              </w:rPr>
            </w:pPr>
            <w:r w:rsidRPr="00F1465D">
              <w:rPr>
                <w:rFonts w:ascii="Arial" w:hAnsi="Arial" w:cs="Arial"/>
                <w:b/>
                <w:i/>
                <w:sz w:val="16"/>
                <w:szCs w:val="16"/>
              </w:rPr>
              <w:t>Featured Changes</w:t>
            </w:r>
            <w:r w:rsidRPr="00F1465D">
              <w:rPr>
                <w:rFonts w:ascii="Arial" w:hAnsi="Arial" w:cs="Arial"/>
                <w:sz w:val="16"/>
                <w:szCs w:val="16"/>
              </w:rPr>
              <w:t xml:space="preserve">: PSI will gather more information about the </w:t>
            </w:r>
            <w:proofErr w:type="gramStart"/>
            <w:r w:rsidRPr="00F1465D">
              <w:rPr>
                <w:rFonts w:ascii="Arial" w:hAnsi="Arial" w:cs="Arial"/>
                <w:sz w:val="16"/>
                <w:szCs w:val="16"/>
              </w:rPr>
              <w:t>populations</w:t>
            </w:r>
            <w:proofErr w:type="gramEnd"/>
            <w:r w:rsidRPr="00F1465D">
              <w:rPr>
                <w:rFonts w:ascii="Arial" w:hAnsi="Arial" w:cs="Arial"/>
                <w:sz w:val="16"/>
                <w:szCs w:val="16"/>
              </w:rPr>
              <w:t xml:space="preserve"> strategies and about wellness and coalition activities.</w:t>
            </w:r>
          </w:p>
          <w:p w:rsidR="00BC4C0F" w:rsidRPr="00F1465D" w:rsidRDefault="00BC4C0F" w:rsidP="00BC4C0F">
            <w:pPr>
              <w:jc w:val="both"/>
              <w:rPr>
                <w:rFonts w:ascii="Arial" w:hAnsi="Arial" w:cs="Arial"/>
                <w:sz w:val="16"/>
                <w:szCs w:val="16"/>
              </w:rPr>
            </w:pPr>
          </w:p>
          <w:p w:rsidR="00BC4C0F" w:rsidRPr="00F1465D" w:rsidRDefault="00BC4C0F" w:rsidP="00BC4C0F">
            <w:pPr>
              <w:jc w:val="both"/>
              <w:rPr>
                <w:rFonts w:ascii="Arial" w:hAnsi="Arial" w:cs="Arial"/>
                <w:i/>
                <w:sz w:val="16"/>
                <w:szCs w:val="16"/>
              </w:rPr>
            </w:pPr>
            <w:r w:rsidRPr="00F1465D">
              <w:rPr>
                <w:rFonts w:ascii="Arial" w:hAnsi="Arial" w:cs="Arial"/>
                <w:i/>
                <w:sz w:val="16"/>
                <w:szCs w:val="16"/>
              </w:rPr>
              <w:t xml:space="preserve">No revisions related to response rates proposed; content changes only. </w:t>
            </w:r>
          </w:p>
          <w:p w:rsidR="00BC4C0F" w:rsidRPr="00F1465D" w:rsidRDefault="00BC4C0F" w:rsidP="00BC4C0F">
            <w:pPr>
              <w:jc w:val="both"/>
              <w:rPr>
                <w:rFonts w:ascii="Arial" w:hAnsi="Arial" w:cs="Arial"/>
                <w:sz w:val="16"/>
                <w:szCs w:val="16"/>
              </w:rPr>
            </w:pPr>
          </w:p>
        </w:tc>
      </w:tr>
      <w:tr w:rsidR="00BC4C0F" w:rsidRPr="00F1465D" w:rsidTr="00BC4C0F">
        <w:trPr>
          <w:cantSplit/>
          <w:trHeight w:val="1804"/>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tabs>
                <w:tab w:val="left" w:pos="1240"/>
              </w:tabs>
              <w:spacing w:after="120"/>
              <w:rPr>
                <w:rFonts w:ascii="Arial" w:hAnsi="Arial" w:cs="Arial"/>
                <w:b/>
                <w:sz w:val="16"/>
                <w:szCs w:val="16"/>
              </w:rPr>
            </w:pPr>
            <w:r w:rsidRPr="00F1465D">
              <w:rPr>
                <w:rFonts w:ascii="Arial" w:hAnsi="Arial" w:cs="Arial"/>
                <w:b/>
                <w:sz w:val="16"/>
                <w:szCs w:val="16"/>
              </w:rPr>
              <w:t>Training Exit Survey (TES) Cover Page</w:t>
            </w:r>
          </w:p>
          <w:p w:rsidR="00BC4C0F" w:rsidRPr="00F1465D" w:rsidRDefault="00BC4C0F" w:rsidP="00BC4C0F">
            <w:pPr>
              <w:tabs>
                <w:tab w:val="left" w:pos="1240"/>
              </w:tabs>
              <w:spacing w:after="120"/>
              <w:rPr>
                <w:rFonts w:ascii="Arial" w:hAnsi="Arial" w:cs="Arial"/>
                <w:b/>
                <w:sz w:val="16"/>
                <w:szCs w:val="16"/>
              </w:rPr>
            </w:pPr>
            <w:r w:rsidRPr="00F1465D">
              <w:rPr>
                <w:rFonts w:ascii="Arial" w:hAnsi="Arial" w:cs="Arial"/>
                <w:b/>
                <w:sz w:val="16"/>
                <w:szCs w:val="16"/>
              </w:rPr>
              <w:t>&amp; TES Individual forms (Core, Gatekeeper, Clinical and Campus Connect Versions)</w:t>
            </w:r>
          </w:p>
          <w:p w:rsidR="00BC4C0F" w:rsidRPr="00F1465D" w:rsidRDefault="00BC4C0F" w:rsidP="00BC4C0F">
            <w:pPr>
              <w:tabs>
                <w:tab w:val="left" w:pos="1240"/>
              </w:tabs>
              <w:spacing w:after="120"/>
              <w:rPr>
                <w:rFonts w:ascii="Arial" w:hAnsi="Arial" w:cs="Arial"/>
                <w:b/>
                <w:i/>
                <w:sz w:val="16"/>
                <w:szCs w:val="16"/>
              </w:rPr>
            </w:pP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Campus &amp; State/</w:t>
            </w:r>
          </w:p>
          <w:p w:rsidR="00BC4C0F" w:rsidRPr="00F1465D" w:rsidRDefault="00BC4C0F" w:rsidP="00BC4C0F">
            <w:pPr>
              <w:jc w:val="center"/>
              <w:rPr>
                <w:rFonts w:ascii="Arial" w:hAnsi="Arial" w:cs="Arial"/>
                <w:sz w:val="16"/>
                <w:szCs w:val="16"/>
              </w:rPr>
            </w:pPr>
            <w:r w:rsidRPr="00F1465D">
              <w:rPr>
                <w:rFonts w:ascii="Arial" w:hAnsi="Arial" w:cs="Arial"/>
                <w:sz w:val="16"/>
                <w:szCs w:val="16"/>
              </w:rPr>
              <w:t>Tribal</w:t>
            </w:r>
          </w:p>
        </w:tc>
        <w:tc>
          <w:tcPr>
            <w:tcW w:w="1170" w:type="dxa"/>
          </w:tcPr>
          <w:p w:rsidR="00BC4C0F" w:rsidRPr="00F1465D" w:rsidRDefault="00BC4C0F" w:rsidP="00BC4C0F">
            <w:pPr>
              <w:pStyle w:val="ListParagraph"/>
              <w:ind w:left="0"/>
              <w:jc w:val="center"/>
              <w:rPr>
                <w:rFonts w:ascii="Arial" w:hAnsi="Arial" w:cs="Arial"/>
                <w:sz w:val="16"/>
                <w:szCs w:val="16"/>
              </w:rPr>
            </w:pPr>
            <w:r w:rsidRPr="00F1465D">
              <w:rPr>
                <w:rFonts w:ascii="Arial" w:hAnsi="Arial" w:cs="Arial"/>
                <w:sz w:val="16"/>
                <w:szCs w:val="16"/>
              </w:rPr>
              <w:t xml:space="preserve">Revised </w:t>
            </w:r>
          </w:p>
        </w:tc>
        <w:tc>
          <w:tcPr>
            <w:tcW w:w="2970" w:type="dxa"/>
            <w:tcMar>
              <w:top w:w="43" w:type="dxa"/>
              <w:left w:w="29" w:type="dxa"/>
              <w:right w:w="29"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Response Rate</w:t>
            </w:r>
            <w:r w:rsidRPr="00F1465D">
              <w:rPr>
                <w:rFonts w:ascii="Arial" w:hAnsi="Arial" w:cs="Arial"/>
                <w:sz w:val="16"/>
                <w:szCs w:val="16"/>
              </w:rPr>
              <w:t xml:space="preserve">: TES participation among currently funded Campus grantees has ranged from 64.1% - 95.2%. The TES cover page can be used to reconcile grantee individual-level and aggregate training data. </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i/>
                <w:sz w:val="16"/>
                <w:szCs w:val="16"/>
              </w:rPr>
              <w:t>Psychometric Analyses:</w:t>
            </w:r>
            <w:r w:rsidRPr="00F1465D">
              <w:rPr>
                <w:rFonts w:ascii="Arial" w:hAnsi="Arial" w:cs="Arial"/>
                <w:b/>
                <w:sz w:val="16"/>
                <w:szCs w:val="16"/>
              </w:rPr>
              <w:t xml:space="preserve"> </w:t>
            </w:r>
            <w:r w:rsidRPr="00F1465D">
              <w:rPr>
                <w:rFonts w:ascii="Arial" w:hAnsi="Arial" w:cs="Arial"/>
                <w:sz w:val="16"/>
                <w:szCs w:val="16"/>
              </w:rPr>
              <w:t xml:space="preserve">Not appropriate for the TES individual form versions or the TES Cover Page/TASP.  </w:t>
            </w:r>
          </w:p>
        </w:tc>
        <w:tc>
          <w:tcPr>
            <w:tcW w:w="2430" w:type="dxa"/>
            <w:tcMar>
              <w:top w:w="58" w:type="dxa"/>
              <w:left w:w="115" w:type="dxa"/>
              <w:right w:w="115" w:type="dxa"/>
            </w:tcMar>
          </w:tcPr>
          <w:p w:rsidR="00BC4C0F" w:rsidRPr="00F1465D" w:rsidRDefault="00BC4C0F" w:rsidP="00BC4C0F">
            <w:pPr>
              <w:jc w:val="both"/>
              <w:rPr>
                <w:rFonts w:ascii="Arial" w:hAnsi="Arial" w:cs="Arial"/>
                <w:sz w:val="16"/>
                <w:szCs w:val="16"/>
              </w:rPr>
            </w:pPr>
            <w:r w:rsidRPr="00F1465D">
              <w:rPr>
                <w:rFonts w:ascii="Arial" w:hAnsi="Arial" w:cs="Arial"/>
                <w:b/>
                <w:i/>
                <w:sz w:val="16"/>
                <w:szCs w:val="16"/>
              </w:rPr>
              <w:t>Featured Changes</w:t>
            </w:r>
            <w:r w:rsidRPr="00F1465D">
              <w:rPr>
                <w:rFonts w:ascii="Arial" w:hAnsi="Arial" w:cs="Arial"/>
                <w:sz w:val="16"/>
                <w:szCs w:val="16"/>
              </w:rPr>
              <w:t xml:space="preserve">: The TES individual form was discontinued among State and Tribal grantees and new Campus grantees. </w:t>
            </w:r>
          </w:p>
          <w:p w:rsidR="00BC4C0F" w:rsidRPr="00F1465D" w:rsidRDefault="00BC4C0F" w:rsidP="00BC4C0F">
            <w:pPr>
              <w:jc w:val="both"/>
              <w:rPr>
                <w:rFonts w:ascii="Arial" w:hAnsi="Arial" w:cs="Arial"/>
                <w:sz w:val="16"/>
                <w:szCs w:val="16"/>
              </w:rPr>
            </w:pPr>
          </w:p>
          <w:p w:rsidR="00BC4C0F" w:rsidRPr="00F1465D" w:rsidRDefault="00BC4C0F" w:rsidP="00BC4C0F">
            <w:pPr>
              <w:jc w:val="both"/>
              <w:rPr>
                <w:rFonts w:ascii="Arial" w:hAnsi="Arial" w:cs="Arial"/>
                <w:sz w:val="16"/>
                <w:szCs w:val="16"/>
              </w:rPr>
            </w:pPr>
            <w:r w:rsidRPr="00F1465D">
              <w:rPr>
                <w:rFonts w:ascii="Arial" w:hAnsi="Arial" w:cs="Arial"/>
                <w:sz w:val="16"/>
                <w:szCs w:val="16"/>
              </w:rPr>
              <w:t xml:space="preserve">The TES cover page was renamed the </w:t>
            </w:r>
            <w:r w:rsidRPr="00F1465D">
              <w:rPr>
                <w:rFonts w:ascii="Arial" w:hAnsi="Arial" w:cs="Arial"/>
                <w:i/>
                <w:sz w:val="16"/>
                <w:szCs w:val="16"/>
              </w:rPr>
              <w:t>Training Activity Summary Page (TASP),</w:t>
            </w:r>
            <w:r w:rsidRPr="00F1465D">
              <w:rPr>
                <w:rFonts w:ascii="Arial" w:hAnsi="Arial" w:cs="Arial"/>
                <w:sz w:val="16"/>
                <w:szCs w:val="16"/>
              </w:rPr>
              <w:t xml:space="preserve"> and collects information about intended outcomes, and booster and follow-up trainings. </w:t>
            </w:r>
          </w:p>
          <w:p w:rsidR="00BC4C0F" w:rsidRPr="00F1465D" w:rsidRDefault="00BC4C0F" w:rsidP="00BC4C0F">
            <w:pPr>
              <w:jc w:val="both"/>
              <w:rPr>
                <w:rFonts w:ascii="Arial" w:hAnsi="Arial" w:cs="Arial"/>
                <w:sz w:val="16"/>
                <w:szCs w:val="16"/>
              </w:rPr>
            </w:pPr>
          </w:p>
          <w:p w:rsidR="00BC4C0F" w:rsidRPr="00F1465D" w:rsidRDefault="00BC4C0F" w:rsidP="00BC4C0F">
            <w:pPr>
              <w:jc w:val="both"/>
              <w:rPr>
                <w:rFonts w:ascii="Arial" w:hAnsi="Arial" w:cs="Arial"/>
                <w:i/>
                <w:sz w:val="16"/>
                <w:szCs w:val="16"/>
              </w:rPr>
            </w:pPr>
            <w:r w:rsidRPr="00F1465D">
              <w:rPr>
                <w:rFonts w:ascii="Arial" w:hAnsi="Arial" w:cs="Arial"/>
                <w:i/>
                <w:sz w:val="16"/>
                <w:szCs w:val="16"/>
              </w:rPr>
              <w:t xml:space="preserve">No revisions related to response rates proposed; content changes only. </w:t>
            </w:r>
          </w:p>
          <w:p w:rsidR="00BC4C0F" w:rsidRPr="00F1465D" w:rsidRDefault="00BC4C0F" w:rsidP="00BC4C0F">
            <w:pPr>
              <w:jc w:val="both"/>
              <w:rPr>
                <w:rFonts w:ascii="Arial" w:hAnsi="Arial" w:cs="Arial"/>
                <w:sz w:val="16"/>
                <w:szCs w:val="16"/>
              </w:rPr>
            </w:pPr>
          </w:p>
        </w:tc>
      </w:tr>
      <w:tr w:rsidR="00BC4C0F" w:rsidRPr="00F1465D" w:rsidTr="00BC4C0F">
        <w:trPr>
          <w:cantSplit/>
          <w:trHeight w:val="1507"/>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spacing w:after="120"/>
              <w:rPr>
                <w:rFonts w:ascii="Arial" w:hAnsi="Arial" w:cs="Arial"/>
                <w:b/>
                <w:sz w:val="16"/>
                <w:szCs w:val="16"/>
              </w:rPr>
            </w:pPr>
            <w:r w:rsidRPr="00F1465D">
              <w:rPr>
                <w:rFonts w:ascii="Arial" w:hAnsi="Arial" w:cs="Arial"/>
                <w:b/>
                <w:sz w:val="16"/>
                <w:szCs w:val="16"/>
              </w:rPr>
              <w:t>Training Utilization &amp; Preservation Survey (TUP-S)</w:t>
            </w: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Campus &amp; State/</w:t>
            </w:r>
          </w:p>
          <w:p w:rsidR="00BC4C0F" w:rsidRPr="00F1465D" w:rsidRDefault="00BC4C0F" w:rsidP="00BC4C0F">
            <w:pPr>
              <w:jc w:val="center"/>
              <w:rPr>
                <w:rFonts w:ascii="Arial" w:hAnsi="Arial" w:cs="Arial"/>
                <w:sz w:val="16"/>
                <w:szCs w:val="16"/>
              </w:rPr>
            </w:pPr>
            <w:r w:rsidRPr="00F1465D">
              <w:rPr>
                <w:rFonts w:ascii="Arial" w:hAnsi="Arial" w:cs="Arial"/>
                <w:sz w:val="16"/>
                <w:szCs w:val="16"/>
              </w:rPr>
              <w:t>Tribal</w:t>
            </w:r>
          </w:p>
        </w:tc>
        <w:tc>
          <w:tcPr>
            <w:tcW w:w="117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 xml:space="preserve">Revised </w:t>
            </w:r>
          </w:p>
        </w:tc>
        <w:tc>
          <w:tcPr>
            <w:tcW w:w="2970" w:type="dxa"/>
            <w:tcMar>
              <w:top w:w="43" w:type="dxa"/>
              <w:left w:w="29" w:type="dxa"/>
              <w:right w:w="29"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Response Rate</w:t>
            </w:r>
            <w:r w:rsidRPr="00F1465D">
              <w:rPr>
                <w:rFonts w:ascii="Arial" w:hAnsi="Arial" w:cs="Arial"/>
                <w:sz w:val="16"/>
                <w:szCs w:val="16"/>
              </w:rPr>
              <w:t xml:space="preserve">: Survey response rates were 25% in FY 2012. </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i/>
                <w:sz w:val="16"/>
                <w:szCs w:val="16"/>
              </w:rPr>
              <w:t>Psychometric Analyses:</w:t>
            </w:r>
            <w:r w:rsidRPr="00F1465D">
              <w:rPr>
                <w:rFonts w:ascii="Arial" w:hAnsi="Arial" w:cs="Arial"/>
                <w:b/>
                <w:sz w:val="16"/>
                <w:szCs w:val="16"/>
              </w:rPr>
              <w:t xml:space="preserve"> </w:t>
            </w:r>
            <w:r w:rsidRPr="00F1465D">
              <w:rPr>
                <w:rFonts w:ascii="Arial" w:hAnsi="Arial" w:cs="Arial"/>
                <w:sz w:val="16"/>
                <w:szCs w:val="16"/>
              </w:rPr>
              <w:t xml:space="preserve">Not appropriate for the TUP-S Versions. </w:t>
            </w:r>
          </w:p>
        </w:tc>
        <w:tc>
          <w:tcPr>
            <w:tcW w:w="2430" w:type="dxa"/>
            <w:tcMar>
              <w:top w:w="58" w:type="dxa"/>
              <w:left w:w="115" w:type="dxa"/>
              <w:right w:w="115"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 xml:space="preserve">Featured Changes: </w:t>
            </w:r>
            <w:r w:rsidRPr="00F1465D">
              <w:rPr>
                <w:rFonts w:ascii="Arial" w:hAnsi="Arial" w:cs="Arial"/>
                <w:sz w:val="16"/>
                <w:szCs w:val="16"/>
              </w:rPr>
              <w:t xml:space="preserve">A participant sign-in sheet has been introduced for the TUP-S to help increase the number of consent-to-contact forms from grantees.  Call center procedures related to varying the times of day and the contact number utilized to reach respondents has been modified to improve survey response rates.  </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sz w:val="16"/>
                <w:szCs w:val="16"/>
              </w:rPr>
              <w:t>New Instrument(s):</w:t>
            </w:r>
            <w:r w:rsidRPr="00F1465D">
              <w:rPr>
                <w:rFonts w:ascii="Arial" w:hAnsi="Arial" w:cs="Arial"/>
                <w:sz w:val="16"/>
                <w:szCs w:val="16"/>
              </w:rPr>
              <w:t xml:space="preserve"> The TUP-S State/Tribal has been expanded to include a 6 month survey. A TUP-S Campus version has also been introduced to assess campus trainee behaviors, and an adolescent version of the TUP-S will be piloted to gather information from youth 12-17 using text-message technology for State/Tribal grantees. </w:t>
            </w:r>
          </w:p>
        </w:tc>
      </w:tr>
      <w:tr w:rsidR="00BC4C0F" w:rsidRPr="00F1465D" w:rsidTr="00BC4C0F">
        <w:trPr>
          <w:cantSplit/>
          <w:trHeight w:val="2209"/>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spacing w:after="120"/>
              <w:rPr>
                <w:rFonts w:ascii="Arial" w:hAnsi="Arial" w:cs="Arial"/>
                <w:b/>
                <w:sz w:val="16"/>
                <w:szCs w:val="16"/>
              </w:rPr>
            </w:pPr>
            <w:r w:rsidRPr="00F1465D">
              <w:rPr>
                <w:rFonts w:ascii="Arial" w:hAnsi="Arial" w:cs="Arial"/>
                <w:b/>
                <w:sz w:val="16"/>
                <w:szCs w:val="16"/>
              </w:rPr>
              <w:lastRenderedPageBreak/>
              <w:t>Referral Network Survey (RNS)</w:t>
            </w: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State/</w:t>
            </w:r>
          </w:p>
          <w:p w:rsidR="00BC4C0F" w:rsidRPr="00F1465D" w:rsidRDefault="00BC4C0F" w:rsidP="00BC4C0F">
            <w:pPr>
              <w:jc w:val="center"/>
              <w:rPr>
                <w:rFonts w:ascii="Arial" w:hAnsi="Arial" w:cs="Arial"/>
                <w:sz w:val="16"/>
                <w:szCs w:val="16"/>
              </w:rPr>
            </w:pPr>
            <w:r w:rsidRPr="00F1465D">
              <w:rPr>
                <w:rFonts w:ascii="Arial" w:hAnsi="Arial" w:cs="Arial"/>
                <w:sz w:val="16"/>
                <w:szCs w:val="16"/>
              </w:rPr>
              <w:t>Tribal</w:t>
            </w:r>
          </w:p>
        </w:tc>
        <w:tc>
          <w:tcPr>
            <w:tcW w:w="117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Revised</w:t>
            </w:r>
          </w:p>
        </w:tc>
        <w:tc>
          <w:tcPr>
            <w:tcW w:w="2970" w:type="dxa"/>
            <w:tcMar>
              <w:top w:w="43" w:type="dxa"/>
              <w:left w:w="29" w:type="dxa"/>
              <w:right w:w="29"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 xml:space="preserve">Response Rate: </w:t>
            </w:r>
            <w:r w:rsidRPr="00F1465D">
              <w:rPr>
                <w:rFonts w:ascii="Arial" w:hAnsi="Arial" w:cs="Arial"/>
                <w:sz w:val="16"/>
                <w:szCs w:val="16"/>
              </w:rPr>
              <w:t>Previous administrations of the RNS with cohorts 1-6 have yielded between 44-81% agency response rates.</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i/>
                <w:sz w:val="16"/>
                <w:szCs w:val="16"/>
              </w:rPr>
              <w:t>Psychometric Analyses</w:t>
            </w:r>
            <w:r w:rsidRPr="00F1465D">
              <w:rPr>
                <w:rFonts w:ascii="Arial" w:hAnsi="Arial" w:cs="Arial"/>
                <w:b/>
                <w:sz w:val="16"/>
                <w:szCs w:val="16"/>
              </w:rPr>
              <w:t xml:space="preserve">: </w:t>
            </w:r>
            <w:r w:rsidRPr="00F1465D">
              <w:rPr>
                <w:rFonts w:ascii="Arial" w:hAnsi="Arial" w:cs="Arial"/>
                <w:sz w:val="16"/>
                <w:szCs w:val="16"/>
              </w:rPr>
              <w:t>Not appropriate for the RNS, CP or CS</w:t>
            </w:r>
            <w:proofErr w:type="gramStart"/>
            <w:r w:rsidRPr="00F1465D">
              <w:rPr>
                <w:rFonts w:ascii="Arial" w:hAnsi="Arial" w:cs="Arial"/>
                <w:sz w:val="16"/>
                <w:szCs w:val="16"/>
              </w:rPr>
              <w:t>. .</w:t>
            </w:r>
            <w:proofErr w:type="gramEnd"/>
            <w:r w:rsidRPr="00F1465D">
              <w:rPr>
                <w:rFonts w:ascii="Arial" w:hAnsi="Arial" w:cs="Arial"/>
                <w:sz w:val="16"/>
                <w:szCs w:val="16"/>
              </w:rPr>
              <w:t xml:space="preserve">  </w:t>
            </w:r>
            <w:r w:rsidRPr="00F1465D">
              <w:rPr>
                <w:rFonts w:ascii="Arial" w:hAnsi="Arial" w:cs="Arial"/>
                <w:b/>
                <w:sz w:val="16"/>
                <w:szCs w:val="16"/>
              </w:rPr>
              <w:t xml:space="preserve">  </w:t>
            </w:r>
          </w:p>
        </w:tc>
        <w:tc>
          <w:tcPr>
            <w:tcW w:w="2430" w:type="dxa"/>
            <w:tcMar>
              <w:top w:w="58" w:type="dxa"/>
              <w:left w:w="115" w:type="dxa"/>
              <w:right w:w="115"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 xml:space="preserve">Featured Changes: </w:t>
            </w:r>
            <w:r w:rsidRPr="00F1465D">
              <w:rPr>
                <w:rFonts w:ascii="Arial" w:hAnsi="Arial" w:cs="Arial"/>
                <w:sz w:val="16"/>
                <w:szCs w:val="16"/>
              </w:rPr>
              <w:t xml:space="preserve">The RNS will be implemented as a web-based survey and use snowball sampling to identify grantee networks to include organizations more closely related to the grantee referral network and improve response rates among all grantees.  </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sz w:val="16"/>
                <w:szCs w:val="16"/>
              </w:rPr>
              <w:t>New Instrument(s):</w:t>
            </w:r>
            <w:r w:rsidRPr="00F1465D">
              <w:rPr>
                <w:rFonts w:ascii="Arial" w:hAnsi="Arial" w:cs="Arial"/>
                <w:sz w:val="16"/>
                <w:szCs w:val="16"/>
              </w:rPr>
              <w:t xml:space="preserve"> A Coalition Profile and Survey have been introduced to gather information about coalitions that are critical to the success of grantee programs. </w:t>
            </w:r>
          </w:p>
        </w:tc>
      </w:tr>
      <w:tr w:rsidR="00BC4C0F" w:rsidRPr="00F1465D" w:rsidTr="00BC4C0F">
        <w:trPr>
          <w:cantSplit/>
          <w:trHeight w:val="3622"/>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rPr>
                <w:rFonts w:ascii="Arial" w:hAnsi="Arial" w:cs="Arial"/>
                <w:b/>
                <w:sz w:val="16"/>
                <w:szCs w:val="16"/>
              </w:rPr>
            </w:pPr>
            <w:r w:rsidRPr="00F1465D">
              <w:rPr>
                <w:rFonts w:ascii="Arial" w:hAnsi="Arial" w:cs="Arial"/>
                <w:b/>
                <w:bCs/>
                <w:sz w:val="16"/>
                <w:szCs w:val="16"/>
              </w:rPr>
              <w:t>Suicide Prevention Exposure, Awareness, and Knowledge Survey (</w:t>
            </w:r>
            <w:r w:rsidRPr="00F1465D">
              <w:rPr>
                <w:rFonts w:ascii="Arial" w:hAnsi="Arial" w:cs="Arial"/>
                <w:b/>
                <w:sz w:val="16"/>
                <w:szCs w:val="16"/>
              </w:rPr>
              <w:t>SPEAKS)*</w:t>
            </w:r>
          </w:p>
          <w:p w:rsidR="00BC4C0F" w:rsidRPr="00F1465D" w:rsidRDefault="00BC4C0F" w:rsidP="00BC4C0F">
            <w:pPr>
              <w:rPr>
                <w:rFonts w:ascii="Arial" w:hAnsi="Arial" w:cs="Arial"/>
                <w:b/>
                <w:sz w:val="16"/>
                <w:szCs w:val="16"/>
              </w:rPr>
            </w:pPr>
          </w:p>
          <w:p w:rsidR="00BC4C0F" w:rsidRPr="00F1465D" w:rsidRDefault="00BC4C0F" w:rsidP="00BC4C0F">
            <w:pPr>
              <w:rPr>
                <w:rFonts w:ascii="Arial" w:hAnsi="Arial" w:cs="Arial"/>
                <w:b/>
                <w:i/>
                <w:sz w:val="16"/>
                <w:szCs w:val="16"/>
              </w:rPr>
            </w:pP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 xml:space="preserve">Campus </w:t>
            </w:r>
          </w:p>
        </w:tc>
        <w:tc>
          <w:tcPr>
            <w:tcW w:w="117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Discontinued</w:t>
            </w:r>
          </w:p>
        </w:tc>
        <w:tc>
          <w:tcPr>
            <w:tcW w:w="2970" w:type="dxa"/>
            <w:tcMar>
              <w:top w:w="43" w:type="dxa"/>
              <w:left w:w="29" w:type="dxa"/>
              <w:right w:w="29"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 xml:space="preserve">Response Rate: </w:t>
            </w:r>
            <w:r w:rsidRPr="00F1465D">
              <w:rPr>
                <w:rFonts w:ascii="Arial" w:hAnsi="Arial" w:cs="Arial"/>
                <w:sz w:val="16"/>
                <w:szCs w:val="16"/>
              </w:rPr>
              <w:t>RR from the last administration of the SPEAKS ranged from 4.1 – 76.1% - with an average rate of 21.5%.</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i/>
                <w:sz w:val="16"/>
                <w:szCs w:val="16"/>
              </w:rPr>
              <w:t>Psychometric Analyses:</w:t>
            </w:r>
            <w:r w:rsidRPr="00F1465D">
              <w:rPr>
                <w:rFonts w:ascii="Arial" w:hAnsi="Arial" w:cs="Arial"/>
                <w:b/>
                <w:sz w:val="16"/>
                <w:szCs w:val="16"/>
              </w:rPr>
              <w:t xml:space="preserve"> </w:t>
            </w:r>
            <w:r w:rsidRPr="00F1465D">
              <w:rPr>
                <w:rFonts w:ascii="Arial" w:hAnsi="Arial" w:cs="Arial"/>
                <w:sz w:val="16"/>
                <w:szCs w:val="16"/>
              </w:rPr>
              <w:t xml:space="preserve">Psychometric analyses are applicable to some data elements collected as part of the SPEAKS. Psychometric analyses may be possible with data collected via </w:t>
            </w:r>
            <w:proofErr w:type="gramStart"/>
            <w:r w:rsidRPr="00F1465D">
              <w:rPr>
                <w:rFonts w:ascii="Arial" w:hAnsi="Arial" w:cs="Arial"/>
                <w:sz w:val="16"/>
                <w:szCs w:val="16"/>
              </w:rPr>
              <w:t>the  SAIS</w:t>
            </w:r>
            <w:proofErr w:type="gramEnd"/>
            <w:r w:rsidRPr="00F1465D">
              <w:rPr>
                <w:rFonts w:ascii="Arial" w:hAnsi="Arial" w:cs="Arial"/>
                <w:sz w:val="16"/>
                <w:szCs w:val="16"/>
              </w:rPr>
              <w:t xml:space="preserve">. </w:t>
            </w:r>
          </w:p>
        </w:tc>
        <w:tc>
          <w:tcPr>
            <w:tcW w:w="2430" w:type="dxa"/>
            <w:tcMar>
              <w:top w:w="58" w:type="dxa"/>
              <w:left w:w="115" w:type="dxa"/>
              <w:right w:w="115" w:type="dxa"/>
            </w:tcMar>
          </w:tcPr>
          <w:p w:rsidR="00BC4C0F" w:rsidRPr="00F1465D" w:rsidRDefault="00BC4C0F" w:rsidP="00BC4C0F">
            <w:pPr>
              <w:jc w:val="both"/>
              <w:rPr>
                <w:rFonts w:ascii="Arial" w:hAnsi="Arial" w:cs="Arial"/>
                <w:sz w:val="16"/>
                <w:szCs w:val="16"/>
              </w:rPr>
            </w:pPr>
            <w:r w:rsidRPr="00F1465D">
              <w:rPr>
                <w:rFonts w:ascii="Arial" w:hAnsi="Arial" w:cs="Arial"/>
                <w:b/>
                <w:i/>
                <w:sz w:val="16"/>
                <w:szCs w:val="16"/>
              </w:rPr>
              <w:t>Featured Changes:</w:t>
            </w:r>
            <w:r w:rsidRPr="00F1465D">
              <w:rPr>
                <w:rFonts w:ascii="Arial" w:hAnsi="Arial" w:cs="Arial"/>
                <w:sz w:val="16"/>
                <w:szCs w:val="16"/>
              </w:rPr>
              <w:t xml:space="preserve"> The SPEAKS has been discontinued and replaced by the SMSS and the SAIS. </w:t>
            </w:r>
          </w:p>
          <w:p w:rsidR="00BC4C0F" w:rsidRPr="00F1465D" w:rsidRDefault="00BC4C0F" w:rsidP="00BC4C0F">
            <w:pPr>
              <w:jc w:val="both"/>
              <w:rPr>
                <w:rFonts w:ascii="Arial" w:hAnsi="Arial" w:cs="Arial"/>
                <w:sz w:val="16"/>
                <w:szCs w:val="16"/>
              </w:rPr>
            </w:pPr>
          </w:p>
          <w:p w:rsidR="00BC4C0F" w:rsidRPr="00F1465D" w:rsidRDefault="00BC4C0F" w:rsidP="00BC4C0F">
            <w:pPr>
              <w:jc w:val="both"/>
              <w:rPr>
                <w:rFonts w:ascii="Arial" w:hAnsi="Arial" w:cs="Arial"/>
                <w:sz w:val="16"/>
                <w:szCs w:val="16"/>
              </w:rPr>
            </w:pPr>
            <w:r w:rsidRPr="00F1465D">
              <w:rPr>
                <w:rFonts w:ascii="Arial" w:hAnsi="Arial" w:cs="Arial"/>
                <w:b/>
                <w:sz w:val="16"/>
                <w:szCs w:val="16"/>
              </w:rPr>
              <w:t>New Instrument(s):</w:t>
            </w:r>
            <w:r w:rsidRPr="00F1465D">
              <w:rPr>
                <w:rFonts w:ascii="Arial" w:hAnsi="Arial" w:cs="Arial"/>
                <w:sz w:val="16"/>
                <w:szCs w:val="16"/>
              </w:rPr>
              <w:t xml:space="preserve"> The Short Message Service Survey (SMSS) SMSS is a brief text-message survey conducted to assess exposure to campus suicide prevention activities and personal history of suicide attempts and ideation. </w:t>
            </w:r>
          </w:p>
          <w:p w:rsidR="00BC4C0F" w:rsidRPr="00F1465D" w:rsidRDefault="00BC4C0F" w:rsidP="00BC4C0F">
            <w:pPr>
              <w:jc w:val="both"/>
              <w:rPr>
                <w:rFonts w:ascii="Arial" w:hAnsi="Arial" w:cs="Arial"/>
                <w:sz w:val="16"/>
                <w:szCs w:val="16"/>
              </w:rPr>
            </w:pPr>
          </w:p>
          <w:p w:rsidR="00BC4C0F" w:rsidRPr="00F1465D" w:rsidRDefault="00BC4C0F" w:rsidP="00BC4C0F">
            <w:pPr>
              <w:jc w:val="both"/>
              <w:rPr>
                <w:rFonts w:ascii="Arial" w:hAnsi="Arial" w:cs="Arial"/>
                <w:sz w:val="16"/>
                <w:szCs w:val="16"/>
              </w:rPr>
            </w:pPr>
            <w:r w:rsidRPr="00F1465D">
              <w:rPr>
                <w:rFonts w:ascii="Arial" w:hAnsi="Arial" w:cs="Arial"/>
                <w:sz w:val="16"/>
                <w:szCs w:val="16"/>
              </w:rPr>
              <w:t>The Student Awareness Intercept Survey (SAIS), a Web-based student survey with baseline and follow-up versions, will be conducted as a case study of the reach and impact of campus social marketing campaigns related to suicide prevention. The SAIS retains some of the subscales previously used in the SPEAKS.</w:t>
            </w:r>
          </w:p>
        </w:tc>
      </w:tr>
      <w:tr w:rsidR="00BC4C0F" w:rsidRPr="00F1465D" w:rsidTr="00BC4C0F">
        <w:trPr>
          <w:cantSplit/>
          <w:trHeight w:val="2209"/>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spacing w:after="120"/>
              <w:rPr>
                <w:rFonts w:ascii="Arial" w:hAnsi="Arial" w:cs="Arial"/>
                <w:b/>
                <w:sz w:val="16"/>
                <w:szCs w:val="16"/>
              </w:rPr>
            </w:pPr>
            <w:r w:rsidRPr="00F1465D">
              <w:rPr>
                <w:rFonts w:ascii="Arial" w:hAnsi="Arial" w:cs="Arial"/>
                <w:b/>
                <w:sz w:val="16"/>
                <w:szCs w:val="16"/>
              </w:rPr>
              <w:t>Early Identification, Referral, and Follow-up Individual  and Aggregate Form  (EIRF)</w:t>
            </w: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State/</w:t>
            </w:r>
          </w:p>
          <w:p w:rsidR="00BC4C0F" w:rsidRPr="00F1465D" w:rsidRDefault="00BC4C0F" w:rsidP="00BC4C0F">
            <w:pPr>
              <w:jc w:val="center"/>
              <w:rPr>
                <w:rFonts w:ascii="Arial" w:hAnsi="Arial" w:cs="Arial"/>
                <w:sz w:val="16"/>
                <w:szCs w:val="16"/>
              </w:rPr>
            </w:pPr>
            <w:r w:rsidRPr="00F1465D">
              <w:rPr>
                <w:rFonts w:ascii="Arial" w:hAnsi="Arial" w:cs="Arial"/>
                <w:sz w:val="16"/>
                <w:szCs w:val="16"/>
              </w:rPr>
              <w:t>Tribal</w:t>
            </w:r>
          </w:p>
        </w:tc>
        <w:tc>
          <w:tcPr>
            <w:tcW w:w="117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 xml:space="preserve">Revised </w:t>
            </w:r>
          </w:p>
        </w:tc>
        <w:tc>
          <w:tcPr>
            <w:tcW w:w="2970" w:type="dxa"/>
            <w:tcMar>
              <w:top w:w="43" w:type="dxa"/>
              <w:left w:w="29" w:type="dxa"/>
              <w:right w:w="29" w:type="dxa"/>
            </w:tcMar>
          </w:tcPr>
          <w:p w:rsidR="00BC4C0F" w:rsidRPr="00F1465D" w:rsidRDefault="00BC4C0F" w:rsidP="00BC4C0F">
            <w:pPr>
              <w:rPr>
                <w:rFonts w:ascii="Arial" w:hAnsi="Arial" w:cs="Arial"/>
                <w:b/>
                <w:i/>
                <w:sz w:val="16"/>
                <w:szCs w:val="16"/>
              </w:rPr>
            </w:pPr>
            <w:r w:rsidRPr="00F1465D">
              <w:rPr>
                <w:rFonts w:ascii="Arial" w:hAnsi="Arial" w:cs="Arial"/>
                <w:b/>
                <w:i/>
                <w:sz w:val="16"/>
                <w:szCs w:val="16"/>
              </w:rPr>
              <w:t xml:space="preserve">Response Rate: </w:t>
            </w:r>
            <w:r w:rsidRPr="00F1465D">
              <w:rPr>
                <w:rFonts w:ascii="Arial" w:hAnsi="Arial" w:cs="Arial"/>
                <w:sz w:val="16"/>
                <w:szCs w:val="16"/>
              </w:rPr>
              <w:t xml:space="preserve">While response rates are not available, we monitor the participation of grantees in each activity. </w:t>
            </w:r>
          </w:p>
          <w:p w:rsidR="00BC4C0F" w:rsidRPr="00F1465D" w:rsidRDefault="00BC4C0F" w:rsidP="00BC4C0F">
            <w:pPr>
              <w:rPr>
                <w:rFonts w:ascii="Arial" w:hAnsi="Arial" w:cs="Arial"/>
                <w:sz w:val="16"/>
                <w:szCs w:val="16"/>
              </w:rPr>
            </w:pPr>
            <w:r w:rsidRPr="00F1465D">
              <w:rPr>
                <w:rFonts w:ascii="Arial" w:hAnsi="Arial" w:cs="Arial"/>
                <w:sz w:val="16"/>
                <w:szCs w:val="16"/>
              </w:rPr>
              <w:t>Over 80% (81.6%) of cohort 6 grantees are participating in the EIRF, 13.0% of cohort 7 grantees are participating in the EIRF.   The EIRF doesn’t have an identified sample and therefore response rate information is not applicable.</w:t>
            </w:r>
          </w:p>
          <w:p w:rsidR="00BC4C0F" w:rsidRPr="00F1465D" w:rsidRDefault="00BC4C0F" w:rsidP="00BC4C0F">
            <w:pPr>
              <w:rPr>
                <w:rFonts w:ascii="Arial" w:hAnsi="Arial" w:cs="Arial"/>
                <w:sz w:val="16"/>
                <w:szCs w:val="16"/>
              </w:rPr>
            </w:pPr>
          </w:p>
          <w:p w:rsidR="00BC4C0F" w:rsidRPr="00F1465D" w:rsidRDefault="00BC4C0F" w:rsidP="00BC4C0F">
            <w:pPr>
              <w:spacing w:after="120"/>
              <w:rPr>
                <w:rFonts w:ascii="Arial" w:hAnsi="Arial" w:cs="Arial"/>
                <w:sz w:val="16"/>
                <w:szCs w:val="16"/>
              </w:rPr>
            </w:pPr>
            <w:r w:rsidRPr="00F1465D">
              <w:rPr>
                <w:rFonts w:ascii="Arial" w:hAnsi="Arial" w:cs="Arial"/>
                <w:b/>
                <w:i/>
                <w:sz w:val="16"/>
                <w:szCs w:val="16"/>
              </w:rPr>
              <w:t xml:space="preserve">Psychometric Analyses:  </w:t>
            </w:r>
            <w:r w:rsidRPr="00F1465D">
              <w:rPr>
                <w:rFonts w:ascii="Arial" w:hAnsi="Arial" w:cs="Arial"/>
                <w:sz w:val="16"/>
                <w:szCs w:val="16"/>
              </w:rPr>
              <w:t>Not appropriate for the  EIRF</w:t>
            </w:r>
          </w:p>
        </w:tc>
        <w:tc>
          <w:tcPr>
            <w:tcW w:w="2430" w:type="dxa"/>
            <w:tcMar>
              <w:top w:w="58" w:type="dxa"/>
              <w:left w:w="115" w:type="dxa"/>
              <w:right w:w="115" w:type="dxa"/>
            </w:tcMar>
          </w:tcPr>
          <w:p w:rsidR="00BC4C0F" w:rsidRPr="00F1465D" w:rsidRDefault="00BC4C0F" w:rsidP="00BC4C0F">
            <w:pPr>
              <w:spacing w:after="120"/>
              <w:rPr>
                <w:rFonts w:ascii="Arial" w:hAnsi="Arial" w:cs="Arial"/>
                <w:sz w:val="16"/>
                <w:szCs w:val="16"/>
              </w:rPr>
            </w:pPr>
            <w:r w:rsidRPr="00F1465D">
              <w:rPr>
                <w:rFonts w:ascii="Arial" w:hAnsi="Arial" w:cs="Arial"/>
                <w:b/>
                <w:i/>
                <w:sz w:val="16"/>
                <w:szCs w:val="16"/>
              </w:rPr>
              <w:t>Featured Changes:</w:t>
            </w:r>
            <w:r w:rsidRPr="00F1465D">
              <w:rPr>
                <w:rFonts w:ascii="Arial" w:hAnsi="Arial" w:cs="Arial"/>
                <w:sz w:val="16"/>
                <w:szCs w:val="16"/>
              </w:rPr>
              <w:t xml:space="preserve"> The EIRF will continue to collect individual-level information about youth identified at-risk by gatekeepers and/or via screening tools--Initial referral follow-up information should be obtained within 3 months and details from the second follow-up should be gathered within 6 months. </w:t>
            </w:r>
          </w:p>
          <w:p w:rsidR="00BC4C0F" w:rsidRPr="00F1465D" w:rsidRDefault="00BC4C0F" w:rsidP="00BC4C0F">
            <w:pPr>
              <w:spacing w:after="120"/>
              <w:rPr>
                <w:rFonts w:ascii="Arial" w:hAnsi="Arial" w:cs="Arial"/>
                <w:sz w:val="16"/>
                <w:szCs w:val="16"/>
              </w:rPr>
            </w:pPr>
            <w:r w:rsidRPr="00F1465D">
              <w:rPr>
                <w:rFonts w:ascii="Arial" w:hAnsi="Arial" w:cs="Arial"/>
                <w:sz w:val="16"/>
                <w:szCs w:val="16"/>
              </w:rPr>
              <w:t xml:space="preserve">The EIRF-S now collects aggregate-level information on youth identified as at-risk via screening tools used by GLS grantee. </w:t>
            </w:r>
          </w:p>
          <w:p w:rsidR="00BC4C0F" w:rsidRPr="00F1465D" w:rsidRDefault="00BC4C0F" w:rsidP="00BC4C0F">
            <w:pPr>
              <w:jc w:val="both"/>
              <w:rPr>
                <w:rFonts w:ascii="Arial" w:hAnsi="Arial" w:cs="Arial"/>
                <w:i/>
                <w:sz w:val="16"/>
                <w:szCs w:val="16"/>
              </w:rPr>
            </w:pPr>
            <w:r w:rsidRPr="00F1465D">
              <w:rPr>
                <w:rFonts w:ascii="Arial" w:hAnsi="Arial" w:cs="Arial"/>
                <w:i/>
                <w:sz w:val="16"/>
                <w:szCs w:val="16"/>
              </w:rPr>
              <w:t xml:space="preserve">No revisions related to response rates proposed; content changes only. </w:t>
            </w:r>
          </w:p>
          <w:p w:rsidR="00BC4C0F" w:rsidRPr="00F1465D" w:rsidRDefault="00BC4C0F" w:rsidP="00BC4C0F">
            <w:pPr>
              <w:spacing w:after="120"/>
              <w:rPr>
                <w:rFonts w:ascii="Arial" w:hAnsi="Arial" w:cs="Arial"/>
                <w:sz w:val="16"/>
                <w:szCs w:val="16"/>
              </w:rPr>
            </w:pPr>
          </w:p>
          <w:p w:rsidR="00BC4C0F" w:rsidRPr="00F1465D" w:rsidRDefault="00BC4C0F" w:rsidP="00BC4C0F">
            <w:pPr>
              <w:spacing w:after="120"/>
              <w:rPr>
                <w:rFonts w:ascii="Arial" w:hAnsi="Arial" w:cs="Arial"/>
                <w:sz w:val="16"/>
                <w:szCs w:val="16"/>
              </w:rPr>
            </w:pPr>
          </w:p>
        </w:tc>
      </w:tr>
      <w:tr w:rsidR="00BC4C0F" w:rsidRPr="00F1465D" w:rsidTr="00BC4C0F">
        <w:trPr>
          <w:cantSplit/>
          <w:trHeight w:val="1714"/>
          <w:jc w:val="center"/>
        </w:trPr>
        <w:tc>
          <w:tcPr>
            <w:tcW w:w="1350" w:type="dxa"/>
            <w:shd w:val="clear" w:color="auto" w:fill="D9D9D9" w:themeFill="background1" w:themeFillShade="D9"/>
            <w:tcMar>
              <w:top w:w="58" w:type="dxa"/>
              <w:left w:w="86" w:type="dxa"/>
              <w:right w:w="86" w:type="dxa"/>
            </w:tcMar>
          </w:tcPr>
          <w:p w:rsidR="00BC4C0F" w:rsidRPr="00F1465D" w:rsidRDefault="00BC4C0F" w:rsidP="00BC4C0F">
            <w:pPr>
              <w:rPr>
                <w:rFonts w:ascii="Arial" w:hAnsi="Arial" w:cs="Arial"/>
                <w:b/>
                <w:sz w:val="16"/>
                <w:szCs w:val="16"/>
              </w:rPr>
            </w:pPr>
            <w:r w:rsidRPr="00F1465D">
              <w:rPr>
                <w:rFonts w:ascii="Arial" w:hAnsi="Arial" w:cs="Arial"/>
                <w:b/>
                <w:sz w:val="16"/>
                <w:szCs w:val="16"/>
              </w:rPr>
              <w:lastRenderedPageBreak/>
              <w:t>Management Information System Data Abstraction &amp; Submission   (MIS activity)</w:t>
            </w:r>
          </w:p>
        </w:tc>
        <w:tc>
          <w:tcPr>
            <w:tcW w:w="900" w:type="dxa"/>
          </w:tcPr>
          <w:p w:rsidR="00BC4C0F" w:rsidRPr="00F1465D" w:rsidRDefault="00BC4C0F" w:rsidP="00BC4C0F">
            <w:pPr>
              <w:jc w:val="center"/>
              <w:rPr>
                <w:rFonts w:ascii="Arial" w:hAnsi="Arial" w:cs="Arial"/>
                <w:sz w:val="16"/>
                <w:szCs w:val="16"/>
              </w:rPr>
            </w:pPr>
            <w:r w:rsidRPr="00F1465D">
              <w:rPr>
                <w:rFonts w:ascii="Arial" w:hAnsi="Arial" w:cs="Arial"/>
                <w:sz w:val="16"/>
                <w:szCs w:val="16"/>
              </w:rPr>
              <w:t xml:space="preserve">Campus </w:t>
            </w:r>
          </w:p>
        </w:tc>
        <w:tc>
          <w:tcPr>
            <w:tcW w:w="1170" w:type="dxa"/>
          </w:tcPr>
          <w:p w:rsidR="00BC4C0F" w:rsidRPr="00F1465D" w:rsidRDefault="00BC4C0F" w:rsidP="00BC4C0F">
            <w:pPr>
              <w:pStyle w:val="ListParagraph"/>
              <w:ind w:left="0"/>
              <w:jc w:val="center"/>
              <w:rPr>
                <w:rFonts w:ascii="Arial" w:hAnsi="Arial" w:cs="Arial"/>
                <w:sz w:val="16"/>
                <w:szCs w:val="16"/>
              </w:rPr>
            </w:pPr>
            <w:r w:rsidRPr="00F1465D">
              <w:rPr>
                <w:rFonts w:ascii="Arial" w:hAnsi="Arial" w:cs="Arial"/>
                <w:sz w:val="16"/>
                <w:szCs w:val="16"/>
              </w:rPr>
              <w:t>Revised</w:t>
            </w:r>
          </w:p>
        </w:tc>
        <w:tc>
          <w:tcPr>
            <w:tcW w:w="2970" w:type="dxa"/>
            <w:tcMar>
              <w:top w:w="43" w:type="dxa"/>
              <w:left w:w="29" w:type="dxa"/>
              <w:right w:w="29" w:type="dxa"/>
            </w:tcMar>
          </w:tcPr>
          <w:p w:rsidR="00BC4C0F" w:rsidRPr="00F1465D" w:rsidRDefault="00BC4C0F" w:rsidP="00BC4C0F">
            <w:pPr>
              <w:rPr>
                <w:rFonts w:ascii="Arial" w:hAnsi="Arial" w:cs="Arial"/>
                <w:sz w:val="16"/>
                <w:szCs w:val="16"/>
              </w:rPr>
            </w:pPr>
            <w:r w:rsidRPr="00F1465D">
              <w:rPr>
                <w:rFonts w:ascii="Arial" w:hAnsi="Arial" w:cs="Arial"/>
                <w:b/>
                <w:i/>
                <w:sz w:val="16"/>
                <w:szCs w:val="16"/>
              </w:rPr>
              <w:t xml:space="preserve">Response rate: </w:t>
            </w:r>
            <w:r w:rsidRPr="00F1465D">
              <w:rPr>
                <w:rFonts w:ascii="Arial" w:hAnsi="Arial" w:cs="Arial"/>
                <w:sz w:val="16"/>
                <w:szCs w:val="16"/>
              </w:rPr>
              <w:t>Almost all grantees participate in the MIS, among currently funded grantees 100% of campuses participated in the last MIS administration.</w:t>
            </w:r>
          </w:p>
          <w:p w:rsidR="00BC4C0F" w:rsidRPr="00F1465D" w:rsidRDefault="00BC4C0F" w:rsidP="00BC4C0F">
            <w:pPr>
              <w:rPr>
                <w:rFonts w:ascii="Arial" w:hAnsi="Arial" w:cs="Arial"/>
                <w:sz w:val="16"/>
                <w:szCs w:val="16"/>
              </w:rPr>
            </w:pPr>
          </w:p>
          <w:p w:rsidR="00BC4C0F" w:rsidRPr="00F1465D" w:rsidRDefault="00BC4C0F" w:rsidP="00BC4C0F">
            <w:pPr>
              <w:rPr>
                <w:rFonts w:ascii="Arial" w:hAnsi="Arial" w:cs="Arial"/>
                <w:sz w:val="16"/>
                <w:szCs w:val="16"/>
              </w:rPr>
            </w:pPr>
            <w:r w:rsidRPr="00F1465D">
              <w:rPr>
                <w:rFonts w:ascii="Arial" w:hAnsi="Arial" w:cs="Arial"/>
                <w:b/>
                <w:i/>
                <w:sz w:val="16"/>
                <w:szCs w:val="16"/>
              </w:rPr>
              <w:t>Psychometric Analyses:</w:t>
            </w:r>
            <w:r w:rsidRPr="00F1465D">
              <w:rPr>
                <w:rFonts w:ascii="Arial" w:hAnsi="Arial" w:cs="Arial"/>
                <w:b/>
                <w:sz w:val="16"/>
                <w:szCs w:val="16"/>
              </w:rPr>
              <w:t xml:space="preserve"> </w:t>
            </w:r>
            <w:r w:rsidRPr="00F1465D">
              <w:rPr>
                <w:rFonts w:ascii="Arial" w:hAnsi="Arial" w:cs="Arial"/>
                <w:sz w:val="16"/>
                <w:szCs w:val="16"/>
              </w:rPr>
              <w:t>Not appropriate for the MIS.</w:t>
            </w:r>
          </w:p>
        </w:tc>
        <w:tc>
          <w:tcPr>
            <w:tcW w:w="2430" w:type="dxa"/>
            <w:tcMar>
              <w:top w:w="58" w:type="dxa"/>
              <w:left w:w="115" w:type="dxa"/>
              <w:right w:w="115" w:type="dxa"/>
            </w:tcMar>
          </w:tcPr>
          <w:p w:rsidR="00BC4C0F" w:rsidRPr="00F1465D" w:rsidRDefault="00BC4C0F" w:rsidP="00BC4C0F">
            <w:pPr>
              <w:jc w:val="both"/>
              <w:rPr>
                <w:rFonts w:ascii="Arial" w:hAnsi="Arial" w:cs="Arial"/>
                <w:sz w:val="16"/>
                <w:szCs w:val="16"/>
              </w:rPr>
            </w:pPr>
            <w:r w:rsidRPr="00F1465D">
              <w:rPr>
                <w:rFonts w:ascii="Arial" w:hAnsi="Arial" w:cs="Arial"/>
                <w:b/>
                <w:i/>
                <w:sz w:val="16"/>
                <w:szCs w:val="16"/>
              </w:rPr>
              <w:t>Featured Changes:</w:t>
            </w:r>
            <w:r w:rsidRPr="00F1465D">
              <w:rPr>
                <w:rFonts w:ascii="Arial" w:hAnsi="Arial" w:cs="Arial"/>
                <w:sz w:val="16"/>
                <w:szCs w:val="16"/>
              </w:rPr>
              <w:t xml:space="preserve"> The MIS will request information about the number of student suicide attempts and completions for 5 years previous to grant funding at baseline and for the previous Academic year thereafter.</w:t>
            </w:r>
          </w:p>
          <w:p w:rsidR="00BC4C0F" w:rsidRPr="00F1465D" w:rsidRDefault="00BC4C0F" w:rsidP="00BC4C0F">
            <w:pPr>
              <w:jc w:val="both"/>
              <w:rPr>
                <w:rFonts w:ascii="Arial" w:hAnsi="Arial" w:cs="Arial"/>
                <w:sz w:val="16"/>
                <w:szCs w:val="16"/>
              </w:rPr>
            </w:pPr>
          </w:p>
          <w:p w:rsidR="00BC4C0F" w:rsidRPr="00F1465D" w:rsidRDefault="00BC4C0F" w:rsidP="00BC4C0F">
            <w:pPr>
              <w:jc w:val="both"/>
              <w:rPr>
                <w:rFonts w:ascii="Arial" w:hAnsi="Arial" w:cs="Arial"/>
                <w:i/>
                <w:sz w:val="16"/>
                <w:szCs w:val="16"/>
              </w:rPr>
            </w:pPr>
            <w:r w:rsidRPr="00F1465D">
              <w:rPr>
                <w:rFonts w:ascii="Arial" w:hAnsi="Arial" w:cs="Arial"/>
                <w:i/>
                <w:sz w:val="16"/>
                <w:szCs w:val="16"/>
              </w:rPr>
              <w:t xml:space="preserve">No revisions related to response rates proposed; content changes only. </w:t>
            </w:r>
          </w:p>
          <w:p w:rsidR="00BC4C0F" w:rsidRPr="00F1465D" w:rsidRDefault="00BC4C0F" w:rsidP="00BC4C0F">
            <w:pPr>
              <w:jc w:val="both"/>
              <w:rPr>
                <w:rFonts w:ascii="Arial" w:hAnsi="Arial" w:cs="Arial"/>
                <w:sz w:val="16"/>
                <w:szCs w:val="16"/>
              </w:rPr>
            </w:pPr>
          </w:p>
        </w:tc>
      </w:tr>
    </w:tbl>
    <w:p w:rsidR="00BC4C0F" w:rsidRPr="00F1465D" w:rsidRDefault="00BC4C0F" w:rsidP="000D02DE">
      <w:pPr>
        <w:pStyle w:val="SuicideHead2"/>
      </w:pPr>
    </w:p>
    <w:p w:rsidR="00BC4C0F" w:rsidRPr="00F1465D" w:rsidRDefault="00BC4C0F" w:rsidP="000D02DE">
      <w:pPr>
        <w:pStyle w:val="SuicideHead2"/>
      </w:pPr>
    </w:p>
    <w:p w:rsidR="007A2223" w:rsidRPr="00F1465D" w:rsidRDefault="007A2223" w:rsidP="000D02DE">
      <w:pPr>
        <w:pStyle w:val="SuicideHead2"/>
      </w:pPr>
      <w:r w:rsidRPr="00F1465D">
        <w:t>4.</w:t>
      </w:r>
      <w:r w:rsidRPr="00F1465D">
        <w:tab/>
        <w:t xml:space="preserve">Tests </w:t>
      </w:r>
      <w:r w:rsidR="0040257B" w:rsidRPr="00F1465D">
        <w:t xml:space="preserve">of </w:t>
      </w:r>
      <w:r w:rsidRPr="00F1465D">
        <w:t>Procedures</w:t>
      </w:r>
      <w:bookmarkEnd w:id="8"/>
      <w:r w:rsidRPr="00F1465D">
        <w:t xml:space="preserve"> </w:t>
      </w:r>
      <w:bookmarkEnd w:id="9"/>
    </w:p>
    <w:p w:rsidR="008D2EF9" w:rsidRPr="00F1465D" w:rsidRDefault="007A2223" w:rsidP="000D02DE">
      <w:pPr>
        <w:pStyle w:val="SuicideBodyText"/>
      </w:pPr>
      <w:r w:rsidRPr="00F1465D">
        <w:t xml:space="preserve">The </w:t>
      </w:r>
      <w:r w:rsidR="002E1A2E" w:rsidRPr="00F1465D">
        <w:t>GLS</w:t>
      </w:r>
      <w:r w:rsidRPr="00F1465D">
        <w:t xml:space="preserve"> Suicide Prevention and Early Intervention Program is the first federally funded program to support suicide prevention programs in State</w:t>
      </w:r>
      <w:r w:rsidR="00961D31" w:rsidRPr="00F1465D">
        <w:t>/</w:t>
      </w:r>
      <w:r w:rsidR="00DE5BF1" w:rsidRPr="00F1465D">
        <w:t xml:space="preserve">Tribal </w:t>
      </w:r>
      <w:r w:rsidRPr="00F1465D">
        <w:t xml:space="preserve">communities and </w:t>
      </w:r>
      <w:r w:rsidR="00DE5BF1" w:rsidRPr="00F1465D">
        <w:t>Campuses</w:t>
      </w:r>
      <w:r w:rsidRPr="00F1465D">
        <w:t>.</w:t>
      </w:r>
      <w:r w:rsidR="008D2EF9" w:rsidRPr="00F1465D">
        <w:t xml:space="preserve"> Drawing upon our experience of </w:t>
      </w:r>
      <w:r w:rsidR="00DE5BF1" w:rsidRPr="00F1465D">
        <w:t xml:space="preserve">3 </w:t>
      </w:r>
      <w:r w:rsidR="008D2EF9" w:rsidRPr="00F1465D">
        <w:t>years of data collection for the cross-site evaluation and feedback from grantees, improvements</w:t>
      </w:r>
      <w:r w:rsidR="00784182" w:rsidRPr="00F1465D">
        <w:t xml:space="preserve"> have been made</w:t>
      </w:r>
      <w:r w:rsidR="008D2EF9" w:rsidRPr="00F1465D">
        <w:t xml:space="preserve"> to the administration protocols and content of cross-site evaluation data collection instruments. </w:t>
      </w:r>
    </w:p>
    <w:p w:rsidR="008D2EF9" w:rsidRPr="00F1465D" w:rsidRDefault="008D2EF9" w:rsidP="000D02DE">
      <w:pPr>
        <w:pStyle w:val="SuicideBodyText"/>
      </w:pPr>
    </w:p>
    <w:p w:rsidR="007A2223" w:rsidRPr="00F1465D" w:rsidRDefault="007A2223" w:rsidP="000D02DE">
      <w:pPr>
        <w:pStyle w:val="SuicideBodyText"/>
        <w:rPr>
          <w:rFonts w:cs="Arial"/>
        </w:rPr>
      </w:pPr>
      <w:r w:rsidRPr="00F1465D">
        <w:rPr>
          <w:lang w:val="en-CA"/>
        </w:rPr>
        <w:t>As new measures were developed, standard instrument development procedures</w:t>
      </w:r>
      <w:r w:rsidR="00DE5BF1" w:rsidRPr="00F1465D">
        <w:rPr>
          <w:lang w:val="en-CA"/>
        </w:rPr>
        <w:t>,</w:t>
      </w:r>
      <w:r w:rsidRPr="00F1465D">
        <w:rPr>
          <w:lang w:val="en-CA"/>
        </w:rPr>
        <w:t xml:space="preserve"> including review of the literature, item development, and content review by experts in the field</w:t>
      </w:r>
      <w:r w:rsidR="00B84F42" w:rsidRPr="00F1465D">
        <w:rPr>
          <w:lang w:val="en-CA"/>
        </w:rPr>
        <w:t xml:space="preserve"> were used</w:t>
      </w:r>
      <w:r w:rsidR="00523EB9" w:rsidRPr="00F1465D">
        <w:rPr>
          <w:lang w:val="en-CA"/>
        </w:rPr>
        <w:t xml:space="preserve">. </w:t>
      </w:r>
      <w:r w:rsidRPr="00F1465D">
        <w:t>All instruments underwent cognitive and/or pilot testing, and/or expert review</w:t>
      </w:r>
      <w:r w:rsidR="00523EB9" w:rsidRPr="00F1465D">
        <w:t xml:space="preserve">. </w:t>
      </w:r>
      <w:r w:rsidRPr="00F1465D">
        <w:t xml:space="preserve">These procedures were used to enhance question accuracy and determine administration times. In addition, </w:t>
      </w:r>
      <w:r w:rsidR="00DE5BF1" w:rsidRPr="00F1465D">
        <w:t>Web</w:t>
      </w:r>
      <w:r w:rsidRPr="00F1465D">
        <w:t>-enabled</w:t>
      </w:r>
      <w:r w:rsidR="00A96CC4" w:rsidRPr="00F1465D">
        <w:t xml:space="preserve"> and SMS</w:t>
      </w:r>
      <w:r w:rsidRPr="00F1465D">
        <w:t xml:space="preserve"> instruments will undergo usability testing prior to fielding</w:t>
      </w:r>
      <w:r w:rsidR="00523EB9" w:rsidRPr="00F1465D">
        <w:t xml:space="preserve">. </w:t>
      </w:r>
      <w:r w:rsidRPr="00F1465D">
        <w:rPr>
          <w:rFonts w:cs="Arial"/>
        </w:rPr>
        <w:t>Usability testing refers to pilot testing of the interface for administering questionnaires to determine the most efficient and understandable presentation. Typically</w:t>
      </w:r>
      <w:r w:rsidR="00DE5BF1" w:rsidRPr="00F1465D">
        <w:rPr>
          <w:rFonts w:cs="Arial"/>
        </w:rPr>
        <w:t>,</w:t>
      </w:r>
      <w:r w:rsidRPr="00F1465D">
        <w:rPr>
          <w:rFonts w:cs="Arial"/>
        </w:rPr>
        <w:t xml:space="preserve"> this is completed with a prototype and modifications are made before final fielding</w:t>
      </w:r>
      <w:r w:rsidR="00523EB9" w:rsidRPr="00F1465D">
        <w:rPr>
          <w:rFonts w:cs="Arial"/>
        </w:rPr>
        <w:t xml:space="preserve">. </w:t>
      </w:r>
    </w:p>
    <w:p w:rsidR="007A2223" w:rsidRPr="00F1465D" w:rsidRDefault="007A2223" w:rsidP="000D02DE">
      <w:pPr>
        <w:pStyle w:val="SuicideBodyText"/>
        <w:rPr>
          <w:lang w:val="en-CA"/>
        </w:rPr>
      </w:pPr>
    </w:p>
    <w:p w:rsidR="007A2223" w:rsidRPr="00F1465D" w:rsidRDefault="007A2223" w:rsidP="000D02DE">
      <w:pPr>
        <w:pStyle w:val="SuicideBodyText"/>
      </w:pPr>
      <w:r w:rsidRPr="00F1465D">
        <w:t xml:space="preserve">First, a thorough review of the literature was conducted related to suicide prevention training activities and suicide awareness and knowledge in efforts to develop the </w:t>
      </w:r>
      <w:r w:rsidRPr="00F1465D">
        <w:rPr>
          <w:b/>
        </w:rPr>
        <w:t>Training Exit Survey</w:t>
      </w:r>
      <w:r w:rsidRPr="00F1465D">
        <w:t xml:space="preserve">, the </w:t>
      </w:r>
      <w:r w:rsidRPr="00F1465D">
        <w:rPr>
          <w:b/>
        </w:rPr>
        <w:t xml:space="preserve">Training Utilization and </w:t>
      </w:r>
      <w:r w:rsidR="006C7742" w:rsidRPr="00F1465D">
        <w:rPr>
          <w:b/>
        </w:rPr>
        <w:t>Preservation Survey</w:t>
      </w:r>
      <w:r w:rsidRPr="00F1465D">
        <w:t xml:space="preserve">, and the </w:t>
      </w:r>
      <w:r w:rsidR="006C7742" w:rsidRPr="00F1465D">
        <w:rPr>
          <w:b/>
        </w:rPr>
        <w:t>Student Awareness Intercept Survey</w:t>
      </w:r>
      <w:r w:rsidRPr="00F1465D">
        <w:t xml:space="preserve">. In addition, experts in mental health referral networks were consulted in developing the </w:t>
      </w:r>
      <w:r w:rsidRPr="00F1465D">
        <w:rPr>
          <w:b/>
        </w:rPr>
        <w:t>Referral Network Survey</w:t>
      </w:r>
      <w:r w:rsidR="00523EB9" w:rsidRPr="00F1465D">
        <w:rPr>
          <w:b/>
        </w:rPr>
        <w:t>.</w:t>
      </w:r>
      <w:r w:rsidR="00523EB9" w:rsidRPr="00F1465D">
        <w:t xml:space="preserve"> </w:t>
      </w:r>
      <w:r w:rsidRPr="00F1465D">
        <w:t>Second, drafts of the instruments were developed and reviewed by cross-site evaluation team members</w:t>
      </w:r>
      <w:r w:rsidR="00A9194D" w:rsidRPr="00F1465D">
        <w:t>,</w:t>
      </w:r>
      <w:r w:rsidR="00A96CC4" w:rsidRPr="00F1465D">
        <w:t xml:space="preserve"> survey methodologists,</w:t>
      </w:r>
      <w:r w:rsidR="00A9194D" w:rsidRPr="00F1465D">
        <w:t xml:space="preserve"> representatives from SAMHSA, and </w:t>
      </w:r>
      <w:r w:rsidRPr="00F1465D">
        <w:t xml:space="preserve">content experts in the field of suicide prevention. Third, </w:t>
      </w:r>
      <w:r w:rsidR="00A96CC4" w:rsidRPr="00F1465D">
        <w:t>item analyses were conducted across instruments to be sure that key critical items were assessed similarly across all questionnaires. Fourth,</w:t>
      </w:r>
      <w:r w:rsidR="00DE5BF1" w:rsidRPr="00F1465D">
        <w:t xml:space="preserve"> in an effort to enhance question accuracy and determine administration time,</w:t>
      </w:r>
      <w:r w:rsidR="00A96CC4" w:rsidRPr="00F1465D">
        <w:t xml:space="preserve"> </w:t>
      </w:r>
      <w:r w:rsidRPr="00F1465D">
        <w:t xml:space="preserve">the revised instruments underwent cognitive testing and/or pilot testing on no more than </w:t>
      </w:r>
      <w:r w:rsidR="00DE5BF1" w:rsidRPr="00F1465D">
        <w:t xml:space="preserve">nine </w:t>
      </w:r>
      <w:r w:rsidRPr="00F1465D">
        <w:t>respondents matching the type appropriate for the instrument</w:t>
      </w:r>
      <w:r w:rsidR="00523EB9" w:rsidRPr="00F1465D">
        <w:t xml:space="preserve">. </w:t>
      </w:r>
    </w:p>
    <w:p w:rsidR="007A2223" w:rsidRPr="00F1465D" w:rsidRDefault="007A2223" w:rsidP="002E02E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A2223" w:rsidRPr="00F1465D" w:rsidRDefault="007A2223" w:rsidP="000D02DE">
      <w:pPr>
        <w:pStyle w:val="SuicideHead2"/>
      </w:pPr>
      <w:bookmarkStart w:id="10" w:name="_Toc128970989"/>
      <w:bookmarkStart w:id="11" w:name="_Toc348703731"/>
      <w:r w:rsidRPr="00F1465D">
        <w:lastRenderedPageBreak/>
        <w:t>5.</w:t>
      </w:r>
      <w:r w:rsidRPr="00F1465D">
        <w:tab/>
        <w:t>Statistical Consultants</w:t>
      </w:r>
      <w:bookmarkEnd w:id="10"/>
      <w:bookmarkEnd w:id="11"/>
    </w:p>
    <w:p w:rsidR="007A2223" w:rsidRPr="00F1465D" w:rsidRDefault="007A2223" w:rsidP="000D02DE">
      <w:pPr>
        <w:pStyle w:val="SuicideBodyText"/>
      </w:pPr>
      <w:r w:rsidRPr="00F1465D">
        <w:t xml:space="preserve">The cross-site evaluator has full responsibility for the development of the overall statistical design, and assumes oversight responsibility for data collection and analysis. Training, </w:t>
      </w:r>
      <w:r w:rsidR="007E23DD" w:rsidRPr="00F1465D">
        <w:t>TA</w:t>
      </w:r>
      <w:r w:rsidRPr="00F1465D">
        <w:t>, and monitoring of data collection will be provided by the cross-site evaluator. The individuals responsible for overseeing data collection and analysis are:</w:t>
      </w:r>
    </w:p>
    <w:p w:rsidR="007A2223" w:rsidRPr="00F1465D" w:rsidRDefault="007A2223" w:rsidP="000D02D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Christine M. Walrath, PhD</w:t>
      </w:r>
    </w:p>
    <w:p w:rsidR="007A2223" w:rsidRPr="00F1465D" w:rsidRDefault="00A96CC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 xml:space="preserve">ICF </w:t>
      </w:r>
      <w:r w:rsidR="007A2223" w:rsidRPr="00F1465D">
        <w:t>Macro, Inc.</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116 John Street, Fl. 8</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New York, NY 10038</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(212) 941-5555</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A2223" w:rsidRPr="00F1465D" w:rsidRDefault="007A2223" w:rsidP="000D02DE">
      <w:pPr>
        <w:pStyle w:val="SuicideBodyText"/>
      </w:pPr>
      <w:r w:rsidRPr="00F1465D">
        <w:t>The following individuals will serve as statistical consultants to this project:</w:t>
      </w:r>
    </w:p>
    <w:p w:rsidR="007A2223" w:rsidRPr="00F1465D" w:rsidRDefault="007A2223">
      <w:pPr>
        <w:ind w:left="720" w:firstLine="720"/>
        <w:jc w:val="both"/>
        <w:rPr>
          <w:lang w:val="en-CA"/>
        </w:rPr>
      </w:pP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Christine M. Walrath, PhD</w:t>
      </w:r>
    </w:p>
    <w:p w:rsidR="007A2223" w:rsidRPr="00F1465D" w:rsidRDefault="0088416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 xml:space="preserve">ICF </w:t>
      </w:r>
      <w:r w:rsidR="007A2223" w:rsidRPr="00F1465D">
        <w:t>Macro, Inc.</w:t>
      </w:r>
    </w:p>
    <w:p w:rsidR="007A2223" w:rsidRPr="00F1465D" w:rsidRDefault="0088416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40 Wall Street, 34</w:t>
      </w:r>
      <w:r w:rsidRPr="00F1465D">
        <w:rPr>
          <w:vertAlign w:val="superscript"/>
        </w:rPr>
        <w:t>th</w:t>
      </w:r>
      <w:r w:rsidRPr="00F1465D">
        <w:t xml:space="preserve"> Floor</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 xml:space="preserve">New York, NY </w:t>
      </w:r>
      <w:r w:rsidR="0088416B" w:rsidRPr="00F1465D">
        <w:t>10005</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(212) 941-5555</w:t>
      </w:r>
    </w:p>
    <w:p w:rsidR="007A2223" w:rsidRPr="00F1465D" w:rsidRDefault="007A2223">
      <w:pPr>
        <w:jc w:val="both"/>
      </w:pP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F1465D">
        <w:t>Robert Stephens, PhD</w:t>
      </w:r>
    </w:p>
    <w:p w:rsidR="007A2223" w:rsidRPr="00F1465D" w:rsidRDefault="0088416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F1465D">
        <w:t xml:space="preserve">ICF </w:t>
      </w:r>
      <w:r w:rsidR="007A2223" w:rsidRPr="00F1465D">
        <w:t>Macro, Inc.</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 xml:space="preserve">3 Corporate </w:t>
      </w:r>
      <w:proofErr w:type="gramStart"/>
      <w:r w:rsidRPr="00F1465D">
        <w:t>Square</w:t>
      </w:r>
      <w:proofErr w:type="gramEnd"/>
      <w:r w:rsidRPr="00F1465D">
        <w:t>, Suite 370</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Atlanta, GA 30329</w:t>
      </w:r>
    </w:p>
    <w:p w:rsidR="007A2223" w:rsidRPr="00F1465D" w:rsidRDefault="007A2223">
      <w:pPr>
        <w:ind w:left="720" w:firstLine="720"/>
        <w:jc w:val="both"/>
      </w:pPr>
      <w:r w:rsidRPr="00F1465D">
        <w:t>(404) 321-3211</w:t>
      </w:r>
    </w:p>
    <w:p w:rsidR="007A2223" w:rsidRPr="00F1465D" w:rsidRDefault="007A2223">
      <w:pPr>
        <w:jc w:val="both"/>
      </w:pP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F1465D">
        <w:t>Ye Xu, MS</w:t>
      </w:r>
    </w:p>
    <w:p w:rsidR="007A2223" w:rsidRPr="00F1465D" w:rsidRDefault="0088416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F1465D">
        <w:t xml:space="preserve">ICF </w:t>
      </w:r>
      <w:r w:rsidR="007A2223" w:rsidRPr="00F1465D">
        <w:t>Macro, Inc.</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 xml:space="preserve">3 Corporate </w:t>
      </w:r>
      <w:proofErr w:type="gramStart"/>
      <w:r w:rsidRPr="00F1465D">
        <w:t>Square</w:t>
      </w:r>
      <w:proofErr w:type="gramEnd"/>
      <w:r w:rsidRPr="00F1465D">
        <w:t>, Suite 370</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F1465D">
        <w:t>Atlanta, GA 30329</w:t>
      </w:r>
    </w:p>
    <w:p w:rsidR="007A2223" w:rsidRPr="00F1465D" w:rsidRDefault="007A2223">
      <w:pPr>
        <w:ind w:left="720" w:firstLine="720"/>
        <w:jc w:val="both"/>
      </w:pPr>
      <w:r w:rsidRPr="00F1465D">
        <w:t>(404) 321-3211</w:t>
      </w:r>
    </w:p>
    <w:p w:rsidR="007145CF" w:rsidRPr="00F1465D" w:rsidRDefault="007145CF">
      <w:pPr>
        <w:ind w:left="720" w:firstLine="720"/>
        <w:jc w:val="both"/>
      </w:pPr>
    </w:p>
    <w:p w:rsidR="000C0B9C" w:rsidRPr="00F1465D" w:rsidRDefault="000C0B9C">
      <w:pPr>
        <w:widowControl/>
        <w:autoSpaceDE/>
        <w:autoSpaceDN/>
        <w:adjustRightInd/>
      </w:pPr>
      <w:r w:rsidRPr="00F1465D">
        <w:br w:type="page"/>
      </w:r>
    </w:p>
    <w:p w:rsidR="007145CF" w:rsidRPr="00F1465D" w:rsidRDefault="007145CF">
      <w:pPr>
        <w:ind w:left="720" w:firstLine="720"/>
        <w:jc w:val="both"/>
      </w:pPr>
      <w:r w:rsidRPr="00F1465D">
        <w:lastRenderedPageBreak/>
        <w:t>Lucas Godoy Garraza</w:t>
      </w:r>
      <w:r w:rsidR="00623EB1" w:rsidRPr="00F1465D">
        <w:t>, MA</w:t>
      </w:r>
    </w:p>
    <w:p w:rsidR="007145CF" w:rsidRPr="00F1465D" w:rsidRDefault="007145CF">
      <w:pPr>
        <w:ind w:left="720" w:firstLine="720"/>
        <w:jc w:val="both"/>
      </w:pPr>
      <w:r w:rsidRPr="00F1465D">
        <w:t>ICF Macro, Inc.</w:t>
      </w:r>
    </w:p>
    <w:p w:rsidR="007145CF" w:rsidRPr="00F1465D" w:rsidRDefault="007145CF">
      <w:pPr>
        <w:ind w:left="720" w:firstLine="720"/>
        <w:jc w:val="both"/>
      </w:pPr>
      <w:r w:rsidRPr="00F1465D">
        <w:t>40 Wall Street, 34</w:t>
      </w:r>
      <w:r w:rsidRPr="00F1465D">
        <w:rPr>
          <w:vertAlign w:val="superscript"/>
        </w:rPr>
        <w:t>th</w:t>
      </w:r>
      <w:r w:rsidRPr="00F1465D">
        <w:t xml:space="preserve"> Floor</w:t>
      </w:r>
    </w:p>
    <w:p w:rsidR="007145CF" w:rsidRPr="00F1465D" w:rsidRDefault="007145CF">
      <w:pPr>
        <w:ind w:left="720" w:firstLine="720"/>
        <w:jc w:val="both"/>
      </w:pPr>
      <w:r w:rsidRPr="00F1465D">
        <w:t>New York, NY 10005</w:t>
      </w:r>
    </w:p>
    <w:p w:rsidR="007145CF" w:rsidRPr="00F1465D" w:rsidRDefault="007145CF">
      <w:pPr>
        <w:ind w:left="720" w:firstLine="720"/>
        <w:jc w:val="both"/>
      </w:pPr>
      <w:r w:rsidRPr="00F1465D">
        <w:t>(212) 941-5555</w:t>
      </w:r>
    </w:p>
    <w:p w:rsidR="007A2223" w:rsidRPr="00F1465D" w:rsidRDefault="007A2223">
      <w:pPr>
        <w:ind w:left="1440"/>
        <w:jc w:val="both"/>
      </w:pPr>
    </w:p>
    <w:p w:rsidR="007A2223" w:rsidRPr="00F1465D" w:rsidRDefault="007A2223">
      <w:pPr>
        <w:ind w:left="1440"/>
        <w:jc w:val="both"/>
      </w:pPr>
      <w:r w:rsidRPr="00F1465D">
        <w:t>David Goldston, PhD</w:t>
      </w:r>
    </w:p>
    <w:p w:rsidR="007A2223" w:rsidRPr="00F1465D" w:rsidRDefault="007A2223">
      <w:pPr>
        <w:tabs>
          <w:tab w:val="left" w:pos="90"/>
        </w:tabs>
        <w:rPr>
          <w:szCs w:val="18"/>
        </w:rPr>
      </w:pPr>
      <w:r w:rsidRPr="00F1465D">
        <w:rPr>
          <w:szCs w:val="18"/>
        </w:rPr>
        <w:tab/>
      </w:r>
      <w:r w:rsidRPr="00F1465D">
        <w:rPr>
          <w:szCs w:val="18"/>
        </w:rPr>
        <w:tab/>
      </w:r>
      <w:r w:rsidRPr="00F1465D">
        <w:rPr>
          <w:szCs w:val="18"/>
        </w:rPr>
        <w:tab/>
        <w:t>Duke University</w:t>
      </w:r>
    </w:p>
    <w:p w:rsidR="007A2223" w:rsidRPr="00F1465D" w:rsidRDefault="007A2223">
      <w:pPr>
        <w:tabs>
          <w:tab w:val="left" w:pos="90"/>
        </w:tabs>
      </w:pPr>
      <w:r w:rsidRPr="00F1465D">
        <w:tab/>
      </w:r>
      <w:r w:rsidRPr="00F1465D">
        <w:tab/>
      </w:r>
      <w:r w:rsidRPr="00F1465D">
        <w:tab/>
        <w:t>Duke Child and Family Study Center</w:t>
      </w:r>
    </w:p>
    <w:p w:rsidR="007A2223" w:rsidRPr="00F1465D" w:rsidRDefault="007A2223">
      <w:pPr>
        <w:tabs>
          <w:tab w:val="left" w:pos="90"/>
        </w:tabs>
        <w:rPr>
          <w:szCs w:val="18"/>
        </w:rPr>
      </w:pPr>
      <w:r w:rsidRPr="00F1465D">
        <w:rPr>
          <w:szCs w:val="18"/>
        </w:rPr>
        <w:tab/>
      </w:r>
      <w:r w:rsidRPr="00F1465D">
        <w:rPr>
          <w:szCs w:val="18"/>
        </w:rPr>
        <w:tab/>
      </w:r>
      <w:r w:rsidRPr="00F1465D">
        <w:rPr>
          <w:szCs w:val="18"/>
        </w:rPr>
        <w:tab/>
        <w:t xml:space="preserve">718 Rutherford </w:t>
      </w:r>
      <w:proofErr w:type="gramStart"/>
      <w:r w:rsidRPr="00F1465D">
        <w:rPr>
          <w:szCs w:val="18"/>
        </w:rPr>
        <w:t>Street</w:t>
      </w:r>
      <w:proofErr w:type="gramEnd"/>
      <w:r w:rsidRPr="00F1465D">
        <w:rPr>
          <w:szCs w:val="18"/>
        </w:rPr>
        <w:t xml:space="preserve"> DUMC 3527</w:t>
      </w:r>
    </w:p>
    <w:p w:rsidR="007A2223" w:rsidRPr="00F1465D" w:rsidRDefault="007A2223">
      <w:pPr>
        <w:tabs>
          <w:tab w:val="left" w:pos="90"/>
        </w:tabs>
        <w:ind w:left="1440"/>
        <w:jc w:val="both"/>
        <w:rPr>
          <w:szCs w:val="18"/>
        </w:rPr>
      </w:pPr>
      <w:r w:rsidRPr="00F1465D">
        <w:rPr>
          <w:szCs w:val="18"/>
        </w:rPr>
        <w:t>Durham, NC 27710</w:t>
      </w:r>
    </w:p>
    <w:p w:rsidR="007A2223" w:rsidRPr="00F1465D" w:rsidRDefault="007A2223">
      <w:pPr>
        <w:tabs>
          <w:tab w:val="left" w:pos="90"/>
        </w:tabs>
        <w:ind w:left="1440"/>
        <w:jc w:val="both"/>
      </w:pPr>
      <w:r w:rsidRPr="00F1465D">
        <w:rPr>
          <w:szCs w:val="18"/>
        </w:rPr>
        <w:t>(919) 416-2423</w:t>
      </w:r>
    </w:p>
    <w:p w:rsidR="007A2223" w:rsidRPr="00F1465D" w:rsidRDefault="007A2223">
      <w:pPr>
        <w:jc w:val="both"/>
      </w:pPr>
    </w:p>
    <w:p w:rsidR="007A2223" w:rsidRPr="00F1465D" w:rsidRDefault="007A2223" w:rsidP="000D02DE">
      <w:pPr>
        <w:pStyle w:val="SuicideBodyText"/>
      </w:pPr>
      <w:r w:rsidRPr="00F1465D">
        <w:t>The agency staff person responsible for receiving and approving contract deliverables is:</w:t>
      </w:r>
    </w:p>
    <w:p w:rsidR="007A2223" w:rsidRPr="00F1465D" w:rsidRDefault="007A2223">
      <w:pPr>
        <w:jc w:val="both"/>
      </w:pPr>
    </w:p>
    <w:p w:rsidR="007A2223" w:rsidRPr="00F1465D" w:rsidRDefault="007A2223">
      <w:pPr>
        <w:jc w:val="both"/>
      </w:pPr>
      <w:r w:rsidRPr="00F1465D">
        <w:tab/>
      </w:r>
      <w:r w:rsidRPr="00F1465D">
        <w:tab/>
      </w:r>
      <w:r w:rsidR="007145CF" w:rsidRPr="00F1465D">
        <w:t>Melanie Brown</w:t>
      </w:r>
      <w:r w:rsidRPr="00F1465D">
        <w:t xml:space="preserve">, </w:t>
      </w:r>
      <w:r w:rsidR="00623EB1" w:rsidRPr="00F1465D">
        <w:t>MPH, MA</w:t>
      </w:r>
    </w:p>
    <w:p w:rsidR="007A2223" w:rsidRPr="00F1465D" w:rsidRDefault="007A2223">
      <w:pPr>
        <w:jc w:val="both"/>
      </w:pPr>
      <w:r w:rsidRPr="00F1465D">
        <w:tab/>
      </w:r>
      <w:r w:rsidRPr="00F1465D">
        <w:tab/>
      </w:r>
      <w:r w:rsidR="00F66029" w:rsidRPr="00F1465D">
        <w:t>Suicide Prevention Branch</w:t>
      </w:r>
    </w:p>
    <w:p w:rsidR="007A2223" w:rsidRPr="00F1465D" w:rsidRDefault="007A2223">
      <w:pPr>
        <w:jc w:val="both"/>
      </w:pPr>
      <w:r w:rsidRPr="00F1465D">
        <w:tab/>
      </w:r>
      <w:r w:rsidRPr="00F1465D">
        <w:tab/>
        <w:t>Center for Mental Health Services</w:t>
      </w:r>
    </w:p>
    <w:p w:rsidR="007A2223" w:rsidRPr="00F1465D" w:rsidRDefault="007A2223">
      <w:pPr>
        <w:jc w:val="both"/>
      </w:pPr>
      <w:r w:rsidRPr="00F1465D">
        <w:tab/>
      </w:r>
      <w:r w:rsidRPr="00F1465D">
        <w:tab/>
        <w:t xml:space="preserve">Substance Abuse and Mental Health Services </w:t>
      </w:r>
    </w:p>
    <w:p w:rsidR="007A2223" w:rsidRPr="00F1465D" w:rsidRDefault="007A2223">
      <w:pPr>
        <w:tabs>
          <w:tab w:val="left" w:pos="360"/>
          <w:tab w:val="left" w:pos="6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ind w:right="720"/>
      </w:pPr>
      <w:r w:rsidRPr="00F1465D">
        <w:tab/>
      </w:r>
      <w:r w:rsidRPr="00F1465D">
        <w:tab/>
      </w:r>
      <w:r w:rsidRPr="00F1465D">
        <w:tab/>
      </w:r>
      <w:r w:rsidRPr="00F1465D">
        <w:tab/>
        <w:t>1 Choke Cherry Road</w:t>
      </w:r>
    </w:p>
    <w:p w:rsidR="007A2223" w:rsidRPr="00F1465D" w:rsidRDefault="007A2223">
      <w:pPr>
        <w:tabs>
          <w:tab w:val="left" w:pos="360"/>
          <w:tab w:val="left" w:pos="6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ind w:right="720"/>
      </w:pPr>
      <w:r w:rsidRPr="00F1465D">
        <w:tab/>
      </w:r>
      <w:r w:rsidRPr="00F1465D">
        <w:tab/>
      </w:r>
      <w:r w:rsidRPr="00F1465D">
        <w:tab/>
      </w:r>
      <w:r w:rsidRPr="00F1465D">
        <w:tab/>
        <w:t>Room 6-1105</w:t>
      </w:r>
    </w:p>
    <w:p w:rsidR="007A2223" w:rsidRPr="00F1465D" w:rsidRDefault="007A2223">
      <w:pPr>
        <w:tabs>
          <w:tab w:val="left" w:pos="360"/>
          <w:tab w:val="left" w:pos="6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ind w:right="720"/>
      </w:pPr>
      <w:r w:rsidRPr="00F1465D">
        <w:tab/>
      </w:r>
      <w:r w:rsidRPr="00F1465D">
        <w:tab/>
      </w:r>
      <w:r w:rsidRPr="00F1465D">
        <w:tab/>
      </w:r>
      <w:r w:rsidRPr="00F1465D">
        <w:tab/>
        <w:t>Rockville, MD 20857</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F1465D">
        <w:rPr>
          <w:lang w:val="fr-FR"/>
        </w:rPr>
        <w:tab/>
      </w:r>
      <w:r w:rsidRPr="00F1465D">
        <w:rPr>
          <w:lang w:val="fr-FR"/>
        </w:rPr>
        <w:tab/>
        <w:t>Phone: (240) 276-1873</w:t>
      </w:r>
    </w:p>
    <w:p w:rsidR="007A2223" w:rsidRPr="00F1465D"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7A2223" w:rsidRPr="00F1465D" w:rsidRDefault="007A2223">
      <w:pPr>
        <w:ind w:left="720"/>
        <w:jc w:val="both"/>
        <w:rPr>
          <w:lang w:val="fr-FR"/>
        </w:rPr>
      </w:pPr>
      <w:r w:rsidRPr="00F1465D">
        <w:rPr>
          <w:lang w:val="fr-FR"/>
        </w:rPr>
        <w:br w:type="page"/>
      </w:r>
    </w:p>
    <w:p w:rsidR="007A2223" w:rsidRPr="00F1465D" w:rsidRDefault="007A2223" w:rsidP="000D02DE">
      <w:pPr>
        <w:pStyle w:val="SuicideHead1"/>
        <w:rPr>
          <w:lang w:val="fr-FR"/>
        </w:rPr>
      </w:pPr>
      <w:bookmarkStart w:id="12" w:name="_Toc128970990"/>
      <w:bookmarkStart w:id="13" w:name="_Toc348703732"/>
      <w:r w:rsidRPr="00F1465D">
        <w:rPr>
          <w:lang w:val="fr-FR"/>
        </w:rPr>
        <w:lastRenderedPageBreak/>
        <w:t>References</w:t>
      </w:r>
      <w:bookmarkEnd w:id="12"/>
      <w:bookmarkEnd w:id="13"/>
    </w:p>
    <w:p w:rsidR="00545AEE" w:rsidRPr="00F1465D" w:rsidRDefault="00545AEE" w:rsidP="006A248E">
      <w:pPr>
        <w:tabs>
          <w:tab w:val="left" w:pos="360"/>
        </w:tabs>
        <w:ind w:left="360" w:hanging="360"/>
        <w:jc w:val="both"/>
        <w:rPr>
          <w:lang w:val="fr-FR"/>
        </w:rPr>
      </w:pPr>
      <w:r w:rsidRPr="00F1465D">
        <w:rPr>
          <w:lang w:val="fr-FR"/>
        </w:rPr>
        <w:t xml:space="preserve">American Association of Suicidology (2010). Youth Suicidal </w:t>
      </w:r>
      <w:r w:rsidR="0025633F" w:rsidRPr="00F1465D">
        <w:rPr>
          <w:lang w:val="fr-FR"/>
        </w:rPr>
        <w:t xml:space="preserve">Fact Sheet: Based on 2010 Data. </w:t>
      </w:r>
      <w:r w:rsidR="0008783B" w:rsidRPr="00F1465D">
        <w:rPr>
          <w:lang w:val="fr-FR"/>
        </w:rPr>
        <w:t>Retrieved February 2010, from</w:t>
      </w:r>
      <w:r w:rsidR="0025633F" w:rsidRPr="00F1465D">
        <w:rPr>
          <w:lang w:val="fr-FR"/>
        </w:rPr>
        <w:t xml:space="preserve"> </w:t>
      </w:r>
    </w:p>
    <w:p w:rsidR="0025633F" w:rsidRPr="00F1465D" w:rsidRDefault="0025633F" w:rsidP="006A248E">
      <w:pPr>
        <w:tabs>
          <w:tab w:val="left" w:pos="360"/>
        </w:tabs>
        <w:ind w:left="360"/>
        <w:jc w:val="both"/>
        <w:rPr>
          <w:lang w:val="fr-FR"/>
        </w:rPr>
      </w:pPr>
      <w:r w:rsidRPr="00F1465D">
        <w:rPr>
          <w:lang w:val="fr-FR"/>
        </w:rPr>
        <w:t>http://www.suicidology.org/c/document_library/get_file?folderId=262&amp;name=DLFE-627.pdf</w:t>
      </w:r>
    </w:p>
    <w:p w:rsidR="0025633F" w:rsidRPr="00F1465D" w:rsidRDefault="0025633F" w:rsidP="006A248E">
      <w:pPr>
        <w:tabs>
          <w:tab w:val="left" w:pos="360"/>
        </w:tabs>
        <w:ind w:left="360" w:hanging="360"/>
        <w:jc w:val="both"/>
        <w:rPr>
          <w:sz w:val="16"/>
          <w:szCs w:val="16"/>
          <w:lang w:val="fr-FR"/>
        </w:rPr>
      </w:pPr>
    </w:p>
    <w:p w:rsidR="000517D9" w:rsidRPr="00F1465D" w:rsidRDefault="000517D9" w:rsidP="006A248E">
      <w:pPr>
        <w:tabs>
          <w:tab w:val="left" w:pos="360"/>
        </w:tabs>
        <w:ind w:left="360" w:hanging="360"/>
        <w:jc w:val="both"/>
        <w:rPr>
          <w:lang w:val="fr-FR"/>
        </w:rPr>
      </w:pPr>
      <w:r w:rsidRPr="00F1465D">
        <w:rPr>
          <w:lang w:val="fr-FR"/>
        </w:rPr>
        <w:t>American College Health Association.</w:t>
      </w:r>
      <w:r w:rsidR="0008783B" w:rsidRPr="00F1465D">
        <w:rPr>
          <w:lang w:val="fr-FR"/>
        </w:rPr>
        <w:t xml:space="preserve"> (2012, Spring).</w:t>
      </w:r>
      <w:r w:rsidRPr="00F1465D">
        <w:rPr>
          <w:lang w:val="fr-FR"/>
        </w:rPr>
        <w:t xml:space="preserve"> American College Health Association-National College Health Assessment II : Undergraduate Reference Group Executive Summary Hanover, MD</w:t>
      </w:r>
      <w:r w:rsidR="0008783B" w:rsidRPr="00F1465D">
        <w:rPr>
          <w:lang w:val="fr-FR"/>
        </w:rPr>
        <w:t>.</w:t>
      </w:r>
      <w:r w:rsidRPr="00F1465D">
        <w:rPr>
          <w:lang w:val="fr-FR"/>
        </w:rPr>
        <w:t> </w:t>
      </w:r>
    </w:p>
    <w:p w:rsidR="006A248E" w:rsidRPr="00F1465D" w:rsidRDefault="006A248E" w:rsidP="006A248E">
      <w:pPr>
        <w:tabs>
          <w:tab w:val="left" w:pos="360"/>
        </w:tabs>
        <w:ind w:left="360" w:hanging="360"/>
        <w:jc w:val="both"/>
        <w:rPr>
          <w:sz w:val="16"/>
          <w:szCs w:val="16"/>
        </w:rPr>
      </w:pPr>
    </w:p>
    <w:p w:rsidR="000517D9" w:rsidRPr="00F1465D" w:rsidRDefault="000517D9" w:rsidP="006A248E">
      <w:pPr>
        <w:tabs>
          <w:tab w:val="left" w:pos="360"/>
        </w:tabs>
        <w:ind w:left="360" w:hanging="360"/>
        <w:jc w:val="both"/>
        <w:rPr>
          <w:lang w:val="fr-FR"/>
        </w:rPr>
      </w:pPr>
      <w:r w:rsidRPr="00F1465D">
        <w:t>Cash</w:t>
      </w:r>
      <w:r w:rsidR="0008783B" w:rsidRPr="00F1465D">
        <w:t>,</w:t>
      </w:r>
      <w:r w:rsidRPr="00F1465D">
        <w:t xml:space="preserve"> S</w:t>
      </w:r>
      <w:r w:rsidR="0008783B" w:rsidRPr="00F1465D">
        <w:t>.</w:t>
      </w:r>
      <w:r w:rsidRPr="00F1465D">
        <w:t>J</w:t>
      </w:r>
      <w:r w:rsidR="0008783B" w:rsidRPr="00F1465D">
        <w:t>.</w:t>
      </w:r>
      <w:r w:rsidRPr="00F1465D">
        <w:t>, Bridge</w:t>
      </w:r>
      <w:r w:rsidR="0008783B" w:rsidRPr="00F1465D">
        <w:t>,</w:t>
      </w:r>
      <w:r w:rsidRPr="00F1465D">
        <w:t xml:space="preserve"> J</w:t>
      </w:r>
      <w:r w:rsidR="0008783B" w:rsidRPr="00F1465D">
        <w:t>.</w:t>
      </w:r>
      <w:r w:rsidRPr="00F1465D">
        <w:t>A</w:t>
      </w:r>
      <w:r w:rsidR="0008783B" w:rsidRPr="00F1465D">
        <w:t>.</w:t>
      </w:r>
      <w:r w:rsidRPr="00F1465D">
        <w:t xml:space="preserve"> (2009</w:t>
      </w:r>
      <w:r w:rsidR="0008783B" w:rsidRPr="00F1465D">
        <w:t>, October</w:t>
      </w:r>
      <w:r w:rsidRPr="00F1465D">
        <w:t xml:space="preserve">). Epidemiology of Youth Suicide and Suicidal Behavior. </w:t>
      </w:r>
      <w:r w:rsidRPr="00F1465D">
        <w:rPr>
          <w:i/>
        </w:rPr>
        <w:t>Curr</w:t>
      </w:r>
      <w:r w:rsidR="0008783B" w:rsidRPr="00F1465D">
        <w:rPr>
          <w:i/>
        </w:rPr>
        <w:t>ent</w:t>
      </w:r>
      <w:r w:rsidRPr="00F1465D">
        <w:rPr>
          <w:i/>
        </w:rPr>
        <w:t xml:space="preserve"> Opin</w:t>
      </w:r>
      <w:r w:rsidR="0008783B" w:rsidRPr="00F1465D">
        <w:rPr>
          <w:i/>
        </w:rPr>
        <w:t>ion in</w:t>
      </w:r>
      <w:r w:rsidRPr="00F1465D">
        <w:rPr>
          <w:i/>
        </w:rPr>
        <w:t xml:space="preserve"> Pediatr</w:t>
      </w:r>
      <w:r w:rsidR="0008783B" w:rsidRPr="00F1465D">
        <w:rPr>
          <w:i/>
        </w:rPr>
        <w:t>ics</w:t>
      </w:r>
      <w:r w:rsidR="0008783B" w:rsidRPr="00F1465D">
        <w:t>,</w:t>
      </w:r>
      <w:r w:rsidRPr="00F1465D">
        <w:t xml:space="preserve"> </w:t>
      </w:r>
      <w:r w:rsidRPr="00F1465D">
        <w:rPr>
          <w:i/>
        </w:rPr>
        <w:t>21</w:t>
      </w:r>
      <w:r w:rsidRPr="00F1465D">
        <w:t>(5)</w:t>
      </w:r>
      <w:r w:rsidR="0008783B" w:rsidRPr="00F1465D">
        <w:t xml:space="preserve">, </w:t>
      </w:r>
      <w:r w:rsidRPr="00F1465D">
        <w:t>613-</w:t>
      </w:r>
      <w:r w:rsidR="0008783B" w:rsidRPr="00F1465D">
        <w:t>61</w:t>
      </w:r>
      <w:r w:rsidRPr="00F1465D">
        <w:t xml:space="preserve">9. </w:t>
      </w:r>
    </w:p>
    <w:p w:rsidR="006A248E" w:rsidRPr="00F1465D" w:rsidRDefault="006A248E" w:rsidP="006A248E">
      <w:pPr>
        <w:tabs>
          <w:tab w:val="left" w:pos="360"/>
        </w:tabs>
        <w:ind w:left="360" w:hanging="360"/>
        <w:jc w:val="both"/>
        <w:rPr>
          <w:sz w:val="16"/>
          <w:szCs w:val="16"/>
          <w:lang w:val="fr-FR"/>
        </w:rPr>
      </w:pPr>
    </w:p>
    <w:p w:rsidR="007A2223" w:rsidRPr="00F1465D" w:rsidRDefault="007A2223" w:rsidP="006A248E">
      <w:pPr>
        <w:tabs>
          <w:tab w:val="left" w:pos="360"/>
          <w:tab w:val="left" w:pos="810"/>
        </w:tabs>
        <w:ind w:left="360" w:hanging="360"/>
        <w:jc w:val="both"/>
      </w:pPr>
      <w:r w:rsidRPr="00F1465D">
        <w:t xml:space="preserve">Dillman, D. (2000). </w:t>
      </w:r>
      <w:r w:rsidRPr="00F1465D">
        <w:rPr>
          <w:i/>
          <w:iCs/>
        </w:rPr>
        <w:t>Mail and Internet Surveys-Second Edition</w:t>
      </w:r>
      <w:r w:rsidR="00523EB9" w:rsidRPr="00F1465D">
        <w:t xml:space="preserve">. </w:t>
      </w:r>
      <w:r w:rsidRPr="00F1465D">
        <w:t>New York, NY: John Wiley &amp; Sons, Inc.</w:t>
      </w:r>
    </w:p>
    <w:p w:rsidR="006A248E" w:rsidRPr="00F1465D" w:rsidRDefault="006A248E" w:rsidP="006A248E">
      <w:pPr>
        <w:tabs>
          <w:tab w:val="left" w:pos="360"/>
        </w:tabs>
        <w:ind w:left="360" w:hanging="360"/>
        <w:jc w:val="both"/>
        <w:rPr>
          <w:sz w:val="16"/>
          <w:szCs w:val="16"/>
          <w:lang w:val="fr-FR"/>
        </w:rPr>
      </w:pPr>
    </w:p>
    <w:p w:rsidR="007A2223" w:rsidRPr="00F1465D" w:rsidRDefault="007A2223" w:rsidP="006A248E">
      <w:pPr>
        <w:tabs>
          <w:tab w:val="left" w:pos="360"/>
          <w:tab w:val="left" w:pos="810"/>
        </w:tabs>
        <w:ind w:left="360" w:hanging="360"/>
        <w:jc w:val="both"/>
      </w:pPr>
      <w:r w:rsidRPr="00F1465D">
        <w:t>Eggert</w:t>
      </w:r>
      <w:r w:rsidR="0008783B" w:rsidRPr="00F1465D">
        <w:t>,</w:t>
      </w:r>
      <w:r w:rsidRPr="00F1465D">
        <w:t xml:space="preserve"> L</w:t>
      </w:r>
      <w:r w:rsidR="0008783B" w:rsidRPr="00F1465D">
        <w:t>.</w:t>
      </w:r>
      <w:r w:rsidRPr="00F1465D">
        <w:t>L</w:t>
      </w:r>
      <w:r w:rsidR="0008783B" w:rsidRPr="00F1465D">
        <w:t>.</w:t>
      </w:r>
      <w:r w:rsidRPr="00F1465D">
        <w:t>, Nicholas</w:t>
      </w:r>
      <w:r w:rsidR="0008783B" w:rsidRPr="00F1465D">
        <w:t>,</w:t>
      </w:r>
      <w:r w:rsidRPr="00F1465D">
        <w:t xml:space="preserve"> L</w:t>
      </w:r>
      <w:r w:rsidR="0008783B" w:rsidRPr="00F1465D">
        <w:t>.</w:t>
      </w:r>
      <w:r w:rsidRPr="00F1465D">
        <w:t>J</w:t>
      </w:r>
      <w:r w:rsidR="0008783B" w:rsidRPr="00F1465D">
        <w:t>.</w:t>
      </w:r>
      <w:r w:rsidRPr="00F1465D">
        <w:t>, Owen</w:t>
      </w:r>
      <w:r w:rsidR="0008783B" w:rsidRPr="00F1465D">
        <w:t>,</w:t>
      </w:r>
      <w:r w:rsidRPr="00F1465D">
        <w:t xml:space="preserve"> L</w:t>
      </w:r>
      <w:r w:rsidR="0008783B" w:rsidRPr="00F1465D">
        <w:t>.</w:t>
      </w:r>
      <w:r w:rsidRPr="00F1465D">
        <w:t xml:space="preserve">M. </w:t>
      </w:r>
      <w:r w:rsidR="0008783B" w:rsidRPr="00F1465D">
        <w:t>(</w:t>
      </w:r>
      <w:r w:rsidRPr="00F1465D">
        <w:t>1995</w:t>
      </w:r>
      <w:r w:rsidR="0008783B" w:rsidRPr="00F1465D">
        <w:t>)</w:t>
      </w:r>
      <w:r w:rsidRPr="00F1465D">
        <w:t>. Reconnecting Youth: A Peer Group Approach to Building Life Skills. National Educational Service</w:t>
      </w:r>
      <w:r w:rsidR="0008783B" w:rsidRPr="00F1465D">
        <w:t>, Bloomington, IN</w:t>
      </w:r>
      <w:r w:rsidRPr="00F1465D">
        <w:t>.</w:t>
      </w:r>
    </w:p>
    <w:p w:rsidR="006A248E" w:rsidRPr="00F1465D" w:rsidRDefault="006A248E" w:rsidP="006A248E">
      <w:pPr>
        <w:tabs>
          <w:tab w:val="left" w:pos="360"/>
        </w:tabs>
        <w:ind w:left="360" w:hanging="360"/>
        <w:jc w:val="both"/>
        <w:rPr>
          <w:sz w:val="16"/>
          <w:szCs w:val="16"/>
          <w:lang w:val="fr-FR"/>
        </w:rPr>
      </w:pPr>
    </w:p>
    <w:p w:rsidR="003755E7" w:rsidRPr="00F1465D" w:rsidRDefault="007A2223" w:rsidP="006A248E">
      <w:pPr>
        <w:tabs>
          <w:tab w:val="left" w:pos="360"/>
          <w:tab w:val="left" w:pos="810"/>
        </w:tabs>
        <w:ind w:left="360" w:hanging="360"/>
        <w:jc w:val="both"/>
      </w:pPr>
      <w:r w:rsidRPr="00F1465D">
        <w:t>Eggert</w:t>
      </w:r>
      <w:r w:rsidR="003755E7" w:rsidRPr="00F1465D">
        <w:t>,</w:t>
      </w:r>
      <w:r w:rsidRPr="00F1465D">
        <w:t xml:space="preserve"> L</w:t>
      </w:r>
      <w:r w:rsidR="003755E7" w:rsidRPr="00F1465D">
        <w:t>.</w:t>
      </w:r>
      <w:r w:rsidRPr="00F1465D">
        <w:t>L</w:t>
      </w:r>
      <w:r w:rsidR="003755E7" w:rsidRPr="00F1465D">
        <w:t>.</w:t>
      </w:r>
      <w:r w:rsidRPr="00F1465D">
        <w:t>, Randell</w:t>
      </w:r>
      <w:r w:rsidR="003755E7" w:rsidRPr="00F1465D">
        <w:t>,</w:t>
      </w:r>
      <w:r w:rsidRPr="00F1465D">
        <w:t xml:space="preserve"> B</w:t>
      </w:r>
      <w:r w:rsidR="003755E7" w:rsidRPr="00F1465D">
        <w:t>.</w:t>
      </w:r>
      <w:r w:rsidRPr="00F1465D">
        <w:t>R</w:t>
      </w:r>
      <w:r w:rsidR="003755E7" w:rsidRPr="00F1465D">
        <w:t>.</w:t>
      </w:r>
      <w:r w:rsidRPr="00F1465D">
        <w:t>, Thompson</w:t>
      </w:r>
      <w:r w:rsidR="003755E7" w:rsidRPr="00F1465D">
        <w:t>,</w:t>
      </w:r>
      <w:r w:rsidRPr="00F1465D">
        <w:t xml:space="preserve"> E</w:t>
      </w:r>
      <w:r w:rsidR="003755E7" w:rsidRPr="00F1465D">
        <w:t>.</w:t>
      </w:r>
      <w:r w:rsidRPr="00F1465D">
        <w:t>A</w:t>
      </w:r>
      <w:r w:rsidR="003755E7" w:rsidRPr="00F1465D">
        <w:t>.</w:t>
      </w:r>
      <w:r w:rsidRPr="00F1465D">
        <w:t>, Johnson</w:t>
      </w:r>
      <w:r w:rsidR="003755E7" w:rsidRPr="00F1465D">
        <w:t>,</w:t>
      </w:r>
      <w:r w:rsidRPr="00F1465D">
        <w:t xml:space="preserve"> C</w:t>
      </w:r>
      <w:r w:rsidR="003755E7" w:rsidRPr="00F1465D">
        <w:t>.</w:t>
      </w:r>
      <w:r w:rsidRPr="00F1465D">
        <w:t xml:space="preserve">L. </w:t>
      </w:r>
      <w:r w:rsidR="003755E7" w:rsidRPr="00F1465D">
        <w:t>(</w:t>
      </w:r>
      <w:r w:rsidRPr="00F1465D">
        <w:t>1997</w:t>
      </w:r>
      <w:r w:rsidR="003755E7" w:rsidRPr="00F1465D">
        <w:t>)</w:t>
      </w:r>
      <w:r w:rsidRPr="00F1465D">
        <w:t xml:space="preserve">. Washington State Youth Suicide Prevention Program: Report of Activities. </w:t>
      </w:r>
      <w:r w:rsidR="003755E7" w:rsidRPr="00F1465D">
        <w:t xml:space="preserve">University of Washington, </w:t>
      </w:r>
      <w:r w:rsidRPr="00F1465D">
        <w:t>Seattle, WA</w:t>
      </w:r>
      <w:r w:rsidR="003755E7" w:rsidRPr="00F1465D">
        <w:t>.</w:t>
      </w:r>
      <w:r w:rsidR="003755E7" w:rsidRPr="00F1465D" w:rsidDel="003755E7">
        <w:t xml:space="preserve"> </w:t>
      </w:r>
    </w:p>
    <w:p w:rsidR="006A248E" w:rsidRPr="00F1465D" w:rsidRDefault="006A248E" w:rsidP="006A248E">
      <w:pPr>
        <w:tabs>
          <w:tab w:val="left" w:pos="360"/>
        </w:tabs>
        <w:ind w:left="360" w:hanging="360"/>
        <w:jc w:val="both"/>
        <w:rPr>
          <w:sz w:val="16"/>
          <w:szCs w:val="16"/>
          <w:lang w:val="fr-FR"/>
        </w:rPr>
      </w:pPr>
    </w:p>
    <w:p w:rsidR="0086629E" w:rsidRPr="00F1465D" w:rsidRDefault="0086629E" w:rsidP="006A248E">
      <w:pPr>
        <w:tabs>
          <w:tab w:val="left" w:pos="360"/>
          <w:tab w:val="left" w:pos="810"/>
        </w:tabs>
        <w:ind w:left="360" w:hanging="360"/>
        <w:jc w:val="both"/>
      </w:pPr>
      <w:r w:rsidRPr="00F1465D">
        <w:t xml:space="preserve">Institute of Medicine (2002). Goldsmith, SK, Pellmar TC, Kleinman, AM, Bunney, WE, Editors, Committee on Pathophysiology &amp; Prevention of Adolescent &amp; Adult </w:t>
      </w:r>
      <w:r w:rsidR="003755E7" w:rsidRPr="00F1465D">
        <w:t>Suicide;</w:t>
      </w:r>
      <w:r w:rsidRPr="00F1465D">
        <w:t xml:space="preserve"> Board on Neuroscience and Behavioral Health. Reducing Suicide: A National Imperative. </w:t>
      </w:r>
      <w:r w:rsidR="003755E7" w:rsidRPr="00F1465D">
        <w:t>Retrieved</w:t>
      </w:r>
      <w:r w:rsidRPr="00F1465D">
        <w:t xml:space="preserve"> February 2013</w:t>
      </w:r>
      <w:r w:rsidR="003755E7" w:rsidRPr="00F1465D">
        <w:t>, from</w:t>
      </w:r>
      <w:r w:rsidRPr="00F1465D">
        <w:t xml:space="preserve"> http://www.nap.edu/catalog.php?record_id=10398</w:t>
      </w:r>
    </w:p>
    <w:p w:rsidR="006A248E" w:rsidRPr="00F1465D" w:rsidRDefault="006A248E" w:rsidP="006A248E">
      <w:pPr>
        <w:tabs>
          <w:tab w:val="left" w:pos="360"/>
        </w:tabs>
        <w:ind w:left="360" w:hanging="360"/>
        <w:jc w:val="both"/>
        <w:rPr>
          <w:sz w:val="16"/>
          <w:szCs w:val="16"/>
          <w:lang w:val="fr-FR"/>
        </w:rPr>
      </w:pPr>
    </w:p>
    <w:p w:rsidR="007A2223" w:rsidRPr="00F1465D" w:rsidRDefault="007A2223" w:rsidP="006A248E">
      <w:pPr>
        <w:tabs>
          <w:tab w:val="left" w:pos="360"/>
          <w:tab w:val="left" w:pos="810"/>
        </w:tabs>
        <w:ind w:left="360" w:hanging="360"/>
        <w:jc w:val="both"/>
        <w:rPr>
          <w:szCs w:val="17"/>
        </w:rPr>
      </w:pPr>
      <w:r w:rsidRPr="00F1465D">
        <w:rPr>
          <w:szCs w:val="17"/>
        </w:rPr>
        <w:t>Kalafat, J., and Elias, M. (1994). An evaluation of a school-based suicide awareness intervention</w:t>
      </w:r>
      <w:r w:rsidR="00523EB9" w:rsidRPr="00F1465D">
        <w:rPr>
          <w:szCs w:val="17"/>
        </w:rPr>
        <w:t xml:space="preserve">. </w:t>
      </w:r>
      <w:r w:rsidRPr="00F1465D">
        <w:rPr>
          <w:i/>
          <w:szCs w:val="17"/>
        </w:rPr>
        <w:t>Suicide and Life-Threatening Behavior</w:t>
      </w:r>
      <w:r w:rsidRPr="00F1465D">
        <w:rPr>
          <w:szCs w:val="17"/>
        </w:rPr>
        <w:t xml:space="preserve">, </w:t>
      </w:r>
      <w:r w:rsidRPr="00F1465D">
        <w:rPr>
          <w:i/>
          <w:szCs w:val="17"/>
        </w:rPr>
        <w:t>24</w:t>
      </w:r>
      <w:r w:rsidRPr="00F1465D">
        <w:rPr>
          <w:szCs w:val="17"/>
        </w:rPr>
        <w:t>(3), 224-233.</w:t>
      </w:r>
    </w:p>
    <w:p w:rsidR="006A248E" w:rsidRPr="00F1465D" w:rsidRDefault="006A248E" w:rsidP="006A248E">
      <w:pPr>
        <w:tabs>
          <w:tab w:val="left" w:pos="360"/>
        </w:tabs>
        <w:ind w:left="360" w:hanging="360"/>
        <w:jc w:val="both"/>
        <w:rPr>
          <w:sz w:val="16"/>
          <w:szCs w:val="16"/>
          <w:lang w:val="fr-FR"/>
        </w:rPr>
      </w:pPr>
    </w:p>
    <w:p w:rsidR="007A2223" w:rsidRPr="00F1465D" w:rsidRDefault="007A2223" w:rsidP="006A248E">
      <w:pPr>
        <w:tabs>
          <w:tab w:val="left" w:pos="360"/>
          <w:tab w:val="left" w:pos="810"/>
        </w:tabs>
        <w:ind w:left="360" w:hanging="360"/>
      </w:pPr>
      <w:r w:rsidRPr="00F1465D">
        <w:t>King</w:t>
      </w:r>
      <w:r w:rsidR="003755E7" w:rsidRPr="00F1465D">
        <w:t>,</w:t>
      </w:r>
      <w:r w:rsidRPr="00F1465D">
        <w:t xml:space="preserve"> K</w:t>
      </w:r>
      <w:r w:rsidR="003755E7" w:rsidRPr="00F1465D">
        <w:t>.</w:t>
      </w:r>
      <w:r w:rsidRPr="00F1465D">
        <w:t>A</w:t>
      </w:r>
      <w:r w:rsidR="003755E7" w:rsidRPr="00F1465D">
        <w:t>.</w:t>
      </w:r>
      <w:r w:rsidRPr="00F1465D">
        <w:t xml:space="preserve">, Smith J. </w:t>
      </w:r>
      <w:r w:rsidR="003755E7" w:rsidRPr="00F1465D">
        <w:t>(</w:t>
      </w:r>
      <w:r w:rsidRPr="00F1465D">
        <w:t>2000</w:t>
      </w:r>
      <w:r w:rsidR="003755E7" w:rsidRPr="00F1465D">
        <w:t>)</w:t>
      </w:r>
      <w:r w:rsidRPr="00F1465D">
        <w:t xml:space="preserve">. Project SOAR: A training program to increase school counselors’ knowledge and confidence regarding suicide prevention and intervention. Journal of School Health, </w:t>
      </w:r>
      <w:r w:rsidRPr="00F1465D">
        <w:rPr>
          <w:i/>
        </w:rPr>
        <w:t>70</w:t>
      </w:r>
      <w:r w:rsidRPr="00F1465D">
        <w:t>(10)</w:t>
      </w:r>
      <w:r w:rsidR="003755E7" w:rsidRPr="00F1465D">
        <w:t>,</w:t>
      </w:r>
      <w:r w:rsidRPr="00F1465D">
        <w:t xml:space="preserve"> 402-407.</w:t>
      </w:r>
    </w:p>
    <w:p w:rsidR="006A248E" w:rsidRPr="00F1465D" w:rsidRDefault="006A248E" w:rsidP="006A248E">
      <w:pPr>
        <w:tabs>
          <w:tab w:val="left" w:pos="360"/>
        </w:tabs>
        <w:ind w:left="360" w:hanging="360"/>
        <w:jc w:val="both"/>
        <w:rPr>
          <w:sz w:val="16"/>
          <w:szCs w:val="16"/>
          <w:lang w:val="fr-FR"/>
        </w:rPr>
      </w:pPr>
    </w:p>
    <w:p w:rsidR="0025633F" w:rsidRPr="00F1465D" w:rsidRDefault="0025633F" w:rsidP="006A248E">
      <w:pPr>
        <w:tabs>
          <w:tab w:val="left" w:pos="360"/>
          <w:tab w:val="left" w:pos="810"/>
        </w:tabs>
        <w:ind w:left="360" w:hanging="360"/>
      </w:pPr>
      <w:r w:rsidRPr="00F1465D">
        <w:t xml:space="preserve">National Adolescent and Young Adult Health Information Center (2011). Data Profiles: National Summary. </w:t>
      </w:r>
      <w:r w:rsidR="003755E7" w:rsidRPr="00F1465D">
        <w:t>Retrieved</w:t>
      </w:r>
      <w:r w:rsidRPr="00F1465D">
        <w:t xml:space="preserve"> February 2013</w:t>
      </w:r>
      <w:r w:rsidR="003755E7" w:rsidRPr="00F1465D">
        <w:t>,</w:t>
      </w:r>
      <w:r w:rsidRPr="00F1465D">
        <w:t xml:space="preserve"> from http://nahic.ucsf.edu/resources-tools/national-summary/ </w:t>
      </w:r>
    </w:p>
    <w:p w:rsidR="006A248E" w:rsidRPr="00F1465D" w:rsidRDefault="006A248E" w:rsidP="006A248E">
      <w:pPr>
        <w:tabs>
          <w:tab w:val="left" w:pos="360"/>
        </w:tabs>
        <w:ind w:left="360" w:hanging="360"/>
        <w:jc w:val="both"/>
        <w:rPr>
          <w:sz w:val="16"/>
          <w:szCs w:val="16"/>
          <w:lang w:val="fr-FR"/>
        </w:rPr>
      </w:pPr>
    </w:p>
    <w:p w:rsidR="003755E7" w:rsidRPr="00F1465D" w:rsidRDefault="0086629E" w:rsidP="006A248E">
      <w:pPr>
        <w:tabs>
          <w:tab w:val="left" w:pos="360"/>
          <w:tab w:val="left" w:pos="810"/>
        </w:tabs>
        <w:ind w:left="360" w:hanging="360"/>
      </w:pPr>
      <w:r w:rsidRPr="00F1465D">
        <w:t>O’Connor, R</w:t>
      </w:r>
      <w:r w:rsidR="003755E7" w:rsidRPr="00F1465D">
        <w:t>.</w:t>
      </w:r>
      <w:r w:rsidRPr="00F1465D">
        <w:t>C</w:t>
      </w:r>
      <w:r w:rsidR="003755E7" w:rsidRPr="00F1465D">
        <w:t>.</w:t>
      </w:r>
      <w:r w:rsidRPr="00F1465D">
        <w:t>, Platt, S</w:t>
      </w:r>
      <w:r w:rsidR="003755E7" w:rsidRPr="00F1465D">
        <w:t>.</w:t>
      </w:r>
      <w:r w:rsidRPr="00F1465D">
        <w:t>, Gordon, J</w:t>
      </w:r>
      <w:r w:rsidR="003755E7" w:rsidRPr="00F1465D">
        <w:t>.</w:t>
      </w:r>
      <w:r w:rsidRPr="00F1465D">
        <w:t xml:space="preserve"> (2011). </w:t>
      </w:r>
      <w:r w:rsidRPr="00F1465D">
        <w:rPr>
          <w:i/>
        </w:rPr>
        <w:t>Twenty-Nine School-Based Strategies for Youth Suicide Prevention</w:t>
      </w:r>
      <w:r w:rsidRPr="00F1465D">
        <w:t>.</w:t>
      </w:r>
      <w:r w:rsidR="009E5A29" w:rsidRPr="00F1465D">
        <w:t xml:space="preserve"> </w:t>
      </w:r>
      <w:r w:rsidRPr="00F1465D">
        <w:t>International Handbook of Suicide Prevention: Research, Policy and Practice. Published online</w:t>
      </w:r>
      <w:r w:rsidR="003755E7" w:rsidRPr="00F1465D">
        <w:t>.</w:t>
      </w:r>
      <w:r w:rsidRPr="00F1465D">
        <w:t xml:space="preserve"> </w:t>
      </w:r>
    </w:p>
    <w:p w:rsidR="006A248E" w:rsidRPr="00F1465D" w:rsidRDefault="006A248E" w:rsidP="006A248E">
      <w:pPr>
        <w:tabs>
          <w:tab w:val="left" w:pos="360"/>
        </w:tabs>
        <w:ind w:left="360" w:hanging="360"/>
        <w:jc w:val="both"/>
        <w:rPr>
          <w:sz w:val="16"/>
          <w:szCs w:val="16"/>
          <w:lang w:val="fr-FR"/>
        </w:rPr>
      </w:pPr>
    </w:p>
    <w:p w:rsidR="008F6A0D" w:rsidRPr="00F1465D" w:rsidRDefault="008F6A0D" w:rsidP="006A248E">
      <w:pPr>
        <w:tabs>
          <w:tab w:val="left" w:pos="360"/>
          <w:tab w:val="left" w:pos="810"/>
        </w:tabs>
        <w:ind w:left="360" w:hanging="360"/>
      </w:pPr>
      <w:r w:rsidRPr="00F1465D">
        <w:rPr>
          <w:i/>
        </w:rPr>
        <w:t>The Surgeon General’s Call to Action to Prevent Suicid</w:t>
      </w:r>
      <w:r w:rsidR="00D96FE5" w:rsidRPr="00F1465D">
        <w:rPr>
          <w:i/>
        </w:rPr>
        <w:t>e</w:t>
      </w:r>
      <w:r w:rsidR="003755E7" w:rsidRPr="00F1465D">
        <w:rPr>
          <w:i/>
        </w:rPr>
        <w:t xml:space="preserve"> </w:t>
      </w:r>
      <w:r w:rsidR="003755E7" w:rsidRPr="00F1465D">
        <w:t>(1999)</w:t>
      </w:r>
      <w:r w:rsidRPr="00F1465D">
        <w:t>. Washington, DC</w:t>
      </w:r>
      <w:r w:rsidR="003755E7" w:rsidRPr="00F1465D">
        <w:t>: U.S. Public Health Service.</w:t>
      </w:r>
    </w:p>
    <w:p w:rsidR="006A248E" w:rsidRPr="00F1465D" w:rsidRDefault="006A248E" w:rsidP="006A248E">
      <w:pPr>
        <w:tabs>
          <w:tab w:val="left" w:pos="360"/>
        </w:tabs>
        <w:ind w:left="360" w:hanging="360"/>
        <w:jc w:val="both"/>
        <w:rPr>
          <w:sz w:val="16"/>
          <w:szCs w:val="16"/>
          <w:lang w:val="fr-FR"/>
        </w:rPr>
      </w:pPr>
    </w:p>
    <w:p w:rsidR="008F6A0D" w:rsidRPr="00F1465D" w:rsidRDefault="008F6A0D" w:rsidP="006A248E">
      <w:pPr>
        <w:tabs>
          <w:tab w:val="left" w:pos="360"/>
          <w:tab w:val="left" w:pos="810"/>
        </w:tabs>
        <w:ind w:left="360" w:hanging="360"/>
      </w:pPr>
      <w:r w:rsidRPr="00F1465D">
        <w:rPr>
          <w:i/>
        </w:rPr>
        <w:t>2012 National Strategy for Suicide Prevention: Goals and Objectives for Action</w:t>
      </w:r>
      <w:r w:rsidR="003755E7" w:rsidRPr="00F1465D">
        <w:rPr>
          <w:i/>
        </w:rPr>
        <w:t xml:space="preserve"> </w:t>
      </w:r>
      <w:r w:rsidR="003755E7" w:rsidRPr="00F1465D">
        <w:t>(2012, September)</w:t>
      </w:r>
      <w:r w:rsidRPr="00F1465D">
        <w:t>. Washington, DC</w:t>
      </w:r>
      <w:r w:rsidR="003755E7" w:rsidRPr="00F1465D">
        <w:t xml:space="preserve">: U.S. Department of Health and Human Services (HHS) Office of the Surgeon General and National Action Alliance for Suicide Prevention 2012.  </w:t>
      </w:r>
    </w:p>
    <w:p w:rsidR="006A248E" w:rsidRPr="00F1465D" w:rsidRDefault="006A248E" w:rsidP="006A248E">
      <w:pPr>
        <w:tabs>
          <w:tab w:val="left" w:pos="360"/>
          <w:tab w:val="left" w:pos="810"/>
        </w:tabs>
        <w:ind w:left="360" w:hanging="360"/>
      </w:pPr>
    </w:p>
    <w:p w:rsidR="005169A8" w:rsidRPr="00F1465D" w:rsidRDefault="006A248E" w:rsidP="006A248E">
      <w:pPr>
        <w:pStyle w:val="SuicideHead1"/>
        <w:keepNext w:val="0"/>
        <w:widowControl w:val="0"/>
        <w:spacing w:after="0"/>
      </w:pPr>
      <w:bookmarkStart w:id="14" w:name="_Toc348703733"/>
      <w:bookmarkStart w:id="15" w:name="_Toc128970948"/>
      <w:r w:rsidRPr="00F1465D">
        <w:lastRenderedPageBreak/>
        <w:t>List of Attachments</w:t>
      </w:r>
      <w:bookmarkEnd w:id="14"/>
    </w:p>
    <w:tbl>
      <w:tblPr>
        <w:tblpPr w:leftFromText="180" w:rightFromText="180" w:vertAnchor="text" w:horzAnchor="margin" w:tblpXSpec="center" w:tblpY="615"/>
        <w:tblW w:w="93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1710"/>
        <w:gridCol w:w="7668"/>
      </w:tblGrid>
      <w:tr w:rsidR="005169A8" w:rsidRPr="00F1465D" w:rsidTr="006A248E">
        <w:tc>
          <w:tcPr>
            <w:tcW w:w="1710" w:type="dxa"/>
            <w:shd w:val="clear" w:color="auto" w:fill="D9D9D9" w:themeFill="background1" w:themeFillShade="D9"/>
            <w:vAlign w:val="center"/>
          </w:tcPr>
          <w:p w:rsidR="005169A8" w:rsidRPr="00F1465D" w:rsidRDefault="0065163E" w:rsidP="006A248E">
            <w:pPr>
              <w:pStyle w:val="Heading1"/>
              <w:spacing w:before="40" w:after="40"/>
              <w:rPr>
                <w:rFonts w:ascii="Arial" w:hAnsi="Arial" w:cs="Arial"/>
                <w:sz w:val="20"/>
                <w:szCs w:val="20"/>
              </w:rPr>
            </w:pPr>
            <w:r w:rsidRPr="00F1465D">
              <w:rPr>
                <w:rFonts w:ascii="Arial" w:hAnsi="Arial" w:cs="Arial"/>
                <w:sz w:val="20"/>
                <w:szCs w:val="20"/>
              </w:rPr>
              <w:t>Attachment A</w:t>
            </w:r>
          </w:p>
        </w:tc>
        <w:tc>
          <w:tcPr>
            <w:tcW w:w="7668" w:type="dxa"/>
            <w:vAlign w:val="center"/>
          </w:tcPr>
          <w:p w:rsidR="005169A8" w:rsidRPr="00F1465D" w:rsidRDefault="0065163E" w:rsidP="006A248E">
            <w:pPr>
              <w:pStyle w:val="Heading1"/>
              <w:spacing w:before="40" w:after="40"/>
              <w:rPr>
                <w:rFonts w:ascii="Arial" w:hAnsi="Arial" w:cs="Arial"/>
                <w:b w:val="0"/>
                <w:sz w:val="20"/>
                <w:szCs w:val="20"/>
              </w:rPr>
            </w:pPr>
            <w:r w:rsidRPr="00F1465D">
              <w:rPr>
                <w:rFonts w:ascii="Arial" w:hAnsi="Arial" w:cs="Arial"/>
                <w:b w:val="0"/>
                <w:sz w:val="20"/>
                <w:szCs w:val="20"/>
              </w:rPr>
              <w:t>Garrett Lee Smith Memorial Act</w:t>
            </w:r>
          </w:p>
        </w:tc>
      </w:tr>
      <w:tr w:rsidR="0065163E" w:rsidRPr="00F1465D" w:rsidTr="006A248E">
        <w:tc>
          <w:tcPr>
            <w:tcW w:w="1710" w:type="dxa"/>
            <w:shd w:val="clear" w:color="auto" w:fill="D9D9D9" w:themeFill="background1" w:themeFillShade="D9"/>
            <w:vAlign w:val="center"/>
          </w:tcPr>
          <w:p w:rsidR="0065163E" w:rsidRPr="00F1465D" w:rsidRDefault="0065163E" w:rsidP="006A248E">
            <w:pPr>
              <w:pStyle w:val="Heading1"/>
              <w:spacing w:before="40" w:after="40"/>
              <w:rPr>
                <w:rFonts w:ascii="Arial" w:hAnsi="Arial" w:cs="Arial"/>
                <w:sz w:val="20"/>
                <w:szCs w:val="20"/>
              </w:rPr>
            </w:pPr>
            <w:r w:rsidRPr="00F1465D">
              <w:rPr>
                <w:rFonts w:ascii="Arial" w:hAnsi="Arial" w:cs="Arial"/>
                <w:sz w:val="20"/>
                <w:szCs w:val="20"/>
              </w:rPr>
              <w:t>Attachment B.1</w:t>
            </w:r>
          </w:p>
        </w:tc>
        <w:tc>
          <w:tcPr>
            <w:tcW w:w="7668" w:type="dxa"/>
            <w:vAlign w:val="center"/>
          </w:tcPr>
          <w:p w:rsidR="0065163E" w:rsidRPr="00F1465D" w:rsidRDefault="002C5A65" w:rsidP="006A248E">
            <w:pPr>
              <w:pStyle w:val="Heading1"/>
              <w:spacing w:before="40" w:after="40"/>
              <w:rPr>
                <w:rFonts w:ascii="Arial" w:hAnsi="Arial" w:cs="Arial"/>
                <w:b w:val="0"/>
                <w:sz w:val="20"/>
                <w:szCs w:val="20"/>
              </w:rPr>
            </w:pPr>
            <w:r w:rsidRPr="00F1465D">
              <w:rPr>
                <w:rFonts w:ascii="Arial" w:hAnsi="Arial" w:cs="Arial"/>
                <w:b w:val="0"/>
                <w:sz w:val="20"/>
                <w:szCs w:val="20"/>
              </w:rPr>
              <w:t xml:space="preserve">Prevention Strategies Inventory – </w:t>
            </w:r>
            <w:r w:rsidR="0065163E" w:rsidRPr="00F1465D">
              <w:rPr>
                <w:rFonts w:ascii="Arial" w:hAnsi="Arial" w:cs="Arial"/>
                <w:b w:val="0"/>
                <w:sz w:val="20"/>
                <w:szCs w:val="20"/>
              </w:rPr>
              <w:t>State/Tribal (PSI-ST)</w:t>
            </w:r>
          </w:p>
        </w:tc>
      </w:tr>
      <w:tr w:rsidR="0065163E" w:rsidRPr="00F1465D" w:rsidTr="006A248E">
        <w:tc>
          <w:tcPr>
            <w:tcW w:w="1710" w:type="dxa"/>
            <w:shd w:val="clear" w:color="auto" w:fill="D9D9D9" w:themeFill="background1" w:themeFillShade="D9"/>
            <w:vAlign w:val="center"/>
          </w:tcPr>
          <w:p w:rsidR="0065163E" w:rsidRPr="00F1465D" w:rsidRDefault="0065163E" w:rsidP="006A248E">
            <w:pPr>
              <w:pStyle w:val="Heading1"/>
              <w:spacing w:before="40" w:after="40"/>
              <w:rPr>
                <w:rFonts w:ascii="Arial" w:hAnsi="Arial" w:cs="Arial"/>
                <w:sz w:val="20"/>
                <w:szCs w:val="20"/>
              </w:rPr>
            </w:pPr>
            <w:r w:rsidRPr="00F1465D">
              <w:rPr>
                <w:rFonts w:ascii="Arial" w:hAnsi="Arial" w:cs="Arial"/>
                <w:sz w:val="20"/>
                <w:szCs w:val="20"/>
              </w:rPr>
              <w:t>Attachment B.2</w:t>
            </w:r>
          </w:p>
        </w:tc>
        <w:tc>
          <w:tcPr>
            <w:tcW w:w="7668" w:type="dxa"/>
            <w:vAlign w:val="center"/>
          </w:tcPr>
          <w:p w:rsidR="0065163E" w:rsidRPr="00F1465D" w:rsidRDefault="00935763" w:rsidP="00935763">
            <w:pPr>
              <w:pStyle w:val="Heading1"/>
              <w:spacing w:before="40" w:after="40"/>
              <w:rPr>
                <w:rFonts w:ascii="Arial" w:hAnsi="Arial" w:cs="Arial"/>
                <w:b w:val="0"/>
                <w:sz w:val="20"/>
                <w:szCs w:val="20"/>
              </w:rPr>
            </w:pPr>
            <w:r w:rsidRPr="00F1465D">
              <w:rPr>
                <w:rFonts w:ascii="Arial" w:hAnsi="Arial" w:cs="Arial"/>
                <w:b w:val="0"/>
                <w:sz w:val="20"/>
                <w:szCs w:val="20"/>
              </w:rPr>
              <w:t>Prevention Strategies Inventory: Baseline and Follow-up</w:t>
            </w:r>
          </w:p>
        </w:tc>
      </w:tr>
      <w:tr w:rsidR="0065163E" w:rsidRPr="00F1465D" w:rsidTr="006A248E">
        <w:tc>
          <w:tcPr>
            <w:tcW w:w="1710" w:type="dxa"/>
            <w:shd w:val="clear" w:color="auto" w:fill="D9D9D9" w:themeFill="background1" w:themeFillShade="D9"/>
            <w:vAlign w:val="center"/>
          </w:tcPr>
          <w:p w:rsidR="0065163E" w:rsidRPr="00F1465D" w:rsidRDefault="0065163E"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175238" w:rsidRPr="00F1465D">
              <w:rPr>
                <w:rFonts w:ascii="Arial" w:hAnsi="Arial" w:cs="Arial"/>
                <w:sz w:val="20"/>
                <w:szCs w:val="20"/>
              </w:rPr>
              <w:t>C</w:t>
            </w:r>
            <w:r w:rsidR="00A64AE1" w:rsidRPr="00F1465D">
              <w:rPr>
                <w:rFonts w:ascii="Arial" w:hAnsi="Arial" w:cs="Arial"/>
                <w:sz w:val="20"/>
                <w:szCs w:val="20"/>
              </w:rPr>
              <w:t>.1</w:t>
            </w:r>
          </w:p>
        </w:tc>
        <w:tc>
          <w:tcPr>
            <w:tcW w:w="7668" w:type="dxa"/>
            <w:vAlign w:val="center"/>
          </w:tcPr>
          <w:p w:rsidR="0065163E" w:rsidRPr="00F1465D" w:rsidRDefault="0065163E" w:rsidP="006A248E">
            <w:pPr>
              <w:pStyle w:val="Heading1"/>
              <w:spacing w:before="40" w:after="40"/>
              <w:rPr>
                <w:rFonts w:ascii="Arial" w:hAnsi="Arial" w:cs="Arial"/>
                <w:b w:val="0"/>
                <w:sz w:val="20"/>
                <w:szCs w:val="20"/>
              </w:rPr>
            </w:pPr>
            <w:r w:rsidRPr="00F1465D">
              <w:rPr>
                <w:rFonts w:ascii="Arial" w:hAnsi="Arial" w:cs="Arial"/>
                <w:b w:val="0"/>
                <w:sz w:val="20"/>
                <w:szCs w:val="20"/>
              </w:rPr>
              <w:t>Training Exit Survey</w:t>
            </w:r>
            <w:r w:rsidR="00A64AE1" w:rsidRPr="00F1465D">
              <w:rPr>
                <w:rFonts w:ascii="Arial" w:hAnsi="Arial" w:cs="Arial"/>
                <w:b w:val="0"/>
                <w:sz w:val="20"/>
                <w:szCs w:val="20"/>
              </w:rPr>
              <w:t xml:space="preserve"> Campus Connect Training</w:t>
            </w:r>
            <w:r w:rsidRPr="00F1465D">
              <w:rPr>
                <w:rFonts w:ascii="Arial" w:hAnsi="Arial" w:cs="Arial"/>
                <w:b w:val="0"/>
                <w:sz w:val="20"/>
                <w:szCs w:val="20"/>
              </w:rPr>
              <w:t xml:space="preserve"> – Campus (TES-C)</w:t>
            </w:r>
          </w:p>
        </w:tc>
      </w:tr>
      <w:tr w:rsidR="00A64AE1" w:rsidRPr="00F1465D" w:rsidTr="006A248E">
        <w:tc>
          <w:tcPr>
            <w:tcW w:w="1710" w:type="dxa"/>
            <w:shd w:val="clear" w:color="auto" w:fill="D9D9D9" w:themeFill="background1" w:themeFillShade="D9"/>
            <w:vAlign w:val="center"/>
          </w:tcPr>
          <w:p w:rsidR="00A64AE1" w:rsidRPr="00F1465D" w:rsidRDefault="00A64AE1" w:rsidP="006A248E">
            <w:pPr>
              <w:pStyle w:val="Heading1"/>
              <w:spacing w:before="40" w:after="40"/>
              <w:rPr>
                <w:rFonts w:ascii="Arial" w:hAnsi="Arial" w:cs="Arial"/>
                <w:sz w:val="20"/>
                <w:szCs w:val="20"/>
              </w:rPr>
            </w:pPr>
            <w:r w:rsidRPr="00F1465D">
              <w:rPr>
                <w:rFonts w:ascii="Arial" w:hAnsi="Arial" w:cs="Arial"/>
                <w:sz w:val="20"/>
                <w:szCs w:val="20"/>
              </w:rPr>
              <w:t>Attachment C.2</w:t>
            </w:r>
          </w:p>
        </w:tc>
        <w:tc>
          <w:tcPr>
            <w:tcW w:w="7668" w:type="dxa"/>
            <w:vAlign w:val="center"/>
          </w:tcPr>
          <w:p w:rsidR="00A64AE1" w:rsidRPr="00F1465D" w:rsidRDefault="00A64AE1" w:rsidP="006A248E">
            <w:pPr>
              <w:pStyle w:val="Heading1"/>
              <w:spacing w:before="40" w:after="40"/>
              <w:rPr>
                <w:rFonts w:ascii="Arial" w:hAnsi="Arial" w:cs="Arial"/>
                <w:b w:val="0"/>
                <w:sz w:val="20"/>
                <w:szCs w:val="20"/>
              </w:rPr>
            </w:pPr>
            <w:r w:rsidRPr="00F1465D">
              <w:rPr>
                <w:rFonts w:ascii="Arial" w:hAnsi="Arial" w:cs="Arial"/>
                <w:b w:val="0"/>
                <w:sz w:val="20"/>
                <w:szCs w:val="20"/>
              </w:rPr>
              <w:t>Training Exit Survey Clinical Training – Campus (TES-C)</w:t>
            </w:r>
          </w:p>
        </w:tc>
      </w:tr>
      <w:tr w:rsidR="00A64AE1" w:rsidRPr="00F1465D" w:rsidTr="006A248E">
        <w:tc>
          <w:tcPr>
            <w:tcW w:w="1710" w:type="dxa"/>
            <w:shd w:val="clear" w:color="auto" w:fill="D9D9D9" w:themeFill="background1" w:themeFillShade="D9"/>
            <w:vAlign w:val="center"/>
          </w:tcPr>
          <w:p w:rsidR="00A64AE1" w:rsidRPr="00F1465D" w:rsidRDefault="00A64AE1" w:rsidP="006A248E">
            <w:pPr>
              <w:pStyle w:val="Heading1"/>
              <w:spacing w:before="40" w:after="40"/>
              <w:rPr>
                <w:rFonts w:ascii="Arial" w:hAnsi="Arial" w:cs="Arial"/>
                <w:sz w:val="20"/>
                <w:szCs w:val="20"/>
              </w:rPr>
            </w:pPr>
            <w:r w:rsidRPr="00F1465D">
              <w:rPr>
                <w:rFonts w:ascii="Arial" w:hAnsi="Arial" w:cs="Arial"/>
                <w:sz w:val="20"/>
                <w:szCs w:val="20"/>
              </w:rPr>
              <w:t>Attachment C.3</w:t>
            </w:r>
          </w:p>
        </w:tc>
        <w:tc>
          <w:tcPr>
            <w:tcW w:w="7668" w:type="dxa"/>
            <w:vAlign w:val="center"/>
          </w:tcPr>
          <w:p w:rsidR="00A64AE1" w:rsidRPr="00F1465D" w:rsidRDefault="00A64AE1" w:rsidP="006A248E">
            <w:pPr>
              <w:pStyle w:val="Heading1"/>
              <w:spacing w:before="40" w:after="40"/>
              <w:rPr>
                <w:rFonts w:ascii="Arial" w:hAnsi="Arial" w:cs="Arial"/>
                <w:b w:val="0"/>
                <w:sz w:val="20"/>
                <w:szCs w:val="20"/>
              </w:rPr>
            </w:pPr>
            <w:r w:rsidRPr="00F1465D">
              <w:rPr>
                <w:rFonts w:ascii="Arial" w:hAnsi="Arial" w:cs="Arial"/>
                <w:b w:val="0"/>
                <w:sz w:val="20"/>
                <w:szCs w:val="20"/>
              </w:rPr>
              <w:t>Training Exit Survey Core Form – Campus (TES-C)</w:t>
            </w:r>
          </w:p>
        </w:tc>
      </w:tr>
      <w:tr w:rsidR="00A64AE1" w:rsidRPr="00F1465D" w:rsidTr="006A248E">
        <w:tc>
          <w:tcPr>
            <w:tcW w:w="1710" w:type="dxa"/>
            <w:shd w:val="clear" w:color="auto" w:fill="D9D9D9" w:themeFill="background1" w:themeFillShade="D9"/>
            <w:vAlign w:val="center"/>
          </w:tcPr>
          <w:p w:rsidR="00A64AE1" w:rsidRPr="00F1465D" w:rsidRDefault="00A64AE1" w:rsidP="006A248E">
            <w:pPr>
              <w:pStyle w:val="Heading1"/>
              <w:spacing w:before="40" w:after="40"/>
              <w:rPr>
                <w:rFonts w:ascii="Arial" w:hAnsi="Arial" w:cs="Arial"/>
                <w:sz w:val="20"/>
                <w:szCs w:val="20"/>
              </w:rPr>
            </w:pPr>
            <w:r w:rsidRPr="00F1465D">
              <w:rPr>
                <w:rFonts w:ascii="Arial" w:hAnsi="Arial" w:cs="Arial"/>
                <w:sz w:val="20"/>
                <w:szCs w:val="20"/>
              </w:rPr>
              <w:t>Attachment C.4</w:t>
            </w:r>
          </w:p>
        </w:tc>
        <w:tc>
          <w:tcPr>
            <w:tcW w:w="7668" w:type="dxa"/>
            <w:vAlign w:val="center"/>
          </w:tcPr>
          <w:p w:rsidR="00A64AE1" w:rsidRPr="00F1465D" w:rsidRDefault="00A64AE1" w:rsidP="006A248E">
            <w:pPr>
              <w:pStyle w:val="Heading1"/>
              <w:spacing w:before="40" w:after="40"/>
              <w:rPr>
                <w:rFonts w:ascii="Arial" w:hAnsi="Arial" w:cs="Arial"/>
                <w:b w:val="0"/>
                <w:sz w:val="20"/>
                <w:szCs w:val="20"/>
              </w:rPr>
            </w:pPr>
            <w:r w:rsidRPr="00F1465D">
              <w:rPr>
                <w:rFonts w:ascii="Arial" w:hAnsi="Arial" w:cs="Arial"/>
                <w:b w:val="0"/>
                <w:sz w:val="20"/>
                <w:szCs w:val="20"/>
              </w:rPr>
              <w:t>Training Exit Survey Gatekeeper Training – Campus (TES-C)</w:t>
            </w:r>
          </w:p>
        </w:tc>
      </w:tr>
      <w:tr w:rsidR="0065163E" w:rsidRPr="00F1465D" w:rsidTr="006A248E">
        <w:tc>
          <w:tcPr>
            <w:tcW w:w="1710" w:type="dxa"/>
            <w:shd w:val="clear" w:color="auto" w:fill="D9D9D9" w:themeFill="background1" w:themeFillShade="D9"/>
            <w:vAlign w:val="center"/>
          </w:tcPr>
          <w:p w:rsidR="0065163E" w:rsidRPr="00F1465D" w:rsidRDefault="0065163E"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175238" w:rsidRPr="00F1465D">
              <w:rPr>
                <w:rFonts w:ascii="Arial" w:hAnsi="Arial" w:cs="Arial"/>
                <w:sz w:val="20"/>
                <w:szCs w:val="20"/>
              </w:rPr>
              <w:t>D</w:t>
            </w:r>
            <w:r w:rsidRPr="00F1465D">
              <w:rPr>
                <w:rFonts w:ascii="Arial" w:hAnsi="Arial" w:cs="Arial"/>
                <w:sz w:val="20"/>
                <w:szCs w:val="20"/>
              </w:rPr>
              <w:t>.1</w:t>
            </w:r>
          </w:p>
        </w:tc>
        <w:tc>
          <w:tcPr>
            <w:tcW w:w="7668" w:type="dxa"/>
            <w:vAlign w:val="center"/>
          </w:tcPr>
          <w:p w:rsidR="0065163E" w:rsidRPr="00F1465D" w:rsidRDefault="0065163E"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w:t>
            </w:r>
            <w:r w:rsidR="00C54E6F" w:rsidRPr="00F1465D">
              <w:rPr>
                <w:rFonts w:ascii="Arial" w:hAnsi="Arial" w:cs="Arial"/>
                <w:b w:val="0"/>
                <w:sz w:val="20"/>
                <w:szCs w:val="20"/>
              </w:rPr>
              <w:t>-ST</w:t>
            </w:r>
            <w:r w:rsidRPr="00F1465D">
              <w:rPr>
                <w:rFonts w:ascii="Arial" w:hAnsi="Arial" w:cs="Arial"/>
                <w:b w:val="0"/>
                <w:sz w:val="20"/>
                <w:szCs w:val="20"/>
              </w:rPr>
              <w:t>)</w:t>
            </w:r>
            <w:r w:rsidR="00C54E6F" w:rsidRPr="00F1465D">
              <w:rPr>
                <w:rFonts w:ascii="Arial" w:hAnsi="Arial" w:cs="Arial"/>
                <w:b w:val="0"/>
                <w:sz w:val="20"/>
                <w:szCs w:val="20"/>
              </w:rPr>
              <w:t>: State/Tribal Version</w:t>
            </w:r>
          </w:p>
        </w:tc>
      </w:tr>
      <w:tr w:rsidR="0065163E" w:rsidRPr="00F1465D" w:rsidTr="006A248E">
        <w:tc>
          <w:tcPr>
            <w:tcW w:w="1710" w:type="dxa"/>
            <w:shd w:val="clear" w:color="auto" w:fill="D9D9D9" w:themeFill="background1" w:themeFillShade="D9"/>
            <w:vAlign w:val="center"/>
          </w:tcPr>
          <w:p w:rsidR="0065163E" w:rsidRPr="00F1465D" w:rsidRDefault="0065163E" w:rsidP="006A248E">
            <w:pPr>
              <w:pStyle w:val="Heading1"/>
              <w:spacing w:before="40" w:after="40"/>
              <w:rPr>
                <w:rFonts w:ascii="Arial" w:hAnsi="Arial" w:cs="Arial"/>
                <w:sz w:val="20"/>
                <w:szCs w:val="20"/>
              </w:rPr>
            </w:pPr>
            <w:r w:rsidRPr="00F1465D">
              <w:rPr>
                <w:rFonts w:ascii="Arial" w:hAnsi="Arial" w:cs="Arial"/>
                <w:sz w:val="20"/>
                <w:szCs w:val="20"/>
              </w:rPr>
              <w:t>Attachment</w:t>
            </w:r>
            <w:r w:rsidR="00175238" w:rsidRPr="00F1465D">
              <w:rPr>
                <w:rFonts w:ascii="Arial" w:hAnsi="Arial" w:cs="Arial"/>
                <w:sz w:val="20"/>
                <w:szCs w:val="20"/>
              </w:rPr>
              <w:t xml:space="preserve"> D</w:t>
            </w:r>
            <w:r w:rsidRPr="00F1465D">
              <w:rPr>
                <w:rFonts w:ascii="Arial" w:hAnsi="Arial" w:cs="Arial"/>
                <w:sz w:val="20"/>
                <w:szCs w:val="20"/>
              </w:rPr>
              <w:t>.2</w:t>
            </w:r>
          </w:p>
        </w:tc>
        <w:tc>
          <w:tcPr>
            <w:tcW w:w="7668" w:type="dxa"/>
            <w:vAlign w:val="center"/>
          </w:tcPr>
          <w:p w:rsidR="0065163E" w:rsidRPr="00F1465D" w:rsidRDefault="0065163E"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w:t>
            </w:r>
            <w:r w:rsidR="002C5A65" w:rsidRPr="00F1465D">
              <w:rPr>
                <w:rFonts w:ascii="Arial" w:hAnsi="Arial" w:cs="Arial"/>
                <w:b w:val="0"/>
                <w:sz w:val="20"/>
                <w:szCs w:val="20"/>
              </w:rPr>
              <w:t>:</w:t>
            </w:r>
            <w:r w:rsidRPr="00F1465D">
              <w:rPr>
                <w:rFonts w:ascii="Arial" w:hAnsi="Arial" w:cs="Arial"/>
                <w:b w:val="0"/>
                <w:sz w:val="20"/>
                <w:szCs w:val="20"/>
              </w:rPr>
              <w:t xml:space="preserve"> Consent</w:t>
            </w:r>
            <w:r w:rsidR="00D54BC8" w:rsidRPr="00F1465D">
              <w:rPr>
                <w:rFonts w:ascii="Arial" w:hAnsi="Arial" w:cs="Arial"/>
                <w:b w:val="0"/>
                <w:sz w:val="20"/>
                <w:szCs w:val="20"/>
              </w:rPr>
              <w:t>-</w:t>
            </w:r>
            <w:r w:rsidRPr="00F1465D">
              <w:rPr>
                <w:rFonts w:ascii="Arial" w:hAnsi="Arial" w:cs="Arial"/>
                <w:b w:val="0"/>
                <w:sz w:val="20"/>
                <w:szCs w:val="20"/>
              </w:rPr>
              <w:t>to</w:t>
            </w:r>
            <w:r w:rsidR="00D54BC8" w:rsidRPr="00F1465D">
              <w:rPr>
                <w:rFonts w:ascii="Arial" w:hAnsi="Arial" w:cs="Arial"/>
                <w:b w:val="0"/>
                <w:sz w:val="20"/>
                <w:szCs w:val="20"/>
              </w:rPr>
              <w:t>-</w:t>
            </w:r>
            <w:r w:rsidRPr="00F1465D">
              <w:rPr>
                <w:rFonts w:ascii="Arial" w:hAnsi="Arial" w:cs="Arial"/>
                <w:b w:val="0"/>
                <w:sz w:val="20"/>
                <w:szCs w:val="20"/>
              </w:rPr>
              <w:t>Contact Form</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Attachment</w:t>
            </w:r>
            <w:r w:rsidR="00243045" w:rsidRPr="00F1465D">
              <w:rPr>
                <w:rFonts w:ascii="Arial" w:hAnsi="Arial" w:cs="Arial"/>
                <w:sz w:val="20"/>
                <w:szCs w:val="20"/>
              </w:rPr>
              <w:t xml:space="preserve"> </w:t>
            </w:r>
            <w:r w:rsidRPr="00F1465D">
              <w:rPr>
                <w:rFonts w:ascii="Arial" w:hAnsi="Arial" w:cs="Arial"/>
                <w:sz w:val="20"/>
                <w:szCs w:val="20"/>
              </w:rPr>
              <w:t>D</w:t>
            </w:r>
            <w:r w:rsidR="00243045" w:rsidRPr="00F1465D">
              <w:rPr>
                <w:rFonts w:ascii="Arial" w:hAnsi="Arial" w:cs="Arial"/>
                <w:sz w:val="20"/>
                <w:szCs w:val="20"/>
              </w:rPr>
              <w:t>.</w:t>
            </w:r>
            <w:r w:rsidR="009C484E" w:rsidRPr="00F1465D">
              <w:rPr>
                <w:rFonts w:ascii="Arial" w:hAnsi="Arial" w:cs="Arial"/>
                <w:sz w:val="20"/>
                <w:szCs w:val="20"/>
              </w:rPr>
              <w:t>3</w:t>
            </w:r>
          </w:p>
        </w:tc>
        <w:tc>
          <w:tcPr>
            <w:tcW w:w="7668" w:type="dxa"/>
            <w:vAlign w:val="center"/>
          </w:tcPr>
          <w:p w:rsidR="005966E5" w:rsidRPr="00F1465D" w:rsidRDefault="005966E5"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w:t>
            </w:r>
            <w:r w:rsidR="002C5A65" w:rsidRPr="00F1465D">
              <w:rPr>
                <w:rFonts w:ascii="Arial" w:hAnsi="Arial" w:cs="Arial"/>
                <w:b w:val="0"/>
                <w:sz w:val="20"/>
                <w:szCs w:val="20"/>
              </w:rPr>
              <w:t>:</w:t>
            </w:r>
            <w:r w:rsidRPr="00F1465D">
              <w:rPr>
                <w:rFonts w:ascii="Arial" w:hAnsi="Arial" w:cs="Arial"/>
                <w:b w:val="0"/>
                <w:sz w:val="20"/>
                <w:szCs w:val="20"/>
              </w:rPr>
              <w:t xml:space="preserve"> Verbal Consent</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D.</w:t>
            </w:r>
            <w:r w:rsidR="009C484E" w:rsidRPr="00F1465D">
              <w:rPr>
                <w:rFonts w:ascii="Arial" w:hAnsi="Arial" w:cs="Arial"/>
                <w:sz w:val="20"/>
                <w:szCs w:val="20"/>
              </w:rPr>
              <w:t>4</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(TUP-S-C): Campus Version</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D.</w:t>
            </w:r>
            <w:r w:rsidR="009C484E" w:rsidRPr="00F1465D">
              <w:rPr>
                <w:rFonts w:ascii="Arial" w:hAnsi="Arial" w:cs="Arial"/>
                <w:sz w:val="20"/>
                <w:szCs w:val="20"/>
              </w:rPr>
              <w:t>5</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(TUP-S-C): Consent</w:t>
            </w:r>
            <w:r w:rsidR="00D54BC8" w:rsidRPr="00F1465D">
              <w:rPr>
                <w:rFonts w:ascii="Arial" w:hAnsi="Arial" w:cs="Arial"/>
                <w:b w:val="0"/>
                <w:sz w:val="20"/>
                <w:szCs w:val="20"/>
              </w:rPr>
              <w:t>-</w:t>
            </w:r>
            <w:r w:rsidRPr="00F1465D">
              <w:rPr>
                <w:rFonts w:ascii="Arial" w:hAnsi="Arial" w:cs="Arial"/>
                <w:b w:val="0"/>
                <w:sz w:val="20"/>
                <w:szCs w:val="20"/>
              </w:rPr>
              <w:t>to</w:t>
            </w:r>
            <w:r w:rsidR="00D54BC8" w:rsidRPr="00F1465D">
              <w:rPr>
                <w:rFonts w:ascii="Arial" w:hAnsi="Arial" w:cs="Arial"/>
                <w:b w:val="0"/>
                <w:sz w:val="20"/>
                <w:szCs w:val="20"/>
              </w:rPr>
              <w:t>-</w:t>
            </w:r>
            <w:r w:rsidRPr="00F1465D">
              <w:rPr>
                <w:rFonts w:ascii="Arial" w:hAnsi="Arial" w:cs="Arial"/>
                <w:b w:val="0"/>
                <w:sz w:val="20"/>
                <w:szCs w:val="20"/>
              </w:rPr>
              <w:t>Contact Form</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D.</w:t>
            </w:r>
            <w:r w:rsidR="009C484E" w:rsidRPr="00F1465D">
              <w:rPr>
                <w:rFonts w:ascii="Arial" w:hAnsi="Arial" w:cs="Arial"/>
                <w:sz w:val="20"/>
                <w:szCs w:val="20"/>
              </w:rPr>
              <w:t>6</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(TUP-S-C): Verbal Consent</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D.</w:t>
            </w:r>
            <w:r w:rsidR="009C484E" w:rsidRPr="00F1465D">
              <w:rPr>
                <w:rFonts w:ascii="Arial" w:hAnsi="Arial" w:cs="Arial"/>
                <w:sz w:val="20"/>
                <w:szCs w:val="20"/>
              </w:rPr>
              <w:t>7</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(TUP-S-A): Adolescent Version</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D.</w:t>
            </w:r>
            <w:r w:rsidR="009C484E" w:rsidRPr="00F1465D">
              <w:rPr>
                <w:rFonts w:ascii="Arial" w:hAnsi="Arial" w:cs="Arial"/>
                <w:sz w:val="20"/>
                <w:szCs w:val="20"/>
              </w:rPr>
              <w:t>8</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 Preservation Survey (TUP-S-A): Consent</w:t>
            </w:r>
            <w:r w:rsidR="00D54BC8" w:rsidRPr="00F1465D">
              <w:rPr>
                <w:rFonts w:ascii="Arial" w:hAnsi="Arial" w:cs="Arial"/>
                <w:b w:val="0"/>
                <w:sz w:val="20"/>
                <w:szCs w:val="20"/>
              </w:rPr>
              <w:t>-</w:t>
            </w:r>
            <w:r w:rsidRPr="00F1465D">
              <w:rPr>
                <w:rFonts w:ascii="Arial" w:hAnsi="Arial" w:cs="Arial"/>
                <w:b w:val="0"/>
                <w:sz w:val="20"/>
                <w:szCs w:val="20"/>
              </w:rPr>
              <w:t>to</w:t>
            </w:r>
            <w:r w:rsidR="00D54BC8" w:rsidRPr="00F1465D">
              <w:rPr>
                <w:rFonts w:ascii="Arial" w:hAnsi="Arial" w:cs="Arial"/>
                <w:b w:val="0"/>
                <w:sz w:val="20"/>
                <w:szCs w:val="20"/>
              </w:rPr>
              <w:t>-</w:t>
            </w:r>
            <w:r w:rsidRPr="00F1465D">
              <w:rPr>
                <w:rFonts w:ascii="Arial" w:hAnsi="Arial" w:cs="Arial"/>
                <w:b w:val="0"/>
                <w:sz w:val="20"/>
                <w:szCs w:val="20"/>
              </w:rPr>
              <w:t>Contact Form</w:t>
            </w:r>
          </w:p>
        </w:tc>
      </w:tr>
      <w:tr w:rsidR="000B4460" w:rsidRPr="00F1465D" w:rsidTr="006A248E">
        <w:tc>
          <w:tcPr>
            <w:tcW w:w="1710" w:type="dxa"/>
            <w:shd w:val="clear" w:color="auto" w:fill="D9D9D9" w:themeFill="background1" w:themeFillShade="D9"/>
            <w:vAlign w:val="center"/>
          </w:tcPr>
          <w:p w:rsidR="000B4460" w:rsidRPr="00F1465D" w:rsidRDefault="000B4460" w:rsidP="006A248E">
            <w:pPr>
              <w:pStyle w:val="Heading1"/>
              <w:spacing w:before="40" w:after="40"/>
              <w:rPr>
                <w:rFonts w:ascii="Arial" w:hAnsi="Arial" w:cs="Arial"/>
                <w:sz w:val="20"/>
                <w:szCs w:val="20"/>
              </w:rPr>
            </w:pPr>
            <w:r w:rsidRPr="00F1465D">
              <w:rPr>
                <w:rFonts w:ascii="Arial" w:hAnsi="Arial" w:cs="Arial"/>
                <w:sz w:val="20"/>
                <w:szCs w:val="20"/>
              </w:rPr>
              <w:t>Attachment D.</w:t>
            </w:r>
            <w:r w:rsidR="009C484E" w:rsidRPr="00F1465D">
              <w:rPr>
                <w:rFonts w:ascii="Arial" w:hAnsi="Arial" w:cs="Arial"/>
                <w:sz w:val="20"/>
                <w:szCs w:val="20"/>
              </w:rPr>
              <w:t>9</w:t>
            </w:r>
          </w:p>
        </w:tc>
        <w:tc>
          <w:tcPr>
            <w:tcW w:w="7668" w:type="dxa"/>
            <w:vAlign w:val="center"/>
          </w:tcPr>
          <w:p w:rsidR="000B4460" w:rsidRPr="00F1465D" w:rsidRDefault="000B4460" w:rsidP="006A248E">
            <w:pPr>
              <w:pStyle w:val="Heading1"/>
              <w:spacing w:before="40" w:after="40"/>
              <w:rPr>
                <w:rFonts w:ascii="Arial" w:hAnsi="Arial" w:cs="Arial"/>
                <w:b w:val="0"/>
                <w:sz w:val="20"/>
                <w:szCs w:val="20"/>
              </w:rPr>
            </w:pPr>
            <w:r w:rsidRPr="00F1465D">
              <w:rPr>
                <w:rFonts w:ascii="Arial" w:hAnsi="Arial" w:cs="Arial"/>
                <w:b w:val="0"/>
                <w:sz w:val="20"/>
                <w:szCs w:val="20"/>
              </w:rPr>
              <w:t>Training Utilization and</w:t>
            </w:r>
            <w:r w:rsidR="000F1DCC" w:rsidRPr="00F1465D">
              <w:rPr>
                <w:rFonts w:ascii="Arial" w:hAnsi="Arial" w:cs="Arial"/>
                <w:b w:val="0"/>
                <w:sz w:val="20"/>
                <w:szCs w:val="20"/>
              </w:rPr>
              <w:t xml:space="preserve"> Preservation Survey (TUP-S-ST):</w:t>
            </w:r>
            <w:r w:rsidRPr="00F1465D">
              <w:rPr>
                <w:rFonts w:ascii="Arial" w:hAnsi="Arial" w:cs="Arial"/>
                <w:b w:val="0"/>
                <w:sz w:val="20"/>
                <w:szCs w:val="20"/>
              </w:rPr>
              <w:t xml:space="preserve"> State/Tribal </w:t>
            </w:r>
            <w:r w:rsidR="00935763" w:rsidRPr="00F1465D">
              <w:rPr>
                <w:rFonts w:ascii="Arial" w:hAnsi="Arial" w:cs="Arial"/>
                <w:b w:val="0"/>
                <w:sz w:val="20"/>
                <w:szCs w:val="20"/>
              </w:rPr>
              <w:t xml:space="preserve">Version </w:t>
            </w:r>
            <w:r w:rsidRPr="00F1465D">
              <w:rPr>
                <w:rFonts w:ascii="Arial" w:hAnsi="Arial" w:cs="Arial"/>
                <w:b w:val="0"/>
                <w:sz w:val="20"/>
                <w:szCs w:val="20"/>
              </w:rPr>
              <w:t>6</w:t>
            </w:r>
            <w:r w:rsidR="00DD0BDB" w:rsidRPr="00F1465D">
              <w:rPr>
                <w:rFonts w:ascii="Arial" w:hAnsi="Arial" w:cs="Arial"/>
                <w:b w:val="0"/>
                <w:sz w:val="20"/>
                <w:szCs w:val="20"/>
              </w:rPr>
              <w:t>-M</w:t>
            </w:r>
            <w:r w:rsidRPr="00F1465D">
              <w:rPr>
                <w:rFonts w:ascii="Arial" w:hAnsi="Arial" w:cs="Arial"/>
                <w:b w:val="0"/>
                <w:sz w:val="20"/>
                <w:szCs w:val="20"/>
              </w:rPr>
              <w:t>onth Follow-up</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E</w:t>
            </w:r>
          </w:p>
        </w:tc>
        <w:tc>
          <w:tcPr>
            <w:tcW w:w="7668" w:type="dxa"/>
            <w:vAlign w:val="center"/>
          </w:tcPr>
          <w:p w:rsidR="005966E5" w:rsidRPr="00F1465D" w:rsidRDefault="005966E5" w:rsidP="006A248E">
            <w:pPr>
              <w:pStyle w:val="Heading1"/>
              <w:spacing w:before="40" w:after="40"/>
              <w:rPr>
                <w:rFonts w:ascii="Arial" w:hAnsi="Arial" w:cs="Arial"/>
                <w:b w:val="0"/>
                <w:sz w:val="20"/>
                <w:szCs w:val="20"/>
              </w:rPr>
            </w:pPr>
            <w:r w:rsidRPr="00F1465D">
              <w:rPr>
                <w:rFonts w:ascii="Arial" w:hAnsi="Arial" w:cs="Arial"/>
                <w:b w:val="0"/>
                <w:sz w:val="20"/>
                <w:szCs w:val="20"/>
              </w:rPr>
              <w:t>Referral Network Survey (RNS)</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F</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Coalition Profile (CP)</w:t>
            </w:r>
          </w:p>
        </w:tc>
      </w:tr>
      <w:tr w:rsidR="00C54E6F" w:rsidRPr="00F1465D" w:rsidTr="006A248E">
        <w:tc>
          <w:tcPr>
            <w:tcW w:w="1710" w:type="dxa"/>
            <w:shd w:val="clear" w:color="auto" w:fill="D9D9D9" w:themeFill="background1" w:themeFillShade="D9"/>
            <w:vAlign w:val="center"/>
          </w:tcPr>
          <w:p w:rsidR="00C54E6F" w:rsidRPr="00F1465D" w:rsidRDefault="00C54E6F" w:rsidP="006A248E">
            <w:pPr>
              <w:pStyle w:val="Heading1"/>
              <w:spacing w:before="40" w:after="40"/>
              <w:rPr>
                <w:rFonts w:ascii="Arial" w:hAnsi="Arial" w:cs="Arial"/>
                <w:sz w:val="20"/>
                <w:szCs w:val="20"/>
              </w:rPr>
            </w:pPr>
            <w:r w:rsidRPr="00F1465D">
              <w:rPr>
                <w:rFonts w:ascii="Arial" w:hAnsi="Arial" w:cs="Arial"/>
                <w:sz w:val="20"/>
                <w:szCs w:val="20"/>
              </w:rPr>
              <w:t>Attachment G</w:t>
            </w:r>
          </w:p>
        </w:tc>
        <w:tc>
          <w:tcPr>
            <w:tcW w:w="7668" w:type="dxa"/>
            <w:vAlign w:val="center"/>
          </w:tcPr>
          <w:p w:rsidR="00C54E6F"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Coalition Survey (CS)</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H.</w:t>
            </w:r>
            <w:r w:rsidR="00D54BC8" w:rsidRPr="00F1465D">
              <w:rPr>
                <w:rFonts w:ascii="Arial" w:hAnsi="Arial" w:cs="Arial"/>
                <w:sz w:val="20"/>
                <w:szCs w:val="20"/>
              </w:rPr>
              <w:t>1</w:t>
            </w:r>
          </w:p>
        </w:tc>
        <w:tc>
          <w:tcPr>
            <w:tcW w:w="7668" w:type="dxa"/>
            <w:vAlign w:val="center"/>
          </w:tcPr>
          <w:p w:rsidR="005966E5" w:rsidRPr="00F1465D" w:rsidRDefault="005966E5" w:rsidP="006A248E">
            <w:pPr>
              <w:pStyle w:val="Heading1"/>
              <w:spacing w:before="40" w:after="40"/>
              <w:rPr>
                <w:rFonts w:ascii="Arial" w:hAnsi="Arial" w:cs="Arial"/>
                <w:b w:val="0"/>
                <w:sz w:val="20"/>
                <w:szCs w:val="20"/>
              </w:rPr>
            </w:pPr>
            <w:r w:rsidRPr="00F1465D">
              <w:rPr>
                <w:rFonts w:ascii="Arial" w:hAnsi="Arial" w:cs="Arial"/>
                <w:b w:val="0"/>
                <w:sz w:val="20"/>
                <w:szCs w:val="20"/>
              </w:rPr>
              <w:t>Early Identification Referral and Follow</w:t>
            </w:r>
            <w:r w:rsidR="008F1BF0" w:rsidRPr="00F1465D">
              <w:rPr>
                <w:rFonts w:ascii="Arial" w:hAnsi="Arial" w:cs="Arial"/>
                <w:b w:val="0"/>
                <w:sz w:val="20"/>
                <w:szCs w:val="20"/>
              </w:rPr>
              <w:t>-u</w:t>
            </w:r>
            <w:r w:rsidRPr="00F1465D">
              <w:rPr>
                <w:rFonts w:ascii="Arial" w:hAnsi="Arial" w:cs="Arial"/>
                <w:b w:val="0"/>
                <w:sz w:val="20"/>
                <w:szCs w:val="20"/>
              </w:rPr>
              <w:t>p Analysis (EIRF)</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H.2</w:t>
            </w:r>
          </w:p>
        </w:tc>
        <w:tc>
          <w:tcPr>
            <w:tcW w:w="7668" w:type="dxa"/>
            <w:vAlign w:val="center"/>
          </w:tcPr>
          <w:p w:rsidR="005966E5" w:rsidRPr="00F1465D" w:rsidRDefault="005966E5" w:rsidP="006A248E">
            <w:pPr>
              <w:pStyle w:val="Heading1"/>
              <w:spacing w:before="40" w:after="40"/>
              <w:rPr>
                <w:rFonts w:ascii="Arial" w:hAnsi="Arial" w:cs="Arial"/>
                <w:b w:val="0"/>
                <w:sz w:val="20"/>
                <w:szCs w:val="20"/>
              </w:rPr>
            </w:pPr>
            <w:r w:rsidRPr="00F1465D">
              <w:rPr>
                <w:rFonts w:ascii="Arial" w:hAnsi="Arial" w:cs="Arial"/>
                <w:b w:val="0"/>
                <w:sz w:val="20"/>
                <w:szCs w:val="20"/>
              </w:rPr>
              <w:t>Early Identification Referral and Follow</w:t>
            </w:r>
            <w:r w:rsidR="008F1BF0" w:rsidRPr="00F1465D">
              <w:rPr>
                <w:rFonts w:ascii="Arial" w:hAnsi="Arial" w:cs="Arial"/>
                <w:b w:val="0"/>
                <w:sz w:val="20"/>
                <w:szCs w:val="20"/>
              </w:rPr>
              <w:t>-u</w:t>
            </w:r>
            <w:r w:rsidRPr="00F1465D">
              <w:rPr>
                <w:rFonts w:ascii="Arial" w:hAnsi="Arial" w:cs="Arial"/>
                <w:b w:val="0"/>
                <w:sz w:val="20"/>
                <w:szCs w:val="20"/>
              </w:rPr>
              <w:t>p Screening Form (EIRF-S)</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H.3</w:t>
            </w:r>
          </w:p>
        </w:tc>
        <w:tc>
          <w:tcPr>
            <w:tcW w:w="7668" w:type="dxa"/>
            <w:vAlign w:val="center"/>
          </w:tcPr>
          <w:p w:rsidR="005966E5" w:rsidRPr="00F1465D" w:rsidRDefault="00935763" w:rsidP="00935763">
            <w:pPr>
              <w:pStyle w:val="Heading1"/>
              <w:spacing w:before="40" w:after="40"/>
              <w:rPr>
                <w:rFonts w:ascii="Arial" w:hAnsi="Arial" w:cs="Arial"/>
                <w:b w:val="0"/>
                <w:sz w:val="20"/>
                <w:szCs w:val="20"/>
              </w:rPr>
            </w:pPr>
            <w:r w:rsidRPr="00F1465D">
              <w:rPr>
                <w:rFonts w:ascii="Arial" w:hAnsi="Arial" w:cs="Arial"/>
                <w:b w:val="0"/>
                <w:sz w:val="20"/>
                <w:szCs w:val="20"/>
              </w:rPr>
              <w:t xml:space="preserve">Training Activity Summary Page </w:t>
            </w:r>
            <w:r w:rsidR="005966E5" w:rsidRPr="00F1465D">
              <w:rPr>
                <w:rFonts w:ascii="Arial" w:hAnsi="Arial" w:cs="Arial"/>
                <w:b w:val="0"/>
                <w:sz w:val="20"/>
                <w:szCs w:val="20"/>
              </w:rPr>
              <w:t>(</w:t>
            </w:r>
            <w:r w:rsidR="00C54E6F" w:rsidRPr="00F1465D">
              <w:rPr>
                <w:rFonts w:ascii="Arial" w:hAnsi="Arial" w:cs="Arial"/>
                <w:b w:val="0"/>
                <w:sz w:val="20"/>
                <w:szCs w:val="20"/>
              </w:rPr>
              <w:t>TASP</w:t>
            </w:r>
            <w:r w:rsidR="005966E5" w:rsidRPr="00F1465D">
              <w:rPr>
                <w:rFonts w:ascii="Arial" w:hAnsi="Arial" w:cs="Arial"/>
                <w:b w:val="0"/>
                <w:sz w:val="20"/>
                <w:szCs w:val="20"/>
              </w:rPr>
              <w:t>-ST)</w:t>
            </w:r>
            <w:r w:rsidRPr="00F1465D">
              <w:rPr>
                <w:rFonts w:ascii="Arial" w:hAnsi="Arial" w:cs="Arial"/>
                <w:b w:val="0"/>
                <w:sz w:val="20"/>
                <w:szCs w:val="20"/>
              </w:rPr>
              <w:t>:  State/Tribal</w:t>
            </w:r>
          </w:p>
        </w:tc>
      </w:tr>
      <w:tr w:rsidR="005966E5" w:rsidRPr="00F1465D" w:rsidTr="006A248E">
        <w:trPr>
          <w:trHeight w:val="214"/>
        </w:trPr>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H.4</w:t>
            </w:r>
          </w:p>
        </w:tc>
        <w:tc>
          <w:tcPr>
            <w:tcW w:w="7668" w:type="dxa"/>
            <w:vAlign w:val="center"/>
          </w:tcPr>
          <w:p w:rsidR="005966E5" w:rsidRPr="00F1465D" w:rsidRDefault="005966E5" w:rsidP="00935763">
            <w:pPr>
              <w:pStyle w:val="Heading1"/>
              <w:spacing w:before="40" w:after="40"/>
              <w:rPr>
                <w:rFonts w:ascii="Arial" w:hAnsi="Arial" w:cs="Arial"/>
                <w:b w:val="0"/>
                <w:sz w:val="20"/>
                <w:szCs w:val="20"/>
              </w:rPr>
            </w:pPr>
            <w:r w:rsidRPr="00F1465D">
              <w:rPr>
                <w:rFonts w:ascii="Arial" w:hAnsi="Arial" w:cs="Arial"/>
                <w:b w:val="0"/>
                <w:sz w:val="20"/>
                <w:szCs w:val="20"/>
              </w:rPr>
              <w:t xml:space="preserve">Training </w:t>
            </w:r>
            <w:r w:rsidR="00C54E6F" w:rsidRPr="00F1465D">
              <w:rPr>
                <w:rFonts w:ascii="Arial" w:hAnsi="Arial" w:cs="Arial"/>
                <w:b w:val="0"/>
                <w:sz w:val="20"/>
                <w:szCs w:val="20"/>
              </w:rPr>
              <w:t>Activity Summary Page</w:t>
            </w:r>
            <w:r w:rsidR="00935763" w:rsidRPr="00F1465D">
              <w:rPr>
                <w:rFonts w:ascii="Arial" w:hAnsi="Arial" w:cs="Arial"/>
                <w:b w:val="0"/>
                <w:sz w:val="20"/>
                <w:szCs w:val="20"/>
              </w:rPr>
              <w:t xml:space="preserve"> </w:t>
            </w:r>
            <w:r w:rsidRPr="00F1465D">
              <w:rPr>
                <w:rFonts w:ascii="Arial" w:hAnsi="Arial" w:cs="Arial"/>
                <w:b w:val="0"/>
                <w:sz w:val="20"/>
                <w:szCs w:val="20"/>
              </w:rPr>
              <w:t>(</w:t>
            </w:r>
            <w:r w:rsidR="00C54E6F" w:rsidRPr="00F1465D">
              <w:rPr>
                <w:rFonts w:ascii="Arial" w:hAnsi="Arial" w:cs="Arial"/>
                <w:b w:val="0"/>
                <w:sz w:val="20"/>
                <w:szCs w:val="20"/>
              </w:rPr>
              <w:t>TASP</w:t>
            </w:r>
            <w:r w:rsidRPr="00F1465D">
              <w:rPr>
                <w:rFonts w:ascii="Arial" w:hAnsi="Arial" w:cs="Arial"/>
                <w:b w:val="0"/>
                <w:sz w:val="20"/>
                <w:szCs w:val="20"/>
              </w:rPr>
              <w:t>-C)</w:t>
            </w:r>
            <w:r w:rsidR="00935763" w:rsidRPr="00F1465D">
              <w:rPr>
                <w:rFonts w:ascii="Arial" w:hAnsi="Arial" w:cs="Arial"/>
                <w:b w:val="0"/>
                <w:sz w:val="20"/>
                <w:szCs w:val="20"/>
              </w:rPr>
              <w:t>: Campus</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H.5</w:t>
            </w:r>
          </w:p>
        </w:tc>
        <w:tc>
          <w:tcPr>
            <w:tcW w:w="7668" w:type="dxa"/>
            <w:vAlign w:val="center"/>
          </w:tcPr>
          <w:p w:rsidR="005966E5" w:rsidRPr="00F1465D" w:rsidRDefault="005F4C51" w:rsidP="002D5507">
            <w:pPr>
              <w:pStyle w:val="Heading1"/>
              <w:spacing w:before="40" w:after="40"/>
              <w:rPr>
                <w:rFonts w:ascii="Arial" w:hAnsi="Arial" w:cs="Arial"/>
                <w:b w:val="0"/>
                <w:sz w:val="20"/>
                <w:szCs w:val="20"/>
              </w:rPr>
            </w:pPr>
            <w:r w:rsidRPr="00F1465D">
              <w:rPr>
                <w:rFonts w:ascii="Arial" w:hAnsi="Arial" w:cs="Arial"/>
                <w:b w:val="0"/>
                <w:sz w:val="20"/>
                <w:szCs w:val="20"/>
              </w:rPr>
              <w:t xml:space="preserve">Management Information System (MIS) </w:t>
            </w:r>
            <w:r w:rsidR="005966E5" w:rsidRPr="00F1465D">
              <w:rPr>
                <w:rFonts w:ascii="Arial" w:hAnsi="Arial" w:cs="Arial"/>
                <w:b w:val="0"/>
                <w:sz w:val="20"/>
                <w:szCs w:val="20"/>
              </w:rPr>
              <w:t xml:space="preserve">Data </w:t>
            </w:r>
            <w:r w:rsidR="002D5507" w:rsidRPr="00F1465D">
              <w:rPr>
                <w:rFonts w:ascii="Arial" w:hAnsi="Arial" w:cs="Arial"/>
                <w:b w:val="0"/>
                <w:sz w:val="20"/>
                <w:szCs w:val="20"/>
              </w:rPr>
              <w:t>Collection Activity</w:t>
            </w:r>
            <w:r w:rsidR="00803751" w:rsidRPr="00F1465D">
              <w:rPr>
                <w:rFonts w:ascii="Arial" w:hAnsi="Arial" w:cs="Arial"/>
                <w:b w:val="0"/>
                <w:sz w:val="20"/>
                <w:szCs w:val="20"/>
              </w:rPr>
              <w:t>-Year 1</w:t>
            </w:r>
          </w:p>
        </w:tc>
      </w:tr>
      <w:tr w:rsidR="00803751" w:rsidRPr="00F1465D" w:rsidTr="006A248E">
        <w:tc>
          <w:tcPr>
            <w:tcW w:w="1710" w:type="dxa"/>
            <w:shd w:val="clear" w:color="auto" w:fill="D9D9D9" w:themeFill="background1" w:themeFillShade="D9"/>
            <w:vAlign w:val="center"/>
          </w:tcPr>
          <w:p w:rsidR="00803751" w:rsidRPr="00F1465D" w:rsidRDefault="00803751" w:rsidP="006A248E">
            <w:pPr>
              <w:pStyle w:val="Heading1"/>
              <w:spacing w:before="40" w:after="40"/>
              <w:rPr>
                <w:rFonts w:ascii="Arial" w:hAnsi="Arial" w:cs="Arial"/>
                <w:sz w:val="20"/>
                <w:szCs w:val="20"/>
              </w:rPr>
            </w:pPr>
            <w:r w:rsidRPr="00F1465D">
              <w:rPr>
                <w:rFonts w:ascii="Arial" w:hAnsi="Arial" w:cs="Arial"/>
                <w:sz w:val="20"/>
                <w:szCs w:val="20"/>
              </w:rPr>
              <w:t>Attachment H.6</w:t>
            </w:r>
          </w:p>
        </w:tc>
        <w:tc>
          <w:tcPr>
            <w:tcW w:w="7668" w:type="dxa"/>
            <w:vAlign w:val="center"/>
          </w:tcPr>
          <w:p w:rsidR="00803751" w:rsidRPr="00F1465D" w:rsidDel="005F4C51" w:rsidRDefault="00803751" w:rsidP="002D5507">
            <w:pPr>
              <w:pStyle w:val="Heading1"/>
              <w:spacing w:before="40" w:after="40"/>
              <w:rPr>
                <w:rFonts w:ascii="Arial" w:hAnsi="Arial" w:cs="Arial"/>
                <w:b w:val="0"/>
                <w:sz w:val="20"/>
                <w:szCs w:val="20"/>
              </w:rPr>
            </w:pPr>
            <w:r w:rsidRPr="00F1465D">
              <w:rPr>
                <w:rFonts w:ascii="Arial" w:hAnsi="Arial" w:cs="Arial"/>
                <w:b w:val="0"/>
                <w:sz w:val="20"/>
                <w:szCs w:val="20"/>
              </w:rPr>
              <w:t xml:space="preserve">Management Information System (MIS) Data </w:t>
            </w:r>
            <w:r w:rsidR="002D5507" w:rsidRPr="00F1465D">
              <w:rPr>
                <w:rFonts w:ascii="Arial" w:hAnsi="Arial" w:cs="Arial"/>
                <w:b w:val="0"/>
                <w:sz w:val="20"/>
                <w:szCs w:val="20"/>
              </w:rPr>
              <w:t>Collection Activity</w:t>
            </w:r>
            <w:r w:rsidRPr="00F1465D">
              <w:rPr>
                <w:rFonts w:ascii="Arial" w:hAnsi="Arial" w:cs="Arial"/>
                <w:b w:val="0"/>
                <w:sz w:val="20"/>
                <w:szCs w:val="20"/>
              </w:rPr>
              <w:t xml:space="preserve">-Years 2 </w:t>
            </w:r>
            <w:r w:rsidR="00D54BC8" w:rsidRPr="00F1465D">
              <w:rPr>
                <w:rFonts w:ascii="Arial" w:hAnsi="Arial" w:cs="Arial"/>
                <w:b w:val="0"/>
                <w:sz w:val="20"/>
                <w:szCs w:val="20"/>
              </w:rPr>
              <w:t xml:space="preserve">and </w:t>
            </w:r>
            <w:r w:rsidRPr="00F1465D">
              <w:rPr>
                <w:rFonts w:ascii="Arial" w:hAnsi="Arial" w:cs="Arial"/>
                <w:b w:val="0"/>
                <w:sz w:val="20"/>
                <w:szCs w:val="20"/>
              </w:rPr>
              <w:t>3</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I.1</w:t>
            </w:r>
          </w:p>
        </w:tc>
        <w:tc>
          <w:tcPr>
            <w:tcW w:w="7668" w:type="dxa"/>
            <w:vAlign w:val="center"/>
          </w:tcPr>
          <w:p w:rsidR="005966E5"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Life Skills Activities Follow</w:t>
            </w:r>
            <w:r w:rsidR="00AB7990" w:rsidRPr="00F1465D">
              <w:rPr>
                <w:rFonts w:ascii="Arial" w:hAnsi="Arial" w:cs="Arial"/>
                <w:b w:val="0"/>
                <w:sz w:val="20"/>
                <w:szCs w:val="20"/>
              </w:rPr>
              <w:t>-u</w:t>
            </w:r>
            <w:r w:rsidRPr="00F1465D">
              <w:rPr>
                <w:rFonts w:ascii="Arial" w:hAnsi="Arial" w:cs="Arial"/>
                <w:b w:val="0"/>
                <w:sz w:val="20"/>
                <w:szCs w:val="20"/>
              </w:rPr>
              <w:t>p Interview (LAI</w:t>
            </w:r>
            <w:r w:rsidR="003E2EF7" w:rsidRPr="00F1465D">
              <w:rPr>
                <w:rFonts w:ascii="Arial" w:hAnsi="Arial" w:cs="Arial"/>
                <w:b w:val="0"/>
                <w:sz w:val="20"/>
                <w:szCs w:val="20"/>
              </w:rPr>
              <w:t>F</w:t>
            </w:r>
            <w:r w:rsidRPr="00F1465D">
              <w:rPr>
                <w:rFonts w:ascii="Arial" w:hAnsi="Arial" w:cs="Arial"/>
                <w:b w:val="0"/>
                <w:sz w:val="20"/>
                <w:szCs w:val="20"/>
              </w:rPr>
              <w:t>)</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I.2</w:t>
            </w:r>
          </w:p>
        </w:tc>
        <w:tc>
          <w:tcPr>
            <w:tcW w:w="7668" w:type="dxa"/>
            <w:shd w:val="clear" w:color="auto" w:fill="auto"/>
            <w:vAlign w:val="center"/>
          </w:tcPr>
          <w:p w:rsidR="005966E5"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Life Skills Activities Follow</w:t>
            </w:r>
            <w:r w:rsidR="00AB7990" w:rsidRPr="00F1465D">
              <w:rPr>
                <w:rFonts w:ascii="Arial" w:hAnsi="Arial" w:cs="Arial"/>
                <w:b w:val="0"/>
                <w:sz w:val="20"/>
                <w:szCs w:val="20"/>
              </w:rPr>
              <w:t>-u</w:t>
            </w:r>
            <w:r w:rsidRPr="00F1465D">
              <w:rPr>
                <w:rFonts w:ascii="Arial" w:hAnsi="Arial" w:cs="Arial"/>
                <w:b w:val="0"/>
                <w:sz w:val="20"/>
                <w:szCs w:val="20"/>
              </w:rPr>
              <w:t>p Interview (LA</w:t>
            </w:r>
            <w:r w:rsidR="003E2EF7" w:rsidRPr="00F1465D">
              <w:rPr>
                <w:rFonts w:ascii="Arial" w:hAnsi="Arial" w:cs="Arial"/>
                <w:b w:val="0"/>
                <w:sz w:val="20"/>
                <w:szCs w:val="20"/>
              </w:rPr>
              <w:t>F</w:t>
            </w:r>
            <w:r w:rsidRPr="00F1465D">
              <w:rPr>
                <w:rFonts w:ascii="Arial" w:hAnsi="Arial" w:cs="Arial"/>
                <w:b w:val="0"/>
                <w:sz w:val="20"/>
                <w:szCs w:val="20"/>
              </w:rPr>
              <w:t>I) Consent</w:t>
            </w:r>
            <w:r w:rsidR="00D54BC8" w:rsidRPr="00F1465D">
              <w:rPr>
                <w:rFonts w:ascii="Arial" w:hAnsi="Arial" w:cs="Arial"/>
                <w:b w:val="0"/>
                <w:sz w:val="20"/>
                <w:szCs w:val="20"/>
              </w:rPr>
              <w:t>-</w:t>
            </w:r>
            <w:r w:rsidRPr="00F1465D">
              <w:rPr>
                <w:rFonts w:ascii="Arial" w:hAnsi="Arial" w:cs="Arial"/>
                <w:b w:val="0"/>
                <w:sz w:val="20"/>
                <w:szCs w:val="20"/>
              </w:rPr>
              <w:t>to</w:t>
            </w:r>
            <w:r w:rsidR="00D54BC8" w:rsidRPr="00F1465D">
              <w:rPr>
                <w:rFonts w:ascii="Arial" w:hAnsi="Arial" w:cs="Arial"/>
                <w:b w:val="0"/>
                <w:sz w:val="20"/>
                <w:szCs w:val="20"/>
              </w:rPr>
              <w:t>-</w:t>
            </w:r>
            <w:r w:rsidRPr="00F1465D">
              <w:rPr>
                <w:rFonts w:ascii="Arial" w:hAnsi="Arial" w:cs="Arial"/>
                <w:b w:val="0"/>
                <w:sz w:val="20"/>
                <w:szCs w:val="20"/>
              </w:rPr>
              <w:t>Contact</w:t>
            </w:r>
            <w:r w:rsidR="00961D31" w:rsidRPr="00F1465D">
              <w:rPr>
                <w:rFonts w:ascii="Arial" w:hAnsi="Arial" w:cs="Arial"/>
                <w:b w:val="0"/>
                <w:sz w:val="20"/>
                <w:szCs w:val="20"/>
              </w:rPr>
              <w:t xml:space="preserve"> </w:t>
            </w:r>
            <w:r w:rsidRPr="00F1465D">
              <w:rPr>
                <w:rFonts w:ascii="Arial" w:hAnsi="Arial" w:cs="Arial"/>
                <w:b w:val="0"/>
                <w:sz w:val="20"/>
                <w:szCs w:val="20"/>
              </w:rPr>
              <w:t>Form</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I.3</w:t>
            </w:r>
          </w:p>
        </w:tc>
        <w:tc>
          <w:tcPr>
            <w:tcW w:w="7668" w:type="dxa"/>
            <w:shd w:val="clear" w:color="auto" w:fill="auto"/>
            <w:vAlign w:val="center"/>
          </w:tcPr>
          <w:p w:rsidR="005966E5"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Life Skills Activities Follow</w:t>
            </w:r>
            <w:r w:rsidR="00AB7990" w:rsidRPr="00F1465D">
              <w:rPr>
                <w:rFonts w:ascii="Arial" w:hAnsi="Arial" w:cs="Arial"/>
                <w:b w:val="0"/>
                <w:sz w:val="20"/>
                <w:szCs w:val="20"/>
              </w:rPr>
              <w:t>-u</w:t>
            </w:r>
            <w:r w:rsidRPr="00F1465D">
              <w:rPr>
                <w:rFonts w:ascii="Arial" w:hAnsi="Arial" w:cs="Arial"/>
                <w:b w:val="0"/>
                <w:sz w:val="20"/>
                <w:szCs w:val="20"/>
              </w:rPr>
              <w:t>p Interview (LA</w:t>
            </w:r>
            <w:r w:rsidR="003E2EF7" w:rsidRPr="00F1465D">
              <w:rPr>
                <w:rFonts w:ascii="Arial" w:hAnsi="Arial" w:cs="Arial"/>
                <w:b w:val="0"/>
                <w:sz w:val="20"/>
                <w:szCs w:val="20"/>
              </w:rPr>
              <w:t>F</w:t>
            </w:r>
            <w:r w:rsidRPr="00F1465D">
              <w:rPr>
                <w:rFonts w:ascii="Arial" w:hAnsi="Arial" w:cs="Arial"/>
                <w:b w:val="0"/>
                <w:sz w:val="20"/>
                <w:szCs w:val="20"/>
              </w:rPr>
              <w:t>I) Verbal Consent</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J.1</w:t>
            </w:r>
          </w:p>
        </w:tc>
        <w:tc>
          <w:tcPr>
            <w:tcW w:w="7668" w:type="dxa"/>
            <w:vAlign w:val="center"/>
          </w:tcPr>
          <w:p w:rsidR="005966E5"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Student Awareness Intercept Survey (SAIS): Baseline</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J.2</w:t>
            </w:r>
          </w:p>
        </w:tc>
        <w:tc>
          <w:tcPr>
            <w:tcW w:w="7668" w:type="dxa"/>
            <w:vAlign w:val="center"/>
          </w:tcPr>
          <w:p w:rsidR="005966E5"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Student Awareness Intercept Survey (SAIS): Follow</w:t>
            </w:r>
            <w:r w:rsidR="00D54BC8" w:rsidRPr="00F1465D">
              <w:rPr>
                <w:rFonts w:ascii="Arial" w:hAnsi="Arial" w:cs="Arial"/>
                <w:b w:val="0"/>
                <w:sz w:val="20"/>
                <w:szCs w:val="20"/>
              </w:rPr>
              <w:t>-u</w:t>
            </w:r>
            <w:r w:rsidRPr="00F1465D">
              <w:rPr>
                <w:rFonts w:ascii="Arial" w:hAnsi="Arial" w:cs="Arial"/>
                <w:b w:val="0"/>
                <w:sz w:val="20"/>
                <w:szCs w:val="20"/>
              </w:rPr>
              <w:t>p</w:t>
            </w:r>
          </w:p>
        </w:tc>
      </w:tr>
      <w:tr w:rsidR="005966E5" w:rsidRPr="00F1465D"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 xml:space="preserve">Attachment </w:t>
            </w:r>
            <w:r w:rsidR="00C54E6F" w:rsidRPr="00F1465D">
              <w:rPr>
                <w:rFonts w:ascii="Arial" w:hAnsi="Arial" w:cs="Arial"/>
                <w:sz w:val="20"/>
                <w:szCs w:val="20"/>
              </w:rPr>
              <w:t>K</w:t>
            </w:r>
          </w:p>
        </w:tc>
        <w:tc>
          <w:tcPr>
            <w:tcW w:w="7668" w:type="dxa"/>
            <w:vAlign w:val="center"/>
          </w:tcPr>
          <w:p w:rsidR="005966E5" w:rsidRPr="00F1465D" w:rsidRDefault="00C54E6F" w:rsidP="006A248E">
            <w:pPr>
              <w:pStyle w:val="Heading1"/>
              <w:spacing w:before="40" w:after="40"/>
              <w:rPr>
                <w:rFonts w:ascii="Arial" w:hAnsi="Arial" w:cs="Arial"/>
                <w:b w:val="0"/>
                <w:sz w:val="20"/>
                <w:szCs w:val="20"/>
              </w:rPr>
            </w:pPr>
            <w:r w:rsidRPr="00F1465D">
              <w:rPr>
                <w:rFonts w:ascii="Arial" w:hAnsi="Arial" w:cs="Arial"/>
                <w:b w:val="0"/>
                <w:sz w:val="20"/>
                <w:szCs w:val="20"/>
              </w:rPr>
              <w:t>Short Message Service Survey (SMSS)</w:t>
            </w:r>
          </w:p>
        </w:tc>
      </w:tr>
      <w:tr w:rsidR="005966E5" w:rsidRPr="00211E0E" w:rsidTr="006A248E">
        <w:tc>
          <w:tcPr>
            <w:tcW w:w="1710" w:type="dxa"/>
            <w:shd w:val="clear" w:color="auto" w:fill="D9D9D9" w:themeFill="background1" w:themeFillShade="D9"/>
            <w:vAlign w:val="center"/>
          </w:tcPr>
          <w:p w:rsidR="005966E5" w:rsidRPr="00F1465D" w:rsidRDefault="005966E5" w:rsidP="006A248E">
            <w:pPr>
              <w:pStyle w:val="Heading1"/>
              <w:spacing w:before="40" w:after="40"/>
              <w:rPr>
                <w:rFonts w:ascii="Arial" w:hAnsi="Arial" w:cs="Arial"/>
                <w:sz w:val="20"/>
                <w:szCs w:val="20"/>
              </w:rPr>
            </w:pPr>
            <w:r w:rsidRPr="00F1465D">
              <w:rPr>
                <w:rFonts w:ascii="Arial" w:hAnsi="Arial" w:cs="Arial"/>
                <w:sz w:val="20"/>
                <w:szCs w:val="20"/>
              </w:rPr>
              <w:t>Attachment L</w:t>
            </w:r>
          </w:p>
        </w:tc>
        <w:tc>
          <w:tcPr>
            <w:tcW w:w="7668" w:type="dxa"/>
            <w:vAlign w:val="center"/>
          </w:tcPr>
          <w:p w:rsidR="005966E5" w:rsidRPr="006A248E" w:rsidRDefault="005966E5" w:rsidP="006A248E">
            <w:pPr>
              <w:pStyle w:val="Heading1"/>
              <w:spacing w:before="40" w:after="40"/>
              <w:rPr>
                <w:rFonts w:ascii="Arial" w:hAnsi="Arial" w:cs="Arial"/>
                <w:b w:val="0"/>
                <w:sz w:val="20"/>
                <w:szCs w:val="20"/>
              </w:rPr>
            </w:pPr>
            <w:r w:rsidRPr="00F1465D">
              <w:rPr>
                <w:rFonts w:ascii="Arial" w:hAnsi="Arial" w:cs="Arial"/>
                <w:b w:val="0"/>
                <w:sz w:val="20"/>
                <w:szCs w:val="20"/>
              </w:rPr>
              <w:t>Data Use and Access Agreement</w:t>
            </w:r>
          </w:p>
        </w:tc>
      </w:tr>
      <w:bookmarkEnd w:id="15"/>
    </w:tbl>
    <w:p w:rsidR="007A2223" w:rsidRPr="006A248E" w:rsidRDefault="007A2223" w:rsidP="006A248E"/>
    <w:sectPr w:rsidR="007A2223" w:rsidRPr="006A248E" w:rsidSect="00F00301">
      <w:footerReference w:type="default" r:id="rId8"/>
      <w:endnotePr>
        <w:numFmt w:val="decimal"/>
      </w:endnotePr>
      <w:pgSz w:w="12240" w:h="15840"/>
      <w:pgMar w:top="1138" w:right="1440" w:bottom="778" w:left="1440" w:header="1138" w:footer="778"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190" w:rsidRDefault="006F4190">
      <w:r>
        <w:separator/>
      </w:r>
    </w:p>
  </w:endnote>
  <w:endnote w:type="continuationSeparator" w:id="0">
    <w:p w:rsidR="006F4190" w:rsidRDefault="006F4190">
      <w:r>
        <w:continuationSeparator/>
      </w:r>
    </w:p>
  </w:endnote>
  <w:endnote w:type="continuationNotice" w:id="1">
    <w:p w:rsidR="006F4190" w:rsidRDefault="006F419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B95" w:rsidRPr="000C0B9C" w:rsidRDefault="00086B95" w:rsidP="000C0B9C"/>
  <w:p w:rsidR="00086B95" w:rsidRDefault="00086B95" w:rsidP="000C0B9C">
    <w:pPr>
      <w:spacing w:line="19" w:lineRule="exact"/>
      <w:ind w:right="58"/>
      <w:jc w:val="both"/>
      <w:rPr>
        <w:sz w:val="20"/>
        <w:szCs w:val="20"/>
      </w:rPr>
    </w:pPr>
  </w:p>
  <w:p w:rsidR="00086B95" w:rsidRPr="000C0B9C" w:rsidRDefault="00086B95" w:rsidP="000C0B9C">
    <w:pPr>
      <w:pBdr>
        <w:top w:val="single" w:sz="18" w:space="1" w:color="auto"/>
      </w:pBdr>
      <w:tabs>
        <w:tab w:val="right" w:pos="9360"/>
      </w:tabs>
      <w:jc w:val="both"/>
      <w:rPr>
        <w:rFonts w:ascii="Arial" w:hAnsi="Arial" w:cs="Arial"/>
        <w:b/>
        <w:sz w:val="20"/>
        <w:szCs w:val="20"/>
      </w:rPr>
    </w:pPr>
    <w:r w:rsidRPr="000C0B9C">
      <w:rPr>
        <w:rFonts w:ascii="Arial" w:hAnsi="Arial" w:cs="Arial"/>
        <w:b/>
        <w:sz w:val="20"/>
        <w:szCs w:val="20"/>
      </w:rPr>
      <w:t>Suicide Cross-Site Evaluation</w:t>
    </w:r>
    <w:r w:rsidRPr="000C0B9C">
      <w:rPr>
        <w:rFonts w:ascii="Arial" w:hAnsi="Arial" w:cs="Arial"/>
        <w:b/>
        <w:sz w:val="20"/>
        <w:szCs w:val="20"/>
      </w:rPr>
      <w:tab/>
    </w:r>
    <w:r>
      <w:rPr>
        <w:rFonts w:ascii="Arial" w:hAnsi="Arial" w:cs="Arial"/>
        <w:b/>
        <w:sz w:val="20"/>
        <w:szCs w:val="20"/>
      </w:rPr>
      <w:t xml:space="preserve">Page </w:t>
    </w:r>
    <w:r w:rsidR="00AB70A1" w:rsidRPr="000C0B9C">
      <w:rPr>
        <w:rFonts w:ascii="Arial" w:hAnsi="Arial" w:cs="Arial"/>
        <w:b/>
        <w:sz w:val="20"/>
        <w:szCs w:val="20"/>
      </w:rPr>
      <w:fldChar w:fldCharType="begin"/>
    </w:r>
    <w:r w:rsidRPr="000C0B9C">
      <w:rPr>
        <w:rFonts w:ascii="Arial" w:hAnsi="Arial" w:cs="Arial"/>
        <w:b/>
        <w:sz w:val="20"/>
        <w:szCs w:val="20"/>
      </w:rPr>
      <w:instrText xml:space="preserve"> PAGE </w:instrText>
    </w:r>
    <w:r w:rsidR="00AB70A1" w:rsidRPr="000C0B9C">
      <w:rPr>
        <w:rFonts w:ascii="Arial" w:hAnsi="Arial" w:cs="Arial"/>
        <w:b/>
        <w:sz w:val="20"/>
        <w:szCs w:val="20"/>
      </w:rPr>
      <w:fldChar w:fldCharType="separate"/>
    </w:r>
    <w:r w:rsidR="00AF55DB">
      <w:rPr>
        <w:rFonts w:ascii="Arial" w:hAnsi="Arial" w:cs="Arial"/>
        <w:b/>
        <w:noProof/>
        <w:sz w:val="20"/>
        <w:szCs w:val="20"/>
      </w:rPr>
      <w:t>2</w:t>
    </w:r>
    <w:r w:rsidR="00AB70A1" w:rsidRPr="000C0B9C">
      <w:rPr>
        <w:rFonts w:ascii="Arial" w:hAnsi="Arial" w:cs="Arial"/>
        <w:b/>
        <w:sz w:val="20"/>
        <w:szCs w:val="20"/>
      </w:rPr>
      <w:fldChar w:fldCharType="end"/>
    </w:r>
    <w:r>
      <w:rPr>
        <w:rFonts w:ascii="Arial" w:hAnsi="Arial" w:cs="Arial"/>
        <w:b/>
        <w:sz w:val="20"/>
        <w:szCs w:val="20"/>
      </w:rPr>
      <w:t xml:space="preserve"> of 65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190" w:rsidRDefault="006F4190">
      <w:r>
        <w:separator/>
      </w:r>
    </w:p>
  </w:footnote>
  <w:footnote w:type="continuationSeparator" w:id="0">
    <w:p w:rsidR="006F4190" w:rsidRDefault="006F4190">
      <w:r>
        <w:continuationSeparator/>
      </w:r>
    </w:p>
  </w:footnote>
  <w:footnote w:type="continuationNotice" w:id="1">
    <w:p w:rsidR="006F4190" w:rsidRDefault="006F4190"/>
  </w:footnote>
  <w:footnote w:id="2">
    <w:p w:rsidR="00086B95" w:rsidRPr="00F97735" w:rsidRDefault="00086B95" w:rsidP="00F97735">
      <w:pPr>
        <w:pStyle w:val="FootnoteText"/>
        <w:ind w:left="90" w:hanging="90"/>
        <w:rPr>
          <w:rFonts w:ascii="Arial" w:hAnsi="Arial" w:cs="Arial"/>
          <w:sz w:val="16"/>
          <w:szCs w:val="16"/>
        </w:rPr>
      </w:pPr>
      <w:r w:rsidRPr="00F97735">
        <w:rPr>
          <w:rStyle w:val="FootnoteReference"/>
          <w:rFonts w:ascii="Arial" w:hAnsi="Arial" w:cs="Arial"/>
          <w:sz w:val="16"/>
          <w:szCs w:val="16"/>
          <w:vertAlign w:val="superscript"/>
        </w:rPr>
        <w:footnoteRef/>
      </w:r>
      <w:r w:rsidRPr="00F97735">
        <w:rPr>
          <w:rFonts w:ascii="Arial" w:hAnsi="Arial" w:cs="Arial"/>
          <w:sz w:val="16"/>
          <w:szCs w:val="16"/>
        </w:rPr>
        <w:t xml:space="preserve"> Alternatively, a particular set of campuses in a cohort can be interpreted as a sample of a much larger set of campuses. In that case, each campus is a cluster (instead of a stratum), and the extent to which students from the same campus are similar must be taken into account. In both cases, there is an impact on the precision that is usually summarized by the DEFF.</w:t>
      </w:r>
    </w:p>
  </w:footnote>
  <w:footnote w:id="3">
    <w:p w:rsidR="00086B95" w:rsidRPr="00F1465D" w:rsidRDefault="00086B95" w:rsidP="00BC4C0F">
      <w:pPr>
        <w:pStyle w:val="FootnoteText"/>
        <w:rPr>
          <w:i/>
          <w:sz w:val="18"/>
          <w:szCs w:val="18"/>
        </w:rPr>
      </w:pPr>
      <w:r w:rsidRPr="00F1465D">
        <w:rPr>
          <w:rStyle w:val="FootnoteReference"/>
          <w:i/>
          <w:sz w:val="18"/>
          <w:szCs w:val="18"/>
        </w:rPr>
        <w:footnoteRef/>
      </w:r>
      <w:r w:rsidRPr="00F1465D">
        <w:rPr>
          <w:i/>
          <w:sz w:val="18"/>
          <w:szCs w:val="18"/>
        </w:rPr>
        <w:t xml:space="preserve"> Psychometric analyses are indicated for data collection instruments that apply scales that are able to be analyzed. If the activity doesn’t collect scaled data it is not considered appropriate for psychometric analysis and is thereafter indicated as “not appropriate”. </w:t>
      </w:r>
    </w:p>
    <w:p w:rsidR="00086B95" w:rsidRPr="00F1465D" w:rsidRDefault="00086B95" w:rsidP="00BC4C0F">
      <w:pPr>
        <w:pStyle w:val="FootnoteText"/>
        <w:rPr>
          <w:i/>
          <w:sz w:val="18"/>
          <w:szCs w:val="18"/>
        </w:rPr>
      </w:pPr>
    </w:p>
  </w:footnote>
  <w:footnote w:id="4">
    <w:p w:rsidR="00DF0C86" w:rsidRPr="00326A3E" w:rsidRDefault="00DF0C86">
      <w:pPr>
        <w:pStyle w:val="FootnoteText"/>
        <w:rPr>
          <w:i/>
          <w:sz w:val="18"/>
          <w:szCs w:val="18"/>
        </w:rPr>
      </w:pPr>
      <w:r w:rsidRPr="00F1465D">
        <w:rPr>
          <w:rStyle w:val="FootnoteReference"/>
          <w:i/>
          <w:sz w:val="18"/>
          <w:szCs w:val="18"/>
        </w:rPr>
        <w:footnoteRef/>
      </w:r>
      <w:r w:rsidRPr="00F1465D">
        <w:rPr>
          <w:i/>
          <w:sz w:val="18"/>
          <w:szCs w:val="18"/>
        </w:rPr>
        <w:t xml:space="preserve"> </w:t>
      </w:r>
      <w:r w:rsidR="00326A3E" w:rsidRPr="00F1465D">
        <w:rPr>
          <w:i/>
        </w:rPr>
        <w:t>The approaches to address response rates and implementation challenges through protocol revision have been included in the last column of the Table 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43E9"/>
    <w:multiLevelType w:val="hybridMultilevel"/>
    <w:tmpl w:val="F1E44308"/>
    <w:lvl w:ilvl="0" w:tplc="6F1E74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C2961"/>
    <w:multiLevelType w:val="hybridMultilevel"/>
    <w:tmpl w:val="3EA8075E"/>
    <w:lvl w:ilvl="0" w:tplc="3F5ADF96">
      <w:start w:val="1"/>
      <w:numFmt w:val="bullet"/>
      <w:pStyle w:val="ReportBullet1"/>
      <w:lvlText w:val=""/>
      <w:lvlJc w:val="left"/>
      <w:pPr>
        <w:ind w:left="720" w:hanging="360"/>
      </w:pPr>
      <w:rPr>
        <w:rFonts w:ascii="Wingdings 2" w:hAnsi="Wingdings 2" w:hint="default"/>
        <w:color w:val="5855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219BE"/>
    <w:multiLevelType w:val="hybridMultilevel"/>
    <w:tmpl w:val="91A4D8F2"/>
    <w:lvl w:ilvl="0" w:tplc="68D29C74">
      <w:start w:val="1"/>
      <w:numFmt w:val="bullet"/>
      <w:pStyle w:val="SuicideBullet1"/>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E3BADCD4">
      <w:numFmt w:val="bullet"/>
      <w:lvlText w:val="-"/>
      <w:lvlJc w:val="left"/>
      <w:pPr>
        <w:tabs>
          <w:tab w:val="num" w:pos="3240"/>
        </w:tabs>
        <w:ind w:left="3240" w:hanging="360"/>
      </w:pPr>
      <w:rPr>
        <w:rFonts w:ascii="Times New Roman" w:eastAsia="Times New Roman" w:hAnsi="Times New Roman" w:cs="Times New Roman"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E462554"/>
    <w:multiLevelType w:val="hybridMultilevel"/>
    <w:tmpl w:val="6E8A33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D3A2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54AAE"/>
    <w:multiLevelType w:val="hybridMultilevel"/>
    <w:tmpl w:val="BB0EA416"/>
    <w:lvl w:ilvl="0" w:tplc="0C34A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CC2A24"/>
    <w:multiLevelType w:val="hybridMultilevel"/>
    <w:tmpl w:val="06D67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65DDA"/>
    <w:multiLevelType w:val="hybridMultilevel"/>
    <w:tmpl w:val="5C76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83677"/>
    <w:multiLevelType w:val="hybridMultilevel"/>
    <w:tmpl w:val="658AD6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F90AD4"/>
    <w:multiLevelType w:val="hybridMultilevel"/>
    <w:tmpl w:val="3794B554"/>
    <w:lvl w:ilvl="0" w:tplc="C636AEC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8014F6"/>
    <w:multiLevelType w:val="hybridMultilevel"/>
    <w:tmpl w:val="9162F1A2"/>
    <w:lvl w:ilvl="0" w:tplc="5E2C21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1C455EB"/>
    <w:multiLevelType w:val="hybridMultilevel"/>
    <w:tmpl w:val="1010AACC"/>
    <w:lvl w:ilvl="0" w:tplc="E5B4AE9C">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E7689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FB2F8D"/>
    <w:multiLevelType w:val="hybridMultilevel"/>
    <w:tmpl w:val="BBECD74C"/>
    <w:lvl w:ilvl="0" w:tplc="2C844384">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5"/>
  </w:num>
  <w:num w:numId="3">
    <w:abstractNumId w:val="14"/>
  </w:num>
  <w:num w:numId="4">
    <w:abstractNumId w:val="6"/>
  </w:num>
  <w:num w:numId="5">
    <w:abstractNumId w:val="7"/>
  </w:num>
  <w:num w:numId="6">
    <w:abstractNumId w:val="13"/>
  </w:num>
  <w:num w:numId="7">
    <w:abstractNumId w:val="8"/>
  </w:num>
  <w:num w:numId="8">
    <w:abstractNumId w:val="8"/>
    <w:lvlOverride w:ilvl="0">
      <w:startOverride w:val="1"/>
    </w:lvlOverride>
  </w:num>
  <w:num w:numId="9">
    <w:abstractNumId w:val="8"/>
    <w:lvlOverride w:ilvl="0">
      <w:startOverride w:val="1"/>
    </w:lvlOverride>
  </w:num>
  <w:num w:numId="10">
    <w:abstractNumId w:val="8"/>
  </w:num>
  <w:num w:numId="11">
    <w:abstractNumId w:val="8"/>
  </w:num>
  <w:num w:numId="12">
    <w:abstractNumId w:val="8"/>
  </w:num>
  <w:num w:numId="13">
    <w:abstractNumId w:val="8"/>
  </w:num>
  <w:num w:numId="14">
    <w:abstractNumId w:val="8"/>
  </w:num>
  <w:num w:numId="15">
    <w:abstractNumId w:val="1"/>
  </w:num>
  <w:num w:numId="16">
    <w:abstractNumId w:val="8"/>
  </w:num>
  <w:num w:numId="17">
    <w:abstractNumId w:val="8"/>
  </w:num>
  <w:num w:numId="18">
    <w:abstractNumId w:val="8"/>
  </w:num>
  <w:num w:numId="19">
    <w:abstractNumId w:val="8"/>
  </w:num>
  <w:num w:numId="20">
    <w:abstractNumId w:val="12"/>
  </w:num>
  <w:num w:numId="21">
    <w:abstractNumId w:val="4"/>
  </w:num>
  <w:num w:numId="22">
    <w:abstractNumId w:val="5"/>
  </w:num>
  <w:num w:numId="23">
    <w:abstractNumId w:val="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removePersonalInformation/>
  <w:removeDateAndTime/>
  <w:embedSystemFonts/>
  <w:mirrorMargins/>
  <w:bordersDoNotSurroundHeader/>
  <w:bordersDoNotSurroundFooter/>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B808"/>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rsids>
    <w:rsidRoot w:val="003A6A8F"/>
    <w:rsid w:val="0000176D"/>
    <w:rsid w:val="00001FEA"/>
    <w:rsid w:val="000047C9"/>
    <w:rsid w:val="000054F2"/>
    <w:rsid w:val="00006146"/>
    <w:rsid w:val="00007F02"/>
    <w:rsid w:val="0001190B"/>
    <w:rsid w:val="0001631D"/>
    <w:rsid w:val="00017012"/>
    <w:rsid w:val="000216BE"/>
    <w:rsid w:val="00023CC0"/>
    <w:rsid w:val="00023ECE"/>
    <w:rsid w:val="000252C6"/>
    <w:rsid w:val="00031A71"/>
    <w:rsid w:val="00031DE0"/>
    <w:rsid w:val="0003389F"/>
    <w:rsid w:val="000354F0"/>
    <w:rsid w:val="000375D3"/>
    <w:rsid w:val="00041188"/>
    <w:rsid w:val="000430FF"/>
    <w:rsid w:val="00044D44"/>
    <w:rsid w:val="00047B6A"/>
    <w:rsid w:val="00050264"/>
    <w:rsid w:val="00050D89"/>
    <w:rsid w:val="000517D9"/>
    <w:rsid w:val="00051F62"/>
    <w:rsid w:val="000543C3"/>
    <w:rsid w:val="000545B7"/>
    <w:rsid w:val="00057D35"/>
    <w:rsid w:val="00057E91"/>
    <w:rsid w:val="000618BA"/>
    <w:rsid w:val="0006191C"/>
    <w:rsid w:val="00061EE0"/>
    <w:rsid w:val="000670A8"/>
    <w:rsid w:val="000671A3"/>
    <w:rsid w:val="0007319F"/>
    <w:rsid w:val="00075165"/>
    <w:rsid w:val="00076A23"/>
    <w:rsid w:val="000805F8"/>
    <w:rsid w:val="00080E0A"/>
    <w:rsid w:val="0008683C"/>
    <w:rsid w:val="000869BE"/>
    <w:rsid w:val="00086B95"/>
    <w:rsid w:val="00086F74"/>
    <w:rsid w:val="0008783B"/>
    <w:rsid w:val="00092630"/>
    <w:rsid w:val="00093C7C"/>
    <w:rsid w:val="0009441E"/>
    <w:rsid w:val="0009483B"/>
    <w:rsid w:val="000A2AF0"/>
    <w:rsid w:val="000A4A43"/>
    <w:rsid w:val="000A5F8E"/>
    <w:rsid w:val="000A6E5E"/>
    <w:rsid w:val="000A7679"/>
    <w:rsid w:val="000A76E1"/>
    <w:rsid w:val="000B0B76"/>
    <w:rsid w:val="000B0EA7"/>
    <w:rsid w:val="000B1300"/>
    <w:rsid w:val="000B1318"/>
    <w:rsid w:val="000B2ED1"/>
    <w:rsid w:val="000B4460"/>
    <w:rsid w:val="000B5BFD"/>
    <w:rsid w:val="000B64C5"/>
    <w:rsid w:val="000B6A58"/>
    <w:rsid w:val="000B742B"/>
    <w:rsid w:val="000C0B9C"/>
    <w:rsid w:val="000C2650"/>
    <w:rsid w:val="000C2A85"/>
    <w:rsid w:val="000C2C24"/>
    <w:rsid w:val="000D02DE"/>
    <w:rsid w:val="000D111F"/>
    <w:rsid w:val="000D14C6"/>
    <w:rsid w:val="000D1B95"/>
    <w:rsid w:val="000D37A2"/>
    <w:rsid w:val="000D5730"/>
    <w:rsid w:val="000E1521"/>
    <w:rsid w:val="000E2669"/>
    <w:rsid w:val="000E4A62"/>
    <w:rsid w:val="000E5A50"/>
    <w:rsid w:val="000E5BAD"/>
    <w:rsid w:val="000E5CE8"/>
    <w:rsid w:val="000F0C2E"/>
    <w:rsid w:val="000F1DCC"/>
    <w:rsid w:val="000F2C2A"/>
    <w:rsid w:val="000F4D29"/>
    <w:rsid w:val="001001F7"/>
    <w:rsid w:val="00102E5F"/>
    <w:rsid w:val="001044F0"/>
    <w:rsid w:val="0010503F"/>
    <w:rsid w:val="0010777F"/>
    <w:rsid w:val="00110983"/>
    <w:rsid w:val="0011166F"/>
    <w:rsid w:val="00111D43"/>
    <w:rsid w:val="00112C09"/>
    <w:rsid w:val="001143C9"/>
    <w:rsid w:val="00114C68"/>
    <w:rsid w:val="00121E08"/>
    <w:rsid w:val="0012237A"/>
    <w:rsid w:val="001228DE"/>
    <w:rsid w:val="00122CBB"/>
    <w:rsid w:val="00124B9E"/>
    <w:rsid w:val="00125F00"/>
    <w:rsid w:val="00127573"/>
    <w:rsid w:val="001300A8"/>
    <w:rsid w:val="001323DD"/>
    <w:rsid w:val="00140E3B"/>
    <w:rsid w:val="00141E09"/>
    <w:rsid w:val="001432D3"/>
    <w:rsid w:val="001441AF"/>
    <w:rsid w:val="00147C93"/>
    <w:rsid w:val="00147E83"/>
    <w:rsid w:val="00147F1C"/>
    <w:rsid w:val="00150BE8"/>
    <w:rsid w:val="00151DB4"/>
    <w:rsid w:val="00151FEA"/>
    <w:rsid w:val="0015550C"/>
    <w:rsid w:val="00155B08"/>
    <w:rsid w:val="001562A0"/>
    <w:rsid w:val="0015683D"/>
    <w:rsid w:val="0015685F"/>
    <w:rsid w:val="00156A3E"/>
    <w:rsid w:val="0016140B"/>
    <w:rsid w:val="001617D6"/>
    <w:rsid w:val="001632C4"/>
    <w:rsid w:val="00163DE0"/>
    <w:rsid w:val="001663D5"/>
    <w:rsid w:val="00166BA4"/>
    <w:rsid w:val="00166FE7"/>
    <w:rsid w:val="00167572"/>
    <w:rsid w:val="00170DD5"/>
    <w:rsid w:val="00175238"/>
    <w:rsid w:val="00175B92"/>
    <w:rsid w:val="00176C12"/>
    <w:rsid w:val="00177B08"/>
    <w:rsid w:val="001801AA"/>
    <w:rsid w:val="00180397"/>
    <w:rsid w:val="001803D6"/>
    <w:rsid w:val="00180D1E"/>
    <w:rsid w:val="00180FB1"/>
    <w:rsid w:val="0018167C"/>
    <w:rsid w:val="00182E61"/>
    <w:rsid w:val="00184BA6"/>
    <w:rsid w:val="00185DFC"/>
    <w:rsid w:val="00190289"/>
    <w:rsid w:val="0019490D"/>
    <w:rsid w:val="001A08AF"/>
    <w:rsid w:val="001A2D21"/>
    <w:rsid w:val="001A47B6"/>
    <w:rsid w:val="001A63F1"/>
    <w:rsid w:val="001A6D00"/>
    <w:rsid w:val="001A6F9F"/>
    <w:rsid w:val="001A7821"/>
    <w:rsid w:val="001B0742"/>
    <w:rsid w:val="001B0EF2"/>
    <w:rsid w:val="001B2C40"/>
    <w:rsid w:val="001B346C"/>
    <w:rsid w:val="001B4E0A"/>
    <w:rsid w:val="001B55B0"/>
    <w:rsid w:val="001B749B"/>
    <w:rsid w:val="001C04E0"/>
    <w:rsid w:val="001C06CD"/>
    <w:rsid w:val="001C2E0E"/>
    <w:rsid w:val="001C63A1"/>
    <w:rsid w:val="001C7309"/>
    <w:rsid w:val="001C78C8"/>
    <w:rsid w:val="001D0CC9"/>
    <w:rsid w:val="001D1661"/>
    <w:rsid w:val="001D2FE5"/>
    <w:rsid w:val="001D607C"/>
    <w:rsid w:val="001D746F"/>
    <w:rsid w:val="001E0B03"/>
    <w:rsid w:val="001E2FA5"/>
    <w:rsid w:val="001E7125"/>
    <w:rsid w:val="001F0926"/>
    <w:rsid w:val="001F3022"/>
    <w:rsid w:val="001F5A6F"/>
    <w:rsid w:val="001F5C02"/>
    <w:rsid w:val="001F5DF8"/>
    <w:rsid w:val="001F60B1"/>
    <w:rsid w:val="001F68DF"/>
    <w:rsid w:val="00200303"/>
    <w:rsid w:val="00200391"/>
    <w:rsid w:val="00204845"/>
    <w:rsid w:val="00205590"/>
    <w:rsid w:val="00211348"/>
    <w:rsid w:val="00211E0E"/>
    <w:rsid w:val="002145CA"/>
    <w:rsid w:val="00216306"/>
    <w:rsid w:val="00217ECD"/>
    <w:rsid w:val="00220D2D"/>
    <w:rsid w:val="002224AD"/>
    <w:rsid w:val="002238B7"/>
    <w:rsid w:val="00224DC8"/>
    <w:rsid w:val="002257C5"/>
    <w:rsid w:val="00225E11"/>
    <w:rsid w:val="00232511"/>
    <w:rsid w:val="00235024"/>
    <w:rsid w:val="0023585D"/>
    <w:rsid w:val="0023623A"/>
    <w:rsid w:val="00236540"/>
    <w:rsid w:val="00243045"/>
    <w:rsid w:val="00243596"/>
    <w:rsid w:val="0024472F"/>
    <w:rsid w:val="0024715E"/>
    <w:rsid w:val="00250F0C"/>
    <w:rsid w:val="00250F8E"/>
    <w:rsid w:val="002515BD"/>
    <w:rsid w:val="00252890"/>
    <w:rsid w:val="0025633F"/>
    <w:rsid w:val="002617B4"/>
    <w:rsid w:val="002631B1"/>
    <w:rsid w:val="00263384"/>
    <w:rsid w:val="002679B3"/>
    <w:rsid w:val="00272DA8"/>
    <w:rsid w:val="0027358D"/>
    <w:rsid w:val="002741C0"/>
    <w:rsid w:val="00274543"/>
    <w:rsid w:val="002754F6"/>
    <w:rsid w:val="00281D79"/>
    <w:rsid w:val="00283DA9"/>
    <w:rsid w:val="002851F3"/>
    <w:rsid w:val="00285B34"/>
    <w:rsid w:val="002868BD"/>
    <w:rsid w:val="002912BD"/>
    <w:rsid w:val="00292BA7"/>
    <w:rsid w:val="00293937"/>
    <w:rsid w:val="00294677"/>
    <w:rsid w:val="002A2976"/>
    <w:rsid w:val="002A2BDF"/>
    <w:rsid w:val="002A3D93"/>
    <w:rsid w:val="002A518B"/>
    <w:rsid w:val="002B0912"/>
    <w:rsid w:val="002B0C65"/>
    <w:rsid w:val="002B2749"/>
    <w:rsid w:val="002B415D"/>
    <w:rsid w:val="002B6CEB"/>
    <w:rsid w:val="002B7CDB"/>
    <w:rsid w:val="002C0399"/>
    <w:rsid w:val="002C0D66"/>
    <w:rsid w:val="002C39B8"/>
    <w:rsid w:val="002C4221"/>
    <w:rsid w:val="002C5A65"/>
    <w:rsid w:val="002C6771"/>
    <w:rsid w:val="002D130D"/>
    <w:rsid w:val="002D226F"/>
    <w:rsid w:val="002D4921"/>
    <w:rsid w:val="002D4D23"/>
    <w:rsid w:val="002D5507"/>
    <w:rsid w:val="002E02E6"/>
    <w:rsid w:val="002E1A2E"/>
    <w:rsid w:val="002E3082"/>
    <w:rsid w:val="002E46C2"/>
    <w:rsid w:val="002E4F69"/>
    <w:rsid w:val="002E50B1"/>
    <w:rsid w:val="002F3D5C"/>
    <w:rsid w:val="002F3FFD"/>
    <w:rsid w:val="002F4CCF"/>
    <w:rsid w:val="002F5EE1"/>
    <w:rsid w:val="002F6BCB"/>
    <w:rsid w:val="003036B7"/>
    <w:rsid w:val="003037A8"/>
    <w:rsid w:val="00303992"/>
    <w:rsid w:val="00310FB5"/>
    <w:rsid w:val="003116A9"/>
    <w:rsid w:val="003127DC"/>
    <w:rsid w:val="003154C7"/>
    <w:rsid w:val="00317338"/>
    <w:rsid w:val="0031751F"/>
    <w:rsid w:val="00317951"/>
    <w:rsid w:val="00321B31"/>
    <w:rsid w:val="00322C22"/>
    <w:rsid w:val="00322E91"/>
    <w:rsid w:val="0032439A"/>
    <w:rsid w:val="0032464E"/>
    <w:rsid w:val="0032514F"/>
    <w:rsid w:val="00326A3E"/>
    <w:rsid w:val="003328B6"/>
    <w:rsid w:val="00332BF0"/>
    <w:rsid w:val="00332CBC"/>
    <w:rsid w:val="00334388"/>
    <w:rsid w:val="00351B3E"/>
    <w:rsid w:val="003523C0"/>
    <w:rsid w:val="00352F68"/>
    <w:rsid w:val="00353AF1"/>
    <w:rsid w:val="00354502"/>
    <w:rsid w:val="003548A9"/>
    <w:rsid w:val="00354E53"/>
    <w:rsid w:val="00356E89"/>
    <w:rsid w:val="00360C28"/>
    <w:rsid w:val="00361BA9"/>
    <w:rsid w:val="00362BA4"/>
    <w:rsid w:val="00362DCA"/>
    <w:rsid w:val="003645CC"/>
    <w:rsid w:val="003651D8"/>
    <w:rsid w:val="0036767C"/>
    <w:rsid w:val="00374727"/>
    <w:rsid w:val="003755E7"/>
    <w:rsid w:val="00375B1E"/>
    <w:rsid w:val="003768DB"/>
    <w:rsid w:val="00376E50"/>
    <w:rsid w:val="003814AB"/>
    <w:rsid w:val="00383A72"/>
    <w:rsid w:val="00387106"/>
    <w:rsid w:val="00390213"/>
    <w:rsid w:val="00390A36"/>
    <w:rsid w:val="00390CF8"/>
    <w:rsid w:val="003923BD"/>
    <w:rsid w:val="0039429B"/>
    <w:rsid w:val="00394DD2"/>
    <w:rsid w:val="00395808"/>
    <w:rsid w:val="00396218"/>
    <w:rsid w:val="00397C85"/>
    <w:rsid w:val="003A0B11"/>
    <w:rsid w:val="003A17BB"/>
    <w:rsid w:val="003A1BFE"/>
    <w:rsid w:val="003A2142"/>
    <w:rsid w:val="003A3348"/>
    <w:rsid w:val="003A6180"/>
    <w:rsid w:val="003A6A8F"/>
    <w:rsid w:val="003A6DA3"/>
    <w:rsid w:val="003B0506"/>
    <w:rsid w:val="003B31F5"/>
    <w:rsid w:val="003B47DD"/>
    <w:rsid w:val="003C38C5"/>
    <w:rsid w:val="003C41C8"/>
    <w:rsid w:val="003C5CF1"/>
    <w:rsid w:val="003C5FE1"/>
    <w:rsid w:val="003C6151"/>
    <w:rsid w:val="003C7D1A"/>
    <w:rsid w:val="003D1E6C"/>
    <w:rsid w:val="003D4293"/>
    <w:rsid w:val="003D53BB"/>
    <w:rsid w:val="003D54B7"/>
    <w:rsid w:val="003D567A"/>
    <w:rsid w:val="003D5740"/>
    <w:rsid w:val="003D6094"/>
    <w:rsid w:val="003D63BA"/>
    <w:rsid w:val="003D74A5"/>
    <w:rsid w:val="003E2EF7"/>
    <w:rsid w:val="003E3925"/>
    <w:rsid w:val="003E3F52"/>
    <w:rsid w:val="003E4A9D"/>
    <w:rsid w:val="003E62E9"/>
    <w:rsid w:val="003E7F17"/>
    <w:rsid w:val="003F10A4"/>
    <w:rsid w:val="003F1B49"/>
    <w:rsid w:val="003F51CA"/>
    <w:rsid w:val="003F54E0"/>
    <w:rsid w:val="003F6D83"/>
    <w:rsid w:val="003F6F23"/>
    <w:rsid w:val="003F7959"/>
    <w:rsid w:val="00401561"/>
    <w:rsid w:val="004016A2"/>
    <w:rsid w:val="0040216C"/>
    <w:rsid w:val="0040257B"/>
    <w:rsid w:val="004026E3"/>
    <w:rsid w:val="00404545"/>
    <w:rsid w:val="004049BA"/>
    <w:rsid w:val="0040561F"/>
    <w:rsid w:val="00406B00"/>
    <w:rsid w:val="0041122B"/>
    <w:rsid w:val="0041391F"/>
    <w:rsid w:val="00414EB7"/>
    <w:rsid w:val="00416AB2"/>
    <w:rsid w:val="00417C6D"/>
    <w:rsid w:val="00420A17"/>
    <w:rsid w:val="00423EBA"/>
    <w:rsid w:val="004267AB"/>
    <w:rsid w:val="0042704E"/>
    <w:rsid w:val="00427106"/>
    <w:rsid w:val="00427521"/>
    <w:rsid w:val="00427734"/>
    <w:rsid w:val="00431A0A"/>
    <w:rsid w:val="00431A65"/>
    <w:rsid w:val="00431E99"/>
    <w:rsid w:val="0043224D"/>
    <w:rsid w:val="0043362D"/>
    <w:rsid w:val="0044165F"/>
    <w:rsid w:val="00443CEF"/>
    <w:rsid w:val="00444F0E"/>
    <w:rsid w:val="004461ED"/>
    <w:rsid w:val="00450C89"/>
    <w:rsid w:val="00451ECC"/>
    <w:rsid w:val="00451FA1"/>
    <w:rsid w:val="00455A42"/>
    <w:rsid w:val="00457003"/>
    <w:rsid w:val="0045727D"/>
    <w:rsid w:val="0046237B"/>
    <w:rsid w:val="00462876"/>
    <w:rsid w:val="004643A7"/>
    <w:rsid w:val="004652F1"/>
    <w:rsid w:val="00465586"/>
    <w:rsid w:val="00466BDF"/>
    <w:rsid w:val="00466F3E"/>
    <w:rsid w:val="00470A02"/>
    <w:rsid w:val="00473117"/>
    <w:rsid w:val="0047349D"/>
    <w:rsid w:val="00473CA6"/>
    <w:rsid w:val="0047548F"/>
    <w:rsid w:val="0047730A"/>
    <w:rsid w:val="004804EE"/>
    <w:rsid w:val="00482EAC"/>
    <w:rsid w:val="0048386A"/>
    <w:rsid w:val="00483BBC"/>
    <w:rsid w:val="00484A0C"/>
    <w:rsid w:val="004857AB"/>
    <w:rsid w:val="00486111"/>
    <w:rsid w:val="00486BA4"/>
    <w:rsid w:val="00487AB7"/>
    <w:rsid w:val="00490B77"/>
    <w:rsid w:val="00492A2C"/>
    <w:rsid w:val="00494F26"/>
    <w:rsid w:val="004975B7"/>
    <w:rsid w:val="004A0352"/>
    <w:rsid w:val="004A0E8B"/>
    <w:rsid w:val="004A1460"/>
    <w:rsid w:val="004A44DA"/>
    <w:rsid w:val="004A5444"/>
    <w:rsid w:val="004A616E"/>
    <w:rsid w:val="004B20EE"/>
    <w:rsid w:val="004B3CF7"/>
    <w:rsid w:val="004B3FF5"/>
    <w:rsid w:val="004B457D"/>
    <w:rsid w:val="004B5A05"/>
    <w:rsid w:val="004B5BE0"/>
    <w:rsid w:val="004B6A05"/>
    <w:rsid w:val="004B6D20"/>
    <w:rsid w:val="004C0D2B"/>
    <w:rsid w:val="004C5739"/>
    <w:rsid w:val="004C74C7"/>
    <w:rsid w:val="004C7A0E"/>
    <w:rsid w:val="004D0630"/>
    <w:rsid w:val="004D0D0D"/>
    <w:rsid w:val="004D3DF9"/>
    <w:rsid w:val="004D73EA"/>
    <w:rsid w:val="004D7674"/>
    <w:rsid w:val="004D7CD1"/>
    <w:rsid w:val="004E1CCD"/>
    <w:rsid w:val="004E3D89"/>
    <w:rsid w:val="004E7CD1"/>
    <w:rsid w:val="004F3213"/>
    <w:rsid w:val="004F4844"/>
    <w:rsid w:val="004F7CAB"/>
    <w:rsid w:val="00500020"/>
    <w:rsid w:val="00500136"/>
    <w:rsid w:val="00501561"/>
    <w:rsid w:val="00507B82"/>
    <w:rsid w:val="005125FE"/>
    <w:rsid w:val="00513EF0"/>
    <w:rsid w:val="00515410"/>
    <w:rsid w:val="00515F7B"/>
    <w:rsid w:val="005169A8"/>
    <w:rsid w:val="005210BD"/>
    <w:rsid w:val="00523EB9"/>
    <w:rsid w:val="00525DEC"/>
    <w:rsid w:val="00526687"/>
    <w:rsid w:val="00526B6E"/>
    <w:rsid w:val="00527837"/>
    <w:rsid w:val="0053070C"/>
    <w:rsid w:val="00531CC5"/>
    <w:rsid w:val="00532967"/>
    <w:rsid w:val="0053429C"/>
    <w:rsid w:val="00535711"/>
    <w:rsid w:val="005406FE"/>
    <w:rsid w:val="00541F6F"/>
    <w:rsid w:val="00542D31"/>
    <w:rsid w:val="00545583"/>
    <w:rsid w:val="00545AEE"/>
    <w:rsid w:val="00546D82"/>
    <w:rsid w:val="0054777A"/>
    <w:rsid w:val="005506B7"/>
    <w:rsid w:val="00551807"/>
    <w:rsid w:val="00552823"/>
    <w:rsid w:val="00553313"/>
    <w:rsid w:val="00554FDE"/>
    <w:rsid w:val="00557B85"/>
    <w:rsid w:val="00560FDD"/>
    <w:rsid w:val="00562A81"/>
    <w:rsid w:val="00564A32"/>
    <w:rsid w:val="00570933"/>
    <w:rsid w:val="005731FD"/>
    <w:rsid w:val="005742DF"/>
    <w:rsid w:val="005803B6"/>
    <w:rsid w:val="0058186E"/>
    <w:rsid w:val="005830CF"/>
    <w:rsid w:val="00583B8A"/>
    <w:rsid w:val="00587459"/>
    <w:rsid w:val="00591E99"/>
    <w:rsid w:val="00592CD2"/>
    <w:rsid w:val="005966E5"/>
    <w:rsid w:val="005A0B74"/>
    <w:rsid w:val="005A46D2"/>
    <w:rsid w:val="005A5FD1"/>
    <w:rsid w:val="005A6E8D"/>
    <w:rsid w:val="005A710E"/>
    <w:rsid w:val="005A75C2"/>
    <w:rsid w:val="005B088C"/>
    <w:rsid w:val="005B1239"/>
    <w:rsid w:val="005B2781"/>
    <w:rsid w:val="005C0B8B"/>
    <w:rsid w:val="005C0FA1"/>
    <w:rsid w:val="005C1F13"/>
    <w:rsid w:val="005C4D7F"/>
    <w:rsid w:val="005C7271"/>
    <w:rsid w:val="005D0FFE"/>
    <w:rsid w:val="005D174D"/>
    <w:rsid w:val="005D230D"/>
    <w:rsid w:val="005D65F5"/>
    <w:rsid w:val="005D7C69"/>
    <w:rsid w:val="005E066A"/>
    <w:rsid w:val="005E1094"/>
    <w:rsid w:val="005E10A0"/>
    <w:rsid w:val="005F0EBC"/>
    <w:rsid w:val="005F126E"/>
    <w:rsid w:val="005F1FE7"/>
    <w:rsid w:val="005F2FE1"/>
    <w:rsid w:val="005F3724"/>
    <w:rsid w:val="005F4878"/>
    <w:rsid w:val="005F488F"/>
    <w:rsid w:val="005F4C51"/>
    <w:rsid w:val="005F63DC"/>
    <w:rsid w:val="005F6AC1"/>
    <w:rsid w:val="00600159"/>
    <w:rsid w:val="00602823"/>
    <w:rsid w:val="0060444B"/>
    <w:rsid w:val="00605B09"/>
    <w:rsid w:val="006068BF"/>
    <w:rsid w:val="00606F52"/>
    <w:rsid w:val="0060731D"/>
    <w:rsid w:val="00607A95"/>
    <w:rsid w:val="00611C05"/>
    <w:rsid w:val="00611EB9"/>
    <w:rsid w:val="00613C11"/>
    <w:rsid w:val="00613D88"/>
    <w:rsid w:val="00614C4F"/>
    <w:rsid w:val="00620553"/>
    <w:rsid w:val="00623EB1"/>
    <w:rsid w:val="00624523"/>
    <w:rsid w:val="006255AC"/>
    <w:rsid w:val="00630E48"/>
    <w:rsid w:val="006315F9"/>
    <w:rsid w:val="0063229C"/>
    <w:rsid w:val="00633308"/>
    <w:rsid w:val="006347AC"/>
    <w:rsid w:val="0063749A"/>
    <w:rsid w:val="00640ACE"/>
    <w:rsid w:val="00643EED"/>
    <w:rsid w:val="00644F32"/>
    <w:rsid w:val="0064578A"/>
    <w:rsid w:val="006471A8"/>
    <w:rsid w:val="0065163E"/>
    <w:rsid w:val="00652F87"/>
    <w:rsid w:val="006537DE"/>
    <w:rsid w:val="00653E16"/>
    <w:rsid w:val="006545C5"/>
    <w:rsid w:val="00662C4A"/>
    <w:rsid w:val="006636CF"/>
    <w:rsid w:val="00670A29"/>
    <w:rsid w:val="006737AC"/>
    <w:rsid w:val="00675CD0"/>
    <w:rsid w:val="00676C7C"/>
    <w:rsid w:val="00676CD8"/>
    <w:rsid w:val="0068092D"/>
    <w:rsid w:val="00681D5E"/>
    <w:rsid w:val="006833C8"/>
    <w:rsid w:val="006860A6"/>
    <w:rsid w:val="00690A94"/>
    <w:rsid w:val="006923DE"/>
    <w:rsid w:val="00692D8A"/>
    <w:rsid w:val="00693071"/>
    <w:rsid w:val="00694494"/>
    <w:rsid w:val="006A04CD"/>
    <w:rsid w:val="006A248E"/>
    <w:rsid w:val="006A4AD2"/>
    <w:rsid w:val="006A69E7"/>
    <w:rsid w:val="006A6A85"/>
    <w:rsid w:val="006A7352"/>
    <w:rsid w:val="006B14E9"/>
    <w:rsid w:val="006B4E90"/>
    <w:rsid w:val="006B57C9"/>
    <w:rsid w:val="006C0011"/>
    <w:rsid w:val="006C062D"/>
    <w:rsid w:val="006C25CC"/>
    <w:rsid w:val="006C7742"/>
    <w:rsid w:val="006D202B"/>
    <w:rsid w:val="006D2D33"/>
    <w:rsid w:val="006D6CAF"/>
    <w:rsid w:val="006D7062"/>
    <w:rsid w:val="006D749A"/>
    <w:rsid w:val="006D7883"/>
    <w:rsid w:val="006D7D1F"/>
    <w:rsid w:val="006E08EA"/>
    <w:rsid w:val="006E1821"/>
    <w:rsid w:val="006E2AF2"/>
    <w:rsid w:val="006E4750"/>
    <w:rsid w:val="006E7C04"/>
    <w:rsid w:val="006F0984"/>
    <w:rsid w:val="006F1140"/>
    <w:rsid w:val="006F180A"/>
    <w:rsid w:val="006F3D59"/>
    <w:rsid w:val="006F4190"/>
    <w:rsid w:val="006F60F3"/>
    <w:rsid w:val="006F6894"/>
    <w:rsid w:val="006F74BC"/>
    <w:rsid w:val="006F7841"/>
    <w:rsid w:val="00701B52"/>
    <w:rsid w:val="007024B5"/>
    <w:rsid w:val="00704184"/>
    <w:rsid w:val="00704C92"/>
    <w:rsid w:val="00706400"/>
    <w:rsid w:val="00707185"/>
    <w:rsid w:val="00713FD2"/>
    <w:rsid w:val="007145CF"/>
    <w:rsid w:val="007149C8"/>
    <w:rsid w:val="00716C67"/>
    <w:rsid w:val="00725BB6"/>
    <w:rsid w:val="007314EA"/>
    <w:rsid w:val="0073371C"/>
    <w:rsid w:val="0073662C"/>
    <w:rsid w:val="00736BBB"/>
    <w:rsid w:val="007475CA"/>
    <w:rsid w:val="00762F2D"/>
    <w:rsid w:val="00764B72"/>
    <w:rsid w:val="007674E5"/>
    <w:rsid w:val="007674E7"/>
    <w:rsid w:val="0077279F"/>
    <w:rsid w:val="007737F6"/>
    <w:rsid w:val="00775540"/>
    <w:rsid w:val="00781581"/>
    <w:rsid w:val="0078293A"/>
    <w:rsid w:val="00783B6C"/>
    <w:rsid w:val="00783C3D"/>
    <w:rsid w:val="00784182"/>
    <w:rsid w:val="0078436D"/>
    <w:rsid w:val="00784881"/>
    <w:rsid w:val="00785B33"/>
    <w:rsid w:val="00786B25"/>
    <w:rsid w:val="0079070E"/>
    <w:rsid w:val="00790DD5"/>
    <w:rsid w:val="007942A6"/>
    <w:rsid w:val="00794376"/>
    <w:rsid w:val="0079737B"/>
    <w:rsid w:val="007A2223"/>
    <w:rsid w:val="007A3011"/>
    <w:rsid w:val="007A343C"/>
    <w:rsid w:val="007A4859"/>
    <w:rsid w:val="007A4CE2"/>
    <w:rsid w:val="007A60B7"/>
    <w:rsid w:val="007B271F"/>
    <w:rsid w:val="007B3457"/>
    <w:rsid w:val="007B4384"/>
    <w:rsid w:val="007B58F3"/>
    <w:rsid w:val="007B6F12"/>
    <w:rsid w:val="007B7DDC"/>
    <w:rsid w:val="007C123D"/>
    <w:rsid w:val="007C209D"/>
    <w:rsid w:val="007C4758"/>
    <w:rsid w:val="007C6562"/>
    <w:rsid w:val="007C7381"/>
    <w:rsid w:val="007C73DE"/>
    <w:rsid w:val="007C7A49"/>
    <w:rsid w:val="007D0668"/>
    <w:rsid w:val="007D1284"/>
    <w:rsid w:val="007D19C0"/>
    <w:rsid w:val="007D4660"/>
    <w:rsid w:val="007D6DBE"/>
    <w:rsid w:val="007D6E24"/>
    <w:rsid w:val="007E0A1E"/>
    <w:rsid w:val="007E17B9"/>
    <w:rsid w:val="007E23DD"/>
    <w:rsid w:val="007E468D"/>
    <w:rsid w:val="007E68FE"/>
    <w:rsid w:val="007F0439"/>
    <w:rsid w:val="007F3CA3"/>
    <w:rsid w:val="007F791D"/>
    <w:rsid w:val="008002FF"/>
    <w:rsid w:val="00800583"/>
    <w:rsid w:val="00800D0C"/>
    <w:rsid w:val="00801694"/>
    <w:rsid w:val="008021F3"/>
    <w:rsid w:val="00803751"/>
    <w:rsid w:val="00804B7B"/>
    <w:rsid w:val="008062F4"/>
    <w:rsid w:val="00806812"/>
    <w:rsid w:val="00815A25"/>
    <w:rsid w:val="008227A3"/>
    <w:rsid w:val="00822B85"/>
    <w:rsid w:val="00830579"/>
    <w:rsid w:val="00830BAD"/>
    <w:rsid w:val="00833314"/>
    <w:rsid w:val="00833D0E"/>
    <w:rsid w:val="00835055"/>
    <w:rsid w:val="0083608A"/>
    <w:rsid w:val="00836461"/>
    <w:rsid w:val="00841D68"/>
    <w:rsid w:val="00842BE2"/>
    <w:rsid w:val="00842ECD"/>
    <w:rsid w:val="00845E09"/>
    <w:rsid w:val="00847B01"/>
    <w:rsid w:val="00850505"/>
    <w:rsid w:val="0085275A"/>
    <w:rsid w:val="00853B66"/>
    <w:rsid w:val="008559A4"/>
    <w:rsid w:val="0086075B"/>
    <w:rsid w:val="008650D3"/>
    <w:rsid w:val="0086629E"/>
    <w:rsid w:val="00870139"/>
    <w:rsid w:val="00873559"/>
    <w:rsid w:val="00874B28"/>
    <w:rsid w:val="00877E2A"/>
    <w:rsid w:val="008837E0"/>
    <w:rsid w:val="00883993"/>
    <w:rsid w:val="0088416B"/>
    <w:rsid w:val="0088443E"/>
    <w:rsid w:val="008850F6"/>
    <w:rsid w:val="00886C5C"/>
    <w:rsid w:val="00887626"/>
    <w:rsid w:val="00887F00"/>
    <w:rsid w:val="00895592"/>
    <w:rsid w:val="00895723"/>
    <w:rsid w:val="00897053"/>
    <w:rsid w:val="008A1329"/>
    <w:rsid w:val="008A3C51"/>
    <w:rsid w:val="008A6185"/>
    <w:rsid w:val="008B101B"/>
    <w:rsid w:val="008B2180"/>
    <w:rsid w:val="008B39FB"/>
    <w:rsid w:val="008B3CFF"/>
    <w:rsid w:val="008C044D"/>
    <w:rsid w:val="008C07A4"/>
    <w:rsid w:val="008C0FAF"/>
    <w:rsid w:val="008C1A7E"/>
    <w:rsid w:val="008C30CF"/>
    <w:rsid w:val="008C35A1"/>
    <w:rsid w:val="008C7430"/>
    <w:rsid w:val="008D1738"/>
    <w:rsid w:val="008D1BA5"/>
    <w:rsid w:val="008D2EF9"/>
    <w:rsid w:val="008D4DDD"/>
    <w:rsid w:val="008D522F"/>
    <w:rsid w:val="008D52FA"/>
    <w:rsid w:val="008D754F"/>
    <w:rsid w:val="008E5348"/>
    <w:rsid w:val="008E64C1"/>
    <w:rsid w:val="008E6709"/>
    <w:rsid w:val="008F138C"/>
    <w:rsid w:val="008F1BF0"/>
    <w:rsid w:val="008F1D44"/>
    <w:rsid w:val="008F348F"/>
    <w:rsid w:val="008F3D5C"/>
    <w:rsid w:val="008F5423"/>
    <w:rsid w:val="008F5FF7"/>
    <w:rsid w:val="008F6A0D"/>
    <w:rsid w:val="008F7C09"/>
    <w:rsid w:val="00904B81"/>
    <w:rsid w:val="00904D16"/>
    <w:rsid w:val="00905265"/>
    <w:rsid w:val="00906A24"/>
    <w:rsid w:val="009101F0"/>
    <w:rsid w:val="00910E2A"/>
    <w:rsid w:val="00914BEC"/>
    <w:rsid w:val="00917D58"/>
    <w:rsid w:val="00922B1A"/>
    <w:rsid w:val="00925BB6"/>
    <w:rsid w:val="00925FCE"/>
    <w:rsid w:val="00926019"/>
    <w:rsid w:val="0092632B"/>
    <w:rsid w:val="00927845"/>
    <w:rsid w:val="00933157"/>
    <w:rsid w:val="009337FE"/>
    <w:rsid w:val="0093436B"/>
    <w:rsid w:val="009348F8"/>
    <w:rsid w:val="00935763"/>
    <w:rsid w:val="0093731A"/>
    <w:rsid w:val="0094109B"/>
    <w:rsid w:val="009415CA"/>
    <w:rsid w:val="0094227C"/>
    <w:rsid w:val="009425DE"/>
    <w:rsid w:val="009428ED"/>
    <w:rsid w:val="0094408D"/>
    <w:rsid w:val="00944DDD"/>
    <w:rsid w:val="00944EA0"/>
    <w:rsid w:val="0094723D"/>
    <w:rsid w:val="009479DB"/>
    <w:rsid w:val="009501BE"/>
    <w:rsid w:val="0095147D"/>
    <w:rsid w:val="00952846"/>
    <w:rsid w:val="00953BB7"/>
    <w:rsid w:val="00956274"/>
    <w:rsid w:val="00960AED"/>
    <w:rsid w:val="00961837"/>
    <w:rsid w:val="00961D31"/>
    <w:rsid w:val="0096415F"/>
    <w:rsid w:val="009706FE"/>
    <w:rsid w:val="00970DC6"/>
    <w:rsid w:val="00971ED4"/>
    <w:rsid w:val="0097632C"/>
    <w:rsid w:val="00976BBA"/>
    <w:rsid w:val="00983B56"/>
    <w:rsid w:val="00984FD5"/>
    <w:rsid w:val="00985C5D"/>
    <w:rsid w:val="00993A75"/>
    <w:rsid w:val="0099554D"/>
    <w:rsid w:val="00997F53"/>
    <w:rsid w:val="009A12E6"/>
    <w:rsid w:val="009A5647"/>
    <w:rsid w:val="009A6E8C"/>
    <w:rsid w:val="009A7544"/>
    <w:rsid w:val="009B0D32"/>
    <w:rsid w:val="009B1284"/>
    <w:rsid w:val="009B2B23"/>
    <w:rsid w:val="009B4D46"/>
    <w:rsid w:val="009B75C7"/>
    <w:rsid w:val="009B79B3"/>
    <w:rsid w:val="009C0AF0"/>
    <w:rsid w:val="009C27F8"/>
    <w:rsid w:val="009C31AF"/>
    <w:rsid w:val="009C484E"/>
    <w:rsid w:val="009C5188"/>
    <w:rsid w:val="009C5290"/>
    <w:rsid w:val="009C5C1E"/>
    <w:rsid w:val="009C658D"/>
    <w:rsid w:val="009D4492"/>
    <w:rsid w:val="009D6EBF"/>
    <w:rsid w:val="009E0770"/>
    <w:rsid w:val="009E2344"/>
    <w:rsid w:val="009E317D"/>
    <w:rsid w:val="009E4FE2"/>
    <w:rsid w:val="009E5A29"/>
    <w:rsid w:val="009E607B"/>
    <w:rsid w:val="009F09CB"/>
    <w:rsid w:val="009F2B19"/>
    <w:rsid w:val="009F2F99"/>
    <w:rsid w:val="009F506A"/>
    <w:rsid w:val="009F6106"/>
    <w:rsid w:val="00A02C14"/>
    <w:rsid w:val="00A03A83"/>
    <w:rsid w:val="00A05DE5"/>
    <w:rsid w:val="00A05ED1"/>
    <w:rsid w:val="00A06A4C"/>
    <w:rsid w:val="00A10F25"/>
    <w:rsid w:val="00A116AC"/>
    <w:rsid w:val="00A11D36"/>
    <w:rsid w:val="00A13882"/>
    <w:rsid w:val="00A13AD3"/>
    <w:rsid w:val="00A13BCA"/>
    <w:rsid w:val="00A1504E"/>
    <w:rsid w:val="00A158A8"/>
    <w:rsid w:val="00A20AF6"/>
    <w:rsid w:val="00A20F9E"/>
    <w:rsid w:val="00A222A8"/>
    <w:rsid w:val="00A24771"/>
    <w:rsid w:val="00A27591"/>
    <w:rsid w:val="00A32EAF"/>
    <w:rsid w:val="00A32F1E"/>
    <w:rsid w:val="00A344BE"/>
    <w:rsid w:val="00A37452"/>
    <w:rsid w:val="00A378BB"/>
    <w:rsid w:val="00A4102D"/>
    <w:rsid w:val="00A414E7"/>
    <w:rsid w:val="00A41EFD"/>
    <w:rsid w:val="00A42A9F"/>
    <w:rsid w:val="00A449B0"/>
    <w:rsid w:val="00A44FC7"/>
    <w:rsid w:val="00A51E2A"/>
    <w:rsid w:val="00A5206F"/>
    <w:rsid w:val="00A52C8B"/>
    <w:rsid w:val="00A54D5E"/>
    <w:rsid w:val="00A5603D"/>
    <w:rsid w:val="00A64AE1"/>
    <w:rsid w:val="00A65AEE"/>
    <w:rsid w:val="00A7050A"/>
    <w:rsid w:val="00A7086E"/>
    <w:rsid w:val="00A709A0"/>
    <w:rsid w:val="00A72C2D"/>
    <w:rsid w:val="00A72E41"/>
    <w:rsid w:val="00A72EC8"/>
    <w:rsid w:val="00A73D2D"/>
    <w:rsid w:val="00A7550F"/>
    <w:rsid w:val="00A75BA8"/>
    <w:rsid w:val="00A8032B"/>
    <w:rsid w:val="00A86683"/>
    <w:rsid w:val="00A9194D"/>
    <w:rsid w:val="00A91E0D"/>
    <w:rsid w:val="00A93516"/>
    <w:rsid w:val="00A9361A"/>
    <w:rsid w:val="00A93DAF"/>
    <w:rsid w:val="00A96CC4"/>
    <w:rsid w:val="00A97ACE"/>
    <w:rsid w:val="00AA1502"/>
    <w:rsid w:val="00AA2E91"/>
    <w:rsid w:val="00AA489C"/>
    <w:rsid w:val="00AB0A00"/>
    <w:rsid w:val="00AB294F"/>
    <w:rsid w:val="00AB3114"/>
    <w:rsid w:val="00AB4F06"/>
    <w:rsid w:val="00AB70A1"/>
    <w:rsid w:val="00AB7990"/>
    <w:rsid w:val="00AC00B4"/>
    <w:rsid w:val="00AC0CAB"/>
    <w:rsid w:val="00AC12AC"/>
    <w:rsid w:val="00AC18A1"/>
    <w:rsid w:val="00AC2A8B"/>
    <w:rsid w:val="00AC384E"/>
    <w:rsid w:val="00AC7FC5"/>
    <w:rsid w:val="00AD1F66"/>
    <w:rsid w:val="00AD3720"/>
    <w:rsid w:val="00AD5B5B"/>
    <w:rsid w:val="00AD7D79"/>
    <w:rsid w:val="00AE14F9"/>
    <w:rsid w:val="00AE34F9"/>
    <w:rsid w:val="00AE54CF"/>
    <w:rsid w:val="00AE6842"/>
    <w:rsid w:val="00AF1A0F"/>
    <w:rsid w:val="00AF1FFB"/>
    <w:rsid w:val="00AF55DB"/>
    <w:rsid w:val="00AF73AB"/>
    <w:rsid w:val="00AF75F8"/>
    <w:rsid w:val="00B0052C"/>
    <w:rsid w:val="00B00977"/>
    <w:rsid w:val="00B0192D"/>
    <w:rsid w:val="00B01A8B"/>
    <w:rsid w:val="00B02C9E"/>
    <w:rsid w:val="00B02D89"/>
    <w:rsid w:val="00B032B8"/>
    <w:rsid w:val="00B03824"/>
    <w:rsid w:val="00B040B6"/>
    <w:rsid w:val="00B04683"/>
    <w:rsid w:val="00B053C2"/>
    <w:rsid w:val="00B07CBF"/>
    <w:rsid w:val="00B1034D"/>
    <w:rsid w:val="00B11288"/>
    <w:rsid w:val="00B1155B"/>
    <w:rsid w:val="00B12343"/>
    <w:rsid w:val="00B12FEB"/>
    <w:rsid w:val="00B13C37"/>
    <w:rsid w:val="00B15842"/>
    <w:rsid w:val="00B16581"/>
    <w:rsid w:val="00B16E66"/>
    <w:rsid w:val="00B17449"/>
    <w:rsid w:val="00B17D94"/>
    <w:rsid w:val="00B212A0"/>
    <w:rsid w:val="00B21F3D"/>
    <w:rsid w:val="00B22D59"/>
    <w:rsid w:val="00B22F85"/>
    <w:rsid w:val="00B24709"/>
    <w:rsid w:val="00B254D0"/>
    <w:rsid w:val="00B30D4A"/>
    <w:rsid w:val="00B30D55"/>
    <w:rsid w:val="00B30F6D"/>
    <w:rsid w:val="00B31144"/>
    <w:rsid w:val="00B31169"/>
    <w:rsid w:val="00B40AC1"/>
    <w:rsid w:val="00B41943"/>
    <w:rsid w:val="00B4359C"/>
    <w:rsid w:val="00B43848"/>
    <w:rsid w:val="00B43C69"/>
    <w:rsid w:val="00B45746"/>
    <w:rsid w:val="00B461A0"/>
    <w:rsid w:val="00B50459"/>
    <w:rsid w:val="00B5184C"/>
    <w:rsid w:val="00B523E6"/>
    <w:rsid w:val="00B52925"/>
    <w:rsid w:val="00B56316"/>
    <w:rsid w:val="00B57657"/>
    <w:rsid w:val="00B604C3"/>
    <w:rsid w:val="00B6291E"/>
    <w:rsid w:val="00B63BF7"/>
    <w:rsid w:val="00B64DA4"/>
    <w:rsid w:val="00B71527"/>
    <w:rsid w:val="00B76527"/>
    <w:rsid w:val="00B82943"/>
    <w:rsid w:val="00B83240"/>
    <w:rsid w:val="00B83F61"/>
    <w:rsid w:val="00B843DA"/>
    <w:rsid w:val="00B84F42"/>
    <w:rsid w:val="00B86AD1"/>
    <w:rsid w:val="00B87312"/>
    <w:rsid w:val="00B9222B"/>
    <w:rsid w:val="00B9242B"/>
    <w:rsid w:val="00B92C28"/>
    <w:rsid w:val="00B94FBE"/>
    <w:rsid w:val="00B95C04"/>
    <w:rsid w:val="00B97769"/>
    <w:rsid w:val="00B97EDF"/>
    <w:rsid w:val="00BA23C2"/>
    <w:rsid w:val="00BA5C86"/>
    <w:rsid w:val="00BA6AC2"/>
    <w:rsid w:val="00BA7C48"/>
    <w:rsid w:val="00BB2B6A"/>
    <w:rsid w:val="00BB34B7"/>
    <w:rsid w:val="00BB376A"/>
    <w:rsid w:val="00BB53D6"/>
    <w:rsid w:val="00BB5A9A"/>
    <w:rsid w:val="00BB646B"/>
    <w:rsid w:val="00BB7362"/>
    <w:rsid w:val="00BC0A13"/>
    <w:rsid w:val="00BC2614"/>
    <w:rsid w:val="00BC2AC8"/>
    <w:rsid w:val="00BC4C0F"/>
    <w:rsid w:val="00BC68F5"/>
    <w:rsid w:val="00BC7196"/>
    <w:rsid w:val="00BD0206"/>
    <w:rsid w:val="00BD0901"/>
    <w:rsid w:val="00BD0D3A"/>
    <w:rsid w:val="00BD3335"/>
    <w:rsid w:val="00BD4020"/>
    <w:rsid w:val="00BD6D1E"/>
    <w:rsid w:val="00BD7324"/>
    <w:rsid w:val="00BE1203"/>
    <w:rsid w:val="00BE16AC"/>
    <w:rsid w:val="00BE2B78"/>
    <w:rsid w:val="00BE4579"/>
    <w:rsid w:val="00BE5970"/>
    <w:rsid w:val="00BE5CE3"/>
    <w:rsid w:val="00BE5EB1"/>
    <w:rsid w:val="00BF5732"/>
    <w:rsid w:val="00BF5CBD"/>
    <w:rsid w:val="00C03D17"/>
    <w:rsid w:val="00C04AFD"/>
    <w:rsid w:val="00C05AC1"/>
    <w:rsid w:val="00C10FCB"/>
    <w:rsid w:val="00C125D5"/>
    <w:rsid w:val="00C126E3"/>
    <w:rsid w:val="00C137E5"/>
    <w:rsid w:val="00C22652"/>
    <w:rsid w:val="00C2333F"/>
    <w:rsid w:val="00C23813"/>
    <w:rsid w:val="00C24251"/>
    <w:rsid w:val="00C248D1"/>
    <w:rsid w:val="00C25011"/>
    <w:rsid w:val="00C25137"/>
    <w:rsid w:val="00C25D09"/>
    <w:rsid w:val="00C27249"/>
    <w:rsid w:val="00C309BB"/>
    <w:rsid w:val="00C31FC7"/>
    <w:rsid w:val="00C32DFC"/>
    <w:rsid w:val="00C33E8F"/>
    <w:rsid w:val="00C33ED9"/>
    <w:rsid w:val="00C34F22"/>
    <w:rsid w:val="00C351EE"/>
    <w:rsid w:val="00C37167"/>
    <w:rsid w:val="00C40CC7"/>
    <w:rsid w:val="00C41908"/>
    <w:rsid w:val="00C44FC4"/>
    <w:rsid w:val="00C4663E"/>
    <w:rsid w:val="00C46BCA"/>
    <w:rsid w:val="00C53616"/>
    <w:rsid w:val="00C54E6F"/>
    <w:rsid w:val="00C55C1E"/>
    <w:rsid w:val="00C5757C"/>
    <w:rsid w:val="00C621AC"/>
    <w:rsid w:val="00C6389A"/>
    <w:rsid w:val="00C63BCF"/>
    <w:rsid w:val="00C658BC"/>
    <w:rsid w:val="00C666EA"/>
    <w:rsid w:val="00C66996"/>
    <w:rsid w:val="00C66B3D"/>
    <w:rsid w:val="00C72BF4"/>
    <w:rsid w:val="00C763CF"/>
    <w:rsid w:val="00C765E2"/>
    <w:rsid w:val="00C80D3E"/>
    <w:rsid w:val="00C811F8"/>
    <w:rsid w:val="00C83D5C"/>
    <w:rsid w:val="00C85737"/>
    <w:rsid w:val="00C9143D"/>
    <w:rsid w:val="00CA4DEE"/>
    <w:rsid w:val="00CA6F61"/>
    <w:rsid w:val="00CA7A12"/>
    <w:rsid w:val="00CB13FC"/>
    <w:rsid w:val="00CB1BE0"/>
    <w:rsid w:val="00CB3765"/>
    <w:rsid w:val="00CB649A"/>
    <w:rsid w:val="00CB6C81"/>
    <w:rsid w:val="00CC0431"/>
    <w:rsid w:val="00CC2A67"/>
    <w:rsid w:val="00CC3757"/>
    <w:rsid w:val="00CC4634"/>
    <w:rsid w:val="00CC55C0"/>
    <w:rsid w:val="00CC5EB1"/>
    <w:rsid w:val="00CD43F9"/>
    <w:rsid w:val="00CD5106"/>
    <w:rsid w:val="00CD5584"/>
    <w:rsid w:val="00CD59D4"/>
    <w:rsid w:val="00CD79EF"/>
    <w:rsid w:val="00CE0133"/>
    <w:rsid w:val="00CE149D"/>
    <w:rsid w:val="00CE2479"/>
    <w:rsid w:val="00CE4266"/>
    <w:rsid w:val="00CE4E70"/>
    <w:rsid w:val="00CE6AC9"/>
    <w:rsid w:val="00CE7D67"/>
    <w:rsid w:val="00CF0B25"/>
    <w:rsid w:val="00CF0B3F"/>
    <w:rsid w:val="00CF1E91"/>
    <w:rsid w:val="00CF2A63"/>
    <w:rsid w:val="00CF5026"/>
    <w:rsid w:val="00CF6B2A"/>
    <w:rsid w:val="00D00DE4"/>
    <w:rsid w:val="00D01AC1"/>
    <w:rsid w:val="00D1649E"/>
    <w:rsid w:val="00D16C4C"/>
    <w:rsid w:val="00D178C2"/>
    <w:rsid w:val="00D23B98"/>
    <w:rsid w:val="00D26EBF"/>
    <w:rsid w:val="00D27879"/>
    <w:rsid w:val="00D32796"/>
    <w:rsid w:val="00D32A18"/>
    <w:rsid w:val="00D3325A"/>
    <w:rsid w:val="00D34695"/>
    <w:rsid w:val="00D34851"/>
    <w:rsid w:val="00D350F2"/>
    <w:rsid w:val="00D36544"/>
    <w:rsid w:val="00D41186"/>
    <w:rsid w:val="00D41B3B"/>
    <w:rsid w:val="00D42289"/>
    <w:rsid w:val="00D42B27"/>
    <w:rsid w:val="00D437EC"/>
    <w:rsid w:val="00D449E8"/>
    <w:rsid w:val="00D45BE9"/>
    <w:rsid w:val="00D51B8D"/>
    <w:rsid w:val="00D51F07"/>
    <w:rsid w:val="00D5310C"/>
    <w:rsid w:val="00D54BC8"/>
    <w:rsid w:val="00D56233"/>
    <w:rsid w:val="00D56A46"/>
    <w:rsid w:val="00D624E9"/>
    <w:rsid w:val="00D74D9E"/>
    <w:rsid w:val="00D757ED"/>
    <w:rsid w:val="00D760AA"/>
    <w:rsid w:val="00D80404"/>
    <w:rsid w:val="00D82549"/>
    <w:rsid w:val="00D8326F"/>
    <w:rsid w:val="00D85A5A"/>
    <w:rsid w:val="00D90117"/>
    <w:rsid w:val="00D902CE"/>
    <w:rsid w:val="00D9462E"/>
    <w:rsid w:val="00D96FE5"/>
    <w:rsid w:val="00D976CC"/>
    <w:rsid w:val="00DA0D0A"/>
    <w:rsid w:val="00DA1FC1"/>
    <w:rsid w:val="00DA3888"/>
    <w:rsid w:val="00DA5A72"/>
    <w:rsid w:val="00DB24D5"/>
    <w:rsid w:val="00DB25C7"/>
    <w:rsid w:val="00DB2EE2"/>
    <w:rsid w:val="00DB361A"/>
    <w:rsid w:val="00DB6745"/>
    <w:rsid w:val="00DB6B03"/>
    <w:rsid w:val="00DC4A52"/>
    <w:rsid w:val="00DC4FB6"/>
    <w:rsid w:val="00DC5C7B"/>
    <w:rsid w:val="00DC5F17"/>
    <w:rsid w:val="00DC7126"/>
    <w:rsid w:val="00DD0BDB"/>
    <w:rsid w:val="00DD0DDC"/>
    <w:rsid w:val="00DD5757"/>
    <w:rsid w:val="00DD7269"/>
    <w:rsid w:val="00DD7E5A"/>
    <w:rsid w:val="00DE1434"/>
    <w:rsid w:val="00DE1C49"/>
    <w:rsid w:val="00DE2CC9"/>
    <w:rsid w:val="00DE4A9A"/>
    <w:rsid w:val="00DE5157"/>
    <w:rsid w:val="00DE5BF1"/>
    <w:rsid w:val="00DE64BD"/>
    <w:rsid w:val="00DE7FE0"/>
    <w:rsid w:val="00DF0C86"/>
    <w:rsid w:val="00DF24F2"/>
    <w:rsid w:val="00DF4D52"/>
    <w:rsid w:val="00DF6AA7"/>
    <w:rsid w:val="00DF6C64"/>
    <w:rsid w:val="00DF6F00"/>
    <w:rsid w:val="00DF7B02"/>
    <w:rsid w:val="00E0133A"/>
    <w:rsid w:val="00E02635"/>
    <w:rsid w:val="00E0598D"/>
    <w:rsid w:val="00E070E9"/>
    <w:rsid w:val="00E11EB4"/>
    <w:rsid w:val="00E13593"/>
    <w:rsid w:val="00E142E5"/>
    <w:rsid w:val="00E16B18"/>
    <w:rsid w:val="00E21F5B"/>
    <w:rsid w:val="00E22E0E"/>
    <w:rsid w:val="00E23869"/>
    <w:rsid w:val="00E2528C"/>
    <w:rsid w:val="00E266FD"/>
    <w:rsid w:val="00E33E2A"/>
    <w:rsid w:val="00E34932"/>
    <w:rsid w:val="00E437A2"/>
    <w:rsid w:val="00E44085"/>
    <w:rsid w:val="00E44F5D"/>
    <w:rsid w:val="00E46856"/>
    <w:rsid w:val="00E473A8"/>
    <w:rsid w:val="00E47F75"/>
    <w:rsid w:val="00E50D81"/>
    <w:rsid w:val="00E5110C"/>
    <w:rsid w:val="00E52C7F"/>
    <w:rsid w:val="00E53E39"/>
    <w:rsid w:val="00E57B5F"/>
    <w:rsid w:val="00E61262"/>
    <w:rsid w:val="00E62073"/>
    <w:rsid w:val="00E64BB5"/>
    <w:rsid w:val="00E65E64"/>
    <w:rsid w:val="00E70921"/>
    <w:rsid w:val="00E728E5"/>
    <w:rsid w:val="00E753BD"/>
    <w:rsid w:val="00E807A1"/>
    <w:rsid w:val="00E822C6"/>
    <w:rsid w:val="00E84607"/>
    <w:rsid w:val="00E85B24"/>
    <w:rsid w:val="00E874EC"/>
    <w:rsid w:val="00E91456"/>
    <w:rsid w:val="00EA0645"/>
    <w:rsid w:val="00EA32AC"/>
    <w:rsid w:val="00EA4C1A"/>
    <w:rsid w:val="00EB1774"/>
    <w:rsid w:val="00EB28E7"/>
    <w:rsid w:val="00EB3098"/>
    <w:rsid w:val="00EB42EA"/>
    <w:rsid w:val="00EC1586"/>
    <w:rsid w:val="00EC1832"/>
    <w:rsid w:val="00EC39FD"/>
    <w:rsid w:val="00EC3FEF"/>
    <w:rsid w:val="00EC4E6A"/>
    <w:rsid w:val="00EC53C9"/>
    <w:rsid w:val="00EC589E"/>
    <w:rsid w:val="00EC5EEE"/>
    <w:rsid w:val="00ED16D7"/>
    <w:rsid w:val="00ED2C46"/>
    <w:rsid w:val="00ED360F"/>
    <w:rsid w:val="00ED44D2"/>
    <w:rsid w:val="00ED4616"/>
    <w:rsid w:val="00ED4A3C"/>
    <w:rsid w:val="00ED4F67"/>
    <w:rsid w:val="00ED51F6"/>
    <w:rsid w:val="00ED5B5B"/>
    <w:rsid w:val="00ED5FAD"/>
    <w:rsid w:val="00ED6EDD"/>
    <w:rsid w:val="00EE1138"/>
    <w:rsid w:val="00EE1446"/>
    <w:rsid w:val="00EE59B1"/>
    <w:rsid w:val="00EF2147"/>
    <w:rsid w:val="00F00301"/>
    <w:rsid w:val="00F007D2"/>
    <w:rsid w:val="00F022F9"/>
    <w:rsid w:val="00F056F3"/>
    <w:rsid w:val="00F1004D"/>
    <w:rsid w:val="00F10EF9"/>
    <w:rsid w:val="00F12DA7"/>
    <w:rsid w:val="00F14553"/>
    <w:rsid w:val="00F1465D"/>
    <w:rsid w:val="00F1586F"/>
    <w:rsid w:val="00F15C0B"/>
    <w:rsid w:val="00F17EAB"/>
    <w:rsid w:val="00F209B7"/>
    <w:rsid w:val="00F2101D"/>
    <w:rsid w:val="00F21B81"/>
    <w:rsid w:val="00F23EA0"/>
    <w:rsid w:val="00F25D47"/>
    <w:rsid w:val="00F27D42"/>
    <w:rsid w:val="00F313B0"/>
    <w:rsid w:val="00F32357"/>
    <w:rsid w:val="00F35B68"/>
    <w:rsid w:val="00F35C25"/>
    <w:rsid w:val="00F360D1"/>
    <w:rsid w:val="00F3744D"/>
    <w:rsid w:val="00F405E9"/>
    <w:rsid w:val="00F45DB0"/>
    <w:rsid w:val="00F545D2"/>
    <w:rsid w:val="00F54EC7"/>
    <w:rsid w:val="00F54FFF"/>
    <w:rsid w:val="00F55119"/>
    <w:rsid w:val="00F55AF7"/>
    <w:rsid w:val="00F616C3"/>
    <w:rsid w:val="00F64ECA"/>
    <w:rsid w:val="00F65A09"/>
    <w:rsid w:val="00F66029"/>
    <w:rsid w:val="00F6789A"/>
    <w:rsid w:val="00F67ADD"/>
    <w:rsid w:val="00F774DC"/>
    <w:rsid w:val="00F81EA0"/>
    <w:rsid w:val="00F823CC"/>
    <w:rsid w:val="00F85041"/>
    <w:rsid w:val="00F856F6"/>
    <w:rsid w:val="00F92AC1"/>
    <w:rsid w:val="00F93AC4"/>
    <w:rsid w:val="00F9527B"/>
    <w:rsid w:val="00F9578E"/>
    <w:rsid w:val="00F9604D"/>
    <w:rsid w:val="00F96FD6"/>
    <w:rsid w:val="00F97735"/>
    <w:rsid w:val="00FA0028"/>
    <w:rsid w:val="00FA28B6"/>
    <w:rsid w:val="00FA4FD0"/>
    <w:rsid w:val="00FA7DF9"/>
    <w:rsid w:val="00FA7E65"/>
    <w:rsid w:val="00FB19BB"/>
    <w:rsid w:val="00FB3CD8"/>
    <w:rsid w:val="00FB54B4"/>
    <w:rsid w:val="00FB5C32"/>
    <w:rsid w:val="00FB776E"/>
    <w:rsid w:val="00FC0024"/>
    <w:rsid w:val="00FC08A9"/>
    <w:rsid w:val="00FC273C"/>
    <w:rsid w:val="00FC3998"/>
    <w:rsid w:val="00FC4097"/>
    <w:rsid w:val="00FC6397"/>
    <w:rsid w:val="00FC7CF6"/>
    <w:rsid w:val="00FD0909"/>
    <w:rsid w:val="00FD0BA2"/>
    <w:rsid w:val="00FD16AC"/>
    <w:rsid w:val="00FD2CC4"/>
    <w:rsid w:val="00FD2D09"/>
    <w:rsid w:val="00FE28A2"/>
    <w:rsid w:val="00FE28FF"/>
    <w:rsid w:val="00FE48D5"/>
    <w:rsid w:val="00FE695F"/>
    <w:rsid w:val="00FF0962"/>
    <w:rsid w:val="00FF2C5D"/>
    <w:rsid w:val="00FF2D8A"/>
    <w:rsid w:val="00FF3525"/>
    <w:rsid w:val="00FF36A5"/>
    <w:rsid w:val="00FF4713"/>
    <w:rsid w:val="00FF670E"/>
    <w:rsid w:val="00FF7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rsid w:val="00AB70A1"/>
    <w:pPr>
      <w:keepNext/>
      <w:widowControl/>
      <w:tabs>
        <w:tab w:val="left" w:pos="-1440"/>
      </w:tabs>
      <w:outlineLvl w:val="0"/>
    </w:pPr>
    <w:rPr>
      <w:b/>
      <w:bCs/>
    </w:rPr>
  </w:style>
  <w:style w:type="paragraph" w:styleId="Heading2">
    <w:name w:val="heading 2"/>
    <w:basedOn w:val="Normal"/>
    <w:next w:val="Normal"/>
    <w:qFormat/>
    <w:rsid w:val="00AB70A1"/>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rsid w:val="00AB70A1"/>
    <w:pPr>
      <w:keepNext/>
      <w:spacing w:line="120" w:lineRule="exact"/>
      <w:jc w:val="center"/>
      <w:outlineLvl w:val="2"/>
    </w:pPr>
    <w:rPr>
      <w:rFonts w:ascii="Arial" w:hAnsi="Arial" w:cs="Arial"/>
      <w:sz w:val="16"/>
      <w:szCs w:val="16"/>
    </w:rPr>
  </w:style>
  <w:style w:type="paragraph" w:styleId="Heading4">
    <w:name w:val="heading 4"/>
    <w:basedOn w:val="Normal"/>
    <w:next w:val="Normal"/>
    <w:qFormat/>
    <w:rsid w:val="00AB70A1"/>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rsid w:val="00AB70A1"/>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rsid w:val="00AB70A1"/>
    <w:pPr>
      <w:keepNext/>
      <w:spacing w:line="120" w:lineRule="exact"/>
      <w:outlineLvl w:val="5"/>
    </w:pPr>
    <w:rPr>
      <w:rFonts w:ascii="Arial" w:hAnsi="Arial" w:cs="Arial"/>
      <w:b/>
      <w:bCs/>
      <w:i/>
      <w:iCs/>
      <w:sz w:val="16"/>
      <w:szCs w:val="16"/>
    </w:rPr>
  </w:style>
  <w:style w:type="paragraph" w:styleId="Heading7">
    <w:name w:val="heading 7"/>
    <w:basedOn w:val="Normal"/>
    <w:next w:val="Normal"/>
    <w:qFormat/>
    <w:rsid w:val="00AB70A1"/>
    <w:pPr>
      <w:keepNext/>
      <w:widowControl/>
      <w:jc w:val="center"/>
      <w:outlineLvl w:val="6"/>
    </w:pPr>
    <w:rPr>
      <w:rFonts w:ascii="Arial" w:hAnsi="Arial" w:cs="Arial"/>
      <w:b/>
      <w:bCs/>
      <w:sz w:val="28"/>
    </w:rPr>
  </w:style>
  <w:style w:type="paragraph" w:styleId="Heading8">
    <w:name w:val="heading 8"/>
    <w:basedOn w:val="Normal"/>
    <w:next w:val="Normal"/>
    <w:qFormat/>
    <w:rsid w:val="00AB70A1"/>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rsid w:val="00AB70A1"/>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AB70A1"/>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rsid w:val="00AB70A1"/>
    <w:pPr>
      <w:ind w:left="1440" w:hanging="720"/>
    </w:pPr>
  </w:style>
  <w:style w:type="paragraph" w:styleId="DocumentMap">
    <w:name w:val="Document Map"/>
    <w:basedOn w:val="Normal"/>
    <w:semiHidden/>
    <w:rsid w:val="00AB70A1"/>
    <w:pPr>
      <w:widowControl/>
      <w:shd w:val="clear" w:color="auto" w:fill="000080"/>
      <w:autoSpaceDE/>
      <w:autoSpaceDN/>
      <w:adjustRightInd/>
    </w:pPr>
    <w:rPr>
      <w:rFonts w:ascii="Tahoma" w:hAnsi="Tahoma" w:cs="Tahoma"/>
      <w:sz w:val="20"/>
      <w:szCs w:val="20"/>
    </w:rPr>
  </w:style>
  <w:style w:type="paragraph" w:styleId="Header">
    <w:name w:val="header"/>
    <w:basedOn w:val="Normal"/>
    <w:link w:val="HeaderChar"/>
    <w:uiPriority w:val="99"/>
    <w:rsid w:val="00AB70A1"/>
    <w:pPr>
      <w:tabs>
        <w:tab w:val="center" w:pos="4320"/>
        <w:tab w:val="right" w:pos="8640"/>
      </w:tabs>
    </w:pPr>
  </w:style>
  <w:style w:type="paragraph" w:customStyle="1" w:styleId="proposalbodytext">
    <w:name w:val="proposalbodytext"/>
    <w:basedOn w:val="Normal"/>
    <w:semiHidden/>
    <w:rsid w:val="00AB70A1"/>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sid w:val="00AB70A1"/>
    <w:rPr>
      <w:sz w:val="16"/>
      <w:szCs w:val="16"/>
    </w:rPr>
  </w:style>
  <w:style w:type="paragraph" w:styleId="CommentText">
    <w:name w:val="annotation text"/>
    <w:basedOn w:val="Normal"/>
    <w:link w:val="CommentTextChar"/>
    <w:uiPriority w:val="99"/>
    <w:rsid w:val="00AB70A1"/>
    <w:rPr>
      <w:sz w:val="20"/>
      <w:szCs w:val="20"/>
    </w:rPr>
  </w:style>
  <w:style w:type="character" w:customStyle="1" w:styleId="CommentTextChar">
    <w:name w:val="Comment Text Char"/>
    <w:link w:val="CommentText"/>
    <w:uiPriority w:val="99"/>
    <w:rsid w:val="006B57C9"/>
  </w:style>
  <w:style w:type="paragraph" w:styleId="FootnoteText">
    <w:name w:val="footnote text"/>
    <w:basedOn w:val="Normal"/>
    <w:link w:val="FootnoteTextChar"/>
    <w:uiPriority w:val="99"/>
    <w:semiHidden/>
    <w:rsid w:val="00AB70A1"/>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sid w:val="00AB70A1"/>
    <w:rPr>
      <w:color w:val="0000FF"/>
      <w:u w:val="single"/>
    </w:rPr>
  </w:style>
  <w:style w:type="paragraph" w:styleId="TOC7">
    <w:name w:val="toc 7"/>
    <w:basedOn w:val="Normal"/>
    <w:next w:val="Normal"/>
    <w:autoRedefine/>
    <w:semiHidden/>
    <w:rsid w:val="00AB70A1"/>
    <w:pPr>
      <w:widowControl/>
      <w:autoSpaceDE/>
      <w:autoSpaceDN/>
      <w:adjustRightInd/>
      <w:ind w:left="1440"/>
    </w:pPr>
    <w:rPr>
      <w:rFonts w:eastAsia="Batang"/>
      <w:lang w:eastAsia="ko-KR"/>
    </w:rPr>
  </w:style>
  <w:style w:type="paragraph" w:styleId="NormalWeb">
    <w:name w:val="Normal (Web)"/>
    <w:basedOn w:val="Normal"/>
    <w:rsid w:val="00AB70A1"/>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rsid w:val="00AB70A1"/>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GLSBodyText">
    <w:name w:val="GLS Body Text"/>
    <w:link w:val="GLSBodyTextChar"/>
    <w:qFormat/>
    <w:rsid w:val="00A13BCA"/>
    <w:pPr>
      <w:widowControl w:val="0"/>
      <w:spacing w:after="240"/>
      <w:jc w:val="both"/>
    </w:pPr>
    <w:rPr>
      <w:rFonts w:ascii="Garamond" w:hAnsi="Garamond" w:cs="Arial"/>
      <w:sz w:val="24"/>
      <w:szCs w:val="24"/>
    </w:rPr>
  </w:style>
  <w:style w:type="character" w:customStyle="1" w:styleId="GLSBodyTextChar">
    <w:name w:val="GLS Body Text Char"/>
    <w:basedOn w:val="DefaultParagraphFont"/>
    <w:link w:val="GLSBodyText"/>
    <w:rsid w:val="00A13BCA"/>
    <w:rPr>
      <w:rFonts w:ascii="Garamond" w:hAnsi="Garamond" w:cs="Arial"/>
      <w:sz w:val="24"/>
      <w:szCs w:val="24"/>
    </w:rPr>
  </w:style>
  <w:style w:type="character" w:customStyle="1" w:styleId="HeaderChar">
    <w:name w:val="Header Char"/>
    <w:basedOn w:val="DefaultParagraphFont"/>
    <w:link w:val="Header"/>
    <w:uiPriority w:val="99"/>
    <w:rsid w:val="00AF1FFB"/>
    <w:rPr>
      <w:sz w:val="24"/>
      <w:szCs w:val="24"/>
    </w:rPr>
  </w:style>
  <w:style w:type="paragraph" w:styleId="EndnoteText">
    <w:name w:val="endnote text"/>
    <w:basedOn w:val="Normal"/>
    <w:link w:val="EndnoteTextChar"/>
    <w:uiPriority w:val="99"/>
    <w:semiHidden/>
    <w:unhideWhenUsed/>
    <w:rsid w:val="00DF0C86"/>
    <w:rPr>
      <w:sz w:val="20"/>
      <w:szCs w:val="20"/>
    </w:rPr>
  </w:style>
  <w:style w:type="character" w:customStyle="1" w:styleId="EndnoteTextChar">
    <w:name w:val="Endnote Text Char"/>
    <w:basedOn w:val="DefaultParagraphFont"/>
    <w:link w:val="EndnoteText"/>
    <w:uiPriority w:val="99"/>
    <w:semiHidden/>
    <w:rsid w:val="00DF0C86"/>
  </w:style>
  <w:style w:type="character" w:styleId="EndnoteReference">
    <w:name w:val="endnote reference"/>
    <w:basedOn w:val="DefaultParagraphFont"/>
    <w:uiPriority w:val="99"/>
    <w:semiHidden/>
    <w:unhideWhenUsed/>
    <w:rsid w:val="00DF0C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440"/>
      </w:tabs>
      <w:outlineLvl w:val="0"/>
    </w:pPr>
    <w:rPr>
      <w:b/>
      <w:bCs/>
    </w:rPr>
  </w:style>
  <w:style w:type="paragraph" w:styleId="Heading2">
    <w:name w:val="heading 2"/>
    <w:basedOn w:val="Normal"/>
    <w:next w:val="Normal"/>
    <w:qFormat/>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pPr>
      <w:keepNext/>
      <w:spacing w:line="120" w:lineRule="exact"/>
      <w:jc w:val="center"/>
      <w:outlineLvl w:val="2"/>
    </w:pPr>
    <w:rPr>
      <w:rFonts w:ascii="Arial" w:hAnsi="Arial" w:cs="Arial"/>
      <w:sz w:val="16"/>
      <w:szCs w:val="16"/>
    </w:rPr>
  </w:style>
  <w:style w:type="paragraph" w:styleId="Heading4">
    <w:name w:val="heading 4"/>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pPr>
      <w:keepNext/>
      <w:spacing w:line="120" w:lineRule="exact"/>
      <w:outlineLvl w:val="5"/>
    </w:pPr>
    <w:rPr>
      <w:rFonts w:ascii="Arial" w:hAnsi="Arial" w:cs="Arial"/>
      <w:b/>
      <w:bCs/>
      <w:i/>
      <w:iCs/>
      <w:sz w:val="16"/>
      <w:szCs w:val="16"/>
    </w:rPr>
  </w:style>
  <w:style w:type="paragraph" w:styleId="Heading7">
    <w:name w:val="heading 7"/>
    <w:basedOn w:val="Normal"/>
    <w:next w:val="Normal"/>
    <w:qFormat/>
    <w:pPr>
      <w:keepNext/>
      <w:widowControl/>
      <w:jc w:val="center"/>
      <w:outlineLvl w:val="6"/>
    </w:pPr>
    <w:rPr>
      <w:rFonts w:ascii="Arial" w:hAnsi="Arial" w:cs="Arial"/>
      <w:b/>
      <w:bCs/>
      <w:sz w:val="28"/>
    </w:rPr>
  </w:style>
  <w:style w:type="paragraph" w:styleId="Heading8">
    <w:name w:val="heading 8"/>
    <w:basedOn w:val="Normal"/>
    <w:next w:val="Normal"/>
    <w:qFormat/>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pPr>
      <w:ind w:left="1440" w:hanging="720"/>
    </w:pPr>
  </w:style>
  <w:style w:type="paragraph" w:styleId="DocumentMap">
    <w:name w:val="Document Map"/>
    <w:basedOn w:val="Normal"/>
    <w:semiHidden/>
    <w:pPr>
      <w:widowControl/>
      <w:shd w:val="clear" w:color="auto" w:fill="000080"/>
      <w:autoSpaceDE/>
      <w:autoSpaceDN/>
      <w:adjustRightInd/>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paragraph" w:customStyle="1" w:styleId="proposalbodytext">
    <w:name w:val="proposalbodytext"/>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sid w:val="006B57C9"/>
  </w:style>
  <w:style w:type="paragraph" w:styleId="FootnoteText">
    <w:name w:val="footnote text"/>
    <w:basedOn w:val="Normal"/>
    <w:link w:val="FootnoteTextChar"/>
    <w:uiPriority w:val="99"/>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Pr>
      <w:color w:val="0000FF"/>
      <w:u w:val="single"/>
    </w:rPr>
  </w:style>
  <w:style w:type="paragraph" w:styleId="TOC7">
    <w:name w:val="toc 7"/>
    <w:basedOn w:val="Normal"/>
    <w:next w:val="Normal"/>
    <w:autoRedefine/>
    <w:semiHidden/>
    <w:pPr>
      <w:widowControl/>
      <w:autoSpaceDE/>
      <w:autoSpaceDN/>
      <w:adjustRightInd/>
      <w:ind w:left="1440"/>
    </w:pPr>
    <w:rPr>
      <w:rFonts w:eastAsia="Batang"/>
      <w:lang w:eastAsia="ko-KR"/>
    </w:rPr>
  </w:style>
  <w:style w:type="paragraph" w:styleId="NormalWeb">
    <w:name w:val="Normal (Web)"/>
    <w:basedOn w:val="Normal"/>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val="x-none" w:eastAsia="x-none"/>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GLSBodyText">
    <w:name w:val="GLS Body Text"/>
    <w:link w:val="GLSBodyTextChar"/>
    <w:qFormat/>
    <w:rsid w:val="00A13BCA"/>
    <w:pPr>
      <w:widowControl w:val="0"/>
      <w:spacing w:after="240"/>
      <w:jc w:val="both"/>
    </w:pPr>
    <w:rPr>
      <w:rFonts w:ascii="Garamond" w:hAnsi="Garamond" w:cs="Arial"/>
      <w:sz w:val="24"/>
      <w:szCs w:val="24"/>
    </w:rPr>
  </w:style>
  <w:style w:type="character" w:customStyle="1" w:styleId="GLSBodyTextChar">
    <w:name w:val="GLS Body Text Char"/>
    <w:basedOn w:val="DefaultParagraphFont"/>
    <w:link w:val="GLSBodyText"/>
    <w:rsid w:val="00A13BCA"/>
    <w:rPr>
      <w:rFonts w:ascii="Garamond" w:hAnsi="Garamond" w:cs="Arial"/>
      <w:sz w:val="24"/>
      <w:szCs w:val="24"/>
    </w:rPr>
  </w:style>
  <w:style w:type="character" w:customStyle="1" w:styleId="HeaderChar">
    <w:name w:val="Header Char"/>
    <w:basedOn w:val="DefaultParagraphFont"/>
    <w:link w:val="Header"/>
    <w:uiPriority w:val="99"/>
    <w:rsid w:val="00AF1FFB"/>
    <w:rPr>
      <w:sz w:val="24"/>
      <w:szCs w:val="24"/>
    </w:rPr>
  </w:style>
  <w:style w:type="paragraph" w:styleId="EndnoteText">
    <w:name w:val="endnote text"/>
    <w:basedOn w:val="Normal"/>
    <w:link w:val="EndnoteTextChar"/>
    <w:uiPriority w:val="99"/>
    <w:semiHidden/>
    <w:unhideWhenUsed/>
    <w:rsid w:val="00DF0C86"/>
    <w:rPr>
      <w:sz w:val="20"/>
      <w:szCs w:val="20"/>
    </w:rPr>
  </w:style>
  <w:style w:type="character" w:customStyle="1" w:styleId="EndnoteTextChar">
    <w:name w:val="Endnote Text Char"/>
    <w:basedOn w:val="DefaultParagraphFont"/>
    <w:link w:val="EndnoteText"/>
    <w:uiPriority w:val="99"/>
    <w:semiHidden/>
    <w:rsid w:val="00DF0C86"/>
  </w:style>
  <w:style w:type="character" w:styleId="EndnoteReference">
    <w:name w:val="endnote reference"/>
    <w:basedOn w:val="DefaultParagraphFont"/>
    <w:uiPriority w:val="99"/>
    <w:semiHidden/>
    <w:unhideWhenUsed/>
    <w:rsid w:val="00DF0C86"/>
    <w:rPr>
      <w:vertAlign w:val="superscript"/>
    </w:rPr>
  </w:style>
</w:styles>
</file>

<file path=word/webSettings.xml><?xml version="1.0" encoding="utf-8"?>
<w:webSettings xmlns:r="http://schemas.openxmlformats.org/officeDocument/2006/relationships" xmlns:w="http://schemas.openxmlformats.org/wordprocessingml/2006/main">
  <w:divs>
    <w:div w:id="66539302">
      <w:bodyDiv w:val="1"/>
      <w:marLeft w:val="0"/>
      <w:marRight w:val="0"/>
      <w:marTop w:val="0"/>
      <w:marBottom w:val="0"/>
      <w:divBdr>
        <w:top w:val="none" w:sz="0" w:space="0" w:color="auto"/>
        <w:left w:val="none" w:sz="0" w:space="0" w:color="auto"/>
        <w:bottom w:val="none" w:sz="0" w:space="0" w:color="auto"/>
        <w:right w:val="none" w:sz="0" w:space="0" w:color="auto"/>
      </w:divBdr>
    </w:div>
    <w:div w:id="166940003">
      <w:bodyDiv w:val="1"/>
      <w:marLeft w:val="0"/>
      <w:marRight w:val="0"/>
      <w:marTop w:val="0"/>
      <w:marBottom w:val="0"/>
      <w:divBdr>
        <w:top w:val="none" w:sz="0" w:space="0" w:color="auto"/>
        <w:left w:val="none" w:sz="0" w:space="0" w:color="auto"/>
        <w:bottom w:val="none" w:sz="0" w:space="0" w:color="auto"/>
        <w:right w:val="none" w:sz="0" w:space="0" w:color="auto"/>
      </w:divBdr>
    </w:div>
    <w:div w:id="202332362">
      <w:bodyDiv w:val="1"/>
      <w:marLeft w:val="0"/>
      <w:marRight w:val="0"/>
      <w:marTop w:val="0"/>
      <w:marBottom w:val="0"/>
      <w:divBdr>
        <w:top w:val="none" w:sz="0" w:space="0" w:color="auto"/>
        <w:left w:val="none" w:sz="0" w:space="0" w:color="auto"/>
        <w:bottom w:val="none" w:sz="0" w:space="0" w:color="auto"/>
        <w:right w:val="none" w:sz="0" w:space="0" w:color="auto"/>
      </w:divBdr>
    </w:div>
    <w:div w:id="275331540">
      <w:bodyDiv w:val="1"/>
      <w:marLeft w:val="0"/>
      <w:marRight w:val="0"/>
      <w:marTop w:val="0"/>
      <w:marBottom w:val="0"/>
      <w:divBdr>
        <w:top w:val="none" w:sz="0" w:space="0" w:color="auto"/>
        <w:left w:val="none" w:sz="0" w:space="0" w:color="auto"/>
        <w:bottom w:val="none" w:sz="0" w:space="0" w:color="auto"/>
        <w:right w:val="none" w:sz="0" w:space="0" w:color="auto"/>
      </w:divBdr>
    </w:div>
    <w:div w:id="321129016">
      <w:bodyDiv w:val="1"/>
      <w:marLeft w:val="0"/>
      <w:marRight w:val="0"/>
      <w:marTop w:val="0"/>
      <w:marBottom w:val="0"/>
      <w:divBdr>
        <w:top w:val="none" w:sz="0" w:space="0" w:color="auto"/>
        <w:left w:val="none" w:sz="0" w:space="0" w:color="auto"/>
        <w:bottom w:val="none" w:sz="0" w:space="0" w:color="auto"/>
        <w:right w:val="none" w:sz="0" w:space="0" w:color="auto"/>
      </w:divBdr>
    </w:div>
    <w:div w:id="337855611">
      <w:bodyDiv w:val="1"/>
      <w:marLeft w:val="0"/>
      <w:marRight w:val="0"/>
      <w:marTop w:val="0"/>
      <w:marBottom w:val="0"/>
      <w:divBdr>
        <w:top w:val="none" w:sz="0" w:space="0" w:color="auto"/>
        <w:left w:val="none" w:sz="0" w:space="0" w:color="auto"/>
        <w:bottom w:val="none" w:sz="0" w:space="0" w:color="auto"/>
        <w:right w:val="none" w:sz="0" w:space="0" w:color="auto"/>
      </w:divBdr>
    </w:div>
    <w:div w:id="484862742">
      <w:bodyDiv w:val="1"/>
      <w:marLeft w:val="0"/>
      <w:marRight w:val="0"/>
      <w:marTop w:val="0"/>
      <w:marBottom w:val="0"/>
      <w:divBdr>
        <w:top w:val="none" w:sz="0" w:space="0" w:color="auto"/>
        <w:left w:val="none" w:sz="0" w:space="0" w:color="auto"/>
        <w:bottom w:val="none" w:sz="0" w:space="0" w:color="auto"/>
        <w:right w:val="none" w:sz="0" w:space="0" w:color="auto"/>
      </w:divBdr>
    </w:div>
    <w:div w:id="585647752">
      <w:bodyDiv w:val="1"/>
      <w:marLeft w:val="0"/>
      <w:marRight w:val="0"/>
      <w:marTop w:val="0"/>
      <w:marBottom w:val="0"/>
      <w:divBdr>
        <w:top w:val="none" w:sz="0" w:space="0" w:color="auto"/>
        <w:left w:val="none" w:sz="0" w:space="0" w:color="auto"/>
        <w:bottom w:val="none" w:sz="0" w:space="0" w:color="auto"/>
        <w:right w:val="none" w:sz="0" w:space="0" w:color="auto"/>
      </w:divBdr>
    </w:div>
    <w:div w:id="591663624">
      <w:bodyDiv w:val="1"/>
      <w:marLeft w:val="0"/>
      <w:marRight w:val="0"/>
      <w:marTop w:val="0"/>
      <w:marBottom w:val="0"/>
      <w:divBdr>
        <w:top w:val="none" w:sz="0" w:space="0" w:color="auto"/>
        <w:left w:val="none" w:sz="0" w:space="0" w:color="auto"/>
        <w:bottom w:val="none" w:sz="0" w:space="0" w:color="auto"/>
        <w:right w:val="none" w:sz="0" w:space="0" w:color="auto"/>
      </w:divBdr>
    </w:div>
    <w:div w:id="676004019">
      <w:bodyDiv w:val="1"/>
      <w:marLeft w:val="0"/>
      <w:marRight w:val="0"/>
      <w:marTop w:val="0"/>
      <w:marBottom w:val="0"/>
      <w:divBdr>
        <w:top w:val="none" w:sz="0" w:space="0" w:color="auto"/>
        <w:left w:val="none" w:sz="0" w:space="0" w:color="auto"/>
        <w:bottom w:val="none" w:sz="0" w:space="0" w:color="auto"/>
        <w:right w:val="none" w:sz="0" w:space="0" w:color="auto"/>
      </w:divBdr>
    </w:div>
    <w:div w:id="763036758">
      <w:bodyDiv w:val="1"/>
      <w:marLeft w:val="0"/>
      <w:marRight w:val="0"/>
      <w:marTop w:val="0"/>
      <w:marBottom w:val="0"/>
      <w:divBdr>
        <w:top w:val="none" w:sz="0" w:space="0" w:color="auto"/>
        <w:left w:val="none" w:sz="0" w:space="0" w:color="auto"/>
        <w:bottom w:val="none" w:sz="0" w:space="0" w:color="auto"/>
        <w:right w:val="none" w:sz="0" w:space="0" w:color="auto"/>
      </w:divBdr>
    </w:div>
    <w:div w:id="764423825">
      <w:bodyDiv w:val="1"/>
      <w:marLeft w:val="0"/>
      <w:marRight w:val="0"/>
      <w:marTop w:val="0"/>
      <w:marBottom w:val="0"/>
      <w:divBdr>
        <w:top w:val="none" w:sz="0" w:space="0" w:color="auto"/>
        <w:left w:val="none" w:sz="0" w:space="0" w:color="auto"/>
        <w:bottom w:val="none" w:sz="0" w:space="0" w:color="auto"/>
        <w:right w:val="none" w:sz="0" w:space="0" w:color="auto"/>
      </w:divBdr>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115250098">
      <w:bodyDiv w:val="1"/>
      <w:marLeft w:val="0"/>
      <w:marRight w:val="0"/>
      <w:marTop w:val="0"/>
      <w:marBottom w:val="0"/>
      <w:divBdr>
        <w:top w:val="none" w:sz="0" w:space="0" w:color="auto"/>
        <w:left w:val="none" w:sz="0" w:space="0" w:color="auto"/>
        <w:bottom w:val="none" w:sz="0" w:space="0" w:color="auto"/>
        <w:right w:val="none" w:sz="0" w:space="0" w:color="auto"/>
      </w:divBdr>
    </w:div>
    <w:div w:id="1282883395">
      <w:bodyDiv w:val="1"/>
      <w:marLeft w:val="0"/>
      <w:marRight w:val="0"/>
      <w:marTop w:val="0"/>
      <w:marBottom w:val="0"/>
      <w:divBdr>
        <w:top w:val="none" w:sz="0" w:space="0" w:color="auto"/>
        <w:left w:val="none" w:sz="0" w:space="0" w:color="auto"/>
        <w:bottom w:val="none" w:sz="0" w:space="0" w:color="auto"/>
        <w:right w:val="none" w:sz="0" w:space="0" w:color="auto"/>
      </w:divBdr>
    </w:div>
    <w:div w:id="1288390230">
      <w:bodyDiv w:val="1"/>
      <w:marLeft w:val="0"/>
      <w:marRight w:val="0"/>
      <w:marTop w:val="0"/>
      <w:marBottom w:val="0"/>
      <w:divBdr>
        <w:top w:val="none" w:sz="0" w:space="0" w:color="auto"/>
        <w:left w:val="none" w:sz="0" w:space="0" w:color="auto"/>
        <w:bottom w:val="none" w:sz="0" w:space="0" w:color="auto"/>
        <w:right w:val="none" w:sz="0" w:space="0" w:color="auto"/>
      </w:divBdr>
    </w:div>
    <w:div w:id="1289049079">
      <w:bodyDiv w:val="1"/>
      <w:marLeft w:val="0"/>
      <w:marRight w:val="0"/>
      <w:marTop w:val="0"/>
      <w:marBottom w:val="0"/>
      <w:divBdr>
        <w:top w:val="none" w:sz="0" w:space="0" w:color="auto"/>
        <w:left w:val="none" w:sz="0" w:space="0" w:color="auto"/>
        <w:bottom w:val="none" w:sz="0" w:space="0" w:color="auto"/>
        <w:right w:val="none" w:sz="0" w:space="0" w:color="auto"/>
      </w:divBdr>
    </w:div>
    <w:div w:id="1304043942">
      <w:bodyDiv w:val="1"/>
      <w:marLeft w:val="0"/>
      <w:marRight w:val="0"/>
      <w:marTop w:val="0"/>
      <w:marBottom w:val="0"/>
      <w:divBdr>
        <w:top w:val="none" w:sz="0" w:space="0" w:color="auto"/>
        <w:left w:val="none" w:sz="0" w:space="0" w:color="auto"/>
        <w:bottom w:val="none" w:sz="0" w:space="0" w:color="auto"/>
        <w:right w:val="none" w:sz="0" w:space="0" w:color="auto"/>
      </w:divBdr>
    </w:div>
    <w:div w:id="1341666624">
      <w:bodyDiv w:val="1"/>
      <w:marLeft w:val="0"/>
      <w:marRight w:val="0"/>
      <w:marTop w:val="0"/>
      <w:marBottom w:val="0"/>
      <w:divBdr>
        <w:top w:val="none" w:sz="0" w:space="0" w:color="auto"/>
        <w:left w:val="none" w:sz="0" w:space="0" w:color="auto"/>
        <w:bottom w:val="none" w:sz="0" w:space="0" w:color="auto"/>
        <w:right w:val="none" w:sz="0" w:space="0" w:color="auto"/>
      </w:divBdr>
    </w:div>
    <w:div w:id="1371684760">
      <w:bodyDiv w:val="1"/>
      <w:marLeft w:val="0"/>
      <w:marRight w:val="0"/>
      <w:marTop w:val="0"/>
      <w:marBottom w:val="0"/>
      <w:divBdr>
        <w:top w:val="none" w:sz="0" w:space="0" w:color="auto"/>
        <w:left w:val="none" w:sz="0" w:space="0" w:color="auto"/>
        <w:bottom w:val="none" w:sz="0" w:space="0" w:color="auto"/>
        <w:right w:val="none" w:sz="0" w:space="0" w:color="auto"/>
      </w:divBdr>
    </w:div>
    <w:div w:id="1467771452">
      <w:bodyDiv w:val="1"/>
      <w:marLeft w:val="0"/>
      <w:marRight w:val="0"/>
      <w:marTop w:val="0"/>
      <w:marBottom w:val="0"/>
      <w:divBdr>
        <w:top w:val="none" w:sz="0" w:space="0" w:color="auto"/>
        <w:left w:val="none" w:sz="0" w:space="0" w:color="auto"/>
        <w:bottom w:val="none" w:sz="0" w:space="0" w:color="auto"/>
        <w:right w:val="none" w:sz="0" w:space="0" w:color="auto"/>
      </w:divBdr>
    </w:div>
    <w:div w:id="1472282082">
      <w:bodyDiv w:val="1"/>
      <w:marLeft w:val="0"/>
      <w:marRight w:val="0"/>
      <w:marTop w:val="0"/>
      <w:marBottom w:val="0"/>
      <w:divBdr>
        <w:top w:val="none" w:sz="0" w:space="0" w:color="auto"/>
        <w:left w:val="none" w:sz="0" w:space="0" w:color="auto"/>
        <w:bottom w:val="none" w:sz="0" w:space="0" w:color="auto"/>
        <w:right w:val="none" w:sz="0" w:space="0" w:color="auto"/>
      </w:divBdr>
    </w:div>
    <w:div w:id="1642078008">
      <w:bodyDiv w:val="1"/>
      <w:marLeft w:val="0"/>
      <w:marRight w:val="0"/>
      <w:marTop w:val="0"/>
      <w:marBottom w:val="0"/>
      <w:divBdr>
        <w:top w:val="none" w:sz="0" w:space="0" w:color="auto"/>
        <w:left w:val="none" w:sz="0" w:space="0" w:color="auto"/>
        <w:bottom w:val="none" w:sz="0" w:space="0" w:color="auto"/>
        <w:right w:val="none" w:sz="0" w:space="0" w:color="auto"/>
      </w:divBdr>
    </w:div>
    <w:div w:id="1740861885">
      <w:bodyDiv w:val="1"/>
      <w:marLeft w:val="0"/>
      <w:marRight w:val="0"/>
      <w:marTop w:val="0"/>
      <w:marBottom w:val="0"/>
      <w:divBdr>
        <w:top w:val="none" w:sz="0" w:space="0" w:color="auto"/>
        <w:left w:val="none" w:sz="0" w:space="0" w:color="auto"/>
        <w:bottom w:val="none" w:sz="0" w:space="0" w:color="auto"/>
        <w:right w:val="none" w:sz="0" w:space="0" w:color="auto"/>
      </w:divBdr>
    </w:div>
    <w:div w:id="1842305711">
      <w:bodyDiv w:val="1"/>
      <w:marLeft w:val="0"/>
      <w:marRight w:val="0"/>
      <w:marTop w:val="0"/>
      <w:marBottom w:val="0"/>
      <w:divBdr>
        <w:top w:val="none" w:sz="0" w:space="0" w:color="auto"/>
        <w:left w:val="none" w:sz="0" w:space="0" w:color="auto"/>
        <w:bottom w:val="none" w:sz="0" w:space="0" w:color="auto"/>
        <w:right w:val="none" w:sz="0" w:space="0" w:color="auto"/>
      </w:divBdr>
    </w:div>
    <w:div w:id="2035230137">
      <w:bodyDiv w:val="1"/>
      <w:marLeft w:val="0"/>
      <w:marRight w:val="0"/>
      <w:marTop w:val="0"/>
      <w:marBottom w:val="0"/>
      <w:divBdr>
        <w:top w:val="none" w:sz="0" w:space="0" w:color="auto"/>
        <w:left w:val="none" w:sz="0" w:space="0" w:color="auto"/>
        <w:bottom w:val="none" w:sz="0" w:space="0" w:color="auto"/>
        <w:right w:val="none" w:sz="0" w:space="0" w:color="auto"/>
      </w:divBdr>
    </w:div>
    <w:div w:id="2077194590">
      <w:bodyDiv w:val="1"/>
      <w:marLeft w:val="0"/>
      <w:marRight w:val="0"/>
      <w:marTop w:val="0"/>
      <w:marBottom w:val="0"/>
      <w:divBdr>
        <w:top w:val="none" w:sz="0" w:space="0" w:color="auto"/>
        <w:left w:val="none" w:sz="0" w:space="0" w:color="auto"/>
        <w:bottom w:val="none" w:sz="0" w:space="0" w:color="auto"/>
        <w:right w:val="none" w:sz="0" w:space="0" w:color="auto"/>
      </w:divBdr>
    </w:div>
    <w:div w:id="21093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2D6E-7258-47D2-B9EF-BD3756CC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8243</Words>
  <Characters>46988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2014-01-08T18:12:00Z</dcterms:created>
  <dcterms:modified xsi:type="dcterms:W3CDTF">2014-01-08T18:12:00Z</dcterms:modified>
</cp:coreProperties>
</file>