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97" w:rsidRDefault="00443197" w:rsidP="004C2F68">
      <w:pPr>
        <w:jc w:val="center"/>
        <w:rPr>
          <w:rFonts w:ascii="Times New Roman Bold" w:hAnsi="Times New Roman Bold"/>
          <w:b/>
          <w:caps/>
        </w:rPr>
      </w:pPr>
      <w:r>
        <w:rPr>
          <w:rFonts w:ascii="Times New Roman Bold" w:hAnsi="Times New Roman Bold"/>
          <w:b/>
          <w:caps/>
        </w:rPr>
        <w:t xml:space="preserve">The </w:t>
      </w:r>
      <w:r w:rsidR="004C2F68">
        <w:rPr>
          <w:rFonts w:ascii="Times New Roman Bold" w:hAnsi="Times New Roman Bold"/>
          <w:b/>
          <w:caps/>
        </w:rPr>
        <w:t>NATIONAL</w:t>
      </w:r>
      <w:r>
        <w:rPr>
          <w:rFonts w:ascii="Times New Roman Bold" w:hAnsi="Times New Roman Bold"/>
          <w:b/>
          <w:caps/>
        </w:rPr>
        <w:t xml:space="preserve"> Evaluation </w:t>
      </w:r>
      <w:r w:rsidR="004C2F68">
        <w:rPr>
          <w:rFonts w:ascii="Times New Roman Bold" w:hAnsi="Times New Roman Bold"/>
          <w:b/>
          <w:caps/>
        </w:rPr>
        <w:t>OF</w:t>
      </w:r>
      <w:r>
        <w:rPr>
          <w:rFonts w:ascii="Times New Roman Bold" w:hAnsi="Times New Roman Bold"/>
          <w:b/>
          <w:caps/>
        </w:rPr>
        <w:t xml:space="preserve"> the Substance Abuse and</w:t>
      </w:r>
    </w:p>
    <w:p w:rsidR="00226A0C" w:rsidRPr="002035C2" w:rsidRDefault="00443197" w:rsidP="004C2F68">
      <w:pPr>
        <w:spacing w:after="120"/>
        <w:jc w:val="center"/>
        <w:rPr>
          <w:rFonts w:ascii="Times New Roman Bold" w:hAnsi="Times New Roman Bold"/>
          <w:b/>
          <w:caps/>
        </w:rPr>
      </w:pPr>
      <w:r>
        <w:rPr>
          <w:rFonts w:ascii="Times New Roman Bold" w:hAnsi="Times New Roman Bold"/>
          <w:b/>
          <w:caps/>
        </w:rPr>
        <w:t xml:space="preserve"> Mental Health Services administration</w:t>
      </w:r>
      <w:r w:rsidR="00226A0C">
        <w:rPr>
          <w:rFonts w:ascii="Times New Roman Bold" w:hAnsi="Times New Roman Bold"/>
          <w:b/>
          <w:caps/>
        </w:rPr>
        <w:t>’s</w:t>
      </w:r>
      <w:r w:rsidR="004C2F68">
        <w:rPr>
          <w:rFonts w:ascii="Times New Roman Bold" w:hAnsi="Times New Roman Bold"/>
          <w:b/>
          <w:caps/>
        </w:rPr>
        <w:t xml:space="preserve"> (samhsa’S)</w:t>
      </w:r>
      <w:r w:rsidR="00226A0C">
        <w:rPr>
          <w:rFonts w:ascii="Times New Roman Bold" w:hAnsi="Times New Roman Bold"/>
          <w:b/>
          <w:caps/>
        </w:rPr>
        <w:t xml:space="preserve"> homeless programs</w:t>
      </w:r>
    </w:p>
    <w:p w:rsidR="00226A0C" w:rsidRPr="00F64D36" w:rsidRDefault="00226A0C" w:rsidP="00226A0C">
      <w:pPr>
        <w:jc w:val="center"/>
        <w:rPr>
          <w:b/>
        </w:rPr>
      </w:pPr>
      <w:r w:rsidRPr="002035C2">
        <w:rPr>
          <w:rFonts w:ascii="Times New Roman Bold" w:hAnsi="Times New Roman Bold"/>
          <w:b/>
          <w:caps/>
        </w:rPr>
        <w:t>Supporting Statement</w:t>
      </w:r>
    </w:p>
    <w:p w:rsidR="00BC6B93" w:rsidRDefault="00BC6B93"/>
    <w:p w:rsidR="00457CAF" w:rsidRDefault="00457CAF" w:rsidP="00CA38A9">
      <w:pPr>
        <w:rPr>
          <w:b/>
        </w:rPr>
      </w:pPr>
      <w:bookmarkStart w:id="0" w:name="_Toc8007688"/>
      <w:bookmarkStart w:id="1" w:name="_Toc88277971"/>
      <w:bookmarkStart w:id="2" w:name="_Toc131564368"/>
    </w:p>
    <w:p w:rsidR="00CA38A9" w:rsidRPr="001B1E03" w:rsidRDefault="00CA38A9" w:rsidP="00CA38A9">
      <w:pPr>
        <w:rPr>
          <w:b/>
        </w:rPr>
      </w:pPr>
      <w:r w:rsidRPr="001B1E03">
        <w:rPr>
          <w:b/>
        </w:rPr>
        <w:t>B.</w:t>
      </w:r>
      <w:r w:rsidRPr="001B1E03">
        <w:rPr>
          <w:b/>
        </w:rPr>
        <w:tab/>
        <w:t>C</w:t>
      </w:r>
      <w:r>
        <w:rPr>
          <w:b/>
        </w:rPr>
        <w:t>OLLECTION OF INFORMATION EMPLOYING STATISTICAL METHO</w:t>
      </w:r>
      <w:bookmarkEnd w:id="0"/>
      <w:bookmarkEnd w:id="1"/>
      <w:bookmarkEnd w:id="2"/>
      <w:r>
        <w:rPr>
          <w:b/>
        </w:rPr>
        <w:t>DS</w:t>
      </w:r>
    </w:p>
    <w:p w:rsidR="00CA38A9" w:rsidRDefault="00CA38A9" w:rsidP="00CA38A9">
      <w:bookmarkStart w:id="3" w:name="_Toc8007689"/>
      <w:bookmarkStart w:id="4" w:name="_Toc88277972"/>
      <w:bookmarkStart w:id="5" w:name="_Toc131564369"/>
    </w:p>
    <w:p w:rsidR="00CA38A9" w:rsidRPr="001B1E03" w:rsidRDefault="00CA38A9" w:rsidP="00CA38A9">
      <w:pPr>
        <w:rPr>
          <w:b/>
        </w:rPr>
      </w:pPr>
      <w:r w:rsidRPr="001B1E03">
        <w:rPr>
          <w:b/>
        </w:rPr>
        <w:t>1.</w:t>
      </w:r>
      <w:r w:rsidRPr="001B1E03">
        <w:rPr>
          <w:b/>
        </w:rPr>
        <w:tab/>
      </w:r>
      <w:bookmarkEnd w:id="3"/>
      <w:r w:rsidRPr="001B1E03">
        <w:rPr>
          <w:b/>
          <w:u w:val="single"/>
        </w:rPr>
        <w:t>Respondent Universe and Sampling Methods</w:t>
      </w:r>
      <w:bookmarkEnd w:id="4"/>
      <w:bookmarkEnd w:id="5"/>
    </w:p>
    <w:p w:rsidR="007A547E" w:rsidRDefault="007A547E" w:rsidP="007B3E5C">
      <w:pPr>
        <w:rPr>
          <w:bCs/>
        </w:rPr>
      </w:pPr>
    </w:p>
    <w:p w:rsidR="00CA38A9" w:rsidRDefault="00CA38A9" w:rsidP="00414DB1">
      <w:pPr>
        <w:rPr>
          <w:bCs/>
        </w:rPr>
      </w:pPr>
      <w:r>
        <w:rPr>
          <w:bCs/>
        </w:rPr>
        <w:t xml:space="preserve">The following sections </w:t>
      </w:r>
      <w:r w:rsidR="007B3E5C">
        <w:rPr>
          <w:bCs/>
        </w:rPr>
        <w:t xml:space="preserve">provide a detailed </w:t>
      </w:r>
      <w:r>
        <w:rPr>
          <w:bCs/>
        </w:rPr>
        <w:t>descri</w:t>
      </w:r>
      <w:r w:rsidR="007B3E5C">
        <w:rPr>
          <w:bCs/>
        </w:rPr>
        <w:t>ption of</w:t>
      </w:r>
      <w:r>
        <w:rPr>
          <w:bCs/>
        </w:rPr>
        <w:t xml:space="preserve"> the respondents and sampling methods for each data collection tool</w:t>
      </w:r>
      <w:r w:rsidR="007B3E5C">
        <w:rPr>
          <w:bCs/>
        </w:rPr>
        <w:t>,</w:t>
      </w:r>
      <w:r>
        <w:rPr>
          <w:bCs/>
        </w:rPr>
        <w:t xml:space="preserve"> while </w:t>
      </w:r>
      <w:r w:rsidRPr="00414DB1">
        <w:rPr>
          <w:b/>
          <w:bCs/>
        </w:rPr>
        <w:t xml:space="preserve">Table </w:t>
      </w:r>
      <w:r w:rsidR="00414DB1" w:rsidRPr="00414DB1">
        <w:rPr>
          <w:b/>
          <w:bCs/>
        </w:rPr>
        <w:t>13</w:t>
      </w:r>
      <w:r w:rsidRPr="00414DB1">
        <w:rPr>
          <w:bCs/>
        </w:rPr>
        <w:t xml:space="preserve"> prov</w:t>
      </w:r>
      <w:r>
        <w:rPr>
          <w:bCs/>
        </w:rPr>
        <w:t>ides an overview of the grantees involved in each data collection activity.</w:t>
      </w:r>
    </w:p>
    <w:p w:rsidR="00457CAF" w:rsidRDefault="00457CAF" w:rsidP="00414DB1">
      <w:pPr>
        <w:rPr>
          <w:bCs/>
        </w:rPr>
      </w:pPr>
    </w:p>
    <w:p w:rsidR="00CA38A9" w:rsidRPr="007B3E5C" w:rsidRDefault="00CA38A9" w:rsidP="000B12AE">
      <w:pPr>
        <w:keepNext/>
        <w:keepLines/>
        <w:ind w:left="-450"/>
        <w:rPr>
          <w:b/>
        </w:rPr>
      </w:pPr>
      <w:proofErr w:type="gramStart"/>
      <w:r w:rsidRPr="00414DB1">
        <w:rPr>
          <w:b/>
        </w:rPr>
        <w:lastRenderedPageBreak/>
        <w:t xml:space="preserve">Table </w:t>
      </w:r>
      <w:r w:rsidR="00414DB1" w:rsidRPr="00414DB1">
        <w:rPr>
          <w:b/>
        </w:rPr>
        <w:t>13</w:t>
      </w:r>
      <w:r w:rsidRPr="00414DB1">
        <w:rPr>
          <w:b/>
        </w:rPr>
        <w:t>.</w:t>
      </w:r>
      <w:proofErr w:type="gramEnd"/>
      <w:r w:rsidRPr="00414DB1">
        <w:rPr>
          <w:b/>
        </w:rPr>
        <w:t xml:space="preserve"> Grant</w:t>
      </w:r>
      <w:r w:rsidRPr="007B3E5C">
        <w:rPr>
          <w:b/>
        </w:rPr>
        <w:t>ees Included in Data Collection</w:t>
      </w:r>
    </w:p>
    <w:tbl>
      <w:tblPr>
        <w:tblStyle w:val="MediumList1-Accent1"/>
        <w:tblW w:w="5348" w:type="pct"/>
        <w:jc w:val="center"/>
        <w:tblInd w:w="-342" w:type="dxa"/>
        <w:tblCellMar>
          <w:left w:w="72" w:type="dxa"/>
          <w:right w:w="72" w:type="dxa"/>
        </w:tblCellMar>
        <w:tblLook w:val="04A0"/>
      </w:tblPr>
      <w:tblGrid>
        <w:gridCol w:w="458"/>
        <w:gridCol w:w="1550"/>
        <w:gridCol w:w="1739"/>
        <w:gridCol w:w="1739"/>
        <w:gridCol w:w="1739"/>
        <w:gridCol w:w="1739"/>
        <w:gridCol w:w="1201"/>
      </w:tblGrid>
      <w:tr w:rsidR="00CA38A9" w:rsidTr="000B12AE">
        <w:trPr>
          <w:cnfStyle w:val="100000000000"/>
          <w:jc w:val="center"/>
        </w:trPr>
        <w:tc>
          <w:tcPr>
            <w:cnfStyle w:val="001000000000"/>
            <w:tcW w:w="180" w:type="pct"/>
            <w:tcBorders>
              <w:left w:val="nil"/>
              <w:bottom w:val="nil"/>
              <w:right w:val="nil"/>
            </w:tcBorders>
            <w:shd w:val="clear" w:color="auto" w:fill="auto"/>
          </w:tcPr>
          <w:p w:rsidR="00CA38A9" w:rsidRPr="001A250F" w:rsidRDefault="00CA38A9" w:rsidP="007B3E5C">
            <w:pPr>
              <w:keepNext/>
              <w:keepLines/>
              <w:jc w:val="center"/>
              <w:rPr>
                <w:sz w:val="32"/>
                <w:szCs w:val="32"/>
              </w:rPr>
            </w:pPr>
          </w:p>
        </w:tc>
        <w:tc>
          <w:tcPr>
            <w:tcW w:w="770" w:type="pct"/>
            <w:tcBorders>
              <w:left w:val="nil"/>
              <w:bottom w:val="single" w:sz="12" w:space="0" w:color="1F497D" w:themeColor="text2"/>
              <w:right w:val="single" w:sz="12" w:space="0" w:color="1F497D" w:themeColor="text2"/>
            </w:tcBorders>
            <w:shd w:val="clear" w:color="auto" w:fill="auto"/>
          </w:tcPr>
          <w:p w:rsidR="00CA38A9" w:rsidRPr="001A250F" w:rsidRDefault="00CA38A9" w:rsidP="007B3E5C">
            <w:pPr>
              <w:keepNext/>
              <w:keepLines/>
              <w:jc w:val="center"/>
              <w:cnfStyle w:val="100000000000"/>
              <w:rPr>
                <w:sz w:val="32"/>
                <w:szCs w:val="32"/>
              </w:rPr>
            </w:pPr>
          </w:p>
        </w:tc>
        <w:tc>
          <w:tcPr>
            <w:tcW w:w="4050" w:type="pct"/>
            <w:gridSpan w:val="5"/>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808080" w:themeFill="background1" w:themeFillShade="80"/>
          </w:tcPr>
          <w:p w:rsidR="00CA38A9" w:rsidRPr="007B3E5C" w:rsidRDefault="00CA38A9" w:rsidP="007B3E5C">
            <w:pPr>
              <w:keepNext/>
              <w:keepLines/>
              <w:jc w:val="center"/>
              <w:cnfStyle w:val="100000000000"/>
              <w:rPr>
                <w:b/>
                <w:color w:val="FFFFFF" w:themeColor="background1"/>
              </w:rPr>
            </w:pPr>
            <w:r w:rsidRPr="007B3E5C">
              <w:rPr>
                <w:b/>
                <w:color w:val="FFFFFF" w:themeColor="background1"/>
              </w:rPr>
              <w:t>National Evaluation of SAMHSA’s Homeless Programs</w:t>
            </w:r>
          </w:p>
          <w:p w:rsidR="00CA38A9" w:rsidRPr="00EE405D" w:rsidRDefault="00CA38A9" w:rsidP="007B3E5C">
            <w:pPr>
              <w:keepNext/>
              <w:keepLines/>
              <w:jc w:val="center"/>
              <w:cnfStyle w:val="100000000000"/>
              <w:rPr>
                <w:b/>
                <w:color w:val="FFFFFF" w:themeColor="background1"/>
                <w:sz w:val="32"/>
                <w:szCs w:val="32"/>
              </w:rPr>
            </w:pPr>
            <w:r w:rsidRPr="007B3E5C">
              <w:rPr>
                <w:b/>
                <w:color w:val="FFFFFF" w:themeColor="background1"/>
              </w:rPr>
              <w:t>Grantees Included in Data Collection</w:t>
            </w:r>
          </w:p>
        </w:tc>
      </w:tr>
      <w:tr w:rsidR="00CA38A9" w:rsidRPr="001A250F" w:rsidTr="000B12AE">
        <w:trPr>
          <w:cnfStyle w:val="000000100000"/>
          <w:jc w:val="center"/>
        </w:trPr>
        <w:tc>
          <w:tcPr>
            <w:cnfStyle w:val="001000000000"/>
            <w:tcW w:w="180" w:type="pct"/>
            <w:vMerge w:val="restart"/>
            <w:tcBorders>
              <w:top w:val="nil"/>
              <w:left w:val="nil"/>
              <w:bottom w:val="single" w:sz="12" w:space="0" w:color="1F497D" w:themeColor="text2"/>
              <w:right w:val="single" w:sz="12" w:space="0" w:color="1F497D" w:themeColor="text2"/>
            </w:tcBorders>
            <w:shd w:val="clear" w:color="auto" w:fill="auto"/>
          </w:tcPr>
          <w:p w:rsidR="00CA38A9" w:rsidRPr="001A250F" w:rsidRDefault="00CA38A9" w:rsidP="007B3E5C">
            <w:pPr>
              <w:keepNext/>
              <w:keepLines/>
              <w:jc w:val="center"/>
            </w:pPr>
          </w:p>
        </w:tc>
        <w:tc>
          <w:tcPr>
            <w:tcW w:w="770" w:type="pct"/>
            <w:tcBorders>
              <w:top w:val="single" w:sz="12" w:space="0" w:color="1F497D" w:themeColor="text2"/>
              <w:left w:val="single" w:sz="12" w:space="0" w:color="1F497D" w:themeColor="text2"/>
              <w:bottom w:val="single" w:sz="8" w:space="0" w:color="FFFFFF" w:themeColor="background1"/>
              <w:right w:val="single" w:sz="8" w:space="0" w:color="1F497D" w:themeColor="text2"/>
            </w:tcBorders>
            <w:shd w:val="clear" w:color="auto" w:fill="D9D9D9" w:themeFill="background1" w:themeFillShade="D9"/>
            <w:vAlign w:val="center"/>
          </w:tcPr>
          <w:p w:rsidR="00CA38A9" w:rsidRPr="007B3E5C" w:rsidRDefault="00CA38A9" w:rsidP="007B3E5C">
            <w:pPr>
              <w:keepNext/>
              <w:keepLines/>
              <w:jc w:val="center"/>
              <w:cnfStyle w:val="000000100000"/>
              <w:rPr>
                <w:b/>
                <w:i/>
                <w:color w:val="1F497B"/>
              </w:rPr>
            </w:pPr>
            <w:r w:rsidRPr="007B3E5C">
              <w:rPr>
                <w:b/>
                <w:i/>
                <w:color w:val="1F497B"/>
              </w:rPr>
              <w:t>Homeless Program</w:t>
            </w:r>
          </w:p>
        </w:tc>
        <w:tc>
          <w:tcPr>
            <w:tcW w:w="863" w:type="pct"/>
            <w:tcBorders>
              <w:top w:val="single" w:sz="12" w:space="0" w:color="1F497D" w:themeColor="text2"/>
              <w:left w:val="single" w:sz="8" w:space="0" w:color="1F497D" w:themeColor="text2"/>
              <w:bottom w:val="single" w:sz="8" w:space="0" w:color="FFFFFF" w:themeColor="background1"/>
              <w:right w:val="single" w:sz="8" w:space="0" w:color="FFFFFF" w:themeColor="background1"/>
            </w:tcBorders>
            <w:shd w:val="clear" w:color="auto" w:fill="D9D9D9" w:themeFill="background1" w:themeFillShade="D9"/>
            <w:vAlign w:val="center"/>
          </w:tcPr>
          <w:p w:rsidR="00CA38A9" w:rsidRPr="007B3E5C" w:rsidRDefault="00CA38A9" w:rsidP="007B3E5C">
            <w:pPr>
              <w:keepNext/>
              <w:keepLines/>
              <w:jc w:val="center"/>
              <w:cnfStyle w:val="000000100000"/>
              <w:rPr>
                <w:b/>
                <w:bCs/>
                <w:i/>
                <w:color w:val="1F497D" w:themeColor="text2"/>
              </w:rPr>
            </w:pPr>
            <w:r w:rsidRPr="007B3E5C">
              <w:rPr>
                <w:b/>
                <w:bCs/>
                <w:i/>
                <w:color w:val="1F497D" w:themeColor="text2"/>
              </w:rPr>
              <w:t>GBHI</w:t>
            </w:r>
          </w:p>
        </w:tc>
        <w:tc>
          <w:tcPr>
            <w:tcW w:w="863" w:type="pct"/>
            <w:tcBorders>
              <w:top w:val="single" w:sz="12" w:space="0" w:color="1F497D" w:themeColor="text2"/>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CA38A9" w:rsidRPr="007B3E5C" w:rsidRDefault="00CA38A9" w:rsidP="007B3E5C">
            <w:pPr>
              <w:keepNext/>
              <w:keepLines/>
              <w:jc w:val="center"/>
              <w:cnfStyle w:val="000000100000"/>
              <w:rPr>
                <w:b/>
                <w:bCs/>
                <w:i/>
                <w:color w:val="1F497D" w:themeColor="text2"/>
              </w:rPr>
            </w:pPr>
            <w:r w:rsidRPr="007B3E5C">
              <w:rPr>
                <w:b/>
                <w:bCs/>
                <w:i/>
                <w:color w:val="1F497D" w:themeColor="text2"/>
              </w:rPr>
              <w:t>CABHI</w:t>
            </w:r>
          </w:p>
        </w:tc>
        <w:tc>
          <w:tcPr>
            <w:tcW w:w="863" w:type="pct"/>
            <w:tcBorders>
              <w:top w:val="single" w:sz="12" w:space="0" w:color="1F497D" w:themeColor="text2"/>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CA38A9" w:rsidRPr="007B3E5C" w:rsidRDefault="00CA38A9" w:rsidP="007B3E5C">
            <w:pPr>
              <w:keepNext/>
              <w:keepLines/>
              <w:jc w:val="center"/>
              <w:cnfStyle w:val="000000100000"/>
              <w:rPr>
                <w:b/>
                <w:bCs/>
                <w:i/>
                <w:color w:val="1F497D" w:themeColor="text2"/>
              </w:rPr>
            </w:pPr>
            <w:r w:rsidRPr="007B3E5C">
              <w:rPr>
                <w:b/>
                <w:bCs/>
                <w:i/>
                <w:color w:val="1F497D" w:themeColor="text2"/>
              </w:rPr>
              <w:t>SSH</w:t>
            </w:r>
          </w:p>
        </w:tc>
        <w:tc>
          <w:tcPr>
            <w:tcW w:w="863" w:type="pct"/>
            <w:tcBorders>
              <w:top w:val="single" w:sz="12" w:space="0" w:color="1F497D" w:themeColor="text2"/>
              <w:left w:val="single" w:sz="8" w:space="0" w:color="FFFFFF" w:themeColor="background1"/>
              <w:bottom w:val="single" w:sz="8" w:space="0" w:color="FFFFFF" w:themeColor="background1"/>
            </w:tcBorders>
            <w:shd w:val="clear" w:color="auto" w:fill="D9D9D9" w:themeFill="background1" w:themeFillShade="D9"/>
            <w:vAlign w:val="center"/>
          </w:tcPr>
          <w:p w:rsidR="00CA38A9" w:rsidRPr="007B3E5C" w:rsidRDefault="00CA38A9" w:rsidP="007B3E5C">
            <w:pPr>
              <w:keepNext/>
              <w:keepLines/>
              <w:jc w:val="center"/>
              <w:cnfStyle w:val="000000100000"/>
              <w:rPr>
                <w:b/>
                <w:bCs/>
                <w:i/>
                <w:color w:val="1F497D" w:themeColor="text2"/>
              </w:rPr>
            </w:pPr>
            <w:r w:rsidRPr="007B3E5C">
              <w:rPr>
                <w:b/>
                <w:bCs/>
                <w:i/>
                <w:color w:val="1F497D" w:themeColor="text2"/>
              </w:rPr>
              <w:t>PATH</w:t>
            </w:r>
          </w:p>
        </w:tc>
        <w:tc>
          <w:tcPr>
            <w:tcW w:w="598" w:type="pct"/>
            <w:tcBorders>
              <w:top w:val="single" w:sz="12" w:space="0" w:color="1F497D" w:themeColor="text2"/>
              <w:left w:val="single" w:sz="8" w:space="0" w:color="FFFFFF" w:themeColor="background1"/>
              <w:bottom w:val="single" w:sz="8" w:space="0" w:color="FFFFFF" w:themeColor="background1"/>
              <w:right w:val="single" w:sz="12" w:space="0" w:color="1F497D" w:themeColor="text2"/>
            </w:tcBorders>
            <w:shd w:val="clear" w:color="auto" w:fill="D9D9D9" w:themeFill="background1" w:themeFillShade="D9"/>
            <w:vAlign w:val="center"/>
          </w:tcPr>
          <w:p w:rsidR="00CA38A9" w:rsidRPr="007B3E5C" w:rsidRDefault="00CA38A9" w:rsidP="007A547E">
            <w:pPr>
              <w:keepNext/>
              <w:keepLines/>
              <w:jc w:val="center"/>
              <w:cnfStyle w:val="000000100000"/>
              <w:rPr>
                <w:b/>
                <w:bCs/>
                <w:iCs/>
                <w:color w:val="1F497D" w:themeColor="text2"/>
              </w:rPr>
            </w:pPr>
            <w:r w:rsidRPr="007B3E5C">
              <w:rPr>
                <w:b/>
                <w:bCs/>
                <w:iCs/>
                <w:color w:val="1F497D" w:themeColor="text2"/>
              </w:rPr>
              <w:t>T</w:t>
            </w:r>
            <w:r w:rsidR="007A547E">
              <w:rPr>
                <w:b/>
                <w:bCs/>
                <w:iCs/>
                <w:color w:val="1F497D" w:themeColor="text2"/>
              </w:rPr>
              <w:t>OTAL</w:t>
            </w:r>
          </w:p>
        </w:tc>
      </w:tr>
      <w:tr w:rsidR="00CA38A9" w:rsidTr="000B12AE">
        <w:trPr>
          <w:trHeight w:val="522"/>
          <w:jc w:val="center"/>
        </w:trPr>
        <w:tc>
          <w:tcPr>
            <w:cnfStyle w:val="001000000000"/>
            <w:tcW w:w="180" w:type="pct"/>
            <w:vMerge/>
            <w:tcBorders>
              <w:top w:val="single" w:sz="18" w:space="0" w:color="1F497D" w:themeColor="text2"/>
              <w:left w:val="nil"/>
              <w:bottom w:val="single" w:sz="12" w:space="0" w:color="1F497D" w:themeColor="text2"/>
              <w:right w:val="single" w:sz="12" w:space="0" w:color="1F497D" w:themeColor="text2"/>
            </w:tcBorders>
            <w:shd w:val="clear" w:color="auto" w:fill="auto"/>
          </w:tcPr>
          <w:p w:rsidR="00CA38A9" w:rsidRDefault="00CA38A9" w:rsidP="007B3E5C">
            <w:pPr>
              <w:keepNext/>
              <w:keepLines/>
              <w:jc w:val="center"/>
            </w:pPr>
          </w:p>
        </w:tc>
        <w:tc>
          <w:tcPr>
            <w:tcW w:w="770" w:type="pct"/>
            <w:tcBorders>
              <w:top w:val="single" w:sz="8" w:space="0" w:color="FFFFFF" w:themeColor="background1"/>
              <w:left w:val="single" w:sz="12" w:space="0" w:color="1F497D" w:themeColor="text2"/>
              <w:bottom w:val="single" w:sz="8" w:space="0" w:color="1F497D" w:themeColor="text2"/>
              <w:right w:val="single" w:sz="8" w:space="0" w:color="1F497D" w:themeColor="text2"/>
            </w:tcBorders>
            <w:shd w:val="clear" w:color="auto" w:fill="D9D9D9" w:themeFill="background1" w:themeFillShade="D9"/>
            <w:vAlign w:val="center"/>
          </w:tcPr>
          <w:p w:rsidR="00CA38A9" w:rsidRPr="007B3E5C" w:rsidRDefault="00CA38A9" w:rsidP="007B3E5C">
            <w:pPr>
              <w:keepNext/>
              <w:keepLines/>
              <w:jc w:val="center"/>
              <w:cnfStyle w:val="000000000000"/>
              <w:rPr>
                <w:b/>
                <w:i/>
                <w:color w:val="1F497D" w:themeColor="text2"/>
              </w:rPr>
            </w:pPr>
            <w:r w:rsidRPr="007B3E5C">
              <w:rPr>
                <w:b/>
                <w:i/>
                <w:color w:val="1F497D" w:themeColor="text2"/>
              </w:rPr>
              <w:t>Cohort Year</w:t>
            </w:r>
            <w:r w:rsidR="001B5650">
              <w:rPr>
                <w:b/>
                <w:i/>
                <w:color w:val="1F497D" w:themeColor="text2"/>
              </w:rPr>
              <w:t>*</w:t>
            </w:r>
            <w:r w:rsidRPr="007B3E5C">
              <w:rPr>
                <w:b/>
                <w:i/>
                <w:color w:val="1F497D" w:themeColor="text2"/>
              </w:rPr>
              <w:t xml:space="preserve"> (# of grantees)</w:t>
            </w:r>
          </w:p>
        </w:tc>
        <w:tc>
          <w:tcPr>
            <w:tcW w:w="863" w:type="pct"/>
            <w:tcBorders>
              <w:top w:val="single" w:sz="8" w:space="0" w:color="FFFFFF" w:themeColor="background1"/>
              <w:left w:val="single" w:sz="8" w:space="0" w:color="1F497D" w:themeColor="text2"/>
              <w:bottom w:val="single" w:sz="8" w:space="0" w:color="1F497D" w:themeColor="text2"/>
              <w:right w:val="single" w:sz="8" w:space="0" w:color="FFFFFF" w:themeColor="background1"/>
            </w:tcBorders>
            <w:shd w:val="clear" w:color="auto" w:fill="D9D9D9" w:themeFill="background1" w:themeFillShade="D9"/>
            <w:vAlign w:val="center"/>
          </w:tcPr>
          <w:p w:rsidR="00CA38A9" w:rsidRPr="007B3E5C" w:rsidRDefault="00CA38A9" w:rsidP="007B3E5C">
            <w:pPr>
              <w:keepNext/>
              <w:keepLines/>
              <w:jc w:val="center"/>
              <w:cnfStyle w:val="000000000000"/>
              <w:rPr>
                <w:i/>
              </w:rPr>
            </w:pPr>
            <w:r w:rsidRPr="007B3E5C">
              <w:rPr>
                <w:i/>
              </w:rPr>
              <w:t>2009 (25)</w:t>
            </w:r>
          </w:p>
          <w:p w:rsidR="00CA38A9" w:rsidRPr="007B3E5C" w:rsidRDefault="00CA38A9" w:rsidP="007B3E5C">
            <w:pPr>
              <w:keepNext/>
              <w:keepLines/>
              <w:jc w:val="center"/>
              <w:cnfStyle w:val="000000000000"/>
              <w:rPr>
                <w:i/>
              </w:rPr>
            </w:pPr>
            <w:r w:rsidRPr="007B3E5C">
              <w:rPr>
                <w:i/>
              </w:rPr>
              <w:t>2010 (23)</w:t>
            </w:r>
          </w:p>
        </w:tc>
        <w:tc>
          <w:tcPr>
            <w:tcW w:w="863" w:type="pct"/>
            <w:tcBorders>
              <w:top w:val="single" w:sz="8" w:space="0" w:color="FFFFFF" w:themeColor="background1"/>
              <w:left w:val="single" w:sz="8" w:space="0" w:color="FFFFFF" w:themeColor="background1"/>
              <w:bottom w:val="single" w:sz="8" w:space="0" w:color="1F497D" w:themeColor="text2"/>
              <w:right w:val="single" w:sz="8" w:space="0" w:color="FFFFFF" w:themeColor="background1"/>
            </w:tcBorders>
            <w:shd w:val="clear" w:color="auto" w:fill="D9D9D9" w:themeFill="background1" w:themeFillShade="D9"/>
            <w:vAlign w:val="center"/>
          </w:tcPr>
          <w:p w:rsidR="00CA38A9" w:rsidRPr="007B3E5C" w:rsidRDefault="00CA38A9" w:rsidP="007B3E5C">
            <w:pPr>
              <w:keepNext/>
              <w:keepLines/>
              <w:jc w:val="center"/>
              <w:cnfStyle w:val="000000000000"/>
              <w:rPr>
                <w:i/>
              </w:rPr>
            </w:pPr>
            <w:r w:rsidRPr="007B3E5C">
              <w:rPr>
                <w:i/>
              </w:rPr>
              <w:t>2011 (23)</w:t>
            </w:r>
          </w:p>
          <w:p w:rsidR="00CA38A9" w:rsidRPr="007B3E5C" w:rsidRDefault="00CA38A9" w:rsidP="007B3E5C">
            <w:pPr>
              <w:keepNext/>
              <w:keepLines/>
              <w:jc w:val="center"/>
              <w:cnfStyle w:val="000000000000"/>
              <w:rPr>
                <w:i/>
              </w:rPr>
            </w:pPr>
            <w:r w:rsidRPr="007B3E5C">
              <w:rPr>
                <w:i/>
              </w:rPr>
              <w:t>2012 (8)</w:t>
            </w:r>
          </w:p>
        </w:tc>
        <w:tc>
          <w:tcPr>
            <w:tcW w:w="863" w:type="pct"/>
            <w:tcBorders>
              <w:top w:val="single" w:sz="8" w:space="0" w:color="FFFFFF" w:themeColor="background1"/>
              <w:left w:val="single" w:sz="8" w:space="0" w:color="FFFFFF" w:themeColor="background1"/>
              <w:bottom w:val="single" w:sz="8" w:space="0" w:color="1F497D" w:themeColor="text2"/>
              <w:right w:val="single" w:sz="8" w:space="0" w:color="FFFFFF" w:themeColor="background1"/>
            </w:tcBorders>
            <w:shd w:val="clear" w:color="auto" w:fill="D9D9D9" w:themeFill="background1" w:themeFillShade="D9"/>
            <w:vAlign w:val="center"/>
          </w:tcPr>
          <w:p w:rsidR="00CA38A9" w:rsidRPr="007B3E5C" w:rsidRDefault="00CA38A9" w:rsidP="007B3E5C">
            <w:pPr>
              <w:keepNext/>
              <w:keepLines/>
              <w:jc w:val="center"/>
              <w:cnfStyle w:val="000000000000"/>
              <w:rPr>
                <w:i/>
              </w:rPr>
            </w:pPr>
            <w:r w:rsidRPr="007B3E5C">
              <w:rPr>
                <w:i/>
              </w:rPr>
              <w:t>2009 (43)</w:t>
            </w:r>
          </w:p>
          <w:p w:rsidR="00CA38A9" w:rsidRPr="007B3E5C" w:rsidRDefault="00CA38A9" w:rsidP="007B3E5C">
            <w:pPr>
              <w:keepNext/>
              <w:keepLines/>
              <w:jc w:val="center"/>
              <w:cnfStyle w:val="000000000000"/>
              <w:rPr>
                <w:i/>
              </w:rPr>
            </w:pPr>
            <w:r w:rsidRPr="007B3E5C">
              <w:rPr>
                <w:i/>
              </w:rPr>
              <w:t>2010 (5)</w:t>
            </w:r>
          </w:p>
        </w:tc>
        <w:tc>
          <w:tcPr>
            <w:tcW w:w="863" w:type="pct"/>
            <w:tcBorders>
              <w:top w:val="single" w:sz="8" w:space="0" w:color="FFFFFF" w:themeColor="background1"/>
              <w:left w:val="single" w:sz="8" w:space="0" w:color="FFFFFF" w:themeColor="background1"/>
              <w:bottom w:val="single" w:sz="8" w:space="0" w:color="1F497D" w:themeColor="text2"/>
            </w:tcBorders>
            <w:shd w:val="clear" w:color="auto" w:fill="D9D9D9" w:themeFill="background1" w:themeFillShade="D9"/>
            <w:vAlign w:val="center"/>
          </w:tcPr>
          <w:p w:rsidR="00CA38A9" w:rsidRPr="007B3E5C" w:rsidRDefault="00CA38A9" w:rsidP="007B3E5C">
            <w:pPr>
              <w:keepNext/>
              <w:keepLines/>
              <w:jc w:val="center"/>
              <w:cnfStyle w:val="000000000000"/>
              <w:rPr>
                <w:i/>
              </w:rPr>
            </w:pPr>
            <w:r w:rsidRPr="007B3E5C">
              <w:rPr>
                <w:i/>
              </w:rPr>
              <w:t xml:space="preserve">56 grantees (renewed annually) </w:t>
            </w:r>
          </w:p>
        </w:tc>
        <w:tc>
          <w:tcPr>
            <w:tcW w:w="598" w:type="pct"/>
            <w:tcBorders>
              <w:top w:val="single" w:sz="8" w:space="0" w:color="FFFFFF" w:themeColor="background1"/>
              <w:left w:val="single" w:sz="8" w:space="0" w:color="FFFFFF" w:themeColor="background1"/>
              <w:bottom w:val="single" w:sz="8" w:space="0" w:color="1F497D" w:themeColor="text2"/>
              <w:right w:val="single" w:sz="12" w:space="0" w:color="1F497D" w:themeColor="text2"/>
            </w:tcBorders>
            <w:shd w:val="clear" w:color="auto" w:fill="D9D9D9" w:themeFill="background1" w:themeFillShade="D9"/>
            <w:vAlign w:val="center"/>
          </w:tcPr>
          <w:p w:rsidR="00CA38A9" w:rsidRPr="007A547E" w:rsidRDefault="00CA38A9" w:rsidP="007B3E5C">
            <w:pPr>
              <w:keepNext/>
              <w:keepLines/>
              <w:jc w:val="center"/>
              <w:cnfStyle w:val="000000000000"/>
              <w:rPr>
                <w:b/>
                <w:bCs/>
                <w:iCs/>
              </w:rPr>
            </w:pPr>
            <w:r w:rsidRPr="007A547E">
              <w:rPr>
                <w:b/>
                <w:bCs/>
                <w:iCs/>
              </w:rPr>
              <w:t>183</w:t>
            </w:r>
          </w:p>
        </w:tc>
      </w:tr>
      <w:tr w:rsidR="007A547E" w:rsidTr="000B12AE">
        <w:trPr>
          <w:cnfStyle w:val="000000100000"/>
          <w:trHeight w:val="468"/>
          <w:jc w:val="center"/>
        </w:trPr>
        <w:tc>
          <w:tcPr>
            <w:cnfStyle w:val="001000000000"/>
            <w:tcW w:w="180" w:type="pct"/>
            <w:vMerge w:val="restart"/>
            <w:tcBorders>
              <w:top w:val="single" w:sz="12" w:space="0" w:color="1F497D" w:themeColor="text2"/>
              <w:left w:val="single" w:sz="12" w:space="0" w:color="1F497D" w:themeColor="text2"/>
              <w:bottom w:val="nil"/>
              <w:right w:val="single" w:sz="8" w:space="0" w:color="1F497D" w:themeColor="text2"/>
            </w:tcBorders>
            <w:shd w:val="clear" w:color="auto" w:fill="808080" w:themeFill="background1" w:themeFillShade="80"/>
            <w:textDirection w:val="btLr"/>
          </w:tcPr>
          <w:p w:rsidR="00CA38A9" w:rsidRPr="001755B2" w:rsidRDefault="00CA38A9" w:rsidP="007B3E5C">
            <w:pPr>
              <w:keepNext/>
              <w:keepLines/>
              <w:ind w:left="113" w:right="113"/>
              <w:jc w:val="center"/>
              <w:rPr>
                <w:i/>
                <w:iCs/>
                <w:color w:val="FFFFFF" w:themeColor="background1"/>
                <w:sz w:val="26"/>
                <w:szCs w:val="26"/>
              </w:rPr>
            </w:pPr>
            <w:r w:rsidRPr="001755B2">
              <w:rPr>
                <w:color w:val="FFFFFF" w:themeColor="background1"/>
                <w:sz w:val="26"/>
                <w:szCs w:val="26"/>
              </w:rPr>
              <w:t>DATA COLLECTION ACTIVITIES</w:t>
            </w:r>
          </w:p>
        </w:tc>
        <w:tc>
          <w:tcPr>
            <w:tcW w:w="770" w:type="pct"/>
            <w:tcBorders>
              <w:top w:val="single" w:sz="8" w:space="0" w:color="1F497D" w:themeColor="text2"/>
              <w:left w:val="single" w:sz="8" w:space="0" w:color="1F497D" w:themeColor="text2"/>
              <w:bottom w:val="single" w:sz="4" w:space="0" w:color="FFFFFF" w:themeColor="background1"/>
              <w:right w:val="single" w:sz="8" w:space="0" w:color="1F497D" w:themeColor="text2"/>
            </w:tcBorders>
            <w:shd w:val="clear" w:color="auto" w:fill="D9D9D9" w:themeFill="background1" w:themeFillShade="D9"/>
            <w:vAlign w:val="center"/>
          </w:tcPr>
          <w:p w:rsidR="00CA38A9" w:rsidRPr="007B3E5C" w:rsidRDefault="00CA38A9" w:rsidP="007B3E5C">
            <w:pPr>
              <w:keepNext/>
              <w:keepLines/>
              <w:jc w:val="center"/>
              <w:cnfStyle w:val="000000100000"/>
              <w:rPr>
                <w:b/>
                <w:i/>
                <w:iCs/>
                <w:color w:val="1F497D" w:themeColor="text2"/>
              </w:rPr>
            </w:pPr>
            <w:r w:rsidRPr="007B3E5C">
              <w:rPr>
                <w:b/>
                <w:color w:val="1F497D" w:themeColor="text2"/>
              </w:rPr>
              <w:t>PD Interview</w:t>
            </w:r>
          </w:p>
        </w:tc>
        <w:tc>
          <w:tcPr>
            <w:tcW w:w="863" w:type="pct"/>
            <w:tcBorders>
              <w:top w:val="single" w:sz="8" w:space="0" w:color="1F497D" w:themeColor="text2"/>
              <w:left w:val="single" w:sz="8" w:space="0" w:color="1F497D" w:themeColor="text2"/>
              <w:bottom w:val="nil"/>
              <w:right w:val="single" w:sz="8" w:space="0" w:color="FFFFFF" w:themeColor="background1"/>
            </w:tcBorders>
            <w:shd w:val="clear" w:color="auto" w:fill="F2F2F2" w:themeFill="background1" w:themeFillShade="F2"/>
            <w:vAlign w:val="center"/>
          </w:tcPr>
          <w:p w:rsidR="00CA38A9" w:rsidRPr="007B3E5C" w:rsidRDefault="00CA38A9" w:rsidP="007B3E5C">
            <w:pPr>
              <w:keepNext/>
              <w:keepLines/>
              <w:jc w:val="center"/>
              <w:cnfStyle w:val="000000100000"/>
            </w:pPr>
            <w:r w:rsidRPr="007B3E5C">
              <w:t>GBHI 2010 (23)</w:t>
            </w:r>
          </w:p>
        </w:tc>
        <w:tc>
          <w:tcPr>
            <w:tcW w:w="863" w:type="pct"/>
            <w:tcBorders>
              <w:top w:val="single" w:sz="8" w:space="0" w:color="1F497D" w:themeColor="text2"/>
              <w:left w:val="single" w:sz="8" w:space="0" w:color="FFFFFF" w:themeColor="background1"/>
              <w:bottom w:val="nil"/>
              <w:right w:val="single" w:sz="8" w:space="0" w:color="FFFFFF" w:themeColor="background1"/>
            </w:tcBorders>
            <w:shd w:val="clear" w:color="auto" w:fill="F2F2F2" w:themeFill="background1" w:themeFillShade="F2"/>
            <w:vAlign w:val="center"/>
          </w:tcPr>
          <w:p w:rsidR="00CA38A9" w:rsidRPr="007B3E5C" w:rsidRDefault="00CA38A9" w:rsidP="007B3E5C">
            <w:pPr>
              <w:keepNext/>
              <w:keepLines/>
              <w:jc w:val="center"/>
              <w:cnfStyle w:val="000000100000"/>
            </w:pPr>
            <w:r w:rsidRPr="007B3E5C">
              <w:t>All grantees (31)</w:t>
            </w:r>
          </w:p>
        </w:tc>
        <w:tc>
          <w:tcPr>
            <w:tcW w:w="863" w:type="pct"/>
            <w:tcBorders>
              <w:top w:val="single" w:sz="8" w:space="0" w:color="1F497D" w:themeColor="text2"/>
              <w:left w:val="single" w:sz="8" w:space="0" w:color="FFFFFF" w:themeColor="background1"/>
              <w:bottom w:val="nil"/>
              <w:right w:val="single" w:sz="8" w:space="0" w:color="FFFFFF" w:themeColor="background1"/>
            </w:tcBorders>
            <w:shd w:val="clear" w:color="auto" w:fill="F2F2F2" w:themeFill="background1" w:themeFillShade="F2"/>
            <w:vAlign w:val="center"/>
          </w:tcPr>
          <w:p w:rsidR="00CA38A9" w:rsidRPr="007B3E5C" w:rsidRDefault="00CA38A9" w:rsidP="007B3E5C">
            <w:pPr>
              <w:keepNext/>
              <w:keepLines/>
              <w:jc w:val="center"/>
              <w:cnfStyle w:val="000000100000"/>
            </w:pPr>
            <w:r w:rsidRPr="007B3E5C">
              <w:t>All grantees (48)</w:t>
            </w:r>
          </w:p>
        </w:tc>
        <w:tc>
          <w:tcPr>
            <w:tcW w:w="863" w:type="pct"/>
            <w:tcBorders>
              <w:top w:val="single" w:sz="8" w:space="0" w:color="1F497D" w:themeColor="text2"/>
              <w:left w:val="single" w:sz="8" w:space="0" w:color="FFFFFF" w:themeColor="background1"/>
              <w:bottom w:val="nil"/>
            </w:tcBorders>
            <w:shd w:val="clear" w:color="auto" w:fill="F2F2F2" w:themeFill="background1" w:themeFillShade="F2"/>
            <w:vAlign w:val="center"/>
          </w:tcPr>
          <w:p w:rsidR="00CA38A9" w:rsidRPr="007B3E5C" w:rsidRDefault="00CA38A9" w:rsidP="007B3E5C">
            <w:pPr>
              <w:keepNext/>
              <w:keepLines/>
              <w:jc w:val="center"/>
              <w:cnfStyle w:val="000000100000"/>
            </w:pPr>
            <w:r w:rsidRPr="007B3E5C">
              <w:t>All grantees (56)</w:t>
            </w:r>
          </w:p>
        </w:tc>
        <w:tc>
          <w:tcPr>
            <w:tcW w:w="598" w:type="pct"/>
            <w:tcBorders>
              <w:top w:val="single" w:sz="8" w:space="0" w:color="1F497D" w:themeColor="text2"/>
              <w:left w:val="single" w:sz="8" w:space="0" w:color="FFFFFF" w:themeColor="background1"/>
              <w:bottom w:val="nil"/>
              <w:right w:val="single" w:sz="12" w:space="0" w:color="1F497D" w:themeColor="text2"/>
            </w:tcBorders>
            <w:shd w:val="clear" w:color="auto" w:fill="F2F2F2" w:themeFill="background1" w:themeFillShade="F2"/>
            <w:vAlign w:val="center"/>
          </w:tcPr>
          <w:p w:rsidR="00CA38A9" w:rsidRPr="007A547E" w:rsidRDefault="00CA38A9" w:rsidP="007B3E5C">
            <w:pPr>
              <w:keepNext/>
              <w:keepLines/>
              <w:jc w:val="center"/>
              <w:cnfStyle w:val="000000100000"/>
              <w:rPr>
                <w:b/>
                <w:bCs/>
              </w:rPr>
            </w:pPr>
            <w:r w:rsidRPr="007A547E">
              <w:rPr>
                <w:b/>
                <w:bCs/>
              </w:rPr>
              <w:t>158</w:t>
            </w:r>
          </w:p>
        </w:tc>
      </w:tr>
      <w:tr w:rsidR="00CA38A9" w:rsidTr="000B12AE">
        <w:trPr>
          <w:trHeight w:val="558"/>
          <w:jc w:val="center"/>
        </w:trPr>
        <w:tc>
          <w:tcPr>
            <w:cnfStyle w:val="001000000000"/>
            <w:tcW w:w="180" w:type="pct"/>
            <w:vMerge/>
            <w:tcBorders>
              <w:top w:val="nil"/>
              <w:left w:val="single" w:sz="12" w:space="0" w:color="1F497D" w:themeColor="text2"/>
              <w:bottom w:val="nil"/>
              <w:right w:val="single" w:sz="8" w:space="0" w:color="1F497D" w:themeColor="text2"/>
            </w:tcBorders>
            <w:shd w:val="clear" w:color="auto" w:fill="808080" w:themeFill="background1" w:themeFillShade="80"/>
          </w:tcPr>
          <w:p w:rsidR="00CA38A9" w:rsidRDefault="00CA38A9" w:rsidP="007B3E5C">
            <w:pPr>
              <w:keepNext/>
              <w:keepLines/>
              <w:ind w:left="113" w:right="113"/>
              <w:jc w:val="center"/>
            </w:pPr>
          </w:p>
        </w:tc>
        <w:tc>
          <w:tcPr>
            <w:tcW w:w="770" w:type="pct"/>
            <w:tcBorders>
              <w:top w:val="single" w:sz="4" w:space="0" w:color="FFFFFF" w:themeColor="background1"/>
              <w:left w:val="single" w:sz="8" w:space="0" w:color="1F497D" w:themeColor="text2"/>
              <w:bottom w:val="single" w:sz="4" w:space="0" w:color="FFFFFF" w:themeColor="background1"/>
              <w:right w:val="single" w:sz="8" w:space="0" w:color="1F497D" w:themeColor="text2"/>
            </w:tcBorders>
            <w:shd w:val="clear" w:color="auto" w:fill="D9D9D9" w:themeFill="background1" w:themeFillShade="D9"/>
            <w:vAlign w:val="center"/>
          </w:tcPr>
          <w:p w:rsidR="00CA38A9" w:rsidRPr="007B3E5C" w:rsidRDefault="00CA38A9" w:rsidP="007B3E5C">
            <w:pPr>
              <w:keepNext/>
              <w:keepLines/>
              <w:jc w:val="center"/>
              <w:cnfStyle w:val="000000000000"/>
              <w:rPr>
                <w:b/>
                <w:color w:val="1F497D" w:themeColor="text2"/>
              </w:rPr>
            </w:pPr>
            <w:r w:rsidRPr="007B3E5C">
              <w:rPr>
                <w:b/>
                <w:color w:val="1F497D" w:themeColor="text2"/>
              </w:rPr>
              <w:t>Site Visits</w:t>
            </w:r>
          </w:p>
        </w:tc>
        <w:tc>
          <w:tcPr>
            <w:tcW w:w="863" w:type="pct"/>
            <w:tcBorders>
              <w:top w:val="nil"/>
              <w:left w:val="single" w:sz="8" w:space="0" w:color="1F497D" w:themeColor="text2"/>
              <w:bottom w:val="nil"/>
              <w:right w:val="single" w:sz="8" w:space="0" w:color="FFFFFF" w:themeColor="background1"/>
            </w:tcBorders>
          </w:tcPr>
          <w:p w:rsidR="00CA38A9" w:rsidRPr="007B3E5C" w:rsidRDefault="00CA38A9" w:rsidP="007A547E">
            <w:pPr>
              <w:keepNext/>
              <w:keepLines/>
              <w:spacing w:before="40" w:after="40"/>
              <w:jc w:val="center"/>
              <w:cnfStyle w:val="000000000000"/>
            </w:pPr>
            <w:r w:rsidRPr="007B3E5C">
              <w:t>4 to 5 grantees per year.</w:t>
            </w:r>
          </w:p>
          <w:p w:rsidR="00CA38A9" w:rsidRPr="007B3E5C" w:rsidRDefault="00CA38A9" w:rsidP="007A547E">
            <w:pPr>
              <w:keepNext/>
              <w:keepLines/>
              <w:spacing w:before="40" w:after="40"/>
              <w:jc w:val="center"/>
              <w:cnfStyle w:val="000000000000"/>
            </w:pPr>
          </w:p>
          <w:p w:rsidR="00CA38A9" w:rsidRPr="007B3E5C" w:rsidRDefault="00CA38A9" w:rsidP="007A547E">
            <w:pPr>
              <w:keepNext/>
              <w:keepLines/>
              <w:spacing w:before="40" w:after="40"/>
              <w:jc w:val="center"/>
              <w:cnfStyle w:val="000000000000"/>
              <w:rPr>
                <w:i/>
              </w:rPr>
            </w:pPr>
            <w:r w:rsidRPr="007B3E5C">
              <w:rPr>
                <w:i/>
              </w:rPr>
              <w:t>Approximately 14 grantees will be selected through a stratified random sample over 3 years.</w:t>
            </w:r>
          </w:p>
        </w:tc>
        <w:tc>
          <w:tcPr>
            <w:tcW w:w="863" w:type="pct"/>
            <w:tcBorders>
              <w:top w:val="nil"/>
              <w:left w:val="single" w:sz="8" w:space="0" w:color="FFFFFF" w:themeColor="background1"/>
              <w:bottom w:val="nil"/>
              <w:right w:val="single" w:sz="8" w:space="0" w:color="FFFFFF" w:themeColor="background1"/>
            </w:tcBorders>
          </w:tcPr>
          <w:p w:rsidR="00CA38A9" w:rsidRPr="007B3E5C" w:rsidRDefault="00CA38A9" w:rsidP="007A547E">
            <w:pPr>
              <w:keepNext/>
              <w:keepLines/>
              <w:spacing w:before="40" w:after="40"/>
              <w:jc w:val="center"/>
              <w:cnfStyle w:val="000000000000"/>
            </w:pPr>
            <w:r w:rsidRPr="007B3E5C">
              <w:t>Approximately 6 grantees per year.</w:t>
            </w:r>
          </w:p>
          <w:p w:rsidR="00B765C1" w:rsidRDefault="00B765C1" w:rsidP="007A547E">
            <w:pPr>
              <w:keepNext/>
              <w:keepLines/>
              <w:spacing w:before="40" w:after="40"/>
              <w:jc w:val="center"/>
              <w:cnfStyle w:val="000000000000"/>
              <w:rPr>
                <w:i/>
              </w:rPr>
            </w:pPr>
          </w:p>
          <w:p w:rsidR="00CA38A9" w:rsidRPr="007B3E5C" w:rsidRDefault="00CA38A9" w:rsidP="007A547E">
            <w:pPr>
              <w:keepNext/>
              <w:keepLines/>
              <w:spacing w:before="40" w:after="40"/>
              <w:jc w:val="center"/>
              <w:cnfStyle w:val="000000000000"/>
              <w:rPr>
                <w:i/>
              </w:rPr>
            </w:pPr>
            <w:r w:rsidRPr="007B3E5C">
              <w:rPr>
                <w:i/>
              </w:rPr>
              <w:t>Approximately 18 grantees will be selected through a stratified random sample over 3 years.</w:t>
            </w:r>
          </w:p>
        </w:tc>
        <w:tc>
          <w:tcPr>
            <w:tcW w:w="863" w:type="pct"/>
            <w:tcBorders>
              <w:top w:val="nil"/>
              <w:left w:val="single" w:sz="8" w:space="0" w:color="FFFFFF" w:themeColor="background1"/>
              <w:bottom w:val="nil"/>
              <w:right w:val="single" w:sz="8" w:space="0" w:color="FFFFFF" w:themeColor="background1"/>
            </w:tcBorders>
          </w:tcPr>
          <w:p w:rsidR="00CA38A9" w:rsidRPr="007B3E5C" w:rsidRDefault="00CA38A9" w:rsidP="007A547E">
            <w:pPr>
              <w:keepNext/>
              <w:keepLines/>
              <w:spacing w:before="40" w:after="40"/>
              <w:jc w:val="center"/>
              <w:cnfStyle w:val="000000000000"/>
            </w:pPr>
            <w:r w:rsidRPr="007B3E5C">
              <w:t>Approximately 9 grantees per year.</w:t>
            </w:r>
          </w:p>
          <w:p w:rsidR="00B765C1" w:rsidRDefault="00B765C1" w:rsidP="007A547E">
            <w:pPr>
              <w:keepNext/>
              <w:keepLines/>
              <w:spacing w:before="40" w:after="40"/>
              <w:jc w:val="center"/>
              <w:cnfStyle w:val="000000000000"/>
              <w:rPr>
                <w:i/>
              </w:rPr>
            </w:pPr>
          </w:p>
          <w:p w:rsidR="00CA38A9" w:rsidRPr="007B3E5C" w:rsidRDefault="00CA38A9" w:rsidP="007A547E">
            <w:pPr>
              <w:keepNext/>
              <w:keepLines/>
              <w:spacing w:before="40" w:after="40"/>
              <w:jc w:val="center"/>
              <w:cnfStyle w:val="000000000000"/>
              <w:rPr>
                <w:i/>
              </w:rPr>
            </w:pPr>
            <w:r w:rsidRPr="007B3E5C">
              <w:rPr>
                <w:i/>
              </w:rPr>
              <w:t>Approximately 28 grantees will be selected through a stratified random sample over 3 years.</w:t>
            </w:r>
          </w:p>
        </w:tc>
        <w:tc>
          <w:tcPr>
            <w:tcW w:w="863" w:type="pct"/>
            <w:tcBorders>
              <w:top w:val="nil"/>
              <w:left w:val="single" w:sz="8" w:space="0" w:color="FFFFFF" w:themeColor="background1"/>
              <w:bottom w:val="nil"/>
            </w:tcBorders>
          </w:tcPr>
          <w:p w:rsidR="00CA38A9" w:rsidRPr="007B3E5C" w:rsidRDefault="00CA38A9" w:rsidP="007A547E">
            <w:pPr>
              <w:keepNext/>
              <w:keepLines/>
              <w:spacing w:before="40" w:after="40"/>
              <w:jc w:val="center"/>
              <w:cnfStyle w:val="000000000000"/>
            </w:pPr>
            <w:r w:rsidRPr="007B3E5C">
              <w:t xml:space="preserve">5 grantees per year. </w:t>
            </w:r>
          </w:p>
          <w:p w:rsidR="00CA38A9" w:rsidRPr="007B3E5C" w:rsidRDefault="00CA38A9" w:rsidP="007A547E">
            <w:pPr>
              <w:keepNext/>
              <w:keepLines/>
              <w:spacing w:before="40" w:after="40"/>
              <w:jc w:val="center"/>
              <w:cnfStyle w:val="000000000000"/>
              <w:rPr>
                <w:i/>
              </w:rPr>
            </w:pPr>
          </w:p>
          <w:p w:rsidR="00CA38A9" w:rsidRPr="007B3E5C" w:rsidRDefault="00CA38A9" w:rsidP="007A547E">
            <w:pPr>
              <w:keepNext/>
              <w:keepLines/>
              <w:spacing w:before="40" w:after="40"/>
              <w:jc w:val="center"/>
              <w:cnfStyle w:val="000000000000"/>
              <w:rPr>
                <w:i/>
              </w:rPr>
            </w:pPr>
            <w:r w:rsidRPr="007B3E5C">
              <w:rPr>
                <w:i/>
              </w:rPr>
              <w:t>15 grantees will be selected through a stratified random sample over 3 years.</w:t>
            </w:r>
          </w:p>
        </w:tc>
        <w:tc>
          <w:tcPr>
            <w:tcW w:w="598" w:type="pct"/>
            <w:tcBorders>
              <w:top w:val="nil"/>
              <w:left w:val="single" w:sz="8" w:space="0" w:color="FFFFFF" w:themeColor="background1"/>
              <w:bottom w:val="nil"/>
              <w:right w:val="single" w:sz="12" w:space="0" w:color="1F497D" w:themeColor="text2"/>
            </w:tcBorders>
          </w:tcPr>
          <w:p w:rsidR="00CA38A9" w:rsidRPr="007B3E5C" w:rsidRDefault="00CA38A9" w:rsidP="007A547E">
            <w:pPr>
              <w:keepNext/>
              <w:keepLines/>
              <w:spacing w:before="40" w:after="40"/>
              <w:jc w:val="center"/>
              <w:cnfStyle w:val="000000000000"/>
            </w:pPr>
            <w:r w:rsidRPr="007B3E5C">
              <w:t xml:space="preserve">25 site visits per year for 3 years. </w:t>
            </w:r>
          </w:p>
          <w:p w:rsidR="00CA38A9" w:rsidRPr="007B3E5C" w:rsidRDefault="00CA38A9" w:rsidP="007A547E">
            <w:pPr>
              <w:keepNext/>
              <w:keepLines/>
              <w:spacing w:before="40" w:after="40"/>
              <w:jc w:val="center"/>
              <w:cnfStyle w:val="000000000000"/>
            </w:pPr>
          </w:p>
          <w:p w:rsidR="00CA38A9" w:rsidRPr="007A547E" w:rsidRDefault="00CA38A9" w:rsidP="007A547E">
            <w:pPr>
              <w:keepNext/>
              <w:keepLines/>
              <w:spacing w:before="40" w:after="40"/>
              <w:jc w:val="center"/>
              <w:cnfStyle w:val="000000000000"/>
              <w:rPr>
                <w:b/>
                <w:bCs/>
              </w:rPr>
            </w:pPr>
            <w:r w:rsidRPr="007A547E">
              <w:rPr>
                <w:b/>
                <w:bCs/>
              </w:rPr>
              <w:t>75 site visits total.</w:t>
            </w:r>
          </w:p>
        </w:tc>
      </w:tr>
      <w:tr w:rsidR="007A547E" w:rsidTr="000B12AE">
        <w:trPr>
          <w:cnfStyle w:val="000000100000"/>
          <w:trHeight w:val="747"/>
          <w:jc w:val="center"/>
        </w:trPr>
        <w:tc>
          <w:tcPr>
            <w:cnfStyle w:val="001000000000"/>
            <w:tcW w:w="180" w:type="pct"/>
            <w:vMerge/>
            <w:tcBorders>
              <w:top w:val="nil"/>
              <w:left w:val="single" w:sz="12" w:space="0" w:color="1F497D" w:themeColor="text2"/>
              <w:bottom w:val="nil"/>
              <w:right w:val="single" w:sz="8" w:space="0" w:color="1F497D" w:themeColor="text2"/>
            </w:tcBorders>
            <w:shd w:val="clear" w:color="auto" w:fill="808080" w:themeFill="background1" w:themeFillShade="80"/>
          </w:tcPr>
          <w:p w:rsidR="00CA38A9" w:rsidRDefault="00CA38A9" w:rsidP="007B3E5C">
            <w:pPr>
              <w:keepNext/>
              <w:keepLines/>
              <w:ind w:left="113" w:right="113"/>
              <w:jc w:val="center"/>
            </w:pPr>
          </w:p>
        </w:tc>
        <w:tc>
          <w:tcPr>
            <w:tcW w:w="770" w:type="pct"/>
            <w:tcBorders>
              <w:top w:val="single" w:sz="4" w:space="0" w:color="FFFFFF" w:themeColor="background1"/>
              <w:left w:val="single" w:sz="8" w:space="0" w:color="1F497D" w:themeColor="text2"/>
              <w:bottom w:val="single" w:sz="4" w:space="0" w:color="FFFFFF" w:themeColor="background1"/>
              <w:right w:val="single" w:sz="8" w:space="0" w:color="1F497D" w:themeColor="text2"/>
            </w:tcBorders>
            <w:shd w:val="clear" w:color="auto" w:fill="D9D9D9" w:themeFill="background1" w:themeFillShade="D9"/>
            <w:vAlign w:val="center"/>
          </w:tcPr>
          <w:p w:rsidR="00CA38A9" w:rsidRPr="007B3E5C" w:rsidRDefault="00CA38A9" w:rsidP="007B3E5C">
            <w:pPr>
              <w:keepNext/>
              <w:keepLines/>
              <w:jc w:val="center"/>
              <w:cnfStyle w:val="000000100000"/>
              <w:rPr>
                <w:b/>
                <w:color w:val="1F497D" w:themeColor="text2"/>
              </w:rPr>
            </w:pPr>
            <w:r w:rsidRPr="007B3E5C">
              <w:rPr>
                <w:b/>
                <w:color w:val="1F497D" w:themeColor="text2"/>
              </w:rPr>
              <w:t>EBP Self-Assessment Part 1</w:t>
            </w:r>
          </w:p>
        </w:tc>
        <w:tc>
          <w:tcPr>
            <w:tcW w:w="863" w:type="pct"/>
            <w:tcBorders>
              <w:top w:val="nil"/>
              <w:left w:val="single" w:sz="8" w:space="0" w:color="1F497D" w:themeColor="text2"/>
              <w:bottom w:val="nil"/>
              <w:right w:val="single" w:sz="8" w:space="0" w:color="FFFFFF" w:themeColor="background1"/>
            </w:tcBorders>
            <w:shd w:val="clear" w:color="auto" w:fill="F2F2F2" w:themeFill="background1" w:themeFillShade="F2"/>
            <w:vAlign w:val="center"/>
          </w:tcPr>
          <w:p w:rsidR="00CA38A9" w:rsidRPr="007B3E5C" w:rsidRDefault="00CA38A9" w:rsidP="007B3E5C">
            <w:pPr>
              <w:keepNext/>
              <w:keepLines/>
              <w:jc w:val="center"/>
              <w:cnfStyle w:val="000000100000"/>
            </w:pPr>
            <w:r w:rsidRPr="007B3E5C">
              <w:t>All grantees (48)</w:t>
            </w:r>
          </w:p>
        </w:tc>
        <w:tc>
          <w:tcPr>
            <w:tcW w:w="863" w:type="pct"/>
            <w:tcBorders>
              <w:top w:val="nil"/>
              <w:left w:val="single" w:sz="8" w:space="0" w:color="FFFFFF" w:themeColor="background1"/>
              <w:bottom w:val="nil"/>
              <w:right w:val="single" w:sz="8" w:space="0" w:color="FFFFFF" w:themeColor="background1"/>
            </w:tcBorders>
            <w:shd w:val="clear" w:color="auto" w:fill="F2F2F2" w:themeFill="background1" w:themeFillShade="F2"/>
            <w:vAlign w:val="center"/>
          </w:tcPr>
          <w:p w:rsidR="00CA38A9" w:rsidRPr="007B3E5C" w:rsidRDefault="00CA38A9" w:rsidP="007B3E5C">
            <w:pPr>
              <w:keepNext/>
              <w:keepLines/>
              <w:jc w:val="center"/>
              <w:cnfStyle w:val="000000100000"/>
            </w:pPr>
            <w:r w:rsidRPr="007B3E5C">
              <w:t>All grantees (31)</w:t>
            </w:r>
          </w:p>
        </w:tc>
        <w:tc>
          <w:tcPr>
            <w:tcW w:w="863" w:type="pct"/>
            <w:tcBorders>
              <w:top w:val="nil"/>
              <w:left w:val="single" w:sz="8" w:space="0" w:color="FFFFFF" w:themeColor="background1"/>
              <w:bottom w:val="nil"/>
              <w:right w:val="single" w:sz="8" w:space="0" w:color="FFFFFF" w:themeColor="background1"/>
            </w:tcBorders>
            <w:shd w:val="clear" w:color="auto" w:fill="F2F2F2" w:themeFill="background1" w:themeFillShade="F2"/>
            <w:vAlign w:val="center"/>
          </w:tcPr>
          <w:p w:rsidR="00CA38A9" w:rsidRPr="007B3E5C" w:rsidRDefault="00CA38A9" w:rsidP="007B3E5C">
            <w:pPr>
              <w:keepNext/>
              <w:keepLines/>
              <w:jc w:val="center"/>
              <w:cnfStyle w:val="000000100000"/>
            </w:pPr>
            <w:r w:rsidRPr="007B3E5C">
              <w:t>All grantees (48)</w:t>
            </w:r>
          </w:p>
        </w:tc>
        <w:tc>
          <w:tcPr>
            <w:tcW w:w="863" w:type="pct"/>
            <w:tcBorders>
              <w:top w:val="nil"/>
              <w:left w:val="single" w:sz="8" w:space="0" w:color="FFFFFF" w:themeColor="background1"/>
              <w:bottom w:val="nil"/>
            </w:tcBorders>
            <w:shd w:val="clear" w:color="auto" w:fill="F2F2F2" w:themeFill="background1" w:themeFillShade="F2"/>
            <w:vAlign w:val="center"/>
          </w:tcPr>
          <w:p w:rsidR="00CA38A9" w:rsidRPr="007B3E5C" w:rsidRDefault="00CA38A9" w:rsidP="007B3E5C">
            <w:pPr>
              <w:keepNext/>
              <w:keepLines/>
              <w:jc w:val="center"/>
              <w:cnfStyle w:val="000000100000"/>
            </w:pPr>
            <w:r w:rsidRPr="007B3E5C">
              <w:t>NA</w:t>
            </w:r>
          </w:p>
        </w:tc>
        <w:tc>
          <w:tcPr>
            <w:tcW w:w="598" w:type="pct"/>
            <w:tcBorders>
              <w:top w:val="nil"/>
              <w:left w:val="single" w:sz="8" w:space="0" w:color="FFFFFF" w:themeColor="background1"/>
              <w:bottom w:val="nil"/>
              <w:right w:val="single" w:sz="12" w:space="0" w:color="1F497D" w:themeColor="text2"/>
            </w:tcBorders>
            <w:shd w:val="clear" w:color="auto" w:fill="F2F2F2" w:themeFill="background1" w:themeFillShade="F2"/>
            <w:vAlign w:val="center"/>
          </w:tcPr>
          <w:p w:rsidR="00CA38A9" w:rsidRPr="007A547E" w:rsidRDefault="00CA38A9" w:rsidP="007B3E5C">
            <w:pPr>
              <w:keepNext/>
              <w:keepLines/>
              <w:jc w:val="center"/>
              <w:cnfStyle w:val="000000100000"/>
              <w:rPr>
                <w:b/>
                <w:bCs/>
              </w:rPr>
            </w:pPr>
            <w:r w:rsidRPr="007A547E">
              <w:rPr>
                <w:b/>
                <w:bCs/>
              </w:rPr>
              <w:t>127</w:t>
            </w:r>
          </w:p>
        </w:tc>
      </w:tr>
      <w:tr w:rsidR="00CA38A9" w:rsidTr="000B12AE">
        <w:trPr>
          <w:trHeight w:val="621"/>
          <w:jc w:val="center"/>
        </w:trPr>
        <w:tc>
          <w:tcPr>
            <w:cnfStyle w:val="001000000000"/>
            <w:tcW w:w="180" w:type="pct"/>
            <w:vMerge/>
            <w:tcBorders>
              <w:top w:val="nil"/>
              <w:left w:val="single" w:sz="12" w:space="0" w:color="1F497D" w:themeColor="text2"/>
              <w:bottom w:val="nil"/>
              <w:right w:val="single" w:sz="8" w:space="0" w:color="1F497D" w:themeColor="text2"/>
            </w:tcBorders>
            <w:shd w:val="clear" w:color="auto" w:fill="808080" w:themeFill="background1" w:themeFillShade="80"/>
            <w:textDirection w:val="btLr"/>
          </w:tcPr>
          <w:p w:rsidR="00CA38A9" w:rsidRPr="001A250F" w:rsidRDefault="00CA38A9" w:rsidP="007B3E5C">
            <w:pPr>
              <w:keepNext/>
              <w:keepLines/>
              <w:ind w:left="113" w:right="113"/>
              <w:jc w:val="center"/>
            </w:pPr>
          </w:p>
        </w:tc>
        <w:tc>
          <w:tcPr>
            <w:tcW w:w="770" w:type="pct"/>
            <w:tcBorders>
              <w:top w:val="single" w:sz="4" w:space="0" w:color="FFFFFF" w:themeColor="background1"/>
              <w:left w:val="single" w:sz="8" w:space="0" w:color="1F497D" w:themeColor="text2"/>
              <w:bottom w:val="single" w:sz="4" w:space="0" w:color="FFFFFF" w:themeColor="background1"/>
              <w:right w:val="single" w:sz="8" w:space="0" w:color="1F497D" w:themeColor="text2"/>
            </w:tcBorders>
            <w:shd w:val="clear" w:color="auto" w:fill="D9D9D9" w:themeFill="background1" w:themeFillShade="D9"/>
            <w:vAlign w:val="center"/>
          </w:tcPr>
          <w:p w:rsidR="00CA38A9" w:rsidRPr="007B3E5C" w:rsidRDefault="00CA38A9" w:rsidP="007B3E5C">
            <w:pPr>
              <w:keepNext/>
              <w:keepLines/>
              <w:jc w:val="center"/>
              <w:cnfStyle w:val="000000000000"/>
              <w:rPr>
                <w:b/>
                <w:color w:val="1F497D" w:themeColor="text2"/>
              </w:rPr>
            </w:pPr>
            <w:r w:rsidRPr="007B3E5C">
              <w:rPr>
                <w:b/>
                <w:color w:val="1F497D" w:themeColor="text2"/>
              </w:rPr>
              <w:t>EBP Self-Assessment Part 2</w:t>
            </w:r>
          </w:p>
        </w:tc>
        <w:tc>
          <w:tcPr>
            <w:tcW w:w="863" w:type="pct"/>
            <w:tcBorders>
              <w:top w:val="nil"/>
              <w:left w:val="single" w:sz="8" w:space="0" w:color="1F497D" w:themeColor="text2"/>
              <w:right w:val="single" w:sz="8" w:space="0" w:color="FFFFFF" w:themeColor="background1"/>
            </w:tcBorders>
          </w:tcPr>
          <w:p w:rsidR="00CA38A9" w:rsidRPr="007B3E5C" w:rsidRDefault="00CA38A9" w:rsidP="007A547E">
            <w:pPr>
              <w:keepNext/>
              <w:keepLines/>
              <w:spacing w:before="40" w:after="40"/>
              <w:jc w:val="center"/>
              <w:cnfStyle w:val="000000000000"/>
              <w:rPr>
                <w:bCs/>
              </w:rPr>
            </w:pPr>
            <w:r w:rsidRPr="007B3E5C">
              <w:t xml:space="preserve">All grantees </w:t>
            </w:r>
            <w:r w:rsidRPr="007B3E5C">
              <w:rPr>
                <w:bCs/>
              </w:rPr>
              <w:t>implementing at least one of the 5 EBPs selected for an in-depth assessment.</w:t>
            </w:r>
          </w:p>
          <w:p w:rsidR="00CA38A9" w:rsidRPr="007B3E5C" w:rsidRDefault="00CA38A9" w:rsidP="007A547E">
            <w:pPr>
              <w:keepNext/>
              <w:keepLines/>
              <w:spacing w:before="40" w:after="40"/>
              <w:jc w:val="center"/>
              <w:cnfStyle w:val="000000000000"/>
              <w:rPr>
                <w:i/>
              </w:rPr>
            </w:pPr>
            <w:r w:rsidRPr="007B3E5C">
              <w:rPr>
                <w:bCs/>
                <w:i/>
              </w:rPr>
              <w:t>Approximately 22 grantees.</w:t>
            </w:r>
          </w:p>
        </w:tc>
        <w:tc>
          <w:tcPr>
            <w:tcW w:w="863" w:type="pct"/>
            <w:tcBorders>
              <w:top w:val="nil"/>
              <w:left w:val="single" w:sz="8" w:space="0" w:color="FFFFFF" w:themeColor="background1"/>
              <w:right w:val="single" w:sz="8" w:space="0" w:color="FFFFFF" w:themeColor="background1"/>
            </w:tcBorders>
          </w:tcPr>
          <w:p w:rsidR="00CA38A9" w:rsidRPr="007B3E5C" w:rsidRDefault="00CA38A9" w:rsidP="007A547E">
            <w:pPr>
              <w:keepNext/>
              <w:keepLines/>
              <w:spacing w:before="40" w:after="40"/>
              <w:jc w:val="center"/>
              <w:cnfStyle w:val="000000000000"/>
              <w:rPr>
                <w:bCs/>
              </w:rPr>
            </w:pPr>
            <w:r w:rsidRPr="007B3E5C">
              <w:t xml:space="preserve">All grantees </w:t>
            </w:r>
            <w:r w:rsidRPr="007B3E5C">
              <w:rPr>
                <w:bCs/>
              </w:rPr>
              <w:t>implementing at least one of the 5 EBPs selected for an in-depth assessment.</w:t>
            </w:r>
          </w:p>
          <w:p w:rsidR="00CA38A9" w:rsidRPr="007B3E5C" w:rsidRDefault="00CA38A9" w:rsidP="007A547E">
            <w:pPr>
              <w:keepNext/>
              <w:keepLines/>
              <w:spacing w:before="40" w:after="40"/>
              <w:jc w:val="center"/>
              <w:cnfStyle w:val="000000000000"/>
              <w:rPr>
                <w:i/>
              </w:rPr>
            </w:pPr>
            <w:r w:rsidRPr="007B3E5C">
              <w:rPr>
                <w:bCs/>
                <w:i/>
              </w:rPr>
              <w:t>Approximately 25 grantees.</w:t>
            </w:r>
          </w:p>
        </w:tc>
        <w:tc>
          <w:tcPr>
            <w:tcW w:w="863" w:type="pct"/>
            <w:tcBorders>
              <w:top w:val="nil"/>
              <w:left w:val="single" w:sz="8" w:space="0" w:color="FFFFFF" w:themeColor="background1"/>
              <w:right w:val="single" w:sz="8" w:space="0" w:color="FFFFFF" w:themeColor="background1"/>
            </w:tcBorders>
          </w:tcPr>
          <w:p w:rsidR="00CA38A9" w:rsidRPr="007B3E5C" w:rsidRDefault="00CA38A9" w:rsidP="007A547E">
            <w:pPr>
              <w:keepNext/>
              <w:keepLines/>
              <w:spacing w:before="40" w:after="40"/>
              <w:jc w:val="center"/>
              <w:cnfStyle w:val="000000000000"/>
              <w:rPr>
                <w:bCs/>
              </w:rPr>
            </w:pPr>
            <w:r w:rsidRPr="007B3E5C">
              <w:t xml:space="preserve">All grantees </w:t>
            </w:r>
            <w:r w:rsidRPr="007B3E5C">
              <w:rPr>
                <w:bCs/>
              </w:rPr>
              <w:t>implementing at least one of the 5 EBPs selected for an in-depth assessment.</w:t>
            </w:r>
          </w:p>
          <w:p w:rsidR="00CA38A9" w:rsidRPr="007B3E5C" w:rsidRDefault="00CA38A9" w:rsidP="007A547E">
            <w:pPr>
              <w:keepNext/>
              <w:keepLines/>
              <w:spacing w:before="40" w:after="40"/>
              <w:jc w:val="center"/>
              <w:cnfStyle w:val="000000000000"/>
              <w:rPr>
                <w:i/>
              </w:rPr>
            </w:pPr>
            <w:r w:rsidRPr="007B3E5C">
              <w:rPr>
                <w:bCs/>
                <w:i/>
              </w:rPr>
              <w:t>Approximately 40 grantees.</w:t>
            </w:r>
          </w:p>
        </w:tc>
        <w:tc>
          <w:tcPr>
            <w:tcW w:w="863" w:type="pct"/>
            <w:tcBorders>
              <w:top w:val="nil"/>
              <w:left w:val="single" w:sz="8" w:space="0" w:color="FFFFFF" w:themeColor="background1"/>
            </w:tcBorders>
            <w:vAlign w:val="center"/>
          </w:tcPr>
          <w:p w:rsidR="00CA38A9" w:rsidRPr="007B3E5C" w:rsidRDefault="00CA38A9" w:rsidP="007B3E5C">
            <w:pPr>
              <w:keepNext/>
              <w:keepLines/>
              <w:jc w:val="center"/>
              <w:cnfStyle w:val="000000000000"/>
            </w:pPr>
            <w:r w:rsidRPr="007B3E5C">
              <w:t>NA</w:t>
            </w:r>
          </w:p>
        </w:tc>
        <w:tc>
          <w:tcPr>
            <w:tcW w:w="598" w:type="pct"/>
            <w:tcBorders>
              <w:top w:val="nil"/>
              <w:left w:val="single" w:sz="8" w:space="0" w:color="FFFFFF" w:themeColor="background1"/>
              <w:right w:val="single" w:sz="12" w:space="0" w:color="1F497D" w:themeColor="text2"/>
            </w:tcBorders>
            <w:vAlign w:val="center"/>
          </w:tcPr>
          <w:p w:rsidR="00CA38A9" w:rsidRPr="007A547E" w:rsidRDefault="00CA38A9" w:rsidP="007B3E5C">
            <w:pPr>
              <w:keepNext/>
              <w:keepLines/>
              <w:jc w:val="center"/>
              <w:cnfStyle w:val="000000000000"/>
              <w:rPr>
                <w:b/>
                <w:bCs/>
              </w:rPr>
            </w:pPr>
            <w:r w:rsidRPr="007A547E">
              <w:rPr>
                <w:b/>
                <w:bCs/>
              </w:rPr>
              <w:t>87</w:t>
            </w:r>
          </w:p>
        </w:tc>
      </w:tr>
      <w:tr w:rsidR="007A547E" w:rsidTr="000B12AE">
        <w:trPr>
          <w:cnfStyle w:val="000000100000"/>
          <w:trHeight w:val="1305"/>
          <w:jc w:val="center"/>
        </w:trPr>
        <w:tc>
          <w:tcPr>
            <w:cnfStyle w:val="001000000000"/>
            <w:tcW w:w="180" w:type="pct"/>
            <w:vMerge/>
            <w:tcBorders>
              <w:top w:val="nil"/>
              <w:left w:val="single" w:sz="12" w:space="0" w:color="1F497D" w:themeColor="text2"/>
              <w:bottom w:val="single" w:sz="12" w:space="0" w:color="1F497D" w:themeColor="text2"/>
              <w:right w:val="single" w:sz="8" w:space="0" w:color="1F497D" w:themeColor="text2"/>
            </w:tcBorders>
            <w:shd w:val="clear" w:color="auto" w:fill="808080" w:themeFill="background1" w:themeFillShade="80"/>
          </w:tcPr>
          <w:p w:rsidR="00CA38A9" w:rsidRDefault="00CA38A9" w:rsidP="00430F6B">
            <w:pPr>
              <w:jc w:val="center"/>
            </w:pPr>
          </w:p>
        </w:tc>
        <w:tc>
          <w:tcPr>
            <w:tcW w:w="770" w:type="pct"/>
            <w:tcBorders>
              <w:top w:val="single" w:sz="4" w:space="0" w:color="FFFFFF" w:themeColor="background1"/>
              <w:left w:val="single" w:sz="8" w:space="0" w:color="1F497D" w:themeColor="text2"/>
              <w:bottom w:val="single" w:sz="12" w:space="0" w:color="1F497D" w:themeColor="text2"/>
              <w:right w:val="single" w:sz="8" w:space="0" w:color="1F497D" w:themeColor="text2"/>
            </w:tcBorders>
            <w:shd w:val="clear" w:color="auto" w:fill="D9D9D9" w:themeFill="background1" w:themeFillShade="D9"/>
            <w:vAlign w:val="center"/>
          </w:tcPr>
          <w:p w:rsidR="00CA38A9" w:rsidRPr="007B3E5C" w:rsidRDefault="00CA38A9" w:rsidP="00430F6B">
            <w:pPr>
              <w:jc w:val="center"/>
              <w:cnfStyle w:val="000000100000"/>
              <w:rPr>
                <w:b/>
                <w:color w:val="1F497D" w:themeColor="text2"/>
              </w:rPr>
            </w:pPr>
            <w:r w:rsidRPr="007B3E5C">
              <w:rPr>
                <w:b/>
                <w:color w:val="1F497D" w:themeColor="text2"/>
              </w:rPr>
              <w:t>PSH Self-Assessment</w:t>
            </w:r>
          </w:p>
        </w:tc>
        <w:tc>
          <w:tcPr>
            <w:tcW w:w="863" w:type="pct"/>
            <w:tcBorders>
              <w:left w:val="single" w:sz="8" w:space="0" w:color="1F497D" w:themeColor="text2"/>
              <w:bottom w:val="single" w:sz="12" w:space="0" w:color="1F497D" w:themeColor="text2"/>
              <w:right w:val="single" w:sz="8" w:space="0" w:color="FFFFFF" w:themeColor="background1"/>
            </w:tcBorders>
            <w:shd w:val="clear" w:color="auto" w:fill="F2F2F2" w:themeFill="background1" w:themeFillShade="F2"/>
          </w:tcPr>
          <w:p w:rsidR="00CA38A9" w:rsidRPr="007B3E5C" w:rsidRDefault="00CA38A9" w:rsidP="007A547E">
            <w:pPr>
              <w:spacing w:before="40" w:after="40"/>
              <w:jc w:val="center"/>
              <w:cnfStyle w:val="000000100000"/>
              <w:rPr>
                <w:bCs/>
              </w:rPr>
            </w:pPr>
            <w:r w:rsidRPr="007B3E5C">
              <w:t xml:space="preserve">All grantees </w:t>
            </w:r>
            <w:r w:rsidRPr="007B3E5C">
              <w:rPr>
                <w:bCs/>
              </w:rPr>
              <w:t>implementing a PSH model.</w:t>
            </w:r>
          </w:p>
          <w:p w:rsidR="00CA38A9" w:rsidRPr="007B3E5C" w:rsidRDefault="00CA38A9" w:rsidP="007A547E">
            <w:pPr>
              <w:spacing w:before="40" w:after="40"/>
              <w:jc w:val="center"/>
              <w:cnfStyle w:val="000000100000"/>
              <w:rPr>
                <w:i/>
              </w:rPr>
            </w:pPr>
            <w:r w:rsidRPr="007B3E5C">
              <w:rPr>
                <w:bCs/>
                <w:i/>
              </w:rPr>
              <w:t>Approximately 21 grantees.</w:t>
            </w:r>
          </w:p>
        </w:tc>
        <w:tc>
          <w:tcPr>
            <w:tcW w:w="863" w:type="pct"/>
            <w:tcBorders>
              <w:left w:val="single" w:sz="8" w:space="0" w:color="FFFFFF" w:themeColor="background1"/>
              <w:bottom w:val="single" w:sz="12" w:space="0" w:color="1F497D" w:themeColor="text2"/>
              <w:right w:val="single" w:sz="8" w:space="0" w:color="FFFFFF" w:themeColor="background1"/>
            </w:tcBorders>
            <w:shd w:val="clear" w:color="auto" w:fill="F2F2F2" w:themeFill="background1" w:themeFillShade="F2"/>
          </w:tcPr>
          <w:p w:rsidR="00CA38A9" w:rsidRPr="007B3E5C" w:rsidRDefault="00CA38A9" w:rsidP="007A547E">
            <w:pPr>
              <w:spacing w:before="40" w:after="40"/>
              <w:jc w:val="center"/>
              <w:cnfStyle w:val="000000100000"/>
              <w:rPr>
                <w:bCs/>
              </w:rPr>
            </w:pPr>
            <w:r w:rsidRPr="007B3E5C">
              <w:t xml:space="preserve">All grantees </w:t>
            </w:r>
            <w:r w:rsidRPr="007B3E5C">
              <w:rPr>
                <w:bCs/>
              </w:rPr>
              <w:t>implementing a PSH model.</w:t>
            </w:r>
          </w:p>
          <w:p w:rsidR="00CA38A9" w:rsidRPr="007B3E5C" w:rsidRDefault="00CA38A9" w:rsidP="007A547E">
            <w:pPr>
              <w:spacing w:before="40" w:after="40"/>
              <w:jc w:val="center"/>
              <w:cnfStyle w:val="000000100000"/>
              <w:rPr>
                <w:i/>
              </w:rPr>
            </w:pPr>
            <w:r w:rsidRPr="007B3E5C">
              <w:rPr>
                <w:i/>
              </w:rPr>
              <w:t xml:space="preserve">Approximately all grantees </w:t>
            </w:r>
            <w:r w:rsidRPr="007B3E5C">
              <w:rPr>
                <w:bCs/>
                <w:i/>
              </w:rPr>
              <w:t>(31)</w:t>
            </w:r>
          </w:p>
        </w:tc>
        <w:tc>
          <w:tcPr>
            <w:tcW w:w="863" w:type="pct"/>
            <w:tcBorders>
              <w:left w:val="single" w:sz="8" w:space="0" w:color="FFFFFF" w:themeColor="background1"/>
              <w:bottom w:val="single" w:sz="12" w:space="0" w:color="1F497D" w:themeColor="text2"/>
              <w:right w:val="single" w:sz="8" w:space="0" w:color="FFFFFF" w:themeColor="background1"/>
            </w:tcBorders>
            <w:shd w:val="clear" w:color="auto" w:fill="F2F2F2" w:themeFill="background1" w:themeFillShade="F2"/>
          </w:tcPr>
          <w:p w:rsidR="00CA38A9" w:rsidRPr="007B3E5C" w:rsidRDefault="00CA38A9" w:rsidP="007A547E">
            <w:pPr>
              <w:spacing w:before="40" w:after="40"/>
              <w:jc w:val="center"/>
              <w:cnfStyle w:val="000000100000"/>
              <w:rPr>
                <w:bCs/>
              </w:rPr>
            </w:pPr>
            <w:r w:rsidRPr="007B3E5C">
              <w:t xml:space="preserve">All grantees </w:t>
            </w:r>
            <w:r w:rsidRPr="007B3E5C">
              <w:rPr>
                <w:bCs/>
              </w:rPr>
              <w:t>implementing a PSH model.</w:t>
            </w:r>
          </w:p>
          <w:p w:rsidR="00CA38A9" w:rsidRPr="007B3E5C" w:rsidRDefault="00CA38A9" w:rsidP="007A547E">
            <w:pPr>
              <w:spacing w:before="40" w:after="40"/>
              <w:jc w:val="center"/>
              <w:cnfStyle w:val="000000100000"/>
              <w:rPr>
                <w:i/>
              </w:rPr>
            </w:pPr>
            <w:r w:rsidRPr="007B3E5C">
              <w:rPr>
                <w:i/>
              </w:rPr>
              <w:t>Approximately all grantees (48)</w:t>
            </w:r>
          </w:p>
        </w:tc>
        <w:tc>
          <w:tcPr>
            <w:tcW w:w="863" w:type="pct"/>
            <w:tcBorders>
              <w:left w:val="single" w:sz="8" w:space="0" w:color="FFFFFF" w:themeColor="background1"/>
              <w:bottom w:val="single" w:sz="12" w:space="0" w:color="1F497D" w:themeColor="text2"/>
            </w:tcBorders>
            <w:shd w:val="clear" w:color="auto" w:fill="F2F2F2" w:themeFill="background1" w:themeFillShade="F2"/>
            <w:vAlign w:val="center"/>
          </w:tcPr>
          <w:p w:rsidR="00CA38A9" w:rsidRPr="007B3E5C" w:rsidRDefault="00CA38A9" w:rsidP="00430F6B">
            <w:pPr>
              <w:jc w:val="center"/>
              <w:cnfStyle w:val="000000100000"/>
            </w:pPr>
            <w:r w:rsidRPr="007B3E5C">
              <w:t>NA</w:t>
            </w:r>
          </w:p>
        </w:tc>
        <w:tc>
          <w:tcPr>
            <w:tcW w:w="598" w:type="pct"/>
            <w:tcBorders>
              <w:left w:val="single" w:sz="8" w:space="0" w:color="FFFFFF" w:themeColor="background1"/>
              <w:bottom w:val="single" w:sz="12" w:space="0" w:color="1F497D" w:themeColor="text2"/>
              <w:right w:val="single" w:sz="12" w:space="0" w:color="1F497D" w:themeColor="text2"/>
            </w:tcBorders>
            <w:shd w:val="clear" w:color="auto" w:fill="F2F2F2" w:themeFill="background1" w:themeFillShade="F2"/>
            <w:vAlign w:val="center"/>
          </w:tcPr>
          <w:p w:rsidR="00CA38A9" w:rsidRPr="007A547E" w:rsidRDefault="00CA38A9" w:rsidP="00430F6B">
            <w:pPr>
              <w:jc w:val="center"/>
              <w:cnfStyle w:val="000000100000"/>
              <w:rPr>
                <w:b/>
                <w:bCs/>
              </w:rPr>
            </w:pPr>
            <w:r w:rsidRPr="007A547E">
              <w:rPr>
                <w:b/>
                <w:bCs/>
              </w:rPr>
              <w:t>100</w:t>
            </w:r>
          </w:p>
        </w:tc>
      </w:tr>
    </w:tbl>
    <w:p w:rsidR="007B3E5C" w:rsidRDefault="001B5650" w:rsidP="007B3E5C">
      <w:pPr>
        <w:keepNext/>
        <w:rPr>
          <w:bCs/>
          <w:u w:val="single"/>
        </w:rPr>
      </w:pPr>
      <w:r>
        <w:rPr>
          <w:bCs/>
          <w:u w:val="single"/>
        </w:rPr>
        <w:t>*Year listed is the year the cohort was first funded, most cohorts are funded for 3 to 5 years.</w:t>
      </w:r>
    </w:p>
    <w:p w:rsidR="001B5650" w:rsidRDefault="001B5650" w:rsidP="007B3E5C">
      <w:pPr>
        <w:keepNext/>
        <w:rPr>
          <w:bCs/>
          <w:u w:val="single"/>
        </w:rPr>
      </w:pPr>
    </w:p>
    <w:p w:rsidR="00CA38A9" w:rsidRPr="008D5D7B" w:rsidRDefault="00CA38A9" w:rsidP="00CA38A9">
      <w:pPr>
        <w:keepNext/>
        <w:spacing w:after="120"/>
        <w:rPr>
          <w:bCs/>
          <w:u w:val="single"/>
        </w:rPr>
      </w:pPr>
      <w:r>
        <w:rPr>
          <w:bCs/>
          <w:u w:val="single"/>
        </w:rPr>
        <w:t>PD Interview</w:t>
      </w:r>
    </w:p>
    <w:p w:rsidR="00CA38A9" w:rsidRDefault="00CA38A9" w:rsidP="00CA38A9">
      <w:pPr>
        <w:rPr>
          <w:bCs/>
        </w:rPr>
      </w:pPr>
      <w:r>
        <w:rPr>
          <w:bCs/>
        </w:rPr>
        <w:t xml:space="preserve">The </w:t>
      </w:r>
      <w:r>
        <w:rPr>
          <w:bCs/>
          <w:i/>
          <w:iCs/>
        </w:rPr>
        <w:t>PD Interview</w:t>
      </w:r>
      <w:r>
        <w:rPr>
          <w:bCs/>
        </w:rPr>
        <w:t xml:space="preserve"> target universe is all </w:t>
      </w:r>
      <w:r w:rsidRPr="00F47AC4">
        <w:rPr>
          <w:bCs/>
        </w:rPr>
        <w:t>grantees in the GBHI 2010, SSH 2009-2010, and CABHI 2011-2012 cohorts (n=102) and the 56 PATH grantees</w:t>
      </w:r>
      <w:r>
        <w:rPr>
          <w:bCs/>
        </w:rPr>
        <w:t xml:space="preserve">. GBHI 2009 grantees are not included as these grantees were included in a prior data collection.  The sampling method is a census of all grantee projects in the cohorts listed and all 158 grantee projects are expected to complete the interview. Respondents will include grantee project directors. </w:t>
      </w:r>
    </w:p>
    <w:p w:rsidR="00CA38A9" w:rsidRDefault="00CA38A9" w:rsidP="00CA38A9">
      <w:pPr>
        <w:rPr>
          <w:bCs/>
        </w:rPr>
      </w:pPr>
    </w:p>
    <w:p w:rsidR="00CA38A9" w:rsidRPr="008D5D7B" w:rsidRDefault="00CA38A9" w:rsidP="00CA38A9">
      <w:pPr>
        <w:keepNext/>
        <w:spacing w:after="120"/>
        <w:rPr>
          <w:bCs/>
          <w:u w:val="single"/>
        </w:rPr>
      </w:pPr>
      <w:r>
        <w:rPr>
          <w:bCs/>
          <w:u w:val="single"/>
        </w:rPr>
        <w:lastRenderedPageBreak/>
        <w:t>Site Visit Guides</w:t>
      </w:r>
    </w:p>
    <w:p w:rsidR="00CA38A9" w:rsidRPr="00072F86" w:rsidRDefault="00CA38A9" w:rsidP="003D3E75">
      <w:pPr>
        <w:spacing w:after="240"/>
        <w:rPr>
          <w:rFonts w:eastAsia="Calibri"/>
        </w:rPr>
      </w:pPr>
      <w:r w:rsidRPr="00072F86">
        <w:rPr>
          <w:rFonts w:eastAsia="Calibri"/>
        </w:rPr>
        <w:t xml:space="preserve">The </w:t>
      </w:r>
      <w:r w:rsidRPr="00072F86">
        <w:rPr>
          <w:rFonts w:eastAsia="Calibri"/>
          <w:i/>
          <w:iCs/>
        </w:rPr>
        <w:t>Site Visit Guides</w:t>
      </w:r>
      <w:r w:rsidRPr="00072F86">
        <w:rPr>
          <w:rFonts w:eastAsia="Calibri"/>
        </w:rPr>
        <w:t xml:space="preserve"> target universe is grantee</w:t>
      </w:r>
      <w:r>
        <w:rPr>
          <w:rFonts w:eastAsia="Calibri"/>
        </w:rPr>
        <w:t>s in the</w:t>
      </w:r>
      <w:r w:rsidRPr="00072F86">
        <w:rPr>
          <w:rFonts w:eastAsia="Calibri"/>
        </w:rPr>
        <w:t xml:space="preserve"> GBHI 2010, SSH 2009-2010, CABHI 2011-2012 and PATH 2010-2012 cohorts. GBHI 2009</w:t>
      </w:r>
      <w:r>
        <w:rPr>
          <w:rFonts w:eastAsia="Calibri"/>
        </w:rPr>
        <w:t xml:space="preserve"> grantees are</w:t>
      </w:r>
      <w:r w:rsidRPr="00072F86">
        <w:rPr>
          <w:rFonts w:eastAsia="Calibri"/>
        </w:rPr>
        <w:t xml:space="preserve"> not included as these grantees were included </w:t>
      </w:r>
      <w:r>
        <w:rPr>
          <w:rFonts w:eastAsia="Calibri"/>
        </w:rPr>
        <w:t xml:space="preserve">in a </w:t>
      </w:r>
      <w:r w:rsidRPr="00072F86">
        <w:rPr>
          <w:rFonts w:eastAsia="Calibri"/>
        </w:rPr>
        <w:t>prior cross-site evaluation. Pending OMB approval, 20 site visits per year</w:t>
      </w:r>
      <w:r>
        <w:rPr>
          <w:rFonts w:eastAsia="Calibri"/>
        </w:rPr>
        <w:t>,</w:t>
      </w:r>
      <w:r w:rsidRPr="00072F86">
        <w:rPr>
          <w:rFonts w:eastAsia="Calibri"/>
        </w:rPr>
        <w:t xml:space="preserve"> over a three year period</w:t>
      </w:r>
      <w:r>
        <w:rPr>
          <w:rFonts w:eastAsia="Calibri"/>
        </w:rPr>
        <w:t>,</w:t>
      </w:r>
      <w:r w:rsidRPr="00072F86">
        <w:rPr>
          <w:rFonts w:eastAsia="Calibri"/>
        </w:rPr>
        <w:t xml:space="preserve"> will be held with a stratified randomized sample of GBHI 2010, SSH 2009-2010, CABHI 2011-2012 grantee projects. The </w:t>
      </w:r>
      <w:r>
        <w:rPr>
          <w:rFonts w:eastAsia="Calibri"/>
        </w:rPr>
        <w:t xml:space="preserve">following </w:t>
      </w:r>
      <w:r w:rsidRPr="00072F86">
        <w:rPr>
          <w:rFonts w:eastAsia="Calibri"/>
        </w:rPr>
        <w:t>sampling method was</w:t>
      </w:r>
      <w:r>
        <w:rPr>
          <w:rFonts w:eastAsia="Calibri"/>
        </w:rPr>
        <w:t xml:space="preserve"> reviewed with and</w:t>
      </w:r>
      <w:r w:rsidRPr="00072F86">
        <w:rPr>
          <w:rFonts w:eastAsia="Calibri"/>
        </w:rPr>
        <w:t xml:space="preserve"> endorsed by the Evaluation</w:t>
      </w:r>
      <w:r>
        <w:rPr>
          <w:rFonts w:eastAsia="Calibri"/>
        </w:rPr>
        <w:t>’s</w:t>
      </w:r>
      <w:r w:rsidRPr="00072F86">
        <w:rPr>
          <w:rFonts w:eastAsia="Calibri"/>
        </w:rPr>
        <w:t xml:space="preserve"> Technical Panel. </w:t>
      </w:r>
      <w:r>
        <w:rPr>
          <w:rFonts w:eastAsia="Calibri"/>
        </w:rPr>
        <w:t>Using SAMHSA’s knowledge of the program</w:t>
      </w:r>
      <w:r w:rsidRPr="007031C1">
        <w:rPr>
          <w:rFonts w:eastAsia="Calibri"/>
        </w:rPr>
        <w:t>s</w:t>
      </w:r>
      <w:r w:rsidR="007031C1" w:rsidRPr="007031C1">
        <w:rPr>
          <w:rFonts w:eastAsia="Calibri"/>
        </w:rPr>
        <w:t xml:space="preserve"> and the contractor’s analysis of GPRA</w:t>
      </w:r>
      <w:r w:rsidR="003D3E75">
        <w:rPr>
          <w:rFonts w:eastAsia="Calibri"/>
        </w:rPr>
        <w:t xml:space="preserve"> </w:t>
      </w:r>
      <w:r w:rsidR="003D3E75" w:rsidRPr="003D3E75">
        <w:rPr>
          <w:rFonts w:eastAsia="Calibri"/>
        </w:rPr>
        <w:t xml:space="preserve">(OMB No. 0930-0208) and NOMS (OMB No. 0930–0285) </w:t>
      </w:r>
      <w:r w:rsidR="007031C1" w:rsidRPr="007031C1">
        <w:rPr>
          <w:rFonts w:eastAsia="Calibri"/>
        </w:rPr>
        <w:t>data related to recruitment and retention</w:t>
      </w:r>
      <w:r w:rsidRPr="007031C1">
        <w:rPr>
          <w:rFonts w:eastAsia="Calibri"/>
        </w:rPr>
        <w:t>,</w:t>
      </w:r>
      <w:r>
        <w:rPr>
          <w:rFonts w:eastAsia="Calibri"/>
        </w:rPr>
        <w:t xml:space="preserve"> grantees that have not been able to implement their programs will be eliminated from sample selections. </w:t>
      </w:r>
      <w:r w:rsidRPr="00072F86">
        <w:rPr>
          <w:rFonts w:eastAsia="Calibri"/>
        </w:rPr>
        <w:t>While studying these sites might provide some information on the challenges of implementation, on balance we believe that evaluation resources should be focused on sites with some degree of implementation and prospects for achieving intended outcomes. Setting these sites aside will help eliminate what are sometimes called “Type 3” errors, in which it is decided that a program or intervention is not effective whe</w:t>
      </w:r>
      <w:r>
        <w:rPr>
          <w:rFonts w:eastAsia="Calibri"/>
        </w:rPr>
        <w:t xml:space="preserve">n in fact it was not adequately </w:t>
      </w:r>
      <w:r w:rsidRPr="00072F86">
        <w:rPr>
          <w:rFonts w:eastAsia="Calibri"/>
        </w:rPr>
        <w:t>implemented. </w:t>
      </w:r>
      <w:r>
        <w:rPr>
          <w:rFonts w:eastAsia="Calibri"/>
        </w:rPr>
        <w:t>T</w:t>
      </w:r>
      <w:r w:rsidRPr="00072F86">
        <w:rPr>
          <w:rFonts w:eastAsia="Calibri"/>
        </w:rPr>
        <w:t xml:space="preserve">he remaining sites </w:t>
      </w:r>
      <w:r>
        <w:rPr>
          <w:rFonts w:eastAsia="Calibri"/>
        </w:rPr>
        <w:t xml:space="preserve">will be stratified </w:t>
      </w:r>
      <w:r w:rsidRPr="00072F86">
        <w:rPr>
          <w:rFonts w:eastAsia="Calibri"/>
        </w:rPr>
        <w:t xml:space="preserve">on the following dimensions: Homeless Program (GBHI, SSH, CABHI); implementing PSH/Housing First </w:t>
      </w:r>
      <w:r>
        <w:rPr>
          <w:rFonts w:eastAsia="Calibri"/>
        </w:rPr>
        <w:t>versus</w:t>
      </w:r>
      <w:r w:rsidRPr="00072F86">
        <w:rPr>
          <w:rFonts w:eastAsia="Calibri"/>
        </w:rPr>
        <w:t xml:space="preserve"> not; primary EBP</w:t>
      </w:r>
      <w:r>
        <w:rPr>
          <w:rFonts w:eastAsia="Calibri"/>
        </w:rPr>
        <w:t>(s)</w:t>
      </w:r>
      <w:r w:rsidRPr="00072F86">
        <w:rPr>
          <w:rFonts w:eastAsia="Calibri"/>
        </w:rPr>
        <w:t>; special population</w:t>
      </w:r>
      <w:r>
        <w:rPr>
          <w:rFonts w:eastAsia="Calibri"/>
        </w:rPr>
        <w:t>(s)</w:t>
      </w:r>
      <w:r w:rsidRPr="00072F86">
        <w:rPr>
          <w:rFonts w:eastAsia="Calibri"/>
        </w:rPr>
        <w:t xml:space="preserve"> served; type of grantee organization; urban setting </w:t>
      </w:r>
      <w:r>
        <w:rPr>
          <w:rFonts w:eastAsia="Calibri"/>
        </w:rPr>
        <w:t>versus</w:t>
      </w:r>
      <w:r w:rsidRPr="00072F86">
        <w:rPr>
          <w:rFonts w:eastAsia="Calibri"/>
        </w:rPr>
        <w:t xml:space="preserve"> not; </w:t>
      </w:r>
      <w:r>
        <w:rPr>
          <w:rFonts w:eastAsia="Calibri"/>
        </w:rPr>
        <w:t xml:space="preserve">and </w:t>
      </w:r>
      <w:r w:rsidRPr="00072F86">
        <w:rPr>
          <w:rFonts w:eastAsia="Calibri"/>
        </w:rPr>
        <w:t>geographical region (</w:t>
      </w:r>
      <w:r>
        <w:rPr>
          <w:rFonts w:eastAsia="Calibri"/>
        </w:rPr>
        <w:t>4</w:t>
      </w:r>
      <w:r w:rsidRPr="00072F86">
        <w:rPr>
          <w:rFonts w:eastAsia="Calibri"/>
        </w:rPr>
        <w:t xml:space="preserve"> regions). This stratification scheme would result in </w:t>
      </w:r>
      <w:r>
        <w:rPr>
          <w:rFonts w:eastAsia="Calibri"/>
        </w:rPr>
        <w:t xml:space="preserve">a </w:t>
      </w:r>
      <w:r w:rsidRPr="00072F86">
        <w:rPr>
          <w:rFonts w:eastAsia="Calibri"/>
        </w:rPr>
        <w:t xml:space="preserve">matrix </w:t>
      </w:r>
      <w:r>
        <w:rPr>
          <w:rFonts w:eastAsia="Calibri"/>
        </w:rPr>
        <w:t>of</w:t>
      </w:r>
      <w:r w:rsidRPr="00072F86">
        <w:rPr>
          <w:rFonts w:eastAsia="Calibri"/>
        </w:rPr>
        <w:t xml:space="preserve"> potential selection criteria. We will randomly order the sites within each cell and tentatively select the first site on the list; if there is some reason to not include that site (e.g., SAMHSA has information indicating the site would not be fruitful for c</w:t>
      </w:r>
      <w:r w:rsidR="00844A03">
        <w:rPr>
          <w:rFonts w:eastAsia="Calibri"/>
        </w:rPr>
        <w:t>lose</w:t>
      </w:r>
      <w:r w:rsidRPr="00072F86">
        <w:rPr>
          <w:rFonts w:eastAsia="Calibri"/>
        </w:rPr>
        <w:t xml:space="preserve"> study), we will tentatively select the next site on the list and explore whether there is reason to not select it. If any of the cells have no eligible sites, we will confer with SAMHSA on which cell(s) should be used as a replacement; any replacement cells would contain more than one site. If replacement cells are used, we will select the additional sites using the same randomly-ordered list as for the primary site selection. We </w:t>
      </w:r>
      <w:r>
        <w:rPr>
          <w:rFonts w:eastAsia="Calibri"/>
        </w:rPr>
        <w:t xml:space="preserve">have selected </w:t>
      </w:r>
      <w:r w:rsidRPr="00072F86">
        <w:rPr>
          <w:rFonts w:eastAsia="Calibri"/>
        </w:rPr>
        <w:t>this approach because it (1) minimizes “Type 3” error, (2) ensures a variety of sites will be visited, and (3) leaves to random chance the selection of specific sites, which strengthens the generalizability of findings to other sites that are not visited.</w:t>
      </w:r>
    </w:p>
    <w:p w:rsidR="00CA38A9" w:rsidRDefault="00CA38A9" w:rsidP="00CA38A9">
      <w:pPr>
        <w:rPr>
          <w:rFonts w:eastAsia="Calibri"/>
        </w:rPr>
      </w:pPr>
      <w:r w:rsidRPr="00072F86">
        <w:rPr>
          <w:rFonts w:eastAsia="Calibri"/>
        </w:rPr>
        <w:t>Pending OMB approval, 5 site visits per year over a three year period will be held with a stratified randomized sample of PATH grantees. The selection of 15 of 56 PATH grantee project sites will be through a similar stratified randomized sampling method as described for the other Homeless Programs grantee projects</w:t>
      </w:r>
      <w:r>
        <w:rPr>
          <w:rFonts w:eastAsia="Calibri"/>
        </w:rPr>
        <w:t xml:space="preserve"> above</w:t>
      </w:r>
      <w:r w:rsidRPr="00072F86">
        <w:rPr>
          <w:rFonts w:eastAsia="Calibri"/>
        </w:rPr>
        <w:t xml:space="preserve">. However, the number and type </w:t>
      </w:r>
      <w:r>
        <w:rPr>
          <w:rFonts w:eastAsia="Calibri"/>
        </w:rPr>
        <w:t xml:space="preserve">of </w:t>
      </w:r>
      <w:r w:rsidRPr="00072F86">
        <w:rPr>
          <w:rFonts w:eastAsia="Calibri"/>
        </w:rPr>
        <w:t>factors determining stratification somewhat differ from the selection of the GBHI, CABHI and SSH grantee project sites to accommodate differences in funding levels and services and the smaller number of sites to be visited. The stratification will result in a matrix</w:t>
      </w:r>
      <w:r w:rsidRPr="009D7C5E">
        <w:rPr>
          <w:rFonts w:eastAsia="Calibri"/>
        </w:rPr>
        <w:t xml:space="preserve"> </w:t>
      </w:r>
      <w:r>
        <w:rPr>
          <w:rFonts w:eastAsia="Calibri"/>
        </w:rPr>
        <w:t xml:space="preserve">of </w:t>
      </w:r>
      <w:r w:rsidRPr="009D7C5E">
        <w:rPr>
          <w:rFonts w:eastAsia="Calibri"/>
        </w:rPr>
        <w:t>potential selection criteria</w:t>
      </w:r>
      <w:r w:rsidRPr="00072F86">
        <w:rPr>
          <w:rFonts w:eastAsia="Calibri"/>
        </w:rPr>
        <w:t xml:space="preserve"> using </w:t>
      </w:r>
      <w:r>
        <w:rPr>
          <w:rFonts w:eastAsia="Calibri"/>
        </w:rPr>
        <w:t xml:space="preserve">geographical </w:t>
      </w:r>
      <w:r w:rsidRPr="00072F86">
        <w:rPr>
          <w:rFonts w:eastAsia="Calibri"/>
        </w:rPr>
        <w:t>region, urban</w:t>
      </w:r>
      <w:r>
        <w:rPr>
          <w:rFonts w:eastAsia="Calibri"/>
        </w:rPr>
        <w:t xml:space="preserve"> setting</w:t>
      </w:r>
      <w:r w:rsidRPr="00072F86">
        <w:rPr>
          <w:rFonts w:eastAsia="Calibri"/>
        </w:rPr>
        <w:t xml:space="preserve"> versus not, funding level, and special populations served. The 15 sites will be chosen randomly from the completed sampling matrix to provide good representation of the breadth of PATH </w:t>
      </w:r>
      <w:r>
        <w:rPr>
          <w:rFonts w:eastAsia="Calibri"/>
        </w:rPr>
        <w:t>grantee</w:t>
      </w:r>
      <w:r w:rsidRPr="00072F86">
        <w:rPr>
          <w:rFonts w:eastAsia="Calibri"/>
        </w:rPr>
        <w:t>s. If there is some reason to not include a site selected (e.g., SAMHSA has information indicating the site would not be fruitful for close study), we will tentatively select the next site on the list and explore whether there is reason to not select it.  </w:t>
      </w:r>
    </w:p>
    <w:p w:rsidR="00CA38A9" w:rsidRDefault="00CA38A9" w:rsidP="00CA38A9">
      <w:pPr>
        <w:rPr>
          <w:rFonts w:eastAsia="Calibri"/>
        </w:rPr>
      </w:pPr>
    </w:p>
    <w:p w:rsidR="00CA38A9" w:rsidRPr="00072F86" w:rsidRDefault="00CA38A9" w:rsidP="00CA38A9">
      <w:pPr>
        <w:rPr>
          <w:bCs/>
        </w:rPr>
      </w:pPr>
      <w:r w:rsidRPr="00072F86">
        <w:rPr>
          <w:rFonts w:eastAsia="Calibri"/>
        </w:rPr>
        <w:t xml:space="preserve">All 75 grantee projects selected are expected to complete the site visit per prior participation rates in similar SAMHSA cross-program evaluations. </w:t>
      </w:r>
    </w:p>
    <w:p w:rsidR="00CA38A9" w:rsidRDefault="00CA38A9" w:rsidP="00CA38A9">
      <w:pPr>
        <w:rPr>
          <w:bCs/>
        </w:rPr>
      </w:pPr>
    </w:p>
    <w:p w:rsidR="00CA38A9" w:rsidRPr="008D5D7B" w:rsidRDefault="00CA38A9" w:rsidP="00CA38A9">
      <w:pPr>
        <w:keepNext/>
        <w:spacing w:after="120"/>
        <w:rPr>
          <w:bCs/>
          <w:u w:val="single"/>
        </w:rPr>
      </w:pPr>
      <w:r>
        <w:rPr>
          <w:bCs/>
          <w:u w:val="single"/>
        </w:rPr>
        <w:t>EBP Self-Assessment</w:t>
      </w:r>
    </w:p>
    <w:p w:rsidR="00CA38A9" w:rsidRPr="00D15E9E" w:rsidRDefault="00CA38A9" w:rsidP="00CA38A9">
      <w:pPr>
        <w:rPr>
          <w:bCs/>
        </w:rPr>
      </w:pPr>
      <w:r w:rsidRPr="00D15E9E">
        <w:rPr>
          <w:bCs/>
        </w:rPr>
        <w:t xml:space="preserve">The </w:t>
      </w:r>
      <w:r w:rsidRPr="00D15E9E">
        <w:rPr>
          <w:bCs/>
          <w:i/>
          <w:iCs/>
        </w:rPr>
        <w:t>EBP Self-Assessment</w:t>
      </w:r>
      <w:r>
        <w:rPr>
          <w:bCs/>
          <w:i/>
          <w:iCs/>
        </w:rPr>
        <w:t xml:space="preserve"> – P</w:t>
      </w:r>
      <w:r w:rsidRPr="00D15E9E">
        <w:rPr>
          <w:bCs/>
          <w:i/>
          <w:iCs/>
        </w:rPr>
        <w:t>art</w:t>
      </w:r>
      <w:r>
        <w:rPr>
          <w:bCs/>
          <w:i/>
          <w:iCs/>
        </w:rPr>
        <w:t xml:space="preserve"> 1 </w:t>
      </w:r>
      <w:r w:rsidRPr="00D15E9E">
        <w:rPr>
          <w:bCs/>
        </w:rPr>
        <w:t xml:space="preserve">target universe is </w:t>
      </w:r>
      <w:r w:rsidRPr="00417D68">
        <w:rPr>
          <w:bCs/>
        </w:rPr>
        <w:t>all grantees in the following cohorts: GBHI 2009-2010, SSH 2009-2010, and CABHI 2011-2012.</w:t>
      </w:r>
      <w:r w:rsidRPr="00D15E9E">
        <w:rPr>
          <w:bCs/>
        </w:rPr>
        <w:t xml:space="preserve"> The sampling method is a census of all grantee pro</w:t>
      </w:r>
      <w:r>
        <w:rPr>
          <w:bCs/>
        </w:rPr>
        <w:t>jects</w:t>
      </w:r>
      <w:r w:rsidRPr="00D15E9E">
        <w:rPr>
          <w:bCs/>
        </w:rPr>
        <w:t xml:space="preserve"> in the cohorts listed and all 127 grantee projects are expected to complete the assessment. Respondents will include grantee project directors</w:t>
      </w:r>
      <w:r>
        <w:rPr>
          <w:bCs/>
        </w:rPr>
        <w:t xml:space="preserve"> or a key staff member knowledgeable about the EBPs being implemented by the project, as designated by the grantee project director</w:t>
      </w:r>
      <w:r w:rsidRPr="00D15E9E">
        <w:rPr>
          <w:bCs/>
        </w:rPr>
        <w:t>.</w:t>
      </w:r>
      <w:r>
        <w:rPr>
          <w:bCs/>
        </w:rPr>
        <w:t xml:space="preserve"> There will be one respondent per grantee project.</w:t>
      </w:r>
      <w:r w:rsidRPr="00D15E9E">
        <w:rPr>
          <w:bCs/>
        </w:rPr>
        <w:t xml:space="preserve"> </w:t>
      </w:r>
    </w:p>
    <w:p w:rsidR="00CA38A9" w:rsidRPr="00D15E9E" w:rsidRDefault="00CA38A9" w:rsidP="00CA38A9">
      <w:pPr>
        <w:rPr>
          <w:bCs/>
        </w:rPr>
      </w:pPr>
    </w:p>
    <w:p w:rsidR="00CA38A9" w:rsidRPr="00D15E9E" w:rsidRDefault="00CA38A9" w:rsidP="004E4C4C">
      <w:r w:rsidRPr="00D15E9E">
        <w:rPr>
          <w:bCs/>
        </w:rPr>
        <w:t xml:space="preserve">The </w:t>
      </w:r>
      <w:r w:rsidRPr="00D15E9E">
        <w:rPr>
          <w:bCs/>
          <w:i/>
          <w:iCs/>
        </w:rPr>
        <w:t>EBP Self-Assessment</w:t>
      </w:r>
      <w:r>
        <w:rPr>
          <w:bCs/>
          <w:i/>
          <w:iCs/>
        </w:rPr>
        <w:t xml:space="preserve"> – P</w:t>
      </w:r>
      <w:r w:rsidRPr="00D15E9E">
        <w:rPr>
          <w:bCs/>
          <w:i/>
          <w:iCs/>
        </w:rPr>
        <w:t>art 2</w:t>
      </w:r>
      <w:r>
        <w:rPr>
          <w:bCs/>
        </w:rPr>
        <w:t xml:space="preserve"> </w:t>
      </w:r>
      <w:r w:rsidRPr="00D15E9E">
        <w:rPr>
          <w:bCs/>
        </w:rPr>
        <w:t xml:space="preserve">target universe </w:t>
      </w:r>
      <w:r>
        <w:rPr>
          <w:bCs/>
        </w:rPr>
        <w:t xml:space="preserve">is </w:t>
      </w:r>
      <w:r w:rsidRPr="00417D68">
        <w:rPr>
          <w:bCs/>
        </w:rPr>
        <w:t xml:space="preserve">the </w:t>
      </w:r>
      <w:r>
        <w:rPr>
          <w:bCs/>
        </w:rPr>
        <w:t>grantees from the</w:t>
      </w:r>
      <w:r w:rsidRPr="00417D68">
        <w:rPr>
          <w:bCs/>
        </w:rPr>
        <w:t xml:space="preserve"> GBHI 2009-2010, SSH 2009-2010, and CABHI 2011-2012 </w:t>
      </w:r>
      <w:r>
        <w:rPr>
          <w:bCs/>
        </w:rPr>
        <w:t>cohorts</w:t>
      </w:r>
      <w:r w:rsidRPr="00417D68">
        <w:rPr>
          <w:bCs/>
        </w:rPr>
        <w:t xml:space="preserve"> who are implementing at least one of the 5 EBPs selected for an in-depth assessment, per information </w:t>
      </w:r>
      <w:r>
        <w:rPr>
          <w:bCs/>
        </w:rPr>
        <w:t xml:space="preserve">collected during the </w:t>
      </w:r>
      <w:r>
        <w:rPr>
          <w:bCs/>
          <w:i/>
          <w:iCs/>
        </w:rPr>
        <w:t>PD Interview</w:t>
      </w:r>
      <w:r w:rsidRPr="00417D68">
        <w:rPr>
          <w:bCs/>
        </w:rPr>
        <w:t>.</w:t>
      </w:r>
      <w:r w:rsidRPr="00D15E9E">
        <w:rPr>
          <w:bCs/>
        </w:rPr>
        <w:t xml:space="preserve"> Part 2 includes the following EBPs</w:t>
      </w:r>
      <w:r>
        <w:rPr>
          <w:bCs/>
        </w:rPr>
        <w:t xml:space="preserve">: </w:t>
      </w:r>
      <w:r w:rsidRPr="00D15E9E">
        <w:t>ACT, IDDT, IMR, Supported Employment, and CTI. From this subsample, the sampling method is a census of all grantee pro</w:t>
      </w:r>
      <w:r>
        <w:t>jects</w:t>
      </w:r>
      <w:r w:rsidRPr="00D15E9E">
        <w:t xml:space="preserve"> meeting the above criteria</w:t>
      </w:r>
      <w:r>
        <w:t>. A preliminary review of all Homeless Programs grant applications indicate that approximately 87</w:t>
      </w:r>
      <w:r w:rsidRPr="00D15E9E">
        <w:t xml:space="preserve"> grantee projects are </w:t>
      </w:r>
      <w:r>
        <w:t>implementing one or more of the core EBPS and therefore are eligible</w:t>
      </w:r>
      <w:r w:rsidRPr="00D15E9E">
        <w:t xml:space="preserve"> to complete the second part of the </w:t>
      </w:r>
      <w:r w:rsidRPr="00B41C50">
        <w:rPr>
          <w:i/>
          <w:iCs/>
        </w:rPr>
        <w:t>EBP S</w:t>
      </w:r>
      <w:r w:rsidRPr="00D15E9E">
        <w:rPr>
          <w:i/>
          <w:iCs/>
        </w:rPr>
        <w:t>elf-</w:t>
      </w:r>
      <w:r w:rsidRPr="00B41C50">
        <w:rPr>
          <w:i/>
          <w:iCs/>
        </w:rPr>
        <w:t>A</w:t>
      </w:r>
      <w:r w:rsidRPr="00D15E9E">
        <w:rPr>
          <w:i/>
          <w:iCs/>
        </w:rPr>
        <w:t>ssessment</w:t>
      </w:r>
      <w:r w:rsidRPr="00D15E9E">
        <w:t>.</w:t>
      </w:r>
      <w:r>
        <w:t xml:space="preserve"> </w:t>
      </w:r>
      <w:r>
        <w:rPr>
          <w:bCs/>
        </w:rPr>
        <w:t>There will be one respondent per grantee project.</w:t>
      </w:r>
    </w:p>
    <w:p w:rsidR="00CA38A9" w:rsidRDefault="00CA38A9" w:rsidP="00CA38A9">
      <w:pPr>
        <w:rPr>
          <w:bCs/>
        </w:rPr>
      </w:pPr>
    </w:p>
    <w:p w:rsidR="00CA38A9" w:rsidRPr="00D15E9E" w:rsidRDefault="00CA38A9" w:rsidP="00CA38A9">
      <w:pPr>
        <w:keepNext/>
        <w:spacing w:after="120"/>
        <w:rPr>
          <w:bCs/>
          <w:u w:val="single"/>
        </w:rPr>
      </w:pPr>
      <w:r>
        <w:rPr>
          <w:bCs/>
          <w:u w:val="single"/>
        </w:rPr>
        <w:t>PSH Self-Assessment</w:t>
      </w:r>
    </w:p>
    <w:p w:rsidR="00CA38A9" w:rsidRDefault="00CA38A9" w:rsidP="004E4C4C">
      <w:pPr>
        <w:rPr>
          <w:bCs/>
        </w:rPr>
      </w:pPr>
      <w:r w:rsidRPr="00D15E9E">
        <w:rPr>
          <w:bCs/>
        </w:rPr>
        <w:t xml:space="preserve">The </w:t>
      </w:r>
      <w:r w:rsidRPr="00D15E9E">
        <w:rPr>
          <w:bCs/>
          <w:i/>
          <w:iCs/>
        </w:rPr>
        <w:t>PSH Self-Assessment</w:t>
      </w:r>
      <w:r w:rsidRPr="00D15E9E">
        <w:rPr>
          <w:bCs/>
        </w:rPr>
        <w:t xml:space="preserve"> target universe is</w:t>
      </w:r>
      <w:r>
        <w:rPr>
          <w:bCs/>
        </w:rPr>
        <w:t xml:space="preserve"> the</w:t>
      </w:r>
      <w:r w:rsidRPr="00D15E9E">
        <w:rPr>
          <w:bCs/>
        </w:rPr>
        <w:t xml:space="preserve"> grantee</w:t>
      </w:r>
      <w:r>
        <w:rPr>
          <w:bCs/>
        </w:rPr>
        <w:t>s from the</w:t>
      </w:r>
      <w:r w:rsidRPr="00571156">
        <w:rPr>
          <w:bCs/>
        </w:rPr>
        <w:t xml:space="preserve"> GBHI 2009-2010, SSH 2009-2010, and CABHI 2011-2012 </w:t>
      </w:r>
      <w:r>
        <w:rPr>
          <w:bCs/>
        </w:rPr>
        <w:t>cohorts</w:t>
      </w:r>
      <w:r w:rsidRPr="00571156">
        <w:rPr>
          <w:bCs/>
        </w:rPr>
        <w:t xml:space="preserve"> who are implementing a PSH model, per information </w:t>
      </w:r>
      <w:r>
        <w:rPr>
          <w:bCs/>
        </w:rPr>
        <w:t xml:space="preserve">collected during the </w:t>
      </w:r>
      <w:r>
        <w:rPr>
          <w:bCs/>
          <w:i/>
          <w:iCs/>
        </w:rPr>
        <w:t>PD Interview</w:t>
      </w:r>
      <w:r w:rsidRPr="00571156">
        <w:rPr>
          <w:bCs/>
        </w:rPr>
        <w:t>.</w:t>
      </w:r>
      <w:r w:rsidRPr="00D15E9E">
        <w:rPr>
          <w:bCs/>
        </w:rPr>
        <w:t xml:space="preserve"> </w:t>
      </w:r>
      <w:r w:rsidRPr="00D15E9E">
        <w:t>From this subsample, the sampling method is a census of all grantee projects meeting the above criteria</w:t>
      </w:r>
      <w:r>
        <w:t>. A preliminary review of all Homeless Programs grant applications revealed that</w:t>
      </w:r>
      <w:r w:rsidRPr="00D15E9E">
        <w:t xml:space="preserve"> </w:t>
      </w:r>
      <w:r>
        <w:t>approximately</w:t>
      </w:r>
      <w:r w:rsidRPr="00D15E9E">
        <w:t xml:space="preserve"> </w:t>
      </w:r>
      <w:r>
        <w:t>100</w:t>
      </w:r>
      <w:r w:rsidRPr="00D15E9E">
        <w:t xml:space="preserve"> grantees pro</w:t>
      </w:r>
      <w:r>
        <w:t>jects</w:t>
      </w:r>
      <w:r w:rsidRPr="00D15E9E">
        <w:t xml:space="preserve"> are </w:t>
      </w:r>
      <w:r w:rsidR="004E4C4C">
        <w:t>implementing PSH and therefore are eligible</w:t>
      </w:r>
      <w:r w:rsidRPr="00D15E9E">
        <w:t xml:space="preserve"> to complete the </w:t>
      </w:r>
      <w:r w:rsidRPr="00B41C50">
        <w:rPr>
          <w:i/>
          <w:iCs/>
        </w:rPr>
        <w:t>PSH Self-Assessment</w:t>
      </w:r>
      <w:r w:rsidRPr="00D15E9E">
        <w:t>.</w:t>
      </w:r>
      <w:r w:rsidRPr="00D15E9E">
        <w:rPr>
          <w:bCs/>
        </w:rPr>
        <w:t xml:space="preserve"> Respondents will include grantee project directors</w:t>
      </w:r>
      <w:r>
        <w:rPr>
          <w:bCs/>
        </w:rPr>
        <w:t xml:space="preserve"> or a key staff member knowledgeable about the PSH model being implemented by the project, as designated by the grantee project director</w:t>
      </w:r>
      <w:r w:rsidRPr="00D15E9E">
        <w:rPr>
          <w:bCs/>
        </w:rPr>
        <w:t>.</w:t>
      </w:r>
      <w:r>
        <w:rPr>
          <w:bCs/>
        </w:rPr>
        <w:t xml:space="preserve"> There will be one respondent per grantee project.</w:t>
      </w:r>
    </w:p>
    <w:p w:rsidR="00CA38A9" w:rsidRDefault="00CA38A9" w:rsidP="00CA38A9"/>
    <w:p w:rsidR="00CA38A9" w:rsidRPr="001B1E03" w:rsidRDefault="00CA38A9" w:rsidP="00CA38A9">
      <w:pPr>
        <w:rPr>
          <w:b/>
        </w:rPr>
      </w:pPr>
      <w:r w:rsidRPr="0095575B">
        <w:rPr>
          <w:b/>
        </w:rPr>
        <w:t>2.</w:t>
      </w:r>
      <w:r w:rsidRPr="0095575B">
        <w:rPr>
          <w:b/>
        </w:rPr>
        <w:tab/>
      </w:r>
      <w:r w:rsidRPr="00BD44FB">
        <w:rPr>
          <w:b/>
          <w:u w:val="single"/>
        </w:rPr>
        <w:t>Information Collection Procedures</w:t>
      </w:r>
    </w:p>
    <w:p w:rsidR="00CA38A9" w:rsidRDefault="00CA38A9" w:rsidP="00CA38A9">
      <w:pPr>
        <w:rPr>
          <w:bCs/>
        </w:rPr>
      </w:pPr>
    </w:p>
    <w:p w:rsidR="00CA38A9" w:rsidRPr="00062802" w:rsidRDefault="00CA38A9" w:rsidP="00CA38A9">
      <w:pPr>
        <w:spacing w:after="120"/>
        <w:rPr>
          <w:bCs/>
          <w:u w:val="single"/>
        </w:rPr>
      </w:pPr>
      <w:r>
        <w:rPr>
          <w:bCs/>
          <w:u w:val="single"/>
        </w:rPr>
        <w:t>PD Interview</w:t>
      </w:r>
    </w:p>
    <w:p w:rsidR="00CA38A9" w:rsidRDefault="00CA38A9" w:rsidP="00AD1748">
      <w:r>
        <w:t xml:space="preserve">As noted above, respondents to the </w:t>
      </w:r>
      <w:r>
        <w:rPr>
          <w:i/>
          <w:iCs/>
        </w:rPr>
        <w:t>PD Interview</w:t>
      </w:r>
      <w:r>
        <w:t xml:space="preserve"> telephone interview are grantee project directors. Publicly available contact information (e.g., phone number, email address) for the grantee project directors will be provided by SAMHSA to the Evaluation contractor.  The contractor’s evaluation team will contact grantee project directors via email (with telephone follow-up) to setup a mutually convenient time during regularly schedul</w:t>
      </w:r>
      <w:r w:rsidR="00614EBF">
        <w:t xml:space="preserve">ed business hours. Prior to conducting </w:t>
      </w:r>
      <w:r>
        <w:t xml:space="preserve">the </w:t>
      </w:r>
      <w:r>
        <w:rPr>
          <w:i/>
          <w:iCs/>
        </w:rPr>
        <w:t>PD Interview</w:t>
      </w:r>
      <w:r>
        <w:t>, the evaluation team will review grant applications</w:t>
      </w:r>
      <w:r w:rsidR="00AD1748">
        <w:t xml:space="preserve"> that</w:t>
      </w:r>
      <w:r w:rsidR="00BC04AE">
        <w:t xml:space="preserve"> detail the proposed characteristics of the project</w:t>
      </w:r>
      <w:r w:rsidR="00AD1748">
        <w:t xml:space="preserve"> (</w:t>
      </w:r>
      <w:r>
        <w:t xml:space="preserve">submitted to SAMHSA </w:t>
      </w:r>
      <w:r w:rsidR="00BC04AE">
        <w:t xml:space="preserve">by each grantee </w:t>
      </w:r>
      <w:r w:rsidR="00FD3EE9">
        <w:t xml:space="preserve">and </w:t>
      </w:r>
      <w:r>
        <w:t xml:space="preserve">given to the evaluation team by SAMHSA) and extract information relevant to the evaluation (e.g., project structure, </w:t>
      </w:r>
      <w:r w:rsidR="00AD1748">
        <w:t xml:space="preserve">proposed </w:t>
      </w:r>
      <w:r>
        <w:t xml:space="preserve">services to be provided, </w:t>
      </w:r>
      <w:r w:rsidR="00AD1748">
        <w:t xml:space="preserve">proposed </w:t>
      </w:r>
      <w:r>
        <w:t>EBPs</w:t>
      </w:r>
      <w:r w:rsidR="00BC04AE">
        <w:t xml:space="preserve"> and</w:t>
      </w:r>
      <w:r>
        <w:t xml:space="preserve"> housing models</w:t>
      </w:r>
      <w:r w:rsidR="00BC04AE">
        <w:t xml:space="preserve"> to be implemented</w:t>
      </w:r>
      <w:r>
        <w:t xml:space="preserve">, targeted populations). This information will be recorded onto a computerized template that will pre-populate about 51% of the </w:t>
      </w:r>
      <w:r>
        <w:rPr>
          <w:i/>
          <w:iCs/>
        </w:rPr>
        <w:t>PD Interview</w:t>
      </w:r>
      <w:r>
        <w:t xml:space="preserve"> questions for grantee and project characteristics, services, partners and key stakeholders, target population to be served, planned </w:t>
      </w:r>
      <w:r>
        <w:lastRenderedPageBreak/>
        <w:t>sustainability activities and local evaluation plans. This will allow the</w:t>
      </w:r>
      <w:r w:rsidRPr="00B24850">
        <w:t xml:space="preserve"> grantees to confirm or update information</w:t>
      </w:r>
      <w:r w:rsidR="00AD1748">
        <w:t xml:space="preserve"> </w:t>
      </w:r>
      <w:r w:rsidRPr="00B24850">
        <w:t xml:space="preserve">during the </w:t>
      </w:r>
      <w:r w:rsidRPr="00B24850">
        <w:rPr>
          <w:i/>
          <w:iCs/>
        </w:rPr>
        <w:t>PD</w:t>
      </w:r>
      <w:r w:rsidRPr="00AD1748">
        <w:rPr>
          <w:i/>
          <w:iCs/>
        </w:rPr>
        <w:t xml:space="preserve"> Interview</w:t>
      </w:r>
      <w:r w:rsidR="00AD1748" w:rsidRPr="00AD1748">
        <w:t xml:space="preserve"> </w:t>
      </w:r>
      <w:r w:rsidR="00AD1748">
        <w:t>about what is actually being implemented</w:t>
      </w:r>
      <w:r>
        <w:t>, which</w:t>
      </w:r>
      <w:r w:rsidRPr="00B24850">
        <w:t xml:space="preserve"> not only helps reduce </w:t>
      </w:r>
      <w:r>
        <w:t xml:space="preserve">grantee </w:t>
      </w:r>
      <w:r w:rsidRPr="00B24850">
        <w:t>burden</w:t>
      </w:r>
      <w:r>
        <w:t>, but also</w:t>
      </w:r>
      <w:r w:rsidRPr="00B24850">
        <w:t xml:space="preserve"> directly helps identify changes and adjustments grantees make to their programs once </w:t>
      </w:r>
      <w:r>
        <w:t xml:space="preserve">they are </w:t>
      </w:r>
      <w:r w:rsidRPr="00B24850">
        <w:t>implemented.</w:t>
      </w:r>
      <w:r>
        <w:t xml:space="preserve"> </w:t>
      </w:r>
    </w:p>
    <w:p w:rsidR="00CA38A9" w:rsidRDefault="00CA38A9" w:rsidP="00CA38A9"/>
    <w:p w:rsidR="00CA38A9" w:rsidRDefault="00CA38A9" w:rsidP="00FD3EE9">
      <w:pPr>
        <w:rPr>
          <w:bCs/>
        </w:rPr>
      </w:pPr>
      <w:r>
        <w:t xml:space="preserve">Once the interview is scheduled, the contractor will provide the grantee project director with </w:t>
      </w:r>
      <w:r w:rsidRPr="00B24850">
        <w:t>a</w:t>
      </w:r>
      <w:r>
        <w:t>n electronic</w:t>
      </w:r>
      <w:r w:rsidRPr="00B24850">
        <w:t xml:space="preserve"> </w:t>
      </w:r>
      <w:r>
        <w:t>version</w:t>
      </w:r>
      <w:r w:rsidRPr="00B24850">
        <w:t xml:space="preserve"> of the co</w:t>
      </w:r>
      <w:r>
        <w:t>nsent form,</w:t>
      </w:r>
      <w:r w:rsidRPr="00B24850">
        <w:t xml:space="preserve"> the partially pre-populated </w:t>
      </w:r>
      <w:r>
        <w:rPr>
          <w:i/>
          <w:iCs/>
        </w:rPr>
        <w:t>PD Interview</w:t>
      </w:r>
      <w:r>
        <w:t xml:space="preserve"> and</w:t>
      </w:r>
      <w:r w:rsidRPr="00B24850">
        <w:t xml:space="preserve"> </w:t>
      </w:r>
      <w:r>
        <w:t xml:space="preserve">a toll-free, passcode protected telephone conference number. Prior to beginning the </w:t>
      </w:r>
      <w:r>
        <w:rPr>
          <w:i/>
          <w:iCs/>
        </w:rPr>
        <w:t>PD Interview,</w:t>
      </w:r>
      <w:r>
        <w:t xml:space="preserve"> the respondent will be read a script for consent that informs the respondent of their rights, including the right to not answer any question, and asks for their verbal consent to participate in the interview. If consent is provided, a senior evaluator from the contractor’s evaluation team will lead the respondent through the interview. The estimated time for the interview is 3.5 hours, which includes time for the project director to review and gather material prior to the telephone interview.</w:t>
      </w:r>
      <w:r w:rsidR="00666637" w:rsidRPr="00666637">
        <w:rPr>
          <w:bCs/>
        </w:rPr>
        <w:t xml:space="preserve"> </w:t>
      </w:r>
      <w:r w:rsidR="00666637">
        <w:rPr>
          <w:bCs/>
        </w:rPr>
        <w:t>If needed, respondents will be offered to take at least one short break during the interview.</w:t>
      </w:r>
      <w:r>
        <w:t xml:space="preserve"> Responses will be entered by a junior team member directly into the computerized version of the </w:t>
      </w:r>
      <w:r>
        <w:rPr>
          <w:i/>
          <w:iCs/>
        </w:rPr>
        <w:t>PD Interview</w:t>
      </w:r>
      <w:r w:rsidRPr="00062802">
        <w:t xml:space="preserve"> </w:t>
      </w:r>
      <w:r>
        <w:t>during the interview</w:t>
      </w:r>
      <w:r w:rsidR="00FD3EE9">
        <w:t>, which</w:t>
      </w:r>
      <w:r>
        <w:t xml:space="preserve"> will be reviewed by the senior and junior evaluation team members and corrected for any input errors. The electronic version of the </w:t>
      </w:r>
      <w:r>
        <w:rPr>
          <w:i/>
          <w:iCs/>
        </w:rPr>
        <w:t>PD Interview</w:t>
      </w:r>
      <w:r>
        <w:t xml:space="preserve"> will be maintained on a password protected, Point Sec-encrypted secure server accessible only to the contractor’s evaluation team. The grantee agency and project director will be assigned ID numbers so that the respondent name and grantee agency will not appear on the </w:t>
      </w:r>
      <w:r>
        <w:rPr>
          <w:i/>
          <w:iCs/>
        </w:rPr>
        <w:t>PD Interview</w:t>
      </w:r>
      <w:r>
        <w:t xml:space="preserve"> computerized form along with responses. Following the interview, the interviewer will send an email thanking the grantee project director for his or her participation.</w:t>
      </w:r>
    </w:p>
    <w:p w:rsidR="00CA38A9" w:rsidRDefault="00CA38A9" w:rsidP="00CA38A9">
      <w:pPr>
        <w:rPr>
          <w:bCs/>
          <w:i/>
          <w:iCs/>
        </w:rPr>
      </w:pPr>
    </w:p>
    <w:p w:rsidR="00CA38A9" w:rsidRPr="00C631EB" w:rsidRDefault="00CA38A9" w:rsidP="00CA38A9">
      <w:pPr>
        <w:spacing w:after="120"/>
        <w:rPr>
          <w:rFonts w:eastAsia="Calibri"/>
          <w:u w:val="single"/>
        </w:rPr>
      </w:pPr>
      <w:r w:rsidRPr="00C631EB">
        <w:rPr>
          <w:rFonts w:eastAsia="Calibri"/>
          <w:u w:val="single"/>
        </w:rPr>
        <w:t>Site Visit Guides</w:t>
      </w:r>
    </w:p>
    <w:p w:rsidR="00CA38A9" w:rsidRPr="00C631EB" w:rsidRDefault="00CA38A9" w:rsidP="00B421AF">
      <w:pPr>
        <w:rPr>
          <w:rFonts w:eastAsia="Calibri"/>
        </w:rPr>
      </w:pPr>
      <w:r w:rsidRPr="00C631EB">
        <w:rPr>
          <w:rFonts w:eastAsia="Calibri"/>
        </w:rPr>
        <w:t>As noted above, site visit participants include the Project Director and Management staff; Case Managers, Treatment, and Housing staff/providers; Stakeholders; Evaluators; Clients and Financial staff. Once site visit selection is finalized</w:t>
      </w:r>
      <w:r>
        <w:rPr>
          <w:rFonts w:eastAsia="Calibri"/>
        </w:rPr>
        <w:t xml:space="preserve"> using the sampling method outlined above,</w:t>
      </w:r>
      <w:r w:rsidRPr="00C631EB">
        <w:rPr>
          <w:rFonts w:eastAsia="Calibri"/>
        </w:rPr>
        <w:t xml:space="preserve"> an email will be sent to the project director and local evaluator to arrange a pre-site visit call. Once the pre-site visit call is scheduled</w:t>
      </w:r>
      <w:r w:rsidR="00FD3EE9">
        <w:rPr>
          <w:rFonts w:eastAsia="Calibri"/>
        </w:rPr>
        <w:t>,</w:t>
      </w:r>
      <w:r w:rsidRPr="00C631EB">
        <w:rPr>
          <w:rFonts w:eastAsia="Calibri"/>
        </w:rPr>
        <w:t xml:space="preserve"> the contractor will provide </w:t>
      </w:r>
      <w:r>
        <w:rPr>
          <w:rFonts w:eastAsia="Calibri"/>
        </w:rPr>
        <w:t xml:space="preserve">the grantee with </w:t>
      </w:r>
      <w:r w:rsidRPr="00C631EB">
        <w:rPr>
          <w:rFonts w:eastAsia="Calibri"/>
        </w:rPr>
        <w:t>a toll-free, passcode protected telephone conference number; at the</w:t>
      </w:r>
      <w:r>
        <w:rPr>
          <w:rFonts w:eastAsia="Calibri"/>
        </w:rPr>
        <w:t xml:space="preserve"> grantee’s</w:t>
      </w:r>
      <w:r w:rsidRPr="00C631EB">
        <w:rPr>
          <w:rFonts w:eastAsia="Calibri"/>
        </w:rPr>
        <w:t xml:space="preserve"> </w:t>
      </w:r>
      <w:r>
        <w:rPr>
          <w:rFonts w:eastAsia="Calibri"/>
        </w:rPr>
        <w:t>p</w:t>
      </w:r>
      <w:r w:rsidRPr="00C631EB">
        <w:rPr>
          <w:rFonts w:eastAsia="Calibri"/>
        </w:rPr>
        <w:t xml:space="preserve">roject </w:t>
      </w:r>
      <w:r>
        <w:rPr>
          <w:rFonts w:eastAsia="Calibri"/>
        </w:rPr>
        <w:t>d</w:t>
      </w:r>
      <w:r w:rsidRPr="00C631EB">
        <w:rPr>
          <w:rFonts w:eastAsia="Calibri"/>
        </w:rPr>
        <w:t xml:space="preserve">irector’s discretion, he or she can include project staff on the pre-site call. To provide sufficient information prior to the call, the evaluation will also send the </w:t>
      </w:r>
      <w:r>
        <w:rPr>
          <w:rFonts w:eastAsia="Calibri"/>
        </w:rPr>
        <w:t>p</w:t>
      </w:r>
      <w:r w:rsidRPr="00C631EB">
        <w:rPr>
          <w:rFonts w:eastAsia="Calibri"/>
        </w:rPr>
        <w:t xml:space="preserve">roject </w:t>
      </w:r>
      <w:r>
        <w:rPr>
          <w:rFonts w:eastAsia="Calibri"/>
        </w:rPr>
        <w:t>d</w:t>
      </w:r>
      <w:r w:rsidRPr="00C631EB">
        <w:rPr>
          <w:rFonts w:eastAsia="Calibri"/>
        </w:rPr>
        <w:t xml:space="preserve">irector the </w:t>
      </w:r>
      <w:r w:rsidRPr="00C631EB">
        <w:rPr>
          <w:rFonts w:eastAsia="Calibri"/>
          <w:i/>
          <w:iCs/>
        </w:rPr>
        <w:t>Site Visit Guides</w:t>
      </w:r>
      <w:r w:rsidRPr="00C631EB">
        <w:rPr>
          <w:rFonts w:eastAsia="Calibri"/>
        </w:rPr>
        <w:t xml:space="preserve"> topics and potential respondents</w:t>
      </w:r>
      <w:r>
        <w:rPr>
          <w:rFonts w:eastAsia="Calibri"/>
        </w:rPr>
        <w:t xml:space="preserve"> for each interview</w:t>
      </w:r>
      <w:r w:rsidRPr="00C631EB">
        <w:rPr>
          <w:rFonts w:eastAsia="Calibri"/>
        </w:rPr>
        <w:t>. During the call</w:t>
      </w:r>
      <w:r>
        <w:rPr>
          <w:rFonts w:eastAsia="Calibri"/>
        </w:rPr>
        <w:t>,</w:t>
      </w:r>
      <w:r w:rsidRPr="00C631EB">
        <w:rPr>
          <w:rFonts w:eastAsia="Calibri"/>
        </w:rPr>
        <w:t xml:space="preserve"> a date for the site visit </w:t>
      </w:r>
      <w:r>
        <w:rPr>
          <w:rFonts w:eastAsia="Calibri"/>
        </w:rPr>
        <w:t>will be</w:t>
      </w:r>
      <w:r w:rsidRPr="00C631EB">
        <w:rPr>
          <w:rFonts w:eastAsia="Calibri"/>
        </w:rPr>
        <w:t xml:space="preserve"> set and</w:t>
      </w:r>
      <w:r>
        <w:rPr>
          <w:rFonts w:eastAsia="Calibri"/>
        </w:rPr>
        <w:t xml:space="preserve"> an agenda</w:t>
      </w:r>
      <w:r w:rsidRPr="00C631EB">
        <w:rPr>
          <w:rFonts w:eastAsia="Calibri"/>
        </w:rPr>
        <w:t xml:space="preserve"> </w:t>
      </w:r>
      <w:r>
        <w:rPr>
          <w:rFonts w:eastAsia="Calibri"/>
        </w:rPr>
        <w:t>will be</w:t>
      </w:r>
      <w:r w:rsidRPr="00C631EB">
        <w:rPr>
          <w:rFonts w:eastAsia="Calibri"/>
        </w:rPr>
        <w:t xml:space="preserve"> developed. If needed</w:t>
      </w:r>
      <w:r>
        <w:rPr>
          <w:rFonts w:eastAsia="Calibri"/>
        </w:rPr>
        <w:t>,</w:t>
      </w:r>
      <w:r w:rsidRPr="00C631EB">
        <w:rPr>
          <w:rFonts w:eastAsia="Calibri"/>
        </w:rPr>
        <w:t xml:space="preserve"> site visit logistics </w:t>
      </w:r>
      <w:r>
        <w:rPr>
          <w:rFonts w:eastAsia="Calibri"/>
        </w:rPr>
        <w:t>will be</w:t>
      </w:r>
      <w:r w:rsidRPr="00C631EB">
        <w:rPr>
          <w:rFonts w:eastAsia="Calibri"/>
        </w:rPr>
        <w:t xml:space="preserve"> finalized through additional calls and via email. Prior to the site visit, the evaluation team will send three additional documents: 1) the finalized agenda and logistics information (e.g., </w:t>
      </w:r>
      <w:r>
        <w:rPr>
          <w:rFonts w:eastAsia="Calibri"/>
        </w:rPr>
        <w:t xml:space="preserve">site visitors’ </w:t>
      </w:r>
      <w:r w:rsidRPr="00C631EB">
        <w:rPr>
          <w:rFonts w:eastAsia="Calibri"/>
        </w:rPr>
        <w:t xml:space="preserve">hotel and contact information, contact information for </w:t>
      </w:r>
      <w:r>
        <w:rPr>
          <w:rFonts w:eastAsia="Calibri"/>
        </w:rPr>
        <w:t xml:space="preserve">the </w:t>
      </w:r>
      <w:r w:rsidRPr="00C631EB">
        <w:rPr>
          <w:rFonts w:eastAsia="Calibri"/>
        </w:rPr>
        <w:t xml:space="preserve">primary </w:t>
      </w:r>
      <w:r>
        <w:rPr>
          <w:rFonts w:eastAsia="Calibri"/>
        </w:rPr>
        <w:t xml:space="preserve">grantee </w:t>
      </w:r>
      <w:r w:rsidRPr="00C631EB">
        <w:rPr>
          <w:rFonts w:eastAsia="Calibri"/>
        </w:rPr>
        <w:t>site contact)</w:t>
      </w:r>
      <w:r>
        <w:rPr>
          <w:rFonts w:eastAsia="Calibri"/>
        </w:rPr>
        <w:t>,</w:t>
      </w:r>
      <w:r w:rsidRPr="00C631EB">
        <w:rPr>
          <w:rFonts w:eastAsia="Calibri"/>
        </w:rPr>
        <w:t xml:space="preserve"> 2) the full </w:t>
      </w:r>
      <w:r w:rsidRPr="00C631EB">
        <w:rPr>
          <w:rFonts w:eastAsia="Calibri"/>
          <w:i/>
          <w:iCs/>
        </w:rPr>
        <w:t>Site Visit Guides,</w:t>
      </w:r>
      <w:r w:rsidRPr="00C631EB">
        <w:rPr>
          <w:rFonts w:eastAsia="Calibri"/>
        </w:rPr>
        <w:t xml:space="preserve"> and 3) a draft Client Flow Chart developed by the evaluation team from the </w:t>
      </w:r>
      <w:r w:rsidR="00FD3EE9">
        <w:rPr>
          <w:rFonts w:eastAsia="Calibri"/>
        </w:rPr>
        <w:t>review of the grant application</w:t>
      </w:r>
      <w:r>
        <w:rPr>
          <w:rFonts w:eastAsia="Calibri"/>
          <w:i/>
          <w:iCs/>
        </w:rPr>
        <w:t xml:space="preserve"> </w:t>
      </w:r>
      <w:r>
        <w:rPr>
          <w:rFonts w:eastAsia="Calibri"/>
        </w:rPr>
        <w:t>to be</w:t>
      </w:r>
      <w:r w:rsidRPr="00C631EB">
        <w:rPr>
          <w:rFonts w:eastAsia="Calibri"/>
        </w:rPr>
        <w:t xml:space="preserve"> review</w:t>
      </w:r>
      <w:r>
        <w:rPr>
          <w:rFonts w:eastAsia="Calibri"/>
        </w:rPr>
        <w:t>ed</w:t>
      </w:r>
      <w:r w:rsidRPr="00C631EB">
        <w:rPr>
          <w:rFonts w:eastAsia="Calibri"/>
        </w:rPr>
        <w:t xml:space="preserve"> and discuss</w:t>
      </w:r>
      <w:r>
        <w:rPr>
          <w:rFonts w:eastAsia="Calibri"/>
        </w:rPr>
        <w:t>ed</w:t>
      </w:r>
      <w:r w:rsidRPr="00C631EB">
        <w:rPr>
          <w:rFonts w:eastAsia="Calibri"/>
        </w:rPr>
        <w:t xml:space="preserve"> during the Opening Session </w:t>
      </w:r>
      <w:r>
        <w:rPr>
          <w:rFonts w:eastAsia="Calibri"/>
        </w:rPr>
        <w:t>of</w:t>
      </w:r>
      <w:r w:rsidRPr="00C631EB">
        <w:rPr>
          <w:rFonts w:eastAsia="Calibri"/>
        </w:rPr>
        <w:t xml:space="preserve"> the site visit. </w:t>
      </w:r>
      <w:r w:rsidR="00B421AF" w:rsidRPr="00C631EB">
        <w:rPr>
          <w:rFonts w:eastAsia="Calibri"/>
        </w:rPr>
        <w:t xml:space="preserve">The </w:t>
      </w:r>
      <w:r w:rsidR="00B421AF" w:rsidRPr="00C631EB">
        <w:rPr>
          <w:rFonts w:eastAsia="Calibri"/>
          <w:i/>
          <w:iCs/>
        </w:rPr>
        <w:t>Site Visit Guides</w:t>
      </w:r>
      <w:r w:rsidR="00B421AF" w:rsidRPr="00C631EB">
        <w:rPr>
          <w:rFonts w:eastAsia="Calibri"/>
        </w:rPr>
        <w:t xml:space="preserve"> will be customized to each grantee as some questions may not be relevant to all grantees, depending on housing and service models, and select sections will be pre-populated based on the information </w:t>
      </w:r>
      <w:r w:rsidR="00B421AF">
        <w:rPr>
          <w:rFonts w:eastAsia="Calibri"/>
        </w:rPr>
        <w:t>obtained from review of the grant application</w:t>
      </w:r>
      <w:r w:rsidR="00B421AF" w:rsidRPr="00C631EB">
        <w:rPr>
          <w:rFonts w:eastAsia="Calibri"/>
        </w:rPr>
        <w:t>; during the site visits, these pre-populated items will be reviewed by grantees and updated as needed by the site visitor interviewer.</w:t>
      </w:r>
      <w:r w:rsidRPr="00C631EB">
        <w:rPr>
          <w:rFonts w:eastAsia="Calibri"/>
        </w:rPr>
        <w:t xml:space="preserve"> </w:t>
      </w:r>
    </w:p>
    <w:p w:rsidR="00CA38A9" w:rsidRPr="00C631EB" w:rsidRDefault="00CA38A9" w:rsidP="00CA38A9">
      <w:pPr>
        <w:rPr>
          <w:rFonts w:eastAsia="Calibri"/>
        </w:rPr>
      </w:pPr>
    </w:p>
    <w:p w:rsidR="00CA38A9" w:rsidRDefault="00CA38A9" w:rsidP="00B421AF">
      <w:pPr>
        <w:rPr>
          <w:bCs/>
        </w:rPr>
      </w:pPr>
      <w:r w:rsidRPr="00C631EB">
        <w:rPr>
          <w:rFonts w:eastAsia="Calibri"/>
        </w:rPr>
        <w:lastRenderedPageBreak/>
        <w:t xml:space="preserve">Site visits to the selected GBHI 2010, SSH </w:t>
      </w:r>
      <w:r>
        <w:rPr>
          <w:rFonts w:eastAsia="Calibri"/>
        </w:rPr>
        <w:t>2</w:t>
      </w:r>
      <w:r w:rsidRPr="00C631EB">
        <w:rPr>
          <w:rFonts w:eastAsia="Calibri"/>
        </w:rPr>
        <w:t>009-</w:t>
      </w:r>
      <w:r>
        <w:rPr>
          <w:rFonts w:eastAsia="Calibri"/>
        </w:rPr>
        <w:t>2</w:t>
      </w:r>
      <w:r w:rsidRPr="00C631EB">
        <w:rPr>
          <w:rFonts w:eastAsia="Calibri"/>
        </w:rPr>
        <w:t xml:space="preserve">010, and CABHI 2011-2012 projects will be three days in duration and include three evaluation site visitors. Site visits to the selected PATH project sites will be two days in duration and include </w:t>
      </w:r>
      <w:r>
        <w:rPr>
          <w:rFonts w:eastAsia="Calibri"/>
        </w:rPr>
        <w:t>one</w:t>
      </w:r>
      <w:r w:rsidRPr="00C631EB">
        <w:rPr>
          <w:rFonts w:eastAsia="Calibri"/>
        </w:rPr>
        <w:t xml:space="preserve"> evaluation site visitor. The evaluation site visit team will travel to the grantee’s project site for the mutually scheduled site visit date. Site visits will be conducted in-person, typically at the grantee’s location or where the project implements its services to participants. The site visit team will speak with different staff members, partner representatives and stakeholders throughout the day with concurrent meetings held to best utilize both grantee staff, partners and clients and the evaluation team. Each participant will be provided a written consent form prior to beginning their participation and procedures, including audio recording, will be verbally explained in addition to the participants</w:t>
      </w:r>
      <w:r>
        <w:rPr>
          <w:rFonts w:eastAsia="Calibri"/>
        </w:rPr>
        <w:t>’</w:t>
      </w:r>
      <w:r w:rsidRPr="00C631EB">
        <w:rPr>
          <w:rFonts w:eastAsia="Calibri"/>
        </w:rPr>
        <w:t xml:space="preserve"> </w:t>
      </w:r>
      <w:r>
        <w:rPr>
          <w:rFonts w:eastAsia="Calibri"/>
        </w:rPr>
        <w:t xml:space="preserve">own </w:t>
      </w:r>
      <w:r w:rsidRPr="00C631EB">
        <w:rPr>
          <w:rFonts w:eastAsia="Calibri"/>
        </w:rPr>
        <w:t>review</w:t>
      </w:r>
      <w:r>
        <w:rPr>
          <w:rFonts w:eastAsia="Calibri"/>
        </w:rPr>
        <w:t xml:space="preserve"> of</w:t>
      </w:r>
      <w:r w:rsidRPr="00C631EB">
        <w:rPr>
          <w:rFonts w:eastAsia="Calibri"/>
        </w:rPr>
        <w:t xml:space="preserve"> the consent. Each individual and group discussion will be digitally recorded (if the interviewee consents) and written notes will be taken on a laptop computer. The recordings will be transcribed and the recording </w:t>
      </w:r>
      <w:r>
        <w:rPr>
          <w:rFonts w:eastAsia="Calibri"/>
        </w:rPr>
        <w:t xml:space="preserve">will be </w:t>
      </w:r>
      <w:r w:rsidRPr="00C631EB">
        <w:rPr>
          <w:rFonts w:eastAsia="Calibri"/>
        </w:rPr>
        <w:t xml:space="preserve">deleted once the transcript is finalized. Transcripts will be </w:t>
      </w:r>
      <w:r w:rsidRPr="00D72C1C">
        <w:rPr>
          <w:rFonts w:eastAsia="Calibri"/>
        </w:rPr>
        <w:t>ent</w:t>
      </w:r>
      <w:r>
        <w:rPr>
          <w:rFonts w:eastAsia="Calibri"/>
        </w:rPr>
        <w:t xml:space="preserve">ered into an </w:t>
      </w:r>
      <w:proofErr w:type="spellStart"/>
      <w:r>
        <w:rPr>
          <w:rFonts w:eastAsia="Calibri"/>
        </w:rPr>
        <w:t>Atlas.ti</w:t>
      </w:r>
      <w:proofErr w:type="spellEnd"/>
      <w:r>
        <w:rPr>
          <w:rFonts w:eastAsia="Calibri"/>
        </w:rPr>
        <w:t xml:space="preserve"> database and </w:t>
      </w:r>
      <w:r w:rsidRPr="00C631EB">
        <w:rPr>
          <w:rFonts w:eastAsia="Calibri"/>
        </w:rPr>
        <w:t xml:space="preserve">used for qualitative </w:t>
      </w:r>
      <w:proofErr w:type="spellStart"/>
      <w:r w:rsidRPr="00C631EB">
        <w:rPr>
          <w:rFonts w:eastAsia="Calibri"/>
        </w:rPr>
        <w:t>analysis.Written</w:t>
      </w:r>
      <w:proofErr w:type="spellEnd"/>
      <w:r w:rsidRPr="00C631EB">
        <w:rPr>
          <w:rFonts w:eastAsia="Calibri"/>
        </w:rPr>
        <w:t xml:space="preserve"> notes will be used to clean transcripts</w:t>
      </w:r>
      <w:r w:rsidR="00B421AF">
        <w:rPr>
          <w:rFonts w:eastAsia="Calibri"/>
        </w:rPr>
        <w:t>,</w:t>
      </w:r>
      <w:r w:rsidRPr="00C631EB">
        <w:rPr>
          <w:rFonts w:eastAsia="Calibri"/>
        </w:rPr>
        <w:t xml:space="preserve"> including to clarify questions resulting from the transcribed audio recordings. Written notes will also be used to write a brief summary of the site visit and</w:t>
      </w:r>
      <w:r>
        <w:rPr>
          <w:rFonts w:eastAsia="Calibri"/>
        </w:rPr>
        <w:t xml:space="preserve"> will be</w:t>
      </w:r>
      <w:r w:rsidRPr="00C631EB">
        <w:rPr>
          <w:rFonts w:eastAsia="Calibri"/>
        </w:rPr>
        <w:t xml:space="preserve"> submit</w:t>
      </w:r>
      <w:r>
        <w:rPr>
          <w:rFonts w:eastAsia="Calibri"/>
        </w:rPr>
        <w:t>ted</w:t>
      </w:r>
      <w:r w:rsidRPr="00C631EB">
        <w:rPr>
          <w:rFonts w:eastAsia="Calibri"/>
        </w:rPr>
        <w:t xml:space="preserve"> to SAMHSA</w:t>
      </w:r>
      <w:r>
        <w:rPr>
          <w:rFonts w:eastAsia="Calibri"/>
        </w:rPr>
        <w:t>.</w:t>
      </w:r>
      <w:r>
        <w:rPr>
          <w:bCs/>
        </w:rPr>
        <w:t xml:space="preserve"> </w:t>
      </w:r>
    </w:p>
    <w:p w:rsidR="00CA38A9" w:rsidRDefault="00CA38A9" w:rsidP="00CA38A9">
      <w:pPr>
        <w:rPr>
          <w:bCs/>
        </w:rPr>
      </w:pPr>
    </w:p>
    <w:p w:rsidR="00CA38A9" w:rsidRPr="00F03DA0" w:rsidRDefault="00CA38A9" w:rsidP="00CA38A9">
      <w:pPr>
        <w:keepNext/>
        <w:spacing w:after="120"/>
        <w:rPr>
          <w:u w:val="single"/>
        </w:rPr>
      </w:pPr>
      <w:r w:rsidRPr="00F03DA0">
        <w:rPr>
          <w:u w:val="single"/>
        </w:rPr>
        <w:t>EBP</w:t>
      </w:r>
      <w:r>
        <w:rPr>
          <w:u w:val="single"/>
        </w:rPr>
        <w:t xml:space="preserve"> Self-Assessment</w:t>
      </w:r>
      <w:r w:rsidRPr="00F03DA0">
        <w:rPr>
          <w:u w:val="single"/>
        </w:rPr>
        <w:t xml:space="preserve"> and P</w:t>
      </w:r>
      <w:r>
        <w:rPr>
          <w:u w:val="single"/>
        </w:rPr>
        <w:t>SH</w:t>
      </w:r>
      <w:r w:rsidRPr="00F03DA0">
        <w:rPr>
          <w:u w:val="single"/>
        </w:rPr>
        <w:t xml:space="preserve"> Self-Assessment</w:t>
      </w:r>
    </w:p>
    <w:p w:rsidR="00CA38A9" w:rsidRDefault="00CA38A9" w:rsidP="00CA38A9">
      <w:pPr>
        <w:rPr>
          <w:rFonts w:eastAsia="Calibri"/>
        </w:rPr>
      </w:pPr>
      <w:r w:rsidRPr="00C07BE6">
        <w:rPr>
          <w:rFonts w:eastAsia="Calibri"/>
        </w:rPr>
        <w:t xml:space="preserve">During the </w:t>
      </w:r>
      <w:r>
        <w:rPr>
          <w:rFonts w:eastAsia="Calibri"/>
          <w:i/>
          <w:iCs/>
        </w:rPr>
        <w:t>PD Interview</w:t>
      </w:r>
      <w:r w:rsidRPr="001B2A39">
        <w:rPr>
          <w:rFonts w:eastAsia="Calibri"/>
        </w:rPr>
        <w:t>,</w:t>
      </w:r>
      <w:r w:rsidRPr="00C07BE6">
        <w:rPr>
          <w:rFonts w:eastAsia="Calibri"/>
        </w:rPr>
        <w:t xml:space="preserve"> grantees will be informed </w:t>
      </w:r>
      <w:r>
        <w:rPr>
          <w:rFonts w:eastAsia="Calibri"/>
        </w:rPr>
        <w:t>about</w:t>
      </w:r>
      <w:r w:rsidRPr="00C07BE6">
        <w:rPr>
          <w:rFonts w:eastAsia="Calibri"/>
        </w:rPr>
        <w:t xml:space="preserve"> the </w:t>
      </w:r>
      <w:r w:rsidRPr="00C07BE6">
        <w:rPr>
          <w:rFonts w:eastAsia="Calibri"/>
          <w:i/>
          <w:iCs/>
        </w:rPr>
        <w:t xml:space="preserve">EBP </w:t>
      </w:r>
      <w:r w:rsidRPr="00C07BE6">
        <w:rPr>
          <w:rFonts w:eastAsia="Calibri"/>
        </w:rPr>
        <w:t xml:space="preserve">and </w:t>
      </w:r>
      <w:r w:rsidRPr="00C07BE6">
        <w:rPr>
          <w:rFonts w:eastAsia="Calibri"/>
          <w:i/>
          <w:iCs/>
        </w:rPr>
        <w:t>PSH Self-Assessment</w:t>
      </w:r>
      <w:r>
        <w:rPr>
          <w:rFonts w:eastAsia="Calibri"/>
        </w:rPr>
        <w:t xml:space="preserve"> and that they will be contacted by the evaluation team to complete the </w:t>
      </w:r>
      <w:r w:rsidRPr="00772B33">
        <w:rPr>
          <w:rFonts w:eastAsia="Calibri"/>
          <w:i/>
          <w:iCs/>
        </w:rPr>
        <w:t>EBP Self-Assessment</w:t>
      </w:r>
      <w:r>
        <w:rPr>
          <w:rFonts w:eastAsia="Calibri"/>
        </w:rPr>
        <w:t xml:space="preserve"> and may be contacted to complete the </w:t>
      </w:r>
      <w:r w:rsidRPr="00772B33">
        <w:rPr>
          <w:rFonts w:eastAsia="Calibri"/>
          <w:i/>
          <w:iCs/>
        </w:rPr>
        <w:t>PSH Self-Assessment</w:t>
      </w:r>
      <w:r>
        <w:rPr>
          <w:rFonts w:eastAsia="Calibri"/>
        </w:rPr>
        <w:t>, if they meet the selection criteria</w:t>
      </w:r>
      <w:r w:rsidRPr="00C07BE6">
        <w:rPr>
          <w:rFonts w:eastAsia="Calibri"/>
        </w:rPr>
        <w:t xml:space="preserve">. </w:t>
      </w:r>
    </w:p>
    <w:p w:rsidR="00CA38A9" w:rsidRDefault="00CA38A9" w:rsidP="00CA38A9">
      <w:pPr>
        <w:rPr>
          <w:rFonts w:eastAsia="Calibri"/>
        </w:rPr>
      </w:pPr>
    </w:p>
    <w:p w:rsidR="00CA38A9" w:rsidRPr="001B2A39" w:rsidRDefault="00CA38A9" w:rsidP="00023B0C">
      <w:pPr>
        <w:rPr>
          <w:rFonts w:eastAsia="Calibri"/>
        </w:rPr>
      </w:pPr>
      <w:r w:rsidRPr="00C07BE6">
        <w:rPr>
          <w:rFonts w:eastAsia="Calibri"/>
        </w:rPr>
        <w:t xml:space="preserve">All grantees will be </w:t>
      </w:r>
      <w:r>
        <w:rPr>
          <w:rFonts w:eastAsia="Calibri"/>
        </w:rPr>
        <w:t xml:space="preserve">sent an email by the evaluation team with a link </w:t>
      </w:r>
      <w:r w:rsidRPr="00C07BE6">
        <w:rPr>
          <w:rFonts w:eastAsia="Calibri"/>
        </w:rPr>
        <w:t xml:space="preserve">to complete the </w:t>
      </w:r>
      <w:r w:rsidRPr="00C07BE6">
        <w:rPr>
          <w:rFonts w:eastAsia="Calibri"/>
          <w:i/>
          <w:iCs/>
        </w:rPr>
        <w:t>EBP Self-Assessment</w:t>
      </w:r>
      <w:r w:rsidRPr="001B2A39">
        <w:rPr>
          <w:rFonts w:eastAsia="Calibri"/>
          <w:i/>
          <w:iCs/>
        </w:rPr>
        <w:t xml:space="preserve"> – P</w:t>
      </w:r>
      <w:r w:rsidRPr="00C07BE6">
        <w:rPr>
          <w:rFonts w:eastAsia="Calibri"/>
          <w:i/>
          <w:iCs/>
        </w:rPr>
        <w:t>art 1</w:t>
      </w:r>
      <w:r w:rsidRPr="00C07BE6">
        <w:rPr>
          <w:rFonts w:eastAsia="Calibri"/>
        </w:rPr>
        <w:t xml:space="preserve"> on practice implementation</w:t>
      </w:r>
      <w:r>
        <w:rPr>
          <w:rFonts w:eastAsia="Calibri"/>
        </w:rPr>
        <w:t xml:space="preserve">. Information from the </w:t>
      </w:r>
      <w:r w:rsidRPr="00B70FA3">
        <w:rPr>
          <w:rFonts w:eastAsia="Calibri"/>
          <w:i/>
          <w:iCs/>
        </w:rPr>
        <w:t>PD Interview</w:t>
      </w:r>
      <w:r>
        <w:rPr>
          <w:rFonts w:eastAsia="Calibri"/>
        </w:rPr>
        <w:t xml:space="preserve"> will be used to identify g</w:t>
      </w:r>
      <w:r w:rsidRPr="00C07BE6">
        <w:rPr>
          <w:rFonts w:eastAsia="Calibri"/>
        </w:rPr>
        <w:t xml:space="preserve">rantees </w:t>
      </w:r>
      <w:r w:rsidRPr="001B2A39">
        <w:rPr>
          <w:rFonts w:eastAsia="Calibri"/>
        </w:rPr>
        <w:t>that</w:t>
      </w:r>
      <w:r w:rsidRPr="00C07BE6">
        <w:rPr>
          <w:rFonts w:eastAsia="Calibri"/>
        </w:rPr>
        <w:t xml:space="preserve"> </w:t>
      </w:r>
      <w:r>
        <w:rPr>
          <w:rFonts w:eastAsia="Calibri"/>
        </w:rPr>
        <w:t>are implementing</w:t>
      </w:r>
      <w:r w:rsidRPr="00C07BE6">
        <w:rPr>
          <w:rFonts w:eastAsia="Calibri"/>
        </w:rPr>
        <w:t xml:space="preserve"> one or more of the five</w:t>
      </w:r>
      <w:r w:rsidRPr="001B2A39">
        <w:rPr>
          <w:rFonts w:eastAsia="Calibri"/>
        </w:rPr>
        <w:t xml:space="preserve"> sets of</w:t>
      </w:r>
      <w:r w:rsidRPr="00C07BE6">
        <w:rPr>
          <w:rFonts w:eastAsia="Calibri"/>
        </w:rPr>
        <w:t xml:space="preserve"> EBP assessment questions</w:t>
      </w:r>
      <w:r w:rsidRPr="001B2A39">
        <w:rPr>
          <w:rFonts w:eastAsia="Calibri"/>
        </w:rPr>
        <w:t xml:space="preserve"> (ACT, IDDT, IMR, SE, CTI)</w:t>
      </w:r>
      <w:r w:rsidRPr="00C07BE6">
        <w:rPr>
          <w:rFonts w:eastAsia="Calibri"/>
        </w:rPr>
        <w:t xml:space="preserve"> </w:t>
      </w:r>
      <w:r w:rsidR="00B70FA3">
        <w:rPr>
          <w:rFonts w:eastAsia="Calibri"/>
        </w:rPr>
        <w:t>and are eligible to complete the</w:t>
      </w:r>
      <w:r w:rsidRPr="00C07BE6">
        <w:rPr>
          <w:rFonts w:eastAsia="Calibri"/>
        </w:rPr>
        <w:t xml:space="preserve"> </w:t>
      </w:r>
      <w:r w:rsidRPr="00C07BE6">
        <w:rPr>
          <w:rFonts w:eastAsia="Calibri"/>
          <w:i/>
          <w:iCs/>
        </w:rPr>
        <w:t>EBP Self-Assessment</w:t>
      </w:r>
      <w:r w:rsidRPr="001B2A39">
        <w:rPr>
          <w:rFonts w:eastAsia="Calibri"/>
          <w:i/>
          <w:iCs/>
        </w:rPr>
        <w:t xml:space="preserve"> – P</w:t>
      </w:r>
      <w:r w:rsidRPr="00C07BE6">
        <w:rPr>
          <w:rFonts w:eastAsia="Calibri"/>
          <w:i/>
          <w:iCs/>
        </w:rPr>
        <w:t>art 2</w:t>
      </w:r>
      <w:r>
        <w:rPr>
          <w:rFonts w:eastAsia="Calibri"/>
        </w:rPr>
        <w:t xml:space="preserve"> </w:t>
      </w:r>
      <w:r w:rsidR="00B70FA3">
        <w:rPr>
          <w:rFonts w:eastAsia="Calibri"/>
        </w:rPr>
        <w:t>and to identify grantees that are implementing</w:t>
      </w:r>
      <w:r>
        <w:rPr>
          <w:rFonts w:eastAsia="Calibri"/>
        </w:rPr>
        <w:t xml:space="preserve"> </w:t>
      </w:r>
      <w:r w:rsidRPr="00C07BE6">
        <w:rPr>
          <w:rFonts w:eastAsia="Calibri"/>
        </w:rPr>
        <w:t>PSH</w:t>
      </w:r>
      <w:r>
        <w:rPr>
          <w:rFonts w:eastAsia="Calibri"/>
        </w:rPr>
        <w:t xml:space="preserve"> and are </w:t>
      </w:r>
      <w:proofErr w:type="spellStart"/>
      <w:r>
        <w:rPr>
          <w:rFonts w:eastAsia="Calibri"/>
        </w:rPr>
        <w:t>eligibile</w:t>
      </w:r>
      <w:proofErr w:type="spellEnd"/>
      <w:r>
        <w:rPr>
          <w:rFonts w:eastAsia="Calibri"/>
        </w:rPr>
        <w:t xml:space="preserve"> to complete the </w:t>
      </w:r>
      <w:r w:rsidRPr="00B70FA3">
        <w:rPr>
          <w:rFonts w:eastAsia="Calibri"/>
          <w:i/>
          <w:iCs/>
        </w:rPr>
        <w:t>PSH Self-Assessment</w:t>
      </w:r>
      <w:r>
        <w:rPr>
          <w:rFonts w:eastAsia="Calibri"/>
        </w:rPr>
        <w:t xml:space="preserve">. Emails to complete these surveys </w:t>
      </w:r>
      <w:r w:rsidRPr="00C07BE6">
        <w:rPr>
          <w:rFonts w:eastAsia="Calibri"/>
        </w:rPr>
        <w:t xml:space="preserve">will include the unique grantee participant ID and site ID and secure log-in information to </w:t>
      </w:r>
      <w:r w:rsidRPr="001B2A39">
        <w:rPr>
          <w:rFonts w:eastAsia="Calibri"/>
        </w:rPr>
        <w:t>the</w:t>
      </w:r>
      <w:r w:rsidRPr="00C07BE6">
        <w:rPr>
          <w:rFonts w:eastAsia="Calibri"/>
        </w:rPr>
        <w:t xml:space="preserve"> web-based survey</w:t>
      </w:r>
      <w:r w:rsidRPr="001B2A39">
        <w:rPr>
          <w:rFonts w:eastAsia="Calibri"/>
        </w:rPr>
        <w:t>s,</w:t>
      </w:r>
      <w:r w:rsidRPr="00C07BE6">
        <w:rPr>
          <w:rFonts w:eastAsia="Calibri"/>
        </w:rPr>
        <w:t xml:space="preserve"> </w:t>
      </w:r>
      <w:r>
        <w:rPr>
          <w:rFonts w:eastAsia="Calibri"/>
        </w:rPr>
        <w:t xml:space="preserve">which will be </w:t>
      </w:r>
      <w:r w:rsidRPr="00C07BE6">
        <w:rPr>
          <w:rFonts w:eastAsia="Calibri"/>
        </w:rPr>
        <w:t xml:space="preserve">hosted on the </w:t>
      </w:r>
      <w:r w:rsidRPr="001B2A39">
        <w:rPr>
          <w:rFonts w:eastAsia="Calibri"/>
        </w:rPr>
        <w:t>contractor’</w:t>
      </w:r>
      <w:r w:rsidRPr="00C07BE6">
        <w:rPr>
          <w:rFonts w:eastAsia="Calibri"/>
        </w:rPr>
        <w:t xml:space="preserve">s secure servers through the </w:t>
      </w:r>
      <w:r w:rsidRPr="001B2A39">
        <w:rPr>
          <w:rFonts w:eastAsia="Calibri"/>
        </w:rPr>
        <w:t>e</w:t>
      </w:r>
      <w:r w:rsidRPr="00C07BE6">
        <w:rPr>
          <w:rFonts w:eastAsia="Calibri"/>
        </w:rPr>
        <w:t xml:space="preserve">valuation </w:t>
      </w:r>
      <w:r w:rsidRPr="001B2A39">
        <w:rPr>
          <w:rFonts w:eastAsia="Calibri"/>
        </w:rPr>
        <w:t>w</w:t>
      </w:r>
      <w:r w:rsidRPr="00C07BE6">
        <w:rPr>
          <w:rFonts w:eastAsia="Calibri"/>
        </w:rPr>
        <w:t xml:space="preserve">ebsite. The respondent and </w:t>
      </w:r>
      <w:r>
        <w:rPr>
          <w:rFonts w:eastAsia="Calibri"/>
        </w:rPr>
        <w:t xml:space="preserve">grantee </w:t>
      </w:r>
      <w:proofErr w:type="spellStart"/>
      <w:r w:rsidRPr="00C07BE6">
        <w:rPr>
          <w:rFonts w:eastAsia="Calibri"/>
        </w:rPr>
        <w:t>agencys</w:t>
      </w:r>
      <w:proofErr w:type="spellEnd"/>
      <w:r w:rsidR="00B70FA3">
        <w:rPr>
          <w:rFonts w:eastAsia="Calibri"/>
        </w:rPr>
        <w:t>’</w:t>
      </w:r>
      <w:r w:rsidRPr="00C07BE6">
        <w:rPr>
          <w:rFonts w:eastAsia="Calibri"/>
        </w:rPr>
        <w:t xml:space="preserve"> names will not appear with any of the responses and will be kept separately on a secure password protected</w:t>
      </w:r>
      <w:r>
        <w:rPr>
          <w:rFonts w:eastAsia="Calibri"/>
        </w:rPr>
        <w:t>,</w:t>
      </w:r>
      <w:r w:rsidRPr="00C07BE6">
        <w:rPr>
          <w:rFonts w:eastAsia="Calibri"/>
        </w:rPr>
        <w:t xml:space="preserve"> </w:t>
      </w:r>
      <w:r>
        <w:rPr>
          <w:rFonts w:eastAsia="Calibri"/>
        </w:rPr>
        <w:t>Point Sec-</w:t>
      </w:r>
      <w:r w:rsidRPr="00C07BE6">
        <w:rPr>
          <w:rFonts w:eastAsia="Calibri"/>
        </w:rPr>
        <w:t xml:space="preserve">encrypted computer only available to the evaluation Project Director and Project Manager. Following a welcome page, the consent form will appear and the respondent will not be able proceed until the consent form is completed. If the respondent declines, a log off message will appear; if </w:t>
      </w:r>
      <w:r w:rsidRPr="001B2A39">
        <w:rPr>
          <w:rFonts w:eastAsia="Calibri"/>
        </w:rPr>
        <w:t>the participant provides</w:t>
      </w:r>
      <w:r w:rsidRPr="00C07BE6">
        <w:rPr>
          <w:rFonts w:eastAsia="Calibri"/>
        </w:rPr>
        <w:t xml:space="preserve"> consent, the survey will begin. There are separate consent forms for the </w:t>
      </w:r>
      <w:r w:rsidRPr="00C07BE6">
        <w:rPr>
          <w:rFonts w:eastAsia="Calibri"/>
          <w:i/>
          <w:iCs/>
        </w:rPr>
        <w:t>EBP Self-Assessment</w:t>
      </w:r>
      <w:r w:rsidRPr="00C07BE6">
        <w:rPr>
          <w:rFonts w:eastAsia="Calibri"/>
        </w:rPr>
        <w:t xml:space="preserve"> and the </w:t>
      </w:r>
      <w:r w:rsidRPr="00C07BE6">
        <w:rPr>
          <w:rFonts w:eastAsia="Calibri"/>
          <w:i/>
          <w:iCs/>
        </w:rPr>
        <w:t>PSH Self-Assessment</w:t>
      </w:r>
      <w:r w:rsidRPr="00C07BE6">
        <w:rPr>
          <w:rFonts w:eastAsia="Calibri"/>
        </w:rPr>
        <w:t>. The assessments can be completed in one s</w:t>
      </w:r>
      <w:r w:rsidRPr="001B2A39">
        <w:rPr>
          <w:rFonts w:eastAsia="Calibri"/>
        </w:rPr>
        <w:t>i</w:t>
      </w:r>
      <w:r w:rsidRPr="00C07BE6">
        <w:rPr>
          <w:rFonts w:eastAsia="Calibri"/>
        </w:rPr>
        <w:t xml:space="preserve">tting or progress can be saved and continued at a later time until the grantee completes all questions and selects to submit the self-assessment. All data submitted by grantees will be saved securely on the contractor’s secure, password protected </w:t>
      </w:r>
      <w:r>
        <w:rPr>
          <w:rFonts w:eastAsia="Calibri"/>
        </w:rPr>
        <w:t xml:space="preserve">and </w:t>
      </w:r>
      <w:r w:rsidRPr="00C07BE6">
        <w:rPr>
          <w:rFonts w:eastAsia="Calibri"/>
        </w:rPr>
        <w:t xml:space="preserve">encrypted servers.  The resulting datasets will only be available to evaluation team members actively involved in analyzing the </w:t>
      </w:r>
      <w:r w:rsidRPr="00C07BE6">
        <w:rPr>
          <w:rFonts w:eastAsia="Calibri"/>
          <w:i/>
          <w:iCs/>
        </w:rPr>
        <w:t>EBP</w:t>
      </w:r>
      <w:r w:rsidRPr="001B2A39">
        <w:rPr>
          <w:rFonts w:eastAsia="Calibri"/>
          <w:i/>
          <w:iCs/>
        </w:rPr>
        <w:t xml:space="preserve"> </w:t>
      </w:r>
      <w:r w:rsidRPr="00C07BE6">
        <w:rPr>
          <w:rFonts w:eastAsia="Calibri"/>
          <w:i/>
          <w:iCs/>
        </w:rPr>
        <w:t>Self</w:t>
      </w:r>
      <w:r w:rsidRPr="001B2A39">
        <w:rPr>
          <w:rFonts w:eastAsia="Calibri"/>
          <w:i/>
          <w:iCs/>
        </w:rPr>
        <w:t>-</w:t>
      </w:r>
      <w:r w:rsidRPr="00C07BE6">
        <w:rPr>
          <w:rFonts w:eastAsia="Calibri"/>
          <w:i/>
          <w:iCs/>
        </w:rPr>
        <w:t>Assessment</w:t>
      </w:r>
      <w:r w:rsidRPr="00C07BE6">
        <w:rPr>
          <w:rFonts w:eastAsia="Calibri"/>
        </w:rPr>
        <w:t xml:space="preserve"> and </w:t>
      </w:r>
      <w:r w:rsidRPr="00C07BE6">
        <w:rPr>
          <w:rFonts w:eastAsia="Calibri"/>
          <w:i/>
          <w:iCs/>
        </w:rPr>
        <w:t>PSH Self-Assessment</w:t>
      </w:r>
      <w:r w:rsidRPr="00C07BE6">
        <w:rPr>
          <w:rFonts w:eastAsia="Calibri"/>
        </w:rPr>
        <w:t xml:space="preserve"> data.</w:t>
      </w:r>
    </w:p>
    <w:p w:rsidR="00CA38A9" w:rsidRDefault="00CA38A9" w:rsidP="00CA38A9">
      <w:pPr>
        <w:rPr>
          <w:bCs/>
        </w:rPr>
      </w:pPr>
    </w:p>
    <w:p w:rsidR="00CA38A9" w:rsidRPr="00241701" w:rsidRDefault="00CA38A9" w:rsidP="00023B0C">
      <w:pPr>
        <w:keepNext/>
        <w:rPr>
          <w:b/>
        </w:rPr>
      </w:pPr>
      <w:r w:rsidRPr="00241701">
        <w:rPr>
          <w:b/>
        </w:rPr>
        <w:lastRenderedPageBreak/>
        <w:t>3.</w:t>
      </w:r>
      <w:r w:rsidRPr="00241701">
        <w:rPr>
          <w:b/>
        </w:rPr>
        <w:tab/>
      </w:r>
      <w:r w:rsidRPr="00F64949">
        <w:rPr>
          <w:b/>
          <w:u w:val="single"/>
        </w:rPr>
        <w:t>Methods to Maximize Response Rates</w:t>
      </w:r>
    </w:p>
    <w:p w:rsidR="00CA38A9" w:rsidRDefault="00CA38A9" w:rsidP="00023B0C">
      <w:pPr>
        <w:keepNext/>
        <w:rPr>
          <w:bCs/>
        </w:rPr>
      </w:pPr>
    </w:p>
    <w:p w:rsidR="00CA38A9" w:rsidRDefault="00CA38A9" w:rsidP="00CA38A9">
      <w:r>
        <w:rPr>
          <w:bCs/>
        </w:rPr>
        <w:t xml:space="preserve">While grantees in select programs (GBHI and CABHI) are required to participate in the Homeless Evaluation data collection activities, the </w:t>
      </w:r>
      <w:r>
        <w:rPr>
          <w:bCs/>
          <w:i/>
          <w:iCs/>
        </w:rPr>
        <w:t>PD Interview,</w:t>
      </w:r>
      <w:r>
        <w:rPr>
          <w:bCs/>
        </w:rPr>
        <w:t xml:space="preserve"> </w:t>
      </w:r>
      <w:r>
        <w:rPr>
          <w:bCs/>
          <w:i/>
          <w:iCs/>
        </w:rPr>
        <w:t xml:space="preserve">Site Visit Guides </w:t>
      </w:r>
      <w:r>
        <w:rPr>
          <w:bCs/>
        </w:rPr>
        <w:t xml:space="preserve">and </w:t>
      </w:r>
      <w:r>
        <w:rPr>
          <w:bCs/>
          <w:i/>
          <w:iCs/>
        </w:rPr>
        <w:t xml:space="preserve">EBP </w:t>
      </w:r>
      <w:r w:rsidRPr="00783F18">
        <w:rPr>
          <w:bCs/>
        </w:rPr>
        <w:t xml:space="preserve">and </w:t>
      </w:r>
      <w:r>
        <w:rPr>
          <w:bCs/>
          <w:i/>
          <w:iCs/>
        </w:rPr>
        <w:t xml:space="preserve">PSH Self-Assessments </w:t>
      </w:r>
      <w:r>
        <w:rPr>
          <w:bCs/>
        </w:rPr>
        <w:t>are designed to help ensure that each grantee project responds. Efforts to reach a 100% response rate begins at recruitment and focuses on reducing grantee burden and communicating information about the data collection efforts before its implementation.</w:t>
      </w:r>
      <w:r w:rsidRPr="00676C73">
        <w:rPr>
          <w:bCs/>
        </w:rPr>
        <w:t xml:space="preserve"> The contractor has already begun the engagement process by hosting webinars to introduce the evaluation to the grantees and presenting at the grantee’s annual conference, held by SAMHSA. </w:t>
      </w:r>
      <w:r>
        <w:rPr>
          <w:bCs/>
        </w:rPr>
        <w:t xml:space="preserve"> The contractor’s evaluation team will aim to identify the most convenient time for grantee project directors to complete the </w:t>
      </w:r>
      <w:r>
        <w:rPr>
          <w:bCs/>
          <w:i/>
          <w:iCs/>
        </w:rPr>
        <w:t>PD Interview,</w:t>
      </w:r>
      <w:r>
        <w:rPr>
          <w:bCs/>
        </w:rPr>
        <w:t xml:space="preserve"> </w:t>
      </w:r>
      <w:r>
        <w:rPr>
          <w:bCs/>
          <w:i/>
          <w:iCs/>
        </w:rPr>
        <w:t xml:space="preserve">Site Visit Guides </w:t>
      </w:r>
      <w:r>
        <w:rPr>
          <w:bCs/>
        </w:rPr>
        <w:t xml:space="preserve">and </w:t>
      </w:r>
      <w:r>
        <w:rPr>
          <w:bCs/>
          <w:i/>
          <w:iCs/>
        </w:rPr>
        <w:t xml:space="preserve">EBP </w:t>
      </w:r>
      <w:r w:rsidRPr="00783F18">
        <w:rPr>
          <w:bCs/>
        </w:rPr>
        <w:t xml:space="preserve">and </w:t>
      </w:r>
      <w:r>
        <w:rPr>
          <w:bCs/>
          <w:i/>
          <w:iCs/>
        </w:rPr>
        <w:t xml:space="preserve">PSH Self-Assessments. </w:t>
      </w:r>
      <w:r>
        <w:rPr>
          <w:bCs/>
        </w:rPr>
        <w:t xml:space="preserve">Prior to site visits, participants will also be provided the interview topics so they will be </w:t>
      </w:r>
      <w:proofErr w:type="spellStart"/>
      <w:r>
        <w:rPr>
          <w:bCs/>
        </w:rPr>
        <w:t>knowledable</w:t>
      </w:r>
      <w:proofErr w:type="spellEnd"/>
      <w:r>
        <w:rPr>
          <w:bCs/>
        </w:rPr>
        <w:t xml:space="preserve"> about the type of information to  be collected. </w:t>
      </w:r>
      <w:r>
        <w:t>The contractor will use the following strategies to further achieve sufficient response rates:</w:t>
      </w:r>
    </w:p>
    <w:p w:rsidR="00CA38A9" w:rsidRDefault="00CA38A9" w:rsidP="00CA38A9">
      <w:pPr>
        <w:numPr>
          <w:ilvl w:val="1"/>
          <w:numId w:val="14"/>
        </w:numPr>
        <w:tabs>
          <w:tab w:val="clear" w:pos="1440"/>
          <w:tab w:val="num" w:pos="720"/>
        </w:tabs>
        <w:ind w:left="720"/>
      </w:pPr>
      <w:r>
        <w:t>Send grantees an initial email invitation that explains the study and its importance, why they are being asked to participate, and how they can contact the contractor for additional information.</w:t>
      </w:r>
    </w:p>
    <w:p w:rsidR="00CA38A9" w:rsidRDefault="00CA38A9" w:rsidP="00CA38A9">
      <w:pPr>
        <w:numPr>
          <w:ilvl w:val="1"/>
          <w:numId w:val="14"/>
        </w:numPr>
        <w:tabs>
          <w:tab w:val="clear" w:pos="1440"/>
          <w:tab w:val="num" w:pos="720"/>
        </w:tabs>
        <w:ind w:left="720"/>
      </w:pPr>
      <w:r>
        <w:t>Send reminder emails to non-respondents and, if approved by SAMHSA, ask grantee project directors to also encourage non-respondents to participate.</w:t>
      </w:r>
    </w:p>
    <w:p w:rsidR="00CA38A9" w:rsidRPr="00783F18" w:rsidRDefault="00CA38A9" w:rsidP="00CA38A9">
      <w:pPr>
        <w:pStyle w:val="ListParagraph"/>
        <w:numPr>
          <w:ilvl w:val="0"/>
          <w:numId w:val="15"/>
        </w:numPr>
        <w:rPr>
          <w:bCs/>
        </w:rPr>
      </w:pPr>
      <w:r>
        <w:t xml:space="preserve">If needed, for the </w:t>
      </w:r>
      <w:r w:rsidRPr="00783F18">
        <w:rPr>
          <w:bCs/>
          <w:i/>
          <w:iCs/>
        </w:rPr>
        <w:t xml:space="preserve">EBP </w:t>
      </w:r>
      <w:r w:rsidRPr="00783F18">
        <w:rPr>
          <w:bCs/>
        </w:rPr>
        <w:t xml:space="preserve">and </w:t>
      </w:r>
      <w:r w:rsidRPr="00783F18">
        <w:rPr>
          <w:bCs/>
          <w:i/>
          <w:iCs/>
        </w:rPr>
        <w:t>PSH Self-Assessments</w:t>
      </w:r>
      <w:r>
        <w:rPr>
          <w:bCs/>
          <w:i/>
          <w:iCs/>
        </w:rPr>
        <w:t>,</w:t>
      </w:r>
      <w:r>
        <w:t xml:space="preserve"> allow respondents some other way to participate other than over the web (e.g. mailed hard copy or conducted over the telephone).</w:t>
      </w:r>
    </w:p>
    <w:p w:rsidR="00CA38A9" w:rsidRDefault="00CA38A9" w:rsidP="00CA38A9">
      <w:pPr>
        <w:rPr>
          <w:bCs/>
        </w:rPr>
      </w:pPr>
    </w:p>
    <w:p w:rsidR="00CA38A9" w:rsidRDefault="00CA38A9" w:rsidP="00CA38A9">
      <w:pPr>
        <w:rPr>
          <w:b/>
          <w:u w:val="single"/>
        </w:rPr>
      </w:pPr>
      <w:r w:rsidRPr="005E67F7">
        <w:rPr>
          <w:b/>
        </w:rPr>
        <w:t>4.</w:t>
      </w:r>
      <w:r w:rsidRPr="005E67F7">
        <w:rPr>
          <w:b/>
        </w:rPr>
        <w:tab/>
      </w:r>
      <w:r w:rsidRPr="005E67F7">
        <w:rPr>
          <w:b/>
          <w:u w:val="single"/>
        </w:rPr>
        <w:t>Test of Procedures</w:t>
      </w:r>
    </w:p>
    <w:p w:rsidR="00CA38A9" w:rsidRDefault="00CA38A9" w:rsidP="00CA38A9">
      <w:pPr>
        <w:rPr>
          <w:b/>
          <w:u w:val="single"/>
        </w:rPr>
      </w:pPr>
    </w:p>
    <w:p w:rsidR="00CA38A9" w:rsidRDefault="00CA38A9" w:rsidP="00023B0C">
      <w:pPr>
        <w:rPr>
          <w:bCs/>
        </w:rPr>
      </w:pPr>
      <w:r w:rsidRPr="00783F18">
        <w:rPr>
          <w:bCs/>
        </w:rPr>
        <w:t xml:space="preserve">The </w:t>
      </w:r>
      <w:r>
        <w:rPr>
          <w:bCs/>
          <w:i/>
          <w:iCs/>
        </w:rPr>
        <w:t>PD Interview</w:t>
      </w:r>
      <w:r w:rsidRPr="00783F18">
        <w:rPr>
          <w:bCs/>
          <w:i/>
          <w:iCs/>
        </w:rPr>
        <w:t xml:space="preserve"> </w:t>
      </w:r>
      <w:r w:rsidRPr="00783F18">
        <w:rPr>
          <w:bCs/>
        </w:rPr>
        <w:t>and</w:t>
      </w:r>
      <w:r w:rsidRPr="00783F18">
        <w:rPr>
          <w:bCs/>
          <w:i/>
          <w:iCs/>
        </w:rPr>
        <w:t xml:space="preserve"> Site Visit Guides</w:t>
      </w:r>
      <w:r w:rsidRPr="00783F18" w:rsidDel="00F90A7F">
        <w:rPr>
          <w:bCs/>
          <w:i/>
          <w:iCs/>
        </w:rPr>
        <w:t xml:space="preserve"> </w:t>
      </w:r>
      <w:r w:rsidRPr="00783F18">
        <w:rPr>
          <w:bCs/>
        </w:rPr>
        <w:t>were first developed and implemented in the GBHI 2009 cross-site evaluation effort. For the Homeless</w:t>
      </w:r>
      <w:r>
        <w:rPr>
          <w:bCs/>
        </w:rPr>
        <w:t xml:space="preserve"> Programs</w:t>
      </w:r>
      <w:r w:rsidRPr="00783F18">
        <w:rPr>
          <w:bCs/>
        </w:rPr>
        <w:t xml:space="preserve"> Evaluation, the </w:t>
      </w:r>
      <w:r>
        <w:rPr>
          <w:bCs/>
          <w:i/>
          <w:iCs/>
        </w:rPr>
        <w:t>PD Interview</w:t>
      </w:r>
      <w:r w:rsidRPr="00783F18">
        <w:rPr>
          <w:bCs/>
          <w:i/>
          <w:iCs/>
        </w:rPr>
        <w:t xml:space="preserve"> </w:t>
      </w:r>
      <w:r w:rsidRPr="00783F18">
        <w:rPr>
          <w:bCs/>
        </w:rPr>
        <w:t>and</w:t>
      </w:r>
      <w:r w:rsidRPr="00783F18">
        <w:rPr>
          <w:bCs/>
          <w:i/>
          <w:iCs/>
        </w:rPr>
        <w:t xml:space="preserve"> Site Visit Guides</w:t>
      </w:r>
      <w:r w:rsidRPr="00783F18" w:rsidDel="00F90A7F">
        <w:rPr>
          <w:bCs/>
          <w:i/>
          <w:iCs/>
        </w:rPr>
        <w:t xml:space="preserve"> </w:t>
      </w:r>
      <w:r w:rsidRPr="00783F18">
        <w:rPr>
          <w:bCs/>
        </w:rPr>
        <w:t xml:space="preserve">were revised based on prior experience (e.g., removing redundant questions, clarifying question wording and instructions, shifting questions to probes or probes to questions) and to incorporate the Evaluation’s wider scope and the additional grantee programs. With these changes, the </w:t>
      </w:r>
      <w:r>
        <w:rPr>
          <w:bCs/>
          <w:i/>
          <w:iCs/>
        </w:rPr>
        <w:t>PD Interview</w:t>
      </w:r>
      <w:r w:rsidRPr="00783F18">
        <w:rPr>
          <w:bCs/>
          <w:i/>
          <w:iCs/>
        </w:rPr>
        <w:t xml:space="preserve"> </w:t>
      </w:r>
      <w:r w:rsidRPr="00783F18">
        <w:rPr>
          <w:bCs/>
        </w:rPr>
        <w:t>and</w:t>
      </w:r>
      <w:r w:rsidRPr="00783F18">
        <w:rPr>
          <w:bCs/>
          <w:i/>
          <w:iCs/>
        </w:rPr>
        <w:t xml:space="preserve"> Site Visit Guides</w:t>
      </w:r>
      <w:r w:rsidRPr="00783F18">
        <w:rPr>
          <w:bCs/>
        </w:rPr>
        <w:t xml:space="preserve"> still have the same topics, similar format, and number of questions. As such, the experience from the GBHI FY2009 evaluation is relevant to the current versions. </w:t>
      </w:r>
      <w:r w:rsidRPr="000F71DE">
        <w:rPr>
          <w:bCs/>
        </w:rPr>
        <w:t>Th</w:t>
      </w:r>
      <w:r>
        <w:rPr>
          <w:bCs/>
        </w:rPr>
        <w:t>e</w:t>
      </w:r>
      <w:r w:rsidRPr="000F71DE">
        <w:rPr>
          <w:bCs/>
        </w:rPr>
        <w:t xml:space="preserve"> procedure</w:t>
      </w:r>
      <w:r>
        <w:rPr>
          <w:bCs/>
        </w:rPr>
        <w:t xml:space="preserve"> for the </w:t>
      </w:r>
      <w:r>
        <w:rPr>
          <w:bCs/>
          <w:i/>
          <w:iCs/>
        </w:rPr>
        <w:t>PD Interview</w:t>
      </w:r>
      <w:r w:rsidRPr="000F71DE">
        <w:rPr>
          <w:bCs/>
        </w:rPr>
        <w:t xml:space="preserve"> was previously piloted during the GBHI cross-site evaluation to good effect and with 100% participation; grantees appreciated the ability to pre-review both the consent form and the interview questions so they were prepared for the focus of the evaluation and to review and discuss the questions during the telephone interview.</w:t>
      </w:r>
      <w:r>
        <w:rPr>
          <w:bCs/>
        </w:rPr>
        <w:t xml:space="preserve">  The </w:t>
      </w:r>
      <w:r w:rsidRPr="00772B33">
        <w:rPr>
          <w:bCs/>
          <w:i/>
          <w:iCs/>
        </w:rPr>
        <w:t>Site Visit Guides</w:t>
      </w:r>
      <w:r>
        <w:rPr>
          <w:bCs/>
        </w:rPr>
        <w:t xml:space="preserve"> and procedures were piloted during the GBHI cross-site evaluation with 100% grantee participation and grantees found the Site Visit process to </w:t>
      </w:r>
      <w:r w:rsidR="00023B0C">
        <w:rPr>
          <w:bCs/>
        </w:rPr>
        <w:t xml:space="preserve">be </w:t>
      </w:r>
      <w:r>
        <w:rPr>
          <w:bCs/>
        </w:rPr>
        <w:t xml:space="preserve">straightforward, well-designed and flexible to the uniqueness of the individual grantee projects. Based on feedback from </w:t>
      </w:r>
      <w:r w:rsidR="00023B0C">
        <w:rPr>
          <w:bCs/>
        </w:rPr>
        <w:t>this</w:t>
      </w:r>
      <w:r>
        <w:rPr>
          <w:bCs/>
        </w:rPr>
        <w:t xml:space="preserve"> piloting, the P</w:t>
      </w:r>
      <w:r w:rsidR="00023B0C">
        <w:rPr>
          <w:bCs/>
        </w:rPr>
        <w:t xml:space="preserve">roject </w:t>
      </w:r>
      <w:r>
        <w:rPr>
          <w:bCs/>
        </w:rPr>
        <w:t>D</w:t>
      </w:r>
      <w:r w:rsidR="00023B0C">
        <w:rPr>
          <w:bCs/>
        </w:rPr>
        <w:t>irector</w:t>
      </w:r>
      <w:r>
        <w:rPr>
          <w:bCs/>
        </w:rPr>
        <w:t xml:space="preserve">/Opening Session and the Treatment/Case Management/Housing </w:t>
      </w:r>
      <w:r w:rsidR="00023B0C">
        <w:rPr>
          <w:bCs/>
        </w:rPr>
        <w:t>S</w:t>
      </w:r>
      <w:r>
        <w:rPr>
          <w:bCs/>
        </w:rPr>
        <w:t xml:space="preserve">taff </w:t>
      </w:r>
      <w:r w:rsidR="00023B0C">
        <w:rPr>
          <w:bCs/>
        </w:rPr>
        <w:t>Discussion Guides</w:t>
      </w:r>
      <w:r>
        <w:rPr>
          <w:bCs/>
        </w:rPr>
        <w:t xml:space="preserve"> were consolidated to more effectively use staff time. The cost </w:t>
      </w:r>
      <w:r w:rsidR="00023B0C">
        <w:rPr>
          <w:bCs/>
        </w:rPr>
        <w:t>questionnaire</w:t>
      </w:r>
      <w:r>
        <w:rPr>
          <w:bCs/>
        </w:rPr>
        <w:t xml:space="preserve"> was also </w:t>
      </w:r>
      <w:proofErr w:type="spellStart"/>
      <w:r>
        <w:rPr>
          <w:bCs/>
        </w:rPr>
        <w:t>streamedlined</w:t>
      </w:r>
      <w:proofErr w:type="spellEnd"/>
      <w:r>
        <w:rPr>
          <w:bCs/>
        </w:rPr>
        <w:t xml:space="preserve"> by using broader service categories </w:t>
      </w:r>
      <w:r w:rsidR="00023B0C">
        <w:rPr>
          <w:bCs/>
        </w:rPr>
        <w:t>to</w:t>
      </w:r>
      <w:r>
        <w:rPr>
          <w:bCs/>
        </w:rPr>
        <w:t xml:space="preserve"> better align with the categories used across all grantees.</w:t>
      </w:r>
    </w:p>
    <w:p w:rsidR="00CA38A9" w:rsidRDefault="00CA38A9" w:rsidP="00CA38A9">
      <w:pPr>
        <w:rPr>
          <w:bCs/>
        </w:rPr>
      </w:pPr>
    </w:p>
    <w:p w:rsidR="00023B0C" w:rsidRDefault="00CA38A9" w:rsidP="00430F6B">
      <w:pPr>
        <w:rPr>
          <w:bCs/>
        </w:rPr>
      </w:pPr>
      <w:r w:rsidRPr="00783F18">
        <w:rPr>
          <w:bCs/>
        </w:rPr>
        <w:t xml:space="preserve">The </w:t>
      </w:r>
      <w:r w:rsidRPr="00783F18">
        <w:rPr>
          <w:bCs/>
          <w:i/>
          <w:iCs/>
        </w:rPr>
        <w:t>EBP Self-Assessment</w:t>
      </w:r>
      <w:r w:rsidRPr="00783F18">
        <w:rPr>
          <w:bCs/>
        </w:rPr>
        <w:t xml:space="preserve"> and </w:t>
      </w:r>
      <w:r w:rsidRPr="00783F18">
        <w:rPr>
          <w:bCs/>
          <w:i/>
          <w:iCs/>
        </w:rPr>
        <w:t>PSH Self-Assessment</w:t>
      </w:r>
      <w:r w:rsidRPr="00783F18">
        <w:rPr>
          <w:bCs/>
        </w:rPr>
        <w:t xml:space="preserve"> are developed from standardized SAMHSA </w:t>
      </w:r>
      <w:r w:rsidR="00CD464D">
        <w:rPr>
          <w:bCs/>
        </w:rPr>
        <w:t xml:space="preserve"> EBP Fidelity </w:t>
      </w:r>
      <w:r w:rsidRPr="00783F18">
        <w:rPr>
          <w:bCs/>
        </w:rPr>
        <w:t>Tool Kit</w:t>
      </w:r>
      <w:r w:rsidRPr="00430F6B">
        <w:rPr>
          <w:bCs/>
        </w:rPr>
        <w:t>s</w:t>
      </w:r>
      <w:r w:rsidRPr="00430F6B">
        <w:t xml:space="preserve"> (</w:t>
      </w:r>
      <w:r w:rsidRPr="00430F6B">
        <w:rPr>
          <w:u w:val="single"/>
        </w:rPr>
        <w:t>ACT</w:t>
      </w:r>
      <w:r w:rsidRPr="00430F6B">
        <w:t>: D</w:t>
      </w:r>
      <w:r w:rsidRPr="00430F6B">
        <w:rPr>
          <w:rStyle w:val="A6"/>
          <w:color w:val="000000"/>
        </w:rPr>
        <w:t>HHS Publication No. SMA-08-4344;</w:t>
      </w:r>
      <w:r w:rsidRPr="00430F6B">
        <w:t xml:space="preserve"> </w:t>
      </w:r>
      <w:r w:rsidRPr="00430F6B">
        <w:rPr>
          <w:u w:val="single"/>
        </w:rPr>
        <w:t>IDDT</w:t>
      </w:r>
      <w:r w:rsidRPr="00430F6B">
        <w:t>: D</w:t>
      </w:r>
      <w:r w:rsidRPr="00430F6B">
        <w:rPr>
          <w:rStyle w:val="A6"/>
          <w:color w:val="000000"/>
        </w:rPr>
        <w:t xml:space="preserve">HHS Publication </w:t>
      </w:r>
      <w:r w:rsidRPr="00430F6B">
        <w:rPr>
          <w:rStyle w:val="A6"/>
          <w:color w:val="000000"/>
        </w:rPr>
        <w:lastRenderedPageBreak/>
        <w:t>No. SMA-08-4366;</w:t>
      </w:r>
      <w:r w:rsidRPr="00430F6B">
        <w:t xml:space="preserve"> </w:t>
      </w:r>
      <w:r w:rsidRPr="00430F6B">
        <w:rPr>
          <w:u w:val="single"/>
        </w:rPr>
        <w:t>IMR</w:t>
      </w:r>
      <w:r w:rsidRPr="00430F6B">
        <w:t>: D</w:t>
      </w:r>
      <w:r w:rsidRPr="00430F6B">
        <w:rPr>
          <w:rStyle w:val="A21"/>
          <w:color w:val="000000"/>
        </w:rPr>
        <w:t>HHS Publication No. SMA-09-4462;</w:t>
      </w:r>
      <w:r w:rsidRPr="00430F6B">
        <w:t xml:space="preserve"> </w:t>
      </w:r>
      <w:r w:rsidRPr="00430F6B">
        <w:rPr>
          <w:u w:val="single"/>
        </w:rPr>
        <w:t>SE</w:t>
      </w:r>
      <w:r w:rsidRPr="00430F6B">
        <w:t>: D</w:t>
      </w:r>
      <w:r w:rsidRPr="00430F6B">
        <w:rPr>
          <w:rStyle w:val="A6"/>
          <w:color w:val="000000"/>
        </w:rPr>
        <w:t xml:space="preserve">HHS Publication No. SMA-08-4364; </w:t>
      </w:r>
      <w:r w:rsidR="00CD464D" w:rsidRPr="00430F6B">
        <w:rPr>
          <w:rStyle w:val="A6"/>
          <w:color w:val="000000"/>
        </w:rPr>
        <w:t xml:space="preserve">and </w:t>
      </w:r>
      <w:r w:rsidRPr="00430F6B">
        <w:rPr>
          <w:rStyle w:val="A6"/>
          <w:color w:val="000000"/>
          <w:u w:val="single"/>
        </w:rPr>
        <w:t>PSH</w:t>
      </w:r>
      <w:r w:rsidRPr="00430F6B">
        <w:rPr>
          <w:rStyle w:val="A6"/>
          <w:color w:val="000000"/>
        </w:rPr>
        <w:t xml:space="preserve">: </w:t>
      </w:r>
      <w:r w:rsidRPr="00430F6B">
        <w:t>DHHS Publication No. SMA-10-4509)</w:t>
      </w:r>
      <w:r w:rsidR="00430F6B" w:rsidRPr="00430F6B">
        <w:t>, which have been tested with SAMHSA grantees (</w:t>
      </w:r>
      <w:proofErr w:type="spellStart"/>
      <w:r w:rsidR="00430F6B" w:rsidRPr="00430F6B">
        <w:t>McHugo</w:t>
      </w:r>
      <w:proofErr w:type="spellEnd"/>
      <w:r w:rsidR="00430F6B" w:rsidRPr="00430F6B">
        <w:t xml:space="preserve"> et al., 2007),</w:t>
      </w:r>
      <w:r w:rsidRPr="00430F6B">
        <w:rPr>
          <w:bCs/>
        </w:rPr>
        <w:t xml:space="preserve"> and other validated assessment tools (</w:t>
      </w:r>
      <w:r w:rsidRPr="00430F6B">
        <w:t xml:space="preserve">the GOI </w:t>
      </w:r>
      <w:r w:rsidR="00023B0C" w:rsidRPr="00430F6B">
        <w:t>[</w:t>
      </w:r>
      <w:r w:rsidRPr="00430F6B">
        <w:t>Bond et al., 2009</w:t>
      </w:r>
      <w:r w:rsidR="00023B0C" w:rsidRPr="00430F6B">
        <w:t>]</w:t>
      </w:r>
      <w:r w:rsidRPr="00430F6B">
        <w:t xml:space="preserve">; the SHAY </w:t>
      </w:r>
      <w:r w:rsidR="00CD464D" w:rsidRPr="00430F6B">
        <w:t>[</w:t>
      </w:r>
      <w:proofErr w:type="spellStart"/>
      <w:r w:rsidRPr="00430F6B">
        <w:t>Finnerty</w:t>
      </w:r>
      <w:proofErr w:type="spellEnd"/>
      <w:r w:rsidRPr="00430F6B">
        <w:t xml:space="preserve"> et al., 2009</w:t>
      </w:r>
      <w:r w:rsidR="00CD464D" w:rsidRPr="00430F6B">
        <w:t>]</w:t>
      </w:r>
      <w:r w:rsidRPr="00430F6B">
        <w:t>; the I</w:t>
      </w:r>
      <w:r w:rsidR="00CD464D" w:rsidRPr="00430F6B">
        <w:t>SA</w:t>
      </w:r>
      <w:r w:rsidRPr="00430F6B">
        <w:t xml:space="preserve"> </w:t>
      </w:r>
      <w:r w:rsidR="00CD464D" w:rsidRPr="00430F6B">
        <w:t>[</w:t>
      </w:r>
      <w:proofErr w:type="spellStart"/>
      <w:r w:rsidRPr="00430F6B">
        <w:t>Fixsen</w:t>
      </w:r>
      <w:proofErr w:type="spellEnd"/>
      <w:r w:rsidRPr="00430F6B">
        <w:t xml:space="preserve"> &amp; </w:t>
      </w:r>
      <w:proofErr w:type="spellStart"/>
      <w:r w:rsidRPr="00430F6B">
        <w:t>Blase</w:t>
      </w:r>
      <w:proofErr w:type="spellEnd"/>
      <w:r w:rsidRPr="00430F6B">
        <w:t>, 2010</w:t>
      </w:r>
      <w:r w:rsidR="00CD464D" w:rsidRPr="00430F6B">
        <w:t>]</w:t>
      </w:r>
      <w:r w:rsidRPr="00430F6B">
        <w:t xml:space="preserve">; Pathways Housing First Fidelity Scale-ACT version </w:t>
      </w:r>
      <w:r w:rsidR="00CD464D" w:rsidRPr="00430F6B">
        <w:t>[</w:t>
      </w:r>
      <w:proofErr w:type="spellStart"/>
      <w:r w:rsidRPr="00430F6B">
        <w:t>Tsemberis</w:t>
      </w:r>
      <w:proofErr w:type="spellEnd"/>
      <w:r w:rsidRPr="00430F6B">
        <w:t>, 2010</w:t>
      </w:r>
      <w:r w:rsidR="00CD464D" w:rsidRPr="00430F6B">
        <w:t>]</w:t>
      </w:r>
      <w:r w:rsidRPr="00430F6B">
        <w:t xml:space="preserve">; the FSP Practices Scale </w:t>
      </w:r>
      <w:r w:rsidR="00CD464D" w:rsidRPr="00430F6B">
        <w:t>[</w:t>
      </w:r>
      <w:r w:rsidRPr="00430F6B">
        <w:t>Gilmer et al. 2010</w:t>
      </w:r>
      <w:r w:rsidR="00CD464D" w:rsidRPr="00430F6B">
        <w:t>]</w:t>
      </w:r>
      <w:r w:rsidRPr="00430F6B">
        <w:t xml:space="preserve">) </w:t>
      </w:r>
      <w:r w:rsidR="00430F6B" w:rsidRPr="00430F6B">
        <w:rPr>
          <w:bCs/>
        </w:rPr>
        <w:t>that</w:t>
      </w:r>
      <w:r w:rsidRPr="00430F6B">
        <w:rPr>
          <w:bCs/>
        </w:rPr>
        <w:t xml:space="preserve"> are used regularly by organizations similar to the Homeless Program grantees (Gilmer &amp; Katz, 2012; </w:t>
      </w:r>
      <w:proofErr w:type="spellStart"/>
      <w:r w:rsidRPr="00430F6B">
        <w:rPr>
          <w:bCs/>
        </w:rPr>
        <w:t>Macnaughton</w:t>
      </w:r>
      <w:proofErr w:type="spellEnd"/>
      <w:r w:rsidRPr="00430F6B">
        <w:rPr>
          <w:bCs/>
        </w:rPr>
        <w:t xml:space="preserve">, Goering, &amp; Nelson, 2012; </w:t>
      </w:r>
      <w:proofErr w:type="spellStart"/>
      <w:r w:rsidRPr="00430F6B">
        <w:rPr>
          <w:bCs/>
        </w:rPr>
        <w:t>Stergiopoulos</w:t>
      </w:r>
      <w:proofErr w:type="spellEnd"/>
      <w:r w:rsidRPr="00430F6B">
        <w:rPr>
          <w:bCs/>
        </w:rPr>
        <w:t xml:space="preserve"> et al., 2012).</w:t>
      </w:r>
      <w:r w:rsidRPr="00783F18">
        <w:rPr>
          <w:bCs/>
        </w:rPr>
        <w:t xml:space="preserve"> A majority of the </w:t>
      </w:r>
      <w:r w:rsidRPr="00783F18">
        <w:rPr>
          <w:bCs/>
          <w:i/>
          <w:iCs/>
        </w:rPr>
        <w:t>EBP Self-Assessment Part 1</w:t>
      </w:r>
      <w:r w:rsidRPr="00783F18">
        <w:rPr>
          <w:bCs/>
        </w:rPr>
        <w:t xml:space="preserve"> and </w:t>
      </w:r>
      <w:r w:rsidRPr="00783F18">
        <w:rPr>
          <w:bCs/>
          <w:i/>
          <w:iCs/>
        </w:rPr>
        <w:t xml:space="preserve">Part 2 </w:t>
      </w:r>
      <w:r w:rsidRPr="00783F18">
        <w:rPr>
          <w:bCs/>
        </w:rPr>
        <w:t>fidelity component questions</w:t>
      </w:r>
      <w:r>
        <w:rPr>
          <w:bCs/>
        </w:rPr>
        <w:t xml:space="preserve"> and</w:t>
      </w:r>
      <w:r w:rsidRPr="00783F18">
        <w:rPr>
          <w:bCs/>
        </w:rPr>
        <w:t xml:space="preserve"> the </w:t>
      </w:r>
      <w:r>
        <w:rPr>
          <w:bCs/>
        </w:rPr>
        <w:t xml:space="preserve">SAMHSA </w:t>
      </w:r>
      <w:r w:rsidRPr="00783F18">
        <w:rPr>
          <w:bCs/>
        </w:rPr>
        <w:t xml:space="preserve">PSH fidelity </w:t>
      </w:r>
      <w:r>
        <w:rPr>
          <w:bCs/>
        </w:rPr>
        <w:t>checklist</w:t>
      </w:r>
      <w:r w:rsidRPr="00783F18">
        <w:rPr>
          <w:bCs/>
        </w:rPr>
        <w:t xml:space="preserve"> that comprises the majority of the </w:t>
      </w:r>
      <w:r w:rsidRPr="00783F18">
        <w:rPr>
          <w:bCs/>
          <w:i/>
          <w:iCs/>
        </w:rPr>
        <w:t>PSH Self-Assessment</w:t>
      </w:r>
      <w:r w:rsidRPr="00783F18">
        <w:rPr>
          <w:bCs/>
        </w:rPr>
        <w:t xml:space="preserve"> were given during</w:t>
      </w:r>
      <w:r>
        <w:rPr>
          <w:bCs/>
        </w:rPr>
        <w:t xml:space="preserve"> the</w:t>
      </w:r>
      <w:r w:rsidRPr="00783F18">
        <w:rPr>
          <w:bCs/>
        </w:rPr>
        <w:t xml:space="preserve"> </w:t>
      </w:r>
      <w:r>
        <w:rPr>
          <w:bCs/>
        </w:rPr>
        <w:t xml:space="preserve">GBHI cross-site evaluation </w:t>
      </w:r>
      <w:r w:rsidRPr="00783F18">
        <w:rPr>
          <w:bCs/>
        </w:rPr>
        <w:t>site visits to good response and yield</w:t>
      </w:r>
      <w:r>
        <w:rPr>
          <w:bCs/>
        </w:rPr>
        <w:t>ed</w:t>
      </w:r>
      <w:r w:rsidRPr="00783F18">
        <w:rPr>
          <w:bCs/>
        </w:rPr>
        <w:t xml:space="preserve"> reliable useful information about practice implementation (Broner et al., 2011a; Broner et al., 2011b; Stainbrook et al., 2011)</w:t>
      </w:r>
      <w:r>
        <w:rPr>
          <w:bCs/>
        </w:rPr>
        <w:t>.</w:t>
      </w:r>
      <w:r w:rsidRPr="00783F18">
        <w:rPr>
          <w:bCs/>
        </w:rPr>
        <w:t xml:space="preserve"> As such</w:t>
      </w:r>
      <w:r>
        <w:rPr>
          <w:bCs/>
        </w:rPr>
        <w:t>,</w:t>
      </w:r>
      <w:r w:rsidRPr="00783F18">
        <w:rPr>
          <w:bCs/>
        </w:rPr>
        <w:t xml:space="preserve"> these tools have been well tested with the targeted respondents. </w:t>
      </w:r>
    </w:p>
    <w:p w:rsidR="00023B0C" w:rsidRDefault="00023B0C" w:rsidP="00CA38A9">
      <w:pPr>
        <w:rPr>
          <w:bCs/>
        </w:rPr>
      </w:pPr>
    </w:p>
    <w:p w:rsidR="00CA38A9" w:rsidRPr="00783F18" w:rsidRDefault="00023B0C" w:rsidP="00430F6B">
      <w:pPr>
        <w:rPr>
          <w:bCs/>
        </w:rPr>
      </w:pPr>
      <w:r>
        <w:rPr>
          <w:bCs/>
        </w:rPr>
        <w:t>Additionally,</w:t>
      </w:r>
      <w:r w:rsidR="00430F6B" w:rsidRPr="00430F6B">
        <w:rPr>
          <w:bCs/>
        </w:rPr>
        <w:t xml:space="preserve"> </w:t>
      </w:r>
      <w:r w:rsidR="00430F6B" w:rsidRPr="000730DC">
        <w:rPr>
          <w:bCs/>
        </w:rPr>
        <w:t xml:space="preserve">mock pencil and paper </w:t>
      </w:r>
      <w:r w:rsidR="00430F6B">
        <w:rPr>
          <w:bCs/>
          <w:i/>
          <w:iCs/>
        </w:rPr>
        <w:t>PD Interviews</w:t>
      </w:r>
      <w:r w:rsidR="00430F6B" w:rsidRPr="000730DC">
        <w:rPr>
          <w:bCs/>
        </w:rPr>
        <w:t xml:space="preserve"> were performed with contractor staff who were a part of the previous GBHI evaluation</w:t>
      </w:r>
      <w:r w:rsidR="00430F6B">
        <w:rPr>
          <w:bCs/>
        </w:rPr>
        <w:t xml:space="preserve"> and included </w:t>
      </w:r>
      <w:r w:rsidR="00430F6B" w:rsidRPr="000730DC">
        <w:rPr>
          <w:bCs/>
        </w:rPr>
        <w:t>past local evaluators of Homeless Programs projects; “interviewees” answered the questions from the point of view of GBHI grantee sites they had site visited through the previous evaluation and thus, knew the project well.</w:t>
      </w:r>
      <w:r w:rsidR="00430F6B">
        <w:rPr>
          <w:bCs/>
        </w:rPr>
        <w:t xml:space="preserve"> </w:t>
      </w:r>
      <w:r w:rsidR="00430F6B" w:rsidRPr="008C607D">
        <w:t xml:space="preserve">The </w:t>
      </w:r>
      <w:r w:rsidR="00430F6B">
        <w:t>interview, including time to pre-review the questions and</w:t>
      </w:r>
      <w:r w:rsidR="00430F6B" w:rsidRPr="00A21805">
        <w:t xml:space="preserve"> informed consent</w:t>
      </w:r>
      <w:r w:rsidR="00430F6B">
        <w:t>,</w:t>
      </w:r>
      <w:r w:rsidR="00430F6B" w:rsidRPr="008C607D">
        <w:t xml:space="preserve"> </w:t>
      </w:r>
      <w:r w:rsidR="00430F6B">
        <w:t>is estimated to take 3.5 hours</w:t>
      </w:r>
      <w:r w:rsidR="00430F6B" w:rsidRPr="008C607D">
        <w:t xml:space="preserve">. </w:t>
      </w:r>
      <w:r w:rsidR="00430F6B">
        <w:t>T</w:t>
      </w:r>
      <w:r w:rsidR="00430F6B" w:rsidRPr="008C607D">
        <w:t xml:space="preserve">he practice tests were </w:t>
      </w:r>
      <w:r w:rsidR="00430F6B">
        <w:t>timed using</w:t>
      </w:r>
      <w:r w:rsidR="00430F6B" w:rsidRPr="008C607D">
        <w:t xml:space="preserve"> a variety of answer patterns</w:t>
      </w:r>
      <w:r w:rsidR="00430F6B">
        <w:t xml:space="preserve"> as the time required to complete the interview will vary depending on the grantees’ service models, housing models, etc.</w:t>
      </w:r>
      <w:r>
        <w:rPr>
          <w:bCs/>
        </w:rPr>
        <w:t xml:space="preserve"> </w:t>
      </w:r>
      <w:r w:rsidR="00430F6B">
        <w:rPr>
          <w:bCs/>
        </w:rPr>
        <w:t>M</w:t>
      </w:r>
      <w:r w:rsidR="00CA38A9">
        <w:rPr>
          <w:bCs/>
        </w:rPr>
        <w:t xml:space="preserve">ock </w:t>
      </w:r>
      <w:r w:rsidR="00CA38A9" w:rsidRPr="00417D68">
        <w:rPr>
          <w:bCs/>
        </w:rPr>
        <w:t xml:space="preserve">pencil and paper </w:t>
      </w:r>
      <w:r w:rsidR="00CA38A9" w:rsidRPr="00FE113E">
        <w:rPr>
          <w:bCs/>
          <w:i/>
          <w:iCs/>
        </w:rPr>
        <w:t>EBP Self-Assessment</w:t>
      </w:r>
      <w:r w:rsidR="00CA38A9">
        <w:rPr>
          <w:bCs/>
          <w:i/>
          <w:iCs/>
        </w:rPr>
        <w:t>s</w:t>
      </w:r>
      <w:r w:rsidR="00CA38A9" w:rsidRPr="00FE113E">
        <w:rPr>
          <w:bCs/>
        </w:rPr>
        <w:t xml:space="preserve"> and </w:t>
      </w:r>
      <w:r w:rsidR="00CA38A9" w:rsidRPr="00FE113E">
        <w:rPr>
          <w:bCs/>
          <w:i/>
          <w:iCs/>
        </w:rPr>
        <w:t>PSH Self-Assessments</w:t>
      </w:r>
      <w:r w:rsidR="00CA38A9" w:rsidRPr="00417D68">
        <w:rPr>
          <w:bCs/>
        </w:rPr>
        <w:t xml:space="preserve"> were </w:t>
      </w:r>
      <w:r w:rsidR="00430F6B">
        <w:rPr>
          <w:bCs/>
        </w:rPr>
        <w:t xml:space="preserve">also </w:t>
      </w:r>
      <w:r w:rsidR="00CA38A9" w:rsidRPr="00417D68">
        <w:rPr>
          <w:bCs/>
        </w:rPr>
        <w:t>completed by contractor staff who have experience implementing or evaluating projects that have implemented EBPs</w:t>
      </w:r>
      <w:r w:rsidR="00CA38A9">
        <w:rPr>
          <w:bCs/>
        </w:rPr>
        <w:t xml:space="preserve"> and PSH models</w:t>
      </w:r>
      <w:r w:rsidR="00CA38A9" w:rsidRPr="00417D68">
        <w:rPr>
          <w:bCs/>
        </w:rPr>
        <w:t xml:space="preserve"> in populations similar to those found in the Homeless Programs (e.g., homeless, history of/current substance abuse disorders, mental health disorders, etc.)</w:t>
      </w:r>
      <w:r w:rsidR="00CA38A9">
        <w:rPr>
          <w:bCs/>
        </w:rPr>
        <w:t>.</w:t>
      </w:r>
      <w:r w:rsidR="00CA38A9" w:rsidRPr="00E94FF8">
        <w:t xml:space="preserve"> </w:t>
      </w:r>
      <w:r w:rsidR="00CA38A9" w:rsidRPr="00E94FF8">
        <w:rPr>
          <w:bCs/>
        </w:rPr>
        <w:t xml:space="preserve">The </w:t>
      </w:r>
      <w:r w:rsidR="00CA38A9">
        <w:rPr>
          <w:bCs/>
          <w:i/>
          <w:iCs/>
        </w:rPr>
        <w:t>EBP Self-Assessment – Part 1</w:t>
      </w:r>
      <w:r w:rsidR="00CA38A9" w:rsidRPr="00E94FF8">
        <w:rPr>
          <w:bCs/>
        </w:rPr>
        <w:t xml:space="preserve">, including time </w:t>
      </w:r>
      <w:r w:rsidR="00CA38A9">
        <w:rPr>
          <w:bCs/>
        </w:rPr>
        <w:t>for</w:t>
      </w:r>
      <w:r w:rsidR="00CA38A9" w:rsidRPr="00E94FF8">
        <w:rPr>
          <w:bCs/>
        </w:rPr>
        <w:t xml:space="preserve"> informed consent, is estimated to take </w:t>
      </w:r>
      <w:r w:rsidR="00CA38A9">
        <w:rPr>
          <w:bCs/>
        </w:rPr>
        <w:t>35 minutes</w:t>
      </w:r>
      <w:r w:rsidR="00CA38A9" w:rsidRPr="00E94FF8">
        <w:rPr>
          <w:bCs/>
        </w:rPr>
        <w:t>.</w:t>
      </w:r>
      <w:r w:rsidR="00CA38A9">
        <w:rPr>
          <w:bCs/>
        </w:rPr>
        <w:t xml:space="preserve"> </w:t>
      </w:r>
      <w:r w:rsidR="00CA38A9" w:rsidRPr="00E94FF8">
        <w:rPr>
          <w:bCs/>
        </w:rPr>
        <w:t xml:space="preserve">The </w:t>
      </w:r>
      <w:r w:rsidR="00CA38A9">
        <w:rPr>
          <w:bCs/>
          <w:i/>
          <w:iCs/>
        </w:rPr>
        <w:t>EBP Self-Assessment – Part 2</w:t>
      </w:r>
      <w:r w:rsidR="00CA38A9" w:rsidRPr="00E94FF8">
        <w:rPr>
          <w:bCs/>
        </w:rPr>
        <w:t xml:space="preserve"> is estimated to take </w:t>
      </w:r>
      <w:r w:rsidR="00CA38A9">
        <w:rPr>
          <w:bCs/>
        </w:rPr>
        <w:t>30 minutes</w:t>
      </w:r>
      <w:r w:rsidR="00CA38A9" w:rsidRPr="00E94FF8">
        <w:rPr>
          <w:bCs/>
        </w:rPr>
        <w:t xml:space="preserve">. The </w:t>
      </w:r>
      <w:r w:rsidR="00CA38A9">
        <w:rPr>
          <w:bCs/>
          <w:i/>
          <w:iCs/>
        </w:rPr>
        <w:t>PSH</w:t>
      </w:r>
      <w:r w:rsidR="00CA38A9" w:rsidRPr="00E94FF8">
        <w:rPr>
          <w:bCs/>
          <w:i/>
          <w:iCs/>
        </w:rPr>
        <w:t xml:space="preserve"> Self-Assessment</w:t>
      </w:r>
      <w:r w:rsidR="00430F6B">
        <w:rPr>
          <w:bCs/>
        </w:rPr>
        <w:t>, including time for informed consent,</w:t>
      </w:r>
      <w:r w:rsidR="00CA38A9" w:rsidRPr="00E94FF8">
        <w:rPr>
          <w:bCs/>
        </w:rPr>
        <w:t xml:space="preserve"> is estimated to take </w:t>
      </w:r>
      <w:r w:rsidR="00CA38A9">
        <w:rPr>
          <w:bCs/>
        </w:rPr>
        <w:t>4</w:t>
      </w:r>
      <w:r w:rsidR="00CA38A9" w:rsidRPr="00E94FF8">
        <w:rPr>
          <w:bCs/>
        </w:rPr>
        <w:t>0 minutes.</w:t>
      </w:r>
      <w:r w:rsidR="00CA38A9" w:rsidRPr="00783F18">
        <w:rPr>
          <w:bCs/>
        </w:rPr>
        <w:t xml:space="preserve">  </w:t>
      </w:r>
    </w:p>
    <w:p w:rsidR="00CA38A9" w:rsidRDefault="00CA38A9" w:rsidP="00CA38A9">
      <w:pPr>
        <w:rPr>
          <w:bCs/>
        </w:rPr>
      </w:pPr>
      <w:r>
        <w:rPr>
          <w:bCs/>
        </w:rPr>
        <w:t xml:space="preserve">  </w:t>
      </w:r>
    </w:p>
    <w:p w:rsidR="00562A59" w:rsidRPr="00241701" w:rsidRDefault="00562A59" w:rsidP="006069EB">
      <w:pPr>
        <w:keepNext/>
        <w:rPr>
          <w:b/>
        </w:rPr>
      </w:pPr>
      <w:r w:rsidRPr="00241701">
        <w:rPr>
          <w:b/>
        </w:rPr>
        <w:t>5.</w:t>
      </w:r>
      <w:r w:rsidRPr="00241701">
        <w:rPr>
          <w:b/>
        </w:rPr>
        <w:tab/>
      </w:r>
      <w:r w:rsidRPr="00241701">
        <w:rPr>
          <w:b/>
          <w:u w:val="single"/>
        </w:rPr>
        <w:t>Statistical Consultants</w:t>
      </w:r>
    </w:p>
    <w:p w:rsidR="00562A59" w:rsidRDefault="00562A59" w:rsidP="006069EB">
      <w:pPr>
        <w:keepNext/>
        <w:rPr>
          <w:bCs/>
        </w:rPr>
      </w:pPr>
    </w:p>
    <w:p w:rsidR="00562A59" w:rsidRDefault="00562A59" w:rsidP="00562A59">
      <w:r w:rsidRPr="008C607D">
        <w:t xml:space="preserve">As noted in Section A.8, </w:t>
      </w:r>
      <w:r>
        <w:t>SAMHSA</w:t>
      </w:r>
      <w:r w:rsidRPr="008C607D">
        <w:t xml:space="preserve"> has consulted extensively with an expert panel </w:t>
      </w:r>
      <w:r>
        <w:t>who</w:t>
      </w:r>
      <w:r w:rsidRPr="008C607D">
        <w:t xml:space="preserve"> will continue to provide expert advice throughout the course of the </w:t>
      </w:r>
      <w:r>
        <w:t>evaluation</w:t>
      </w:r>
      <w:r w:rsidRPr="008C607D">
        <w:t xml:space="preserve">. In addition, </w:t>
      </w:r>
      <w:r>
        <w:t xml:space="preserve">the contractor team is comprised of several experts who will be directly involved in the data collection and statistical analysis. Also, contractor </w:t>
      </w:r>
      <w:r w:rsidRPr="008C607D">
        <w:t xml:space="preserve">in-house experts will be consulted throughout the program on various statistical aspects of the design, methodological issues, economic analysis, database management, and data analysis. </w:t>
      </w:r>
      <w:r w:rsidRPr="004C2F68">
        <w:rPr>
          <w:b/>
          <w:bCs/>
        </w:rPr>
        <w:t>Exhibit 4</w:t>
      </w:r>
      <w:r w:rsidRPr="008C607D">
        <w:t xml:space="preserve"> provides details of these </w:t>
      </w:r>
      <w:r>
        <w:t xml:space="preserve">team members and </w:t>
      </w:r>
      <w:r w:rsidRPr="008C607D">
        <w:t xml:space="preserve">advisors. </w:t>
      </w:r>
    </w:p>
    <w:p w:rsidR="00562A59" w:rsidRDefault="00562A59" w:rsidP="00562A59"/>
    <w:p w:rsidR="005E71B1" w:rsidRPr="004C2F68" w:rsidRDefault="00A7651E" w:rsidP="00B765C1">
      <w:pPr>
        <w:keepNext/>
        <w:rPr>
          <w:b/>
          <w:bCs/>
        </w:rPr>
      </w:pPr>
      <w:r>
        <w:rPr>
          <w:bCs/>
        </w:rPr>
        <w:lastRenderedPageBreak/>
        <w:t xml:space="preserve">   </w:t>
      </w:r>
      <w:bookmarkStart w:id="6" w:name="_Toc93987698"/>
      <w:bookmarkStart w:id="7" w:name="_Toc131566262"/>
      <w:r w:rsidR="00562A59" w:rsidRPr="004C2F68">
        <w:rPr>
          <w:b/>
          <w:bCs/>
        </w:rPr>
        <w:t xml:space="preserve">Exhibit 4. </w:t>
      </w:r>
      <w:bookmarkEnd w:id="6"/>
      <w:bookmarkEnd w:id="7"/>
      <w:r w:rsidR="00562A59" w:rsidRPr="004C2F68">
        <w:rPr>
          <w:b/>
          <w:bCs/>
        </w:rPr>
        <w:t>Data Collection and Analysis Team Members and Advisors</w:t>
      </w:r>
    </w:p>
    <w:tbl>
      <w:tblPr>
        <w:tblW w:w="9648" w:type="dxa"/>
        <w:tblInd w:w="86" w:type="dxa"/>
        <w:tblBorders>
          <w:top w:val="double" w:sz="6" w:space="0" w:color="auto"/>
          <w:bottom w:val="double" w:sz="6" w:space="0" w:color="auto"/>
          <w:insideH w:val="single" w:sz="6" w:space="0" w:color="auto"/>
          <w:insideV w:val="single" w:sz="6" w:space="0" w:color="auto"/>
        </w:tblBorders>
        <w:tblLayout w:type="fixed"/>
        <w:tblCellMar>
          <w:left w:w="86" w:type="dxa"/>
          <w:right w:w="86" w:type="dxa"/>
        </w:tblCellMar>
        <w:tblLook w:val="0000"/>
      </w:tblPr>
      <w:tblGrid>
        <w:gridCol w:w="2640"/>
        <w:gridCol w:w="3498"/>
        <w:gridCol w:w="3510"/>
      </w:tblGrid>
      <w:tr w:rsidR="00562A59" w:rsidRPr="008C607D" w:rsidTr="00562A59">
        <w:trPr>
          <w:cantSplit/>
          <w:tblHeader/>
        </w:trPr>
        <w:tc>
          <w:tcPr>
            <w:tcW w:w="2640" w:type="dxa"/>
            <w:vAlign w:val="bottom"/>
          </w:tcPr>
          <w:p w:rsidR="00562A59" w:rsidRPr="00241701" w:rsidRDefault="00562A59" w:rsidP="00B765C1">
            <w:pPr>
              <w:keepNext/>
              <w:rPr>
                <w:sz w:val="20"/>
                <w:szCs w:val="20"/>
              </w:rPr>
            </w:pPr>
            <w:r w:rsidRPr="00241701">
              <w:rPr>
                <w:b/>
                <w:bCs/>
                <w:sz w:val="20"/>
                <w:szCs w:val="20"/>
              </w:rPr>
              <w:t>Expert</w:t>
            </w:r>
          </w:p>
        </w:tc>
        <w:tc>
          <w:tcPr>
            <w:tcW w:w="3498" w:type="dxa"/>
            <w:vAlign w:val="bottom"/>
          </w:tcPr>
          <w:p w:rsidR="00562A59" w:rsidRPr="00241701" w:rsidRDefault="00562A59" w:rsidP="00B765C1">
            <w:pPr>
              <w:keepNext/>
              <w:rPr>
                <w:sz w:val="20"/>
                <w:szCs w:val="20"/>
              </w:rPr>
            </w:pPr>
            <w:r w:rsidRPr="00241701">
              <w:rPr>
                <w:b/>
                <w:bCs/>
                <w:sz w:val="20"/>
                <w:szCs w:val="20"/>
              </w:rPr>
              <w:t>Affiliation</w:t>
            </w:r>
          </w:p>
        </w:tc>
        <w:tc>
          <w:tcPr>
            <w:tcW w:w="3510" w:type="dxa"/>
            <w:vAlign w:val="bottom"/>
          </w:tcPr>
          <w:p w:rsidR="00562A59" w:rsidRPr="00241701" w:rsidRDefault="00562A59" w:rsidP="00B765C1">
            <w:pPr>
              <w:keepNext/>
              <w:rPr>
                <w:sz w:val="20"/>
                <w:szCs w:val="20"/>
              </w:rPr>
            </w:pPr>
            <w:r w:rsidRPr="00241701">
              <w:rPr>
                <w:b/>
                <w:bCs/>
                <w:sz w:val="20"/>
                <w:szCs w:val="20"/>
              </w:rPr>
              <w:t>Contact Information</w:t>
            </w:r>
          </w:p>
        </w:tc>
      </w:tr>
      <w:tr w:rsidR="00D5216D" w:rsidRPr="008C607D" w:rsidDel="00CC7210" w:rsidTr="00562A59">
        <w:trPr>
          <w:cantSplit/>
        </w:trPr>
        <w:tc>
          <w:tcPr>
            <w:tcW w:w="2640" w:type="dxa"/>
          </w:tcPr>
          <w:p w:rsidR="00D5216D" w:rsidRDefault="00D5216D" w:rsidP="00B765C1">
            <w:pPr>
              <w:keepNext/>
              <w:rPr>
                <w:b/>
                <w:bCs/>
                <w:sz w:val="20"/>
                <w:szCs w:val="20"/>
              </w:rPr>
            </w:pPr>
            <w:r>
              <w:rPr>
                <w:b/>
                <w:bCs/>
                <w:sz w:val="20"/>
                <w:szCs w:val="20"/>
              </w:rPr>
              <w:t>Mike Anastario</w:t>
            </w:r>
            <w:r w:rsidR="00643204">
              <w:rPr>
                <w:b/>
                <w:bCs/>
                <w:sz w:val="20"/>
                <w:szCs w:val="20"/>
              </w:rPr>
              <w:t>, Ph.D.</w:t>
            </w:r>
          </w:p>
          <w:p w:rsidR="00D5216D" w:rsidRPr="00643204" w:rsidRDefault="00D5216D" w:rsidP="00B765C1">
            <w:pPr>
              <w:keepNext/>
              <w:rPr>
                <w:sz w:val="20"/>
                <w:szCs w:val="20"/>
              </w:rPr>
            </w:pPr>
            <w:r w:rsidRPr="00643204">
              <w:rPr>
                <w:sz w:val="20"/>
                <w:szCs w:val="20"/>
              </w:rPr>
              <w:t>Statistician</w:t>
            </w:r>
          </w:p>
        </w:tc>
        <w:tc>
          <w:tcPr>
            <w:tcW w:w="3498" w:type="dxa"/>
          </w:tcPr>
          <w:p w:rsidR="00643204" w:rsidRDefault="00643204" w:rsidP="00B765C1">
            <w:pPr>
              <w:keepNext/>
              <w:rPr>
                <w:sz w:val="20"/>
                <w:szCs w:val="20"/>
              </w:rPr>
            </w:pPr>
            <w:r w:rsidRPr="00643204">
              <w:rPr>
                <w:sz w:val="20"/>
                <w:szCs w:val="20"/>
              </w:rPr>
              <w:t>Public Health Research Analyst</w:t>
            </w:r>
          </w:p>
          <w:p w:rsidR="00643204" w:rsidRDefault="00643204" w:rsidP="00B765C1">
            <w:pPr>
              <w:keepNext/>
              <w:rPr>
                <w:sz w:val="20"/>
                <w:szCs w:val="20"/>
              </w:rPr>
            </w:pPr>
            <w:r>
              <w:rPr>
                <w:sz w:val="20"/>
                <w:szCs w:val="20"/>
              </w:rPr>
              <w:t>Crime, Violence and Justice Research Program</w:t>
            </w:r>
          </w:p>
          <w:p w:rsidR="00643204" w:rsidRPr="00643204" w:rsidRDefault="00643204" w:rsidP="00B765C1">
            <w:pPr>
              <w:keepNext/>
              <w:rPr>
                <w:sz w:val="20"/>
                <w:szCs w:val="20"/>
              </w:rPr>
            </w:pPr>
            <w:r>
              <w:rPr>
                <w:sz w:val="20"/>
                <w:szCs w:val="20"/>
              </w:rPr>
              <w:t>RTI International</w:t>
            </w:r>
          </w:p>
          <w:p w:rsidR="00643204" w:rsidRPr="00643204" w:rsidRDefault="00643204" w:rsidP="00B765C1">
            <w:pPr>
              <w:keepNext/>
              <w:rPr>
                <w:sz w:val="20"/>
                <w:szCs w:val="20"/>
              </w:rPr>
            </w:pPr>
            <w:r w:rsidRPr="00643204">
              <w:rPr>
                <w:sz w:val="20"/>
                <w:szCs w:val="20"/>
              </w:rPr>
              <w:t>121 W. 27</w:t>
            </w:r>
            <w:r w:rsidRPr="00643204">
              <w:rPr>
                <w:sz w:val="20"/>
                <w:szCs w:val="20"/>
                <w:vertAlign w:val="superscript"/>
              </w:rPr>
              <w:t>th</w:t>
            </w:r>
            <w:r w:rsidRPr="00643204">
              <w:rPr>
                <w:sz w:val="20"/>
                <w:szCs w:val="20"/>
              </w:rPr>
              <w:t xml:space="preserve"> Street, Suite 1001</w:t>
            </w:r>
          </w:p>
          <w:p w:rsidR="00D5216D" w:rsidRDefault="00643204" w:rsidP="00B765C1">
            <w:pPr>
              <w:keepNext/>
              <w:rPr>
                <w:sz w:val="20"/>
                <w:szCs w:val="20"/>
              </w:rPr>
            </w:pPr>
            <w:r w:rsidRPr="00643204">
              <w:rPr>
                <w:sz w:val="20"/>
                <w:szCs w:val="20"/>
              </w:rPr>
              <w:t>New York, NY  10001</w:t>
            </w:r>
          </w:p>
        </w:tc>
        <w:tc>
          <w:tcPr>
            <w:tcW w:w="3510" w:type="dxa"/>
          </w:tcPr>
          <w:p w:rsidR="00643204" w:rsidRPr="00643204" w:rsidRDefault="00643204" w:rsidP="00B765C1">
            <w:pPr>
              <w:keepNext/>
              <w:rPr>
                <w:sz w:val="20"/>
                <w:szCs w:val="20"/>
              </w:rPr>
            </w:pPr>
            <w:r w:rsidRPr="00643204">
              <w:rPr>
                <w:sz w:val="20"/>
                <w:szCs w:val="20"/>
              </w:rPr>
              <w:t xml:space="preserve">Phone: </w:t>
            </w:r>
            <w:r>
              <w:rPr>
                <w:sz w:val="20"/>
                <w:szCs w:val="20"/>
              </w:rPr>
              <w:tab/>
            </w:r>
            <w:r w:rsidRPr="00643204">
              <w:rPr>
                <w:sz w:val="20"/>
                <w:szCs w:val="20"/>
              </w:rPr>
              <w:t>212-367-8084</w:t>
            </w:r>
          </w:p>
          <w:p w:rsidR="00643204" w:rsidRPr="00643204" w:rsidRDefault="00643204" w:rsidP="00B765C1">
            <w:pPr>
              <w:keepNext/>
              <w:rPr>
                <w:sz w:val="20"/>
                <w:szCs w:val="20"/>
              </w:rPr>
            </w:pPr>
            <w:r>
              <w:rPr>
                <w:sz w:val="20"/>
                <w:szCs w:val="20"/>
              </w:rPr>
              <w:t>Email:</w:t>
            </w:r>
            <w:r>
              <w:rPr>
                <w:sz w:val="20"/>
                <w:szCs w:val="20"/>
              </w:rPr>
              <w:tab/>
            </w:r>
            <w:r w:rsidRPr="00643204">
              <w:rPr>
                <w:sz w:val="20"/>
                <w:szCs w:val="20"/>
              </w:rPr>
              <w:t>manastario@rti.org</w:t>
            </w:r>
          </w:p>
          <w:p w:rsidR="00643204" w:rsidRDefault="00643204" w:rsidP="00B765C1">
            <w:pPr>
              <w:keepNext/>
              <w:rPr>
                <w:sz w:val="20"/>
                <w:szCs w:val="20"/>
              </w:rPr>
            </w:pPr>
          </w:p>
        </w:tc>
      </w:tr>
      <w:tr w:rsidR="00562A59" w:rsidRPr="008C607D" w:rsidDel="00CC7210" w:rsidTr="00562A59">
        <w:trPr>
          <w:cantSplit/>
        </w:trPr>
        <w:tc>
          <w:tcPr>
            <w:tcW w:w="2640" w:type="dxa"/>
          </w:tcPr>
          <w:p w:rsidR="00562A59" w:rsidRPr="00A826B4" w:rsidRDefault="00562A59" w:rsidP="00562A59">
            <w:pPr>
              <w:rPr>
                <w:b/>
                <w:bCs/>
                <w:sz w:val="20"/>
                <w:szCs w:val="20"/>
              </w:rPr>
            </w:pPr>
            <w:r w:rsidRPr="00A826B4">
              <w:rPr>
                <w:b/>
                <w:bCs/>
                <w:sz w:val="20"/>
                <w:szCs w:val="20"/>
              </w:rPr>
              <w:t>Nahama Broner, Ph.D.</w:t>
            </w:r>
          </w:p>
          <w:p w:rsidR="00562A59" w:rsidRDefault="00562A59" w:rsidP="006069EB">
            <w:pPr>
              <w:rPr>
                <w:sz w:val="20"/>
                <w:szCs w:val="20"/>
              </w:rPr>
            </w:pPr>
            <w:r>
              <w:rPr>
                <w:sz w:val="20"/>
                <w:szCs w:val="20"/>
              </w:rPr>
              <w:t>Cross-</w:t>
            </w:r>
            <w:r w:rsidR="006069EB">
              <w:rPr>
                <w:sz w:val="20"/>
                <w:szCs w:val="20"/>
              </w:rPr>
              <w:t xml:space="preserve">Program </w:t>
            </w:r>
            <w:r>
              <w:rPr>
                <w:sz w:val="20"/>
                <w:szCs w:val="20"/>
              </w:rPr>
              <w:t>Evaluation Project Director</w:t>
            </w:r>
          </w:p>
        </w:tc>
        <w:tc>
          <w:tcPr>
            <w:tcW w:w="3498" w:type="dxa"/>
          </w:tcPr>
          <w:p w:rsidR="00562A59" w:rsidRDefault="00562A59" w:rsidP="00562A59">
            <w:pPr>
              <w:rPr>
                <w:sz w:val="20"/>
                <w:szCs w:val="20"/>
              </w:rPr>
            </w:pPr>
            <w:r>
              <w:rPr>
                <w:sz w:val="20"/>
                <w:szCs w:val="20"/>
              </w:rPr>
              <w:t>Senior Research Psychologist</w:t>
            </w:r>
          </w:p>
          <w:p w:rsidR="00562A59" w:rsidRDefault="00562A59" w:rsidP="00562A59">
            <w:pPr>
              <w:rPr>
                <w:sz w:val="20"/>
                <w:szCs w:val="20"/>
              </w:rPr>
            </w:pPr>
            <w:r>
              <w:rPr>
                <w:sz w:val="20"/>
                <w:szCs w:val="20"/>
              </w:rPr>
              <w:t>Crime, Violence and Justice Research Program</w:t>
            </w:r>
          </w:p>
          <w:p w:rsidR="00562A59" w:rsidRDefault="00562A59" w:rsidP="00562A59">
            <w:pPr>
              <w:rPr>
                <w:sz w:val="20"/>
                <w:szCs w:val="20"/>
              </w:rPr>
            </w:pPr>
            <w:r>
              <w:rPr>
                <w:sz w:val="20"/>
                <w:szCs w:val="20"/>
              </w:rPr>
              <w:t>RTI International</w:t>
            </w:r>
          </w:p>
          <w:p w:rsidR="00562A59" w:rsidRDefault="00562A59" w:rsidP="00562A59">
            <w:pPr>
              <w:rPr>
                <w:sz w:val="20"/>
                <w:szCs w:val="20"/>
              </w:rPr>
            </w:pPr>
            <w:r>
              <w:rPr>
                <w:sz w:val="20"/>
                <w:szCs w:val="20"/>
              </w:rPr>
              <w:t>121 West 27</w:t>
            </w:r>
            <w:r w:rsidRPr="00A826B4">
              <w:rPr>
                <w:sz w:val="20"/>
                <w:szCs w:val="20"/>
                <w:vertAlign w:val="superscript"/>
              </w:rPr>
              <w:t>th</w:t>
            </w:r>
            <w:r>
              <w:rPr>
                <w:sz w:val="20"/>
                <w:szCs w:val="20"/>
              </w:rPr>
              <w:t xml:space="preserve"> Street, Suite 1001</w:t>
            </w:r>
          </w:p>
          <w:p w:rsidR="00562A59" w:rsidRDefault="00562A59" w:rsidP="00562A59">
            <w:pPr>
              <w:rPr>
                <w:sz w:val="20"/>
                <w:szCs w:val="20"/>
              </w:rPr>
            </w:pPr>
            <w:r>
              <w:rPr>
                <w:sz w:val="20"/>
                <w:szCs w:val="20"/>
              </w:rPr>
              <w:t>New York, NY 10001</w:t>
            </w:r>
          </w:p>
        </w:tc>
        <w:tc>
          <w:tcPr>
            <w:tcW w:w="3510" w:type="dxa"/>
          </w:tcPr>
          <w:p w:rsidR="00562A59" w:rsidRDefault="00562A59" w:rsidP="00562A59">
            <w:pPr>
              <w:rPr>
                <w:sz w:val="20"/>
                <w:szCs w:val="20"/>
              </w:rPr>
            </w:pPr>
            <w:r>
              <w:rPr>
                <w:sz w:val="20"/>
                <w:szCs w:val="20"/>
              </w:rPr>
              <w:t>Phone:   212-367-1990</w:t>
            </w:r>
          </w:p>
          <w:p w:rsidR="00562A59" w:rsidRDefault="00562A59" w:rsidP="00562A59">
            <w:pPr>
              <w:rPr>
                <w:sz w:val="20"/>
                <w:szCs w:val="20"/>
              </w:rPr>
            </w:pPr>
            <w:r>
              <w:rPr>
                <w:sz w:val="20"/>
                <w:szCs w:val="20"/>
              </w:rPr>
              <w:t>E-mail:  nbroner@rti.org</w:t>
            </w:r>
          </w:p>
        </w:tc>
      </w:tr>
      <w:tr w:rsidR="00562A59" w:rsidRPr="008C607D" w:rsidDel="00CC7210" w:rsidTr="00562A59">
        <w:trPr>
          <w:cantSplit/>
        </w:trPr>
        <w:tc>
          <w:tcPr>
            <w:tcW w:w="2640" w:type="dxa"/>
          </w:tcPr>
          <w:p w:rsidR="00562A59" w:rsidRPr="00B72162" w:rsidRDefault="00562A59" w:rsidP="00562A59">
            <w:pPr>
              <w:rPr>
                <w:b/>
                <w:bCs/>
                <w:sz w:val="20"/>
                <w:szCs w:val="20"/>
              </w:rPr>
            </w:pPr>
            <w:r w:rsidRPr="00B72162">
              <w:rPr>
                <w:b/>
                <w:bCs/>
                <w:sz w:val="20"/>
                <w:szCs w:val="20"/>
              </w:rPr>
              <w:t>Alexander Cowell, Ph.D.</w:t>
            </w:r>
          </w:p>
          <w:p w:rsidR="00562A59" w:rsidRDefault="00562A59" w:rsidP="007A4546">
            <w:pPr>
              <w:rPr>
                <w:sz w:val="20"/>
                <w:szCs w:val="20"/>
              </w:rPr>
            </w:pPr>
            <w:r>
              <w:rPr>
                <w:sz w:val="20"/>
                <w:szCs w:val="20"/>
              </w:rPr>
              <w:t>Cross-</w:t>
            </w:r>
            <w:r w:rsidR="006069EB">
              <w:rPr>
                <w:sz w:val="20"/>
                <w:szCs w:val="20"/>
              </w:rPr>
              <w:t>Program</w:t>
            </w:r>
            <w:r>
              <w:rPr>
                <w:sz w:val="20"/>
                <w:szCs w:val="20"/>
              </w:rPr>
              <w:t xml:space="preserve"> Evaluation Cost Analysis Team Leader</w:t>
            </w:r>
          </w:p>
        </w:tc>
        <w:tc>
          <w:tcPr>
            <w:tcW w:w="3498" w:type="dxa"/>
          </w:tcPr>
          <w:p w:rsidR="00562A59" w:rsidRDefault="00562A59" w:rsidP="00562A59">
            <w:pPr>
              <w:rPr>
                <w:sz w:val="20"/>
                <w:szCs w:val="20"/>
              </w:rPr>
            </w:pPr>
            <w:r>
              <w:rPr>
                <w:sz w:val="20"/>
                <w:szCs w:val="20"/>
              </w:rPr>
              <w:t>Economist</w:t>
            </w:r>
          </w:p>
          <w:p w:rsidR="00562A59" w:rsidRDefault="00562A59" w:rsidP="00562A59">
            <w:pPr>
              <w:rPr>
                <w:sz w:val="20"/>
                <w:szCs w:val="20"/>
              </w:rPr>
            </w:pPr>
            <w:r>
              <w:rPr>
                <w:sz w:val="20"/>
                <w:szCs w:val="20"/>
              </w:rPr>
              <w:t>Behavioral Health Economics Program</w:t>
            </w:r>
          </w:p>
          <w:p w:rsidR="00562A59" w:rsidRDefault="00562A59" w:rsidP="00562A59">
            <w:pPr>
              <w:rPr>
                <w:sz w:val="20"/>
                <w:szCs w:val="20"/>
              </w:rPr>
            </w:pPr>
            <w:r>
              <w:rPr>
                <w:sz w:val="20"/>
                <w:szCs w:val="20"/>
              </w:rPr>
              <w:t>RTI International</w:t>
            </w:r>
          </w:p>
          <w:p w:rsidR="00562A59" w:rsidRDefault="00562A59" w:rsidP="00562A59">
            <w:pPr>
              <w:rPr>
                <w:sz w:val="20"/>
                <w:szCs w:val="20"/>
              </w:rPr>
            </w:pPr>
            <w:r>
              <w:rPr>
                <w:sz w:val="20"/>
                <w:szCs w:val="20"/>
              </w:rPr>
              <w:t>3040 Cornwallis Road</w:t>
            </w:r>
          </w:p>
          <w:p w:rsidR="00562A59" w:rsidRDefault="00562A59" w:rsidP="00562A59">
            <w:pPr>
              <w:rPr>
                <w:sz w:val="20"/>
                <w:szCs w:val="20"/>
              </w:rPr>
            </w:pPr>
            <w:r>
              <w:rPr>
                <w:sz w:val="20"/>
                <w:szCs w:val="20"/>
              </w:rPr>
              <w:t>Research Triangle Park, NC 27709</w:t>
            </w:r>
          </w:p>
        </w:tc>
        <w:tc>
          <w:tcPr>
            <w:tcW w:w="3510" w:type="dxa"/>
          </w:tcPr>
          <w:p w:rsidR="00562A59" w:rsidRDefault="00562A59" w:rsidP="00562A59">
            <w:pPr>
              <w:rPr>
                <w:sz w:val="20"/>
                <w:szCs w:val="20"/>
              </w:rPr>
            </w:pPr>
            <w:r>
              <w:rPr>
                <w:sz w:val="20"/>
                <w:szCs w:val="20"/>
              </w:rPr>
              <w:t>Phone:   919-541-8754</w:t>
            </w:r>
          </w:p>
          <w:p w:rsidR="00562A59" w:rsidRDefault="00562A59" w:rsidP="00562A59">
            <w:pPr>
              <w:rPr>
                <w:sz w:val="20"/>
                <w:szCs w:val="20"/>
              </w:rPr>
            </w:pPr>
            <w:r>
              <w:rPr>
                <w:sz w:val="20"/>
                <w:szCs w:val="20"/>
              </w:rPr>
              <w:t>E-mail:  cowell@rti.org</w:t>
            </w:r>
          </w:p>
        </w:tc>
      </w:tr>
      <w:tr w:rsidR="00D5216D" w:rsidRPr="008C607D" w:rsidDel="00CC7210" w:rsidTr="00562A59">
        <w:trPr>
          <w:cantSplit/>
        </w:trPr>
        <w:tc>
          <w:tcPr>
            <w:tcW w:w="2640" w:type="dxa"/>
          </w:tcPr>
          <w:p w:rsidR="00D5216D" w:rsidRDefault="00D5216D" w:rsidP="00562A59">
            <w:pPr>
              <w:rPr>
                <w:b/>
                <w:bCs/>
                <w:sz w:val="20"/>
                <w:szCs w:val="20"/>
              </w:rPr>
            </w:pPr>
            <w:r>
              <w:rPr>
                <w:b/>
                <w:bCs/>
                <w:sz w:val="20"/>
                <w:szCs w:val="20"/>
              </w:rPr>
              <w:t>Antonio Morgan-Lopez</w:t>
            </w:r>
            <w:r w:rsidR="00643204">
              <w:rPr>
                <w:b/>
                <w:bCs/>
                <w:sz w:val="20"/>
                <w:szCs w:val="20"/>
              </w:rPr>
              <w:t>, Ph.D.</w:t>
            </w:r>
          </w:p>
          <w:p w:rsidR="00D5216D" w:rsidRPr="00643204" w:rsidRDefault="00D5216D" w:rsidP="00562A59">
            <w:pPr>
              <w:rPr>
                <w:sz w:val="20"/>
                <w:szCs w:val="20"/>
              </w:rPr>
            </w:pPr>
            <w:r w:rsidRPr="00643204">
              <w:rPr>
                <w:sz w:val="20"/>
                <w:szCs w:val="20"/>
              </w:rPr>
              <w:t>Senior Statistician</w:t>
            </w:r>
          </w:p>
        </w:tc>
        <w:tc>
          <w:tcPr>
            <w:tcW w:w="3498" w:type="dxa"/>
          </w:tcPr>
          <w:p w:rsidR="00643204" w:rsidRPr="00643204" w:rsidRDefault="00643204" w:rsidP="00643204">
            <w:pPr>
              <w:rPr>
                <w:sz w:val="20"/>
                <w:szCs w:val="20"/>
              </w:rPr>
            </w:pPr>
            <w:r w:rsidRPr="00643204">
              <w:rPr>
                <w:sz w:val="20"/>
                <w:szCs w:val="20"/>
              </w:rPr>
              <w:t>Senior Research Quantitative Psychologist</w:t>
            </w:r>
          </w:p>
          <w:p w:rsidR="00D5216D" w:rsidRDefault="00643204" w:rsidP="00643204">
            <w:pPr>
              <w:rPr>
                <w:sz w:val="20"/>
                <w:szCs w:val="20"/>
              </w:rPr>
            </w:pPr>
            <w:r w:rsidRPr="00643204">
              <w:rPr>
                <w:sz w:val="20"/>
                <w:szCs w:val="20"/>
              </w:rPr>
              <w:t>Risk Behavior and Family Research</w:t>
            </w:r>
          </w:p>
          <w:p w:rsidR="00643204" w:rsidRDefault="00643204" w:rsidP="00643204">
            <w:pPr>
              <w:rPr>
                <w:sz w:val="20"/>
                <w:szCs w:val="20"/>
              </w:rPr>
            </w:pPr>
            <w:r>
              <w:rPr>
                <w:sz w:val="20"/>
                <w:szCs w:val="20"/>
              </w:rPr>
              <w:t>RTI International</w:t>
            </w:r>
          </w:p>
          <w:p w:rsidR="00643204" w:rsidRDefault="00643204" w:rsidP="00643204">
            <w:pPr>
              <w:rPr>
                <w:sz w:val="20"/>
                <w:szCs w:val="20"/>
              </w:rPr>
            </w:pPr>
            <w:r>
              <w:rPr>
                <w:sz w:val="20"/>
                <w:szCs w:val="20"/>
              </w:rPr>
              <w:t>3040 Cornwallis Road</w:t>
            </w:r>
          </w:p>
          <w:p w:rsidR="00643204" w:rsidRDefault="00643204" w:rsidP="00643204">
            <w:pPr>
              <w:rPr>
                <w:sz w:val="20"/>
                <w:szCs w:val="20"/>
              </w:rPr>
            </w:pPr>
            <w:r>
              <w:rPr>
                <w:sz w:val="20"/>
                <w:szCs w:val="20"/>
              </w:rPr>
              <w:t>Research Triangle Park, NC 27709</w:t>
            </w:r>
          </w:p>
        </w:tc>
        <w:tc>
          <w:tcPr>
            <w:tcW w:w="3510" w:type="dxa"/>
          </w:tcPr>
          <w:p w:rsidR="00643204" w:rsidRPr="00643204" w:rsidRDefault="00643204" w:rsidP="00643204">
            <w:pPr>
              <w:rPr>
                <w:sz w:val="20"/>
                <w:szCs w:val="20"/>
              </w:rPr>
            </w:pPr>
            <w:r w:rsidRPr="00643204">
              <w:rPr>
                <w:sz w:val="20"/>
                <w:szCs w:val="20"/>
              </w:rPr>
              <w:t>Phone:</w:t>
            </w:r>
            <w:r>
              <w:rPr>
                <w:sz w:val="20"/>
                <w:szCs w:val="20"/>
              </w:rPr>
              <w:tab/>
            </w:r>
            <w:r w:rsidRPr="00643204">
              <w:rPr>
                <w:sz w:val="20"/>
                <w:szCs w:val="20"/>
              </w:rPr>
              <w:t>919-316-3436</w:t>
            </w:r>
          </w:p>
          <w:p w:rsidR="00643204" w:rsidRPr="00643204" w:rsidRDefault="00643204" w:rsidP="00643204">
            <w:pPr>
              <w:rPr>
                <w:sz w:val="20"/>
                <w:szCs w:val="20"/>
              </w:rPr>
            </w:pPr>
            <w:r>
              <w:rPr>
                <w:sz w:val="20"/>
                <w:szCs w:val="20"/>
              </w:rPr>
              <w:t>E-mail:</w:t>
            </w:r>
            <w:r>
              <w:rPr>
                <w:sz w:val="20"/>
                <w:szCs w:val="20"/>
              </w:rPr>
              <w:tab/>
            </w:r>
            <w:r w:rsidRPr="00643204">
              <w:rPr>
                <w:sz w:val="20"/>
                <w:szCs w:val="20"/>
              </w:rPr>
              <w:t>amorganlopez@rti.org</w:t>
            </w:r>
          </w:p>
          <w:p w:rsidR="00D5216D" w:rsidRPr="00643204" w:rsidRDefault="00D5216D" w:rsidP="00562A59">
            <w:pPr>
              <w:rPr>
                <w:sz w:val="20"/>
                <w:szCs w:val="20"/>
              </w:rPr>
            </w:pPr>
          </w:p>
        </w:tc>
      </w:tr>
      <w:tr w:rsidR="00562A59" w:rsidRPr="008C607D" w:rsidDel="00CC7210" w:rsidTr="00562A59">
        <w:trPr>
          <w:cantSplit/>
        </w:trPr>
        <w:tc>
          <w:tcPr>
            <w:tcW w:w="2640" w:type="dxa"/>
          </w:tcPr>
          <w:p w:rsidR="00562A59" w:rsidRDefault="00562A59" w:rsidP="00562A59">
            <w:pPr>
              <w:rPr>
                <w:b/>
                <w:bCs/>
                <w:sz w:val="20"/>
                <w:szCs w:val="20"/>
              </w:rPr>
            </w:pPr>
            <w:r w:rsidRPr="00DC2269">
              <w:rPr>
                <w:b/>
                <w:bCs/>
                <w:sz w:val="20"/>
                <w:szCs w:val="20"/>
              </w:rPr>
              <w:t>Pamela Lattimore, Ph.D.</w:t>
            </w:r>
          </w:p>
          <w:p w:rsidR="00562A59" w:rsidRPr="00DC2269" w:rsidRDefault="00562A59" w:rsidP="006069EB">
            <w:pPr>
              <w:rPr>
                <w:sz w:val="20"/>
                <w:szCs w:val="20"/>
              </w:rPr>
            </w:pPr>
            <w:r>
              <w:rPr>
                <w:sz w:val="20"/>
                <w:szCs w:val="20"/>
              </w:rPr>
              <w:t>Cross-</w:t>
            </w:r>
            <w:r w:rsidR="006069EB">
              <w:rPr>
                <w:sz w:val="20"/>
                <w:szCs w:val="20"/>
              </w:rPr>
              <w:t>Program</w:t>
            </w:r>
            <w:r>
              <w:rPr>
                <w:sz w:val="20"/>
                <w:szCs w:val="20"/>
              </w:rPr>
              <w:t xml:space="preserve"> Evaluation Data Analysis Team Leader</w:t>
            </w:r>
          </w:p>
          <w:p w:rsidR="00562A59" w:rsidRDefault="00562A59" w:rsidP="00562A59">
            <w:pPr>
              <w:rPr>
                <w:sz w:val="20"/>
                <w:szCs w:val="20"/>
              </w:rPr>
            </w:pPr>
          </w:p>
        </w:tc>
        <w:tc>
          <w:tcPr>
            <w:tcW w:w="3498" w:type="dxa"/>
          </w:tcPr>
          <w:p w:rsidR="00562A59" w:rsidRDefault="00562A59" w:rsidP="00562A59">
            <w:pPr>
              <w:rPr>
                <w:sz w:val="20"/>
                <w:szCs w:val="20"/>
              </w:rPr>
            </w:pPr>
            <w:r>
              <w:rPr>
                <w:sz w:val="20"/>
                <w:szCs w:val="20"/>
              </w:rPr>
              <w:t>Principal Scientist</w:t>
            </w:r>
          </w:p>
          <w:p w:rsidR="00562A59" w:rsidRDefault="00562A59" w:rsidP="00562A59">
            <w:pPr>
              <w:rPr>
                <w:sz w:val="20"/>
                <w:szCs w:val="20"/>
              </w:rPr>
            </w:pPr>
            <w:r>
              <w:rPr>
                <w:sz w:val="20"/>
                <w:szCs w:val="20"/>
              </w:rPr>
              <w:t>Crime, Violence and Justice Research Program</w:t>
            </w:r>
          </w:p>
          <w:p w:rsidR="00562A59" w:rsidRDefault="00562A59" w:rsidP="00562A59">
            <w:pPr>
              <w:rPr>
                <w:sz w:val="20"/>
                <w:szCs w:val="20"/>
              </w:rPr>
            </w:pPr>
            <w:r>
              <w:rPr>
                <w:sz w:val="20"/>
                <w:szCs w:val="20"/>
              </w:rPr>
              <w:t>RTI International</w:t>
            </w:r>
          </w:p>
          <w:p w:rsidR="00562A59" w:rsidRDefault="00562A59" w:rsidP="00562A59">
            <w:pPr>
              <w:rPr>
                <w:sz w:val="20"/>
                <w:szCs w:val="20"/>
              </w:rPr>
            </w:pPr>
            <w:r>
              <w:rPr>
                <w:sz w:val="20"/>
                <w:szCs w:val="20"/>
              </w:rPr>
              <w:t>3040 Cornwallis Road</w:t>
            </w:r>
          </w:p>
          <w:p w:rsidR="00562A59" w:rsidRDefault="00562A59" w:rsidP="00562A59">
            <w:pPr>
              <w:rPr>
                <w:sz w:val="20"/>
                <w:szCs w:val="20"/>
              </w:rPr>
            </w:pPr>
            <w:r>
              <w:rPr>
                <w:sz w:val="20"/>
                <w:szCs w:val="20"/>
              </w:rPr>
              <w:t>Research Triangle Park, NC 27709</w:t>
            </w:r>
          </w:p>
        </w:tc>
        <w:tc>
          <w:tcPr>
            <w:tcW w:w="3510" w:type="dxa"/>
          </w:tcPr>
          <w:p w:rsidR="00562A59" w:rsidRDefault="00562A59" w:rsidP="00562A59">
            <w:pPr>
              <w:rPr>
                <w:sz w:val="20"/>
                <w:szCs w:val="20"/>
              </w:rPr>
            </w:pPr>
            <w:r>
              <w:rPr>
                <w:sz w:val="20"/>
                <w:szCs w:val="20"/>
              </w:rPr>
              <w:t>Phone:   919-485-7759</w:t>
            </w:r>
          </w:p>
          <w:p w:rsidR="00562A59" w:rsidRDefault="00562A59" w:rsidP="00562A59">
            <w:pPr>
              <w:rPr>
                <w:sz w:val="20"/>
                <w:szCs w:val="20"/>
              </w:rPr>
            </w:pPr>
            <w:r>
              <w:rPr>
                <w:sz w:val="20"/>
                <w:szCs w:val="20"/>
              </w:rPr>
              <w:t>E-mail:  lattimore@rti.org</w:t>
            </w:r>
          </w:p>
        </w:tc>
      </w:tr>
      <w:tr w:rsidR="006069EB" w:rsidRPr="008C607D" w:rsidDel="00CC7210" w:rsidTr="00562A59">
        <w:trPr>
          <w:cantSplit/>
        </w:trPr>
        <w:tc>
          <w:tcPr>
            <w:tcW w:w="2640" w:type="dxa"/>
          </w:tcPr>
          <w:p w:rsidR="006069EB" w:rsidRDefault="006069EB" w:rsidP="004C2F68">
            <w:pPr>
              <w:rPr>
                <w:b/>
                <w:bCs/>
                <w:sz w:val="20"/>
                <w:szCs w:val="20"/>
              </w:rPr>
            </w:pPr>
            <w:r>
              <w:rPr>
                <w:b/>
                <w:bCs/>
                <w:sz w:val="20"/>
                <w:szCs w:val="20"/>
              </w:rPr>
              <w:t xml:space="preserve">Aileen Rothbard, </w:t>
            </w:r>
            <w:r w:rsidR="004C2F68">
              <w:rPr>
                <w:b/>
                <w:bCs/>
                <w:sz w:val="20"/>
                <w:szCs w:val="20"/>
              </w:rPr>
              <w:t>Sc</w:t>
            </w:r>
            <w:r>
              <w:rPr>
                <w:b/>
                <w:bCs/>
                <w:sz w:val="20"/>
                <w:szCs w:val="20"/>
              </w:rPr>
              <w:t>.D.</w:t>
            </w:r>
          </w:p>
          <w:p w:rsidR="00FE113E" w:rsidRPr="00DC2269" w:rsidRDefault="00FE113E" w:rsidP="004C2F68">
            <w:pPr>
              <w:rPr>
                <w:b/>
                <w:bCs/>
                <w:sz w:val="20"/>
                <w:szCs w:val="20"/>
              </w:rPr>
            </w:pPr>
            <w:r w:rsidRPr="00643204">
              <w:rPr>
                <w:sz w:val="20"/>
                <w:szCs w:val="20"/>
              </w:rPr>
              <w:t>Statistician</w:t>
            </w:r>
          </w:p>
        </w:tc>
        <w:tc>
          <w:tcPr>
            <w:tcW w:w="3498" w:type="dxa"/>
          </w:tcPr>
          <w:p w:rsidR="004C2F68" w:rsidRPr="004C2F68" w:rsidRDefault="004C2F68" w:rsidP="004C2F68">
            <w:pPr>
              <w:rPr>
                <w:sz w:val="20"/>
                <w:szCs w:val="20"/>
              </w:rPr>
            </w:pPr>
            <w:r w:rsidRPr="004C2F68">
              <w:rPr>
                <w:sz w:val="20"/>
                <w:szCs w:val="20"/>
              </w:rPr>
              <w:t>Research Professor</w:t>
            </w:r>
          </w:p>
          <w:p w:rsidR="004C2F68" w:rsidRPr="004C2F68" w:rsidRDefault="004C2F68" w:rsidP="004C2F68">
            <w:pPr>
              <w:rPr>
                <w:sz w:val="20"/>
                <w:szCs w:val="20"/>
              </w:rPr>
            </w:pPr>
            <w:r w:rsidRPr="004C2F68">
              <w:rPr>
                <w:sz w:val="20"/>
                <w:szCs w:val="20"/>
              </w:rPr>
              <w:t xml:space="preserve">School of Social Policy and Practice &amp; Department of Psychiatry </w:t>
            </w:r>
          </w:p>
          <w:p w:rsidR="004C2F68" w:rsidRPr="004C2F68" w:rsidRDefault="004C2F68" w:rsidP="004C2F68">
            <w:pPr>
              <w:rPr>
                <w:sz w:val="20"/>
                <w:szCs w:val="20"/>
              </w:rPr>
            </w:pPr>
            <w:r w:rsidRPr="004C2F68">
              <w:rPr>
                <w:sz w:val="20"/>
                <w:szCs w:val="20"/>
              </w:rPr>
              <w:t>3535 Market Street, Room 3014</w:t>
            </w:r>
          </w:p>
          <w:p w:rsidR="006069EB" w:rsidRDefault="004C2F68" w:rsidP="004C2F68">
            <w:pPr>
              <w:rPr>
                <w:sz w:val="20"/>
                <w:szCs w:val="20"/>
              </w:rPr>
            </w:pPr>
            <w:r>
              <w:rPr>
                <w:sz w:val="20"/>
                <w:szCs w:val="20"/>
              </w:rPr>
              <w:t>Philadelphia, PA  19104-2648</w:t>
            </w:r>
          </w:p>
        </w:tc>
        <w:tc>
          <w:tcPr>
            <w:tcW w:w="3510" w:type="dxa"/>
          </w:tcPr>
          <w:p w:rsidR="004C2F68" w:rsidRPr="004C2F68" w:rsidRDefault="004C2F68" w:rsidP="004C2F68">
            <w:pPr>
              <w:rPr>
                <w:sz w:val="20"/>
                <w:szCs w:val="20"/>
              </w:rPr>
            </w:pPr>
            <w:r w:rsidRPr="004C2F68">
              <w:rPr>
                <w:sz w:val="20"/>
                <w:szCs w:val="20"/>
              </w:rPr>
              <w:t xml:space="preserve">Phone: </w:t>
            </w:r>
            <w:r>
              <w:rPr>
                <w:sz w:val="20"/>
                <w:szCs w:val="20"/>
              </w:rPr>
              <w:tab/>
            </w:r>
            <w:r w:rsidRPr="004C2F68">
              <w:rPr>
                <w:sz w:val="20"/>
                <w:szCs w:val="20"/>
              </w:rPr>
              <w:t>215-573-7770</w:t>
            </w:r>
          </w:p>
          <w:p w:rsidR="004C2F68" w:rsidRPr="004C2F68" w:rsidRDefault="004C2F68" w:rsidP="004C2F68">
            <w:pPr>
              <w:rPr>
                <w:sz w:val="20"/>
                <w:szCs w:val="20"/>
              </w:rPr>
            </w:pPr>
            <w:r>
              <w:rPr>
                <w:sz w:val="20"/>
                <w:szCs w:val="20"/>
              </w:rPr>
              <w:t>E-mail:</w:t>
            </w:r>
            <w:r>
              <w:rPr>
                <w:sz w:val="20"/>
                <w:szCs w:val="20"/>
              </w:rPr>
              <w:tab/>
            </w:r>
            <w:r w:rsidRPr="00C07BE6">
              <w:rPr>
                <w:sz w:val="20"/>
                <w:szCs w:val="20"/>
              </w:rPr>
              <w:t>rothbard@mail.med.upenn.edu</w:t>
            </w:r>
          </w:p>
          <w:p w:rsidR="006069EB" w:rsidRDefault="006069EB" w:rsidP="004C2F68">
            <w:pPr>
              <w:rPr>
                <w:sz w:val="20"/>
                <w:szCs w:val="20"/>
              </w:rPr>
            </w:pPr>
          </w:p>
        </w:tc>
      </w:tr>
      <w:tr w:rsidR="00562A59" w:rsidRPr="008C607D" w:rsidDel="00CC7210" w:rsidTr="00562A59">
        <w:trPr>
          <w:cantSplit/>
        </w:trPr>
        <w:tc>
          <w:tcPr>
            <w:tcW w:w="2640" w:type="dxa"/>
          </w:tcPr>
          <w:p w:rsidR="00562A59" w:rsidRPr="00A826B4" w:rsidRDefault="00562A59" w:rsidP="00562A59">
            <w:pPr>
              <w:rPr>
                <w:b/>
                <w:bCs/>
                <w:sz w:val="20"/>
                <w:szCs w:val="20"/>
              </w:rPr>
            </w:pPr>
            <w:r w:rsidRPr="00A826B4">
              <w:rPr>
                <w:b/>
                <w:bCs/>
                <w:sz w:val="20"/>
                <w:szCs w:val="20"/>
              </w:rPr>
              <w:t>James Trudeau, Ph.D.</w:t>
            </w:r>
          </w:p>
          <w:p w:rsidR="00562A59" w:rsidRDefault="00562A59" w:rsidP="004C2F68">
            <w:pPr>
              <w:rPr>
                <w:sz w:val="20"/>
                <w:szCs w:val="20"/>
              </w:rPr>
            </w:pPr>
            <w:r>
              <w:rPr>
                <w:sz w:val="20"/>
                <w:szCs w:val="20"/>
              </w:rPr>
              <w:t>Cross-</w:t>
            </w:r>
            <w:r w:rsidR="004C2F68">
              <w:rPr>
                <w:sz w:val="20"/>
                <w:szCs w:val="20"/>
              </w:rPr>
              <w:t>Program</w:t>
            </w:r>
            <w:r>
              <w:rPr>
                <w:sz w:val="20"/>
                <w:szCs w:val="20"/>
              </w:rPr>
              <w:t xml:space="preserve"> Evaluation Data Collection Team Leader</w:t>
            </w:r>
          </w:p>
        </w:tc>
        <w:tc>
          <w:tcPr>
            <w:tcW w:w="3498" w:type="dxa"/>
          </w:tcPr>
          <w:p w:rsidR="00562A59" w:rsidRDefault="00562A59" w:rsidP="00562A59">
            <w:pPr>
              <w:rPr>
                <w:sz w:val="20"/>
                <w:szCs w:val="20"/>
              </w:rPr>
            </w:pPr>
            <w:r>
              <w:rPr>
                <w:sz w:val="20"/>
                <w:szCs w:val="20"/>
              </w:rPr>
              <w:t>Director</w:t>
            </w:r>
          </w:p>
          <w:p w:rsidR="00562A59" w:rsidRDefault="00562A59" w:rsidP="00562A59">
            <w:pPr>
              <w:rPr>
                <w:sz w:val="20"/>
                <w:szCs w:val="20"/>
              </w:rPr>
            </w:pPr>
            <w:r>
              <w:rPr>
                <w:sz w:val="20"/>
                <w:szCs w:val="20"/>
              </w:rPr>
              <w:t>Crime, Violence and Justice Research Program</w:t>
            </w:r>
          </w:p>
          <w:p w:rsidR="00562A59" w:rsidRDefault="00562A59" w:rsidP="00562A59">
            <w:pPr>
              <w:rPr>
                <w:sz w:val="20"/>
                <w:szCs w:val="20"/>
              </w:rPr>
            </w:pPr>
            <w:r>
              <w:rPr>
                <w:sz w:val="20"/>
                <w:szCs w:val="20"/>
              </w:rPr>
              <w:t>RTI International</w:t>
            </w:r>
          </w:p>
          <w:p w:rsidR="00562A59" w:rsidRDefault="00562A59" w:rsidP="00562A59">
            <w:pPr>
              <w:rPr>
                <w:sz w:val="20"/>
                <w:szCs w:val="20"/>
              </w:rPr>
            </w:pPr>
            <w:r>
              <w:rPr>
                <w:sz w:val="20"/>
                <w:szCs w:val="20"/>
              </w:rPr>
              <w:t>3040 Cornwallis Road</w:t>
            </w:r>
          </w:p>
          <w:p w:rsidR="00562A59" w:rsidRDefault="00562A59" w:rsidP="00562A59">
            <w:pPr>
              <w:rPr>
                <w:sz w:val="20"/>
                <w:szCs w:val="20"/>
              </w:rPr>
            </w:pPr>
            <w:r>
              <w:rPr>
                <w:sz w:val="20"/>
                <w:szCs w:val="20"/>
              </w:rPr>
              <w:t>Research Triangle Park, NC 27709</w:t>
            </w:r>
          </w:p>
        </w:tc>
        <w:tc>
          <w:tcPr>
            <w:tcW w:w="3510" w:type="dxa"/>
          </w:tcPr>
          <w:p w:rsidR="00562A59" w:rsidRDefault="00562A59" w:rsidP="00562A59">
            <w:pPr>
              <w:rPr>
                <w:sz w:val="20"/>
                <w:szCs w:val="20"/>
              </w:rPr>
            </w:pPr>
            <w:r>
              <w:rPr>
                <w:sz w:val="20"/>
                <w:szCs w:val="20"/>
              </w:rPr>
              <w:t>Phone:   919-485-7751</w:t>
            </w:r>
          </w:p>
          <w:p w:rsidR="00562A59" w:rsidRDefault="00562A59" w:rsidP="00562A59">
            <w:pPr>
              <w:rPr>
                <w:sz w:val="20"/>
                <w:szCs w:val="20"/>
              </w:rPr>
            </w:pPr>
            <w:r>
              <w:rPr>
                <w:sz w:val="20"/>
                <w:szCs w:val="20"/>
              </w:rPr>
              <w:t>E-mail:  trudeau@rti.org</w:t>
            </w:r>
          </w:p>
        </w:tc>
      </w:tr>
      <w:tr w:rsidR="00562A59" w:rsidRPr="008C607D" w:rsidTr="00562A59">
        <w:trPr>
          <w:cantSplit/>
        </w:trPr>
        <w:tc>
          <w:tcPr>
            <w:tcW w:w="2640" w:type="dxa"/>
          </w:tcPr>
          <w:p w:rsidR="00562A59" w:rsidRPr="00241701" w:rsidRDefault="00562A59" w:rsidP="00562A59">
            <w:pPr>
              <w:rPr>
                <w:sz w:val="20"/>
                <w:szCs w:val="20"/>
              </w:rPr>
            </w:pPr>
            <w:r w:rsidRPr="00A826B4">
              <w:rPr>
                <w:b/>
                <w:bCs/>
                <w:sz w:val="20"/>
                <w:szCs w:val="20"/>
              </w:rPr>
              <w:t>Gary A. Zarkin, Ph.D.</w:t>
            </w:r>
            <w:r w:rsidRPr="00241701">
              <w:rPr>
                <w:sz w:val="20"/>
                <w:szCs w:val="20"/>
              </w:rPr>
              <w:br/>
            </w:r>
            <w:r w:rsidR="00643204">
              <w:rPr>
                <w:sz w:val="20"/>
                <w:szCs w:val="20"/>
              </w:rPr>
              <w:t xml:space="preserve">Senior </w:t>
            </w:r>
            <w:r w:rsidRPr="00241701">
              <w:rPr>
                <w:sz w:val="20"/>
                <w:szCs w:val="20"/>
              </w:rPr>
              <w:t>Advisor</w:t>
            </w:r>
          </w:p>
        </w:tc>
        <w:tc>
          <w:tcPr>
            <w:tcW w:w="3498" w:type="dxa"/>
          </w:tcPr>
          <w:p w:rsidR="00562A59" w:rsidRPr="00241701" w:rsidRDefault="00562A59" w:rsidP="00562A59">
            <w:pPr>
              <w:rPr>
                <w:sz w:val="20"/>
                <w:szCs w:val="20"/>
              </w:rPr>
            </w:pPr>
            <w:r w:rsidRPr="00241701">
              <w:rPr>
                <w:sz w:val="20"/>
                <w:szCs w:val="20"/>
              </w:rPr>
              <w:t>Director</w:t>
            </w:r>
            <w:r w:rsidRPr="00241701">
              <w:rPr>
                <w:sz w:val="20"/>
                <w:szCs w:val="20"/>
              </w:rPr>
              <w:br/>
              <w:t>Behavioral Health Research Division</w:t>
            </w:r>
            <w:r w:rsidRPr="00241701">
              <w:rPr>
                <w:sz w:val="20"/>
                <w:szCs w:val="20"/>
              </w:rPr>
              <w:br/>
              <w:t>RTI International</w:t>
            </w:r>
            <w:r w:rsidRPr="00241701">
              <w:rPr>
                <w:sz w:val="20"/>
                <w:szCs w:val="20"/>
              </w:rPr>
              <w:br/>
              <w:t>3040 Cornwallis Road</w:t>
            </w:r>
            <w:r w:rsidRPr="00241701">
              <w:rPr>
                <w:sz w:val="20"/>
                <w:szCs w:val="20"/>
              </w:rPr>
              <w:br/>
              <w:t>Research Triangle Park, NC 27709</w:t>
            </w:r>
          </w:p>
        </w:tc>
        <w:tc>
          <w:tcPr>
            <w:tcW w:w="3510" w:type="dxa"/>
          </w:tcPr>
          <w:p w:rsidR="00562A59" w:rsidRPr="00241701" w:rsidRDefault="00562A59" w:rsidP="007A53D7">
            <w:pPr>
              <w:rPr>
                <w:sz w:val="20"/>
                <w:szCs w:val="20"/>
              </w:rPr>
            </w:pPr>
            <w:r w:rsidRPr="00241701">
              <w:rPr>
                <w:sz w:val="20"/>
                <w:szCs w:val="20"/>
              </w:rPr>
              <w:t>Phone:</w:t>
            </w:r>
            <w:r w:rsidRPr="00241701">
              <w:rPr>
                <w:sz w:val="20"/>
                <w:szCs w:val="20"/>
              </w:rPr>
              <w:tab/>
              <w:t>919-541-5858</w:t>
            </w:r>
            <w:r w:rsidRPr="00241701">
              <w:rPr>
                <w:sz w:val="20"/>
                <w:szCs w:val="20"/>
              </w:rPr>
              <w:br/>
              <w:t>E-mail:</w:t>
            </w:r>
            <w:r w:rsidRPr="00241701">
              <w:rPr>
                <w:sz w:val="20"/>
                <w:szCs w:val="20"/>
              </w:rPr>
              <w:tab/>
              <w:t>gaz@rti.org</w:t>
            </w:r>
          </w:p>
        </w:tc>
      </w:tr>
    </w:tbl>
    <w:p w:rsidR="00461B26" w:rsidRDefault="00461B26" w:rsidP="005E67F7">
      <w:pPr>
        <w:rPr>
          <w:b/>
          <w:u w:val="single"/>
        </w:rPr>
      </w:pPr>
    </w:p>
    <w:p w:rsidR="00461B26" w:rsidRDefault="00461B26">
      <w:pPr>
        <w:spacing w:after="200" w:line="276" w:lineRule="auto"/>
        <w:rPr>
          <w:b/>
          <w:u w:val="single"/>
        </w:rPr>
      </w:pPr>
      <w:r>
        <w:rPr>
          <w:b/>
          <w:u w:val="single"/>
        </w:rPr>
        <w:br w:type="page"/>
      </w:r>
    </w:p>
    <w:p w:rsidR="00562A59" w:rsidRDefault="00461B26" w:rsidP="00461B26">
      <w:pPr>
        <w:jc w:val="center"/>
        <w:rPr>
          <w:b/>
          <w:bCs/>
        </w:rPr>
      </w:pPr>
      <w:r w:rsidRPr="00D93CBB">
        <w:rPr>
          <w:b/>
          <w:bCs/>
        </w:rPr>
        <w:lastRenderedPageBreak/>
        <w:t>REFERENCES</w:t>
      </w:r>
    </w:p>
    <w:p w:rsidR="00461B26" w:rsidRDefault="00461B26" w:rsidP="00461B26">
      <w:pPr>
        <w:jc w:val="center"/>
        <w:rPr>
          <w:b/>
          <w:bCs/>
        </w:rPr>
      </w:pPr>
    </w:p>
    <w:p w:rsidR="003B79B8" w:rsidRPr="003B79B8" w:rsidRDefault="003B79B8" w:rsidP="003B79B8">
      <w:pPr>
        <w:ind w:left="720" w:hanging="720"/>
        <w:rPr>
          <w:bCs/>
          <w:sz w:val="22"/>
          <w:szCs w:val="22"/>
        </w:rPr>
      </w:pPr>
      <w:r w:rsidRPr="003B79B8">
        <w:rPr>
          <w:bCs/>
          <w:sz w:val="22"/>
          <w:szCs w:val="22"/>
        </w:rPr>
        <w:t xml:space="preserve">Aarons, G.A., </w:t>
      </w:r>
      <w:proofErr w:type="spellStart"/>
      <w:r w:rsidRPr="003B79B8">
        <w:rPr>
          <w:bCs/>
          <w:sz w:val="22"/>
          <w:szCs w:val="22"/>
        </w:rPr>
        <w:t>Hurlburt</w:t>
      </w:r>
      <w:proofErr w:type="spellEnd"/>
      <w:r w:rsidRPr="003B79B8">
        <w:rPr>
          <w:bCs/>
          <w:sz w:val="22"/>
          <w:szCs w:val="22"/>
        </w:rPr>
        <w:t>, M., Horowitz, S.M. (2011).  Advancing a Conceptual Model of Evidence-Based Practice Implementation in Public Service Sectors.  Administration and Policy in Mental Health, 38: 4-23.</w:t>
      </w:r>
    </w:p>
    <w:p w:rsidR="003B79B8" w:rsidRPr="00D71DF4" w:rsidRDefault="003B79B8" w:rsidP="003B79B8">
      <w:pPr>
        <w:ind w:left="720" w:hanging="720"/>
        <w:rPr>
          <w:bCs/>
          <w:sz w:val="22"/>
          <w:szCs w:val="22"/>
          <w:u w:val="single"/>
        </w:rPr>
      </w:pPr>
    </w:p>
    <w:p w:rsidR="008A2F48" w:rsidRDefault="008A2F48" w:rsidP="008A2F48">
      <w:pPr>
        <w:spacing w:after="240"/>
        <w:ind w:left="720" w:hanging="720"/>
        <w:rPr>
          <w:sz w:val="22"/>
          <w:szCs w:val="22"/>
        </w:rPr>
      </w:pPr>
      <w:r w:rsidRPr="00EF61A4">
        <w:rPr>
          <w:sz w:val="22"/>
          <w:szCs w:val="22"/>
        </w:rPr>
        <w:t xml:space="preserve">Ball, S. A., Martino, S., </w:t>
      </w:r>
      <w:proofErr w:type="spellStart"/>
      <w:r w:rsidRPr="00EF61A4">
        <w:rPr>
          <w:sz w:val="22"/>
          <w:szCs w:val="22"/>
        </w:rPr>
        <w:t>Nich</w:t>
      </w:r>
      <w:proofErr w:type="spellEnd"/>
      <w:r w:rsidRPr="00EF61A4">
        <w:rPr>
          <w:sz w:val="22"/>
          <w:szCs w:val="22"/>
        </w:rPr>
        <w:t xml:space="preserve">, C., </w:t>
      </w:r>
      <w:proofErr w:type="spellStart"/>
      <w:r w:rsidRPr="00EF61A4">
        <w:rPr>
          <w:sz w:val="22"/>
          <w:szCs w:val="22"/>
        </w:rPr>
        <w:t>Frankforter</w:t>
      </w:r>
      <w:proofErr w:type="spellEnd"/>
      <w:r w:rsidRPr="00EF61A4">
        <w:rPr>
          <w:sz w:val="22"/>
          <w:szCs w:val="22"/>
        </w:rPr>
        <w:t xml:space="preserve">, T. L., van Horn, D., </w:t>
      </w:r>
      <w:proofErr w:type="spellStart"/>
      <w:r w:rsidRPr="00EF61A4">
        <w:rPr>
          <w:sz w:val="22"/>
          <w:szCs w:val="22"/>
        </w:rPr>
        <w:t>Crits-Christoph</w:t>
      </w:r>
      <w:proofErr w:type="spellEnd"/>
      <w:r w:rsidRPr="00EF61A4">
        <w:rPr>
          <w:sz w:val="22"/>
          <w:szCs w:val="22"/>
        </w:rPr>
        <w:t xml:space="preserve">, P., et al. (2007). Site matters: Multisite randomized trial of motivational enhancement therapy in community drug abuse clinics. </w:t>
      </w:r>
      <w:r w:rsidRPr="00EF61A4">
        <w:rPr>
          <w:i/>
          <w:sz w:val="22"/>
          <w:szCs w:val="22"/>
        </w:rPr>
        <w:t>Journal of Consulting and Clinical Psychology, 75</w:t>
      </w:r>
      <w:r w:rsidRPr="00EF61A4">
        <w:rPr>
          <w:sz w:val="22"/>
          <w:szCs w:val="22"/>
        </w:rPr>
        <w:t>, 556–567.</w:t>
      </w:r>
    </w:p>
    <w:p w:rsidR="005F47DE" w:rsidRDefault="005F47DE" w:rsidP="005F47DE">
      <w:pPr>
        <w:spacing w:after="240"/>
        <w:ind w:left="720" w:hanging="720"/>
        <w:rPr>
          <w:sz w:val="22"/>
          <w:szCs w:val="22"/>
        </w:rPr>
      </w:pPr>
      <w:proofErr w:type="spellStart"/>
      <w:r w:rsidRPr="005F47DE">
        <w:rPr>
          <w:sz w:val="22"/>
          <w:szCs w:val="22"/>
        </w:rPr>
        <w:t>Basu</w:t>
      </w:r>
      <w:proofErr w:type="spellEnd"/>
      <w:r w:rsidRPr="005F47DE">
        <w:rPr>
          <w:sz w:val="22"/>
          <w:szCs w:val="22"/>
        </w:rPr>
        <w:t xml:space="preserve"> A.,  </w:t>
      </w:r>
      <w:proofErr w:type="spellStart"/>
      <w:r w:rsidRPr="005F47DE">
        <w:rPr>
          <w:sz w:val="22"/>
          <w:szCs w:val="22"/>
        </w:rPr>
        <w:t>Kee</w:t>
      </w:r>
      <w:proofErr w:type="spellEnd"/>
      <w:r w:rsidRPr="005F47DE">
        <w:rPr>
          <w:sz w:val="22"/>
          <w:szCs w:val="22"/>
        </w:rPr>
        <w:t xml:space="preserve"> R., Buchanan D., and </w:t>
      </w:r>
      <w:proofErr w:type="spellStart"/>
      <w:r w:rsidRPr="005F47DE">
        <w:rPr>
          <w:sz w:val="22"/>
          <w:szCs w:val="22"/>
        </w:rPr>
        <w:t>Sadowski</w:t>
      </w:r>
      <w:proofErr w:type="spellEnd"/>
      <w:r w:rsidRPr="005F47DE">
        <w:rPr>
          <w:sz w:val="22"/>
          <w:szCs w:val="22"/>
        </w:rPr>
        <w:t xml:space="preserve"> L. 2012. Comparative Cost Analysis of Housing and Case Management Program for Chronically Ill Homeless Adults Compared to Usual Care. Health Services Research. 47 (1pt2): 523–543</w:t>
      </w:r>
    </w:p>
    <w:p w:rsidR="003B79B8" w:rsidRDefault="003B79B8" w:rsidP="003B79B8">
      <w:pPr>
        <w:ind w:left="720" w:hanging="720"/>
        <w:rPr>
          <w:bCs/>
          <w:sz w:val="22"/>
          <w:szCs w:val="22"/>
        </w:rPr>
      </w:pPr>
      <w:r w:rsidRPr="003B79B8">
        <w:rPr>
          <w:bCs/>
          <w:sz w:val="22"/>
          <w:szCs w:val="22"/>
        </w:rPr>
        <w:t xml:space="preserve">Bond, G. R., Drake, R. E., Rapp, C. A., </w:t>
      </w:r>
      <w:proofErr w:type="spellStart"/>
      <w:r w:rsidRPr="003B79B8">
        <w:rPr>
          <w:bCs/>
          <w:sz w:val="22"/>
          <w:szCs w:val="22"/>
        </w:rPr>
        <w:t>McHugo</w:t>
      </w:r>
      <w:proofErr w:type="spellEnd"/>
      <w:r w:rsidRPr="003B79B8">
        <w:rPr>
          <w:bCs/>
          <w:sz w:val="22"/>
          <w:szCs w:val="22"/>
        </w:rPr>
        <w:t xml:space="preserve">, G. J., &amp; </w:t>
      </w:r>
      <w:proofErr w:type="spellStart"/>
      <w:r w:rsidRPr="003B79B8">
        <w:rPr>
          <w:bCs/>
          <w:sz w:val="22"/>
          <w:szCs w:val="22"/>
        </w:rPr>
        <w:t>Xie</w:t>
      </w:r>
      <w:proofErr w:type="spellEnd"/>
      <w:r w:rsidRPr="003B79B8">
        <w:rPr>
          <w:bCs/>
          <w:sz w:val="22"/>
          <w:szCs w:val="22"/>
        </w:rPr>
        <w:t xml:space="preserve">, H. (2009). Individualization and quality improvement:  Two new scales to complement measurement of program fidelity. Administration and Policy in Mental Health and Mental Health Services Research, 36: 349–357. </w:t>
      </w:r>
    </w:p>
    <w:p w:rsidR="003B79B8" w:rsidRPr="003B79B8" w:rsidRDefault="003B79B8" w:rsidP="003B79B8">
      <w:pPr>
        <w:ind w:left="720" w:hanging="720"/>
        <w:rPr>
          <w:bCs/>
          <w:sz w:val="22"/>
          <w:szCs w:val="22"/>
        </w:rPr>
      </w:pPr>
    </w:p>
    <w:p w:rsidR="008A2F48" w:rsidRDefault="008A2F48" w:rsidP="008A2F48">
      <w:pPr>
        <w:spacing w:after="240"/>
        <w:ind w:left="720" w:hanging="720"/>
        <w:rPr>
          <w:sz w:val="22"/>
          <w:szCs w:val="22"/>
        </w:rPr>
      </w:pPr>
      <w:proofErr w:type="spellStart"/>
      <w:r w:rsidRPr="00EF61A4">
        <w:rPr>
          <w:sz w:val="22"/>
          <w:szCs w:val="22"/>
        </w:rPr>
        <w:t>Borsari</w:t>
      </w:r>
      <w:proofErr w:type="spellEnd"/>
      <w:r w:rsidRPr="00EF61A4">
        <w:rPr>
          <w:sz w:val="22"/>
          <w:szCs w:val="22"/>
        </w:rPr>
        <w:t xml:space="preserve">, B., &amp; Carey, K. B. (2000). Effects of a brief motivational intervention with college student drinkers. </w:t>
      </w:r>
      <w:r w:rsidRPr="00EF61A4">
        <w:rPr>
          <w:i/>
          <w:sz w:val="22"/>
          <w:szCs w:val="22"/>
        </w:rPr>
        <w:t>Journal of Consulting and Clinical Psychology, 68</w:t>
      </w:r>
      <w:r w:rsidRPr="00EF61A4">
        <w:rPr>
          <w:sz w:val="22"/>
          <w:szCs w:val="22"/>
        </w:rPr>
        <w:t>, 728–733.</w:t>
      </w:r>
    </w:p>
    <w:p w:rsidR="009F7B0C" w:rsidRPr="009F7B0C" w:rsidRDefault="009F7B0C" w:rsidP="009F7B0C">
      <w:pPr>
        <w:spacing w:after="240"/>
        <w:ind w:left="720" w:hanging="720"/>
        <w:rPr>
          <w:sz w:val="22"/>
          <w:szCs w:val="22"/>
        </w:rPr>
      </w:pPr>
      <w:r w:rsidRPr="009F7B0C">
        <w:rPr>
          <w:sz w:val="22"/>
          <w:szCs w:val="22"/>
        </w:rPr>
        <w:t xml:space="preserve">Broner, N., Trudeau, J., </w:t>
      </w:r>
      <w:proofErr w:type="spellStart"/>
      <w:r w:rsidRPr="009F7B0C">
        <w:rPr>
          <w:sz w:val="22"/>
          <w:szCs w:val="22"/>
        </w:rPr>
        <w:t>Barrick</w:t>
      </w:r>
      <w:proofErr w:type="spellEnd"/>
      <w:r w:rsidRPr="009F7B0C">
        <w:rPr>
          <w:sz w:val="22"/>
          <w:szCs w:val="22"/>
        </w:rPr>
        <w:t xml:space="preserve">, K., Tibaduiza, E., Maxwell, K. Aldridge, A, &amp; Cowell, A. (2011a, November). </w:t>
      </w:r>
      <w:r w:rsidRPr="009F7B0C">
        <w:rPr>
          <w:i/>
          <w:iCs/>
          <w:sz w:val="22"/>
          <w:szCs w:val="22"/>
        </w:rPr>
        <w:t>Service and housing model approaches to ameliorate substance use disorders, reduce homelessness and increase housing stability: Initial process and outcome findings.</w:t>
      </w:r>
      <w:r w:rsidRPr="009F7B0C">
        <w:rPr>
          <w:sz w:val="22"/>
          <w:szCs w:val="22"/>
        </w:rPr>
        <w:t xml:space="preserve"> Presented at the annual meeting of the American Public Health Association, Washington, DC.</w:t>
      </w:r>
    </w:p>
    <w:p w:rsidR="009F7B0C" w:rsidRDefault="009F7B0C" w:rsidP="009F7B0C">
      <w:pPr>
        <w:spacing w:after="240"/>
        <w:ind w:left="720" w:hanging="720"/>
        <w:rPr>
          <w:sz w:val="22"/>
          <w:szCs w:val="22"/>
        </w:rPr>
      </w:pPr>
      <w:r w:rsidRPr="009F7B0C">
        <w:rPr>
          <w:sz w:val="22"/>
          <w:szCs w:val="22"/>
        </w:rPr>
        <w:t xml:space="preserve">Broner, N., Trudeau, J., Lattimore, P. K., </w:t>
      </w:r>
      <w:proofErr w:type="spellStart"/>
      <w:r w:rsidRPr="009F7B0C">
        <w:rPr>
          <w:sz w:val="22"/>
          <w:szCs w:val="22"/>
        </w:rPr>
        <w:t>Barrick</w:t>
      </w:r>
      <w:proofErr w:type="spellEnd"/>
      <w:r w:rsidRPr="009F7B0C">
        <w:rPr>
          <w:sz w:val="22"/>
          <w:szCs w:val="22"/>
        </w:rPr>
        <w:t xml:space="preserve">, K., Williams, J., &amp; Maxwell, K. D. (2011b, November). </w:t>
      </w:r>
      <w:r w:rsidRPr="009F7B0C">
        <w:rPr>
          <w:i/>
          <w:iCs/>
          <w:sz w:val="22"/>
          <w:szCs w:val="22"/>
        </w:rPr>
        <w:t>Services and housing interventions for criminal justice-involved homeless populations with substance use and co-occurring mental disorders.</w:t>
      </w:r>
      <w:r w:rsidRPr="009F7B0C">
        <w:rPr>
          <w:sz w:val="22"/>
          <w:szCs w:val="22"/>
        </w:rPr>
        <w:t xml:space="preserve"> Presented at the annual meeting for the American Society of Criminology, Washington, DC.</w:t>
      </w:r>
    </w:p>
    <w:p w:rsidR="008A2F48" w:rsidRDefault="008A2F48" w:rsidP="009F7B0C">
      <w:pPr>
        <w:spacing w:after="240"/>
        <w:ind w:left="720" w:hanging="720"/>
        <w:rPr>
          <w:sz w:val="22"/>
          <w:szCs w:val="22"/>
        </w:rPr>
      </w:pPr>
      <w:r w:rsidRPr="00EF61A4">
        <w:rPr>
          <w:sz w:val="22"/>
          <w:szCs w:val="22"/>
        </w:rPr>
        <w:t xml:space="preserve">Brown, J. M., &amp; Miller, W. R. (1993). Impact of motivational interviewing on participation and outcome in residential alcoholism treatment. </w:t>
      </w:r>
      <w:r w:rsidRPr="00EF61A4">
        <w:rPr>
          <w:i/>
          <w:sz w:val="22"/>
          <w:szCs w:val="22"/>
        </w:rPr>
        <w:t>Psychology of Addictive Behaviors, 7</w:t>
      </w:r>
      <w:r w:rsidRPr="00EF61A4">
        <w:rPr>
          <w:sz w:val="22"/>
          <w:szCs w:val="22"/>
        </w:rPr>
        <w:t>, 211–218.</w:t>
      </w:r>
    </w:p>
    <w:p w:rsidR="001D19F7" w:rsidRPr="00EF61A4" w:rsidRDefault="001D19F7" w:rsidP="001D19F7">
      <w:pPr>
        <w:spacing w:after="240"/>
        <w:ind w:left="720" w:hanging="720"/>
        <w:rPr>
          <w:sz w:val="22"/>
          <w:szCs w:val="22"/>
        </w:rPr>
      </w:pPr>
      <w:r w:rsidRPr="00EF61A4">
        <w:rPr>
          <w:sz w:val="22"/>
          <w:szCs w:val="22"/>
        </w:rPr>
        <w:t xml:space="preserve">Burt, M. R., Aron, L. Y., Douglas, T., Valente, J., Lee, E., &amp; </w:t>
      </w:r>
      <w:proofErr w:type="spellStart"/>
      <w:r w:rsidRPr="00EF61A4">
        <w:rPr>
          <w:sz w:val="22"/>
          <w:szCs w:val="22"/>
        </w:rPr>
        <w:t>Iwen</w:t>
      </w:r>
      <w:proofErr w:type="spellEnd"/>
      <w:r w:rsidRPr="00EF61A4">
        <w:rPr>
          <w:sz w:val="22"/>
          <w:szCs w:val="22"/>
        </w:rPr>
        <w:t xml:space="preserve">, B. (1999). </w:t>
      </w:r>
      <w:r w:rsidRPr="00EF61A4">
        <w:rPr>
          <w:i/>
          <w:sz w:val="22"/>
          <w:szCs w:val="22"/>
        </w:rPr>
        <w:t>Homelessness: Programs and the people they serve</w:t>
      </w:r>
      <w:r w:rsidRPr="00EF61A4">
        <w:rPr>
          <w:sz w:val="22"/>
          <w:szCs w:val="22"/>
        </w:rPr>
        <w:t>. Washington, DC: Interagency Council on the Homeless.</w:t>
      </w:r>
    </w:p>
    <w:p w:rsidR="00F0705D" w:rsidRDefault="00F0705D" w:rsidP="00F0705D">
      <w:pPr>
        <w:spacing w:after="240"/>
        <w:ind w:left="720" w:hanging="720"/>
        <w:rPr>
          <w:sz w:val="22"/>
          <w:szCs w:val="22"/>
        </w:rPr>
      </w:pPr>
      <w:proofErr w:type="spellStart"/>
      <w:r w:rsidRPr="00EF61A4">
        <w:rPr>
          <w:sz w:val="22"/>
          <w:szCs w:val="22"/>
        </w:rPr>
        <w:t>Caton</w:t>
      </w:r>
      <w:proofErr w:type="spellEnd"/>
      <w:r w:rsidRPr="00EF61A4">
        <w:rPr>
          <w:sz w:val="22"/>
          <w:szCs w:val="22"/>
        </w:rPr>
        <w:t xml:space="preserve">, C., Wilkins, C., &amp; Anderson, J. (2007). People who experience long-term homelessness: Characteristics and interventions. In D. Dennis, G. Locke, &amp; J. </w:t>
      </w:r>
      <w:proofErr w:type="spellStart"/>
      <w:r w:rsidRPr="00EF61A4">
        <w:rPr>
          <w:sz w:val="22"/>
          <w:szCs w:val="22"/>
        </w:rPr>
        <w:t>Khadduri</w:t>
      </w:r>
      <w:proofErr w:type="spellEnd"/>
      <w:r w:rsidRPr="00EF61A4">
        <w:rPr>
          <w:sz w:val="22"/>
          <w:szCs w:val="22"/>
        </w:rPr>
        <w:t xml:space="preserve"> (Eds.), </w:t>
      </w:r>
      <w:r w:rsidRPr="00EF61A4">
        <w:rPr>
          <w:i/>
          <w:iCs/>
          <w:sz w:val="22"/>
          <w:szCs w:val="22"/>
        </w:rPr>
        <w:t>Toward understanding homelessness: The 2007 National Symposium on Homelessness Research</w:t>
      </w:r>
      <w:r w:rsidRPr="00EF61A4">
        <w:rPr>
          <w:sz w:val="22"/>
          <w:szCs w:val="22"/>
        </w:rPr>
        <w:t xml:space="preserve"> (pp. 4-1 through 4-44)</w:t>
      </w:r>
      <w:r w:rsidRPr="00EF61A4">
        <w:rPr>
          <w:i/>
          <w:iCs/>
          <w:sz w:val="22"/>
          <w:szCs w:val="22"/>
        </w:rPr>
        <w:t xml:space="preserve">. </w:t>
      </w:r>
      <w:r w:rsidRPr="00EF61A4">
        <w:rPr>
          <w:sz w:val="22"/>
          <w:szCs w:val="22"/>
        </w:rPr>
        <w:t>Washington, DC: U.S. Department of Housing and Urban Development and U.S. Department of Health and Human Services. Retrieved October 26, 2009, from</w:t>
      </w:r>
      <w:r w:rsidRPr="00EF61A4">
        <w:rPr>
          <w:i/>
          <w:iCs/>
          <w:sz w:val="22"/>
          <w:szCs w:val="22"/>
        </w:rPr>
        <w:t xml:space="preserve"> </w:t>
      </w:r>
      <w:hyperlink r:id="rId11" w:history="1">
        <w:r w:rsidRPr="00EF61A4">
          <w:rPr>
            <w:rStyle w:val="Hyperlink"/>
            <w:sz w:val="22"/>
            <w:szCs w:val="22"/>
          </w:rPr>
          <w:t>http://aspe.hhs.gov/hsp/homelessness/symposium07/</w:t>
        </w:r>
      </w:hyperlink>
    </w:p>
    <w:p w:rsidR="008A2F48" w:rsidRPr="00EF61A4" w:rsidRDefault="008A2F48" w:rsidP="008A2F48">
      <w:pPr>
        <w:spacing w:after="240"/>
        <w:ind w:left="720" w:hanging="720"/>
        <w:rPr>
          <w:sz w:val="22"/>
          <w:szCs w:val="22"/>
        </w:rPr>
      </w:pPr>
      <w:r w:rsidRPr="00EF61A4">
        <w:rPr>
          <w:sz w:val="22"/>
          <w:szCs w:val="22"/>
        </w:rPr>
        <w:t xml:space="preserve">Cheng, A. L., &amp; Kelly, P. J. (2008). Impact of an integrated service system on client outcomes by gender in a national sample of a mentally ill homeless population. </w:t>
      </w:r>
      <w:r w:rsidRPr="00EF61A4">
        <w:rPr>
          <w:i/>
          <w:sz w:val="22"/>
          <w:szCs w:val="22"/>
        </w:rPr>
        <w:t>Gender Medicine, 5</w:t>
      </w:r>
      <w:r w:rsidRPr="00EF61A4">
        <w:rPr>
          <w:sz w:val="22"/>
          <w:szCs w:val="22"/>
        </w:rPr>
        <w:t>, 395–404.</w:t>
      </w:r>
    </w:p>
    <w:p w:rsidR="008A2F48" w:rsidRPr="00EF61A4" w:rsidRDefault="008A2F48" w:rsidP="008A2F48">
      <w:pPr>
        <w:spacing w:after="240"/>
        <w:ind w:left="720" w:hanging="720"/>
        <w:rPr>
          <w:sz w:val="22"/>
          <w:szCs w:val="22"/>
        </w:rPr>
      </w:pPr>
      <w:r w:rsidRPr="00EF61A4">
        <w:rPr>
          <w:sz w:val="22"/>
          <w:szCs w:val="22"/>
        </w:rPr>
        <w:t xml:space="preserve">Conrad, K. J., </w:t>
      </w:r>
      <w:proofErr w:type="spellStart"/>
      <w:r w:rsidRPr="00EF61A4">
        <w:rPr>
          <w:sz w:val="22"/>
          <w:szCs w:val="22"/>
        </w:rPr>
        <w:t>Hultman</w:t>
      </w:r>
      <w:proofErr w:type="spellEnd"/>
      <w:r w:rsidRPr="00EF61A4">
        <w:rPr>
          <w:sz w:val="22"/>
          <w:szCs w:val="22"/>
        </w:rPr>
        <w:t xml:space="preserve">, C. I., Pope, A. R., Lyons, J. S., Baxter, W. C., </w:t>
      </w:r>
      <w:proofErr w:type="spellStart"/>
      <w:r w:rsidRPr="00EF61A4">
        <w:rPr>
          <w:sz w:val="22"/>
          <w:szCs w:val="22"/>
        </w:rPr>
        <w:t>Daghestani</w:t>
      </w:r>
      <w:proofErr w:type="spellEnd"/>
      <w:r w:rsidRPr="00EF61A4">
        <w:rPr>
          <w:sz w:val="22"/>
          <w:szCs w:val="22"/>
        </w:rPr>
        <w:t xml:space="preserve">, A. N., et al. (1997). Case managed residential care for homeless addicted veterans: Results of a true experiment. </w:t>
      </w:r>
      <w:r w:rsidRPr="00EF61A4">
        <w:rPr>
          <w:i/>
          <w:sz w:val="22"/>
          <w:szCs w:val="22"/>
        </w:rPr>
        <w:t>Medical Care, 36</w:t>
      </w:r>
      <w:r w:rsidRPr="00EF61A4">
        <w:rPr>
          <w:sz w:val="22"/>
          <w:szCs w:val="22"/>
        </w:rPr>
        <w:t>, 40–53.</w:t>
      </w:r>
    </w:p>
    <w:p w:rsidR="009F7B0C" w:rsidRDefault="009F7B0C" w:rsidP="009F7B0C">
      <w:pPr>
        <w:spacing w:after="240"/>
        <w:ind w:left="720" w:hanging="720"/>
        <w:rPr>
          <w:sz w:val="22"/>
          <w:szCs w:val="22"/>
        </w:rPr>
      </w:pPr>
      <w:r w:rsidRPr="009F7B0C">
        <w:rPr>
          <w:sz w:val="22"/>
          <w:szCs w:val="22"/>
        </w:rPr>
        <w:lastRenderedPageBreak/>
        <w:t xml:space="preserve">Cowell, A. J., Hinde, J., Orme, S., Aldridge, A., &amp; Broner, N. (2011, May). </w:t>
      </w:r>
      <w:r w:rsidRPr="009F7B0C">
        <w:rPr>
          <w:i/>
          <w:iCs/>
          <w:sz w:val="22"/>
          <w:szCs w:val="22"/>
        </w:rPr>
        <w:t>The role of federal grant funding in strengthening the system of care for homeless people with substance use and co-occurring mental health problems: A first look</w:t>
      </w:r>
      <w:r w:rsidRPr="009F7B0C">
        <w:rPr>
          <w:sz w:val="22"/>
          <w:szCs w:val="22"/>
        </w:rPr>
        <w:t>. SAMHSA GBHI National Cross-Site Evaluation in Brief Series. New York, NY: RTI International. Contract #: HHSS283200700002I/ HHSS28342002T.</w:t>
      </w:r>
    </w:p>
    <w:p w:rsidR="008A2F48" w:rsidRPr="00EF61A4" w:rsidRDefault="008A2F48" w:rsidP="009F7B0C">
      <w:pPr>
        <w:spacing w:after="240"/>
        <w:ind w:left="720" w:hanging="720"/>
        <w:rPr>
          <w:sz w:val="22"/>
          <w:szCs w:val="22"/>
        </w:rPr>
      </w:pPr>
      <w:r w:rsidRPr="00EF61A4">
        <w:rPr>
          <w:sz w:val="22"/>
          <w:szCs w:val="22"/>
        </w:rPr>
        <w:t xml:space="preserve">Drake, R. E., </w:t>
      </w:r>
      <w:proofErr w:type="spellStart"/>
      <w:r w:rsidRPr="00EF61A4">
        <w:rPr>
          <w:sz w:val="22"/>
          <w:szCs w:val="22"/>
        </w:rPr>
        <w:t>McHugo</w:t>
      </w:r>
      <w:proofErr w:type="spellEnd"/>
      <w:r w:rsidRPr="00EF61A4">
        <w:rPr>
          <w:sz w:val="22"/>
          <w:szCs w:val="22"/>
        </w:rPr>
        <w:t xml:space="preserve">, G. J. &amp; </w:t>
      </w:r>
      <w:proofErr w:type="spellStart"/>
      <w:r w:rsidRPr="00EF61A4">
        <w:rPr>
          <w:sz w:val="22"/>
          <w:szCs w:val="22"/>
        </w:rPr>
        <w:t>Noordsy</w:t>
      </w:r>
      <w:proofErr w:type="spellEnd"/>
      <w:r w:rsidRPr="00EF61A4">
        <w:rPr>
          <w:sz w:val="22"/>
          <w:szCs w:val="22"/>
        </w:rPr>
        <w:t xml:space="preserve">, D. L. (1993). Treatment of alcoholism among schizophrenic patients: Four-year-outcomes. </w:t>
      </w:r>
      <w:r w:rsidRPr="00EF61A4">
        <w:rPr>
          <w:i/>
          <w:sz w:val="22"/>
          <w:szCs w:val="22"/>
        </w:rPr>
        <w:t>American Journal of Psychiatry, 150</w:t>
      </w:r>
      <w:r w:rsidRPr="00EF61A4">
        <w:rPr>
          <w:sz w:val="22"/>
          <w:szCs w:val="22"/>
        </w:rPr>
        <w:t>, 328–329.</w:t>
      </w:r>
    </w:p>
    <w:p w:rsidR="008A2F48" w:rsidRPr="00EF61A4" w:rsidRDefault="008A2F48" w:rsidP="008A2F48">
      <w:pPr>
        <w:spacing w:after="240"/>
        <w:ind w:left="720" w:hanging="720"/>
        <w:rPr>
          <w:sz w:val="22"/>
          <w:szCs w:val="22"/>
        </w:rPr>
      </w:pPr>
      <w:r w:rsidRPr="00EF61A4">
        <w:rPr>
          <w:sz w:val="22"/>
          <w:szCs w:val="22"/>
        </w:rPr>
        <w:t xml:space="preserve">Drake, R. E., </w:t>
      </w:r>
      <w:proofErr w:type="spellStart"/>
      <w:r w:rsidRPr="00EF61A4">
        <w:rPr>
          <w:sz w:val="22"/>
          <w:szCs w:val="22"/>
        </w:rPr>
        <w:t>Yovetich</w:t>
      </w:r>
      <w:proofErr w:type="spellEnd"/>
      <w:r w:rsidRPr="00EF61A4">
        <w:rPr>
          <w:sz w:val="22"/>
          <w:szCs w:val="22"/>
        </w:rPr>
        <w:t xml:space="preserve">, N. A., </w:t>
      </w:r>
      <w:proofErr w:type="spellStart"/>
      <w:r w:rsidRPr="00EF61A4">
        <w:rPr>
          <w:sz w:val="22"/>
          <w:szCs w:val="22"/>
        </w:rPr>
        <w:t>Bebout</w:t>
      </w:r>
      <w:proofErr w:type="spellEnd"/>
      <w:r w:rsidRPr="00EF61A4">
        <w:rPr>
          <w:sz w:val="22"/>
          <w:szCs w:val="22"/>
        </w:rPr>
        <w:t xml:space="preserve">, R. R., Harris, M., &amp; </w:t>
      </w:r>
      <w:proofErr w:type="spellStart"/>
      <w:r w:rsidRPr="00EF61A4">
        <w:rPr>
          <w:sz w:val="22"/>
          <w:szCs w:val="22"/>
        </w:rPr>
        <w:t>McHugo</w:t>
      </w:r>
      <w:proofErr w:type="spellEnd"/>
      <w:r w:rsidRPr="00EF61A4">
        <w:rPr>
          <w:sz w:val="22"/>
          <w:szCs w:val="22"/>
        </w:rPr>
        <w:t xml:space="preserve">, G. J. (1997). Integrated treatment for dually diagnosed homeless adults. </w:t>
      </w:r>
      <w:r w:rsidRPr="00EF61A4">
        <w:rPr>
          <w:i/>
          <w:iCs/>
          <w:sz w:val="22"/>
          <w:szCs w:val="22"/>
        </w:rPr>
        <w:t xml:space="preserve">Journal of Nervous and Mental Disease, 185, </w:t>
      </w:r>
      <w:r w:rsidRPr="00EF61A4">
        <w:rPr>
          <w:sz w:val="22"/>
          <w:szCs w:val="22"/>
        </w:rPr>
        <w:t>298–305.</w:t>
      </w:r>
    </w:p>
    <w:p w:rsidR="003B79B8" w:rsidRPr="003B79B8" w:rsidRDefault="003B79B8" w:rsidP="003B79B8">
      <w:pPr>
        <w:ind w:left="720" w:hanging="720"/>
        <w:rPr>
          <w:bCs/>
          <w:sz w:val="22"/>
          <w:szCs w:val="22"/>
        </w:rPr>
      </w:pPr>
      <w:proofErr w:type="spellStart"/>
      <w:r w:rsidRPr="003B79B8">
        <w:rPr>
          <w:bCs/>
          <w:sz w:val="22"/>
          <w:szCs w:val="22"/>
        </w:rPr>
        <w:t>Finnerty</w:t>
      </w:r>
      <w:proofErr w:type="spellEnd"/>
      <w:r w:rsidRPr="003B79B8">
        <w:rPr>
          <w:bCs/>
          <w:sz w:val="22"/>
          <w:szCs w:val="22"/>
        </w:rPr>
        <w:t xml:space="preserve">, M.T., Rapp, C.A., Bond, G.R., </w:t>
      </w:r>
      <w:proofErr w:type="spellStart"/>
      <w:r w:rsidRPr="003B79B8">
        <w:rPr>
          <w:bCs/>
          <w:sz w:val="22"/>
          <w:szCs w:val="22"/>
        </w:rPr>
        <w:t>Lynde</w:t>
      </w:r>
      <w:proofErr w:type="spellEnd"/>
      <w:r w:rsidRPr="003B79B8">
        <w:rPr>
          <w:bCs/>
          <w:sz w:val="22"/>
          <w:szCs w:val="22"/>
        </w:rPr>
        <w:t xml:space="preserve">, D.W., </w:t>
      </w:r>
      <w:proofErr w:type="spellStart"/>
      <w:r w:rsidRPr="003B79B8">
        <w:rPr>
          <w:bCs/>
          <w:sz w:val="22"/>
          <w:szCs w:val="22"/>
        </w:rPr>
        <w:t>Ganju</w:t>
      </w:r>
      <w:proofErr w:type="spellEnd"/>
      <w:r w:rsidRPr="003B79B8">
        <w:rPr>
          <w:bCs/>
          <w:sz w:val="22"/>
          <w:szCs w:val="22"/>
        </w:rPr>
        <w:t>, V., Goldman, H.H. (2009).  The State Health Authority Yardstick (SHAY). Community Mental Health Journal, 45(3):228-36.</w:t>
      </w:r>
    </w:p>
    <w:p w:rsidR="003B79B8" w:rsidRPr="003B79B8" w:rsidRDefault="003B79B8" w:rsidP="003B79B8">
      <w:pPr>
        <w:ind w:left="720" w:hanging="720"/>
        <w:rPr>
          <w:bCs/>
          <w:sz w:val="22"/>
          <w:szCs w:val="22"/>
        </w:rPr>
      </w:pPr>
    </w:p>
    <w:p w:rsidR="003B79B8" w:rsidRPr="003B79B8" w:rsidRDefault="003B79B8" w:rsidP="003B79B8">
      <w:pPr>
        <w:ind w:left="720" w:hanging="720"/>
        <w:rPr>
          <w:bCs/>
          <w:sz w:val="22"/>
          <w:szCs w:val="22"/>
        </w:rPr>
      </w:pPr>
      <w:proofErr w:type="spellStart"/>
      <w:r w:rsidRPr="003B79B8">
        <w:rPr>
          <w:bCs/>
          <w:sz w:val="22"/>
          <w:szCs w:val="22"/>
        </w:rPr>
        <w:t>Fixsen</w:t>
      </w:r>
      <w:proofErr w:type="spellEnd"/>
      <w:r w:rsidRPr="003B79B8">
        <w:rPr>
          <w:bCs/>
          <w:sz w:val="22"/>
          <w:szCs w:val="22"/>
        </w:rPr>
        <w:t xml:space="preserve">, D.L., and </w:t>
      </w:r>
      <w:proofErr w:type="spellStart"/>
      <w:r w:rsidRPr="003B79B8">
        <w:rPr>
          <w:bCs/>
          <w:sz w:val="22"/>
          <w:szCs w:val="22"/>
        </w:rPr>
        <w:t>Blase</w:t>
      </w:r>
      <w:proofErr w:type="spellEnd"/>
      <w:r w:rsidRPr="003B79B8">
        <w:rPr>
          <w:bCs/>
          <w:sz w:val="22"/>
          <w:szCs w:val="22"/>
        </w:rPr>
        <w:t>, K.A.  (2010). Stage-Based Measures of Implementation Components: Installation Stage Assessment. Chapel Hill, NC: University of North Carolina Chapel Hill, National Implementation Research Network.</w:t>
      </w:r>
    </w:p>
    <w:p w:rsidR="003B79B8" w:rsidRPr="003B79B8" w:rsidRDefault="003B79B8" w:rsidP="003B79B8">
      <w:pPr>
        <w:ind w:left="720" w:hanging="720"/>
        <w:rPr>
          <w:bCs/>
          <w:sz w:val="22"/>
          <w:szCs w:val="22"/>
        </w:rPr>
      </w:pPr>
    </w:p>
    <w:p w:rsidR="003B79B8" w:rsidRPr="003B79B8" w:rsidRDefault="003B79B8" w:rsidP="003B79B8">
      <w:pPr>
        <w:ind w:left="720" w:hanging="720"/>
        <w:rPr>
          <w:bCs/>
          <w:sz w:val="22"/>
          <w:szCs w:val="22"/>
        </w:rPr>
      </w:pPr>
      <w:proofErr w:type="spellStart"/>
      <w:r w:rsidRPr="003B79B8">
        <w:rPr>
          <w:bCs/>
          <w:sz w:val="22"/>
          <w:szCs w:val="22"/>
        </w:rPr>
        <w:t>Fixsen</w:t>
      </w:r>
      <w:proofErr w:type="spellEnd"/>
      <w:r w:rsidRPr="003B79B8">
        <w:rPr>
          <w:bCs/>
          <w:sz w:val="22"/>
          <w:szCs w:val="22"/>
        </w:rPr>
        <w:t xml:space="preserve">, D. L., </w:t>
      </w:r>
      <w:proofErr w:type="spellStart"/>
      <w:r w:rsidRPr="003B79B8">
        <w:rPr>
          <w:bCs/>
          <w:sz w:val="22"/>
          <w:szCs w:val="22"/>
        </w:rPr>
        <w:t>Naoom</w:t>
      </w:r>
      <w:proofErr w:type="spellEnd"/>
      <w:r w:rsidRPr="003B79B8">
        <w:rPr>
          <w:bCs/>
          <w:sz w:val="22"/>
          <w:szCs w:val="22"/>
        </w:rPr>
        <w:t xml:space="preserve">, S. F., </w:t>
      </w:r>
      <w:proofErr w:type="spellStart"/>
      <w:r w:rsidRPr="003B79B8">
        <w:rPr>
          <w:bCs/>
          <w:sz w:val="22"/>
          <w:szCs w:val="22"/>
        </w:rPr>
        <w:t>Blase</w:t>
      </w:r>
      <w:proofErr w:type="spellEnd"/>
      <w:r w:rsidRPr="003B79B8">
        <w:rPr>
          <w:bCs/>
          <w:sz w:val="22"/>
          <w:szCs w:val="22"/>
        </w:rPr>
        <w:t>, K. A., Friedman, R. M., &amp; Wallace, F. (2005). Implementation Research: A synthesis of the literature. Tampa, FL: University of South Florida, Louis de la Parte Florida Mental Health Institute, The National Implementation Research Network  (FMHI Publication #231), http://nirn.fmhi.usf.edu/resources/detail.cfm?resourceID=31.</w:t>
      </w:r>
    </w:p>
    <w:p w:rsidR="003B79B8" w:rsidRPr="003B79B8" w:rsidRDefault="003B79B8" w:rsidP="003B79B8">
      <w:pPr>
        <w:ind w:left="720" w:hanging="720"/>
        <w:rPr>
          <w:bCs/>
          <w:sz w:val="22"/>
          <w:szCs w:val="22"/>
        </w:rPr>
      </w:pPr>
    </w:p>
    <w:p w:rsidR="003B79B8" w:rsidRPr="003B79B8" w:rsidRDefault="003B79B8" w:rsidP="003B79B8">
      <w:pPr>
        <w:ind w:left="720" w:hanging="720"/>
        <w:rPr>
          <w:bCs/>
          <w:sz w:val="22"/>
          <w:szCs w:val="22"/>
        </w:rPr>
      </w:pPr>
      <w:r w:rsidRPr="003B79B8">
        <w:rPr>
          <w:bCs/>
          <w:sz w:val="22"/>
          <w:szCs w:val="22"/>
        </w:rPr>
        <w:t xml:space="preserve">Gilmer, TP, </w:t>
      </w:r>
      <w:proofErr w:type="spellStart"/>
      <w:r w:rsidRPr="003B79B8">
        <w:rPr>
          <w:bCs/>
          <w:sz w:val="22"/>
          <w:szCs w:val="22"/>
        </w:rPr>
        <w:t>Stefancic</w:t>
      </w:r>
      <w:proofErr w:type="spellEnd"/>
      <w:r w:rsidRPr="003B79B8">
        <w:rPr>
          <w:bCs/>
          <w:sz w:val="22"/>
          <w:szCs w:val="22"/>
        </w:rPr>
        <w:t xml:space="preserve">, A, </w:t>
      </w:r>
      <w:proofErr w:type="spellStart"/>
      <w:r w:rsidRPr="003B79B8">
        <w:rPr>
          <w:bCs/>
          <w:sz w:val="22"/>
          <w:szCs w:val="22"/>
        </w:rPr>
        <w:t>Ettner</w:t>
      </w:r>
      <w:proofErr w:type="spellEnd"/>
      <w:r w:rsidRPr="003B79B8">
        <w:rPr>
          <w:bCs/>
          <w:sz w:val="22"/>
          <w:szCs w:val="22"/>
        </w:rPr>
        <w:t xml:space="preserve">, SL, Manning WG, &amp; </w:t>
      </w:r>
      <w:proofErr w:type="spellStart"/>
      <w:r w:rsidRPr="003B79B8">
        <w:rPr>
          <w:bCs/>
          <w:sz w:val="22"/>
          <w:szCs w:val="22"/>
        </w:rPr>
        <w:t>Tsemberis</w:t>
      </w:r>
      <w:proofErr w:type="spellEnd"/>
      <w:r w:rsidRPr="003B79B8">
        <w:rPr>
          <w:bCs/>
          <w:sz w:val="22"/>
          <w:szCs w:val="22"/>
        </w:rPr>
        <w:t xml:space="preserve"> S. (2010). Effect of full-service partnerships on homelessness, use and costs of mental health services, and quality of life among adults with serious mental illness.  Archives of General Psychiatry 67(6): 645-652.</w:t>
      </w:r>
    </w:p>
    <w:p w:rsidR="003B79B8" w:rsidRPr="003B79B8" w:rsidRDefault="003B79B8" w:rsidP="003B79B8">
      <w:pPr>
        <w:rPr>
          <w:bCs/>
          <w:sz w:val="22"/>
          <w:szCs w:val="22"/>
        </w:rPr>
      </w:pPr>
    </w:p>
    <w:p w:rsidR="003B79B8" w:rsidRPr="003B79B8" w:rsidRDefault="003B79B8" w:rsidP="003B79B8">
      <w:pPr>
        <w:ind w:left="720" w:hanging="720"/>
        <w:rPr>
          <w:bCs/>
          <w:sz w:val="22"/>
          <w:szCs w:val="22"/>
        </w:rPr>
      </w:pPr>
      <w:r w:rsidRPr="003B79B8">
        <w:rPr>
          <w:bCs/>
          <w:sz w:val="22"/>
          <w:szCs w:val="22"/>
        </w:rPr>
        <w:t>Gilmer, T. &amp; Katz, M. (2012). Combining fidelity and research: Lessons from a study of California's full service partnerships. Presentation at the Housing First Partners' Conference.</w:t>
      </w:r>
    </w:p>
    <w:p w:rsidR="003B79B8" w:rsidRDefault="003B79B8" w:rsidP="003B79B8">
      <w:pPr>
        <w:spacing w:after="240"/>
        <w:ind w:left="720" w:hanging="720"/>
        <w:rPr>
          <w:sz w:val="22"/>
          <w:szCs w:val="22"/>
        </w:rPr>
      </w:pPr>
    </w:p>
    <w:p w:rsidR="003B79B8" w:rsidRDefault="003B79B8" w:rsidP="003B79B8">
      <w:pPr>
        <w:spacing w:after="240"/>
        <w:ind w:left="720" w:hanging="720"/>
        <w:rPr>
          <w:sz w:val="22"/>
          <w:szCs w:val="22"/>
        </w:rPr>
      </w:pPr>
      <w:r w:rsidRPr="00EF61A4">
        <w:rPr>
          <w:sz w:val="22"/>
          <w:szCs w:val="22"/>
        </w:rPr>
        <w:t xml:space="preserve">Greenberg, G. A., &amp; </w:t>
      </w:r>
      <w:proofErr w:type="spellStart"/>
      <w:r w:rsidRPr="00EF61A4">
        <w:rPr>
          <w:sz w:val="22"/>
          <w:szCs w:val="22"/>
        </w:rPr>
        <w:t>Rosenheck</w:t>
      </w:r>
      <w:proofErr w:type="spellEnd"/>
      <w:r w:rsidRPr="00EF61A4">
        <w:rPr>
          <w:sz w:val="22"/>
          <w:szCs w:val="22"/>
        </w:rPr>
        <w:t xml:space="preserve">, R. A. (2008). Jail incarceration, homelessness and mental health: A national study. </w:t>
      </w:r>
      <w:r w:rsidRPr="00EF61A4">
        <w:rPr>
          <w:i/>
          <w:iCs/>
          <w:sz w:val="22"/>
          <w:szCs w:val="22"/>
        </w:rPr>
        <w:t>Psychiatric Services</w:t>
      </w:r>
      <w:r w:rsidRPr="00EF61A4">
        <w:rPr>
          <w:sz w:val="22"/>
          <w:szCs w:val="22"/>
        </w:rPr>
        <w:t xml:space="preserve">, </w:t>
      </w:r>
      <w:r w:rsidRPr="00EF61A4">
        <w:rPr>
          <w:i/>
          <w:iCs/>
          <w:sz w:val="22"/>
          <w:szCs w:val="22"/>
        </w:rPr>
        <w:t>59</w:t>
      </w:r>
      <w:r w:rsidRPr="00EF61A4">
        <w:rPr>
          <w:sz w:val="22"/>
          <w:szCs w:val="22"/>
        </w:rPr>
        <w:t>, 170–177.</w:t>
      </w:r>
    </w:p>
    <w:p w:rsidR="001D19F7" w:rsidRDefault="001D19F7" w:rsidP="008A2F48">
      <w:pPr>
        <w:spacing w:after="240"/>
        <w:ind w:left="720" w:hanging="720"/>
        <w:rPr>
          <w:sz w:val="22"/>
          <w:szCs w:val="22"/>
        </w:rPr>
      </w:pPr>
      <w:proofErr w:type="spellStart"/>
      <w:r w:rsidRPr="00EF61A4">
        <w:rPr>
          <w:sz w:val="22"/>
          <w:szCs w:val="22"/>
        </w:rPr>
        <w:t>Hiday</w:t>
      </w:r>
      <w:proofErr w:type="spellEnd"/>
      <w:r w:rsidRPr="00EF61A4">
        <w:rPr>
          <w:sz w:val="22"/>
          <w:szCs w:val="22"/>
        </w:rPr>
        <w:t xml:space="preserve">, V., Swartz, M., Swanson, J., </w:t>
      </w:r>
      <w:proofErr w:type="spellStart"/>
      <w:r w:rsidRPr="00EF61A4">
        <w:rPr>
          <w:sz w:val="22"/>
          <w:szCs w:val="22"/>
        </w:rPr>
        <w:t>Borum</w:t>
      </w:r>
      <w:proofErr w:type="spellEnd"/>
      <w:r w:rsidRPr="00EF61A4">
        <w:rPr>
          <w:sz w:val="22"/>
          <w:szCs w:val="22"/>
        </w:rPr>
        <w:t xml:space="preserve">, R., &amp; Wagner, H. (1999). Criminal victimization of persons with severe mental illness. </w:t>
      </w:r>
      <w:r w:rsidRPr="00EF61A4">
        <w:rPr>
          <w:i/>
          <w:iCs/>
          <w:sz w:val="22"/>
          <w:szCs w:val="22"/>
        </w:rPr>
        <w:t>Psychiatric Services, 50,</w:t>
      </w:r>
      <w:r w:rsidRPr="00EF61A4">
        <w:rPr>
          <w:sz w:val="22"/>
          <w:szCs w:val="22"/>
        </w:rPr>
        <w:t xml:space="preserve"> 62–68.</w:t>
      </w:r>
    </w:p>
    <w:p w:rsidR="008A2F48" w:rsidRPr="00EF61A4" w:rsidRDefault="008A2F48" w:rsidP="008A2F48">
      <w:pPr>
        <w:spacing w:after="240"/>
        <w:ind w:left="720" w:hanging="720"/>
        <w:rPr>
          <w:sz w:val="22"/>
          <w:szCs w:val="22"/>
        </w:rPr>
      </w:pPr>
      <w:proofErr w:type="spellStart"/>
      <w:r w:rsidRPr="00EF61A4">
        <w:rPr>
          <w:sz w:val="22"/>
          <w:szCs w:val="22"/>
        </w:rPr>
        <w:t>Kertesz</w:t>
      </w:r>
      <w:proofErr w:type="spellEnd"/>
      <w:r w:rsidRPr="00EF61A4">
        <w:rPr>
          <w:sz w:val="22"/>
          <w:szCs w:val="22"/>
        </w:rPr>
        <w:t xml:space="preserve">, S. G., Crouch, K., </w:t>
      </w:r>
      <w:proofErr w:type="spellStart"/>
      <w:r w:rsidRPr="00EF61A4">
        <w:rPr>
          <w:sz w:val="22"/>
          <w:szCs w:val="22"/>
        </w:rPr>
        <w:t>Milby</w:t>
      </w:r>
      <w:proofErr w:type="spellEnd"/>
      <w:r w:rsidRPr="00EF61A4">
        <w:rPr>
          <w:sz w:val="22"/>
          <w:szCs w:val="22"/>
        </w:rPr>
        <w:t xml:space="preserve">, J. B., </w:t>
      </w:r>
      <w:proofErr w:type="spellStart"/>
      <w:r w:rsidRPr="00EF61A4">
        <w:rPr>
          <w:sz w:val="22"/>
          <w:szCs w:val="22"/>
        </w:rPr>
        <w:t>Cusimano</w:t>
      </w:r>
      <w:proofErr w:type="spellEnd"/>
      <w:r w:rsidRPr="00EF61A4">
        <w:rPr>
          <w:sz w:val="22"/>
          <w:szCs w:val="22"/>
        </w:rPr>
        <w:t xml:space="preserve">, R. E., &amp; Schumacher, J. E. (2009). Housing First for homeless persons with active addiction: Are we overreaching? </w:t>
      </w:r>
      <w:r w:rsidRPr="00EF61A4">
        <w:rPr>
          <w:i/>
          <w:sz w:val="22"/>
          <w:szCs w:val="22"/>
        </w:rPr>
        <w:t>The Milbank Quarterly, 87</w:t>
      </w:r>
      <w:r w:rsidRPr="00EF61A4">
        <w:rPr>
          <w:sz w:val="22"/>
          <w:szCs w:val="22"/>
        </w:rPr>
        <w:t>, 495–534.</w:t>
      </w:r>
    </w:p>
    <w:p w:rsidR="00F0705D" w:rsidRPr="00EF61A4" w:rsidRDefault="00F0705D" w:rsidP="00F0705D">
      <w:pPr>
        <w:spacing w:after="240"/>
        <w:ind w:left="720" w:hanging="720"/>
        <w:rPr>
          <w:sz w:val="22"/>
          <w:szCs w:val="22"/>
        </w:rPr>
      </w:pPr>
      <w:r w:rsidRPr="00EF61A4">
        <w:rPr>
          <w:sz w:val="22"/>
          <w:szCs w:val="22"/>
        </w:rPr>
        <w:t xml:space="preserve">Joseph, H., &amp; </w:t>
      </w:r>
      <w:proofErr w:type="spellStart"/>
      <w:r w:rsidRPr="00EF61A4">
        <w:rPr>
          <w:sz w:val="22"/>
          <w:szCs w:val="22"/>
        </w:rPr>
        <w:t>Langrod</w:t>
      </w:r>
      <w:proofErr w:type="spellEnd"/>
      <w:r w:rsidRPr="00EF61A4">
        <w:rPr>
          <w:sz w:val="22"/>
          <w:szCs w:val="22"/>
        </w:rPr>
        <w:t xml:space="preserve">, J. G. (2004). The homeless. In J. H. </w:t>
      </w:r>
      <w:proofErr w:type="spellStart"/>
      <w:r w:rsidRPr="00EF61A4">
        <w:rPr>
          <w:sz w:val="22"/>
          <w:szCs w:val="22"/>
        </w:rPr>
        <w:t>Lowinson</w:t>
      </w:r>
      <w:proofErr w:type="spellEnd"/>
      <w:r w:rsidRPr="00EF61A4">
        <w:rPr>
          <w:sz w:val="22"/>
          <w:szCs w:val="22"/>
        </w:rPr>
        <w:t xml:space="preserve">, P. Ruiz, R. B. Millman, &amp; J. G. </w:t>
      </w:r>
      <w:proofErr w:type="spellStart"/>
      <w:r w:rsidRPr="00EF61A4">
        <w:rPr>
          <w:sz w:val="22"/>
          <w:szCs w:val="22"/>
        </w:rPr>
        <w:t>Langrod</w:t>
      </w:r>
      <w:proofErr w:type="spellEnd"/>
      <w:r w:rsidRPr="00EF61A4">
        <w:rPr>
          <w:sz w:val="22"/>
          <w:szCs w:val="22"/>
        </w:rPr>
        <w:t xml:space="preserve"> (Eds.), </w:t>
      </w:r>
      <w:r w:rsidRPr="00EF61A4">
        <w:rPr>
          <w:i/>
          <w:sz w:val="22"/>
          <w:szCs w:val="22"/>
        </w:rPr>
        <w:t>Substance abuse: A comprehensive textbook</w:t>
      </w:r>
      <w:r w:rsidRPr="00EF61A4">
        <w:rPr>
          <w:sz w:val="22"/>
          <w:szCs w:val="22"/>
        </w:rPr>
        <w:t xml:space="preserve"> (4th ed.; pp. 1141–1168). Philadelphia: Lippincott, Williams, &amp; Wilkins.</w:t>
      </w:r>
    </w:p>
    <w:p w:rsidR="00F0705D" w:rsidRPr="00EF61A4" w:rsidRDefault="00F0705D" w:rsidP="00F0705D">
      <w:pPr>
        <w:spacing w:after="240"/>
        <w:ind w:left="720" w:hanging="720"/>
        <w:rPr>
          <w:sz w:val="22"/>
          <w:szCs w:val="22"/>
        </w:rPr>
      </w:pPr>
      <w:r w:rsidRPr="00EF61A4">
        <w:rPr>
          <w:sz w:val="22"/>
          <w:szCs w:val="22"/>
        </w:rPr>
        <w:t xml:space="preserve">Kline, A., Callahan, L., Butler, M., St. Hill, L., </w:t>
      </w:r>
      <w:proofErr w:type="spellStart"/>
      <w:r w:rsidRPr="00EF61A4">
        <w:rPr>
          <w:sz w:val="22"/>
          <w:szCs w:val="22"/>
        </w:rPr>
        <w:t>Losonczy</w:t>
      </w:r>
      <w:proofErr w:type="spellEnd"/>
      <w:r w:rsidRPr="00EF61A4">
        <w:rPr>
          <w:sz w:val="22"/>
          <w:szCs w:val="22"/>
        </w:rPr>
        <w:t xml:space="preserve">, M. F., &amp; </w:t>
      </w:r>
      <w:proofErr w:type="spellStart"/>
      <w:r w:rsidRPr="00EF61A4">
        <w:rPr>
          <w:sz w:val="22"/>
          <w:szCs w:val="22"/>
        </w:rPr>
        <w:t>Smelson</w:t>
      </w:r>
      <w:proofErr w:type="spellEnd"/>
      <w:r w:rsidRPr="00EF61A4">
        <w:rPr>
          <w:sz w:val="22"/>
          <w:szCs w:val="22"/>
        </w:rPr>
        <w:t xml:space="preserve">, D. A. (2009). The relationship between military service era and psychosocial treatment needs among homeless veterans with a co-occurring substance abuse and mental health disorder. </w:t>
      </w:r>
      <w:r w:rsidRPr="00EF61A4">
        <w:rPr>
          <w:i/>
          <w:iCs/>
          <w:sz w:val="22"/>
          <w:szCs w:val="22"/>
        </w:rPr>
        <w:t>Journal of Dual Diagnosis</w:t>
      </w:r>
      <w:r w:rsidRPr="00EF61A4">
        <w:rPr>
          <w:sz w:val="22"/>
          <w:szCs w:val="22"/>
        </w:rPr>
        <w:t xml:space="preserve">, </w:t>
      </w:r>
      <w:r w:rsidRPr="00EF61A4">
        <w:rPr>
          <w:i/>
          <w:iCs/>
          <w:sz w:val="22"/>
          <w:szCs w:val="22"/>
        </w:rPr>
        <w:t>5,</w:t>
      </w:r>
      <w:r w:rsidRPr="00EF61A4">
        <w:rPr>
          <w:sz w:val="22"/>
          <w:szCs w:val="22"/>
        </w:rPr>
        <w:t xml:space="preserve"> 357–374</w:t>
      </w:r>
      <w:r w:rsidRPr="00EF61A4">
        <w:rPr>
          <w:i/>
          <w:iCs/>
          <w:sz w:val="22"/>
          <w:szCs w:val="22"/>
        </w:rPr>
        <w:t>.</w:t>
      </w:r>
    </w:p>
    <w:p w:rsidR="001D19F7" w:rsidRDefault="001D19F7" w:rsidP="001D19F7">
      <w:pPr>
        <w:spacing w:after="240"/>
        <w:ind w:left="720" w:hanging="720"/>
        <w:rPr>
          <w:sz w:val="22"/>
          <w:szCs w:val="22"/>
        </w:rPr>
      </w:pPr>
      <w:proofErr w:type="spellStart"/>
      <w:r w:rsidRPr="00EF61A4">
        <w:rPr>
          <w:sz w:val="22"/>
          <w:szCs w:val="22"/>
        </w:rPr>
        <w:lastRenderedPageBreak/>
        <w:t>Mallett</w:t>
      </w:r>
      <w:proofErr w:type="spellEnd"/>
      <w:r w:rsidRPr="00EF61A4">
        <w:rPr>
          <w:sz w:val="22"/>
          <w:szCs w:val="22"/>
        </w:rPr>
        <w:t xml:space="preserve">, S., Rosenthal, D., &amp; Keys, D. (2005). Young people, drug use, and family conflict: Pathways into homelessness. </w:t>
      </w:r>
      <w:r w:rsidRPr="00EF61A4">
        <w:rPr>
          <w:i/>
          <w:sz w:val="22"/>
          <w:szCs w:val="22"/>
        </w:rPr>
        <w:t>Journal of Adolescence, 28</w:t>
      </w:r>
      <w:r w:rsidRPr="00EF61A4">
        <w:rPr>
          <w:sz w:val="22"/>
          <w:szCs w:val="22"/>
        </w:rPr>
        <w:t>, 185–199.</w:t>
      </w:r>
    </w:p>
    <w:p w:rsidR="00F0705D" w:rsidRDefault="00F0705D" w:rsidP="00F0705D">
      <w:pPr>
        <w:spacing w:after="240"/>
        <w:ind w:left="720" w:hanging="720"/>
        <w:rPr>
          <w:sz w:val="22"/>
          <w:szCs w:val="22"/>
        </w:rPr>
      </w:pPr>
      <w:r w:rsidRPr="00EF61A4">
        <w:rPr>
          <w:sz w:val="22"/>
          <w:szCs w:val="22"/>
        </w:rPr>
        <w:t xml:space="preserve">Martell, D. A., </w:t>
      </w:r>
      <w:proofErr w:type="spellStart"/>
      <w:r w:rsidRPr="00EF61A4">
        <w:rPr>
          <w:sz w:val="22"/>
          <w:szCs w:val="22"/>
        </w:rPr>
        <w:t>Rosner</w:t>
      </w:r>
      <w:proofErr w:type="spellEnd"/>
      <w:r w:rsidRPr="00EF61A4">
        <w:rPr>
          <w:sz w:val="22"/>
          <w:szCs w:val="22"/>
        </w:rPr>
        <w:t xml:space="preserve">, R., &amp; Harmon, R. B. (1995). Base-rate estimates of criminal behavior by homeless mentally ill persons in New York City. </w:t>
      </w:r>
      <w:r w:rsidRPr="00EF61A4">
        <w:rPr>
          <w:i/>
          <w:sz w:val="22"/>
          <w:szCs w:val="22"/>
        </w:rPr>
        <w:t>Psychiatric Services, 46</w:t>
      </w:r>
      <w:r w:rsidRPr="00EF61A4">
        <w:rPr>
          <w:sz w:val="22"/>
          <w:szCs w:val="22"/>
        </w:rPr>
        <w:t>, 596–601.</w:t>
      </w:r>
    </w:p>
    <w:p w:rsidR="003B79B8" w:rsidRPr="003B79B8" w:rsidRDefault="003B79B8" w:rsidP="003B79B8">
      <w:pPr>
        <w:ind w:left="810" w:hanging="810"/>
        <w:rPr>
          <w:bCs/>
          <w:sz w:val="22"/>
          <w:szCs w:val="22"/>
        </w:rPr>
      </w:pPr>
      <w:proofErr w:type="spellStart"/>
      <w:r w:rsidRPr="003B79B8">
        <w:rPr>
          <w:bCs/>
          <w:sz w:val="22"/>
          <w:szCs w:val="22"/>
        </w:rPr>
        <w:t>Macnaughton</w:t>
      </w:r>
      <w:proofErr w:type="spellEnd"/>
      <w:r w:rsidRPr="003B79B8">
        <w:rPr>
          <w:bCs/>
          <w:sz w:val="22"/>
          <w:szCs w:val="22"/>
        </w:rPr>
        <w:t xml:space="preserve">, E.L., Goering, PN, &amp; Nelson, G.B. (2012). Exploring the value of mixed methods within the at Home/Chez </w:t>
      </w:r>
      <w:proofErr w:type="spellStart"/>
      <w:r w:rsidRPr="003B79B8">
        <w:rPr>
          <w:bCs/>
          <w:sz w:val="22"/>
          <w:szCs w:val="22"/>
        </w:rPr>
        <w:t>Soi</w:t>
      </w:r>
      <w:proofErr w:type="spellEnd"/>
      <w:r w:rsidRPr="003B79B8">
        <w:rPr>
          <w:bCs/>
          <w:sz w:val="22"/>
          <w:szCs w:val="22"/>
        </w:rPr>
        <w:t xml:space="preserve"> Housing First Project: A strategy to evaluate the implementation of a complex population health intervention for people with mental illness who have been homeless. Canadian Journal of Public Health, 103(Suppl. 1): S57-S62.</w:t>
      </w:r>
    </w:p>
    <w:p w:rsidR="003B79B8" w:rsidRDefault="003B79B8" w:rsidP="003B79B8">
      <w:pPr>
        <w:ind w:left="810" w:hanging="810"/>
        <w:rPr>
          <w:bCs/>
          <w:sz w:val="22"/>
          <w:szCs w:val="22"/>
          <w:u w:val="single"/>
        </w:rPr>
      </w:pPr>
    </w:p>
    <w:p w:rsidR="003B79B8" w:rsidRPr="003B79B8" w:rsidRDefault="003B79B8" w:rsidP="003B79B8">
      <w:pPr>
        <w:ind w:left="720" w:hanging="720"/>
        <w:rPr>
          <w:bCs/>
          <w:sz w:val="22"/>
          <w:szCs w:val="22"/>
        </w:rPr>
      </w:pPr>
      <w:r w:rsidRPr="003B79B8">
        <w:rPr>
          <w:bCs/>
          <w:sz w:val="22"/>
          <w:szCs w:val="22"/>
        </w:rPr>
        <w:t xml:space="preserve">McGovern, M. P., </w:t>
      </w:r>
      <w:proofErr w:type="spellStart"/>
      <w:r w:rsidRPr="003B79B8">
        <w:rPr>
          <w:bCs/>
          <w:sz w:val="22"/>
          <w:szCs w:val="22"/>
        </w:rPr>
        <w:t>McHugo</w:t>
      </w:r>
      <w:proofErr w:type="spellEnd"/>
      <w:r w:rsidRPr="003B79B8">
        <w:rPr>
          <w:bCs/>
          <w:sz w:val="22"/>
          <w:szCs w:val="22"/>
        </w:rPr>
        <w:t xml:space="preserve">, G. J., Drake, R. E., Bond, G. R., &amp; </w:t>
      </w:r>
      <w:proofErr w:type="spellStart"/>
      <w:r w:rsidRPr="003B79B8">
        <w:rPr>
          <w:bCs/>
          <w:sz w:val="22"/>
          <w:szCs w:val="22"/>
        </w:rPr>
        <w:t>Merrens</w:t>
      </w:r>
      <w:proofErr w:type="spellEnd"/>
      <w:r w:rsidRPr="003B79B8">
        <w:rPr>
          <w:bCs/>
          <w:sz w:val="22"/>
          <w:szCs w:val="22"/>
        </w:rPr>
        <w:t xml:space="preserve">, M. R. (in press). Implementing evidence-based practices: a practical guide for behavioral health professionals. Center City, MN: </w:t>
      </w:r>
      <w:proofErr w:type="spellStart"/>
      <w:r w:rsidRPr="003B79B8">
        <w:rPr>
          <w:bCs/>
          <w:sz w:val="22"/>
          <w:szCs w:val="22"/>
        </w:rPr>
        <w:t>Hazelden</w:t>
      </w:r>
      <w:proofErr w:type="spellEnd"/>
      <w:r w:rsidRPr="003B79B8">
        <w:rPr>
          <w:bCs/>
          <w:sz w:val="22"/>
          <w:szCs w:val="22"/>
        </w:rPr>
        <w:t xml:space="preserve"> (Chapter 3).</w:t>
      </w:r>
    </w:p>
    <w:p w:rsidR="003B79B8" w:rsidRPr="00D71DF4" w:rsidRDefault="003B79B8" w:rsidP="003B79B8">
      <w:pPr>
        <w:ind w:left="810" w:hanging="810"/>
        <w:rPr>
          <w:bCs/>
          <w:sz w:val="22"/>
          <w:szCs w:val="22"/>
          <w:u w:val="single"/>
        </w:rPr>
      </w:pPr>
    </w:p>
    <w:p w:rsidR="00F70439" w:rsidRDefault="00F70439" w:rsidP="00F00BC8">
      <w:pPr>
        <w:spacing w:after="240"/>
        <w:ind w:left="720" w:hanging="720"/>
        <w:rPr>
          <w:sz w:val="23"/>
          <w:szCs w:val="23"/>
        </w:rPr>
      </w:pPr>
      <w:proofErr w:type="spellStart"/>
      <w:r>
        <w:rPr>
          <w:sz w:val="23"/>
          <w:szCs w:val="23"/>
        </w:rPr>
        <w:t>McHugo</w:t>
      </w:r>
      <w:proofErr w:type="spellEnd"/>
      <w:r>
        <w:rPr>
          <w:sz w:val="23"/>
          <w:szCs w:val="23"/>
        </w:rPr>
        <w:t xml:space="preserve">, G. J., Drake, R. E., Whitley, R., Bond, G. R., Campbell, K., Rapp, C. A., Goldman, H. H., Lutz, W. J., &amp; </w:t>
      </w:r>
      <w:proofErr w:type="spellStart"/>
      <w:r>
        <w:rPr>
          <w:sz w:val="23"/>
          <w:szCs w:val="23"/>
        </w:rPr>
        <w:t>Finnerty</w:t>
      </w:r>
      <w:proofErr w:type="spellEnd"/>
      <w:r>
        <w:rPr>
          <w:sz w:val="23"/>
          <w:szCs w:val="23"/>
        </w:rPr>
        <w:t xml:space="preserve">, M. T. (2007). Fidelity outcomes in the National Implementing Evidence-Based Practices Project. </w:t>
      </w:r>
      <w:r>
        <w:rPr>
          <w:i/>
          <w:iCs/>
          <w:sz w:val="23"/>
          <w:szCs w:val="23"/>
        </w:rPr>
        <w:t xml:space="preserve">Psychiatric Services, 58, </w:t>
      </w:r>
      <w:r>
        <w:rPr>
          <w:sz w:val="23"/>
          <w:szCs w:val="23"/>
        </w:rPr>
        <w:t>1279-1284.</w:t>
      </w:r>
    </w:p>
    <w:p w:rsidR="00F00BC8" w:rsidRPr="00EF61A4" w:rsidRDefault="00F00BC8" w:rsidP="00F00BC8">
      <w:pPr>
        <w:spacing w:after="240"/>
        <w:ind w:left="720" w:hanging="720"/>
        <w:rPr>
          <w:sz w:val="22"/>
          <w:szCs w:val="22"/>
        </w:rPr>
      </w:pPr>
      <w:proofErr w:type="spellStart"/>
      <w:r>
        <w:rPr>
          <w:sz w:val="22"/>
          <w:szCs w:val="22"/>
        </w:rPr>
        <w:t>McNiel</w:t>
      </w:r>
      <w:proofErr w:type="spellEnd"/>
      <w:r>
        <w:rPr>
          <w:sz w:val="22"/>
          <w:szCs w:val="22"/>
        </w:rPr>
        <w:t xml:space="preserve">, </w:t>
      </w:r>
      <w:r w:rsidRPr="00F00BC8">
        <w:rPr>
          <w:sz w:val="22"/>
          <w:szCs w:val="22"/>
        </w:rPr>
        <w:t>D</w:t>
      </w:r>
      <w:r>
        <w:rPr>
          <w:sz w:val="22"/>
          <w:szCs w:val="22"/>
        </w:rPr>
        <w:t>.</w:t>
      </w:r>
      <w:r w:rsidRPr="00F00BC8">
        <w:rPr>
          <w:sz w:val="22"/>
          <w:szCs w:val="22"/>
        </w:rPr>
        <w:t xml:space="preserve">E., </w:t>
      </w:r>
      <w:r>
        <w:rPr>
          <w:sz w:val="22"/>
          <w:szCs w:val="22"/>
        </w:rPr>
        <w:t>Binder, R.</w:t>
      </w:r>
      <w:r w:rsidRPr="00F00BC8">
        <w:rPr>
          <w:sz w:val="22"/>
          <w:szCs w:val="22"/>
        </w:rPr>
        <w:t>L.</w:t>
      </w:r>
      <w:r>
        <w:rPr>
          <w:sz w:val="22"/>
          <w:szCs w:val="22"/>
        </w:rPr>
        <w:t>, Robinson, J.</w:t>
      </w:r>
      <w:r w:rsidRPr="00F00BC8">
        <w:rPr>
          <w:sz w:val="22"/>
          <w:szCs w:val="22"/>
        </w:rPr>
        <w:t>C.</w:t>
      </w:r>
      <w:r>
        <w:rPr>
          <w:sz w:val="22"/>
          <w:szCs w:val="22"/>
        </w:rPr>
        <w:t xml:space="preserve"> (2005). </w:t>
      </w:r>
      <w:r w:rsidRPr="00F00BC8">
        <w:rPr>
          <w:sz w:val="22"/>
          <w:szCs w:val="22"/>
        </w:rPr>
        <w:t>Incarceration Associated With Homelessness, Mental Disorder, and Co-occurring Substance Abuse</w:t>
      </w:r>
      <w:r>
        <w:rPr>
          <w:sz w:val="22"/>
          <w:szCs w:val="22"/>
        </w:rPr>
        <w:t>. Psychiatric Services, 56, 840-846.</w:t>
      </w:r>
    </w:p>
    <w:p w:rsidR="008A2F48" w:rsidRDefault="008A2F48" w:rsidP="008A2F48">
      <w:pPr>
        <w:spacing w:after="240"/>
        <w:ind w:left="720" w:hanging="720"/>
        <w:rPr>
          <w:sz w:val="22"/>
          <w:szCs w:val="22"/>
        </w:rPr>
      </w:pPr>
      <w:r w:rsidRPr="00EF61A4">
        <w:rPr>
          <w:sz w:val="22"/>
          <w:szCs w:val="22"/>
        </w:rPr>
        <w:t xml:space="preserve">Miller, W. R., </w:t>
      </w:r>
      <w:proofErr w:type="spellStart"/>
      <w:r w:rsidRPr="00EF61A4">
        <w:rPr>
          <w:sz w:val="22"/>
          <w:szCs w:val="22"/>
        </w:rPr>
        <w:t>Benefield</w:t>
      </w:r>
      <w:proofErr w:type="spellEnd"/>
      <w:r w:rsidRPr="00EF61A4">
        <w:rPr>
          <w:sz w:val="22"/>
          <w:szCs w:val="22"/>
        </w:rPr>
        <w:t xml:space="preserve">, G., &amp; </w:t>
      </w:r>
      <w:proofErr w:type="spellStart"/>
      <w:r w:rsidRPr="00EF61A4">
        <w:rPr>
          <w:sz w:val="22"/>
          <w:szCs w:val="22"/>
        </w:rPr>
        <w:t>Tonigan</w:t>
      </w:r>
      <w:proofErr w:type="spellEnd"/>
      <w:r w:rsidRPr="00EF61A4">
        <w:rPr>
          <w:sz w:val="22"/>
          <w:szCs w:val="22"/>
        </w:rPr>
        <w:t xml:space="preserve">, J. S. (1993). Enhancing motivation for change in problem drinking: A controlled comparison of two therapist styles. </w:t>
      </w:r>
      <w:r w:rsidRPr="00EF61A4">
        <w:rPr>
          <w:i/>
          <w:sz w:val="22"/>
          <w:szCs w:val="22"/>
        </w:rPr>
        <w:t>Journal of Consulting and Clinical Psychology, 61</w:t>
      </w:r>
      <w:r w:rsidRPr="00EF61A4">
        <w:rPr>
          <w:sz w:val="22"/>
          <w:szCs w:val="22"/>
        </w:rPr>
        <w:t>, 455–461.</w:t>
      </w:r>
    </w:p>
    <w:p w:rsidR="00F00BC8" w:rsidRDefault="00F00BC8" w:rsidP="009B0A02">
      <w:pPr>
        <w:spacing w:after="240"/>
        <w:ind w:left="720" w:hanging="720"/>
        <w:rPr>
          <w:sz w:val="22"/>
          <w:szCs w:val="22"/>
        </w:rPr>
      </w:pPr>
      <w:r w:rsidRPr="00F00BC8">
        <w:rPr>
          <w:sz w:val="22"/>
          <w:szCs w:val="22"/>
        </w:rPr>
        <w:t>Moore</w:t>
      </w:r>
      <w:r>
        <w:rPr>
          <w:sz w:val="22"/>
          <w:szCs w:val="22"/>
        </w:rPr>
        <w:t xml:space="preserve">, G., </w:t>
      </w:r>
      <w:proofErr w:type="spellStart"/>
      <w:r>
        <w:rPr>
          <w:sz w:val="22"/>
          <w:szCs w:val="22"/>
        </w:rPr>
        <w:t>Gerdtzl</w:t>
      </w:r>
      <w:proofErr w:type="spellEnd"/>
      <w:r>
        <w:rPr>
          <w:sz w:val="22"/>
          <w:szCs w:val="22"/>
        </w:rPr>
        <w:t xml:space="preserve">, M., Manias, E., Hepworth, G., and Dent, A. (2007). </w:t>
      </w:r>
      <w:r w:rsidRPr="00F00BC8">
        <w:rPr>
          <w:sz w:val="22"/>
          <w:szCs w:val="22"/>
        </w:rPr>
        <w:t xml:space="preserve"> Socio-demographic and clinical characteristics of re-presentation to an Australian inner-city emergency department: implications for service delivery</w:t>
      </w:r>
      <w:r>
        <w:rPr>
          <w:sz w:val="22"/>
          <w:szCs w:val="22"/>
        </w:rPr>
        <w:t xml:space="preserve">. </w:t>
      </w:r>
      <w:r w:rsidRPr="00F00BC8">
        <w:rPr>
          <w:sz w:val="22"/>
          <w:szCs w:val="22"/>
        </w:rPr>
        <w:t>BMC Public Health, 7</w:t>
      </w:r>
      <w:r w:rsidR="009B0A02">
        <w:rPr>
          <w:sz w:val="22"/>
          <w:szCs w:val="22"/>
        </w:rPr>
        <w:t>.</w:t>
      </w:r>
    </w:p>
    <w:p w:rsidR="008A2F48" w:rsidRPr="00EF61A4" w:rsidRDefault="008A2F48" w:rsidP="008A2F48">
      <w:pPr>
        <w:spacing w:after="240"/>
        <w:ind w:left="720" w:hanging="720"/>
        <w:rPr>
          <w:sz w:val="22"/>
          <w:szCs w:val="22"/>
        </w:rPr>
      </w:pPr>
      <w:proofErr w:type="spellStart"/>
      <w:r w:rsidRPr="00EF61A4">
        <w:rPr>
          <w:sz w:val="22"/>
          <w:szCs w:val="22"/>
        </w:rPr>
        <w:t>Mueser</w:t>
      </w:r>
      <w:proofErr w:type="spellEnd"/>
      <w:r w:rsidRPr="00EF61A4">
        <w:rPr>
          <w:sz w:val="22"/>
          <w:szCs w:val="22"/>
        </w:rPr>
        <w:t xml:space="preserve">, K. T., Drake, R. E., &amp; Miles, K. M. (1997). The course and treatment of substance use disorder in persons with severe mental illness. In L. S. </w:t>
      </w:r>
      <w:proofErr w:type="spellStart"/>
      <w:r w:rsidRPr="00EF61A4">
        <w:rPr>
          <w:sz w:val="22"/>
          <w:szCs w:val="22"/>
        </w:rPr>
        <w:t>Onken</w:t>
      </w:r>
      <w:proofErr w:type="spellEnd"/>
      <w:r w:rsidRPr="00EF61A4">
        <w:rPr>
          <w:sz w:val="22"/>
          <w:szCs w:val="22"/>
        </w:rPr>
        <w:t xml:space="preserve">, J. D. Blaine, S. </w:t>
      </w:r>
      <w:proofErr w:type="spellStart"/>
      <w:r w:rsidRPr="00EF61A4">
        <w:rPr>
          <w:sz w:val="22"/>
          <w:szCs w:val="22"/>
        </w:rPr>
        <w:t>Genser</w:t>
      </w:r>
      <w:proofErr w:type="spellEnd"/>
      <w:r w:rsidRPr="00EF61A4">
        <w:rPr>
          <w:sz w:val="22"/>
          <w:szCs w:val="22"/>
        </w:rPr>
        <w:t xml:space="preserve">, &amp; A. M. Horton (Eds.), </w:t>
      </w:r>
      <w:r w:rsidRPr="00EF61A4">
        <w:rPr>
          <w:i/>
          <w:sz w:val="22"/>
          <w:szCs w:val="22"/>
        </w:rPr>
        <w:t>Treatment of drug-dependent individuals with comorbid mental disorders</w:t>
      </w:r>
      <w:r w:rsidRPr="00EF61A4">
        <w:rPr>
          <w:sz w:val="22"/>
          <w:szCs w:val="22"/>
        </w:rPr>
        <w:t xml:space="preserve"> (pp. 86–109). Rockville, MD: National Institute on Drug Abuse.</w:t>
      </w:r>
    </w:p>
    <w:p w:rsidR="001D19F7" w:rsidRPr="00EF61A4" w:rsidRDefault="001D19F7" w:rsidP="001D19F7">
      <w:pPr>
        <w:spacing w:after="240"/>
        <w:ind w:left="720" w:hanging="720"/>
        <w:rPr>
          <w:color w:val="0000FF"/>
          <w:sz w:val="22"/>
          <w:szCs w:val="22"/>
          <w:u w:val="single"/>
        </w:rPr>
      </w:pPr>
      <w:r w:rsidRPr="00EF61A4">
        <w:rPr>
          <w:sz w:val="22"/>
          <w:szCs w:val="22"/>
        </w:rPr>
        <w:t xml:space="preserve">National Law Center on Homelessness and Poverty; National Coalition for the Homeless. (2009). </w:t>
      </w:r>
      <w:r w:rsidRPr="00EF61A4">
        <w:rPr>
          <w:i/>
          <w:iCs/>
          <w:sz w:val="22"/>
          <w:szCs w:val="22"/>
        </w:rPr>
        <w:t xml:space="preserve">Homes not handcuffs: The criminalization of homelessness in U.S. cities. </w:t>
      </w:r>
      <w:r w:rsidRPr="00EF61A4">
        <w:rPr>
          <w:sz w:val="22"/>
          <w:szCs w:val="22"/>
        </w:rPr>
        <w:t xml:space="preserve">Washington, DC: Authors. Retrieved November 10, 2009, from </w:t>
      </w:r>
      <w:hyperlink r:id="rId12" w:history="1">
        <w:r w:rsidRPr="00EF61A4">
          <w:rPr>
            <w:rStyle w:val="Hyperlink"/>
            <w:sz w:val="22"/>
            <w:szCs w:val="22"/>
          </w:rPr>
          <w:t>http://www.nationalhomeless.org/publications/crimreport/crimreport_2009.pdf</w:t>
        </w:r>
      </w:hyperlink>
    </w:p>
    <w:p w:rsidR="001D19F7" w:rsidRPr="00EF61A4" w:rsidRDefault="001D19F7" w:rsidP="001D19F7">
      <w:pPr>
        <w:spacing w:after="240"/>
        <w:ind w:left="720" w:hanging="720"/>
        <w:rPr>
          <w:sz w:val="22"/>
          <w:szCs w:val="22"/>
        </w:rPr>
      </w:pPr>
      <w:r w:rsidRPr="00EF61A4">
        <w:rPr>
          <w:sz w:val="22"/>
          <w:szCs w:val="22"/>
        </w:rPr>
        <w:t xml:space="preserve">National Coalition for the Homeless. (2009). </w:t>
      </w:r>
      <w:r w:rsidRPr="00EF61A4">
        <w:rPr>
          <w:i/>
          <w:iCs/>
          <w:sz w:val="22"/>
          <w:szCs w:val="22"/>
        </w:rPr>
        <w:t>Substance abuse and homelessness.</w:t>
      </w:r>
      <w:r w:rsidRPr="00EF61A4">
        <w:rPr>
          <w:sz w:val="22"/>
          <w:szCs w:val="22"/>
        </w:rPr>
        <w:t xml:space="preserve"> Retrieved October 17, 2009, from </w:t>
      </w:r>
      <w:hyperlink r:id="rId13" w:history="1">
        <w:r w:rsidRPr="00EF61A4">
          <w:rPr>
            <w:rStyle w:val="Hyperlink"/>
            <w:sz w:val="22"/>
            <w:szCs w:val="22"/>
          </w:rPr>
          <w:t>http://www.nationalhomeless.org/factsheets/addiction.html</w:t>
        </w:r>
      </w:hyperlink>
    </w:p>
    <w:p w:rsidR="008A2F48" w:rsidRPr="00EF61A4" w:rsidRDefault="008A2F48" w:rsidP="008A2F48">
      <w:pPr>
        <w:spacing w:after="240"/>
        <w:ind w:left="720" w:hanging="720"/>
        <w:rPr>
          <w:sz w:val="22"/>
          <w:szCs w:val="22"/>
        </w:rPr>
      </w:pPr>
      <w:r w:rsidRPr="00EF61A4">
        <w:rPr>
          <w:sz w:val="22"/>
          <w:szCs w:val="22"/>
        </w:rPr>
        <w:t xml:space="preserve">Nelson, G., </w:t>
      </w:r>
      <w:proofErr w:type="spellStart"/>
      <w:r w:rsidRPr="00EF61A4">
        <w:rPr>
          <w:sz w:val="22"/>
          <w:szCs w:val="22"/>
        </w:rPr>
        <w:t>Aubry</w:t>
      </w:r>
      <w:proofErr w:type="spellEnd"/>
      <w:r w:rsidRPr="00EF61A4">
        <w:rPr>
          <w:sz w:val="22"/>
          <w:szCs w:val="22"/>
        </w:rPr>
        <w:t xml:space="preserve">, T., &amp; </w:t>
      </w:r>
      <w:proofErr w:type="spellStart"/>
      <w:r w:rsidRPr="00EF61A4">
        <w:rPr>
          <w:sz w:val="22"/>
          <w:szCs w:val="22"/>
        </w:rPr>
        <w:t>Lafrance</w:t>
      </w:r>
      <w:proofErr w:type="spellEnd"/>
      <w:r w:rsidRPr="00EF61A4">
        <w:rPr>
          <w:sz w:val="22"/>
          <w:szCs w:val="22"/>
        </w:rPr>
        <w:t xml:space="preserve">, A. (2007). A review of the literature on the effectiveness of housing and support, Assertive Community Treatment, and intensive case management interventions for persons with mental illness who have been homeless. </w:t>
      </w:r>
      <w:r w:rsidRPr="00EF61A4">
        <w:rPr>
          <w:i/>
          <w:iCs/>
          <w:sz w:val="22"/>
          <w:szCs w:val="22"/>
        </w:rPr>
        <w:t xml:space="preserve">American Journal of Orthopsychiatry, 77, </w:t>
      </w:r>
      <w:r w:rsidRPr="00EF61A4">
        <w:rPr>
          <w:sz w:val="22"/>
          <w:szCs w:val="22"/>
        </w:rPr>
        <w:t>350–361.</w:t>
      </w:r>
    </w:p>
    <w:p w:rsidR="001D19F7" w:rsidRPr="00EF61A4" w:rsidRDefault="001D19F7" w:rsidP="001D19F7">
      <w:pPr>
        <w:spacing w:after="240"/>
        <w:ind w:left="720" w:hanging="720"/>
        <w:rPr>
          <w:sz w:val="22"/>
          <w:szCs w:val="22"/>
        </w:rPr>
      </w:pPr>
      <w:r w:rsidRPr="00EF61A4">
        <w:rPr>
          <w:sz w:val="22"/>
          <w:szCs w:val="22"/>
        </w:rPr>
        <w:t xml:space="preserve">North, C. S., </w:t>
      </w:r>
      <w:proofErr w:type="spellStart"/>
      <w:r w:rsidRPr="00EF61A4">
        <w:rPr>
          <w:sz w:val="22"/>
          <w:szCs w:val="22"/>
        </w:rPr>
        <w:t>Eyrich</w:t>
      </w:r>
      <w:proofErr w:type="spellEnd"/>
      <w:r w:rsidRPr="00EF61A4">
        <w:rPr>
          <w:sz w:val="22"/>
          <w:szCs w:val="22"/>
        </w:rPr>
        <w:t xml:space="preserve">, K. M., </w:t>
      </w:r>
      <w:proofErr w:type="spellStart"/>
      <w:r w:rsidRPr="00EF61A4">
        <w:rPr>
          <w:sz w:val="22"/>
          <w:szCs w:val="22"/>
        </w:rPr>
        <w:t>Pollio</w:t>
      </w:r>
      <w:proofErr w:type="spellEnd"/>
      <w:r w:rsidRPr="00EF61A4">
        <w:rPr>
          <w:sz w:val="22"/>
          <w:szCs w:val="22"/>
        </w:rPr>
        <w:t xml:space="preserve">, D. E., &amp; </w:t>
      </w:r>
      <w:proofErr w:type="spellStart"/>
      <w:r w:rsidRPr="00EF61A4">
        <w:rPr>
          <w:sz w:val="22"/>
          <w:szCs w:val="22"/>
        </w:rPr>
        <w:t>Spitznagel</w:t>
      </w:r>
      <w:proofErr w:type="spellEnd"/>
      <w:r w:rsidRPr="00EF61A4">
        <w:rPr>
          <w:sz w:val="22"/>
          <w:szCs w:val="22"/>
        </w:rPr>
        <w:t xml:space="preserve">, E. L. (2004). Are rates of psychiatric disorders in the homeless population changing? </w:t>
      </w:r>
      <w:r w:rsidRPr="00EF61A4">
        <w:rPr>
          <w:i/>
          <w:iCs/>
          <w:sz w:val="22"/>
          <w:szCs w:val="22"/>
        </w:rPr>
        <w:t>American Journal of Public Health</w:t>
      </w:r>
      <w:r w:rsidRPr="00EF61A4">
        <w:rPr>
          <w:sz w:val="22"/>
          <w:szCs w:val="22"/>
        </w:rPr>
        <w:t xml:space="preserve">, </w:t>
      </w:r>
      <w:r w:rsidRPr="00EF61A4">
        <w:rPr>
          <w:i/>
          <w:iCs/>
          <w:sz w:val="22"/>
          <w:szCs w:val="22"/>
        </w:rPr>
        <w:t>94</w:t>
      </w:r>
      <w:r w:rsidRPr="00EF61A4">
        <w:rPr>
          <w:sz w:val="22"/>
          <w:szCs w:val="22"/>
        </w:rPr>
        <w:t>, 103–108.</w:t>
      </w:r>
    </w:p>
    <w:p w:rsidR="008A2F48" w:rsidRDefault="008A2F48" w:rsidP="008A2F48">
      <w:pPr>
        <w:spacing w:after="240"/>
        <w:ind w:left="720" w:hanging="720"/>
        <w:rPr>
          <w:sz w:val="22"/>
          <w:szCs w:val="22"/>
        </w:rPr>
      </w:pPr>
      <w:r w:rsidRPr="00EF61A4">
        <w:rPr>
          <w:sz w:val="22"/>
          <w:szCs w:val="22"/>
        </w:rPr>
        <w:lastRenderedPageBreak/>
        <w:t xml:space="preserve">Project MATCH Research Group. (1997). Matching alcoholism treatments to client heterogeneity: Project MATCH </w:t>
      </w:r>
      <w:proofErr w:type="spellStart"/>
      <w:r w:rsidRPr="00EF61A4">
        <w:rPr>
          <w:sz w:val="22"/>
          <w:szCs w:val="22"/>
        </w:rPr>
        <w:t>posttreatment</w:t>
      </w:r>
      <w:proofErr w:type="spellEnd"/>
      <w:r w:rsidRPr="00EF61A4">
        <w:rPr>
          <w:sz w:val="22"/>
          <w:szCs w:val="22"/>
        </w:rPr>
        <w:t xml:space="preserve"> drinking outcomes. </w:t>
      </w:r>
      <w:r w:rsidRPr="00EF61A4">
        <w:rPr>
          <w:i/>
          <w:iCs/>
          <w:sz w:val="22"/>
          <w:szCs w:val="22"/>
        </w:rPr>
        <w:t xml:space="preserve">Journal of Studies on Alcohol, 58, </w:t>
      </w:r>
      <w:r w:rsidRPr="00EF61A4">
        <w:rPr>
          <w:sz w:val="22"/>
          <w:szCs w:val="22"/>
        </w:rPr>
        <w:t>7–29.</w:t>
      </w:r>
    </w:p>
    <w:p w:rsidR="009B0A02" w:rsidRPr="009B0A02" w:rsidRDefault="009B0A02" w:rsidP="009B0A02">
      <w:pPr>
        <w:spacing w:after="240"/>
        <w:ind w:left="720" w:hanging="720"/>
        <w:rPr>
          <w:sz w:val="22"/>
          <w:szCs w:val="22"/>
        </w:rPr>
      </w:pPr>
      <w:proofErr w:type="spellStart"/>
      <w:r w:rsidRPr="009B0A02">
        <w:rPr>
          <w:sz w:val="22"/>
          <w:szCs w:val="22"/>
        </w:rPr>
        <w:t>Rukmana</w:t>
      </w:r>
      <w:proofErr w:type="spellEnd"/>
      <w:r>
        <w:rPr>
          <w:sz w:val="22"/>
          <w:szCs w:val="22"/>
        </w:rPr>
        <w:t xml:space="preserve">, D. </w:t>
      </w:r>
      <w:r w:rsidRPr="009B0A02">
        <w:rPr>
          <w:sz w:val="22"/>
          <w:szCs w:val="22"/>
        </w:rPr>
        <w:t xml:space="preserve"> Where the homeless children and youth come from: A study of the residential origins of the homele</w:t>
      </w:r>
      <w:r>
        <w:rPr>
          <w:sz w:val="22"/>
          <w:szCs w:val="22"/>
        </w:rPr>
        <w:t xml:space="preserve">ss in Miami-Dade County, Florida. (2008). </w:t>
      </w:r>
      <w:r w:rsidRPr="009B0A02">
        <w:rPr>
          <w:i/>
          <w:iCs/>
          <w:sz w:val="22"/>
          <w:szCs w:val="22"/>
        </w:rPr>
        <w:t>Children and Youth Services Review</w:t>
      </w:r>
      <w:r>
        <w:rPr>
          <w:sz w:val="22"/>
          <w:szCs w:val="22"/>
        </w:rPr>
        <w:t xml:space="preserve">, </w:t>
      </w:r>
      <w:r w:rsidRPr="00DC43AF">
        <w:rPr>
          <w:i/>
          <w:iCs/>
          <w:sz w:val="22"/>
          <w:szCs w:val="22"/>
        </w:rPr>
        <w:t>30</w:t>
      </w:r>
      <w:r w:rsidRPr="009B0A02">
        <w:rPr>
          <w:sz w:val="22"/>
          <w:szCs w:val="22"/>
        </w:rPr>
        <w:t>,</w:t>
      </w:r>
      <w:r>
        <w:rPr>
          <w:sz w:val="22"/>
          <w:szCs w:val="22"/>
        </w:rPr>
        <w:t xml:space="preserve"> </w:t>
      </w:r>
      <w:r w:rsidRPr="009B0A02">
        <w:rPr>
          <w:sz w:val="22"/>
          <w:szCs w:val="22"/>
        </w:rPr>
        <w:t>1009–1021</w:t>
      </w:r>
      <w:r>
        <w:rPr>
          <w:sz w:val="22"/>
          <w:szCs w:val="22"/>
        </w:rPr>
        <w:t>.</w:t>
      </w:r>
    </w:p>
    <w:p w:rsidR="008A2F48" w:rsidRDefault="008A2F48" w:rsidP="003B79B8">
      <w:pPr>
        <w:spacing w:after="240"/>
        <w:ind w:left="720" w:hanging="720"/>
        <w:rPr>
          <w:sz w:val="22"/>
          <w:szCs w:val="22"/>
        </w:rPr>
      </w:pPr>
      <w:r w:rsidRPr="00EF61A4">
        <w:rPr>
          <w:sz w:val="22"/>
          <w:szCs w:val="22"/>
        </w:rPr>
        <w:t xml:space="preserve">Rosenblum, A., </w:t>
      </w:r>
      <w:proofErr w:type="spellStart"/>
      <w:r w:rsidRPr="00EF61A4">
        <w:rPr>
          <w:sz w:val="22"/>
          <w:szCs w:val="22"/>
        </w:rPr>
        <w:t>Magura</w:t>
      </w:r>
      <w:proofErr w:type="spellEnd"/>
      <w:r w:rsidRPr="00EF61A4">
        <w:rPr>
          <w:sz w:val="22"/>
          <w:szCs w:val="22"/>
        </w:rPr>
        <w:t xml:space="preserve">, S., </w:t>
      </w:r>
      <w:proofErr w:type="spellStart"/>
      <w:r w:rsidRPr="00EF61A4">
        <w:rPr>
          <w:sz w:val="22"/>
          <w:szCs w:val="22"/>
        </w:rPr>
        <w:t>Kayman</w:t>
      </w:r>
      <w:proofErr w:type="spellEnd"/>
      <w:r w:rsidRPr="00EF61A4">
        <w:rPr>
          <w:sz w:val="22"/>
          <w:szCs w:val="22"/>
        </w:rPr>
        <w:t xml:space="preserve">, D. J., &amp; Fong, C. (2005). Motivationally enhanced group counseling for substance users in a soup kitchen: A randomized clinical trial. </w:t>
      </w:r>
      <w:r w:rsidRPr="00EF61A4">
        <w:rPr>
          <w:i/>
          <w:iCs/>
          <w:sz w:val="22"/>
          <w:szCs w:val="22"/>
        </w:rPr>
        <w:t xml:space="preserve">Drug and Alcohol Dependence, 80, </w:t>
      </w:r>
      <w:r w:rsidRPr="00EF61A4">
        <w:rPr>
          <w:sz w:val="22"/>
          <w:szCs w:val="22"/>
        </w:rPr>
        <w:t>91–103.</w:t>
      </w:r>
    </w:p>
    <w:p w:rsidR="001D19F7" w:rsidRPr="00EF61A4" w:rsidRDefault="001D19F7" w:rsidP="001D19F7">
      <w:pPr>
        <w:spacing w:after="240"/>
        <w:ind w:left="720" w:hanging="720"/>
        <w:rPr>
          <w:sz w:val="22"/>
          <w:szCs w:val="22"/>
        </w:rPr>
      </w:pPr>
      <w:r w:rsidRPr="00EF61A4">
        <w:rPr>
          <w:sz w:val="22"/>
          <w:szCs w:val="22"/>
        </w:rPr>
        <w:t xml:space="preserve">Shelton, K., Taylor, P., Bonner, A., &amp; van den Bree, M. (2009). Risk factors for homelessness: Evidence from a population-based study. </w:t>
      </w:r>
      <w:r w:rsidRPr="00EF61A4">
        <w:rPr>
          <w:i/>
          <w:iCs/>
          <w:sz w:val="22"/>
          <w:szCs w:val="22"/>
        </w:rPr>
        <w:t>Psychiatric Services, 60,</w:t>
      </w:r>
      <w:r w:rsidRPr="00EF61A4">
        <w:rPr>
          <w:sz w:val="22"/>
          <w:szCs w:val="22"/>
        </w:rPr>
        <w:t xml:space="preserve"> 465–472. doi:10.1176/appi.ps.60.4.465</w:t>
      </w:r>
    </w:p>
    <w:p w:rsidR="009F7B0C" w:rsidRDefault="009F7B0C" w:rsidP="009F7B0C">
      <w:pPr>
        <w:spacing w:after="240"/>
        <w:ind w:left="720" w:hanging="720"/>
        <w:rPr>
          <w:sz w:val="22"/>
          <w:szCs w:val="22"/>
        </w:rPr>
      </w:pPr>
      <w:r w:rsidRPr="009F7B0C">
        <w:rPr>
          <w:sz w:val="22"/>
          <w:szCs w:val="22"/>
        </w:rPr>
        <w:t xml:space="preserve">Stainbrook, K., Hanna, J., Trudeau, J., &amp; Broner, N. (2011, November). </w:t>
      </w:r>
      <w:r w:rsidRPr="009F7B0C">
        <w:rPr>
          <w:i/>
          <w:iCs/>
          <w:sz w:val="22"/>
          <w:szCs w:val="22"/>
        </w:rPr>
        <w:t>Strategic collaborations among GBHI grantees to expand and strengthen treatment and housing for homeless populations</w:t>
      </w:r>
      <w:r w:rsidRPr="009F7B0C">
        <w:rPr>
          <w:sz w:val="22"/>
          <w:szCs w:val="22"/>
        </w:rPr>
        <w:t>. Presented at the annual meeting of the American Public Health Association, Washington, DC.</w:t>
      </w:r>
    </w:p>
    <w:p w:rsidR="008A2F48" w:rsidRDefault="008A2F48" w:rsidP="009F7B0C">
      <w:pPr>
        <w:spacing w:after="240"/>
        <w:ind w:left="720" w:hanging="720"/>
        <w:rPr>
          <w:sz w:val="22"/>
          <w:szCs w:val="22"/>
        </w:rPr>
      </w:pPr>
      <w:r w:rsidRPr="00EF61A4">
        <w:rPr>
          <w:sz w:val="22"/>
          <w:szCs w:val="22"/>
        </w:rPr>
        <w:t xml:space="preserve">Stephens, R. S., </w:t>
      </w:r>
      <w:proofErr w:type="spellStart"/>
      <w:r w:rsidRPr="00EF61A4">
        <w:rPr>
          <w:sz w:val="22"/>
          <w:szCs w:val="22"/>
        </w:rPr>
        <w:t>Roffman</w:t>
      </w:r>
      <w:proofErr w:type="spellEnd"/>
      <w:r w:rsidRPr="00EF61A4">
        <w:rPr>
          <w:sz w:val="22"/>
          <w:szCs w:val="22"/>
        </w:rPr>
        <w:t xml:space="preserve">, R. A., &amp; Curtin, L. (2000). Comparison of extended versus brief treatments for marijuana use. </w:t>
      </w:r>
      <w:r w:rsidRPr="00EF61A4">
        <w:rPr>
          <w:i/>
          <w:iCs/>
          <w:sz w:val="22"/>
          <w:szCs w:val="22"/>
        </w:rPr>
        <w:t>Journal of Consulting and Clinical Psychology, 68,</w:t>
      </w:r>
      <w:r w:rsidRPr="00EF61A4">
        <w:rPr>
          <w:sz w:val="22"/>
          <w:szCs w:val="22"/>
        </w:rPr>
        <w:t xml:space="preserve"> 898–908.</w:t>
      </w:r>
    </w:p>
    <w:p w:rsidR="003B79B8" w:rsidRPr="003B79B8" w:rsidRDefault="003B79B8" w:rsidP="00816B40">
      <w:pPr>
        <w:spacing w:after="240"/>
        <w:ind w:left="810" w:hanging="810"/>
        <w:rPr>
          <w:bCs/>
          <w:sz w:val="22"/>
          <w:szCs w:val="22"/>
        </w:rPr>
      </w:pPr>
      <w:proofErr w:type="spellStart"/>
      <w:r w:rsidRPr="003B79B8">
        <w:rPr>
          <w:bCs/>
          <w:sz w:val="22"/>
          <w:szCs w:val="22"/>
        </w:rPr>
        <w:t>Stergiopoulos</w:t>
      </w:r>
      <w:proofErr w:type="spellEnd"/>
      <w:r w:rsidRPr="003B79B8">
        <w:rPr>
          <w:bCs/>
          <w:sz w:val="22"/>
          <w:szCs w:val="22"/>
        </w:rPr>
        <w:t xml:space="preserve">, V., </w:t>
      </w:r>
      <w:proofErr w:type="spellStart"/>
      <w:r w:rsidRPr="003B79B8">
        <w:rPr>
          <w:bCs/>
          <w:sz w:val="22"/>
          <w:szCs w:val="22"/>
        </w:rPr>
        <w:t>O’Campo</w:t>
      </w:r>
      <w:proofErr w:type="spellEnd"/>
      <w:r w:rsidRPr="003B79B8">
        <w:rPr>
          <w:bCs/>
          <w:sz w:val="22"/>
          <w:szCs w:val="22"/>
        </w:rPr>
        <w:t xml:space="preserve"> P., </w:t>
      </w:r>
      <w:proofErr w:type="spellStart"/>
      <w:r w:rsidRPr="003B79B8">
        <w:rPr>
          <w:bCs/>
          <w:sz w:val="22"/>
          <w:szCs w:val="22"/>
        </w:rPr>
        <w:t>Gozdzik</w:t>
      </w:r>
      <w:proofErr w:type="spellEnd"/>
      <w:r w:rsidRPr="003B79B8">
        <w:rPr>
          <w:bCs/>
          <w:sz w:val="22"/>
          <w:szCs w:val="22"/>
        </w:rPr>
        <w:t xml:space="preserve">, A., </w:t>
      </w:r>
      <w:proofErr w:type="spellStart"/>
      <w:r w:rsidRPr="003B79B8">
        <w:rPr>
          <w:bCs/>
          <w:sz w:val="22"/>
          <w:szCs w:val="22"/>
        </w:rPr>
        <w:t>Jeyaratnam</w:t>
      </w:r>
      <w:proofErr w:type="spellEnd"/>
      <w:r w:rsidRPr="003B79B8">
        <w:rPr>
          <w:bCs/>
          <w:sz w:val="22"/>
          <w:szCs w:val="22"/>
        </w:rPr>
        <w:t xml:space="preserve">, J., </w:t>
      </w:r>
      <w:proofErr w:type="spellStart"/>
      <w:r w:rsidRPr="003B79B8">
        <w:rPr>
          <w:bCs/>
          <w:sz w:val="22"/>
          <w:szCs w:val="22"/>
        </w:rPr>
        <w:t>Corneau</w:t>
      </w:r>
      <w:proofErr w:type="spellEnd"/>
      <w:r w:rsidRPr="003B79B8">
        <w:rPr>
          <w:bCs/>
          <w:sz w:val="22"/>
          <w:szCs w:val="22"/>
        </w:rPr>
        <w:t xml:space="preserve">, S., </w:t>
      </w:r>
      <w:proofErr w:type="spellStart"/>
      <w:r w:rsidRPr="003B79B8">
        <w:rPr>
          <w:bCs/>
          <w:sz w:val="22"/>
          <w:szCs w:val="22"/>
        </w:rPr>
        <w:t>Sarang</w:t>
      </w:r>
      <w:proofErr w:type="spellEnd"/>
      <w:r w:rsidRPr="003B79B8">
        <w:rPr>
          <w:bCs/>
          <w:sz w:val="22"/>
          <w:szCs w:val="22"/>
        </w:rPr>
        <w:t>, A. &amp; Hwang, S.W. (2012). Moving from rhetoric to reality: Adapting Housing First for homeless individuals with mental illness from ethno-racial groups. BMC Health Services Research, 12:345.</w:t>
      </w:r>
    </w:p>
    <w:p w:rsidR="00194A62" w:rsidRDefault="00194A62" w:rsidP="00816B40">
      <w:pPr>
        <w:spacing w:after="240"/>
        <w:ind w:left="720" w:hanging="720"/>
        <w:rPr>
          <w:sz w:val="22"/>
          <w:szCs w:val="22"/>
        </w:rPr>
      </w:pPr>
      <w:proofErr w:type="spellStart"/>
      <w:r>
        <w:rPr>
          <w:sz w:val="22"/>
          <w:szCs w:val="22"/>
        </w:rPr>
        <w:t>Tsemberis</w:t>
      </w:r>
      <w:proofErr w:type="spellEnd"/>
      <w:r>
        <w:rPr>
          <w:sz w:val="22"/>
          <w:szCs w:val="22"/>
        </w:rPr>
        <w:t xml:space="preserve">, S. (2010). </w:t>
      </w:r>
      <w:r>
        <w:rPr>
          <w:i/>
          <w:iCs/>
          <w:sz w:val="22"/>
          <w:szCs w:val="22"/>
        </w:rPr>
        <w:t xml:space="preserve">Housing First: The Pathways model to end homelessness for people with mental illness and addiction. </w:t>
      </w:r>
      <w:proofErr w:type="spellStart"/>
      <w:r>
        <w:rPr>
          <w:sz w:val="22"/>
          <w:szCs w:val="22"/>
        </w:rPr>
        <w:t>Hazelden</w:t>
      </w:r>
      <w:proofErr w:type="spellEnd"/>
      <w:r>
        <w:rPr>
          <w:sz w:val="22"/>
          <w:szCs w:val="22"/>
        </w:rPr>
        <w:t>: Minnesota.</w:t>
      </w:r>
    </w:p>
    <w:p w:rsidR="001D19F7" w:rsidRPr="00EF61A4" w:rsidRDefault="001D19F7" w:rsidP="00816B40">
      <w:pPr>
        <w:spacing w:after="240"/>
        <w:ind w:left="720" w:hanging="720"/>
        <w:rPr>
          <w:sz w:val="22"/>
          <w:szCs w:val="22"/>
        </w:rPr>
      </w:pPr>
      <w:r w:rsidRPr="00EF61A4">
        <w:rPr>
          <w:sz w:val="22"/>
          <w:szCs w:val="22"/>
        </w:rPr>
        <w:t xml:space="preserve">U.S. Department of Housing and Urban Development, Office of Community Planning and Development. (2009). </w:t>
      </w:r>
      <w:r w:rsidRPr="00EF61A4">
        <w:rPr>
          <w:i/>
          <w:iCs/>
          <w:sz w:val="22"/>
          <w:szCs w:val="22"/>
        </w:rPr>
        <w:t>The 2008 annual homeless assessment report to Congress</w:t>
      </w:r>
      <w:r w:rsidRPr="00EF61A4">
        <w:rPr>
          <w:sz w:val="22"/>
          <w:szCs w:val="22"/>
        </w:rPr>
        <w:t>. Washington, DC: Author.</w:t>
      </w:r>
    </w:p>
    <w:p w:rsidR="00F0705D" w:rsidRDefault="00F0705D" w:rsidP="00F0705D">
      <w:pPr>
        <w:spacing w:after="240"/>
        <w:ind w:left="720" w:hanging="720"/>
        <w:rPr>
          <w:sz w:val="22"/>
          <w:szCs w:val="22"/>
        </w:rPr>
      </w:pPr>
      <w:r w:rsidRPr="00EF61A4">
        <w:rPr>
          <w:sz w:val="22"/>
          <w:szCs w:val="22"/>
        </w:rPr>
        <w:t xml:space="preserve">U.S. Department of Veterans Affairs, Veterans Administration. (2009). </w:t>
      </w:r>
      <w:r w:rsidRPr="00EF61A4">
        <w:rPr>
          <w:i/>
          <w:iCs/>
          <w:sz w:val="22"/>
          <w:szCs w:val="22"/>
        </w:rPr>
        <w:t>Homeless veterans: Overview of homelessness.</w:t>
      </w:r>
      <w:r w:rsidRPr="00EF61A4">
        <w:rPr>
          <w:sz w:val="22"/>
          <w:szCs w:val="22"/>
        </w:rPr>
        <w:t xml:space="preserve"> Washington, DC: Author. Retrieved on November 17, 2009, from http://www1.va. </w:t>
      </w:r>
      <w:proofErr w:type="spellStart"/>
      <w:r w:rsidRPr="00EF61A4">
        <w:rPr>
          <w:sz w:val="22"/>
          <w:szCs w:val="22"/>
        </w:rPr>
        <w:t>gov</w:t>
      </w:r>
      <w:proofErr w:type="spellEnd"/>
      <w:r w:rsidRPr="00EF61A4">
        <w:rPr>
          <w:sz w:val="22"/>
          <w:szCs w:val="22"/>
        </w:rPr>
        <w:t xml:space="preserve">/homeless/page. </w:t>
      </w:r>
      <w:proofErr w:type="spellStart"/>
      <w:r w:rsidRPr="00EF61A4">
        <w:rPr>
          <w:sz w:val="22"/>
          <w:szCs w:val="22"/>
        </w:rPr>
        <w:t>cfm?pg</w:t>
      </w:r>
      <w:proofErr w:type="spellEnd"/>
      <w:r w:rsidRPr="00EF61A4">
        <w:rPr>
          <w:sz w:val="22"/>
          <w:szCs w:val="22"/>
        </w:rPr>
        <w:t>=1</w:t>
      </w:r>
    </w:p>
    <w:p w:rsidR="00F0705D" w:rsidRPr="00EF61A4" w:rsidRDefault="00F0705D" w:rsidP="00F0705D">
      <w:pPr>
        <w:spacing w:after="240"/>
        <w:ind w:left="720" w:hanging="720"/>
        <w:rPr>
          <w:sz w:val="22"/>
          <w:szCs w:val="22"/>
        </w:rPr>
      </w:pPr>
      <w:r w:rsidRPr="00EF61A4">
        <w:rPr>
          <w:sz w:val="22"/>
          <w:szCs w:val="22"/>
        </w:rPr>
        <w:t xml:space="preserve">van den Bree, M. B. M., Shelton, K., Bonner, A., Moss, S., Thomas, H., &amp; Taylor, P. J. (2009). A longitudinal population-based study of factors in adolescence predicting homelessness in young adulthood. </w:t>
      </w:r>
      <w:r w:rsidRPr="00EF61A4">
        <w:rPr>
          <w:i/>
          <w:iCs/>
          <w:sz w:val="22"/>
          <w:szCs w:val="22"/>
        </w:rPr>
        <w:t>Journal of Adolescent Health, 45,</w:t>
      </w:r>
      <w:r w:rsidRPr="00EF61A4">
        <w:rPr>
          <w:sz w:val="22"/>
          <w:szCs w:val="22"/>
        </w:rPr>
        <w:t xml:space="preserve"> 571–578.</w:t>
      </w:r>
    </w:p>
    <w:p w:rsidR="001D19F7" w:rsidRPr="00EF61A4" w:rsidRDefault="001D19F7" w:rsidP="001D19F7">
      <w:pPr>
        <w:spacing w:after="240"/>
        <w:ind w:left="720" w:hanging="720"/>
        <w:rPr>
          <w:sz w:val="22"/>
          <w:szCs w:val="22"/>
        </w:rPr>
      </w:pPr>
      <w:proofErr w:type="spellStart"/>
      <w:r w:rsidRPr="00EF61A4">
        <w:rPr>
          <w:sz w:val="22"/>
          <w:szCs w:val="22"/>
        </w:rPr>
        <w:t>Vangeest</w:t>
      </w:r>
      <w:proofErr w:type="spellEnd"/>
      <w:r w:rsidRPr="00EF61A4">
        <w:rPr>
          <w:sz w:val="22"/>
          <w:szCs w:val="22"/>
        </w:rPr>
        <w:t xml:space="preserve">, J. B., &amp; Johnson, T. P. (2002). Substance abuse and homelessness: Direct or indirect effects? </w:t>
      </w:r>
      <w:r w:rsidRPr="00EF61A4">
        <w:rPr>
          <w:i/>
          <w:iCs/>
          <w:sz w:val="22"/>
          <w:szCs w:val="22"/>
        </w:rPr>
        <w:t xml:space="preserve">Annals of Epidemiology, 12, </w:t>
      </w:r>
      <w:r w:rsidRPr="00EF61A4">
        <w:rPr>
          <w:sz w:val="22"/>
          <w:szCs w:val="22"/>
        </w:rPr>
        <w:t>455–461.</w:t>
      </w:r>
    </w:p>
    <w:p w:rsidR="00AD0A41" w:rsidRPr="00D71DF4" w:rsidRDefault="00AD0A41" w:rsidP="00AD0A41">
      <w:pPr>
        <w:rPr>
          <w:bCs/>
          <w:sz w:val="22"/>
          <w:szCs w:val="22"/>
          <w:u w:val="single"/>
        </w:rPr>
      </w:pPr>
    </w:p>
    <w:p w:rsidR="00AD0A41" w:rsidRPr="00D71DF4" w:rsidRDefault="00AD0A41" w:rsidP="00D71DF4">
      <w:pPr>
        <w:ind w:left="720" w:hanging="720"/>
        <w:rPr>
          <w:bCs/>
          <w:sz w:val="22"/>
          <w:szCs w:val="22"/>
          <w:u w:val="single"/>
        </w:rPr>
      </w:pPr>
    </w:p>
    <w:p w:rsidR="00AD0A41" w:rsidRPr="00D71DF4" w:rsidRDefault="00AD0A41" w:rsidP="00AD0A41">
      <w:pPr>
        <w:ind w:left="720" w:hanging="720"/>
        <w:rPr>
          <w:bCs/>
          <w:sz w:val="22"/>
          <w:szCs w:val="22"/>
          <w:u w:val="single"/>
        </w:rPr>
      </w:pPr>
    </w:p>
    <w:p w:rsidR="004C2F68" w:rsidRDefault="004C2F68" w:rsidP="00AD0A41">
      <w:pPr>
        <w:ind w:left="720" w:hanging="720"/>
        <w:rPr>
          <w:bCs/>
          <w:sz w:val="22"/>
          <w:szCs w:val="22"/>
          <w:u w:val="single"/>
        </w:rPr>
        <w:sectPr w:rsidR="004C2F68" w:rsidSect="00BA6FE7">
          <w:footerReference w:type="default" r:id="rId14"/>
          <w:pgSz w:w="12240" w:h="15840"/>
          <w:pgMar w:top="1440" w:right="1440" w:bottom="1440" w:left="1440" w:header="720" w:footer="288" w:gutter="0"/>
          <w:cols w:space="720"/>
          <w:docGrid w:linePitch="360"/>
        </w:sectPr>
      </w:pPr>
    </w:p>
    <w:p w:rsidR="00AD0A41" w:rsidRPr="00AC1B0D" w:rsidRDefault="004C2F68" w:rsidP="00AC1B0D">
      <w:pPr>
        <w:ind w:left="720" w:hanging="720"/>
        <w:jc w:val="center"/>
        <w:rPr>
          <w:b/>
          <w:sz w:val="22"/>
          <w:szCs w:val="22"/>
          <w:u w:val="single"/>
        </w:rPr>
      </w:pPr>
      <w:r w:rsidRPr="00AC1B0D">
        <w:rPr>
          <w:b/>
          <w:u w:val="single"/>
        </w:rPr>
        <w:lastRenderedPageBreak/>
        <w:t>LIST OF ATTACHMENTS</w:t>
      </w:r>
    </w:p>
    <w:p w:rsidR="004C2F68" w:rsidRDefault="004C2F68" w:rsidP="00AD0A41">
      <w:pPr>
        <w:ind w:left="720" w:hanging="720"/>
        <w:rPr>
          <w:bCs/>
          <w:sz w:val="22"/>
          <w:szCs w:val="22"/>
        </w:rPr>
      </w:pPr>
    </w:p>
    <w:p w:rsidR="00AC1B0D" w:rsidRPr="00AC1B0D" w:rsidRDefault="00E11293" w:rsidP="006F587A">
      <w:pPr>
        <w:spacing w:after="120"/>
        <w:ind w:left="720" w:hanging="720"/>
        <w:rPr>
          <w:bCs/>
        </w:rPr>
      </w:pPr>
      <w:r>
        <w:rPr>
          <w:b/>
        </w:rPr>
        <w:t>1</w:t>
      </w:r>
      <w:r w:rsidR="00AC1B0D" w:rsidRPr="00AC1B0D">
        <w:rPr>
          <w:b/>
        </w:rPr>
        <w:t>:</w:t>
      </w:r>
      <w:r w:rsidR="00AC1B0D" w:rsidRPr="00AC1B0D">
        <w:rPr>
          <w:bCs/>
        </w:rPr>
        <w:t xml:space="preserve"> Project Director Telephone</w:t>
      </w:r>
      <w:r w:rsidR="006F587A">
        <w:rPr>
          <w:bCs/>
        </w:rPr>
        <w:t xml:space="preserve"> Interview</w:t>
      </w:r>
    </w:p>
    <w:p w:rsidR="00AC1B0D" w:rsidRPr="00AC1B0D" w:rsidRDefault="004C5149" w:rsidP="00AC1B0D">
      <w:pPr>
        <w:spacing w:after="120"/>
        <w:ind w:left="720" w:hanging="720"/>
        <w:rPr>
          <w:bCs/>
        </w:rPr>
      </w:pPr>
      <w:r>
        <w:rPr>
          <w:b/>
        </w:rPr>
        <w:t>2</w:t>
      </w:r>
      <w:r w:rsidR="00AC1B0D" w:rsidRPr="00AC1B0D">
        <w:rPr>
          <w:b/>
        </w:rPr>
        <w:t>:</w:t>
      </w:r>
      <w:r w:rsidR="00AC1B0D" w:rsidRPr="00AC1B0D">
        <w:rPr>
          <w:bCs/>
        </w:rPr>
        <w:t xml:space="preserve"> Site Visit Guides &amp; Cost Questionnaire</w:t>
      </w:r>
    </w:p>
    <w:p w:rsidR="00AC1B0D" w:rsidRPr="00AC1B0D" w:rsidRDefault="00A61258" w:rsidP="00AC1B0D">
      <w:pPr>
        <w:spacing w:after="120"/>
        <w:ind w:left="720" w:hanging="720"/>
        <w:rPr>
          <w:bCs/>
        </w:rPr>
      </w:pPr>
      <w:r>
        <w:rPr>
          <w:b/>
        </w:rPr>
        <w:t>3</w:t>
      </w:r>
      <w:r w:rsidR="00AC1B0D" w:rsidRPr="00AC1B0D">
        <w:rPr>
          <w:b/>
        </w:rPr>
        <w:t>:</w:t>
      </w:r>
      <w:r w:rsidR="00AC1B0D" w:rsidRPr="00AC1B0D">
        <w:rPr>
          <w:bCs/>
        </w:rPr>
        <w:t xml:space="preserve"> Evidence-based Practice (EBP) Self-Assessment Part 1 &amp; Part 2</w:t>
      </w:r>
    </w:p>
    <w:p w:rsidR="00AC1B0D" w:rsidRPr="00AC1B0D" w:rsidRDefault="00A61258" w:rsidP="00AC1B0D">
      <w:pPr>
        <w:spacing w:after="120"/>
        <w:ind w:left="720" w:hanging="720"/>
        <w:rPr>
          <w:bCs/>
        </w:rPr>
      </w:pPr>
      <w:r>
        <w:rPr>
          <w:b/>
        </w:rPr>
        <w:t>4</w:t>
      </w:r>
      <w:r w:rsidR="00AC1B0D" w:rsidRPr="00AC1B0D">
        <w:rPr>
          <w:b/>
        </w:rPr>
        <w:t>:</w:t>
      </w:r>
      <w:r w:rsidR="00AC1B0D" w:rsidRPr="00AC1B0D">
        <w:rPr>
          <w:bCs/>
        </w:rPr>
        <w:t xml:space="preserve"> Permanent Supportive Housing (PSH) Self-Assessment</w:t>
      </w:r>
    </w:p>
    <w:p w:rsidR="00AC1B0D" w:rsidRPr="00AC1B0D" w:rsidRDefault="00333989" w:rsidP="00333989">
      <w:pPr>
        <w:spacing w:after="120"/>
        <w:ind w:left="720" w:hanging="720"/>
        <w:rPr>
          <w:bCs/>
        </w:rPr>
      </w:pPr>
      <w:r>
        <w:rPr>
          <w:b/>
        </w:rPr>
        <w:t>5</w:t>
      </w:r>
      <w:r w:rsidR="00AC1B0D" w:rsidRPr="00AC1B0D">
        <w:rPr>
          <w:b/>
        </w:rPr>
        <w:t>:</w:t>
      </w:r>
      <w:r w:rsidR="00AC1B0D" w:rsidRPr="00AC1B0D">
        <w:rPr>
          <w:bCs/>
        </w:rPr>
        <w:t xml:space="preserve"> Project Director Telephone </w:t>
      </w:r>
      <w:r>
        <w:rPr>
          <w:bCs/>
        </w:rPr>
        <w:t>Interview</w:t>
      </w:r>
      <w:r w:rsidR="00AC1B0D" w:rsidRPr="00AC1B0D">
        <w:rPr>
          <w:bCs/>
        </w:rPr>
        <w:t xml:space="preserve"> Consent</w:t>
      </w:r>
    </w:p>
    <w:p w:rsidR="00AC1B0D" w:rsidRPr="00AC1B0D" w:rsidRDefault="001523CD" w:rsidP="00AC1B0D">
      <w:pPr>
        <w:spacing w:after="120"/>
        <w:ind w:left="720" w:hanging="720"/>
        <w:rPr>
          <w:bCs/>
        </w:rPr>
      </w:pPr>
      <w:r>
        <w:rPr>
          <w:b/>
        </w:rPr>
        <w:t>6</w:t>
      </w:r>
      <w:r w:rsidR="00AC1B0D" w:rsidRPr="00AC1B0D">
        <w:rPr>
          <w:b/>
        </w:rPr>
        <w:t>:</w:t>
      </w:r>
      <w:r w:rsidR="00AC1B0D" w:rsidRPr="00AC1B0D">
        <w:rPr>
          <w:bCs/>
        </w:rPr>
        <w:t xml:space="preserve"> Staff Site Visit Interview Consent</w:t>
      </w:r>
    </w:p>
    <w:p w:rsidR="00AC1B0D" w:rsidRPr="00AC1B0D" w:rsidRDefault="001523CD" w:rsidP="00AC1B0D">
      <w:pPr>
        <w:spacing w:after="120"/>
        <w:ind w:left="720" w:hanging="720"/>
        <w:rPr>
          <w:bCs/>
        </w:rPr>
      </w:pPr>
      <w:r>
        <w:rPr>
          <w:b/>
        </w:rPr>
        <w:t>7</w:t>
      </w:r>
      <w:r w:rsidR="00AC1B0D" w:rsidRPr="00AC1B0D">
        <w:rPr>
          <w:b/>
        </w:rPr>
        <w:t>:</w:t>
      </w:r>
      <w:r w:rsidR="00AC1B0D" w:rsidRPr="00AC1B0D">
        <w:rPr>
          <w:bCs/>
        </w:rPr>
        <w:t xml:space="preserve"> Client </w:t>
      </w:r>
      <w:r>
        <w:rPr>
          <w:bCs/>
        </w:rPr>
        <w:t xml:space="preserve">Site Visit </w:t>
      </w:r>
      <w:r w:rsidR="00AC1B0D" w:rsidRPr="00AC1B0D">
        <w:rPr>
          <w:bCs/>
        </w:rPr>
        <w:t>Focus Group Consent</w:t>
      </w:r>
    </w:p>
    <w:p w:rsidR="00AC1B0D" w:rsidRPr="00AC1B0D" w:rsidRDefault="00BE38F6" w:rsidP="00AC1B0D">
      <w:pPr>
        <w:spacing w:after="120"/>
        <w:ind w:left="720" w:hanging="720"/>
        <w:rPr>
          <w:bCs/>
        </w:rPr>
      </w:pPr>
      <w:r>
        <w:rPr>
          <w:b/>
        </w:rPr>
        <w:t>8</w:t>
      </w:r>
      <w:r w:rsidR="00AC1B0D" w:rsidRPr="00AC1B0D">
        <w:rPr>
          <w:b/>
        </w:rPr>
        <w:t>:</w:t>
      </w:r>
      <w:r w:rsidR="00AC1B0D" w:rsidRPr="00AC1B0D">
        <w:rPr>
          <w:bCs/>
        </w:rPr>
        <w:t xml:space="preserve"> Evidence-based Practice </w:t>
      </w:r>
      <w:r w:rsidR="00AC1B0D">
        <w:rPr>
          <w:bCs/>
        </w:rPr>
        <w:t>(</w:t>
      </w:r>
      <w:r w:rsidR="00AC1B0D" w:rsidRPr="00AC1B0D">
        <w:rPr>
          <w:bCs/>
        </w:rPr>
        <w:t>EBP</w:t>
      </w:r>
      <w:r w:rsidR="00AC1B0D">
        <w:rPr>
          <w:bCs/>
        </w:rPr>
        <w:t>)</w:t>
      </w:r>
      <w:r w:rsidR="00AC1B0D" w:rsidRPr="00AC1B0D">
        <w:rPr>
          <w:bCs/>
        </w:rPr>
        <w:t xml:space="preserve"> Web Consent</w:t>
      </w:r>
    </w:p>
    <w:p w:rsidR="00AC1B0D" w:rsidRPr="00AC1B0D" w:rsidRDefault="0011612E" w:rsidP="00AC1B0D">
      <w:pPr>
        <w:spacing w:after="120"/>
        <w:ind w:left="720" w:hanging="720"/>
        <w:rPr>
          <w:bCs/>
        </w:rPr>
      </w:pPr>
      <w:r>
        <w:rPr>
          <w:b/>
        </w:rPr>
        <w:t>9</w:t>
      </w:r>
      <w:r w:rsidR="00AC1B0D" w:rsidRPr="00AC1B0D">
        <w:rPr>
          <w:b/>
        </w:rPr>
        <w:t>:</w:t>
      </w:r>
      <w:r w:rsidR="00AC1B0D" w:rsidRPr="00AC1B0D">
        <w:rPr>
          <w:bCs/>
        </w:rPr>
        <w:t xml:space="preserve"> Permanent Supportive Housing (PSH</w:t>
      </w:r>
      <w:r w:rsidR="00AC1B0D">
        <w:rPr>
          <w:bCs/>
        </w:rPr>
        <w:t>)</w:t>
      </w:r>
      <w:r w:rsidR="00AC1B0D" w:rsidRPr="00AC1B0D">
        <w:rPr>
          <w:bCs/>
        </w:rPr>
        <w:t xml:space="preserve"> Web Consent</w:t>
      </w:r>
    </w:p>
    <w:p w:rsidR="00AC1B0D" w:rsidRDefault="00513536" w:rsidP="00AC1B0D">
      <w:pPr>
        <w:spacing w:after="120"/>
        <w:ind w:left="720" w:hanging="720"/>
        <w:rPr>
          <w:bCs/>
          <w:sz w:val="22"/>
          <w:szCs w:val="22"/>
        </w:rPr>
      </w:pPr>
      <w:r>
        <w:rPr>
          <w:b/>
        </w:rPr>
        <w:t>10</w:t>
      </w:r>
      <w:r w:rsidR="00AC1B0D" w:rsidRPr="00AC1B0D">
        <w:rPr>
          <w:b/>
        </w:rPr>
        <w:t xml:space="preserve">: </w:t>
      </w:r>
      <w:r w:rsidR="00AC1B0D" w:rsidRPr="00AC1B0D">
        <w:rPr>
          <w:bCs/>
        </w:rPr>
        <w:t>Analysis Table Shells</w:t>
      </w:r>
    </w:p>
    <w:p w:rsidR="004C2F68" w:rsidRPr="004C2F68" w:rsidRDefault="004C2F68" w:rsidP="004C2F68">
      <w:pPr>
        <w:ind w:left="720" w:hanging="720"/>
        <w:rPr>
          <w:bCs/>
          <w:sz w:val="22"/>
          <w:szCs w:val="22"/>
        </w:rPr>
      </w:pPr>
    </w:p>
    <w:sectPr w:rsidR="004C2F68" w:rsidRPr="004C2F68" w:rsidSect="00BC6B9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3E" w:rsidRDefault="0079573E" w:rsidP="009174B7">
      <w:r>
        <w:separator/>
      </w:r>
    </w:p>
  </w:endnote>
  <w:endnote w:type="continuationSeparator" w:id="0">
    <w:p w:rsidR="0079573E" w:rsidRDefault="0079573E" w:rsidP="009174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hannon Book">
    <w:altName w:val="Times New Roman"/>
    <w:charset w:val="00"/>
    <w:family w:val="auto"/>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4246"/>
      <w:docPartObj>
        <w:docPartGallery w:val="Page Numbers (Bottom of Page)"/>
        <w:docPartUnique/>
      </w:docPartObj>
    </w:sdtPr>
    <w:sdtContent>
      <w:p w:rsidR="0079573E" w:rsidRDefault="00350D99">
        <w:pPr>
          <w:pStyle w:val="Footer"/>
          <w:jc w:val="right"/>
        </w:pPr>
        <w:r>
          <w:fldChar w:fldCharType="begin"/>
        </w:r>
        <w:r w:rsidR="0079573E">
          <w:instrText xml:space="preserve"> PAGE   \* MERGEFORMAT </w:instrText>
        </w:r>
        <w:r>
          <w:fldChar w:fldCharType="separate"/>
        </w:r>
        <w:r w:rsidR="00457CAF">
          <w:rPr>
            <w:noProof/>
          </w:rPr>
          <w:t>1</w:t>
        </w:r>
        <w:r>
          <w:rPr>
            <w:noProof/>
          </w:rPr>
          <w:fldChar w:fldCharType="end"/>
        </w:r>
      </w:p>
    </w:sdtContent>
  </w:sdt>
  <w:p w:rsidR="0079573E" w:rsidRDefault="007957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3E" w:rsidRDefault="0079573E" w:rsidP="009174B7">
      <w:r>
        <w:separator/>
      </w:r>
    </w:p>
  </w:footnote>
  <w:footnote w:type="continuationSeparator" w:id="0">
    <w:p w:rsidR="0079573E" w:rsidRDefault="0079573E" w:rsidP="00917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95A"/>
    <w:multiLevelType w:val="hybridMultilevel"/>
    <w:tmpl w:val="503EE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904952"/>
    <w:multiLevelType w:val="hybridMultilevel"/>
    <w:tmpl w:val="3EA6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52913"/>
    <w:multiLevelType w:val="hybridMultilevel"/>
    <w:tmpl w:val="552274EA"/>
    <w:lvl w:ilvl="0" w:tplc="B524B256">
      <w:start w:val="3"/>
      <w:numFmt w:val="decimal"/>
      <w:lvlText w:val="%1."/>
      <w:lvlJc w:val="left"/>
      <w:pPr>
        <w:tabs>
          <w:tab w:val="num" w:pos="720"/>
        </w:tabs>
        <w:ind w:left="72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C33BA5"/>
    <w:multiLevelType w:val="hybridMultilevel"/>
    <w:tmpl w:val="E07A3B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17643"/>
    <w:multiLevelType w:val="hybridMultilevel"/>
    <w:tmpl w:val="7A8A9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4E4482"/>
    <w:multiLevelType w:val="hybridMultilevel"/>
    <w:tmpl w:val="C2D87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A06A2A"/>
    <w:multiLevelType w:val="hybridMultilevel"/>
    <w:tmpl w:val="0B6C9DB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2E941BEA"/>
    <w:multiLevelType w:val="hybridMultilevel"/>
    <w:tmpl w:val="3678E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961D9"/>
    <w:multiLevelType w:val="hybridMultilevel"/>
    <w:tmpl w:val="7A6AAC7E"/>
    <w:lvl w:ilvl="0" w:tplc="F2CC1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B7053"/>
    <w:multiLevelType w:val="hybridMultilevel"/>
    <w:tmpl w:val="5F2C7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D164D"/>
    <w:multiLevelType w:val="hybridMultilevel"/>
    <w:tmpl w:val="81949364"/>
    <w:lvl w:ilvl="0" w:tplc="04090005">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1">
    <w:nsid w:val="4D5D2BAA"/>
    <w:multiLevelType w:val="hybridMultilevel"/>
    <w:tmpl w:val="92381052"/>
    <w:lvl w:ilvl="0" w:tplc="04090001">
      <w:start w:val="1"/>
      <w:numFmt w:val="bullet"/>
      <w:lvlText w:val=""/>
      <w:lvlJc w:val="left"/>
      <w:pPr>
        <w:tabs>
          <w:tab w:val="num" w:pos="720"/>
        </w:tabs>
        <w:ind w:left="720" w:hanging="360"/>
      </w:pPr>
      <w:rPr>
        <w:rFonts w:ascii="Symbol" w:hAnsi="Symbol" w:hint="default"/>
      </w:rPr>
    </w:lvl>
    <w:lvl w:ilvl="1" w:tplc="A198BFF6">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4A18FA"/>
    <w:multiLevelType w:val="hybridMultilevel"/>
    <w:tmpl w:val="D76E4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CB4648"/>
    <w:multiLevelType w:val="hybridMultilevel"/>
    <w:tmpl w:val="2360A496"/>
    <w:lvl w:ilvl="0" w:tplc="5F20A8FE">
      <w:start w:val="1"/>
      <w:numFmt w:val="bullet"/>
      <w:lvlText w:val=""/>
      <w:lvlJc w:val="left"/>
      <w:pPr>
        <w:tabs>
          <w:tab w:val="num" w:pos="720"/>
        </w:tabs>
        <w:ind w:left="720" w:hanging="360"/>
      </w:pPr>
      <w:rPr>
        <w:rFonts w:ascii="Symbol" w:hAnsi="Symbol" w:hint="default"/>
      </w:rPr>
    </w:lvl>
    <w:lvl w:ilvl="1" w:tplc="5F20A8F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272BBD"/>
    <w:multiLevelType w:val="hybridMultilevel"/>
    <w:tmpl w:val="6A50FD92"/>
    <w:lvl w:ilvl="0" w:tplc="04090003">
      <w:start w:val="1"/>
      <w:numFmt w:val="bullet"/>
      <w:lvlText w:val="o"/>
      <w:lvlJc w:val="left"/>
      <w:pPr>
        <w:ind w:left="1440" w:hanging="360"/>
      </w:pPr>
      <w:rPr>
        <w:rFonts w:ascii="Courier New" w:hAnsi="Courier New" w:cs="Courier New" w:hint="default"/>
        <w:color w:val="auto"/>
        <w:sz w:val="20"/>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0694CA6"/>
    <w:multiLevelType w:val="hybridMultilevel"/>
    <w:tmpl w:val="89B6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2B3A16"/>
    <w:multiLevelType w:val="hybridMultilevel"/>
    <w:tmpl w:val="5CCE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481E5B"/>
    <w:multiLevelType w:val="hybridMultilevel"/>
    <w:tmpl w:val="7AC40E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451FA8"/>
    <w:multiLevelType w:val="hybridMultilevel"/>
    <w:tmpl w:val="FEC4488C"/>
    <w:lvl w:ilvl="0" w:tplc="D8B08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84488"/>
    <w:multiLevelType w:val="hybridMultilevel"/>
    <w:tmpl w:val="C63A50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6"/>
  </w:num>
  <w:num w:numId="4">
    <w:abstractNumId w:val="0"/>
  </w:num>
  <w:num w:numId="5">
    <w:abstractNumId w:val="1"/>
  </w:num>
  <w:num w:numId="6">
    <w:abstractNumId w:val="4"/>
  </w:num>
  <w:num w:numId="7">
    <w:abstractNumId w:val="9"/>
  </w:num>
  <w:num w:numId="8">
    <w:abstractNumId w:val="2"/>
  </w:num>
  <w:num w:numId="9">
    <w:abstractNumId w:val="13"/>
  </w:num>
  <w:num w:numId="10">
    <w:abstractNumId w:val="12"/>
  </w:num>
  <w:num w:numId="11">
    <w:abstractNumId w:val="18"/>
  </w:num>
  <w:num w:numId="12">
    <w:abstractNumId w:val="8"/>
  </w:num>
  <w:num w:numId="13">
    <w:abstractNumId w:val="5"/>
  </w:num>
  <w:num w:numId="14">
    <w:abstractNumId w:val="11"/>
  </w:num>
  <w:num w:numId="15">
    <w:abstractNumId w:val="15"/>
  </w:num>
  <w:num w:numId="16">
    <w:abstractNumId w:val="19"/>
  </w:num>
  <w:num w:numId="17">
    <w:abstractNumId w:val="17"/>
  </w:num>
  <w:num w:numId="18">
    <w:abstractNumId w:val="7"/>
  </w:num>
  <w:num w:numId="19">
    <w:abstractNumId w:val="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226A0C"/>
    <w:rsid w:val="000013EB"/>
    <w:rsid w:val="0000393C"/>
    <w:rsid w:val="0001314D"/>
    <w:rsid w:val="00014CA0"/>
    <w:rsid w:val="0001645A"/>
    <w:rsid w:val="00023B0C"/>
    <w:rsid w:val="000243CF"/>
    <w:rsid w:val="00024473"/>
    <w:rsid w:val="0002587E"/>
    <w:rsid w:val="0003144E"/>
    <w:rsid w:val="000319F1"/>
    <w:rsid w:val="0003285D"/>
    <w:rsid w:val="0003387C"/>
    <w:rsid w:val="00040AC3"/>
    <w:rsid w:val="0004372D"/>
    <w:rsid w:val="00043EA3"/>
    <w:rsid w:val="00045F2D"/>
    <w:rsid w:val="00047068"/>
    <w:rsid w:val="000512FB"/>
    <w:rsid w:val="0005485A"/>
    <w:rsid w:val="0005780B"/>
    <w:rsid w:val="00062802"/>
    <w:rsid w:val="0006720D"/>
    <w:rsid w:val="00072F86"/>
    <w:rsid w:val="000730DC"/>
    <w:rsid w:val="00074877"/>
    <w:rsid w:val="0007518A"/>
    <w:rsid w:val="00075D79"/>
    <w:rsid w:val="00081639"/>
    <w:rsid w:val="00081E1D"/>
    <w:rsid w:val="0008315E"/>
    <w:rsid w:val="00085CF7"/>
    <w:rsid w:val="00085FE1"/>
    <w:rsid w:val="000976DF"/>
    <w:rsid w:val="000A218D"/>
    <w:rsid w:val="000A2B29"/>
    <w:rsid w:val="000A37BB"/>
    <w:rsid w:val="000A7C51"/>
    <w:rsid w:val="000B00AD"/>
    <w:rsid w:val="000B12AE"/>
    <w:rsid w:val="000B440A"/>
    <w:rsid w:val="000B6AAE"/>
    <w:rsid w:val="000B6C5A"/>
    <w:rsid w:val="000B6EE3"/>
    <w:rsid w:val="000C7924"/>
    <w:rsid w:val="000D3E87"/>
    <w:rsid w:val="000E01EF"/>
    <w:rsid w:val="000E0CF6"/>
    <w:rsid w:val="000E4466"/>
    <w:rsid w:val="000F25D3"/>
    <w:rsid w:val="000F471F"/>
    <w:rsid w:val="000F562C"/>
    <w:rsid w:val="000F71DE"/>
    <w:rsid w:val="00100478"/>
    <w:rsid w:val="0010229F"/>
    <w:rsid w:val="001148C3"/>
    <w:rsid w:val="0011612E"/>
    <w:rsid w:val="001302EB"/>
    <w:rsid w:val="00132568"/>
    <w:rsid w:val="00136FCE"/>
    <w:rsid w:val="001407EA"/>
    <w:rsid w:val="001437D6"/>
    <w:rsid w:val="00147DB1"/>
    <w:rsid w:val="0015005D"/>
    <w:rsid w:val="00151583"/>
    <w:rsid w:val="001523CD"/>
    <w:rsid w:val="00154D8E"/>
    <w:rsid w:val="00155A8D"/>
    <w:rsid w:val="001613A5"/>
    <w:rsid w:val="00165A9D"/>
    <w:rsid w:val="0017095C"/>
    <w:rsid w:val="00171623"/>
    <w:rsid w:val="00171F42"/>
    <w:rsid w:val="00184A38"/>
    <w:rsid w:val="00185B01"/>
    <w:rsid w:val="00192091"/>
    <w:rsid w:val="00192573"/>
    <w:rsid w:val="00193D90"/>
    <w:rsid w:val="00194A62"/>
    <w:rsid w:val="00194D8A"/>
    <w:rsid w:val="00197065"/>
    <w:rsid w:val="001A169C"/>
    <w:rsid w:val="001A3D89"/>
    <w:rsid w:val="001B2A39"/>
    <w:rsid w:val="001B4C28"/>
    <w:rsid w:val="001B5650"/>
    <w:rsid w:val="001B64A4"/>
    <w:rsid w:val="001C3AE7"/>
    <w:rsid w:val="001C58E1"/>
    <w:rsid w:val="001D19F7"/>
    <w:rsid w:val="001D2F63"/>
    <w:rsid w:val="001D52FB"/>
    <w:rsid w:val="001D5B60"/>
    <w:rsid w:val="001D5C9C"/>
    <w:rsid w:val="001E49E7"/>
    <w:rsid w:val="001F0BC1"/>
    <w:rsid w:val="001F3DBB"/>
    <w:rsid w:val="001F59C4"/>
    <w:rsid w:val="002009F8"/>
    <w:rsid w:val="00201AA6"/>
    <w:rsid w:val="00203BAF"/>
    <w:rsid w:val="00204EAA"/>
    <w:rsid w:val="00205B36"/>
    <w:rsid w:val="002077F4"/>
    <w:rsid w:val="00214550"/>
    <w:rsid w:val="002160BC"/>
    <w:rsid w:val="00217448"/>
    <w:rsid w:val="00220593"/>
    <w:rsid w:val="002221E3"/>
    <w:rsid w:val="00222310"/>
    <w:rsid w:val="00223D9F"/>
    <w:rsid w:val="00226A0C"/>
    <w:rsid w:val="00227182"/>
    <w:rsid w:val="002271D5"/>
    <w:rsid w:val="0022750D"/>
    <w:rsid w:val="00230B84"/>
    <w:rsid w:val="002312A8"/>
    <w:rsid w:val="002347A9"/>
    <w:rsid w:val="00240218"/>
    <w:rsid w:val="002420A0"/>
    <w:rsid w:val="0024411A"/>
    <w:rsid w:val="00244595"/>
    <w:rsid w:val="002455AE"/>
    <w:rsid w:val="00251482"/>
    <w:rsid w:val="00251FF2"/>
    <w:rsid w:val="00253290"/>
    <w:rsid w:val="00257512"/>
    <w:rsid w:val="00266EC6"/>
    <w:rsid w:val="00266FD9"/>
    <w:rsid w:val="00267A5E"/>
    <w:rsid w:val="00272A96"/>
    <w:rsid w:val="002730B4"/>
    <w:rsid w:val="0027381A"/>
    <w:rsid w:val="00280B8F"/>
    <w:rsid w:val="00281E8A"/>
    <w:rsid w:val="002822B2"/>
    <w:rsid w:val="002931EB"/>
    <w:rsid w:val="002934E5"/>
    <w:rsid w:val="0029532D"/>
    <w:rsid w:val="00296174"/>
    <w:rsid w:val="002964E5"/>
    <w:rsid w:val="002976ED"/>
    <w:rsid w:val="002A042A"/>
    <w:rsid w:val="002A1F8F"/>
    <w:rsid w:val="002A3FD3"/>
    <w:rsid w:val="002A6B07"/>
    <w:rsid w:val="002A74A1"/>
    <w:rsid w:val="002B3630"/>
    <w:rsid w:val="002B54F1"/>
    <w:rsid w:val="002C120D"/>
    <w:rsid w:val="002C3081"/>
    <w:rsid w:val="002C3A0A"/>
    <w:rsid w:val="002C49F6"/>
    <w:rsid w:val="002C4BAB"/>
    <w:rsid w:val="002C5A92"/>
    <w:rsid w:val="002C5D78"/>
    <w:rsid w:val="002D0DDE"/>
    <w:rsid w:val="002D203E"/>
    <w:rsid w:val="002D684F"/>
    <w:rsid w:val="002D78D9"/>
    <w:rsid w:val="002D7A39"/>
    <w:rsid w:val="002D7B68"/>
    <w:rsid w:val="002E0271"/>
    <w:rsid w:val="002E02F4"/>
    <w:rsid w:val="002E0463"/>
    <w:rsid w:val="002E1027"/>
    <w:rsid w:val="002E1AA8"/>
    <w:rsid w:val="002E1CCC"/>
    <w:rsid w:val="002E7224"/>
    <w:rsid w:val="002F1598"/>
    <w:rsid w:val="002F1813"/>
    <w:rsid w:val="00300961"/>
    <w:rsid w:val="0030222F"/>
    <w:rsid w:val="00302283"/>
    <w:rsid w:val="00302524"/>
    <w:rsid w:val="003064B4"/>
    <w:rsid w:val="00315BBD"/>
    <w:rsid w:val="003213C0"/>
    <w:rsid w:val="00324965"/>
    <w:rsid w:val="00333989"/>
    <w:rsid w:val="00333B32"/>
    <w:rsid w:val="003372F1"/>
    <w:rsid w:val="00340EAE"/>
    <w:rsid w:val="00341091"/>
    <w:rsid w:val="00342894"/>
    <w:rsid w:val="003478E6"/>
    <w:rsid w:val="00350D99"/>
    <w:rsid w:val="003539F6"/>
    <w:rsid w:val="0035519F"/>
    <w:rsid w:val="00355F05"/>
    <w:rsid w:val="00355FF5"/>
    <w:rsid w:val="00363223"/>
    <w:rsid w:val="00367267"/>
    <w:rsid w:val="00367E98"/>
    <w:rsid w:val="003707E0"/>
    <w:rsid w:val="0037159E"/>
    <w:rsid w:val="00371AE4"/>
    <w:rsid w:val="00371B20"/>
    <w:rsid w:val="00371E58"/>
    <w:rsid w:val="00372B0D"/>
    <w:rsid w:val="0038438D"/>
    <w:rsid w:val="00384602"/>
    <w:rsid w:val="00384EAF"/>
    <w:rsid w:val="00397743"/>
    <w:rsid w:val="003A4FA4"/>
    <w:rsid w:val="003A57CB"/>
    <w:rsid w:val="003B79B8"/>
    <w:rsid w:val="003C20B6"/>
    <w:rsid w:val="003C2595"/>
    <w:rsid w:val="003C2E65"/>
    <w:rsid w:val="003C4FEA"/>
    <w:rsid w:val="003C57D2"/>
    <w:rsid w:val="003C5D7A"/>
    <w:rsid w:val="003D043E"/>
    <w:rsid w:val="003D06B9"/>
    <w:rsid w:val="003D174B"/>
    <w:rsid w:val="003D3E75"/>
    <w:rsid w:val="003D4CA9"/>
    <w:rsid w:val="003D6E0B"/>
    <w:rsid w:val="003E0481"/>
    <w:rsid w:val="003E115D"/>
    <w:rsid w:val="003E58D2"/>
    <w:rsid w:val="003E676D"/>
    <w:rsid w:val="003F2232"/>
    <w:rsid w:val="003F33D8"/>
    <w:rsid w:val="003F68F0"/>
    <w:rsid w:val="003F6D21"/>
    <w:rsid w:val="003F761C"/>
    <w:rsid w:val="003F7F12"/>
    <w:rsid w:val="00400655"/>
    <w:rsid w:val="004060DE"/>
    <w:rsid w:val="00407345"/>
    <w:rsid w:val="00412B69"/>
    <w:rsid w:val="004143CF"/>
    <w:rsid w:val="00414DB1"/>
    <w:rsid w:val="0041557F"/>
    <w:rsid w:val="00416AB8"/>
    <w:rsid w:val="00417187"/>
    <w:rsid w:val="004171D5"/>
    <w:rsid w:val="00417D68"/>
    <w:rsid w:val="004200BE"/>
    <w:rsid w:val="0042074A"/>
    <w:rsid w:val="00421E1B"/>
    <w:rsid w:val="00421F85"/>
    <w:rsid w:val="00430F6B"/>
    <w:rsid w:val="0043276B"/>
    <w:rsid w:val="0043289B"/>
    <w:rsid w:val="00432C1B"/>
    <w:rsid w:val="004340FE"/>
    <w:rsid w:val="0044046A"/>
    <w:rsid w:val="00443197"/>
    <w:rsid w:val="0044402C"/>
    <w:rsid w:val="00444BEA"/>
    <w:rsid w:val="004470FC"/>
    <w:rsid w:val="004529B5"/>
    <w:rsid w:val="00454700"/>
    <w:rsid w:val="004557BA"/>
    <w:rsid w:val="00457CAF"/>
    <w:rsid w:val="00461B26"/>
    <w:rsid w:val="00466523"/>
    <w:rsid w:val="00466E3D"/>
    <w:rsid w:val="00470D11"/>
    <w:rsid w:val="00471088"/>
    <w:rsid w:val="00473A6C"/>
    <w:rsid w:val="0047457B"/>
    <w:rsid w:val="00474B71"/>
    <w:rsid w:val="00483170"/>
    <w:rsid w:val="004839CF"/>
    <w:rsid w:val="004848F8"/>
    <w:rsid w:val="00490B4A"/>
    <w:rsid w:val="004926EC"/>
    <w:rsid w:val="00492E90"/>
    <w:rsid w:val="004941E4"/>
    <w:rsid w:val="00494498"/>
    <w:rsid w:val="00494CB2"/>
    <w:rsid w:val="004A00E4"/>
    <w:rsid w:val="004A11CE"/>
    <w:rsid w:val="004A1D85"/>
    <w:rsid w:val="004A535A"/>
    <w:rsid w:val="004A538E"/>
    <w:rsid w:val="004A751B"/>
    <w:rsid w:val="004B07AA"/>
    <w:rsid w:val="004B18FE"/>
    <w:rsid w:val="004B322D"/>
    <w:rsid w:val="004B46DC"/>
    <w:rsid w:val="004B5996"/>
    <w:rsid w:val="004B5C10"/>
    <w:rsid w:val="004B7621"/>
    <w:rsid w:val="004C2A53"/>
    <w:rsid w:val="004C2F68"/>
    <w:rsid w:val="004C5149"/>
    <w:rsid w:val="004C62E7"/>
    <w:rsid w:val="004C71CD"/>
    <w:rsid w:val="004D0299"/>
    <w:rsid w:val="004D279C"/>
    <w:rsid w:val="004D32BA"/>
    <w:rsid w:val="004D442A"/>
    <w:rsid w:val="004D5719"/>
    <w:rsid w:val="004D5A84"/>
    <w:rsid w:val="004D6FF3"/>
    <w:rsid w:val="004E06C0"/>
    <w:rsid w:val="004E0811"/>
    <w:rsid w:val="004E0BB8"/>
    <w:rsid w:val="004E0CA1"/>
    <w:rsid w:val="004E2554"/>
    <w:rsid w:val="004E41A2"/>
    <w:rsid w:val="004E4C4C"/>
    <w:rsid w:val="004F1A0A"/>
    <w:rsid w:val="004F3C96"/>
    <w:rsid w:val="004F4B56"/>
    <w:rsid w:val="004F6FBB"/>
    <w:rsid w:val="004F7C94"/>
    <w:rsid w:val="0050074E"/>
    <w:rsid w:val="00500C87"/>
    <w:rsid w:val="005012D7"/>
    <w:rsid w:val="0050534D"/>
    <w:rsid w:val="0050627F"/>
    <w:rsid w:val="00507F30"/>
    <w:rsid w:val="00510510"/>
    <w:rsid w:val="00512D70"/>
    <w:rsid w:val="00513536"/>
    <w:rsid w:val="00513B3F"/>
    <w:rsid w:val="005146D7"/>
    <w:rsid w:val="0051731C"/>
    <w:rsid w:val="00525551"/>
    <w:rsid w:val="00530661"/>
    <w:rsid w:val="00530688"/>
    <w:rsid w:val="00536555"/>
    <w:rsid w:val="00537A5B"/>
    <w:rsid w:val="00541F0E"/>
    <w:rsid w:val="005434B8"/>
    <w:rsid w:val="005445E2"/>
    <w:rsid w:val="00544727"/>
    <w:rsid w:val="005453FE"/>
    <w:rsid w:val="00556DE7"/>
    <w:rsid w:val="0055726F"/>
    <w:rsid w:val="00560F90"/>
    <w:rsid w:val="0056194F"/>
    <w:rsid w:val="00561D9B"/>
    <w:rsid w:val="00562A59"/>
    <w:rsid w:val="005637BA"/>
    <w:rsid w:val="00564B58"/>
    <w:rsid w:val="005664C7"/>
    <w:rsid w:val="00567DD4"/>
    <w:rsid w:val="00570D16"/>
    <w:rsid w:val="00571156"/>
    <w:rsid w:val="00572350"/>
    <w:rsid w:val="00574886"/>
    <w:rsid w:val="0058180F"/>
    <w:rsid w:val="005859FC"/>
    <w:rsid w:val="0059222F"/>
    <w:rsid w:val="0059491B"/>
    <w:rsid w:val="0059511F"/>
    <w:rsid w:val="005A03DD"/>
    <w:rsid w:val="005A27E2"/>
    <w:rsid w:val="005A2A6E"/>
    <w:rsid w:val="005A2A8D"/>
    <w:rsid w:val="005A2EDD"/>
    <w:rsid w:val="005B00E2"/>
    <w:rsid w:val="005B09EA"/>
    <w:rsid w:val="005B2118"/>
    <w:rsid w:val="005B70B4"/>
    <w:rsid w:val="005C370F"/>
    <w:rsid w:val="005C5F31"/>
    <w:rsid w:val="005C7B74"/>
    <w:rsid w:val="005E21F2"/>
    <w:rsid w:val="005E2343"/>
    <w:rsid w:val="005E29A6"/>
    <w:rsid w:val="005E523D"/>
    <w:rsid w:val="005E59CF"/>
    <w:rsid w:val="005E60FD"/>
    <w:rsid w:val="005E6165"/>
    <w:rsid w:val="005E67F7"/>
    <w:rsid w:val="005E71B1"/>
    <w:rsid w:val="005F2D17"/>
    <w:rsid w:val="005F3BC1"/>
    <w:rsid w:val="005F4056"/>
    <w:rsid w:val="005F47DE"/>
    <w:rsid w:val="005F5BED"/>
    <w:rsid w:val="005F79C6"/>
    <w:rsid w:val="00601EBD"/>
    <w:rsid w:val="00602348"/>
    <w:rsid w:val="0060263E"/>
    <w:rsid w:val="00602F55"/>
    <w:rsid w:val="00604BEB"/>
    <w:rsid w:val="006069EB"/>
    <w:rsid w:val="00611BF8"/>
    <w:rsid w:val="006124C1"/>
    <w:rsid w:val="00612D29"/>
    <w:rsid w:val="00614EBF"/>
    <w:rsid w:val="006176D8"/>
    <w:rsid w:val="00617925"/>
    <w:rsid w:val="00623320"/>
    <w:rsid w:val="00624882"/>
    <w:rsid w:val="006310B4"/>
    <w:rsid w:val="0063271D"/>
    <w:rsid w:val="00633198"/>
    <w:rsid w:val="00634252"/>
    <w:rsid w:val="00635AD9"/>
    <w:rsid w:val="00635D74"/>
    <w:rsid w:val="00643204"/>
    <w:rsid w:val="006432C7"/>
    <w:rsid w:val="00643B41"/>
    <w:rsid w:val="00644965"/>
    <w:rsid w:val="00644A90"/>
    <w:rsid w:val="00645779"/>
    <w:rsid w:val="0064633F"/>
    <w:rsid w:val="006477DE"/>
    <w:rsid w:val="0065199F"/>
    <w:rsid w:val="00653756"/>
    <w:rsid w:val="00656C08"/>
    <w:rsid w:val="006575AB"/>
    <w:rsid w:val="0066151F"/>
    <w:rsid w:val="00661E5A"/>
    <w:rsid w:val="006664CC"/>
    <w:rsid w:val="00666637"/>
    <w:rsid w:val="00671994"/>
    <w:rsid w:val="00675178"/>
    <w:rsid w:val="00676C73"/>
    <w:rsid w:val="00677403"/>
    <w:rsid w:val="00681244"/>
    <w:rsid w:val="00683D53"/>
    <w:rsid w:val="00691B10"/>
    <w:rsid w:val="0069323A"/>
    <w:rsid w:val="00693AB8"/>
    <w:rsid w:val="00694195"/>
    <w:rsid w:val="006943F4"/>
    <w:rsid w:val="006965AF"/>
    <w:rsid w:val="00697830"/>
    <w:rsid w:val="006A305C"/>
    <w:rsid w:val="006A3A6A"/>
    <w:rsid w:val="006B143D"/>
    <w:rsid w:val="006B20A8"/>
    <w:rsid w:val="006B63F9"/>
    <w:rsid w:val="006C1A5E"/>
    <w:rsid w:val="006C38EE"/>
    <w:rsid w:val="006C4C06"/>
    <w:rsid w:val="006C5CDC"/>
    <w:rsid w:val="006E2695"/>
    <w:rsid w:val="006E2A7A"/>
    <w:rsid w:val="006E55C6"/>
    <w:rsid w:val="006E7CAD"/>
    <w:rsid w:val="006F587A"/>
    <w:rsid w:val="006F6C02"/>
    <w:rsid w:val="007031C1"/>
    <w:rsid w:val="00703E77"/>
    <w:rsid w:val="00704127"/>
    <w:rsid w:val="00704135"/>
    <w:rsid w:val="00704438"/>
    <w:rsid w:val="00704F31"/>
    <w:rsid w:val="00705090"/>
    <w:rsid w:val="00705343"/>
    <w:rsid w:val="00706310"/>
    <w:rsid w:val="0070650B"/>
    <w:rsid w:val="007104C5"/>
    <w:rsid w:val="007118BF"/>
    <w:rsid w:val="00713416"/>
    <w:rsid w:val="00713CE8"/>
    <w:rsid w:val="007158D1"/>
    <w:rsid w:val="00720B70"/>
    <w:rsid w:val="00721728"/>
    <w:rsid w:val="00726DD8"/>
    <w:rsid w:val="00730A9B"/>
    <w:rsid w:val="007319BA"/>
    <w:rsid w:val="00733035"/>
    <w:rsid w:val="007357AF"/>
    <w:rsid w:val="00736543"/>
    <w:rsid w:val="0074032C"/>
    <w:rsid w:val="00740F17"/>
    <w:rsid w:val="00751FC6"/>
    <w:rsid w:val="00752534"/>
    <w:rsid w:val="007526B9"/>
    <w:rsid w:val="00757A50"/>
    <w:rsid w:val="00757BDB"/>
    <w:rsid w:val="00760A61"/>
    <w:rsid w:val="0076171A"/>
    <w:rsid w:val="00761A2B"/>
    <w:rsid w:val="007629CE"/>
    <w:rsid w:val="0076365A"/>
    <w:rsid w:val="007667FB"/>
    <w:rsid w:val="007669BF"/>
    <w:rsid w:val="00772B33"/>
    <w:rsid w:val="007810D1"/>
    <w:rsid w:val="00782D8D"/>
    <w:rsid w:val="00783F18"/>
    <w:rsid w:val="00784C8C"/>
    <w:rsid w:val="00786142"/>
    <w:rsid w:val="00787DB6"/>
    <w:rsid w:val="00787E61"/>
    <w:rsid w:val="00791E0F"/>
    <w:rsid w:val="00792760"/>
    <w:rsid w:val="00795318"/>
    <w:rsid w:val="0079573E"/>
    <w:rsid w:val="00796AF0"/>
    <w:rsid w:val="00796F21"/>
    <w:rsid w:val="007A1941"/>
    <w:rsid w:val="007A1E44"/>
    <w:rsid w:val="007A38CE"/>
    <w:rsid w:val="007A4546"/>
    <w:rsid w:val="007A4884"/>
    <w:rsid w:val="007A4B1D"/>
    <w:rsid w:val="007A53D7"/>
    <w:rsid w:val="007A547E"/>
    <w:rsid w:val="007B2347"/>
    <w:rsid w:val="007B3978"/>
    <w:rsid w:val="007B3E5C"/>
    <w:rsid w:val="007B3E7F"/>
    <w:rsid w:val="007C0145"/>
    <w:rsid w:val="007C1AF5"/>
    <w:rsid w:val="007C209E"/>
    <w:rsid w:val="007C26FF"/>
    <w:rsid w:val="007C2A7F"/>
    <w:rsid w:val="007C2D79"/>
    <w:rsid w:val="007C408F"/>
    <w:rsid w:val="007C5193"/>
    <w:rsid w:val="007C7D49"/>
    <w:rsid w:val="007D0714"/>
    <w:rsid w:val="007D20AC"/>
    <w:rsid w:val="007D5A16"/>
    <w:rsid w:val="007D7E62"/>
    <w:rsid w:val="007D7F2A"/>
    <w:rsid w:val="007E47B6"/>
    <w:rsid w:val="007F3917"/>
    <w:rsid w:val="007F3A5B"/>
    <w:rsid w:val="007F60AD"/>
    <w:rsid w:val="007F65C8"/>
    <w:rsid w:val="00800ABF"/>
    <w:rsid w:val="0080191B"/>
    <w:rsid w:val="00802DBD"/>
    <w:rsid w:val="00810D88"/>
    <w:rsid w:val="00811835"/>
    <w:rsid w:val="00814E97"/>
    <w:rsid w:val="00816B40"/>
    <w:rsid w:val="00841877"/>
    <w:rsid w:val="00841E24"/>
    <w:rsid w:val="00843830"/>
    <w:rsid w:val="008446D0"/>
    <w:rsid w:val="00844A03"/>
    <w:rsid w:val="00846017"/>
    <w:rsid w:val="00850C6C"/>
    <w:rsid w:val="008527FE"/>
    <w:rsid w:val="00854F2D"/>
    <w:rsid w:val="00860B98"/>
    <w:rsid w:val="0086117B"/>
    <w:rsid w:val="00867129"/>
    <w:rsid w:val="0087394A"/>
    <w:rsid w:val="00873B0A"/>
    <w:rsid w:val="008767A0"/>
    <w:rsid w:val="00880962"/>
    <w:rsid w:val="0088514A"/>
    <w:rsid w:val="00885BE8"/>
    <w:rsid w:val="00891BB6"/>
    <w:rsid w:val="00891EF6"/>
    <w:rsid w:val="0089734E"/>
    <w:rsid w:val="008976D3"/>
    <w:rsid w:val="008A2F48"/>
    <w:rsid w:val="008A30FE"/>
    <w:rsid w:val="008A319E"/>
    <w:rsid w:val="008A4A6B"/>
    <w:rsid w:val="008A50EE"/>
    <w:rsid w:val="008A6268"/>
    <w:rsid w:val="008B1192"/>
    <w:rsid w:val="008B132E"/>
    <w:rsid w:val="008B17CB"/>
    <w:rsid w:val="008B25C9"/>
    <w:rsid w:val="008C5442"/>
    <w:rsid w:val="008D1601"/>
    <w:rsid w:val="008D5D7B"/>
    <w:rsid w:val="008D6A4F"/>
    <w:rsid w:val="008E7577"/>
    <w:rsid w:val="008F0299"/>
    <w:rsid w:val="008F21A9"/>
    <w:rsid w:val="008F3F8C"/>
    <w:rsid w:val="008F5CE3"/>
    <w:rsid w:val="009017FF"/>
    <w:rsid w:val="009035D7"/>
    <w:rsid w:val="00904889"/>
    <w:rsid w:val="009060D0"/>
    <w:rsid w:val="0091175A"/>
    <w:rsid w:val="009174B7"/>
    <w:rsid w:val="009206B3"/>
    <w:rsid w:val="00924535"/>
    <w:rsid w:val="0092599E"/>
    <w:rsid w:val="0092761E"/>
    <w:rsid w:val="00932EB5"/>
    <w:rsid w:val="009331C1"/>
    <w:rsid w:val="00936080"/>
    <w:rsid w:val="00936CBA"/>
    <w:rsid w:val="009432CE"/>
    <w:rsid w:val="00946B88"/>
    <w:rsid w:val="0095288E"/>
    <w:rsid w:val="00960D2E"/>
    <w:rsid w:val="00963CDD"/>
    <w:rsid w:val="00965246"/>
    <w:rsid w:val="009703D8"/>
    <w:rsid w:val="00974804"/>
    <w:rsid w:val="00975699"/>
    <w:rsid w:val="009761DE"/>
    <w:rsid w:val="009800D0"/>
    <w:rsid w:val="00983559"/>
    <w:rsid w:val="00983F68"/>
    <w:rsid w:val="00984AC8"/>
    <w:rsid w:val="009857FC"/>
    <w:rsid w:val="00985A17"/>
    <w:rsid w:val="00987F1A"/>
    <w:rsid w:val="00990B1A"/>
    <w:rsid w:val="009927DA"/>
    <w:rsid w:val="00992837"/>
    <w:rsid w:val="00993F95"/>
    <w:rsid w:val="009962EF"/>
    <w:rsid w:val="00996E8F"/>
    <w:rsid w:val="009A0487"/>
    <w:rsid w:val="009A3206"/>
    <w:rsid w:val="009A3FE2"/>
    <w:rsid w:val="009A5506"/>
    <w:rsid w:val="009A56E6"/>
    <w:rsid w:val="009A59DF"/>
    <w:rsid w:val="009A6F1E"/>
    <w:rsid w:val="009A7A93"/>
    <w:rsid w:val="009B0248"/>
    <w:rsid w:val="009B0A02"/>
    <w:rsid w:val="009B2275"/>
    <w:rsid w:val="009B31B4"/>
    <w:rsid w:val="009B61A6"/>
    <w:rsid w:val="009C01D0"/>
    <w:rsid w:val="009C1435"/>
    <w:rsid w:val="009C2B92"/>
    <w:rsid w:val="009C2D8F"/>
    <w:rsid w:val="009C58E7"/>
    <w:rsid w:val="009C7BFF"/>
    <w:rsid w:val="009D0D70"/>
    <w:rsid w:val="009D1F2A"/>
    <w:rsid w:val="009D25EB"/>
    <w:rsid w:val="009D31A4"/>
    <w:rsid w:val="009D7C5E"/>
    <w:rsid w:val="009E2B72"/>
    <w:rsid w:val="009E2DC8"/>
    <w:rsid w:val="009E5814"/>
    <w:rsid w:val="009F23A7"/>
    <w:rsid w:val="009F7B0C"/>
    <w:rsid w:val="00A00196"/>
    <w:rsid w:val="00A00AF0"/>
    <w:rsid w:val="00A0605C"/>
    <w:rsid w:val="00A06976"/>
    <w:rsid w:val="00A10169"/>
    <w:rsid w:val="00A14B0D"/>
    <w:rsid w:val="00A15AF8"/>
    <w:rsid w:val="00A15EBB"/>
    <w:rsid w:val="00A16653"/>
    <w:rsid w:val="00A17019"/>
    <w:rsid w:val="00A20291"/>
    <w:rsid w:val="00A21805"/>
    <w:rsid w:val="00A23F51"/>
    <w:rsid w:val="00A27B0B"/>
    <w:rsid w:val="00A27CAC"/>
    <w:rsid w:val="00A30633"/>
    <w:rsid w:val="00A31050"/>
    <w:rsid w:val="00A3134D"/>
    <w:rsid w:val="00A32B43"/>
    <w:rsid w:val="00A35215"/>
    <w:rsid w:val="00A45AFA"/>
    <w:rsid w:val="00A52381"/>
    <w:rsid w:val="00A536C8"/>
    <w:rsid w:val="00A53BEE"/>
    <w:rsid w:val="00A55922"/>
    <w:rsid w:val="00A61258"/>
    <w:rsid w:val="00A64900"/>
    <w:rsid w:val="00A66CCA"/>
    <w:rsid w:val="00A66EAB"/>
    <w:rsid w:val="00A675C0"/>
    <w:rsid w:val="00A7040B"/>
    <w:rsid w:val="00A712EC"/>
    <w:rsid w:val="00A733FB"/>
    <w:rsid w:val="00A759F4"/>
    <w:rsid w:val="00A7617A"/>
    <w:rsid w:val="00A7651E"/>
    <w:rsid w:val="00A8152A"/>
    <w:rsid w:val="00A82422"/>
    <w:rsid w:val="00A83298"/>
    <w:rsid w:val="00A835BE"/>
    <w:rsid w:val="00A83D3B"/>
    <w:rsid w:val="00A8572E"/>
    <w:rsid w:val="00A8613D"/>
    <w:rsid w:val="00A87D4E"/>
    <w:rsid w:val="00A938B5"/>
    <w:rsid w:val="00A96185"/>
    <w:rsid w:val="00AA3151"/>
    <w:rsid w:val="00AA3D69"/>
    <w:rsid w:val="00AA6293"/>
    <w:rsid w:val="00AB17E4"/>
    <w:rsid w:val="00AB2387"/>
    <w:rsid w:val="00AB32BC"/>
    <w:rsid w:val="00AB3857"/>
    <w:rsid w:val="00AC1B0D"/>
    <w:rsid w:val="00AC3D24"/>
    <w:rsid w:val="00AC4C02"/>
    <w:rsid w:val="00AC5FA2"/>
    <w:rsid w:val="00AC65F0"/>
    <w:rsid w:val="00AC6C7B"/>
    <w:rsid w:val="00AD088C"/>
    <w:rsid w:val="00AD0A41"/>
    <w:rsid w:val="00AD1748"/>
    <w:rsid w:val="00AD3EFB"/>
    <w:rsid w:val="00AD75C8"/>
    <w:rsid w:val="00AE01C8"/>
    <w:rsid w:val="00AE1437"/>
    <w:rsid w:val="00AE1D4B"/>
    <w:rsid w:val="00AE39CF"/>
    <w:rsid w:val="00AE55F2"/>
    <w:rsid w:val="00AF22E6"/>
    <w:rsid w:val="00AF70DE"/>
    <w:rsid w:val="00B001F0"/>
    <w:rsid w:val="00B005DA"/>
    <w:rsid w:val="00B013F4"/>
    <w:rsid w:val="00B01C88"/>
    <w:rsid w:val="00B03DD8"/>
    <w:rsid w:val="00B04E8A"/>
    <w:rsid w:val="00B05470"/>
    <w:rsid w:val="00B128F0"/>
    <w:rsid w:val="00B13A60"/>
    <w:rsid w:val="00B140B7"/>
    <w:rsid w:val="00B1428E"/>
    <w:rsid w:val="00B1434C"/>
    <w:rsid w:val="00B20414"/>
    <w:rsid w:val="00B21FD9"/>
    <w:rsid w:val="00B238F5"/>
    <w:rsid w:val="00B240BB"/>
    <w:rsid w:val="00B24850"/>
    <w:rsid w:val="00B2528E"/>
    <w:rsid w:val="00B25A9B"/>
    <w:rsid w:val="00B2607C"/>
    <w:rsid w:val="00B31F73"/>
    <w:rsid w:val="00B33891"/>
    <w:rsid w:val="00B37916"/>
    <w:rsid w:val="00B41C50"/>
    <w:rsid w:val="00B421AF"/>
    <w:rsid w:val="00B51294"/>
    <w:rsid w:val="00B52188"/>
    <w:rsid w:val="00B52349"/>
    <w:rsid w:val="00B52F6B"/>
    <w:rsid w:val="00B535D2"/>
    <w:rsid w:val="00B5599F"/>
    <w:rsid w:val="00B56C9C"/>
    <w:rsid w:val="00B60F80"/>
    <w:rsid w:val="00B61437"/>
    <w:rsid w:val="00B63A81"/>
    <w:rsid w:val="00B66A12"/>
    <w:rsid w:val="00B66E64"/>
    <w:rsid w:val="00B70FA3"/>
    <w:rsid w:val="00B71825"/>
    <w:rsid w:val="00B729CB"/>
    <w:rsid w:val="00B7494F"/>
    <w:rsid w:val="00B75A7A"/>
    <w:rsid w:val="00B75B7F"/>
    <w:rsid w:val="00B75FE0"/>
    <w:rsid w:val="00B765C1"/>
    <w:rsid w:val="00B76883"/>
    <w:rsid w:val="00B77232"/>
    <w:rsid w:val="00B8253B"/>
    <w:rsid w:val="00B8475F"/>
    <w:rsid w:val="00B90885"/>
    <w:rsid w:val="00B91725"/>
    <w:rsid w:val="00B93CCC"/>
    <w:rsid w:val="00BA116C"/>
    <w:rsid w:val="00BA2C3C"/>
    <w:rsid w:val="00BA5B37"/>
    <w:rsid w:val="00BA6DF8"/>
    <w:rsid w:val="00BA6F7C"/>
    <w:rsid w:val="00BA6FE7"/>
    <w:rsid w:val="00BB163C"/>
    <w:rsid w:val="00BB1AAC"/>
    <w:rsid w:val="00BB2334"/>
    <w:rsid w:val="00BB4A35"/>
    <w:rsid w:val="00BB5D45"/>
    <w:rsid w:val="00BC04AE"/>
    <w:rsid w:val="00BC6B93"/>
    <w:rsid w:val="00BC78B2"/>
    <w:rsid w:val="00BD2FF9"/>
    <w:rsid w:val="00BD33D1"/>
    <w:rsid w:val="00BD3EDA"/>
    <w:rsid w:val="00BD44FB"/>
    <w:rsid w:val="00BD479A"/>
    <w:rsid w:val="00BD4F0B"/>
    <w:rsid w:val="00BD5D89"/>
    <w:rsid w:val="00BD6A56"/>
    <w:rsid w:val="00BD7D71"/>
    <w:rsid w:val="00BE2404"/>
    <w:rsid w:val="00BE38F6"/>
    <w:rsid w:val="00BF0AB4"/>
    <w:rsid w:val="00BF1FA0"/>
    <w:rsid w:val="00BF620B"/>
    <w:rsid w:val="00C00582"/>
    <w:rsid w:val="00C02D61"/>
    <w:rsid w:val="00C03E65"/>
    <w:rsid w:val="00C06EE6"/>
    <w:rsid w:val="00C07BE6"/>
    <w:rsid w:val="00C12E37"/>
    <w:rsid w:val="00C132ED"/>
    <w:rsid w:val="00C14BD7"/>
    <w:rsid w:val="00C161D5"/>
    <w:rsid w:val="00C167A1"/>
    <w:rsid w:val="00C17182"/>
    <w:rsid w:val="00C223F9"/>
    <w:rsid w:val="00C35649"/>
    <w:rsid w:val="00C36973"/>
    <w:rsid w:val="00C373CC"/>
    <w:rsid w:val="00C40DD2"/>
    <w:rsid w:val="00C43160"/>
    <w:rsid w:val="00C43F9A"/>
    <w:rsid w:val="00C461F2"/>
    <w:rsid w:val="00C46AB8"/>
    <w:rsid w:val="00C473D1"/>
    <w:rsid w:val="00C512F3"/>
    <w:rsid w:val="00C54A14"/>
    <w:rsid w:val="00C57A09"/>
    <w:rsid w:val="00C604FA"/>
    <w:rsid w:val="00C631EB"/>
    <w:rsid w:val="00C64022"/>
    <w:rsid w:val="00C65E49"/>
    <w:rsid w:val="00C66F95"/>
    <w:rsid w:val="00C7135C"/>
    <w:rsid w:val="00C71EC3"/>
    <w:rsid w:val="00C721BD"/>
    <w:rsid w:val="00C72BBB"/>
    <w:rsid w:val="00C735F6"/>
    <w:rsid w:val="00C752D2"/>
    <w:rsid w:val="00C77D30"/>
    <w:rsid w:val="00C81C00"/>
    <w:rsid w:val="00C87CC1"/>
    <w:rsid w:val="00C9191F"/>
    <w:rsid w:val="00C919BB"/>
    <w:rsid w:val="00C923D4"/>
    <w:rsid w:val="00C94572"/>
    <w:rsid w:val="00C96D29"/>
    <w:rsid w:val="00CA12CE"/>
    <w:rsid w:val="00CA38A9"/>
    <w:rsid w:val="00CA6539"/>
    <w:rsid w:val="00CB4898"/>
    <w:rsid w:val="00CB49D1"/>
    <w:rsid w:val="00CB6F75"/>
    <w:rsid w:val="00CC39AE"/>
    <w:rsid w:val="00CC68F1"/>
    <w:rsid w:val="00CC7DAE"/>
    <w:rsid w:val="00CC7E72"/>
    <w:rsid w:val="00CD2980"/>
    <w:rsid w:val="00CD3178"/>
    <w:rsid w:val="00CD464D"/>
    <w:rsid w:val="00CD704E"/>
    <w:rsid w:val="00CE10FE"/>
    <w:rsid w:val="00CE1518"/>
    <w:rsid w:val="00CE2C69"/>
    <w:rsid w:val="00CE3E9E"/>
    <w:rsid w:val="00CE3ECC"/>
    <w:rsid w:val="00CE5A1B"/>
    <w:rsid w:val="00CE7B33"/>
    <w:rsid w:val="00CF3EEE"/>
    <w:rsid w:val="00D01DB4"/>
    <w:rsid w:val="00D06B9C"/>
    <w:rsid w:val="00D07E7C"/>
    <w:rsid w:val="00D15E9E"/>
    <w:rsid w:val="00D163FA"/>
    <w:rsid w:val="00D16A96"/>
    <w:rsid w:val="00D34850"/>
    <w:rsid w:val="00D3501F"/>
    <w:rsid w:val="00D35B37"/>
    <w:rsid w:val="00D36A32"/>
    <w:rsid w:val="00D4071A"/>
    <w:rsid w:val="00D41682"/>
    <w:rsid w:val="00D4298A"/>
    <w:rsid w:val="00D43181"/>
    <w:rsid w:val="00D43D37"/>
    <w:rsid w:val="00D43DB3"/>
    <w:rsid w:val="00D4511B"/>
    <w:rsid w:val="00D4518F"/>
    <w:rsid w:val="00D46B14"/>
    <w:rsid w:val="00D5216D"/>
    <w:rsid w:val="00D54BA2"/>
    <w:rsid w:val="00D626DE"/>
    <w:rsid w:val="00D62B7D"/>
    <w:rsid w:val="00D653D7"/>
    <w:rsid w:val="00D659FD"/>
    <w:rsid w:val="00D71DF4"/>
    <w:rsid w:val="00D71EC4"/>
    <w:rsid w:val="00D72C1C"/>
    <w:rsid w:val="00D73E4F"/>
    <w:rsid w:val="00D75A5B"/>
    <w:rsid w:val="00D805D7"/>
    <w:rsid w:val="00D8577E"/>
    <w:rsid w:val="00D939A3"/>
    <w:rsid w:val="00D9492D"/>
    <w:rsid w:val="00DA33AE"/>
    <w:rsid w:val="00DA41F3"/>
    <w:rsid w:val="00DA469D"/>
    <w:rsid w:val="00DA59FF"/>
    <w:rsid w:val="00DA6FE3"/>
    <w:rsid w:val="00DA75D9"/>
    <w:rsid w:val="00DB4E21"/>
    <w:rsid w:val="00DB50C5"/>
    <w:rsid w:val="00DB51C3"/>
    <w:rsid w:val="00DB7973"/>
    <w:rsid w:val="00DC0F6C"/>
    <w:rsid w:val="00DC43AF"/>
    <w:rsid w:val="00DC56C3"/>
    <w:rsid w:val="00DC5A91"/>
    <w:rsid w:val="00DD3147"/>
    <w:rsid w:val="00DD6097"/>
    <w:rsid w:val="00DE2ED1"/>
    <w:rsid w:val="00DE4F4F"/>
    <w:rsid w:val="00DE7269"/>
    <w:rsid w:val="00DE7E6B"/>
    <w:rsid w:val="00DF3BD7"/>
    <w:rsid w:val="00DF48C0"/>
    <w:rsid w:val="00DF6FE8"/>
    <w:rsid w:val="00E002A4"/>
    <w:rsid w:val="00E01A41"/>
    <w:rsid w:val="00E045CD"/>
    <w:rsid w:val="00E05E44"/>
    <w:rsid w:val="00E11293"/>
    <w:rsid w:val="00E15242"/>
    <w:rsid w:val="00E20580"/>
    <w:rsid w:val="00E21B1D"/>
    <w:rsid w:val="00E21D13"/>
    <w:rsid w:val="00E22AF0"/>
    <w:rsid w:val="00E23613"/>
    <w:rsid w:val="00E24131"/>
    <w:rsid w:val="00E255F9"/>
    <w:rsid w:val="00E26DE8"/>
    <w:rsid w:val="00E317A4"/>
    <w:rsid w:val="00E3247D"/>
    <w:rsid w:val="00E37645"/>
    <w:rsid w:val="00E43A0F"/>
    <w:rsid w:val="00E460F4"/>
    <w:rsid w:val="00E46C13"/>
    <w:rsid w:val="00E54378"/>
    <w:rsid w:val="00E5703E"/>
    <w:rsid w:val="00E57848"/>
    <w:rsid w:val="00E60D3D"/>
    <w:rsid w:val="00E60EAC"/>
    <w:rsid w:val="00E62B32"/>
    <w:rsid w:val="00E63AFF"/>
    <w:rsid w:val="00E645E3"/>
    <w:rsid w:val="00E65B85"/>
    <w:rsid w:val="00E707BB"/>
    <w:rsid w:val="00E71A36"/>
    <w:rsid w:val="00E903BD"/>
    <w:rsid w:val="00E92F40"/>
    <w:rsid w:val="00E93730"/>
    <w:rsid w:val="00E94352"/>
    <w:rsid w:val="00E94FF8"/>
    <w:rsid w:val="00EA36D1"/>
    <w:rsid w:val="00EA44E5"/>
    <w:rsid w:val="00EA7FB9"/>
    <w:rsid w:val="00EB0682"/>
    <w:rsid w:val="00EB1F29"/>
    <w:rsid w:val="00EB31F0"/>
    <w:rsid w:val="00EC284F"/>
    <w:rsid w:val="00EC299F"/>
    <w:rsid w:val="00EC313D"/>
    <w:rsid w:val="00EC3AB8"/>
    <w:rsid w:val="00ED44D7"/>
    <w:rsid w:val="00ED5EA4"/>
    <w:rsid w:val="00ED6521"/>
    <w:rsid w:val="00ED6D10"/>
    <w:rsid w:val="00EE20BD"/>
    <w:rsid w:val="00EE47AC"/>
    <w:rsid w:val="00EE52F3"/>
    <w:rsid w:val="00EE6BE1"/>
    <w:rsid w:val="00EE7360"/>
    <w:rsid w:val="00EF3BBB"/>
    <w:rsid w:val="00EF6C2C"/>
    <w:rsid w:val="00F000F7"/>
    <w:rsid w:val="00F00BC8"/>
    <w:rsid w:val="00F0320E"/>
    <w:rsid w:val="00F03DA0"/>
    <w:rsid w:val="00F0705D"/>
    <w:rsid w:val="00F0766E"/>
    <w:rsid w:val="00F10AC4"/>
    <w:rsid w:val="00F12CE0"/>
    <w:rsid w:val="00F23968"/>
    <w:rsid w:val="00F24320"/>
    <w:rsid w:val="00F24A0A"/>
    <w:rsid w:val="00F27DAC"/>
    <w:rsid w:val="00F32B8F"/>
    <w:rsid w:val="00F368C2"/>
    <w:rsid w:val="00F37F3C"/>
    <w:rsid w:val="00F40FB6"/>
    <w:rsid w:val="00F42FA6"/>
    <w:rsid w:val="00F43F35"/>
    <w:rsid w:val="00F44A2F"/>
    <w:rsid w:val="00F46B7B"/>
    <w:rsid w:val="00F47AC4"/>
    <w:rsid w:val="00F51338"/>
    <w:rsid w:val="00F51D2D"/>
    <w:rsid w:val="00F55DC6"/>
    <w:rsid w:val="00F57D1C"/>
    <w:rsid w:val="00F607DA"/>
    <w:rsid w:val="00F62561"/>
    <w:rsid w:val="00F62ABC"/>
    <w:rsid w:val="00F70439"/>
    <w:rsid w:val="00F711DA"/>
    <w:rsid w:val="00F751CC"/>
    <w:rsid w:val="00F80AF9"/>
    <w:rsid w:val="00F85949"/>
    <w:rsid w:val="00F90290"/>
    <w:rsid w:val="00F9099D"/>
    <w:rsid w:val="00F90A7F"/>
    <w:rsid w:val="00F9573B"/>
    <w:rsid w:val="00F95A8A"/>
    <w:rsid w:val="00F97AEF"/>
    <w:rsid w:val="00FA5BDF"/>
    <w:rsid w:val="00FB11DE"/>
    <w:rsid w:val="00FB36B7"/>
    <w:rsid w:val="00FB3C88"/>
    <w:rsid w:val="00FB429F"/>
    <w:rsid w:val="00FB5513"/>
    <w:rsid w:val="00FC0507"/>
    <w:rsid w:val="00FC15FA"/>
    <w:rsid w:val="00FC49BE"/>
    <w:rsid w:val="00FC600E"/>
    <w:rsid w:val="00FD3EE9"/>
    <w:rsid w:val="00FE113E"/>
    <w:rsid w:val="00FE133C"/>
    <w:rsid w:val="00FE3AC4"/>
    <w:rsid w:val="00FE63AE"/>
    <w:rsid w:val="00FE7837"/>
    <w:rsid w:val="00FE7DA3"/>
    <w:rsid w:val="00FF0862"/>
    <w:rsid w:val="00FF0914"/>
    <w:rsid w:val="00FF4E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0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04BEB"/>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197"/>
    <w:pPr>
      <w:ind w:left="720"/>
      <w:contextualSpacing/>
    </w:pPr>
  </w:style>
  <w:style w:type="character" w:styleId="CommentReference">
    <w:name w:val="annotation reference"/>
    <w:basedOn w:val="DefaultParagraphFont"/>
    <w:uiPriority w:val="99"/>
    <w:semiHidden/>
    <w:unhideWhenUsed/>
    <w:rsid w:val="00E460F4"/>
    <w:rPr>
      <w:sz w:val="16"/>
      <w:szCs w:val="16"/>
    </w:rPr>
  </w:style>
  <w:style w:type="paragraph" w:styleId="CommentText">
    <w:name w:val="annotation text"/>
    <w:basedOn w:val="Normal"/>
    <w:link w:val="CommentTextChar"/>
    <w:uiPriority w:val="99"/>
    <w:semiHidden/>
    <w:unhideWhenUsed/>
    <w:rsid w:val="00E460F4"/>
    <w:rPr>
      <w:sz w:val="20"/>
      <w:szCs w:val="20"/>
    </w:rPr>
  </w:style>
  <w:style w:type="character" w:customStyle="1" w:styleId="CommentTextChar">
    <w:name w:val="Comment Text Char"/>
    <w:basedOn w:val="DefaultParagraphFont"/>
    <w:link w:val="CommentText"/>
    <w:uiPriority w:val="99"/>
    <w:semiHidden/>
    <w:rsid w:val="00E460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0F4"/>
    <w:rPr>
      <w:b/>
      <w:bCs/>
    </w:rPr>
  </w:style>
  <w:style w:type="character" w:customStyle="1" w:styleId="CommentSubjectChar">
    <w:name w:val="Comment Subject Char"/>
    <w:basedOn w:val="CommentTextChar"/>
    <w:link w:val="CommentSubject"/>
    <w:uiPriority w:val="99"/>
    <w:semiHidden/>
    <w:rsid w:val="00E460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60F4"/>
    <w:rPr>
      <w:rFonts w:ascii="Tahoma" w:hAnsi="Tahoma" w:cs="Tahoma"/>
      <w:sz w:val="16"/>
      <w:szCs w:val="16"/>
    </w:rPr>
  </w:style>
  <w:style w:type="character" w:customStyle="1" w:styleId="BalloonTextChar">
    <w:name w:val="Balloon Text Char"/>
    <w:basedOn w:val="DefaultParagraphFont"/>
    <w:link w:val="BalloonText"/>
    <w:uiPriority w:val="99"/>
    <w:semiHidden/>
    <w:rsid w:val="00E460F4"/>
    <w:rPr>
      <w:rFonts w:ascii="Tahoma" w:eastAsia="Times New Roman" w:hAnsi="Tahoma" w:cs="Tahoma"/>
      <w:sz w:val="16"/>
      <w:szCs w:val="16"/>
    </w:rPr>
  </w:style>
  <w:style w:type="paragraph" w:customStyle="1" w:styleId="BodyText1">
    <w:name w:val="Body Text1"/>
    <w:basedOn w:val="Normal"/>
    <w:link w:val="bodytextChar"/>
    <w:rsid w:val="00E460F4"/>
    <w:pPr>
      <w:spacing w:after="240" w:line="300" w:lineRule="exact"/>
      <w:ind w:firstLine="720"/>
    </w:pPr>
    <w:rPr>
      <w:sz w:val="22"/>
      <w:szCs w:val="20"/>
    </w:rPr>
  </w:style>
  <w:style w:type="character" w:customStyle="1" w:styleId="bodytextChar">
    <w:name w:val="body text Char"/>
    <w:aliases w:val="bt Char"/>
    <w:link w:val="BodyText1"/>
    <w:rsid w:val="00E460F4"/>
    <w:rPr>
      <w:rFonts w:ascii="Times New Roman" w:eastAsia="Times New Roman" w:hAnsi="Times New Roman" w:cs="Times New Roman"/>
      <w:szCs w:val="20"/>
    </w:rPr>
  </w:style>
  <w:style w:type="character" w:customStyle="1" w:styleId="Heading2Char">
    <w:name w:val="Heading 2 Char"/>
    <w:basedOn w:val="DefaultParagraphFont"/>
    <w:link w:val="Heading2"/>
    <w:rsid w:val="00604BEB"/>
    <w:rPr>
      <w:rFonts w:ascii="Times New Roman" w:eastAsia="Times New Roman" w:hAnsi="Times New Roman" w:cs="Arial"/>
      <w:b/>
      <w:bCs/>
      <w:iCs/>
      <w:sz w:val="24"/>
      <w:szCs w:val="28"/>
    </w:rPr>
  </w:style>
  <w:style w:type="paragraph" w:customStyle="1" w:styleId="BodyText2">
    <w:name w:val="Body Text2"/>
    <w:aliases w:val="bt,body tx,indent,flush + First line:  0&quot;,flush"/>
    <w:basedOn w:val="Normal"/>
    <w:rsid w:val="00B37916"/>
    <w:pPr>
      <w:spacing w:after="120" w:line="360" w:lineRule="auto"/>
      <w:ind w:firstLine="720"/>
    </w:pPr>
    <w:rPr>
      <w:szCs w:val="20"/>
    </w:rPr>
  </w:style>
  <w:style w:type="character" w:styleId="Hyperlink">
    <w:name w:val="Hyperlink"/>
    <w:basedOn w:val="DefaultParagraphFont"/>
    <w:rsid w:val="001D19F7"/>
    <w:rPr>
      <w:color w:val="0000FF"/>
      <w:u w:val="single"/>
    </w:rPr>
  </w:style>
  <w:style w:type="character" w:customStyle="1" w:styleId="Heading1Char">
    <w:name w:val="Heading 1 Char"/>
    <w:basedOn w:val="DefaultParagraphFont"/>
    <w:link w:val="Heading1"/>
    <w:uiPriority w:val="9"/>
    <w:rsid w:val="00F00BC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74B7"/>
    <w:pPr>
      <w:tabs>
        <w:tab w:val="center" w:pos="4680"/>
        <w:tab w:val="right" w:pos="9360"/>
      </w:tabs>
    </w:pPr>
  </w:style>
  <w:style w:type="character" w:customStyle="1" w:styleId="HeaderChar">
    <w:name w:val="Header Char"/>
    <w:basedOn w:val="DefaultParagraphFont"/>
    <w:link w:val="Header"/>
    <w:uiPriority w:val="99"/>
    <w:rsid w:val="009174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74B7"/>
    <w:pPr>
      <w:tabs>
        <w:tab w:val="center" w:pos="4680"/>
        <w:tab w:val="right" w:pos="9360"/>
      </w:tabs>
    </w:pPr>
  </w:style>
  <w:style w:type="character" w:customStyle="1" w:styleId="FooterChar">
    <w:name w:val="Footer Char"/>
    <w:basedOn w:val="DefaultParagraphFont"/>
    <w:link w:val="Footer"/>
    <w:uiPriority w:val="99"/>
    <w:rsid w:val="009174B7"/>
    <w:rPr>
      <w:rFonts w:ascii="Times New Roman" w:eastAsia="Times New Roman" w:hAnsi="Times New Roman" w:cs="Times New Roman"/>
      <w:sz w:val="24"/>
      <w:szCs w:val="24"/>
    </w:rPr>
  </w:style>
  <w:style w:type="table" w:styleId="TableGrid">
    <w:name w:val="Table Grid"/>
    <w:basedOn w:val="TableNormal"/>
    <w:uiPriority w:val="59"/>
    <w:rsid w:val="004C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EE47AC"/>
    <w:pPr>
      <w:spacing w:line="200" w:lineRule="exact"/>
    </w:pPr>
    <w:rPr>
      <w:sz w:val="20"/>
      <w:szCs w:val="20"/>
    </w:rPr>
  </w:style>
  <w:style w:type="character" w:styleId="FollowedHyperlink">
    <w:name w:val="FollowedHyperlink"/>
    <w:basedOn w:val="DefaultParagraphFont"/>
    <w:uiPriority w:val="99"/>
    <w:semiHidden/>
    <w:unhideWhenUsed/>
    <w:rsid w:val="00384602"/>
    <w:rPr>
      <w:color w:val="800080" w:themeColor="followedHyperlink"/>
      <w:u w:val="single"/>
    </w:rPr>
  </w:style>
  <w:style w:type="table" w:styleId="LightShading">
    <w:name w:val="Light Shading"/>
    <w:basedOn w:val="TableNormal"/>
    <w:uiPriority w:val="60"/>
    <w:rsid w:val="00BD5D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BD5D8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A6">
    <w:name w:val="A6"/>
    <w:basedOn w:val="DefaultParagraphFont"/>
    <w:uiPriority w:val="99"/>
    <w:rsid w:val="00AF22E6"/>
    <w:rPr>
      <w:rFonts w:ascii="Shannon Book" w:hAnsi="Shannon Book" w:hint="default"/>
      <w:color w:val="6F3996"/>
    </w:rPr>
  </w:style>
  <w:style w:type="character" w:customStyle="1" w:styleId="A21">
    <w:name w:val="A2+1"/>
    <w:basedOn w:val="DefaultParagraphFont"/>
    <w:uiPriority w:val="99"/>
    <w:rsid w:val="00AF22E6"/>
    <w:rPr>
      <w:rFonts w:ascii="Shannon Book" w:hAnsi="Shannon Book" w:hint="default"/>
      <w:color w:val="6F3996"/>
    </w:rPr>
  </w:style>
  <w:style w:type="paragraph" w:styleId="Revision">
    <w:name w:val="Revision"/>
    <w:hidden/>
    <w:uiPriority w:val="99"/>
    <w:semiHidden/>
    <w:rsid w:val="00512D70"/>
    <w:pPr>
      <w:spacing w:after="0" w:line="240" w:lineRule="auto"/>
    </w:pPr>
    <w:rPr>
      <w:rFonts w:ascii="Times New Roman" w:eastAsia="Times New Roman" w:hAnsi="Times New Roman" w:cs="Times New Roman"/>
      <w:sz w:val="24"/>
      <w:szCs w:val="24"/>
    </w:rPr>
  </w:style>
  <w:style w:type="table" w:styleId="LightShading-Accent1">
    <w:name w:val="Light Shading Accent 1"/>
    <w:basedOn w:val="TableNormal"/>
    <w:uiPriority w:val="60"/>
    <w:rsid w:val="003E0481"/>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BB2334"/>
    <w:pPr>
      <w:spacing w:after="0" w:line="240" w:lineRule="auto"/>
    </w:pPr>
    <w:rPr>
      <w:rFonts w:eastAsiaTheme="minorEastAsia"/>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Spacing">
    <w:name w:val="No Spacing"/>
    <w:uiPriority w:val="1"/>
    <w:qFormat/>
    <w:rsid w:val="00FE63AE"/>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0B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04BEB"/>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197"/>
    <w:pPr>
      <w:ind w:left="720"/>
      <w:contextualSpacing/>
    </w:pPr>
  </w:style>
  <w:style w:type="character" w:styleId="CommentReference">
    <w:name w:val="annotation reference"/>
    <w:basedOn w:val="DefaultParagraphFont"/>
    <w:uiPriority w:val="99"/>
    <w:semiHidden/>
    <w:unhideWhenUsed/>
    <w:rsid w:val="00E460F4"/>
    <w:rPr>
      <w:sz w:val="16"/>
      <w:szCs w:val="16"/>
    </w:rPr>
  </w:style>
  <w:style w:type="paragraph" w:styleId="CommentText">
    <w:name w:val="annotation text"/>
    <w:basedOn w:val="Normal"/>
    <w:link w:val="CommentTextChar"/>
    <w:uiPriority w:val="99"/>
    <w:semiHidden/>
    <w:unhideWhenUsed/>
    <w:rsid w:val="00E460F4"/>
    <w:rPr>
      <w:sz w:val="20"/>
      <w:szCs w:val="20"/>
    </w:rPr>
  </w:style>
  <w:style w:type="character" w:customStyle="1" w:styleId="CommentTextChar">
    <w:name w:val="Comment Text Char"/>
    <w:basedOn w:val="DefaultParagraphFont"/>
    <w:link w:val="CommentText"/>
    <w:uiPriority w:val="99"/>
    <w:semiHidden/>
    <w:rsid w:val="00E460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0F4"/>
    <w:rPr>
      <w:b/>
      <w:bCs/>
    </w:rPr>
  </w:style>
  <w:style w:type="character" w:customStyle="1" w:styleId="CommentSubjectChar">
    <w:name w:val="Comment Subject Char"/>
    <w:basedOn w:val="CommentTextChar"/>
    <w:link w:val="CommentSubject"/>
    <w:uiPriority w:val="99"/>
    <w:semiHidden/>
    <w:rsid w:val="00E460F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60F4"/>
    <w:rPr>
      <w:rFonts w:ascii="Tahoma" w:hAnsi="Tahoma" w:cs="Tahoma"/>
      <w:sz w:val="16"/>
      <w:szCs w:val="16"/>
    </w:rPr>
  </w:style>
  <w:style w:type="character" w:customStyle="1" w:styleId="BalloonTextChar">
    <w:name w:val="Balloon Text Char"/>
    <w:basedOn w:val="DefaultParagraphFont"/>
    <w:link w:val="BalloonText"/>
    <w:uiPriority w:val="99"/>
    <w:semiHidden/>
    <w:rsid w:val="00E460F4"/>
    <w:rPr>
      <w:rFonts w:ascii="Tahoma" w:eastAsia="Times New Roman" w:hAnsi="Tahoma" w:cs="Tahoma"/>
      <w:sz w:val="16"/>
      <w:szCs w:val="16"/>
    </w:rPr>
  </w:style>
  <w:style w:type="paragraph" w:customStyle="1" w:styleId="BodyText1">
    <w:name w:val="Body Text1"/>
    <w:basedOn w:val="Normal"/>
    <w:link w:val="bodytextChar"/>
    <w:rsid w:val="00E460F4"/>
    <w:pPr>
      <w:spacing w:after="240" w:line="300" w:lineRule="exact"/>
      <w:ind w:firstLine="720"/>
    </w:pPr>
    <w:rPr>
      <w:sz w:val="22"/>
      <w:szCs w:val="20"/>
      <w:lang w:val="x-none" w:eastAsia="x-none"/>
    </w:rPr>
  </w:style>
  <w:style w:type="character" w:customStyle="1" w:styleId="bodytextChar">
    <w:name w:val="body text Char"/>
    <w:aliases w:val="bt Char"/>
    <w:link w:val="BodyText1"/>
    <w:rsid w:val="00E460F4"/>
    <w:rPr>
      <w:rFonts w:ascii="Times New Roman" w:eastAsia="Times New Roman" w:hAnsi="Times New Roman" w:cs="Times New Roman"/>
      <w:szCs w:val="20"/>
      <w:lang w:val="x-none" w:eastAsia="x-none"/>
    </w:rPr>
  </w:style>
  <w:style w:type="character" w:customStyle="1" w:styleId="Heading2Char">
    <w:name w:val="Heading 2 Char"/>
    <w:basedOn w:val="DefaultParagraphFont"/>
    <w:link w:val="Heading2"/>
    <w:rsid w:val="00604BEB"/>
    <w:rPr>
      <w:rFonts w:ascii="Times New Roman" w:eastAsia="Times New Roman" w:hAnsi="Times New Roman" w:cs="Arial"/>
      <w:b/>
      <w:bCs/>
      <w:iCs/>
      <w:sz w:val="24"/>
      <w:szCs w:val="28"/>
    </w:rPr>
  </w:style>
  <w:style w:type="paragraph" w:customStyle="1" w:styleId="BodyText2">
    <w:name w:val="Body Text2"/>
    <w:aliases w:val="bt,body tx,indent,flush + First line:  0&quot;,flush"/>
    <w:basedOn w:val="Normal"/>
    <w:rsid w:val="00B37916"/>
    <w:pPr>
      <w:spacing w:after="120" w:line="360" w:lineRule="auto"/>
      <w:ind w:firstLine="720"/>
    </w:pPr>
    <w:rPr>
      <w:szCs w:val="20"/>
    </w:rPr>
  </w:style>
  <w:style w:type="character" w:styleId="Hyperlink">
    <w:name w:val="Hyperlink"/>
    <w:basedOn w:val="DefaultParagraphFont"/>
    <w:rsid w:val="001D19F7"/>
    <w:rPr>
      <w:color w:val="0000FF"/>
      <w:u w:val="single"/>
    </w:rPr>
  </w:style>
  <w:style w:type="character" w:customStyle="1" w:styleId="Heading1Char">
    <w:name w:val="Heading 1 Char"/>
    <w:basedOn w:val="DefaultParagraphFont"/>
    <w:link w:val="Heading1"/>
    <w:uiPriority w:val="9"/>
    <w:rsid w:val="00F00BC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74B7"/>
    <w:pPr>
      <w:tabs>
        <w:tab w:val="center" w:pos="4680"/>
        <w:tab w:val="right" w:pos="9360"/>
      </w:tabs>
    </w:pPr>
  </w:style>
  <w:style w:type="character" w:customStyle="1" w:styleId="HeaderChar">
    <w:name w:val="Header Char"/>
    <w:basedOn w:val="DefaultParagraphFont"/>
    <w:link w:val="Header"/>
    <w:uiPriority w:val="99"/>
    <w:rsid w:val="009174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74B7"/>
    <w:pPr>
      <w:tabs>
        <w:tab w:val="center" w:pos="4680"/>
        <w:tab w:val="right" w:pos="9360"/>
      </w:tabs>
    </w:pPr>
  </w:style>
  <w:style w:type="character" w:customStyle="1" w:styleId="FooterChar">
    <w:name w:val="Footer Char"/>
    <w:basedOn w:val="DefaultParagraphFont"/>
    <w:link w:val="Footer"/>
    <w:uiPriority w:val="99"/>
    <w:rsid w:val="009174B7"/>
    <w:rPr>
      <w:rFonts w:ascii="Times New Roman" w:eastAsia="Times New Roman" w:hAnsi="Times New Roman" w:cs="Times New Roman"/>
      <w:sz w:val="24"/>
      <w:szCs w:val="24"/>
    </w:rPr>
  </w:style>
  <w:style w:type="table" w:styleId="TableGrid">
    <w:name w:val="Table Grid"/>
    <w:basedOn w:val="TableNormal"/>
    <w:uiPriority w:val="59"/>
    <w:rsid w:val="004C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EE47AC"/>
    <w:pPr>
      <w:spacing w:line="200" w:lineRule="exact"/>
    </w:pPr>
    <w:rPr>
      <w:sz w:val="20"/>
      <w:szCs w:val="20"/>
    </w:rPr>
  </w:style>
  <w:style w:type="character" w:styleId="FollowedHyperlink">
    <w:name w:val="FollowedHyperlink"/>
    <w:basedOn w:val="DefaultParagraphFont"/>
    <w:uiPriority w:val="99"/>
    <w:semiHidden/>
    <w:unhideWhenUsed/>
    <w:rsid w:val="00384602"/>
    <w:rPr>
      <w:color w:val="800080" w:themeColor="followedHyperlink"/>
      <w:u w:val="single"/>
    </w:rPr>
  </w:style>
  <w:style w:type="table" w:styleId="LightShading">
    <w:name w:val="Light Shading"/>
    <w:basedOn w:val="TableNormal"/>
    <w:uiPriority w:val="60"/>
    <w:rsid w:val="00BD5D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BD5D8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A6">
    <w:name w:val="A6"/>
    <w:basedOn w:val="DefaultParagraphFont"/>
    <w:uiPriority w:val="99"/>
    <w:rsid w:val="00AF22E6"/>
    <w:rPr>
      <w:rFonts w:ascii="Shannon Book" w:hAnsi="Shannon Book" w:hint="default"/>
      <w:color w:val="6F3996"/>
    </w:rPr>
  </w:style>
  <w:style w:type="character" w:customStyle="1" w:styleId="A21">
    <w:name w:val="A2+1"/>
    <w:basedOn w:val="DefaultParagraphFont"/>
    <w:uiPriority w:val="99"/>
    <w:rsid w:val="00AF22E6"/>
    <w:rPr>
      <w:rFonts w:ascii="Shannon Book" w:hAnsi="Shannon Book" w:hint="default"/>
      <w:color w:val="6F3996"/>
    </w:rPr>
  </w:style>
  <w:style w:type="paragraph" w:styleId="Revision">
    <w:name w:val="Revision"/>
    <w:hidden/>
    <w:uiPriority w:val="99"/>
    <w:semiHidden/>
    <w:rsid w:val="00512D70"/>
    <w:pPr>
      <w:spacing w:after="0" w:line="240" w:lineRule="auto"/>
    </w:pPr>
    <w:rPr>
      <w:rFonts w:ascii="Times New Roman" w:eastAsia="Times New Roman" w:hAnsi="Times New Roman" w:cs="Times New Roman"/>
      <w:sz w:val="24"/>
      <w:szCs w:val="24"/>
    </w:rPr>
  </w:style>
  <w:style w:type="table" w:styleId="LightShading-Accent1">
    <w:name w:val="Light Shading Accent 1"/>
    <w:basedOn w:val="TableNormal"/>
    <w:uiPriority w:val="60"/>
    <w:rsid w:val="003E0481"/>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rsid w:val="00BB2334"/>
    <w:pPr>
      <w:spacing w:after="0" w:line="240" w:lineRule="auto"/>
    </w:pPr>
    <w:rPr>
      <w:rFonts w:eastAsiaTheme="minorEastAsia"/>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Spacing">
    <w:name w:val="No Spacing"/>
    <w:uiPriority w:val="1"/>
    <w:qFormat/>
    <w:rsid w:val="00FE63AE"/>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43064228">
      <w:bodyDiv w:val="1"/>
      <w:marLeft w:val="0"/>
      <w:marRight w:val="0"/>
      <w:marTop w:val="0"/>
      <w:marBottom w:val="450"/>
      <w:divBdr>
        <w:top w:val="none" w:sz="0" w:space="0" w:color="auto"/>
        <w:left w:val="none" w:sz="0" w:space="0" w:color="auto"/>
        <w:bottom w:val="none" w:sz="0" w:space="0" w:color="auto"/>
        <w:right w:val="none" w:sz="0" w:space="0" w:color="auto"/>
      </w:divBdr>
      <w:divsChild>
        <w:div w:id="460422720">
          <w:marLeft w:val="0"/>
          <w:marRight w:val="0"/>
          <w:marTop w:val="0"/>
          <w:marBottom w:val="0"/>
          <w:divBdr>
            <w:top w:val="none" w:sz="0" w:space="0" w:color="auto"/>
            <w:left w:val="none" w:sz="0" w:space="0" w:color="auto"/>
            <w:bottom w:val="none" w:sz="0" w:space="0" w:color="auto"/>
            <w:right w:val="none" w:sz="0" w:space="0" w:color="auto"/>
          </w:divBdr>
          <w:divsChild>
            <w:div w:id="775442041">
              <w:marLeft w:val="0"/>
              <w:marRight w:val="0"/>
              <w:marTop w:val="0"/>
              <w:marBottom w:val="0"/>
              <w:divBdr>
                <w:top w:val="none" w:sz="0" w:space="0" w:color="auto"/>
                <w:left w:val="none" w:sz="0" w:space="0" w:color="auto"/>
                <w:bottom w:val="none" w:sz="0" w:space="0" w:color="auto"/>
                <w:right w:val="none" w:sz="0" w:space="0" w:color="auto"/>
              </w:divBdr>
              <w:divsChild>
                <w:div w:id="2124882968">
                  <w:marLeft w:val="0"/>
                  <w:marRight w:val="0"/>
                  <w:marTop w:val="165"/>
                  <w:marBottom w:val="0"/>
                  <w:divBdr>
                    <w:top w:val="none" w:sz="0" w:space="0" w:color="auto"/>
                    <w:left w:val="none" w:sz="0" w:space="0" w:color="auto"/>
                    <w:bottom w:val="none" w:sz="0" w:space="0" w:color="auto"/>
                    <w:right w:val="none" w:sz="0" w:space="0" w:color="auto"/>
                  </w:divBdr>
                  <w:divsChild>
                    <w:div w:id="1434856764">
                      <w:marLeft w:val="0"/>
                      <w:marRight w:val="0"/>
                      <w:marTop w:val="0"/>
                      <w:marBottom w:val="0"/>
                      <w:divBdr>
                        <w:top w:val="none" w:sz="0" w:space="0" w:color="auto"/>
                        <w:left w:val="none" w:sz="0" w:space="0" w:color="auto"/>
                        <w:bottom w:val="none" w:sz="0" w:space="0" w:color="auto"/>
                        <w:right w:val="none" w:sz="0" w:space="0" w:color="auto"/>
                      </w:divBdr>
                      <w:divsChild>
                        <w:div w:id="1371607237">
                          <w:marLeft w:val="0"/>
                          <w:marRight w:val="0"/>
                          <w:marTop w:val="0"/>
                          <w:marBottom w:val="0"/>
                          <w:divBdr>
                            <w:top w:val="none" w:sz="0" w:space="0" w:color="auto"/>
                            <w:left w:val="none" w:sz="0" w:space="0" w:color="auto"/>
                            <w:bottom w:val="none" w:sz="0" w:space="0" w:color="auto"/>
                            <w:right w:val="none" w:sz="0" w:space="0" w:color="auto"/>
                          </w:divBdr>
                          <w:divsChild>
                            <w:div w:id="1213272461">
                              <w:marLeft w:val="3600"/>
                              <w:marRight w:val="0"/>
                              <w:marTop w:val="0"/>
                              <w:marBottom w:val="0"/>
                              <w:divBdr>
                                <w:top w:val="none" w:sz="0" w:space="0" w:color="auto"/>
                                <w:left w:val="none" w:sz="0" w:space="0" w:color="auto"/>
                                <w:bottom w:val="none" w:sz="0" w:space="0" w:color="auto"/>
                                <w:right w:val="none" w:sz="0" w:space="0" w:color="auto"/>
                              </w:divBdr>
                              <w:divsChild>
                                <w:div w:id="19991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355270">
      <w:bodyDiv w:val="1"/>
      <w:marLeft w:val="0"/>
      <w:marRight w:val="0"/>
      <w:marTop w:val="0"/>
      <w:marBottom w:val="0"/>
      <w:divBdr>
        <w:top w:val="none" w:sz="0" w:space="0" w:color="auto"/>
        <w:left w:val="none" w:sz="0" w:space="0" w:color="auto"/>
        <w:bottom w:val="none" w:sz="0" w:space="0" w:color="auto"/>
        <w:right w:val="none" w:sz="0" w:space="0" w:color="auto"/>
      </w:divBdr>
    </w:div>
    <w:div w:id="326322593">
      <w:bodyDiv w:val="1"/>
      <w:marLeft w:val="0"/>
      <w:marRight w:val="0"/>
      <w:marTop w:val="0"/>
      <w:marBottom w:val="0"/>
      <w:divBdr>
        <w:top w:val="none" w:sz="0" w:space="0" w:color="auto"/>
        <w:left w:val="none" w:sz="0" w:space="0" w:color="auto"/>
        <w:bottom w:val="none" w:sz="0" w:space="0" w:color="auto"/>
        <w:right w:val="none" w:sz="0" w:space="0" w:color="auto"/>
      </w:divBdr>
    </w:div>
    <w:div w:id="476530295">
      <w:bodyDiv w:val="1"/>
      <w:marLeft w:val="0"/>
      <w:marRight w:val="0"/>
      <w:marTop w:val="0"/>
      <w:marBottom w:val="0"/>
      <w:divBdr>
        <w:top w:val="none" w:sz="0" w:space="0" w:color="auto"/>
        <w:left w:val="none" w:sz="0" w:space="0" w:color="auto"/>
        <w:bottom w:val="none" w:sz="0" w:space="0" w:color="auto"/>
        <w:right w:val="none" w:sz="0" w:space="0" w:color="auto"/>
      </w:divBdr>
    </w:div>
    <w:div w:id="573079277">
      <w:bodyDiv w:val="1"/>
      <w:marLeft w:val="0"/>
      <w:marRight w:val="0"/>
      <w:marTop w:val="0"/>
      <w:marBottom w:val="450"/>
      <w:divBdr>
        <w:top w:val="none" w:sz="0" w:space="0" w:color="auto"/>
        <w:left w:val="none" w:sz="0" w:space="0" w:color="auto"/>
        <w:bottom w:val="none" w:sz="0" w:space="0" w:color="auto"/>
        <w:right w:val="none" w:sz="0" w:space="0" w:color="auto"/>
      </w:divBdr>
      <w:divsChild>
        <w:div w:id="1977056496">
          <w:marLeft w:val="0"/>
          <w:marRight w:val="0"/>
          <w:marTop w:val="0"/>
          <w:marBottom w:val="0"/>
          <w:divBdr>
            <w:top w:val="none" w:sz="0" w:space="0" w:color="auto"/>
            <w:left w:val="none" w:sz="0" w:space="0" w:color="auto"/>
            <w:bottom w:val="none" w:sz="0" w:space="0" w:color="auto"/>
            <w:right w:val="none" w:sz="0" w:space="0" w:color="auto"/>
          </w:divBdr>
          <w:divsChild>
            <w:div w:id="506402424">
              <w:marLeft w:val="0"/>
              <w:marRight w:val="0"/>
              <w:marTop w:val="0"/>
              <w:marBottom w:val="0"/>
              <w:divBdr>
                <w:top w:val="none" w:sz="0" w:space="0" w:color="auto"/>
                <w:left w:val="none" w:sz="0" w:space="0" w:color="auto"/>
                <w:bottom w:val="none" w:sz="0" w:space="0" w:color="auto"/>
                <w:right w:val="none" w:sz="0" w:space="0" w:color="auto"/>
              </w:divBdr>
              <w:divsChild>
                <w:div w:id="1072200183">
                  <w:marLeft w:val="0"/>
                  <w:marRight w:val="0"/>
                  <w:marTop w:val="165"/>
                  <w:marBottom w:val="0"/>
                  <w:divBdr>
                    <w:top w:val="none" w:sz="0" w:space="0" w:color="auto"/>
                    <w:left w:val="none" w:sz="0" w:space="0" w:color="auto"/>
                    <w:bottom w:val="none" w:sz="0" w:space="0" w:color="auto"/>
                    <w:right w:val="none" w:sz="0" w:space="0" w:color="auto"/>
                  </w:divBdr>
                  <w:divsChild>
                    <w:div w:id="662701021">
                      <w:marLeft w:val="0"/>
                      <w:marRight w:val="0"/>
                      <w:marTop w:val="0"/>
                      <w:marBottom w:val="0"/>
                      <w:divBdr>
                        <w:top w:val="none" w:sz="0" w:space="0" w:color="auto"/>
                        <w:left w:val="none" w:sz="0" w:space="0" w:color="auto"/>
                        <w:bottom w:val="none" w:sz="0" w:space="0" w:color="auto"/>
                        <w:right w:val="none" w:sz="0" w:space="0" w:color="auto"/>
                      </w:divBdr>
                      <w:divsChild>
                        <w:div w:id="284891629">
                          <w:marLeft w:val="0"/>
                          <w:marRight w:val="0"/>
                          <w:marTop w:val="0"/>
                          <w:marBottom w:val="0"/>
                          <w:divBdr>
                            <w:top w:val="none" w:sz="0" w:space="0" w:color="auto"/>
                            <w:left w:val="none" w:sz="0" w:space="0" w:color="auto"/>
                            <w:bottom w:val="none" w:sz="0" w:space="0" w:color="auto"/>
                            <w:right w:val="none" w:sz="0" w:space="0" w:color="auto"/>
                          </w:divBdr>
                          <w:divsChild>
                            <w:div w:id="396561619">
                              <w:marLeft w:val="3600"/>
                              <w:marRight w:val="0"/>
                              <w:marTop w:val="0"/>
                              <w:marBottom w:val="0"/>
                              <w:divBdr>
                                <w:top w:val="none" w:sz="0" w:space="0" w:color="auto"/>
                                <w:left w:val="none" w:sz="0" w:space="0" w:color="auto"/>
                                <w:bottom w:val="none" w:sz="0" w:space="0" w:color="auto"/>
                                <w:right w:val="none" w:sz="0" w:space="0" w:color="auto"/>
                              </w:divBdr>
                              <w:divsChild>
                                <w:div w:id="4595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474033">
      <w:bodyDiv w:val="1"/>
      <w:marLeft w:val="0"/>
      <w:marRight w:val="0"/>
      <w:marTop w:val="0"/>
      <w:marBottom w:val="0"/>
      <w:divBdr>
        <w:top w:val="none" w:sz="0" w:space="0" w:color="auto"/>
        <w:left w:val="none" w:sz="0" w:space="0" w:color="auto"/>
        <w:bottom w:val="none" w:sz="0" w:space="0" w:color="auto"/>
        <w:right w:val="none" w:sz="0" w:space="0" w:color="auto"/>
      </w:divBdr>
    </w:div>
    <w:div w:id="692462553">
      <w:bodyDiv w:val="1"/>
      <w:marLeft w:val="0"/>
      <w:marRight w:val="0"/>
      <w:marTop w:val="0"/>
      <w:marBottom w:val="0"/>
      <w:divBdr>
        <w:top w:val="none" w:sz="0" w:space="0" w:color="auto"/>
        <w:left w:val="none" w:sz="0" w:space="0" w:color="auto"/>
        <w:bottom w:val="none" w:sz="0" w:space="0" w:color="auto"/>
        <w:right w:val="none" w:sz="0" w:space="0" w:color="auto"/>
      </w:divBdr>
    </w:div>
    <w:div w:id="704646381">
      <w:bodyDiv w:val="1"/>
      <w:marLeft w:val="0"/>
      <w:marRight w:val="0"/>
      <w:marTop w:val="0"/>
      <w:marBottom w:val="0"/>
      <w:divBdr>
        <w:top w:val="none" w:sz="0" w:space="0" w:color="auto"/>
        <w:left w:val="none" w:sz="0" w:space="0" w:color="auto"/>
        <w:bottom w:val="none" w:sz="0" w:space="0" w:color="auto"/>
        <w:right w:val="none" w:sz="0" w:space="0" w:color="auto"/>
      </w:divBdr>
    </w:div>
    <w:div w:id="705449318">
      <w:bodyDiv w:val="1"/>
      <w:marLeft w:val="0"/>
      <w:marRight w:val="0"/>
      <w:marTop w:val="0"/>
      <w:marBottom w:val="0"/>
      <w:divBdr>
        <w:top w:val="none" w:sz="0" w:space="0" w:color="auto"/>
        <w:left w:val="none" w:sz="0" w:space="0" w:color="auto"/>
        <w:bottom w:val="none" w:sz="0" w:space="0" w:color="auto"/>
        <w:right w:val="none" w:sz="0" w:space="0" w:color="auto"/>
      </w:divBdr>
    </w:div>
    <w:div w:id="899246564">
      <w:bodyDiv w:val="1"/>
      <w:marLeft w:val="0"/>
      <w:marRight w:val="0"/>
      <w:marTop w:val="0"/>
      <w:marBottom w:val="0"/>
      <w:divBdr>
        <w:top w:val="none" w:sz="0" w:space="0" w:color="auto"/>
        <w:left w:val="none" w:sz="0" w:space="0" w:color="auto"/>
        <w:bottom w:val="none" w:sz="0" w:space="0" w:color="auto"/>
        <w:right w:val="none" w:sz="0" w:space="0" w:color="auto"/>
      </w:divBdr>
    </w:div>
    <w:div w:id="1001541868">
      <w:bodyDiv w:val="1"/>
      <w:marLeft w:val="0"/>
      <w:marRight w:val="0"/>
      <w:marTop w:val="0"/>
      <w:marBottom w:val="0"/>
      <w:divBdr>
        <w:top w:val="none" w:sz="0" w:space="0" w:color="auto"/>
        <w:left w:val="none" w:sz="0" w:space="0" w:color="auto"/>
        <w:bottom w:val="none" w:sz="0" w:space="0" w:color="auto"/>
        <w:right w:val="none" w:sz="0" w:space="0" w:color="auto"/>
      </w:divBdr>
    </w:div>
    <w:div w:id="1054351394">
      <w:bodyDiv w:val="1"/>
      <w:marLeft w:val="0"/>
      <w:marRight w:val="0"/>
      <w:marTop w:val="0"/>
      <w:marBottom w:val="0"/>
      <w:divBdr>
        <w:top w:val="none" w:sz="0" w:space="0" w:color="auto"/>
        <w:left w:val="none" w:sz="0" w:space="0" w:color="auto"/>
        <w:bottom w:val="none" w:sz="0" w:space="0" w:color="auto"/>
        <w:right w:val="none" w:sz="0" w:space="0" w:color="auto"/>
      </w:divBdr>
    </w:div>
    <w:div w:id="1098868457">
      <w:bodyDiv w:val="1"/>
      <w:marLeft w:val="0"/>
      <w:marRight w:val="0"/>
      <w:marTop w:val="0"/>
      <w:marBottom w:val="0"/>
      <w:divBdr>
        <w:top w:val="none" w:sz="0" w:space="0" w:color="auto"/>
        <w:left w:val="none" w:sz="0" w:space="0" w:color="auto"/>
        <w:bottom w:val="none" w:sz="0" w:space="0" w:color="auto"/>
        <w:right w:val="none" w:sz="0" w:space="0" w:color="auto"/>
      </w:divBdr>
    </w:div>
    <w:div w:id="1120882890">
      <w:bodyDiv w:val="1"/>
      <w:marLeft w:val="0"/>
      <w:marRight w:val="0"/>
      <w:marTop w:val="0"/>
      <w:marBottom w:val="0"/>
      <w:divBdr>
        <w:top w:val="none" w:sz="0" w:space="0" w:color="auto"/>
        <w:left w:val="none" w:sz="0" w:space="0" w:color="auto"/>
        <w:bottom w:val="none" w:sz="0" w:space="0" w:color="auto"/>
        <w:right w:val="none" w:sz="0" w:space="0" w:color="auto"/>
      </w:divBdr>
    </w:div>
    <w:div w:id="1124617697">
      <w:bodyDiv w:val="1"/>
      <w:marLeft w:val="0"/>
      <w:marRight w:val="0"/>
      <w:marTop w:val="0"/>
      <w:marBottom w:val="0"/>
      <w:divBdr>
        <w:top w:val="none" w:sz="0" w:space="0" w:color="auto"/>
        <w:left w:val="none" w:sz="0" w:space="0" w:color="auto"/>
        <w:bottom w:val="none" w:sz="0" w:space="0" w:color="auto"/>
        <w:right w:val="none" w:sz="0" w:space="0" w:color="auto"/>
      </w:divBdr>
      <w:divsChild>
        <w:div w:id="470708986">
          <w:marLeft w:val="0"/>
          <w:marRight w:val="0"/>
          <w:marTop w:val="0"/>
          <w:marBottom w:val="0"/>
          <w:divBdr>
            <w:top w:val="none" w:sz="0" w:space="0" w:color="auto"/>
            <w:left w:val="none" w:sz="0" w:space="0" w:color="auto"/>
            <w:bottom w:val="none" w:sz="0" w:space="0" w:color="auto"/>
            <w:right w:val="none" w:sz="0" w:space="0" w:color="auto"/>
          </w:divBdr>
        </w:div>
        <w:div w:id="1608851746">
          <w:marLeft w:val="0"/>
          <w:marRight w:val="0"/>
          <w:marTop w:val="0"/>
          <w:marBottom w:val="0"/>
          <w:divBdr>
            <w:top w:val="none" w:sz="0" w:space="0" w:color="auto"/>
            <w:left w:val="none" w:sz="0" w:space="0" w:color="auto"/>
            <w:bottom w:val="none" w:sz="0" w:space="0" w:color="auto"/>
            <w:right w:val="none" w:sz="0" w:space="0" w:color="auto"/>
          </w:divBdr>
        </w:div>
        <w:div w:id="2061974801">
          <w:marLeft w:val="0"/>
          <w:marRight w:val="0"/>
          <w:marTop w:val="0"/>
          <w:marBottom w:val="0"/>
          <w:divBdr>
            <w:top w:val="none" w:sz="0" w:space="0" w:color="auto"/>
            <w:left w:val="none" w:sz="0" w:space="0" w:color="auto"/>
            <w:bottom w:val="none" w:sz="0" w:space="0" w:color="auto"/>
            <w:right w:val="none" w:sz="0" w:space="0" w:color="auto"/>
          </w:divBdr>
        </w:div>
      </w:divsChild>
    </w:div>
    <w:div w:id="1126659777">
      <w:bodyDiv w:val="1"/>
      <w:marLeft w:val="0"/>
      <w:marRight w:val="0"/>
      <w:marTop w:val="0"/>
      <w:marBottom w:val="0"/>
      <w:divBdr>
        <w:top w:val="none" w:sz="0" w:space="0" w:color="auto"/>
        <w:left w:val="none" w:sz="0" w:space="0" w:color="auto"/>
        <w:bottom w:val="none" w:sz="0" w:space="0" w:color="auto"/>
        <w:right w:val="none" w:sz="0" w:space="0" w:color="auto"/>
      </w:divBdr>
    </w:div>
    <w:div w:id="1185100144">
      <w:bodyDiv w:val="1"/>
      <w:marLeft w:val="0"/>
      <w:marRight w:val="0"/>
      <w:marTop w:val="0"/>
      <w:marBottom w:val="0"/>
      <w:divBdr>
        <w:top w:val="none" w:sz="0" w:space="0" w:color="auto"/>
        <w:left w:val="none" w:sz="0" w:space="0" w:color="auto"/>
        <w:bottom w:val="none" w:sz="0" w:space="0" w:color="auto"/>
        <w:right w:val="none" w:sz="0" w:space="0" w:color="auto"/>
      </w:divBdr>
    </w:div>
    <w:div w:id="1234270696">
      <w:bodyDiv w:val="1"/>
      <w:marLeft w:val="0"/>
      <w:marRight w:val="0"/>
      <w:marTop w:val="0"/>
      <w:marBottom w:val="0"/>
      <w:divBdr>
        <w:top w:val="none" w:sz="0" w:space="0" w:color="auto"/>
        <w:left w:val="none" w:sz="0" w:space="0" w:color="auto"/>
        <w:bottom w:val="none" w:sz="0" w:space="0" w:color="auto"/>
        <w:right w:val="none" w:sz="0" w:space="0" w:color="auto"/>
      </w:divBdr>
    </w:div>
    <w:div w:id="1301620030">
      <w:bodyDiv w:val="1"/>
      <w:marLeft w:val="0"/>
      <w:marRight w:val="0"/>
      <w:marTop w:val="0"/>
      <w:marBottom w:val="0"/>
      <w:divBdr>
        <w:top w:val="none" w:sz="0" w:space="0" w:color="auto"/>
        <w:left w:val="none" w:sz="0" w:space="0" w:color="auto"/>
        <w:bottom w:val="none" w:sz="0" w:space="0" w:color="auto"/>
        <w:right w:val="none" w:sz="0" w:space="0" w:color="auto"/>
      </w:divBdr>
    </w:div>
    <w:div w:id="1334602285">
      <w:bodyDiv w:val="1"/>
      <w:marLeft w:val="0"/>
      <w:marRight w:val="0"/>
      <w:marTop w:val="0"/>
      <w:marBottom w:val="450"/>
      <w:divBdr>
        <w:top w:val="none" w:sz="0" w:space="0" w:color="auto"/>
        <w:left w:val="none" w:sz="0" w:space="0" w:color="auto"/>
        <w:bottom w:val="none" w:sz="0" w:space="0" w:color="auto"/>
        <w:right w:val="none" w:sz="0" w:space="0" w:color="auto"/>
      </w:divBdr>
      <w:divsChild>
        <w:div w:id="1897664211">
          <w:marLeft w:val="0"/>
          <w:marRight w:val="0"/>
          <w:marTop w:val="0"/>
          <w:marBottom w:val="0"/>
          <w:divBdr>
            <w:top w:val="none" w:sz="0" w:space="0" w:color="auto"/>
            <w:left w:val="none" w:sz="0" w:space="0" w:color="auto"/>
            <w:bottom w:val="none" w:sz="0" w:space="0" w:color="auto"/>
            <w:right w:val="none" w:sz="0" w:space="0" w:color="auto"/>
          </w:divBdr>
          <w:divsChild>
            <w:div w:id="741223473">
              <w:marLeft w:val="0"/>
              <w:marRight w:val="0"/>
              <w:marTop w:val="0"/>
              <w:marBottom w:val="0"/>
              <w:divBdr>
                <w:top w:val="none" w:sz="0" w:space="0" w:color="auto"/>
                <w:left w:val="none" w:sz="0" w:space="0" w:color="auto"/>
                <w:bottom w:val="none" w:sz="0" w:space="0" w:color="auto"/>
                <w:right w:val="none" w:sz="0" w:space="0" w:color="auto"/>
              </w:divBdr>
              <w:divsChild>
                <w:div w:id="1847749360">
                  <w:marLeft w:val="0"/>
                  <w:marRight w:val="0"/>
                  <w:marTop w:val="165"/>
                  <w:marBottom w:val="0"/>
                  <w:divBdr>
                    <w:top w:val="none" w:sz="0" w:space="0" w:color="auto"/>
                    <w:left w:val="none" w:sz="0" w:space="0" w:color="auto"/>
                    <w:bottom w:val="none" w:sz="0" w:space="0" w:color="auto"/>
                    <w:right w:val="none" w:sz="0" w:space="0" w:color="auto"/>
                  </w:divBdr>
                  <w:divsChild>
                    <w:div w:id="1469283686">
                      <w:marLeft w:val="0"/>
                      <w:marRight w:val="0"/>
                      <w:marTop w:val="0"/>
                      <w:marBottom w:val="0"/>
                      <w:divBdr>
                        <w:top w:val="none" w:sz="0" w:space="0" w:color="auto"/>
                        <w:left w:val="none" w:sz="0" w:space="0" w:color="auto"/>
                        <w:bottom w:val="none" w:sz="0" w:space="0" w:color="auto"/>
                        <w:right w:val="none" w:sz="0" w:space="0" w:color="auto"/>
                      </w:divBdr>
                      <w:divsChild>
                        <w:div w:id="1848326103">
                          <w:marLeft w:val="0"/>
                          <w:marRight w:val="0"/>
                          <w:marTop w:val="0"/>
                          <w:marBottom w:val="0"/>
                          <w:divBdr>
                            <w:top w:val="none" w:sz="0" w:space="0" w:color="auto"/>
                            <w:left w:val="none" w:sz="0" w:space="0" w:color="auto"/>
                            <w:bottom w:val="none" w:sz="0" w:space="0" w:color="auto"/>
                            <w:right w:val="none" w:sz="0" w:space="0" w:color="auto"/>
                          </w:divBdr>
                          <w:divsChild>
                            <w:div w:id="1417900573">
                              <w:marLeft w:val="3600"/>
                              <w:marRight w:val="0"/>
                              <w:marTop w:val="0"/>
                              <w:marBottom w:val="0"/>
                              <w:divBdr>
                                <w:top w:val="none" w:sz="0" w:space="0" w:color="auto"/>
                                <w:left w:val="none" w:sz="0" w:space="0" w:color="auto"/>
                                <w:bottom w:val="none" w:sz="0" w:space="0" w:color="auto"/>
                                <w:right w:val="none" w:sz="0" w:space="0" w:color="auto"/>
                              </w:divBdr>
                              <w:divsChild>
                                <w:div w:id="5432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7668">
      <w:bodyDiv w:val="1"/>
      <w:marLeft w:val="0"/>
      <w:marRight w:val="0"/>
      <w:marTop w:val="0"/>
      <w:marBottom w:val="0"/>
      <w:divBdr>
        <w:top w:val="none" w:sz="0" w:space="0" w:color="auto"/>
        <w:left w:val="none" w:sz="0" w:space="0" w:color="auto"/>
        <w:bottom w:val="none" w:sz="0" w:space="0" w:color="auto"/>
        <w:right w:val="none" w:sz="0" w:space="0" w:color="auto"/>
      </w:divBdr>
    </w:div>
    <w:div w:id="1613315377">
      <w:bodyDiv w:val="1"/>
      <w:marLeft w:val="0"/>
      <w:marRight w:val="0"/>
      <w:marTop w:val="0"/>
      <w:marBottom w:val="0"/>
      <w:divBdr>
        <w:top w:val="none" w:sz="0" w:space="0" w:color="auto"/>
        <w:left w:val="none" w:sz="0" w:space="0" w:color="auto"/>
        <w:bottom w:val="none" w:sz="0" w:space="0" w:color="auto"/>
        <w:right w:val="none" w:sz="0" w:space="0" w:color="auto"/>
      </w:divBdr>
      <w:divsChild>
        <w:div w:id="754084864">
          <w:marLeft w:val="0"/>
          <w:marRight w:val="0"/>
          <w:marTop w:val="0"/>
          <w:marBottom w:val="0"/>
          <w:divBdr>
            <w:top w:val="none" w:sz="0" w:space="7" w:color="auto"/>
            <w:left w:val="none" w:sz="0" w:space="7" w:color="auto"/>
            <w:bottom w:val="none" w:sz="0" w:space="7" w:color="auto"/>
            <w:right w:val="none" w:sz="0" w:space="7" w:color="auto"/>
          </w:divBdr>
        </w:div>
      </w:divsChild>
    </w:div>
    <w:div w:id="1624530803">
      <w:bodyDiv w:val="1"/>
      <w:marLeft w:val="0"/>
      <w:marRight w:val="0"/>
      <w:marTop w:val="0"/>
      <w:marBottom w:val="0"/>
      <w:divBdr>
        <w:top w:val="none" w:sz="0" w:space="0" w:color="auto"/>
        <w:left w:val="none" w:sz="0" w:space="0" w:color="auto"/>
        <w:bottom w:val="none" w:sz="0" w:space="0" w:color="auto"/>
        <w:right w:val="none" w:sz="0" w:space="0" w:color="auto"/>
      </w:divBdr>
    </w:div>
    <w:div w:id="1640455169">
      <w:bodyDiv w:val="1"/>
      <w:marLeft w:val="0"/>
      <w:marRight w:val="0"/>
      <w:marTop w:val="0"/>
      <w:marBottom w:val="0"/>
      <w:divBdr>
        <w:top w:val="none" w:sz="0" w:space="0" w:color="auto"/>
        <w:left w:val="none" w:sz="0" w:space="0" w:color="auto"/>
        <w:bottom w:val="none" w:sz="0" w:space="0" w:color="auto"/>
        <w:right w:val="none" w:sz="0" w:space="0" w:color="auto"/>
      </w:divBdr>
    </w:div>
    <w:div w:id="1867710530">
      <w:bodyDiv w:val="1"/>
      <w:marLeft w:val="0"/>
      <w:marRight w:val="0"/>
      <w:marTop w:val="0"/>
      <w:marBottom w:val="0"/>
      <w:divBdr>
        <w:top w:val="none" w:sz="0" w:space="0" w:color="auto"/>
        <w:left w:val="none" w:sz="0" w:space="0" w:color="auto"/>
        <w:bottom w:val="none" w:sz="0" w:space="0" w:color="auto"/>
        <w:right w:val="none" w:sz="0" w:space="0" w:color="auto"/>
      </w:divBdr>
    </w:div>
    <w:div w:id="1962684910">
      <w:bodyDiv w:val="1"/>
      <w:marLeft w:val="0"/>
      <w:marRight w:val="0"/>
      <w:marTop w:val="0"/>
      <w:marBottom w:val="0"/>
      <w:divBdr>
        <w:top w:val="none" w:sz="0" w:space="0" w:color="auto"/>
        <w:left w:val="none" w:sz="0" w:space="0" w:color="auto"/>
        <w:bottom w:val="none" w:sz="0" w:space="0" w:color="auto"/>
        <w:right w:val="none" w:sz="0" w:space="0" w:color="auto"/>
      </w:divBdr>
    </w:div>
    <w:div w:id="2081755118">
      <w:bodyDiv w:val="1"/>
      <w:marLeft w:val="0"/>
      <w:marRight w:val="0"/>
      <w:marTop w:val="0"/>
      <w:marBottom w:val="0"/>
      <w:divBdr>
        <w:top w:val="none" w:sz="0" w:space="0" w:color="auto"/>
        <w:left w:val="none" w:sz="0" w:space="0" w:color="auto"/>
        <w:bottom w:val="none" w:sz="0" w:space="0" w:color="auto"/>
        <w:right w:val="none" w:sz="0" w:space="0" w:color="auto"/>
      </w:divBdr>
    </w:div>
    <w:div w:id="213182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homeless.org/factsheets/addiction.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homeless.org/publications/crimreport/crimreport_2009.pdf"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spe.hhs.gov/hsp/homelessness/symposium0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C6E295E879E469434C2A81D4094AE" ma:contentTypeVersion="1" ma:contentTypeDescription="Create a new document." ma:contentTypeScope="" ma:versionID="b7b2154e9dd1867b65f511bf0e1cc0aa">
  <xsd:schema xmlns:xsd="http://www.w3.org/2001/XMLSchema" xmlns:p="http://schemas.microsoft.com/office/2006/metadata/properties" xmlns:ns2="dc144a42-6af7-4494-b927-173035433fd5" targetNamespace="http://schemas.microsoft.com/office/2006/metadata/properties" ma:root="true" ma:fieldsID="345941221716ecd191881290663d80d9" ns2:_="">
    <xsd:import namespace="dc144a42-6af7-4494-b927-173035433fd5"/>
    <xsd:element name="properties">
      <xsd:complexType>
        <xsd:sequence>
          <xsd:element name="documentManagement">
            <xsd:complexType>
              <xsd:all>
                <xsd:element ref="ns2:NOTES0" minOccurs="0"/>
              </xsd:all>
            </xsd:complexType>
          </xsd:element>
        </xsd:sequence>
      </xsd:complexType>
    </xsd:element>
  </xsd:schema>
  <xsd:schema xmlns:xsd="http://www.w3.org/2001/XMLSchema" xmlns:dms="http://schemas.microsoft.com/office/2006/documentManagement/types" targetNamespace="dc144a42-6af7-4494-b927-173035433fd5" elementFormDefault="qualified">
    <xsd:import namespace="http://schemas.microsoft.com/office/2006/documentManagement/types"/>
    <xsd:element name="NOTES0" ma:index="8" nillable="true" ma:displayName="NOTES" ma:default="" ma:internalName="NOTES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TES0 xmlns="dc144a42-6af7-4494-b927-173035433f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AA75-CF8E-4F3D-902C-72347E7EA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44a42-6af7-4494-b927-173035433fd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27DCC0-64D0-4642-BD7E-A16CFDAA0D56}">
  <ds:schemaRefs>
    <ds:schemaRef ds:uri="http://schemas.microsoft.com/sharepoint/v3/contenttype/forms"/>
  </ds:schemaRefs>
</ds:datastoreItem>
</file>

<file path=customXml/itemProps3.xml><?xml version="1.0" encoding="utf-8"?>
<ds:datastoreItem xmlns:ds="http://schemas.openxmlformats.org/officeDocument/2006/customXml" ds:itemID="{AF74D1E3-2D29-4CB4-9AE6-C4C0071B4A61}">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dc144a42-6af7-4494-b927-173035433fd5"/>
  </ds:schemaRefs>
</ds:datastoreItem>
</file>

<file path=customXml/itemProps4.xml><?xml version="1.0" encoding="utf-8"?>
<ds:datastoreItem xmlns:ds="http://schemas.openxmlformats.org/officeDocument/2006/customXml" ds:itemID="{E3BE0397-8C64-442C-B0FA-CDB989D7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5708</Words>
  <Characters>32539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Orme</dc:creator>
  <cp:lastModifiedBy>DHHS</cp:lastModifiedBy>
  <cp:revision>2</cp:revision>
  <cp:lastPrinted>2013-04-17T01:05:00Z</cp:lastPrinted>
  <dcterms:created xsi:type="dcterms:W3CDTF">2014-01-13T12:22:00Z</dcterms:created>
  <dcterms:modified xsi:type="dcterms:W3CDTF">2014-01-13T12:22:00Z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0x010100B92C6E295E879E469434C2A81D4094AE</vt:lpwstr>
  </property>
</Properties>
</file>