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45" w:rsidRDefault="0000636B">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30 CFR 250, Subpart Q, Decommissioning Activities</w:t>
      </w:r>
    </w:p>
    <w:p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-0</w:t>
      </w:r>
      <w:r w:rsidR="00101EFB">
        <w:rPr>
          <w:rFonts w:ascii="Times New Roman" w:hAnsi="Times New Roman"/>
          <w:b/>
        </w:rPr>
        <w:t>010</w:t>
      </w:r>
    </w:p>
    <w:p w:rsidR="005E2711" w:rsidRDefault="005E2711">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Pr>
          <w:rFonts w:ascii="Times New Roman" w:hAnsi="Times New Roman"/>
          <w:b/>
        </w:rPr>
        <w:t>December 31</w:t>
      </w:r>
      <w:r w:rsidRPr="005E2711">
        <w:rPr>
          <w:rFonts w:ascii="Times New Roman" w:hAnsi="Times New Roman"/>
          <w:b/>
        </w:rPr>
        <w:t>, 2013</w:t>
      </w:r>
    </w:p>
    <w:p w:rsidR="00101EFB" w:rsidRDefault="00101EFB" w:rsidP="0000636B">
      <w:pPr>
        <w:widowControl/>
        <w:tabs>
          <w:tab w:val="center" w:pos="4680"/>
        </w:tabs>
        <w:rPr>
          <w:rFonts w:ascii="Times New Roman" w:hAnsi="Times New Roman"/>
          <w:b/>
        </w:rPr>
      </w:pPr>
    </w:p>
    <w:p w:rsidR="0000636B" w:rsidRDefault="008F300C" w:rsidP="0000636B">
      <w:pPr>
        <w:widowControl/>
        <w:tabs>
          <w:tab w:val="center" w:pos="4680"/>
        </w:tabs>
        <w:rPr>
          <w:rFonts w:ascii="Arial" w:hAnsi="Arial" w:cs="Arial"/>
          <w:b/>
          <w:sz w:val="22"/>
          <w:szCs w:val="22"/>
        </w:rPr>
      </w:pPr>
      <w:r>
        <w:rPr>
          <w:rFonts w:ascii="Arial" w:hAnsi="Arial" w:cs="Arial"/>
          <w:b/>
          <w:sz w:val="22"/>
          <w:szCs w:val="22"/>
        </w:rPr>
        <w:t xml:space="preserve">Terms of Clearance:  </w:t>
      </w:r>
      <w:r w:rsidRPr="009118AE">
        <w:rPr>
          <w:rFonts w:ascii="Times New Roman" w:hAnsi="Times New Roman"/>
          <w:szCs w:val="24"/>
        </w:rPr>
        <w:t>None</w:t>
      </w:r>
    </w:p>
    <w:p w:rsidR="008F300C" w:rsidRDefault="008F300C" w:rsidP="0000636B">
      <w:pPr>
        <w:widowControl/>
        <w:tabs>
          <w:tab w:val="center" w:pos="4680"/>
        </w:tabs>
        <w:rPr>
          <w:rFonts w:ascii="Arial" w:hAnsi="Arial" w:cs="Arial"/>
          <w:b/>
          <w:sz w:val="22"/>
          <w:szCs w:val="22"/>
        </w:rPr>
      </w:pPr>
    </w:p>
    <w:p w:rsidR="008F300C" w:rsidRPr="00F362C3" w:rsidRDefault="008F300C" w:rsidP="008F300C">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00636B" w:rsidRDefault="0000636B" w:rsidP="0000636B">
      <w:pPr>
        <w:widowControl/>
        <w:tabs>
          <w:tab w:val="center" w:pos="4680"/>
        </w:tabs>
        <w:rPr>
          <w:rFonts w:ascii="Times New Roman" w:hAnsi="Times New Roman"/>
          <w:b/>
        </w:rPr>
      </w:pPr>
    </w:p>
    <w:p w:rsidR="0000636B" w:rsidRDefault="00D01F3B" w:rsidP="0000636B">
      <w:pPr>
        <w:widowControl/>
        <w:tabs>
          <w:tab w:val="center" w:pos="4680"/>
        </w:tabs>
        <w:rPr>
          <w:rFonts w:ascii="Times New Roman" w:hAnsi="Times New Roman"/>
        </w:rPr>
      </w:pPr>
      <w:r w:rsidRPr="00D01F3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01F3B" w:rsidRDefault="00D01F3B" w:rsidP="0000636B">
      <w:pPr>
        <w:widowControl/>
        <w:tabs>
          <w:tab w:val="center" w:pos="4680"/>
        </w:tabs>
        <w:rPr>
          <w:rFonts w:ascii="Times New Roman" w:hAnsi="Times New Roman"/>
        </w:rPr>
      </w:pPr>
    </w:p>
    <w:p w:rsidR="0000636B" w:rsidRPr="00F362C3" w:rsidRDefault="0000636B" w:rsidP="0000636B">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00636B" w:rsidRDefault="0000636B" w:rsidP="0000636B">
      <w:pPr>
        <w:widowControl/>
        <w:tabs>
          <w:tab w:val="center" w:pos="4680"/>
        </w:tabs>
        <w:rPr>
          <w:rFonts w:ascii="Times New Roman" w:hAnsi="Times New Roman"/>
          <w:b/>
        </w:rPr>
      </w:pPr>
    </w:p>
    <w:p w:rsidR="0000636B" w:rsidRPr="00D01F3B" w:rsidRDefault="0000636B" w:rsidP="0000636B">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rsidR="0000636B" w:rsidRPr="00EB51C3" w:rsidRDefault="0000636B" w:rsidP="0000636B">
      <w:pPr>
        <w:widowControl/>
        <w:tabs>
          <w:tab w:val="left" w:pos="-1080"/>
          <w:tab w:val="left" w:pos="-720"/>
          <w:tab w:val="left" w:pos="360"/>
          <w:tab w:val="left" w:pos="720"/>
        </w:tabs>
        <w:rPr>
          <w:rFonts w:ascii="Times New Roman" w:hAnsi="Times New Roman"/>
        </w:rPr>
      </w:pPr>
    </w:p>
    <w:p w:rsidR="0000636B" w:rsidRDefault="0000636B" w:rsidP="0000636B">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6E35DB" w:rsidRDefault="006E35DB">
      <w:pPr>
        <w:widowControl/>
        <w:tabs>
          <w:tab w:val="left" w:pos="360"/>
          <w:tab w:val="left" w:pos="720"/>
        </w:tabs>
        <w:rPr>
          <w:rFonts w:ascii="Times New Roman" w:hAnsi="Times New Roman"/>
        </w:rPr>
      </w:pPr>
    </w:p>
    <w:p w:rsidR="006C02DC" w:rsidRDefault="006C02DC" w:rsidP="006C02DC">
      <w:pPr>
        <w:widowControl/>
        <w:tabs>
          <w:tab w:val="left" w:pos="360"/>
          <w:tab w:val="left" w:pos="720"/>
        </w:tabs>
        <w:rPr>
          <w:rFonts w:ascii="Times New Roman" w:hAnsi="Times New Roman"/>
        </w:rPr>
      </w:pPr>
      <w:r w:rsidRPr="00B6049C">
        <w:rPr>
          <w:rFonts w:ascii="Times New Roman" w:hAnsi="Times New Roman"/>
        </w:rPr>
        <w:t xml:space="preserve">The Outer Continental Shelf (OCS) Lands Act, as amended (43 U.S.C. 1331 </w:t>
      </w:r>
      <w:r w:rsidRPr="00791E85">
        <w:rPr>
          <w:rFonts w:ascii="Times New Roman" w:hAnsi="Times New Roman"/>
          <w:i/>
        </w:rPr>
        <w:t>et seq</w:t>
      </w:r>
      <w:r w:rsidRPr="00B6049C">
        <w:rPr>
          <w:rFonts w:ascii="Times New Roman" w:hAnsi="Times New Roman"/>
        </w:rPr>
        <w:t xml:space="preserve">. and 43 U.S.C. 1801 </w:t>
      </w:r>
      <w:r w:rsidRPr="00791E85">
        <w:rPr>
          <w:rFonts w:ascii="Times New Roman" w:hAnsi="Times New Roman"/>
          <w:i/>
        </w:rPr>
        <w:t>et seq</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E213E5" w:rsidRPr="00E213E5">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6C02DC" w:rsidRDefault="006C02DC" w:rsidP="006C02DC">
      <w:pPr>
        <w:widowControl/>
        <w:tabs>
          <w:tab w:val="left" w:pos="360"/>
          <w:tab w:val="left" w:pos="720"/>
        </w:tabs>
        <w:rPr>
          <w:rFonts w:ascii="Times New Roman" w:hAnsi="Times New Roman"/>
        </w:rPr>
      </w:pPr>
    </w:p>
    <w:p w:rsidR="00763513" w:rsidRPr="00763513" w:rsidRDefault="00763513" w:rsidP="00763513">
      <w:pPr>
        <w:rPr>
          <w:rFonts w:ascii="Times New Roman" w:hAnsi="Times New Roman"/>
        </w:rPr>
      </w:pPr>
      <w:r w:rsidRPr="00763513">
        <w:rPr>
          <w:rFonts w:ascii="Times New Roman" w:hAnsi="Times New Roman"/>
        </w:rPr>
        <w:t xml:space="preserve">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763513" w:rsidRDefault="00763513" w:rsidP="006C02DC">
      <w:pPr>
        <w:widowControl/>
        <w:tabs>
          <w:tab w:val="left" w:pos="360"/>
          <w:tab w:val="left" w:pos="720"/>
        </w:tabs>
        <w:rPr>
          <w:rFonts w:ascii="Times New Roman" w:hAnsi="Times New Roman"/>
        </w:rPr>
      </w:pPr>
    </w:p>
    <w:p w:rsidR="006A1B49" w:rsidRDefault="006A1B49" w:rsidP="00E213E5">
      <w:pPr>
        <w:widowControl/>
        <w:tabs>
          <w:tab w:val="left" w:pos="360"/>
          <w:tab w:val="left" w:pos="720"/>
          <w:tab w:val="left" w:pos="1080"/>
        </w:tabs>
        <w:rPr>
          <w:rFonts w:ascii="Times New Roman" w:hAnsi="Times New Roman"/>
        </w:rPr>
      </w:pPr>
      <w:r w:rsidRPr="006A1B49">
        <w:rPr>
          <w:rFonts w:ascii="Times New Roman" w:hAnsi="Times New Roman"/>
        </w:rPr>
        <w:t xml:space="preserve">In addition to the general rulemaking authority of the OCSLA at 43 U.S.C. 1334, section 301(a) </w:t>
      </w:r>
      <w:proofErr w:type="gramStart"/>
      <w:r w:rsidRPr="006A1B49">
        <w:rPr>
          <w:rFonts w:ascii="Times New Roman" w:hAnsi="Times New Roman"/>
        </w:rPr>
        <w:t>of</w:t>
      </w:r>
      <w:proofErr w:type="gramEnd"/>
      <w:r w:rsidRPr="006A1B49">
        <w:rPr>
          <w:rFonts w:ascii="Times New Roman" w:hAnsi="Times New Roman"/>
        </w:rPr>
        <w:t xml:space="preserve">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w:t>
      </w:r>
      <w:r w:rsidRPr="006A1B49">
        <w:rPr>
          <w:rFonts w:ascii="Times New Roman" w:hAnsi="Times New Roman"/>
        </w:rPr>
        <w:lastRenderedPageBreak/>
        <w:t>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A1B49" w:rsidRDefault="006A1B49" w:rsidP="00E213E5">
      <w:pPr>
        <w:widowControl/>
        <w:tabs>
          <w:tab w:val="left" w:pos="360"/>
          <w:tab w:val="left" w:pos="720"/>
          <w:tab w:val="left" w:pos="1080"/>
        </w:tabs>
        <w:rPr>
          <w:rFonts w:ascii="Times New Roman" w:hAnsi="Times New Roman"/>
        </w:rPr>
      </w:pPr>
    </w:p>
    <w:p w:rsidR="006C02DC" w:rsidRDefault="006C02DC" w:rsidP="00E213E5">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w:t>
      </w:r>
      <w:proofErr w:type="gramStart"/>
      <w:r>
        <w:rPr>
          <w:rFonts w:ascii="Times New Roman" w:hAnsi="Times New Roman"/>
        </w:rPr>
        <w:t xml:space="preserve">L. 104-133, 110 Stat. 1321, </w:t>
      </w:r>
      <w:smartTag w:uri="urn:schemas-microsoft-com:office:smarttags" w:element="date">
        <w:smartTagPr>
          <w:attr w:name="ls" w:val="trans"/>
          <w:attr w:name="Month" w:val="4"/>
          <w:attr w:name="Day" w:val="26"/>
          <w:attr w:name="Year" w:val="1996"/>
        </w:smartTagPr>
        <w:r>
          <w:rPr>
            <w:rFonts w:ascii="Times New Roman" w:hAnsi="Times New Roman"/>
          </w:rPr>
          <w:t>April 26, 1996</w:t>
        </w:r>
      </w:smartTag>
      <w:r>
        <w:rPr>
          <w:rFonts w:ascii="Times New Roman" w:hAnsi="Times New Roman"/>
        </w:rPr>
        <w:t>), and OMB Circular A-25, authorize Federal agencies to recover the full cost of services that confer special benefits.</w:t>
      </w:r>
      <w:proofErr w:type="gramEnd"/>
      <w:r>
        <w:rPr>
          <w:rFonts w:ascii="Times New Roman" w:hAnsi="Times New Roman"/>
        </w:rPr>
        <w:t xml:space="preserve">  </w:t>
      </w:r>
      <w:r w:rsidR="00E213E5" w:rsidRPr="00E213E5">
        <w:rPr>
          <w:rFonts w:ascii="Times New Roman" w:hAnsi="Times New Roman"/>
        </w:rPr>
        <w:t xml:space="preserve">Respondents pay cost recovery fees when removing a </w:t>
      </w:r>
      <w:r w:rsidR="00E213E5">
        <w:rPr>
          <w:rFonts w:ascii="Times New Roman" w:hAnsi="Times New Roman"/>
        </w:rPr>
        <w:t>platform or other facility</w:t>
      </w:r>
      <w:r w:rsidR="00E213E5" w:rsidRP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00E213E5" w:rsidRP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00E213E5" w:rsidRPr="00E213E5">
        <w:rPr>
          <w:rFonts w:ascii="Times New Roman" w:hAnsi="Times New Roman"/>
        </w:rPr>
        <w:t xml:space="preserve">.  </w:t>
      </w:r>
    </w:p>
    <w:p w:rsidR="00E213E5" w:rsidRDefault="00E213E5" w:rsidP="00E213E5">
      <w:pPr>
        <w:widowControl/>
        <w:tabs>
          <w:tab w:val="left" w:pos="360"/>
          <w:tab w:val="left" w:pos="720"/>
          <w:tab w:val="left" w:pos="1080"/>
        </w:tabs>
        <w:rPr>
          <w:rFonts w:ascii="Times New Roman" w:hAnsi="Times New Roman"/>
        </w:rPr>
      </w:pPr>
    </w:p>
    <w:p w:rsidR="006C02DC" w:rsidRDefault="006C02DC" w:rsidP="006C02DC">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the Bureau of Safety and Environmental Enforcement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and are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6E35DB" w:rsidRDefault="006E35DB">
      <w:pPr>
        <w:widowControl/>
        <w:tabs>
          <w:tab w:val="left" w:pos="360"/>
          <w:tab w:val="left" w:pos="720"/>
          <w:tab w:val="left" w:pos="1080"/>
        </w:tabs>
        <w:rPr>
          <w:rFonts w:ascii="Times New Roman" w:hAnsi="Times New Roman"/>
        </w:rPr>
      </w:pPr>
    </w:p>
    <w:p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00636B" w:rsidRDefault="0000636B" w:rsidP="0000636B">
      <w:pPr>
        <w:widowControl/>
        <w:tabs>
          <w:tab w:val="left" w:pos="-1080"/>
          <w:tab w:val="left" w:pos="-720"/>
          <w:tab w:val="left" w:pos="360"/>
          <w:tab w:val="left" w:pos="720"/>
        </w:tabs>
        <w:rPr>
          <w:rFonts w:ascii="Times New Roman" w:hAnsi="Times New Roman"/>
        </w:rPr>
      </w:pPr>
    </w:p>
    <w:p w:rsidR="006E35DB" w:rsidRDefault="00D41C77">
      <w:pPr>
        <w:widowControl/>
        <w:tabs>
          <w:tab w:val="left" w:pos="360"/>
          <w:tab w:val="left" w:pos="720"/>
          <w:tab w:val="left" w:pos="1080"/>
        </w:tabs>
        <w:rPr>
          <w:rFonts w:ascii="Times New Roman" w:hAnsi="Times New Roman"/>
        </w:rPr>
      </w:pPr>
      <w:r>
        <w:rPr>
          <w:rFonts w:ascii="Times New Roman" w:hAnsi="Times New Roman"/>
        </w:rPr>
        <w:t xml:space="preserve">The </w:t>
      </w:r>
      <w:r w:rsidR="006C0FC4">
        <w:rPr>
          <w:rFonts w:ascii="Times New Roman" w:hAnsi="Times New Roman"/>
        </w:rPr>
        <w:t>BSEE</w:t>
      </w:r>
      <w:r w:rsidR="006E35DB">
        <w:rPr>
          <w:rFonts w:ascii="Times New Roman" w:hAnsi="Times New Roman"/>
        </w:rPr>
        <w:t xml:space="preserve"> uses the information collected under </w:t>
      </w:r>
      <w:r w:rsidR="00F6644C">
        <w:rPr>
          <w:rFonts w:ascii="Times New Roman" w:hAnsi="Times New Roman"/>
        </w:rPr>
        <w:t>S</w:t>
      </w:r>
      <w:r w:rsidR="006E35DB">
        <w:rPr>
          <w:rFonts w:ascii="Times New Roman" w:hAnsi="Times New Roman"/>
        </w:rPr>
        <w:t>ubpart Q primarily for the following reasons:</w:t>
      </w:r>
    </w:p>
    <w:p w:rsidR="006E35DB" w:rsidRDefault="006E35DB">
      <w:pPr>
        <w:widowControl/>
        <w:tabs>
          <w:tab w:val="left" w:pos="360"/>
          <w:tab w:val="left" w:pos="720"/>
          <w:tab w:val="left" w:pos="1080"/>
        </w:tabs>
        <w:rPr>
          <w:rFonts w:ascii="Times New Roman" w:hAnsi="Times New Roman"/>
        </w:rPr>
      </w:pPr>
    </w:p>
    <w:p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b/>
        </w:rPr>
        <w:t>●</w:t>
      </w:r>
      <w:r>
        <w:rPr>
          <w:rFonts w:ascii="Times New Roman" w:hAnsi="Times New Roman"/>
        </w:rPr>
        <w:t xml:space="preserve"> </w:t>
      </w:r>
      <w:r w:rsidR="0084042F">
        <w:rPr>
          <w:rFonts w:ascii="Times New Roman" w:hAnsi="Times New Roman"/>
        </w:rPr>
        <w:t xml:space="preserve"> </w:t>
      </w:r>
      <w:r>
        <w:rPr>
          <w:rFonts w:ascii="Times New Roman" w:hAnsi="Times New Roman"/>
        </w:rPr>
        <w:t>To</w:t>
      </w:r>
      <w:proofErr w:type="gramEnd"/>
      <w:r>
        <w:rPr>
          <w:rFonts w:ascii="Times New Roman" w:hAnsi="Times New Roman"/>
        </w:rPr>
        <w:t xml:space="preserve"> determine the necessity for allowing a well to be temporarily abandoned, the lessee/operator must demonstrate that there is a reason for not permanently </w:t>
      </w:r>
      <w:r w:rsidR="00807199">
        <w:rPr>
          <w:rFonts w:ascii="Times New Roman" w:hAnsi="Times New Roman"/>
        </w:rPr>
        <w:t xml:space="preserve">plugging </w:t>
      </w:r>
      <w:r>
        <w:rPr>
          <w:rFonts w:ascii="Times New Roman" w:hAnsi="Times New Roman"/>
        </w:rPr>
        <w:t xml:space="preserve">the well, and the temporary abandonment will not </w:t>
      </w:r>
      <w:r w:rsidR="00807199">
        <w:rPr>
          <w:rFonts w:ascii="Times New Roman" w:hAnsi="Times New Roman"/>
        </w:rPr>
        <w:t>interfere with</w:t>
      </w:r>
      <w:r>
        <w:rPr>
          <w:rFonts w:ascii="Times New Roman" w:hAnsi="Times New Roman"/>
        </w:rPr>
        <w:t xml:space="preserve"> fishing, navigation, or other uses of the </w:t>
      </w:r>
      <w:r w:rsidR="00807199">
        <w:rPr>
          <w:rFonts w:ascii="Times New Roman" w:hAnsi="Times New Roman"/>
        </w:rPr>
        <w:t>OCS</w:t>
      </w:r>
      <w:r>
        <w:rPr>
          <w:rFonts w:ascii="Times New Roman" w:hAnsi="Times New Roman"/>
        </w:rPr>
        <w:t>.  We use the information and documentation to verify that the lessee</w:t>
      </w:r>
      <w:r w:rsidR="005E134B">
        <w:rPr>
          <w:rFonts w:ascii="Times New Roman" w:hAnsi="Times New Roman"/>
        </w:rPr>
        <w:t>/</w:t>
      </w:r>
      <w:r w:rsidR="00807199">
        <w:rPr>
          <w:rFonts w:ascii="Times New Roman" w:hAnsi="Times New Roman"/>
        </w:rPr>
        <w:t xml:space="preserve">operator </w:t>
      </w:r>
      <w:r>
        <w:rPr>
          <w:rFonts w:ascii="Times New Roman" w:hAnsi="Times New Roman"/>
        </w:rPr>
        <w:t xml:space="preserve">is diligently pursuing the final disposition of the well and has performed the temporary plugging of the wellbore.  </w:t>
      </w:r>
    </w:p>
    <w:p w:rsidR="006E35DB" w:rsidRDefault="006E35DB">
      <w:pPr>
        <w:widowControl/>
        <w:tabs>
          <w:tab w:val="left" w:pos="360"/>
          <w:tab w:val="left" w:pos="720"/>
          <w:tab w:val="left" w:pos="1080"/>
        </w:tabs>
        <w:rPr>
          <w:rFonts w:ascii="Times New Roman" w:hAnsi="Times New Roman"/>
        </w:rPr>
      </w:pPr>
    </w:p>
    <w:p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Pr>
          <w:rFonts w:ascii="Times New Roman" w:hAnsi="Times New Roman"/>
        </w:rPr>
        <w:t>The</w:t>
      </w:r>
      <w:proofErr w:type="gramEnd"/>
      <w:r>
        <w:rPr>
          <w:rFonts w:ascii="Times New Roman" w:hAnsi="Times New Roman"/>
        </w:rPr>
        <w:t xml:space="preserve"> information submitted in initial decommissioning plans in the Alaska and Pacific OCS Regions will permit </w:t>
      </w:r>
      <w:r w:rsidR="00E23581">
        <w:rPr>
          <w:rFonts w:ascii="Times New Roman" w:hAnsi="Times New Roman"/>
        </w:rPr>
        <w:t>BSEE</w:t>
      </w:r>
      <w:r>
        <w:rPr>
          <w:rFonts w:ascii="Times New Roman" w:hAnsi="Times New Roman"/>
        </w:rPr>
        <w:t xml:space="preserve"> to become involved on the ground floor planning of </w:t>
      </w:r>
      <w:r w:rsidR="00F666B6">
        <w:rPr>
          <w:rFonts w:ascii="Times New Roman" w:hAnsi="Times New Roman"/>
        </w:rPr>
        <w:t>p</w:t>
      </w:r>
      <w:r>
        <w:rPr>
          <w:rFonts w:ascii="Times New Roman" w:hAnsi="Times New Roman"/>
        </w:rPr>
        <w:t xml:space="preserve">latform removals anticipated to occur in these OCS regions. </w:t>
      </w:r>
    </w:p>
    <w:p w:rsidR="006E35DB" w:rsidRDefault="006E35DB">
      <w:pPr>
        <w:widowControl/>
        <w:tabs>
          <w:tab w:val="left" w:pos="360"/>
          <w:tab w:val="left" w:pos="720"/>
          <w:tab w:val="left" w:pos="1080"/>
        </w:tabs>
        <w:rPr>
          <w:rFonts w:ascii="Times New Roman" w:hAnsi="Times New Roman"/>
        </w:rPr>
      </w:pPr>
    </w:p>
    <w:p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Pr>
          <w:rFonts w:ascii="Times New Roman" w:hAnsi="Times New Roman"/>
        </w:rPr>
        <w:t>Site</w:t>
      </w:r>
      <w:proofErr w:type="gramEnd"/>
      <w:r>
        <w:rPr>
          <w:rFonts w:ascii="Times New Roman" w:hAnsi="Times New Roman"/>
        </w:rPr>
        <w:t xml:space="preserve"> clearance and platform or pipeline removal information ensures that all objects (wellheads, platforms, etc.) installed on the OCS are properly removed using procedures that will protect marine life and the environment during removal operations, and the site cleared so as not to conflict with or harm other uses of the OCS.  </w:t>
      </w:r>
    </w:p>
    <w:p w:rsidR="006E35DB" w:rsidRDefault="006E35DB">
      <w:pPr>
        <w:widowControl/>
        <w:tabs>
          <w:tab w:val="left" w:pos="360"/>
          <w:tab w:val="left" w:pos="720"/>
          <w:tab w:val="left" w:pos="1080"/>
        </w:tabs>
        <w:rPr>
          <w:rFonts w:ascii="Times New Roman" w:hAnsi="Times New Roman"/>
        </w:rPr>
      </w:pPr>
    </w:p>
    <w:p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lastRenderedPageBreak/>
        <w:t xml:space="preserve">● </w:t>
      </w:r>
      <w:r w:rsidR="0084042F">
        <w:rPr>
          <w:rFonts w:ascii="Times New Roman" w:hAnsi="Times New Roman"/>
        </w:rPr>
        <w:t xml:space="preserve"> </w:t>
      </w:r>
      <w:r w:rsidR="00807199">
        <w:rPr>
          <w:rFonts w:ascii="Times New Roman" w:hAnsi="Times New Roman"/>
        </w:rPr>
        <w:t>Information</w:t>
      </w:r>
      <w:proofErr w:type="gramEnd"/>
      <w:r w:rsidR="00807199">
        <w:rPr>
          <w:rFonts w:ascii="Times New Roman" w:hAnsi="Times New Roman"/>
        </w:rPr>
        <w:t xml:space="preserve"> regarding d</w:t>
      </w:r>
      <w:r>
        <w:rPr>
          <w:rFonts w:ascii="Times New Roman" w:hAnsi="Times New Roman"/>
        </w:rPr>
        <w:t xml:space="preserve">ecommissioning a pipeline in place is needed to ensure that it will not constitute a hazard to navigation and commercial fishing operations, unduly interfere with other uses of the OCS, or have adverse environmental effects.  </w:t>
      </w:r>
    </w:p>
    <w:p w:rsidR="004F0F95" w:rsidRDefault="004F0F95">
      <w:pPr>
        <w:widowControl/>
        <w:tabs>
          <w:tab w:val="left" w:pos="360"/>
          <w:tab w:val="left" w:pos="720"/>
          <w:tab w:val="left" w:pos="1080"/>
        </w:tabs>
        <w:rPr>
          <w:rFonts w:ascii="Times New Roman" w:hAnsi="Times New Roman"/>
        </w:rPr>
      </w:pPr>
    </w:p>
    <w:p w:rsidR="006E35DB" w:rsidRDefault="004F0F95">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6E35DB">
        <w:rPr>
          <w:rFonts w:ascii="Times New Roman" w:hAnsi="Times New Roman"/>
        </w:rPr>
        <w:t>The</w:t>
      </w:r>
      <w:proofErr w:type="gramEnd"/>
      <w:r w:rsidR="006E35DB">
        <w:rPr>
          <w:rFonts w:ascii="Times New Roman" w:hAnsi="Times New Roman"/>
        </w:rPr>
        <w:t xml:space="preserve"> information is necessary to verify that decommissioning activities comply with approved applications and procedures and are satisfactorily completed.</w:t>
      </w:r>
    </w:p>
    <w:p w:rsidR="00275D9E" w:rsidRDefault="00275D9E">
      <w:pPr>
        <w:widowControl/>
        <w:tabs>
          <w:tab w:val="left" w:pos="360"/>
          <w:tab w:val="left" w:pos="720"/>
          <w:tab w:val="left" w:pos="1080"/>
        </w:tabs>
        <w:rPr>
          <w:rFonts w:ascii="Times New Roman" w:hAnsi="Times New Roman"/>
        </w:rPr>
      </w:pPr>
    </w:p>
    <w:p w:rsidR="00275D9E" w:rsidRDefault="00275D9E" w:rsidP="00275D9E">
      <w:pPr>
        <w:widowControl/>
        <w:numPr>
          <w:ilvl w:val="0"/>
          <w:numId w:val="14"/>
        </w:numPr>
        <w:tabs>
          <w:tab w:val="left" w:pos="0"/>
          <w:tab w:val="left" w:pos="360"/>
          <w:tab w:val="left" w:pos="1080"/>
        </w:tabs>
        <w:ind w:left="0" w:firstLine="0"/>
        <w:rPr>
          <w:rFonts w:ascii="Times New Roman" w:hAnsi="Times New Roman"/>
        </w:rPr>
      </w:pPr>
      <w:r w:rsidRPr="00275D9E">
        <w:rPr>
          <w:rFonts w:ascii="Times New Roman" w:hAnsi="Times New Roman"/>
        </w:rPr>
        <w:t xml:space="preserve">The information is used to evaluate and approve the adequacy of the equipment, materials, and/or procedures that the lessee or operator plans to use during </w:t>
      </w:r>
      <w:r>
        <w:rPr>
          <w:rFonts w:ascii="Times New Roman" w:hAnsi="Times New Roman"/>
        </w:rPr>
        <w:t>well</w:t>
      </w:r>
      <w:r w:rsidRPr="00275D9E">
        <w:rPr>
          <w:rFonts w:ascii="Times New Roman" w:hAnsi="Times New Roman"/>
        </w:rPr>
        <w:t xml:space="preserve"> modifications</w:t>
      </w:r>
      <w:r>
        <w:rPr>
          <w:rFonts w:ascii="Times New Roman" w:hAnsi="Times New Roman"/>
        </w:rPr>
        <w:t xml:space="preserve"> and</w:t>
      </w:r>
      <w:r w:rsidRPr="00275D9E">
        <w:rPr>
          <w:rFonts w:ascii="Times New Roman" w:hAnsi="Times New Roman"/>
        </w:rPr>
        <w:t xml:space="preserve"> changes in equipment, </w:t>
      </w:r>
      <w:r>
        <w:rPr>
          <w:rFonts w:ascii="Times New Roman" w:hAnsi="Times New Roman"/>
        </w:rPr>
        <w:t>etc.</w:t>
      </w:r>
    </w:p>
    <w:p w:rsidR="00275D9E" w:rsidRDefault="00275D9E" w:rsidP="00275D9E">
      <w:pPr>
        <w:widowControl/>
        <w:tabs>
          <w:tab w:val="left" w:pos="0"/>
          <w:tab w:val="left" w:pos="720"/>
          <w:tab w:val="left" w:pos="1080"/>
        </w:tabs>
        <w:rPr>
          <w:rFonts w:ascii="Times New Roman" w:hAnsi="Times New Roman"/>
        </w:rPr>
      </w:pPr>
    </w:p>
    <w:p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00636B" w:rsidRDefault="0000636B" w:rsidP="0000636B">
      <w:pPr>
        <w:widowControl/>
        <w:tabs>
          <w:tab w:val="left" w:pos="-1080"/>
          <w:tab w:val="left" w:pos="-720"/>
          <w:tab w:val="left" w:pos="360"/>
          <w:tab w:val="left" w:pos="720"/>
        </w:tabs>
        <w:rPr>
          <w:rFonts w:ascii="Times New Roman" w:hAnsi="Times New Roman"/>
        </w:rPr>
      </w:pPr>
    </w:p>
    <w:p w:rsidR="00962087" w:rsidRDefault="006E35DB" w:rsidP="007E4E0F">
      <w:pPr>
        <w:widowControl/>
        <w:tabs>
          <w:tab w:val="left" w:pos="360"/>
          <w:tab w:val="left" w:pos="720"/>
        </w:tabs>
        <w:rPr>
          <w:rFonts w:ascii="Times New Roman" w:hAnsi="Times New Roman"/>
        </w:rPr>
      </w:pPr>
      <w:r>
        <w:rPr>
          <w:rFonts w:ascii="Times New Roman" w:hAnsi="Times New Roman"/>
        </w:rPr>
        <w:t>Currently</w:t>
      </w:r>
      <w:r w:rsidR="00C226AA" w:rsidRPr="00256EDA">
        <w:rPr>
          <w:rFonts w:ascii="Times New Roman" w:hAnsi="Times New Roman"/>
        </w:rPr>
        <w:t xml:space="preserve">, </w:t>
      </w:r>
      <w:r w:rsidR="00807199" w:rsidRPr="00B443E3">
        <w:rPr>
          <w:rFonts w:ascii="Times New Roman" w:hAnsi="Times New Roman"/>
          <w:szCs w:val="24"/>
        </w:rPr>
        <w:t>60</w:t>
      </w:r>
      <w:r w:rsidR="00807199" w:rsidRPr="00B443E3">
        <w:rPr>
          <w:rFonts w:ascii="Times New Roman" w:hAnsi="Times New Roman"/>
        </w:rPr>
        <w:t xml:space="preserve"> </w:t>
      </w:r>
      <w:r w:rsidR="00C226AA" w:rsidRPr="00B443E3">
        <w:rPr>
          <w:rFonts w:ascii="Times New Roman" w:hAnsi="Times New Roman"/>
        </w:rPr>
        <w:t>percent</w:t>
      </w:r>
      <w:r w:rsidR="00C226AA">
        <w:rPr>
          <w:rFonts w:ascii="Times New Roman" w:hAnsi="Times New Roman"/>
        </w:rPr>
        <w:t xml:space="preserve"> of</w:t>
      </w:r>
      <w:r>
        <w:rPr>
          <w:rFonts w:ascii="Times New Roman" w:hAnsi="Times New Roman"/>
        </w:rPr>
        <w:t xml:space="preserve"> information is submitted </w:t>
      </w:r>
      <w:r w:rsidR="0000636B">
        <w:rPr>
          <w:rFonts w:ascii="Times New Roman" w:hAnsi="Times New Roman"/>
        </w:rPr>
        <w:t xml:space="preserve">electronically.  </w:t>
      </w:r>
    </w:p>
    <w:p w:rsidR="00962087" w:rsidRDefault="00962087" w:rsidP="00962087">
      <w:pPr>
        <w:widowControl/>
        <w:tabs>
          <w:tab w:val="left" w:pos="-1080"/>
          <w:tab w:val="left" w:pos="-720"/>
          <w:tab w:val="left" w:pos="360"/>
          <w:tab w:val="left" w:pos="72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638C2" w:rsidRDefault="004638C2">
      <w:pPr>
        <w:widowControl/>
        <w:tabs>
          <w:tab w:val="left" w:pos="360"/>
          <w:tab w:val="left" w:pos="720"/>
          <w:tab w:val="left" w:pos="1080"/>
        </w:tabs>
        <w:rPr>
          <w:rFonts w:ascii="Times New Roman" w:hAnsi="Times New Roman"/>
        </w:rPr>
      </w:pPr>
    </w:p>
    <w:p w:rsidR="006E35DB" w:rsidRDefault="00846589">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p>
    <w:p w:rsidR="00846589" w:rsidRDefault="00846589">
      <w:pPr>
        <w:widowControl/>
        <w:tabs>
          <w:tab w:val="left" w:pos="360"/>
          <w:tab w:val="left" w:pos="720"/>
          <w:tab w:val="left" w:pos="108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4638C2" w:rsidRDefault="004638C2" w:rsidP="004638C2">
      <w:pPr>
        <w:widowControl/>
        <w:tabs>
          <w:tab w:val="left" w:pos="-1080"/>
          <w:tab w:val="left" w:pos="-720"/>
          <w:tab w:val="left" w:pos="360"/>
          <w:tab w:val="left" w:pos="720"/>
        </w:tabs>
        <w:rPr>
          <w:rFonts w:ascii="Times New Roman" w:hAnsi="Times New Roman"/>
        </w:rPr>
      </w:pPr>
    </w:p>
    <w:p w:rsidR="006E35DB" w:rsidRDefault="001A198E">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With respect to the requirements for site clearance of abandoned wells, if these activities were not performed, it is more likely that other users of the OCS would be adversely affected, many of which are small businesses.</w:t>
      </w:r>
      <w:r>
        <w:rPr>
          <w:rFonts w:ascii="Times New Roman" w:hAnsi="Times New Roman"/>
        </w:rPr>
        <w:t xml:space="preserve">  </w:t>
      </w:r>
      <w:r w:rsidRPr="001A198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6E35DB" w:rsidRDefault="006E35DB">
      <w:pPr>
        <w:widowControl/>
        <w:tabs>
          <w:tab w:val="left" w:pos="360"/>
          <w:tab w:val="left" w:pos="720"/>
          <w:tab w:val="left" w:pos="1080"/>
        </w:tabs>
        <w:rPr>
          <w:rFonts w:ascii="Times New Roman" w:hAnsi="Times New Roman"/>
        </w:rPr>
      </w:pPr>
    </w:p>
    <w:p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638C2" w:rsidRDefault="004638C2" w:rsidP="004638C2">
      <w:pPr>
        <w:widowControl/>
        <w:tabs>
          <w:tab w:val="left" w:pos="-1080"/>
          <w:tab w:val="left" w:pos="-720"/>
          <w:tab w:val="left" w:pos="360"/>
          <w:tab w:val="left" w:pos="720"/>
        </w:tabs>
        <w:rPr>
          <w:rFonts w:ascii="Times New Roman" w:hAnsi="Times New Roman"/>
        </w:rPr>
      </w:pPr>
    </w:p>
    <w:p w:rsidR="00975CA3" w:rsidRDefault="006E35DB">
      <w:pPr>
        <w:widowControl/>
        <w:tabs>
          <w:tab w:val="left" w:pos="360"/>
          <w:tab w:val="left" w:pos="720"/>
          <w:tab w:val="left" w:pos="1080"/>
        </w:tabs>
        <w:rPr>
          <w:rFonts w:ascii="Times New Roman" w:hAnsi="Times New Roman"/>
        </w:rPr>
      </w:pPr>
      <w:r>
        <w:rPr>
          <w:rFonts w:ascii="Times New Roman" w:hAnsi="Times New Roman"/>
        </w:rPr>
        <w:t>If we did not collect the information, we could not ascertain:  (a) the intent of the lessee</w:t>
      </w:r>
      <w:r w:rsidR="002F09F4">
        <w:rPr>
          <w:rFonts w:ascii="Times New Roman" w:hAnsi="Times New Roman"/>
        </w:rPr>
        <w:t>/</w:t>
      </w:r>
      <w:r w:rsidR="00807199">
        <w:rPr>
          <w:rFonts w:ascii="Times New Roman" w:hAnsi="Times New Roman"/>
        </w:rPr>
        <w:t>operator</w:t>
      </w:r>
      <w:r>
        <w:rPr>
          <w:rFonts w:ascii="Times New Roman" w:hAnsi="Times New Roman"/>
        </w:rPr>
        <w:t xml:space="preserve">; (b) if respondents are diligently pursuing the final disposition of </w:t>
      </w:r>
      <w:r w:rsidR="00807199">
        <w:rPr>
          <w:rFonts w:ascii="Times New Roman" w:hAnsi="Times New Roman"/>
        </w:rPr>
        <w:t xml:space="preserve">a </w:t>
      </w:r>
      <w:r>
        <w:rPr>
          <w:rFonts w:ascii="Times New Roman" w:hAnsi="Times New Roman"/>
        </w:rPr>
        <w:t>well</w:t>
      </w:r>
      <w:r w:rsidR="00807199">
        <w:rPr>
          <w:rFonts w:ascii="Times New Roman" w:hAnsi="Times New Roman"/>
        </w:rPr>
        <w:t>, platform, or pipeline</w:t>
      </w:r>
      <w:r>
        <w:rPr>
          <w:rFonts w:ascii="Times New Roman" w:hAnsi="Times New Roman"/>
        </w:rPr>
        <w:t>; (</w:t>
      </w:r>
      <w:r w:rsidR="00B036A3">
        <w:rPr>
          <w:rFonts w:ascii="Times New Roman" w:hAnsi="Times New Roman"/>
        </w:rPr>
        <w:t>c</w:t>
      </w:r>
      <w:r>
        <w:rPr>
          <w:rFonts w:ascii="Times New Roman" w:hAnsi="Times New Roman"/>
        </w:rPr>
        <w:t xml:space="preserve">) if the lessee/operator has documented the temporary plugging of the well and has marked the location; </w:t>
      </w:r>
      <w:r w:rsidR="00237E32">
        <w:rPr>
          <w:rFonts w:ascii="Times New Roman" w:hAnsi="Times New Roman"/>
        </w:rPr>
        <w:t xml:space="preserve">or </w:t>
      </w:r>
      <w:r>
        <w:rPr>
          <w:rFonts w:ascii="Times New Roman" w:hAnsi="Times New Roman"/>
        </w:rPr>
        <w:t>(</w:t>
      </w:r>
      <w:r w:rsidR="00B036A3">
        <w:rPr>
          <w:rFonts w:ascii="Times New Roman" w:hAnsi="Times New Roman"/>
        </w:rPr>
        <w:t>d</w:t>
      </w:r>
      <w:r>
        <w:rPr>
          <w:rFonts w:ascii="Times New Roman" w:hAnsi="Times New Roman"/>
        </w:rPr>
        <w:t xml:space="preserve">) that site clearance and removal operations are performed in an environmentally safe and effective manner. </w:t>
      </w:r>
    </w:p>
    <w:p w:rsidR="00975CA3" w:rsidRDefault="00975CA3">
      <w:pPr>
        <w:widowControl/>
        <w:tabs>
          <w:tab w:val="left" w:pos="360"/>
          <w:tab w:val="left" w:pos="720"/>
          <w:tab w:val="left" w:pos="1080"/>
        </w:tabs>
        <w:rPr>
          <w:rFonts w:ascii="Times New Roman" w:hAnsi="Times New Roman"/>
        </w:rPr>
      </w:pPr>
    </w:p>
    <w:p w:rsidR="006E35DB" w:rsidRDefault="006E35DB">
      <w:pPr>
        <w:widowControl/>
        <w:tabs>
          <w:tab w:val="left" w:pos="360"/>
          <w:tab w:val="left" w:pos="720"/>
          <w:tab w:val="left" w:pos="1080"/>
        </w:tabs>
        <w:rPr>
          <w:rFonts w:ascii="Times New Roman" w:hAnsi="Times New Roman"/>
        </w:rPr>
      </w:pPr>
      <w:r>
        <w:rPr>
          <w:rFonts w:ascii="Times New Roman" w:hAnsi="Times New Roman"/>
        </w:rPr>
        <w:t>Information is collected on occasion</w:t>
      </w:r>
      <w:r w:rsidR="007E4E0F">
        <w:rPr>
          <w:rFonts w:ascii="Times New Roman" w:hAnsi="Times New Roman"/>
        </w:rPr>
        <w:t xml:space="preserve"> or</w:t>
      </w:r>
      <w:r>
        <w:rPr>
          <w:rFonts w:ascii="Times New Roman" w:hAnsi="Times New Roman"/>
        </w:rPr>
        <w:t xml:space="preserve"> </w:t>
      </w:r>
      <w:r w:rsidR="007E4E0F">
        <w:rPr>
          <w:rFonts w:ascii="Times New Roman" w:hAnsi="Times New Roman"/>
        </w:rPr>
        <w:t xml:space="preserve">varies by section depending on the requirement, </w:t>
      </w:r>
      <w:r>
        <w:rPr>
          <w:rFonts w:ascii="Times New Roman" w:hAnsi="Times New Roman"/>
        </w:rPr>
        <w:t>except for annual reporting on temporary abandonment of wells until the lessee</w:t>
      </w:r>
      <w:r w:rsidR="002F09F4">
        <w:rPr>
          <w:rFonts w:ascii="Times New Roman" w:hAnsi="Times New Roman"/>
        </w:rPr>
        <w:t>/</w:t>
      </w:r>
      <w:r w:rsidR="00807199">
        <w:rPr>
          <w:rFonts w:ascii="Times New Roman" w:hAnsi="Times New Roman"/>
        </w:rPr>
        <w:t xml:space="preserve">operator </w:t>
      </w:r>
      <w:r>
        <w:rPr>
          <w:rFonts w:ascii="Times New Roman" w:hAnsi="Times New Roman"/>
        </w:rPr>
        <w:t xml:space="preserve">re-enters to complete or to permanently </w:t>
      </w:r>
      <w:r w:rsidR="00807199">
        <w:rPr>
          <w:rFonts w:ascii="Times New Roman" w:hAnsi="Times New Roman"/>
        </w:rPr>
        <w:t xml:space="preserve">plug </w:t>
      </w:r>
      <w:r>
        <w:rPr>
          <w:rFonts w:ascii="Times New Roman" w:hAnsi="Times New Roman"/>
        </w:rPr>
        <w:t>the well.  Th</w:t>
      </w:r>
      <w:r w:rsidR="007E4E0F">
        <w:rPr>
          <w:rFonts w:ascii="Times New Roman" w:hAnsi="Times New Roman"/>
        </w:rPr>
        <w:t>e</w:t>
      </w:r>
      <w:r>
        <w:rPr>
          <w:rFonts w:ascii="Times New Roman" w:hAnsi="Times New Roman"/>
        </w:rPr>
        <w:t xml:space="preserve"> annual report is the minimum frequency necessary to ensure the diligent pursuit of the final well disposition.  </w:t>
      </w:r>
    </w:p>
    <w:p w:rsidR="006E35DB" w:rsidRDefault="006E35DB">
      <w:pPr>
        <w:widowControl/>
        <w:tabs>
          <w:tab w:val="left" w:pos="360"/>
          <w:tab w:val="left" w:pos="720"/>
          <w:tab w:val="left" w:pos="108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4638C2" w:rsidRDefault="004638C2" w:rsidP="004638C2">
      <w:pPr>
        <w:widowControl/>
        <w:tabs>
          <w:tab w:val="left" w:pos="-1080"/>
          <w:tab w:val="left" w:pos="-720"/>
          <w:tab w:val="left" w:pos="360"/>
          <w:tab w:val="left" w:pos="720"/>
        </w:tabs>
        <w:rPr>
          <w:rFonts w:ascii="Times New Roman" w:hAnsi="Times New Roman"/>
        </w:rPr>
      </w:pPr>
      <w:r>
        <w:rPr>
          <w:rFonts w:ascii="Times New Roman" w:hAnsi="Times New Roman"/>
        </w:rPr>
        <w:tab/>
      </w:r>
    </w:p>
    <w:p w:rsidR="00BB767B" w:rsidRDefault="004638C2">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5A07CF">
        <w:rPr>
          <w:rFonts w:ascii="Times New Roman" w:hAnsi="Times New Roman"/>
          <w:b/>
          <w:i/>
        </w:rPr>
        <w:t>;</w:t>
      </w:r>
    </w:p>
    <w:p w:rsidR="00AB52DA" w:rsidRDefault="00AB52DA" w:rsidP="00AB52DA">
      <w:pPr>
        <w:widowControl/>
        <w:tabs>
          <w:tab w:val="left" w:pos="270"/>
          <w:tab w:val="left" w:pos="720"/>
          <w:tab w:val="left" w:pos="1080"/>
        </w:tabs>
        <w:rPr>
          <w:rFonts w:ascii="Times New Roman" w:hAnsi="Times New Roman"/>
        </w:rPr>
      </w:pPr>
    </w:p>
    <w:p w:rsidR="00AB52DA" w:rsidRDefault="00AB52DA" w:rsidP="00AB52DA">
      <w:pPr>
        <w:widowControl/>
        <w:tabs>
          <w:tab w:val="left" w:pos="270"/>
          <w:tab w:val="left" w:pos="720"/>
          <w:tab w:val="left" w:pos="1080"/>
        </w:tabs>
        <w:rPr>
          <w:rFonts w:ascii="Times New Roman" w:hAnsi="Times New Roman"/>
        </w:rPr>
      </w:pPr>
      <w:proofErr w:type="gramStart"/>
      <w:r w:rsidRPr="00AB52DA">
        <w:rPr>
          <w:rFonts w:ascii="Times New Roman" w:hAnsi="Times New Roman"/>
        </w:rPr>
        <w:t>•</w:t>
      </w:r>
      <w:r w:rsidRPr="00AB52DA">
        <w:rPr>
          <w:rFonts w:ascii="Times New Roman" w:hAnsi="Times New Roman"/>
        </w:rPr>
        <w:tab/>
        <w:t>§</w:t>
      </w:r>
      <w:r>
        <w:rPr>
          <w:rFonts w:ascii="Times New Roman" w:hAnsi="Times New Roman"/>
        </w:rPr>
        <w:t xml:space="preserve"> 250.1705(e).</w:t>
      </w:r>
      <w:proofErr w:type="gramEnd"/>
      <w:r>
        <w:rPr>
          <w:rFonts w:ascii="Times New Roman" w:hAnsi="Times New Roman"/>
        </w:rPr>
        <w:t xml:space="preserve">  The</w:t>
      </w:r>
      <w:r w:rsidRPr="00AB52DA">
        <w:rPr>
          <w:rFonts w:ascii="Times New Roman" w:hAnsi="Times New Roman"/>
        </w:rPr>
        <w:t xml:space="preserve"> BSEE </w:t>
      </w:r>
      <w:r>
        <w:rPr>
          <w:rFonts w:ascii="Times New Roman" w:hAnsi="Times New Roman"/>
        </w:rPr>
        <w:t xml:space="preserve">requires </w:t>
      </w:r>
      <w:r w:rsidRPr="00AB52DA">
        <w:rPr>
          <w:rFonts w:ascii="Times New Roman" w:hAnsi="Times New Roman"/>
        </w:rPr>
        <w:t>notification at least 72 hours prior to shearing ram tests to witness testing, inspections, and information verification.</w:t>
      </w:r>
    </w:p>
    <w:p w:rsidR="00AB52DA" w:rsidRDefault="00AB52DA" w:rsidP="00AB52DA">
      <w:pPr>
        <w:widowControl/>
        <w:tabs>
          <w:tab w:val="left" w:pos="270"/>
          <w:tab w:val="left" w:pos="720"/>
          <w:tab w:val="left" w:pos="1080"/>
        </w:tabs>
        <w:rPr>
          <w:rFonts w:ascii="Times New Roman" w:hAnsi="Times New Roman"/>
        </w:rPr>
      </w:pPr>
    </w:p>
    <w:p w:rsidR="00DA3124" w:rsidRDefault="00DA3124" w:rsidP="00DA3124">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250.1713.</w:t>
      </w:r>
      <w:r>
        <w:rPr>
          <w:rFonts w:ascii="Times New Roman" w:hAnsi="Times New Roman"/>
        </w:rPr>
        <w:t xml:space="preserve"> </w:t>
      </w:r>
      <w:r w:rsidRPr="00E535A9">
        <w:rPr>
          <w:rFonts w:ascii="Times New Roman" w:hAnsi="Times New Roman"/>
        </w:rPr>
        <w:t xml:space="preserve"> </w:t>
      </w:r>
      <w:r>
        <w:rPr>
          <w:rFonts w:ascii="Times New Roman" w:hAnsi="Times New Roman"/>
        </w:rPr>
        <w:t>The BSEE</w:t>
      </w:r>
      <w:r w:rsidRPr="00E535A9">
        <w:rPr>
          <w:rFonts w:ascii="Times New Roman" w:hAnsi="Times New Roman"/>
        </w:rPr>
        <w:t xml:space="preserve"> </w:t>
      </w:r>
      <w:r>
        <w:rPr>
          <w:rFonts w:ascii="Times New Roman" w:hAnsi="Times New Roman"/>
        </w:rPr>
        <w:t xml:space="preserve">requires notification </w:t>
      </w:r>
      <w:r w:rsidRPr="00E535A9">
        <w:rPr>
          <w:rFonts w:ascii="Times New Roman" w:hAnsi="Times New Roman"/>
        </w:rPr>
        <w:t xml:space="preserve">within 48 hours </w:t>
      </w:r>
      <w:r>
        <w:rPr>
          <w:rFonts w:ascii="Times New Roman" w:hAnsi="Times New Roman"/>
        </w:rPr>
        <w:t>before beginning well plugging and abandonment operations in order to have the option of scheduling BSEE personnel to observe operations on site to ensure they are conducted in accordance with applicable regulations and approved procedures.</w:t>
      </w:r>
    </w:p>
    <w:p w:rsidR="00DA3124" w:rsidRDefault="00DA3124" w:rsidP="00DA3124">
      <w:pPr>
        <w:widowControl/>
        <w:tabs>
          <w:tab w:val="left" w:pos="270"/>
          <w:tab w:val="left" w:pos="720"/>
          <w:tab w:val="left" w:pos="1080"/>
        </w:tabs>
        <w:rPr>
          <w:rFonts w:ascii="Times New Roman" w:hAnsi="Times New Roman"/>
        </w:rPr>
      </w:pPr>
    </w:p>
    <w:p w:rsidR="00164F58" w:rsidRDefault="005E2C10" w:rsidP="00D11C5E">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00164F58" w:rsidRPr="00E535A9">
        <w:rPr>
          <w:rFonts w:ascii="Times New Roman" w:hAnsi="Times New Roman"/>
        </w:rPr>
        <w:t xml:space="preserve">250.1722(c). </w:t>
      </w:r>
      <w:r w:rsidR="007E4E0F">
        <w:rPr>
          <w:rFonts w:ascii="Times New Roman" w:hAnsi="Times New Roman"/>
        </w:rPr>
        <w:t xml:space="preserve"> </w:t>
      </w:r>
      <w:r w:rsidR="00DD29E0">
        <w:rPr>
          <w:rFonts w:ascii="Times New Roman" w:hAnsi="Times New Roman"/>
        </w:rPr>
        <w:t xml:space="preserve">The </w:t>
      </w:r>
      <w:r w:rsidR="005A07CF">
        <w:rPr>
          <w:rFonts w:ascii="Times New Roman" w:hAnsi="Times New Roman"/>
        </w:rPr>
        <w:t>BSEE</w:t>
      </w:r>
      <w:r w:rsidR="00164F58" w:rsidRPr="00E535A9">
        <w:rPr>
          <w:rFonts w:ascii="Times New Roman" w:hAnsi="Times New Roman"/>
        </w:rPr>
        <w:t xml:space="preserve"> </w:t>
      </w:r>
      <w:r w:rsidR="00E535A9" w:rsidRPr="00E535A9">
        <w:rPr>
          <w:rFonts w:ascii="Times New Roman" w:hAnsi="Times New Roman"/>
        </w:rPr>
        <w:t xml:space="preserve">requires notification </w:t>
      </w:r>
      <w:r w:rsidR="00164F58" w:rsidRPr="00E535A9">
        <w:rPr>
          <w:rFonts w:ascii="Times New Roman" w:hAnsi="Times New Roman"/>
        </w:rPr>
        <w:t xml:space="preserve">within 5 days </w:t>
      </w:r>
      <w:r w:rsidR="00BB767B">
        <w:rPr>
          <w:rFonts w:ascii="Times New Roman" w:hAnsi="Times New Roman"/>
        </w:rPr>
        <w:t>in the event a trawl hangs up on (or damages) a protective device (dome) over a subsea wellhead or casing stub in order to ensure that repairs are initiated as soon as possible to eliminate or minimize the possibility that shrimp boats will hang up on the obstruction and cause damage to their nets.</w:t>
      </w:r>
      <w:r w:rsidR="007E4E0F">
        <w:rPr>
          <w:rFonts w:ascii="Times New Roman" w:hAnsi="Times New Roman"/>
        </w:rPr>
        <w:t xml:space="preserve"> </w:t>
      </w:r>
      <w:r w:rsidR="00BB767B">
        <w:rPr>
          <w:rFonts w:ascii="Times New Roman" w:hAnsi="Times New Roman"/>
        </w:rPr>
        <w:t xml:space="preserve"> </w:t>
      </w:r>
      <w:r w:rsidR="00E535A9">
        <w:rPr>
          <w:rFonts w:ascii="Times New Roman" w:hAnsi="Times New Roman"/>
        </w:rPr>
        <w:t xml:space="preserve">It allows </w:t>
      </w:r>
      <w:r w:rsidR="00DA3124">
        <w:rPr>
          <w:rFonts w:ascii="Times New Roman" w:hAnsi="Times New Roman"/>
        </w:rPr>
        <w:t>BSEE</w:t>
      </w:r>
      <w:r w:rsidR="00E535A9">
        <w:rPr>
          <w:rFonts w:ascii="Times New Roman" w:hAnsi="Times New Roman"/>
        </w:rPr>
        <w:t xml:space="preserve"> to notify other users of the OCS of the obstruction in a timely manner, thereby reducing the risk to their equipment.</w:t>
      </w:r>
    </w:p>
    <w:p w:rsidR="00BB767B" w:rsidRPr="00E535A9" w:rsidRDefault="00BB767B" w:rsidP="00D11C5E">
      <w:pPr>
        <w:widowControl/>
        <w:tabs>
          <w:tab w:val="num" w:pos="0"/>
          <w:tab w:val="left" w:pos="360"/>
          <w:tab w:val="left" w:pos="720"/>
          <w:tab w:val="left" w:pos="1080"/>
        </w:tabs>
        <w:rPr>
          <w:rFonts w:ascii="Times New Roman" w:hAnsi="Times New Roman"/>
        </w:rPr>
      </w:pPr>
    </w:p>
    <w:p w:rsidR="00164F58" w:rsidRDefault="005E2C10" w:rsidP="00D11C5E">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00164F58" w:rsidRPr="00E535A9">
        <w:rPr>
          <w:rFonts w:ascii="Times New Roman" w:hAnsi="Times New Roman"/>
        </w:rPr>
        <w:t>250.1725</w:t>
      </w:r>
      <w:r w:rsidR="00AB52DA">
        <w:rPr>
          <w:rFonts w:ascii="Times New Roman" w:hAnsi="Times New Roman"/>
        </w:rPr>
        <w:t>(e)</w:t>
      </w:r>
      <w:r w:rsidR="00164F58" w:rsidRPr="00E535A9">
        <w:rPr>
          <w:rFonts w:ascii="Times New Roman" w:hAnsi="Times New Roman"/>
        </w:rPr>
        <w:t>.</w:t>
      </w:r>
      <w:r w:rsidR="007E4E0F">
        <w:rPr>
          <w:rFonts w:ascii="Times New Roman" w:hAnsi="Times New Roman"/>
        </w:rPr>
        <w:t xml:space="preserve"> </w:t>
      </w:r>
      <w:r w:rsidR="00DD29E0">
        <w:rPr>
          <w:rFonts w:ascii="Times New Roman" w:hAnsi="Times New Roman"/>
        </w:rPr>
        <w:t xml:space="preserve"> The</w:t>
      </w:r>
      <w:r w:rsidR="00164F58" w:rsidRPr="00E535A9">
        <w:rPr>
          <w:rFonts w:ascii="Times New Roman" w:hAnsi="Times New Roman"/>
        </w:rPr>
        <w:t xml:space="preserve"> </w:t>
      </w:r>
      <w:r w:rsidR="00AB52DA">
        <w:rPr>
          <w:rFonts w:ascii="Times New Roman" w:hAnsi="Times New Roman"/>
        </w:rPr>
        <w:t xml:space="preserve">BSEE </w:t>
      </w:r>
      <w:r w:rsidR="00E535A9">
        <w:rPr>
          <w:rFonts w:ascii="Times New Roman" w:hAnsi="Times New Roman"/>
        </w:rPr>
        <w:t xml:space="preserve">requires notification </w:t>
      </w:r>
      <w:r w:rsidR="00164F58" w:rsidRPr="00E535A9">
        <w:rPr>
          <w:rFonts w:ascii="Times New Roman" w:hAnsi="Times New Roman"/>
        </w:rPr>
        <w:t>within 48 ho</w:t>
      </w:r>
      <w:r w:rsidR="00E535A9">
        <w:rPr>
          <w:rFonts w:ascii="Times New Roman" w:hAnsi="Times New Roman"/>
        </w:rPr>
        <w:t xml:space="preserve">urs before beginning </w:t>
      </w:r>
      <w:r w:rsidR="001367C5">
        <w:rPr>
          <w:rFonts w:ascii="Times New Roman" w:hAnsi="Times New Roman"/>
        </w:rPr>
        <w:t xml:space="preserve">platform removal operations in order to have the option of scheduling </w:t>
      </w:r>
      <w:r w:rsidR="00AB52DA">
        <w:rPr>
          <w:rFonts w:ascii="Times New Roman" w:hAnsi="Times New Roman"/>
        </w:rPr>
        <w:t>BSEE</w:t>
      </w:r>
      <w:r w:rsidR="001367C5">
        <w:rPr>
          <w:rFonts w:ascii="Times New Roman" w:hAnsi="Times New Roman"/>
        </w:rPr>
        <w:t xml:space="preserve"> personnel to observe removal operations on site in the field to ensure that they are conducted in accordance with applicable regulations and approved procedures for the use of explosives, removal of platform </w:t>
      </w:r>
      <w:r w:rsidR="00C226AA">
        <w:rPr>
          <w:rFonts w:ascii="Times New Roman" w:hAnsi="Times New Roman"/>
        </w:rPr>
        <w:t>piling to 15 feet below the sea</w:t>
      </w:r>
      <w:r w:rsidR="001367C5">
        <w:rPr>
          <w:rFonts w:ascii="Times New Roman" w:hAnsi="Times New Roman"/>
        </w:rPr>
        <w:t xml:space="preserve">floor, proper site clearance, etc. </w:t>
      </w:r>
    </w:p>
    <w:p w:rsidR="00164F58" w:rsidRDefault="00164F58">
      <w:pPr>
        <w:widowControl/>
        <w:tabs>
          <w:tab w:val="left" w:pos="360"/>
          <w:tab w:val="left" w:pos="720"/>
          <w:tab w:val="left" w:pos="1080"/>
        </w:tabs>
        <w:rPr>
          <w:rFonts w:ascii="Times New Roman" w:hAnsi="Times New Roman"/>
        </w:rPr>
      </w:pP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rsidR="004638C2" w:rsidRPr="00F5139C" w:rsidRDefault="004638C2" w:rsidP="004638C2">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4638C2" w:rsidRPr="00F5139C" w:rsidRDefault="004638C2" w:rsidP="004638C2">
      <w:pPr>
        <w:widowControl/>
        <w:tabs>
          <w:tab w:val="left" w:pos="-1080"/>
          <w:tab w:val="left" w:pos="-720"/>
          <w:tab w:val="left" w:pos="360"/>
          <w:tab w:val="left" w:pos="720"/>
        </w:tabs>
        <w:rPr>
          <w:rFonts w:ascii="Times New Roman" w:hAnsi="Times New Roman"/>
        </w:rPr>
      </w:pP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213B90">
        <w:rPr>
          <w:rFonts w:ascii="Times New Roman" w:hAnsi="Times New Roman"/>
          <w:b/>
          <w:i/>
        </w:rPr>
        <w:t>;</w:t>
      </w:r>
    </w:p>
    <w:p w:rsidR="004638C2" w:rsidRPr="00F5139C" w:rsidRDefault="004638C2" w:rsidP="004638C2">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4638C2" w:rsidRPr="001C67BB" w:rsidRDefault="004638C2" w:rsidP="004638C2">
      <w:pPr>
        <w:widowControl/>
        <w:tabs>
          <w:tab w:val="left" w:pos="-1080"/>
          <w:tab w:val="left" w:pos="-720"/>
          <w:tab w:val="left" w:pos="360"/>
          <w:tab w:val="left" w:pos="720"/>
        </w:tabs>
        <w:rPr>
          <w:rFonts w:ascii="Times New Roman" w:hAnsi="Times New Roman"/>
          <w:b/>
        </w:rPr>
      </w:pP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E62054">
        <w:rPr>
          <w:rFonts w:ascii="Times New Roman" w:hAnsi="Times New Roman"/>
          <w:b/>
          <w:i/>
        </w:rPr>
        <w:t xml:space="preserve"> records, for more than 3 years;</w:t>
      </w:r>
    </w:p>
    <w:p w:rsidR="004638C2" w:rsidRPr="00F5139C" w:rsidRDefault="004638C2" w:rsidP="004638C2">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4638C2" w:rsidRPr="001C67BB" w:rsidRDefault="004638C2" w:rsidP="004638C2">
      <w:pPr>
        <w:widowControl/>
        <w:tabs>
          <w:tab w:val="left" w:pos="-1080"/>
          <w:tab w:val="left" w:pos="-720"/>
          <w:tab w:val="left" w:pos="360"/>
          <w:tab w:val="left" w:pos="720"/>
        </w:tabs>
        <w:rPr>
          <w:rFonts w:ascii="Times New Roman" w:hAnsi="Times New Roman"/>
          <w:b/>
        </w:rPr>
      </w:pPr>
    </w:p>
    <w:p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E62054">
        <w:rPr>
          <w:rFonts w:ascii="Times New Roman" w:hAnsi="Times New Roman"/>
          <w:b/>
          <w:i/>
        </w:rPr>
        <w:t>alized to the universe of study;</w:t>
      </w:r>
    </w:p>
    <w:p w:rsidR="004638C2" w:rsidRPr="00F5139C" w:rsidRDefault="004638C2" w:rsidP="004638C2">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4638C2" w:rsidRPr="001C67BB" w:rsidRDefault="004638C2" w:rsidP="004638C2">
      <w:pPr>
        <w:widowControl/>
        <w:tabs>
          <w:tab w:val="left" w:pos="-1080"/>
          <w:tab w:val="left" w:pos="-720"/>
          <w:tab w:val="left" w:pos="360"/>
          <w:tab w:val="left" w:pos="720"/>
        </w:tabs>
        <w:rPr>
          <w:rFonts w:ascii="Times New Roman" w:hAnsi="Times New Roman"/>
          <w:b/>
        </w:rPr>
      </w:pPr>
    </w:p>
    <w:p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w:t>
      </w:r>
      <w:r w:rsidR="00E62054">
        <w:rPr>
          <w:rFonts w:ascii="Times New Roman" w:hAnsi="Times New Roman"/>
          <w:b/>
          <w:i/>
        </w:rPr>
        <w:t>en reviewed and approved by OMB;</w:t>
      </w:r>
    </w:p>
    <w:p w:rsidR="006E35DB" w:rsidRDefault="00E62054" w:rsidP="00E62054">
      <w:pPr>
        <w:widowControl/>
        <w:tabs>
          <w:tab w:val="left" w:pos="360"/>
          <w:tab w:val="left" w:pos="720"/>
          <w:tab w:val="left" w:pos="1080"/>
        </w:tabs>
        <w:rPr>
          <w:rFonts w:ascii="Times New Roman" w:hAnsi="Times New Roman"/>
        </w:rPr>
      </w:pPr>
      <w:r w:rsidRPr="00E62054">
        <w:rPr>
          <w:rFonts w:ascii="Times New Roman" w:hAnsi="Times New Roman"/>
        </w:rPr>
        <w:t>Not applicable in this collection.</w:t>
      </w:r>
    </w:p>
    <w:p w:rsidR="00E62054" w:rsidRDefault="00E62054" w:rsidP="00E62054">
      <w:pPr>
        <w:widowControl/>
        <w:tabs>
          <w:tab w:val="left" w:pos="360"/>
          <w:tab w:val="left" w:pos="720"/>
          <w:tab w:val="left" w:pos="1080"/>
        </w:tabs>
        <w:rPr>
          <w:rFonts w:ascii="Times New Roman" w:hAnsi="Times New Roman"/>
        </w:rPr>
      </w:pPr>
    </w:p>
    <w:p w:rsidR="004638C2" w:rsidRPr="00B27CC7" w:rsidRDefault="00975CA3"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4638C2"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rsidR="004638C2" w:rsidRDefault="00E62054" w:rsidP="004638C2">
      <w:pPr>
        <w:widowControl/>
        <w:tabs>
          <w:tab w:val="left" w:pos="-1080"/>
          <w:tab w:val="left" w:pos="-720"/>
          <w:tab w:val="left" w:pos="360"/>
          <w:tab w:val="left" w:pos="720"/>
        </w:tabs>
        <w:rPr>
          <w:rFonts w:ascii="Times New Roman" w:hAnsi="Times New Roman"/>
        </w:rPr>
      </w:pPr>
      <w:r w:rsidRPr="00E62054">
        <w:rPr>
          <w:rFonts w:ascii="Times New Roman" w:hAnsi="Times New Roman"/>
        </w:rPr>
        <w:t>Not applicable in this collection.</w:t>
      </w:r>
    </w:p>
    <w:p w:rsidR="00E62054" w:rsidRPr="001C67BB" w:rsidRDefault="00E62054" w:rsidP="004638C2">
      <w:pPr>
        <w:widowControl/>
        <w:tabs>
          <w:tab w:val="left" w:pos="-1080"/>
          <w:tab w:val="left" w:pos="-720"/>
          <w:tab w:val="left" w:pos="360"/>
          <w:tab w:val="left" w:pos="720"/>
        </w:tabs>
        <w:rPr>
          <w:rFonts w:ascii="Times New Roman" w:hAnsi="Times New Roman"/>
          <w:b/>
        </w:rPr>
      </w:pPr>
    </w:p>
    <w:p w:rsidR="004638C2" w:rsidRPr="00B27CC7"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4638C2" w:rsidRDefault="00E62054" w:rsidP="004638C2">
      <w:pPr>
        <w:widowControl/>
        <w:tabs>
          <w:tab w:val="left" w:pos="-1080"/>
          <w:tab w:val="left" w:pos="-720"/>
          <w:tab w:val="left" w:pos="360"/>
          <w:tab w:val="left" w:pos="720"/>
        </w:tabs>
        <w:rPr>
          <w:rFonts w:ascii="Times New Roman" w:hAnsi="Times New Roman"/>
        </w:rPr>
      </w:pPr>
      <w:r w:rsidRPr="00E62054">
        <w:rPr>
          <w:rFonts w:ascii="Times New Roman" w:hAnsi="Times New Roman"/>
        </w:rPr>
        <w:t>Not applicable in this collection.</w:t>
      </w:r>
    </w:p>
    <w:p w:rsidR="00E62054" w:rsidRDefault="00E62054" w:rsidP="004638C2">
      <w:pPr>
        <w:widowControl/>
        <w:tabs>
          <w:tab w:val="left" w:pos="-1080"/>
          <w:tab w:val="left" w:pos="-720"/>
          <w:tab w:val="left" w:pos="360"/>
          <w:tab w:val="left" w:pos="720"/>
        </w:tabs>
        <w:rPr>
          <w:rFonts w:ascii="Times New Roman" w:hAnsi="Times New Roman"/>
        </w:rPr>
      </w:pPr>
    </w:p>
    <w:p w:rsidR="004638C2"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rsidR="004638C2" w:rsidRDefault="004638C2" w:rsidP="004638C2">
      <w:pPr>
        <w:widowControl/>
        <w:tabs>
          <w:tab w:val="left" w:pos="360"/>
          <w:tab w:val="left" w:pos="720"/>
          <w:tab w:val="left" w:pos="1080"/>
        </w:tabs>
        <w:rPr>
          <w:rFonts w:ascii="Times New Roman" w:hAnsi="Times New Roman"/>
          <w:b/>
        </w:rPr>
      </w:pPr>
    </w:p>
    <w:p w:rsidR="00050F24"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rsidR="00050F24" w:rsidRDefault="00050F24" w:rsidP="004638C2">
      <w:pPr>
        <w:widowControl/>
        <w:tabs>
          <w:tab w:val="left" w:pos="360"/>
          <w:tab w:val="left" w:pos="720"/>
          <w:tab w:val="left" w:pos="1080"/>
        </w:tabs>
        <w:rPr>
          <w:rFonts w:ascii="Times New Roman" w:hAnsi="Times New Roman"/>
          <w:b/>
          <w:i/>
        </w:rPr>
      </w:pPr>
    </w:p>
    <w:p w:rsidR="004638C2" w:rsidRDefault="004638C2" w:rsidP="004638C2">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4638C2" w:rsidRDefault="004638C2">
      <w:pPr>
        <w:widowControl/>
        <w:tabs>
          <w:tab w:val="left" w:pos="360"/>
          <w:tab w:val="left" w:pos="720"/>
          <w:tab w:val="left" w:pos="1080"/>
        </w:tabs>
        <w:rPr>
          <w:rFonts w:ascii="Times New Roman" w:hAnsi="Times New Roman"/>
        </w:rPr>
      </w:pPr>
    </w:p>
    <w:p w:rsidR="004638C2" w:rsidRDefault="00FE650A" w:rsidP="004638C2">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050F24">
        <w:rPr>
          <w:rFonts w:ascii="Times New Roman" w:hAnsi="Times New Roman"/>
        </w:rPr>
        <w:t>BSEE</w:t>
      </w:r>
      <w:r w:rsidRPr="000757B1">
        <w:rPr>
          <w:rFonts w:ascii="Times New Roman" w:hAnsi="Times New Roman"/>
        </w:rPr>
        <w:t xml:space="preserve"> </w:t>
      </w:r>
      <w:r w:rsidR="000E4B4B">
        <w:rPr>
          <w:rFonts w:ascii="Times New Roman" w:hAnsi="Times New Roman"/>
        </w:rPr>
        <w:t>published</w:t>
      </w:r>
      <w:r w:rsidRPr="000757B1">
        <w:rPr>
          <w:rFonts w:ascii="Times New Roman" w:hAnsi="Times New Roman"/>
        </w:rPr>
        <w:t xml:space="preserve"> a 60-day notice in the </w:t>
      </w:r>
      <w:r w:rsidRPr="00763513">
        <w:rPr>
          <w:rFonts w:ascii="Times New Roman" w:hAnsi="Times New Roman"/>
          <w:b/>
        </w:rPr>
        <w:t>Federal Register</w:t>
      </w:r>
      <w:r w:rsidRPr="000757B1">
        <w:rPr>
          <w:rFonts w:ascii="Times New Roman" w:hAnsi="Times New Roman"/>
        </w:rPr>
        <w:t xml:space="preserve"> on </w:t>
      </w:r>
      <w:r w:rsidR="00B443E3" w:rsidRPr="00B443E3">
        <w:rPr>
          <w:rFonts w:ascii="Times New Roman" w:hAnsi="Times New Roman"/>
        </w:rPr>
        <w:t>May 21</w:t>
      </w:r>
      <w:r w:rsidR="00256EDA" w:rsidRPr="00B443E3">
        <w:rPr>
          <w:rFonts w:ascii="Times New Roman" w:hAnsi="Times New Roman"/>
        </w:rPr>
        <w:t>, 201</w:t>
      </w:r>
      <w:r w:rsidR="00B443E3" w:rsidRPr="00B443E3">
        <w:rPr>
          <w:rFonts w:ascii="Times New Roman" w:hAnsi="Times New Roman"/>
        </w:rPr>
        <w:t>3</w:t>
      </w:r>
      <w:r w:rsidRPr="00B443E3">
        <w:rPr>
          <w:rFonts w:ascii="Times New Roman" w:hAnsi="Times New Roman"/>
        </w:rPr>
        <w:t xml:space="preserve"> (</w:t>
      </w:r>
      <w:r w:rsidR="009917A4" w:rsidRPr="00B443E3">
        <w:rPr>
          <w:rFonts w:ascii="Times New Roman" w:hAnsi="Times New Roman"/>
        </w:rPr>
        <w:t>7</w:t>
      </w:r>
      <w:r w:rsidR="00B443E3" w:rsidRPr="00B443E3">
        <w:rPr>
          <w:rFonts w:ascii="Times New Roman" w:hAnsi="Times New Roman"/>
        </w:rPr>
        <w:t>8</w:t>
      </w:r>
      <w:r w:rsidRPr="00B443E3">
        <w:rPr>
          <w:rFonts w:ascii="Times New Roman" w:hAnsi="Times New Roman"/>
        </w:rPr>
        <w:t xml:space="preserve"> FR </w:t>
      </w:r>
      <w:r w:rsidR="00B443E3" w:rsidRPr="00B443E3">
        <w:rPr>
          <w:rFonts w:ascii="Times New Roman" w:hAnsi="Times New Roman"/>
        </w:rPr>
        <w:t>29772</w:t>
      </w:r>
      <w:r w:rsidR="00B86FC2" w:rsidRPr="003A0344">
        <w:rPr>
          <w:rFonts w:ascii="Times New Roman" w:hAnsi="Times New Roman"/>
        </w:rPr>
        <w:t>).</w:t>
      </w:r>
      <w:r w:rsidR="00B86FC2" w:rsidRPr="00256EDA">
        <w:rPr>
          <w:rFonts w:ascii="Times New Roman" w:hAnsi="Times New Roman"/>
        </w:rPr>
        <w:t xml:space="preserve">  </w:t>
      </w:r>
      <w:r w:rsidR="000E4B4B" w:rsidRPr="003A0344">
        <w:rPr>
          <w:rFonts w:ascii="Times New Roman" w:hAnsi="Times New Roman"/>
        </w:rPr>
        <w:t>Also</w:t>
      </w:r>
      <w:r w:rsidR="000E4B4B">
        <w:rPr>
          <w:rFonts w:ascii="Times New Roman" w:hAnsi="Times New Roman"/>
        </w:rPr>
        <w:t>,</w:t>
      </w:r>
      <w:r w:rsidRPr="00256EDA">
        <w:rPr>
          <w:rFonts w:ascii="Times New Roman" w:hAnsi="Times New Roman"/>
        </w:rPr>
        <w:t xml:space="preserve"> 30 CFR 250.199 explains that </w:t>
      </w:r>
      <w:r w:rsidR="00050F24">
        <w:rPr>
          <w:rFonts w:ascii="Times New Roman" w:hAnsi="Times New Roman"/>
        </w:rPr>
        <w:t>BSEE</w:t>
      </w:r>
      <w:r w:rsidRPr="00256EDA">
        <w:rPr>
          <w:rFonts w:ascii="Times New Roman" w:hAnsi="Times New Roman"/>
        </w:rPr>
        <w:t xml:space="preserve"> will accept comments at any time on the information collect</w:t>
      </w:r>
      <w:r w:rsidR="000E4B4B">
        <w:rPr>
          <w:rFonts w:ascii="Times New Roman" w:hAnsi="Times New Roman"/>
        </w:rPr>
        <w:t>ed</w:t>
      </w:r>
      <w:r w:rsidRPr="00256EDA">
        <w:rPr>
          <w:rFonts w:ascii="Times New Roman" w:hAnsi="Times New Roman"/>
        </w:rPr>
        <w:t xml:space="preserve"> and </w:t>
      </w:r>
      <w:r w:rsidR="000E4B4B">
        <w:rPr>
          <w:rFonts w:ascii="Times New Roman" w:hAnsi="Times New Roman"/>
        </w:rPr>
        <w:t xml:space="preserve">the </w:t>
      </w:r>
      <w:r w:rsidRPr="00256EDA">
        <w:rPr>
          <w:rFonts w:ascii="Times New Roman" w:hAnsi="Times New Roman"/>
        </w:rPr>
        <w:t xml:space="preserve">burden.  We display the OMB control number and provide the address for sending comments to </w:t>
      </w:r>
      <w:r w:rsidR="00050F24">
        <w:rPr>
          <w:rFonts w:ascii="Times New Roman" w:hAnsi="Times New Roman"/>
        </w:rPr>
        <w:t>BSEE</w:t>
      </w:r>
      <w:r w:rsidRPr="00256EDA">
        <w:rPr>
          <w:rFonts w:ascii="Times New Roman" w:hAnsi="Times New Roman"/>
        </w:rPr>
        <w:t xml:space="preserve">.  We received </w:t>
      </w:r>
      <w:r w:rsidR="00CD6654" w:rsidRPr="000E0A47">
        <w:rPr>
          <w:rFonts w:ascii="Times New Roman" w:hAnsi="Times New Roman"/>
        </w:rPr>
        <w:t>one</w:t>
      </w:r>
      <w:r w:rsidRPr="000757B1">
        <w:rPr>
          <w:rFonts w:ascii="Times New Roman" w:hAnsi="Times New Roman"/>
        </w:rPr>
        <w:t xml:space="preserve"> comment in response </w:t>
      </w:r>
      <w:r w:rsidRPr="000757B1">
        <w:rPr>
          <w:rFonts w:ascii="Times New Roman" w:hAnsi="Times New Roman"/>
        </w:rPr>
        <w:lastRenderedPageBreak/>
        <w:t xml:space="preserve">to the </w:t>
      </w:r>
      <w:r w:rsidRPr="00763513">
        <w:rPr>
          <w:rFonts w:ascii="Times New Roman" w:hAnsi="Times New Roman"/>
          <w:b/>
        </w:rPr>
        <w:t>Federal Register</w:t>
      </w:r>
      <w:r w:rsidRPr="000757B1">
        <w:rPr>
          <w:rFonts w:ascii="Times New Roman" w:hAnsi="Times New Roman"/>
        </w:rPr>
        <w:t xml:space="preserve"> notice</w:t>
      </w:r>
      <w:r w:rsidR="009C2CDE">
        <w:rPr>
          <w:rFonts w:ascii="Times New Roman" w:hAnsi="Times New Roman"/>
        </w:rPr>
        <w:t xml:space="preserve">, but it </w:t>
      </w:r>
      <w:r w:rsidR="00E35011">
        <w:rPr>
          <w:rFonts w:ascii="Times New Roman" w:hAnsi="Times New Roman"/>
        </w:rPr>
        <w:t>was</w:t>
      </w:r>
      <w:r w:rsidR="009C2CDE">
        <w:rPr>
          <w:rFonts w:ascii="Times New Roman" w:hAnsi="Times New Roman"/>
        </w:rPr>
        <w:t xml:space="preserve"> not germane to the paperwork burden associated with this collection</w:t>
      </w:r>
      <w:r w:rsidR="00CD6654">
        <w:rPr>
          <w:rFonts w:ascii="Times New Roman" w:hAnsi="Times New Roman"/>
        </w:rPr>
        <w:t xml:space="preserve">.  </w:t>
      </w:r>
    </w:p>
    <w:p w:rsidR="004638C2" w:rsidRDefault="004638C2" w:rsidP="004638C2">
      <w:pPr>
        <w:widowControl/>
        <w:tabs>
          <w:tab w:val="left" w:pos="-1080"/>
          <w:tab w:val="left" w:pos="-720"/>
          <w:tab w:val="left" w:pos="360"/>
          <w:tab w:val="left" w:pos="720"/>
        </w:tabs>
        <w:rPr>
          <w:rFonts w:ascii="Times New Roman" w:hAnsi="Times New Roman"/>
        </w:rPr>
      </w:pPr>
    </w:p>
    <w:p w:rsidR="00565838" w:rsidRPr="00565838" w:rsidRDefault="00565838" w:rsidP="00565838">
      <w:pPr>
        <w:tabs>
          <w:tab w:val="left" w:pos="360"/>
          <w:tab w:val="left" w:pos="720"/>
          <w:tab w:val="left" w:pos="1080"/>
        </w:tabs>
        <w:rPr>
          <w:rFonts w:ascii="Times New Roman" w:hAnsi="Times New Roman"/>
        </w:rPr>
      </w:pPr>
      <w:r w:rsidRPr="00565838">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rsidR="00D338A3" w:rsidRDefault="00D338A3" w:rsidP="00FE650A">
      <w:pPr>
        <w:widowControl/>
        <w:tabs>
          <w:tab w:val="left" w:pos="-1080"/>
          <w:tab w:val="left" w:pos="-720"/>
          <w:tab w:val="left" w:pos="360"/>
          <w:tab w:val="left" w:pos="720"/>
        </w:tabs>
        <w:rPr>
          <w:rFonts w:ascii="Times New Roman" w:hAnsi="Times New Roman"/>
        </w:rPr>
      </w:pPr>
    </w:p>
    <w:p w:rsidR="00807199" w:rsidRPr="00D02FAD" w:rsidRDefault="00E3304D" w:rsidP="00D02FAD">
      <w:pPr>
        <w:numPr>
          <w:ilvl w:val="0"/>
          <w:numId w:val="13"/>
        </w:numPr>
        <w:rPr>
          <w:rFonts w:ascii="Times New Roman" w:hAnsi="Times New Roman"/>
          <w:szCs w:val="24"/>
        </w:rPr>
      </w:pPr>
      <w:r w:rsidRPr="00D02FAD">
        <w:rPr>
          <w:rFonts w:ascii="Times New Roman" w:hAnsi="Times New Roman"/>
          <w:szCs w:val="24"/>
        </w:rPr>
        <w:t>Anadarko Petroleum Corporation</w:t>
      </w:r>
      <w:r w:rsidR="00807199" w:rsidRPr="00D02FAD">
        <w:rPr>
          <w:rFonts w:ascii="Times New Roman" w:hAnsi="Times New Roman"/>
          <w:szCs w:val="24"/>
        </w:rPr>
        <w:t xml:space="preserve">, </w:t>
      </w:r>
      <w:r w:rsidRPr="00D02FAD">
        <w:rPr>
          <w:rFonts w:ascii="Times New Roman" w:hAnsi="Times New Roman"/>
          <w:szCs w:val="24"/>
        </w:rPr>
        <w:t>Teri Powell</w:t>
      </w:r>
      <w:r w:rsidR="00807199" w:rsidRPr="00D02FAD">
        <w:rPr>
          <w:rFonts w:ascii="Times New Roman" w:hAnsi="Times New Roman"/>
          <w:szCs w:val="24"/>
        </w:rPr>
        <w:t xml:space="preserve">, Regulatory </w:t>
      </w:r>
      <w:r w:rsidRPr="00D02FAD">
        <w:rPr>
          <w:rFonts w:ascii="Times New Roman" w:hAnsi="Times New Roman"/>
          <w:szCs w:val="24"/>
        </w:rPr>
        <w:t>Analyst</w:t>
      </w:r>
      <w:r w:rsidR="00807199" w:rsidRPr="00D02FAD">
        <w:rPr>
          <w:rFonts w:ascii="Times New Roman" w:hAnsi="Times New Roman"/>
          <w:szCs w:val="24"/>
        </w:rPr>
        <w:t>,</w:t>
      </w:r>
      <w:r w:rsidR="00D02FAD">
        <w:rPr>
          <w:rFonts w:ascii="Times New Roman" w:hAnsi="Times New Roman"/>
          <w:szCs w:val="24"/>
        </w:rPr>
        <w:t xml:space="preserve"> </w:t>
      </w:r>
      <w:r w:rsidR="00807199" w:rsidRPr="00D02FAD">
        <w:rPr>
          <w:rFonts w:ascii="Times New Roman" w:hAnsi="Times New Roman"/>
          <w:szCs w:val="24"/>
        </w:rPr>
        <w:t>(</w:t>
      </w:r>
      <w:r w:rsidRPr="00D02FAD">
        <w:rPr>
          <w:rFonts w:ascii="Times New Roman" w:hAnsi="Times New Roman"/>
          <w:szCs w:val="24"/>
        </w:rPr>
        <w:t>832</w:t>
      </w:r>
      <w:r w:rsidR="00807199" w:rsidRPr="00D02FAD">
        <w:rPr>
          <w:rFonts w:ascii="Times New Roman" w:hAnsi="Times New Roman"/>
          <w:szCs w:val="24"/>
        </w:rPr>
        <w:t xml:space="preserve">) </w:t>
      </w:r>
      <w:r w:rsidRPr="00D02FAD">
        <w:rPr>
          <w:rFonts w:ascii="Times New Roman" w:hAnsi="Times New Roman"/>
          <w:szCs w:val="24"/>
        </w:rPr>
        <w:t>636</w:t>
      </w:r>
      <w:r w:rsidR="00807199" w:rsidRPr="00D02FAD">
        <w:rPr>
          <w:rFonts w:ascii="Times New Roman" w:hAnsi="Times New Roman"/>
          <w:szCs w:val="24"/>
        </w:rPr>
        <w:t>-</w:t>
      </w:r>
      <w:r w:rsidRPr="00D02FAD">
        <w:rPr>
          <w:rFonts w:ascii="Times New Roman" w:hAnsi="Times New Roman"/>
          <w:szCs w:val="24"/>
        </w:rPr>
        <w:t>1261</w:t>
      </w:r>
      <w:r w:rsidR="00807199" w:rsidRPr="00D02FAD">
        <w:rPr>
          <w:rFonts w:ascii="Times New Roman" w:hAnsi="Times New Roman"/>
          <w:szCs w:val="24"/>
        </w:rPr>
        <w:t xml:space="preserve">, </w:t>
      </w:r>
      <w:r w:rsidR="00686CAD" w:rsidRPr="00D02FAD">
        <w:rPr>
          <w:rFonts w:ascii="Times New Roman" w:hAnsi="Times New Roman"/>
          <w:szCs w:val="24"/>
        </w:rPr>
        <w:t>P.O.</w:t>
      </w:r>
      <w:r w:rsidR="00D02FAD">
        <w:rPr>
          <w:rFonts w:ascii="Times New Roman" w:hAnsi="Times New Roman"/>
          <w:szCs w:val="24"/>
        </w:rPr>
        <w:t xml:space="preserve"> </w:t>
      </w:r>
      <w:r w:rsidR="00686CAD" w:rsidRPr="00D02FAD">
        <w:rPr>
          <w:rFonts w:ascii="Times New Roman" w:hAnsi="Times New Roman"/>
          <w:szCs w:val="24"/>
        </w:rPr>
        <w:t>Box 1330, Houston, Texas 77251</w:t>
      </w:r>
    </w:p>
    <w:p w:rsidR="00807199" w:rsidRPr="00D02FAD" w:rsidRDefault="00807199" w:rsidP="00FE650A">
      <w:pPr>
        <w:widowControl/>
        <w:tabs>
          <w:tab w:val="left" w:pos="-1080"/>
          <w:tab w:val="left" w:pos="-720"/>
          <w:tab w:val="left" w:pos="360"/>
          <w:tab w:val="left" w:pos="720"/>
        </w:tabs>
        <w:rPr>
          <w:rFonts w:ascii="Times New Roman" w:hAnsi="Times New Roman"/>
        </w:rPr>
      </w:pPr>
    </w:p>
    <w:p w:rsidR="00165A68" w:rsidRPr="00D02FAD" w:rsidRDefault="00E3304D" w:rsidP="00D02FAD">
      <w:pPr>
        <w:pStyle w:val="NormalWeb"/>
        <w:numPr>
          <w:ilvl w:val="0"/>
          <w:numId w:val="13"/>
        </w:numPr>
        <w:spacing w:before="0" w:beforeAutospacing="0" w:after="0" w:afterAutospacing="0"/>
      </w:pPr>
      <w:bookmarkStart w:id="0" w:name=""/>
      <w:r w:rsidRPr="00D02FAD">
        <w:rPr>
          <w:bCs/>
        </w:rPr>
        <w:t>Apache Corporation</w:t>
      </w:r>
      <w:r w:rsidR="00165A68" w:rsidRPr="00D02FAD">
        <w:rPr>
          <w:bCs/>
        </w:rPr>
        <w:t xml:space="preserve">, </w:t>
      </w:r>
      <w:r w:rsidRPr="00D02FAD">
        <w:rPr>
          <w:bCs/>
        </w:rPr>
        <w:t>Cheryl Powell</w:t>
      </w:r>
      <w:r w:rsidR="00165A68" w:rsidRPr="00D02FAD">
        <w:rPr>
          <w:bCs/>
        </w:rPr>
        <w:t>,</w:t>
      </w:r>
      <w:r w:rsidR="00165A68" w:rsidRPr="00D02FAD">
        <w:t xml:space="preserve"> Regulatory </w:t>
      </w:r>
      <w:r w:rsidRPr="00D02FAD">
        <w:t>Manager</w:t>
      </w:r>
      <w:r w:rsidR="00165A68" w:rsidRPr="00D02FAD">
        <w:t>,</w:t>
      </w:r>
      <w:r w:rsidR="00D02FAD">
        <w:t xml:space="preserve"> </w:t>
      </w:r>
      <w:r w:rsidR="00165A68" w:rsidRPr="00D02FAD">
        <w:t xml:space="preserve">(713) </w:t>
      </w:r>
      <w:r w:rsidRPr="00D02FAD">
        <w:t>296</w:t>
      </w:r>
      <w:r w:rsidR="005E134B" w:rsidRPr="00D02FAD">
        <w:t>-</w:t>
      </w:r>
      <w:r w:rsidRPr="00D02FAD">
        <w:t>6811</w:t>
      </w:r>
      <w:r w:rsidR="00165A68" w:rsidRPr="00D02FAD">
        <w:t xml:space="preserve">, </w:t>
      </w:r>
      <w:r w:rsidRPr="00D02FAD">
        <w:t>2000 West Sam Houston Parkway South, Suite 1000</w:t>
      </w:r>
      <w:r w:rsidR="00165A68" w:rsidRPr="00D02FAD">
        <w:t>, Houston, Texas 770</w:t>
      </w:r>
      <w:r w:rsidRPr="00D02FAD">
        <w:t>4</w:t>
      </w:r>
      <w:r w:rsidR="00165A68" w:rsidRPr="00D02FAD">
        <w:t>2</w:t>
      </w:r>
    </w:p>
    <w:p w:rsidR="00165A68" w:rsidRPr="00D02FAD" w:rsidRDefault="00165A68" w:rsidP="00165A68">
      <w:pPr>
        <w:pStyle w:val="NormalWeb"/>
        <w:spacing w:before="0" w:beforeAutospacing="0" w:after="0" w:afterAutospacing="0"/>
      </w:pPr>
    </w:p>
    <w:p w:rsidR="00165A68" w:rsidRDefault="00CB3811" w:rsidP="00D02FAD">
      <w:pPr>
        <w:pStyle w:val="NormalWeb"/>
        <w:numPr>
          <w:ilvl w:val="0"/>
          <w:numId w:val="13"/>
        </w:numPr>
        <w:spacing w:before="0" w:beforeAutospacing="0" w:after="0" w:afterAutospacing="0"/>
      </w:pPr>
      <w:r w:rsidRPr="00D02FAD">
        <w:t>Energy XXI</w:t>
      </w:r>
      <w:r w:rsidR="00165A68" w:rsidRPr="00D02FAD">
        <w:t xml:space="preserve">, </w:t>
      </w:r>
      <w:r w:rsidRPr="00D02FAD">
        <w:t>Kay Morgan</w:t>
      </w:r>
      <w:r w:rsidR="00165A68" w:rsidRPr="00D02FAD">
        <w:t xml:space="preserve">, </w:t>
      </w:r>
      <w:r w:rsidR="009C158D" w:rsidRPr="00D02FAD">
        <w:t xml:space="preserve">Regulatory </w:t>
      </w:r>
      <w:r w:rsidRPr="00D02FAD">
        <w:t>Manager</w:t>
      </w:r>
      <w:r w:rsidR="009C158D" w:rsidRPr="00D02FAD">
        <w:t>,</w:t>
      </w:r>
      <w:r w:rsidR="00D02FAD">
        <w:t xml:space="preserve"> </w:t>
      </w:r>
      <w:r w:rsidR="00165A68" w:rsidRPr="00D02FAD">
        <w:t>(713)</w:t>
      </w:r>
      <w:r w:rsidR="009C158D" w:rsidRPr="00D02FAD">
        <w:t xml:space="preserve"> </w:t>
      </w:r>
      <w:r w:rsidRPr="00D02FAD">
        <w:t>351</w:t>
      </w:r>
      <w:r w:rsidR="00165A68" w:rsidRPr="00D02FAD">
        <w:t>-</w:t>
      </w:r>
      <w:r w:rsidRPr="00D02FAD">
        <w:t>3048</w:t>
      </w:r>
      <w:r w:rsidR="00165A68" w:rsidRPr="00D02FAD">
        <w:t xml:space="preserve">, </w:t>
      </w:r>
      <w:r w:rsidRPr="00D02FAD">
        <w:t>1021 Main Street</w:t>
      </w:r>
      <w:r w:rsidR="00165A68" w:rsidRPr="00D02FAD">
        <w:t>,</w:t>
      </w:r>
      <w:r w:rsidR="009C158D" w:rsidRPr="00D02FAD">
        <w:t xml:space="preserve"> </w:t>
      </w:r>
      <w:r w:rsidR="00165A68" w:rsidRPr="00D02FAD">
        <w:t xml:space="preserve">Suite </w:t>
      </w:r>
      <w:r w:rsidRPr="00D02FAD">
        <w:t>2626</w:t>
      </w:r>
      <w:r w:rsidR="00165A68" w:rsidRPr="00D02FAD">
        <w:t>, Houston, Texas  770</w:t>
      </w:r>
      <w:r w:rsidRPr="00D02FAD">
        <w:t>02</w:t>
      </w:r>
    </w:p>
    <w:p w:rsidR="00763513" w:rsidRPr="00165A68" w:rsidRDefault="00763513" w:rsidP="00763513">
      <w:pPr>
        <w:pStyle w:val="NormalWeb"/>
        <w:spacing w:before="0" w:beforeAutospacing="0" w:after="0" w:afterAutospacing="0"/>
      </w:pPr>
    </w:p>
    <w:bookmarkEnd w:id="0"/>
    <w:p w:rsidR="00763513" w:rsidRDefault="00560123" w:rsidP="00560123">
      <w:pPr>
        <w:widowControl/>
        <w:tabs>
          <w:tab w:val="left" w:pos="-1080"/>
          <w:tab w:val="left" w:pos="-720"/>
          <w:tab w:val="left" w:pos="360"/>
          <w:tab w:val="left" w:pos="720"/>
        </w:tabs>
        <w:rPr>
          <w:rFonts w:ascii="Times New Roman" w:hAnsi="Times New Roman"/>
        </w:rPr>
      </w:pPr>
      <w:r w:rsidRPr="00560123">
        <w:rPr>
          <w:rFonts w:ascii="Times New Roman" w:hAnsi="Times New Roman"/>
        </w:rPr>
        <w:t xml:space="preserve">All the different reporting and recordkeeping requirements that are listed in the following Subpart Q burden table </w:t>
      </w:r>
      <w:r>
        <w:rPr>
          <w:rFonts w:ascii="Times New Roman" w:hAnsi="Times New Roman"/>
        </w:rPr>
        <w:t xml:space="preserve">(Section </w:t>
      </w:r>
      <w:proofErr w:type="spellStart"/>
      <w:r>
        <w:rPr>
          <w:rFonts w:ascii="Times New Roman" w:hAnsi="Times New Roman"/>
        </w:rPr>
        <w:t>A.12</w:t>
      </w:r>
      <w:proofErr w:type="spellEnd"/>
      <w:r>
        <w:rPr>
          <w:rFonts w:ascii="Times New Roman" w:hAnsi="Times New Roman"/>
        </w:rPr>
        <w:t xml:space="preserve">) </w:t>
      </w:r>
      <w:r w:rsidRPr="00560123">
        <w:rPr>
          <w:rFonts w:ascii="Times New Roman" w:hAnsi="Times New Roman"/>
        </w:rPr>
        <w:t xml:space="preserve">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w:t>
      </w:r>
      <w:proofErr w:type="spellStart"/>
      <w:r w:rsidRPr="00560123">
        <w:rPr>
          <w:rFonts w:ascii="Times New Roman" w:hAnsi="Times New Roman"/>
        </w:rPr>
        <w:t>A.12</w:t>
      </w:r>
      <w:proofErr w:type="spellEnd"/>
      <w:r w:rsidRPr="00560123">
        <w:rPr>
          <w:rFonts w:ascii="Times New Roman" w:hAnsi="Times New Roman"/>
        </w:rPr>
        <w:t>.</w:t>
      </w:r>
      <w:r>
        <w:rPr>
          <w:rFonts w:ascii="Times New Roman" w:hAnsi="Times New Roman"/>
        </w:rPr>
        <w:t xml:space="preserve">   </w:t>
      </w:r>
    </w:p>
    <w:p w:rsidR="00763513" w:rsidRDefault="00763513" w:rsidP="004638C2">
      <w:pPr>
        <w:widowControl/>
        <w:tabs>
          <w:tab w:val="left" w:pos="-1080"/>
          <w:tab w:val="left" w:pos="-720"/>
          <w:tab w:val="left" w:pos="360"/>
          <w:tab w:val="left" w:pos="720"/>
        </w:tabs>
        <w:rPr>
          <w:rFonts w:ascii="Times New Roman" w:hAnsi="Times New Roman"/>
        </w:rPr>
      </w:pPr>
    </w:p>
    <w:p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638C2" w:rsidRDefault="004638C2" w:rsidP="00FE650A">
      <w:pPr>
        <w:widowControl/>
        <w:tabs>
          <w:tab w:val="left" w:pos="-1080"/>
          <w:tab w:val="left" w:pos="-720"/>
          <w:tab w:val="left" w:pos="360"/>
          <w:tab w:val="left" w:pos="720"/>
        </w:tabs>
        <w:rPr>
          <w:rFonts w:ascii="Times New Roman" w:hAnsi="Times New Roman"/>
        </w:rPr>
      </w:pPr>
    </w:p>
    <w:p w:rsidR="006E35DB" w:rsidRDefault="00DD29E0">
      <w:pPr>
        <w:widowControl/>
        <w:tabs>
          <w:tab w:val="left" w:pos="360"/>
          <w:tab w:val="left" w:pos="720"/>
        </w:tabs>
        <w:rPr>
          <w:rFonts w:ascii="Times New Roman" w:hAnsi="Times New Roman"/>
        </w:rPr>
      </w:pPr>
      <w:r>
        <w:rPr>
          <w:rFonts w:ascii="Times New Roman" w:hAnsi="Times New Roman"/>
        </w:rPr>
        <w:t xml:space="preserve">The </w:t>
      </w:r>
      <w:r w:rsidR="00F65E78">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rsidR="006E35DB" w:rsidRDefault="006E35DB">
      <w:pPr>
        <w:widowControl/>
        <w:tabs>
          <w:tab w:val="left" w:pos="360"/>
          <w:tab w:val="left" w:pos="720"/>
        </w:tabs>
        <w:rPr>
          <w:rFonts w:ascii="Times New Roman" w:hAnsi="Times New Roman"/>
        </w:rPr>
      </w:pPr>
    </w:p>
    <w:p w:rsidR="004638C2" w:rsidRDefault="004638C2">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4638C2" w:rsidRDefault="004638C2">
      <w:pPr>
        <w:widowControl/>
        <w:tabs>
          <w:tab w:val="left" w:pos="360"/>
          <w:tab w:val="left" w:pos="720"/>
        </w:tabs>
        <w:rPr>
          <w:rFonts w:ascii="Times New Roman" w:hAnsi="Times New Roman"/>
        </w:rPr>
      </w:pPr>
    </w:p>
    <w:p w:rsidR="006E35DB" w:rsidRPr="00BA3233" w:rsidRDefault="00BA3233" w:rsidP="00BA3233">
      <w:pPr>
        <w:tabs>
          <w:tab w:val="left" w:pos="360"/>
          <w:tab w:val="left" w:pos="720"/>
        </w:tabs>
        <w:rPr>
          <w:rFonts w:ascii="Times New Roman" w:hAnsi="Times New Roman"/>
          <w:i/>
        </w:rPr>
      </w:pPr>
      <w:r w:rsidRPr="00BA3233">
        <w:rPr>
          <w:rFonts w:ascii="Times New Roman" w:hAnsi="Times New Roman"/>
        </w:rPr>
        <w:t xml:space="preserve">The BSEE will protect proprietary information according to the Freedom of Information Act (5 U.S.C. 552) and its implementing regulations (43 CFR 2); 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6E35DB" w:rsidRDefault="006E35DB">
      <w:pPr>
        <w:widowControl/>
        <w:tabs>
          <w:tab w:val="left" w:pos="360"/>
          <w:tab w:val="left" w:pos="720"/>
        </w:tabs>
        <w:rPr>
          <w:rFonts w:ascii="Times New Roman" w:hAnsi="Times New Roman"/>
        </w:rPr>
      </w:pPr>
    </w:p>
    <w:p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6E35DB" w:rsidRDefault="001F3345">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rsidR="006E35DB" w:rsidRDefault="006E35DB">
      <w:pPr>
        <w:widowControl/>
        <w:tabs>
          <w:tab w:val="left" w:pos="360"/>
          <w:tab w:val="left" w:pos="72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12.</w:t>
      </w:r>
      <w:r w:rsidRPr="00600EEB">
        <w:rPr>
          <w:rFonts w:ascii="Times New Roman" w:hAnsi="Times New Roman"/>
          <w:b/>
          <w:i/>
        </w:rPr>
        <w:tab/>
        <w:t>Provide estimates of the hour burden of the collection of information.  The statement should:</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w:t>
      </w:r>
      <w:bookmarkStart w:id="1" w:name="_GoBack"/>
      <w:bookmarkEnd w:id="1"/>
      <w:r w:rsidRPr="00600EEB">
        <w:rPr>
          <w:rFonts w:ascii="Times New Roman" w:hAnsi="Times New Roman"/>
          <w:b/>
          <w:i/>
        </w:rPr>
        <w:t>uest for approval covers more than one form, provide separate hour burden estimates for each form and aggregate the hour burdens.</w:t>
      </w:r>
    </w:p>
    <w:p w:rsidR="008B3C3D" w:rsidRDefault="008B3C3D" w:rsidP="0059247E">
      <w:pPr>
        <w:widowControl/>
        <w:tabs>
          <w:tab w:val="left" w:pos="360"/>
          <w:tab w:val="left" w:pos="720"/>
          <w:tab w:val="left" w:pos="1080"/>
        </w:tabs>
        <w:rPr>
          <w:rFonts w:ascii="Times New Roman" w:hAnsi="Times New Roman"/>
        </w:rPr>
      </w:pPr>
    </w:p>
    <w:p w:rsidR="0059247E" w:rsidRPr="0059247E" w:rsidRDefault="0059247E" w:rsidP="0059247E">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w:t>
      </w:r>
      <w:r w:rsidR="00B14CDB" w:rsidRPr="00B14CDB">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and are based on informal discussions with the listed respondents in Section </w:t>
      </w:r>
      <w:proofErr w:type="spellStart"/>
      <w:r w:rsidR="00B14CDB" w:rsidRPr="00B14CDB">
        <w:rPr>
          <w:rFonts w:ascii="Times New Roman" w:hAnsi="Times New Roman"/>
        </w:rPr>
        <w:t>A.8</w:t>
      </w:r>
      <w:proofErr w:type="spellEnd"/>
      <w:r w:rsidR="00B14CDB" w:rsidRPr="00B14CDB">
        <w:rPr>
          <w:rFonts w:ascii="Times New Roman" w:hAnsi="Times New Roman"/>
        </w:rPr>
        <w:t xml:space="preserve">.  </w:t>
      </w:r>
      <w:r w:rsidR="00E61B11" w:rsidRPr="00CC1D90">
        <w:rPr>
          <w:rFonts w:ascii="Times New Roman" w:hAnsi="Times New Roman"/>
        </w:rPr>
        <w:t>Submissions are generally on occasion</w:t>
      </w:r>
      <w:r w:rsidR="003A0344">
        <w:rPr>
          <w:rFonts w:ascii="Times New Roman" w:hAnsi="Times New Roman"/>
        </w:rPr>
        <w:t>,</w:t>
      </w:r>
      <w:r w:rsidR="00E61B11" w:rsidRPr="00CC1D90">
        <w:rPr>
          <w:rFonts w:ascii="Times New Roman" w:hAnsi="Times New Roman"/>
        </w:rPr>
        <w:t xml:space="preserve"> var</w:t>
      </w:r>
      <w:r w:rsidR="00E471CE">
        <w:rPr>
          <w:rFonts w:ascii="Times New Roman" w:hAnsi="Times New Roman"/>
        </w:rPr>
        <w:t>ies</w:t>
      </w:r>
      <w:r w:rsidR="00CC1D90" w:rsidRPr="00CC1D90">
        <w:rPr>
          <w:rFonts w:ascii="Times New Roman" w:hAnsi="Times New Roman"/>
        </w:rPr>
        <w:t xml:space="preserve"> by section</w:t>
      </w:r>
      <w:r w:rsidR="003A0344">
        <w:rPr>
          <w:rFonts w:ascii="Times New Roman" w:hAnsi="Times New Roman"/>
        </w:rPr>
        <w:t>, and annual</w:t>
      </w:r>
      <w:r w:rsidR="00CC1D90" w:rsidRPr="00CC1D90">
        <w:rPr>
          <w:rFonts w:ascii="Times New Roman" w:hAnsi="Times New Roman"/>
        </w:rPr>
        <w:t>.</w:t>
      </w:r>
      <w:r w:rsidR="00CC1D90">
        <w:rPr>
          <w:rFonts w:ascii="Times New Roman" w:hAnsi="Times New Roman"/>
        </w:rPr>
        <w:t xml:space="preserve">  </w:t>
      </w:r>
      <w:r w:rsidR="00CC1D90" w:rsidRP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008B3C3D">
        <w:rPr>
          <w:rFonts w:ascii="Times New Roman" w:hAnsi="Times New Roman"/>
          <w:szCs w:val="24"/>
        </w:rPr>
        <w:t>29,437</w:t>
      </w:r>
      <w:r w:rsidR="00903C91" w:rsidRPr="00903C91">
        <w:rPr>
          <w:rFonts w:ascii="Times New Roman" w:hAnsi="Times New Roman"/>
          <w:szCs w:val="24"/>
        </w:rPr>
        <w:t xml:space="preserve"> </w:t>
      </w:r>
      <w:r w:rsidRPr="0059247E">
        <w:rPr>
          <w:rFonts w:ascii="Times New Roman" w:hAnsi="Times New Roman"/>
        </w:rPr>
        <w:t>hours.  Refer to the following table for a breakdown of the burdens.</w:t>
      </w:r>
    </w:p>
    <w:p w:rsidR="00EA53E9" w:rsidRDefault="00EA53E9" w:rsidP="0059247E">
      <w:pPr>
        <w:widowControl/>
        <w:tabs>
          <w:tab w:val="left" w:pos="360"/>
          <w:tab w:val="left" w:pos="720"/>
          <w:tab w:val="left" w:pos="1080"/>
        </w:tabs>
        <w:rPr>
          <w:rFonts w:ascii="Times New Roman" w:hAnsi="Times New Roman"/>
          <w:sz w:val="22"/>
          <w:szCs w:val="22"/>
        </w:rPr>
      </w:pPr>
    </w:p>
    <w:p w:rsidR="0059247E" w:rsidRPr="0059247E" w:rsidRDefault="0059247E" w:rsidP="0059247E">
      <w:pPr>
        <w:widowControl/>
        <w:tabs>
          <w:tab w:val="left" w:pos="360"/>
          <w:tab w:val="left" w:pos="720"/>
          <w:tab w:val="left" w:pos="1080"/>
        </w:tabs>
        <w:rPr>
          <w:rFonts w:ascii="Times New Roman" w:hAnsi="Times New Roman"/>
          <w:sz w:val="22"/>
          <w:szCs w:val="22"/>
        </w:rPr>
      </w:pPr>
      <w:r w:rsidRPr="0059247E">
        <w:rPr>
          <w:rFonts w:ascii="Times New Roman" w:hAnsi="Times New Roman"/>
          <w:sz w:val="22"/>
          <w:szCs w:val="22"/>
        </w:rPr>
        <w:t>L/T = Lease Term</w:t>
      </w:r>
      <w:r w:rsidRPr="0059247E">
        <w:rPr>
          <w:rFonts w:ascii="Times New Roman" w:hAnsi="Times New Roman"/>
          <w:b/>
        </w:rPr>
        <w:t xml:space="preserve">                      </w:t>
      </w:r>
      <w:r w:rsidR="00EA53E9">
        <w:rPr>
          <w:rFonts w:ascii="Times New Roman" w:hAnsi="Times New Roman"/>
          <w:b/>
        </w:rPr>
        <w:t xml:space="preserve">  </w:t>
      </w:r>
      <w:r w:rsidRPr="0059247E">
        <w:rPr>
          <w:rFonts w:ascii="Times New Roman" w:hAnsi="Times New Roman"/>
          <w:b/>
        </w:rPr>
        <w:t xml:space="preserve">   Burden Breakdown     </w:t>
      </w:r>
      <w:r w:rsidR="00EA53E9">
        <w:rPr>
          <w:rFonts w:ascii="Times New Roman" w:hAnsi="Times New Roman"/>
          <w:b/>
        </w:rPr>
        <w:t xml:space="preserve">  </w:t>
      </w:r>
      <w:r w:rsidRPr="0059247E">
        <w:rPr>
          <w:rFonts w:ascii="Times New Roman" w:hAnsi="Times New Roman"/>
          <w:b/>
        </w:rPr>
        <w:t xml:space="preserve">                         </w:t>
      </w:r>
      <w:r w:rsidRPr="0059247E">
        <w:rPr>
          <w:rFonts w:ascii="Times New Roman" w:hAnsi="Times New Roman"/>
          <w:sz w:val="22"/>
          <w:szCs w:val="22"/>
        </w:rPr>
        <w:t>ROW = Right of Way</w:t>
      </w:r>
    </w:p>
    <w:tbl>
      <w:tblPr>
        <w:tblW w:w="9090" w:type="dxa"/>
        <w:tblInd w:w="12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011"/>
        <w:gridCol w:w="79"/>
        <w:gridCol w:w="4490"/>
        <w:gridCol w:w="990"/>
        <w:gridCol w:w="1350"/>
        <w:gridCol w:w="1170"/>
      </w:tblGrid>
      <w:tr w:rsidR="0059247E" w:rsidRPr="00EA53E9" w:rsidTr="00EA53E9">
        <w:trPr>
          <w:trHeight w:val="413"/>
          <w:tblHeader/>
        </w:trPr>
        <w:tc>
          <w:tcPr>
            <w:tcW w:w="1090" w:type="dxa"/>
            <w:gridSpan w:val="2"/>
            <w:vMerge w:val="restart"/>
            <w:tcBorders>
              <w:top w:val="single" w:sz="2" w:space="0" w:color="000000"/>
              <w:bottom w:val="single" w:sz="4" w:space="0" w:color="auto"/>
            </w:tcBorders>
            <w:vAlign w:val="center"/>
          </w:tcPr>
          <w:p w:rsidR="00AA039F" w:rsidRDefault="0059247E" w:rsidP="00AA039F">
            <w:pPr>
              <w:keepNext/>
              <w:widowControl/>
              <w:tabs>
                <w:tab w:val="left" w:pos="360"/>
              </w:tabs>
              <w:jc w:val="center"/>
              <w:rPr>
                <w:rFonts w:ascii="Times New Roman" w:hAnsi="Times New Roman"/>
                <w:b/>
                <w:snapToGrid/>
                <w:sz w:val="20"/>
              </w:rPr>
            </w:pPr>
            <w:r w:rsidRPr="00EA53E9">
              <w:rPr>
                <w:rFonts w:ascii="Times New Roman" w:hAnsi="Times New Roman"/>
                <w:snapToGrid/>
                <w:sz w:val="20"/>
              </w:rPr>
              <w:br w:type="page"/>
            </w:r>
            <w:r w:rsidR="00AA039F">
              <w:rPr>
                <w:rFonts w:ascii="Times New Roman" w:hAnsi="Times New Roman"/>
                <w:b/>
                <w:snapToGrid/>
                <w:sz w:val="20"/>
              </w:rPr>
              <w:t>Citation 30 CFR</w:t>
            </w:r>
          </w:p>
          <w:p w:rsidR="0059247E" w:rsidRPr="00EA53E9" w:rsidRDefault="00AA039F" w:rsidP="00AA039F">
            <w:pPr>
              <w:keepNext/>
              <w:widowControl/>
              <w:tabs>
                <w:tab w:val="left" w:pos="360"/>
              </w:tabs>
              <w:jc w:val="center"/>
              <w:rPr>
                <w:rFonts w:ascii="Times New Roman" w:hAnsi="Times New Roman"/>
                <w:b/>
                <w:snapToGrid/>
                <w:sz w:val="20"/>
              </w:rPr>
            </w:pPr>
            <w:r>
              <w:rPr>
                <w:rFonts w:ascii="Times New Roman" w:hAnsi="Times New Roman"/>
                <w:b/>
                <w:snapToGrid/>
                <w:sz w:val="20"/>
              </w:rPr>
              <w:t>2</w:t>
            </w:r>
            <w:r w:rsidR="0059247E" w:rsidRPr="00EA53E9">
              <w:rPr>
                <w:rFonts w:ascii="Times New Roman" w:hAnsi="Times New Roman"/>
                <w:b/>
                <w:snapToGrid/>
                <w:sz w:val="20"/>
              </w:rPr>
              <w:t>50 Subpart Q</w:t>
            </w:r>
          </w:p>
        </w:tc>
        <w:tc>
          <w:tcPr>
            <w:tcW w:w="4490" w:type="dxa"/>
            <w:vMerge w:val="restart"/>
            <w:tcBorders>
              <w:top w:val="single" w:sz="2" w:space="0" w:color="000000"/>
              <w:bottom w:val="single" w:sz="4" w:space="0" w:color="auto"/>
            </w:tcBorders>
            <w:vAlign w:val="center"/>
          </w:tcPr>
          <w:p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Reporting Requirement</w:t>
            </w:r>
          </w:p>
        </w:tc>
        <w:tc>
          <w:tcPr>
            <w:tcW w:w="990" w:type="dxa"/>
            <w:tcBorders>
              <w:top w:val="single" w:sz="2" w:space="0" w:color="000000"/>
            </w:tcBorders>
            <w:vAlign w:val="center"/>
          </w:tcPr>
          <w:p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Hour Burden</w:t>
            </w:r>
          </w:p>
        </w:tc>
        <w:tc>
          <w:tcPr>
            <w:tcW w:w="1350" w:type="dxa"/>
            <w:tcBorders>
              <w:top w:val="single" w:sz="2" w:space="0" w:color="000000"/>
            </w:tcBorders>
            <w:vAlign w:val="center"/>
          </w:tcPr>
          <w:p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Average No. of Annual Responses</w:t>
            </w:r>
          </w:p>
        </w:tc>
        <w:tc>
          <w:tcPr>
            <w:tcW w:w="1170" w:type="dxa"/>
            <w:tcBorders>
              <w:top w:val="single" w:sz="2" w:space="0" w:color="000000"/>
            </w:tcBorders>
            <w:vAlign w:val="center"/>
          </w:tcPr>
          <w:p w:rsidR="0059247E" w:rsidRPr="00EA53E9" w:rsidRDefault="0059247E" w:rsidP="0059247E">
            <w:pPr>
              <w:keepNext/>
              <w:widowControl/>
              <w:tabs>
                <w:tab w:val="left" w:pos="360"/>
              </w:tabs>
              <w:ind w:left="-120" w:right="-120"/>
              <w:jc w:val="center"/>
              <w:rPr>
                <w:rFonts w:ascii="Times New Roman" w:hAnsi="Times New Roman"/>
                <w:b/>
                <w:snapToGrid/>
                <w:sz w:val="20"/>
              </w:rPr>
            </w:pPr>
            <w:r w:rsidRPr="00EA53E9">
              <w:rPr>
                <w:rFonts w:ascii="Times New Roman" w:hAnsi="Times New Roman"/>
                <w:b/>
                <w:snapToGrid/>
                <w:sz w:val="20"/>
              </w:rPr>
              <w:t>Annual Burden Hours (Rounded)</w:t>
            </w:r>
          </w:p>
        </w:tc>
      </w:tr>
      <w:tr w:rsidR="0059247E" w:rsidRPr="00EA53E9" w:rsidTr="00EA53E9">
        <w:trPr>
          <w:trHeight w:val="412"/>
          <w:tblHeader/>
        </w:trPr>
        <w:tc>
          <w:tcPr>
            <w:tcW w:w="1090" w:type="dxa"/>
            <w:gridSpan w:val="2"/>
            <w:vMerge/>
            <w:tcBorders>
              <w:bottom w:val="single" w:sz="4" w:space="0" w:color="auto"/>
            </w:tcBorders>
            <w:vAlign w:val="center"/>
          </w:tcPr>
          <w:p w:rsidR="0059247E" w:rsidRPr="00EA53E9" w:rsidRDefault="0059247E" w:rsidP="0059247E">
            <w:pPr>
              <w:keepNext/>
              <w:widowControl/>
              <w:tabs>
                <w:tab w:val="left" w:pos="360"/>
              </w:tabs>
              <w:spacing w:before="60" w:after="60"/>
              <w:jc w:val="center"/>
              <w:rPr>
                <w:rFonts w:ascii="Times New Roman" w:hAnsi="Times New Roman"/>
                <w:b/>
                <w:snapToGrid/>
                <w:sz w:val="20"/>
              </w:rPr>
            </w:pPr>
          </w:p>
        </w:tc>
        <w:tc>
          <w:tcPr>
            <w:tcW w:w="4490" w:type="dxa"/>
            <w:vMerge/>
            <w:tcBorders>
              <w:bottom w:val="single" w:sz="4" w:space="0" w:color="auto"/>
            </w:tcBorders>
            <w:vAlign w:val="center"/>
          </w:tcPr>
          <w:p w:rsidR="0059247E" w:rsidRPr="00EA53E9" w:rsidRDefault="0059247E" w:rsidP="0059247E">
            <w:pPr>
              <w:keepNext/>
              <w:widowControl/>
              <w:tabs>
                <w:tab w:val="left" w:pos="360"/>
              </w:tabs>
              <w:jc w:val="center"/>
              <w:rPr>
                <w:rFonts w:ascii="Times New Roman" w:hAnsi="Times New Roman"/>
                <w:b/>
                <w:snapToGrid/>
                <w:sz w:val="20"/>
              </w:rPr>
            </w:pPr>
          </w:p>
        </w:tc>
        <w:tc>
          <w:tcPr>
            <w:tcW w:w="3510" w:type="dxa"/>
            <w:gridSpan w:val="3"/>
            <w:tcBorders>
              <w:bottom w:val="single" w:sz="4" w:space="0" w:color="auto"/>
            </w:tcBorders>
            <w:vAlign w:val="center"/>
          </w:tcPr>
          <w:p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0059247E" w:rsidRPr="00EA53E9" w:rsidTr="00EA53E9">
        <w:tc>
          <w:tcPr>
            <w:tcW w:w="9090" w:type="dxa"/>
            <w:gridSpan w:val="6"/>
            <w:tcBorders>
              <w:top w:val="single" w:sz="4" w:space="0" w:color="auto"/>
            </w:tcBorders>
          </w:tcPr>
          <w:p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General</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1700 thru 1754</w:t>
            </w:r>
          </w:p>
        </w:tc>
        <w:tc>
          <w:tcPr>
            <w:tcW w:w="4490" w:type="dxa"/>
          </w:tcPr>
          <w:p w:rsidR="0059247E" w:rsidRPr="00EA53E9" w:rsidRDefault="0059247E" w:rsidP="0059247E">
            <w:pPr>
              <w:widowControl/>
              <w:rPr>
                <w:rFonts w:ascii="Times New Roman" w:hAnsi="Times New Roman"/>
                <w:snapToGrid/>
                <w:sz w:val="20"/>
              </w:rPr>
            </w:pPr>
            <w:r w:rsidRPr="00EA53E9">
              <w:rPr>
                <w:rFonts w:ascii="Times New Roman" w:hAnsi="Times New Roman"/>
                <w:snapToGrid/>
                <w:sz w:val="20"/>
              </w:rPr>
              <w:t>General departure and alternative compliance requests not spe</w:t>
            </w:r>
            <w:r w:rsidR="00F6644C">
              <w:rPr>
                <w:rFonts w:ascii="Times New Roman" w:hAnsi="Times New Roman"/>
                <w:snapToGrid/>
                <w:sz w:val="20"/>
              </w:rPr>
              <w:t>cifically covered elsewhere in S</w:t>
            </w:r>
            <w:r w:rsidRPr="00EA53E9">
              <w:rPr>
                <w:rFonts w:ascii="Times New Roman" w:hAnsi="Times New Roman"/>
                <w:snapToGrid/>
                <w:sz w:val="20"/>
              </w:rPr>
              <w:t>ubpart Q regulations.</w:t>
            </w:r>
          </w:p>
        </w:tc>
        <w:tc>
          <w:tcPr>
            <w:tcW w:w="990" w:type="dxa"/>
          </w:tcPr>
          <w:p w:rsidR="0059247E" w:rsidRPr="00EA53E9" w:rsidRDefault="00CB3811" w:rsidP="009B5124">
            <w:pPr>
              <w:widowControl/>
              <w:tabs>
                <w:tab w:val="left" w:pos="360"/>
              </w:tabs>
              <w:rPr>
                <w:rFonts w:ascii="Times New Roman" w:hAnsi="Times New Roman"/>
                <w:snapToGrid/>
                <w:sz w:val="20"/>
              </w:rPr>
            </w:pPr>
            <w:r w:rsidRPr="00EA53E9">
              <w:rPr>
                <w:rFonts w:ascii="Times New Roman" w:hAnsi="Times New Roman"/>
                <w:snapToGrid/>
                <w:sz w:val="20"/>
              </w:rPr>
              <w:t>4</w:t>
            </w:r>
          </w:p>
        </w:tc>
        <w:tc>
          <w:tcPr>
            <w:tcW w:w="1350" w:type="dxa"/>
          </w:tcPr>
          <w:p w:rsidR="0059247E" w:rsidRPr="00EA53E9" w:rsidRDefault="001B3E94" w:rsidP="0059247E">
            <w:pPr>
              <w:widowControl/>
              <w:tabs>
                <w:tab w:val="left" w:pos="360"/>
              </w:tabs>
              <w:ind w:right="-120"/>
              <w:rPr>
                <w:rFonts w:ascii="Times New Roman" w:hAnsi="Times New Roman"/>
                <w:snapToGrid/>
                <w:sz w:val="20"/>
              </w:rPr>
            </w:pPr>
            <w:r w:rsidRPr="00EA53E9">
              <w:rPr>
                <w:rFonts w:ascii="Times New Roman" w:hAnsi="Times New Roman"/>
                <w:snapToGrid/>
                <w:sz w:val="20"/>
              </w:rPr>
              <w:t xml:space="preserve">175 </w:t>
            </w:r>
            <w:r w:rsidR="0059247E" w:rsidRPr="00EA53E9">
              <w:rPr>
                <w:rFonts w:ascii="Times New Roman" w:hAnsi="Times New Roman"/>
                <w:snapToGrid/>
                <w:sz w:val="20"/>
              </w:rPr>
              <w:t>requests</w:t>
            </w:r>
          </w:p>
        </w:tc>
        <w:tc>
          <w:tcPr>
            <w:tcW w:w="1170" w:type="dxa"/>
          </w:tcPr>
          <w:p w:rsidR="0059247E" w:rsidRPr="00EA53E9" w:rsidRDefault="00D02FAD"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700</w:t>
            </w:r>
          </w:p>
        </w:tc>
      </w:tr>
      <w:tr w:rsidR="0059247E" w:rsidRPr="00EA53E9" w:rsidTr="00EA53E9">
        <w:tc>
          <w:tcPr>
            <w:tcW w:w="1090" w:type="dxa"/>
            <w:gridSpan w:val="2"/>
          </w:tcPr>
          <w:p w:rsidR="0059247E" w:rsidRPr="00EA53E9" w:rsidRDefault="0059247E" w:rsidP="0059247E">
            <w:pPr>
              <w:keepNext/>
              <w:widowControl/>
              <w:tabs>
                <w:tab w:val="left" w:pos="360"/>
              </w:tabs>
              <w:rPr>
                <w:rFonts w:ascii="Times New Roman" w:hAnsi="Times New Roman"/>
                <w:snapToGrid/>
                <w:sz w:val="20"/>
              </w:rPr>
            </w:pPr>
            <w:r w:rsidRPr="00EA53E9">
              <w:rPr>
                <w:rFonts w:ascii="Times New Roman" w:hAnsi="Times New Roman"/>
                <w:snapToGrid/>
                <w:sz w:val="20"/>
              </w:rPr>
              <w:t>1703; 1704</w:t>
            </w:r>
          </w:p>
        </w:tc>
        <w:tc>
          <w:tcPr>
            <w:tcW w:w="4490" w:type="dxa"/>
          </w:tcPr>
          <w:p w:rsidR="0059247E" w:rsidRPr="00EA53E9" w:rsidRDefault="0059247E" w:rsidP="0059247E">
            <w:pPr>
              <w:keepNext/>
              <w:widowControl/>
              <w:tabs>
                <w:tab w:val="left" w:pos="360"/>
              </w:tabs>
              <w:rPr>
                <w:rFonts w:ascii="Times New Roman" w:hAnsi="Times New Roman"/>
                <w:snapToGrid/>
                <w:sz w:val="20"/>
              </w:rPr>
            </w:pPr>
            <w:r w:rsidRPr="00EA53E9">
              <w:rPr>
                <w:rFonts w:ascii="Times New Roman" w:hAnsi="Times New Roman"/>
                <w:snapToGrid/>
                <w:sz w:val="20"/>
              </w:rPr>
              <w:t>Request approval for decommissioning.</w:t>
            </w:r>
          </w:p>
        </w:tc>
        <w:tc>
          <w:tcPr>
            <w:tcW w:w="2340" w:type="dxa"/>
            <w:gridSpan w:val="2"/>
          </w:tcPr>
          <w:p w:rsidR="0059247E" w:rsidRPr="00EA53E9" w:rsidRDefault="0059247E" w:rsidP="00D02FAD">
            <w:pPr>
              <w:keepNext/>
              <w:widowControl/>
              <w:tabs>
                <w:tab w:val="left" w:pos="360"/>
              </w:tabs>
              <w:rPr>
                <w:rFonts w:ascii="Times New Roman" w:hAnsi="Times New Roman"/>
                <w:snapToGrid/>
                <w:sz w:val="20"/>
              </w:rPr>
            </w:pPr>
            <w:r w:rsidRPr="00EA53E9">
              <w:rPr>
                <w:rFonts w:ascii="Times New Roman" w:hAnsi="Times New Roman"/>
                <w:snapToGrid/>
                <w:sz w:val="20"/>
              </w:rPr>
              <w:t>Burden included below.</w:t>
            </w:r>
          </w:p>
        </w:tc>
        <w:tc>
          <w:tcPr>
            <w:tcW w:w="1170" w:type="dxa"/>
          </w:tcPr>
          <w:p w:rsidR="0059247E" w:rsidRPr="00EA53E9" w:rsidRDefault="00D02FAD" w:rsidP="0059247E">
            <w:pPr>
              <w:keepNext/>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1704(g); </w:t>
            </w:r>
            <w:r w:rsidR="00B052AB" w:rsidRPr="00EA53E9">
              <w:rPr>
                <w:rFonts w:ascii="Times New Roman" w:hAnsi="Times New Roman"/>
                <w:snapToGrid/>
                <w:sz w:val="20"/>
              </w:rPr>
              <w:t xml:space="preserve">1707(d); </w:t>
            </w:r>
            <w:r w:rsidRPr="00EA53E9">
              <w:rPr>
                <w:rFonts w:ascii="Times New Roman" w:hAnsi="Times New Roman"/>
                <w:snapToGrid/>
                <w:sz w:val="20"/>
              </w:rPr>
              <w:t xml:space="preserve">1712; </w:t>
            </w:r>
            <w:r w:rsidR="00B052AB" w:rsidRPr="00EA53E9">
              <w:rPr>
                <w:rFonts w:ascii="Times New Roman" w:hAnsi="Times New Roman"/>
                <w:snapToGrid/>
                <w:sz w:val="20"/>
              </w:rPr>
              <w:t xml:space="preserve">1715; </w:t>
            </w:r>
            <w:r w:rsidRPr="00EA53E9">
              <w:rPr>
                <w:rFonts w:ascii="Times New Roman" w:hAnsi="Times New Roman"/>
                <w:snapToGrid/>
                <w:sz w:val="20"/>
              </w:rPr>
              <w:t>1716; 1717; 1721(a), (d), (f), (g); 1722(a), (b), (d); 1723(b);</w:t>
            </w:r>
          </w:p>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1743(a) </w:t>
            </w:r>
          </w:p>
        </w:tc>
        <w:tc>
          <w:tcPr>
            <w:tcW w:w="4490" w:type="dxa"/>
          </w:tcPr>
          <w:p w:rsidR="0059247E" w:rsidRPr="00EA53E9" w:rsidRDefault="00B052AB" w:rsidP="00B052AB">
            <w:pPr>
              <w:widowControl/>
              <w:tabs>
                <w:tab w:val="left" w:pos="360"/>
              </w:tabs>
              <w:rPr>
                <w:rFonts w:ascii="Times New Roman" w:hAnsi="Times New Roman"/>
                <w:snapToGrid/>
                <w:sz w:val="20"/>
              </w:rPr>
            </w:pPr>
            <w:r w:rsidRPr="00EA53E9">
              <w:rPr>
                <w:rFonts w:ascii="Times New Roman" w:hAnsi="Times New Roman"/>
                <w:snapToGrid/>
                <w:sz w:val="20"/>
              </w:rPr>
              <w:t>Submit form BSEE-0124 to plug wells; provide subsequent report; request alternate depth departure; request procedure to protect obstructions above seafloor; report within 30 days, results of trawling; certify area cleared of obstructions; remove casing stub or mud line suspension equipment and subsea protective covering; other departures; and all supporting or additional information required.</w:t>
            </w:r>
          </w:p>
        </w:tc>
        <w:tc>
          <w:tcPr>
            <w:tcW w:w="2340" w:type="dxa"/>
            <w:gridSpan w:val="2"/>
          </w:tcPr>
          <w:p w:rsidR="0059247E" w:rsidRPr="00EA53E9" w:rsidRDefault="0059247E" w:rsidP="00D02FAD">
            <w:pPr>
              <w:widowControl/>
              <w:tabs>
                <w:tab w:val="left" w:pos="360"/>
              </w:tabs>
              <w:rPr>
                <w:rFonts w:ascii="Times New Roman" w:hAnsi="Times New Roman"/>
                <w:snapToGrid/>
                <w:sz w:val="20"/>
              </w:rPr>
            </w:pPr>
            <w:r w:rsidRPr="00EA53E9">
              <w:rPr>
                <w:rFonts w:ascii="Times New Roman" w:hAnsi="Times New Roman"/>
                <w:snapToGrid/>
                <w:sz w:val="20"/>
              </w:rPr>
              <w:t>Burden covered under 1014</w:t>
            </w:r>
            <w:r w:rsidRPr="00EA53E9">
              <w:rPr>
                <w:rFonts w:ascii="Times New Roman" w:hAnsi="Times New Roman"/>
                <w:snapToGrid/>
                <w:sz w:val="20"/>
              </w:rPr>
              <w:noBreakHyphen/>
              <w:t>00181.</w:t>
            </w:r>
          </w:p>
        </w:tc>
        <w:tc>
          <w:tcPr>
            <w:tcW w:w="1170" w:type="dxa"/>
          </w:tcPr>
          <w:p w:rsidR="0059247E" w:rsidRPr="00EA53E9" w:rsidRDefault="00D02FAD"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lastRenderedPageBreak/>
              <w:t>1705</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Submit a description of your </w:t>
            </w:r>
            <w:r w:rsidR="00560123">
              <w:rPr>
                <w:rFonts w:ascii="Times New Roman" w:hAnsi="Times New Roman"/>
                <w:snapToGrid/>
                <w:sz w:val="20"/>
              </w:rPr>
              <w:t>blowout preventer (</w:t>
            </w:r>
            <w:r w:rsidRPr="00EA53E9">
              <w:rPr>
                <w:rFonts w:ascii="Times New Roman" w:hAnsi="Times New Roman"/>
                <w:snapToGrid/>
                <w:sz w:val="20"/>
              </w:rPr>
              <w:t>BOP</w:t>
            </w:r>
            <w:r w:rsidR="00560123">
              <w:rPr>
                <w:rFonts w:ascii="Times New Roman" w:hAnsi="Times New Roman"/>
                <w:snapToGrid/>
                <w:sz w:val="20"/>
              </w:rPr>
              <w:t>)</w:t>
            </w:r>
            <w:r w:rsidRPr="00EA53E9">
              <w:rPr>
                <w:rFonts w:ascii="Times New Roman" w:hAnsi="Times New Roman"/>
                <w:snapToGrid/>
                <w:sz w:val="20"/>
              </w:rPr>
              <w:t xml:space="preserve"> and its components; schematic drawings; independent third party verification and all supporting information (evidence showing appropriate licenses, has expertise/experience necessary to perform required verifications, etc</w:t>
            </w:r>
            <w:r w:rsidR="00CD5B1C">
              <w:rPr>
                <w:rFonts w:ascii="Times New Roman" w:hAnsi="Times New Roman"/>
                <w:snapToGrid/>
                <w:sz w:val="20"/>
              </w:rPr>
              <w:t>.</w:t>
            </w:r>
            <w:r w:rsidRPr="00EA53E9">
              <w:rPr>
                <w:rFonts w:ascii="Times New Roman" w:hAnsi="Times New Roman"/>
                <w:snapToGrid/>
                <w:sz w:val="20"/>
              </w:rPr>
              <w:t>) with your APM.</w:t>
            </w:r>
          </w:p>
        </w:tc>
        <w:tc>
          <w:tcPr>
            <w:tcW w:w="990" w:type="dxa"/>
          </w:tcPr>
          <w:p w:rsidR="0059247E" w:rsidRPr="00EA53E9" w:rsidRDefault="00CB3811"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29</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250 submittals</w:t>
            </w:r>
          </w:p>
        </w:tc>
        <w:tc>
          <w:tcPr>
            <w:tcW w:w="1170" w:type="dxa"/>
          </w:tcPr>
          <w:p w:rsidR="0059247E" w:rsidRPr="00EA53E9" w:rsidRDefault="00D02FA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7,250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0"/>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1705(e)(2)(ii)</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Allow BSEE access to witness testing, inspections, and information verification. Notify District Manager at least 72 hours prior to shearing ram tests.</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10 </w:t>
            </w:r>
            <w:r w:rsidR="0059247E" w:rsidRPr="00EA53E9">
              <w:rPr>
                <w:rFonts w:ascii="Times New Roman" w:hAnsi="Times New Roman"/>
                <w:snapToGrid/>
                <w:sz w:val="20"/>
              </w:rPr>
              <w:t>submittals</w:t>
            </w:r>
          </w:p>
        </w:tc>
        <w:tc>
          <w:tcPr>
            <w:tcW w:w="1170" w:type="dxa"/>
          </w:tcPr>
          <w:p w:rsidR="0059247E" w:rsidRPr="00EA53E9" w:rsidRDefault="003C553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5"/>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1706(a)</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approval of well abandonment operations; procedures indicating how the annular preventer will be utilized and how pressure limitations will be applied during each mode of pressure control, with your APM.</w:t>
            </w:r>
          </w:p>
        </w:tc>
        <w:tc>
          <w:tcPr>
            <w:tcW w:w="990" w:type="dxa"/>
          </w:tcPr>
          <w:p w:rsidR="0059247E" w:rsidRPr="00EA53E9" w:rsidRDefault="00CB3811" w:rsidP="00A82EBF">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w:t>
            </w:r>
            <w:r w:rsidR="00A82EBF" w:rsidRPr="00EA53E9">
              <w:rPr>
                <w:rFonts w:ascii="Times New Roman" w:hAnsi="Times New Roman"/>
                <w:snapToGrid/>
                <w:sz w:val="20"/>
              </w:rPr>
              <w:t>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250 </w:t>
            </w:r>
            <w:r w:rsidR="0059247E" w:rsidRPr="00EA53E9">
              <w:rPr>
                <w:rFonts w:ascii="Times New Roman" w:hAnsi="Times New Roman"/>
                <w:snapToGrid/>
                <w:sz w:val="20"/>
              </w:rPr>
              <w:t>requests</w:t>
            </w:r>
          </w:p>
        </w:tc>
        <w:tc>
          <w:tcPr>
            <w:tcW w:w="1170" w:type="dxa"/>
          </w:tcPr>
          <w:p w:rsidR="0059247E" w:rsidRPr="00EA53E9" w:rsidRDefault="003C553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125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5"/>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1706(f)(4)</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approval of the District Manager to conduct operations without downhole check values; describe procedures/equipment in APM.</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20 </w:t>
            </w:r>
            <w:r w:rsidR="0059247E" w:rsidRPr="00EA53E9">
              <w:rPr>
                <w:rFonts w:ascii="Times New Roman" w:hAnsi="Times New Roman"/>
                <w:snapToGrid/>
                <w:sz w:val="20"/>
              </w:rPr>
              <w:t>requests</w:t>
            </w:r>
          </w:p>
        </w:tc>
        <w:tc>
          <w:tcPr>
            <w:tcW w:w="1170" w:type="dxa"/>
          </w:tcPr>
          <w:p w:rsidR="0059247E" w:rsidRPr="00EA53E9" w:rsidRDefault="003C553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20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5"/>
        </w:trPr>
        <w:tc>
          <w:tcPr>
            <w:tcW w:w="1090" w:type="dxa"/>
            <w:gridSpan w:val="2"/>
          </w:tcPr>
          <w:p w:rsidR="0059247E" w:rsidRPr="00EA53E9" w:rsidRDefault="00BF1868" w:rsidP="0059247E">
            <w:pPr>
              <w:widowControl/>
              <w:tabs>
                <w:tab w:val="left" w:pos="-1080"/>
                <w:tab w:val="left" w:pos="-720"/>
                <w:tab w:val="left" w:pos="360"/>
                <w:tab w:val="left" w:pos="810"/>
              </w:tabs>
              <w:rPr>
                <w:rFonts w:ascii="Times New Roman" w:hAnsi="Times New Roman"/>
                <w:snapToGrid/>
                <w:sz w:val="20"/>
              </w:rPr>
            </w:pPr>
            <w:r>
              <w:rPr>
                <w:rFonts w:ascii="Times New Roman" w:hAnsi="Times New Roman"/>
                <w:snapToGrid/>
                <w:sz w:val="20"/>
              </w:rPr>
              <w:t>1707(a)(2)</w:t>
            </w:r>
          </w:p>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p>
        </w:tc>
        <w:tc>
          <w:tcPr>
            <w:tcW w:w="4490" w:type="dxa"/>
          </w:tcPr>
          <w:p w:rsidR="0059247E" w:rsidRPr="00EA53E9" w:rsidRDefault="00E61CC9"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approval from District Manager to test all BOP system components to rated working pressure; annular BOP less than 70 percent rated working pressure.</w:t>
            </w:r>
          </w:p>
        </w:tc>
        <w:tc>
          <w:tcPr>
            <w:tcW w:w="990" w:type="dxa"/>
          </w:tcPr>
          <w:p w:rsidR="0059247E" w:rsidRPr="00EA53E9" w:rsidRDefault="00CB3811" w:rsidP="00A82EBF">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w:t>
            </w:r>
            <w:r w:rsidR="00A82EBF" w:rsidRPr="00EA53E9">
              <w:rPr>
                <w:rFonts w:ascii="Times New Roman" w:hAnsi="Times New Roman"/>
                <w:snapToGrid/>
                <w:sz w:val="20"/>
              </w:rPr>
              <w:t>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10 </w:t>
            </w:r>
            <w:r w:rsidR="0059247E" w:rsidRPr="00EA53E9">
              <w:rPr>
                <w:rFonts w:ascii="Times New Roman" w:hAnsi="Times New Roman"/>
                <w:snapToGrid/>
                <w:sz w:val="20"/>
              </w:rPr>
              <w:t>requests</w:t>
            </w:r>
          </w:p>
        </w:tc>
        <w:tc>
          <w:tcPr>
            <w:tcW w:w="1170" w:type="dxa"/>
          </w:tcPr>
          <w:p w:rsidR="0059247E" w:rsidRPr="00EA53E9" w:rsidRDefault="003C553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0"/>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1707(b)(2) </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State reason for postponing test in operations logs.</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30 </w:t>
            </w:r>
            <w:r w:rsidR="009D759C" w:rsidRPr="00EA53E9">
              <w:rPr>
                <w:rFonts w:ascii="Times New Roman" w:hAnsi="Times New Roman"/>
                <w:snapToGrid/>
                <w:sz w:val="20"/>
              </w:rPr>
              <w:t>responses</w:t>
            </w:r>
          </w:p>
        </w:tc>
        <w:tc>
          <w:tcPr>
            <w:tcW w:w="1170" w:type="dxa"/>
          </w:tcPr>
          <w:p w:rsidR="0059247E" w:rsidRPr="00EA53E9" w:rsidRDefault="009D759C"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15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5"/>
        </w:trPr>
        <w:tc>
          <w:tcPr>
            <w:tcW w:w="1090" w:type="dxa"/>
            <w:gridSpan w:val="2"/>
          </w:tcPr>
          <w:p w:rsidR="0059247E" w:rsidRPr="00EA53E9" w:rsidRDefault="00BF1868" w:rsidP="0059247E">
            <w:pPr>
              <w:widowControl/>
              <w:tabs>
                <w:tab w:val="left" w:pos="-1080"/>
                <w:tab w:val="left" w:pos="-720"/>
                <w:tab w:val="left" w:pos="360"/>
                <w:tab w:val="left" w:pos="810"/>
              </w:tabs>
              <w:rPr>
                <w:rFonts w:ascii="Times New Roman" w:hAnsi="Times New Roman"/>
                <w:snapToGrid/>
                <w:sz w:val="20"/>
              </w:rPr>
            </w:pPr>
            <w:r>
              <w:rPr>
                <w:rFonts w:ascii="Times New Roman" w:hAnsi="Times New Roman"/>
                <w:snapToGrid/>
                <w:sz w:val="20"/>
              </w:rPr>
              <w:t>1707(b)(2)</w:t>
            </w:r>
          </w:p>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approval from District Manager for alternate test frequencies if condition/BOP warrant.</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0.75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10 </w:t>
            </w:r>
            <w:r w:rsidR="0059247E" w:rsidRPr="00EA53E9">
              <w:rPr>
                <w:rFonts w:ascii="Times New Roman" w:hAnsi="Times New Roman"/>
                <w:snapToGrid/>
                <w:sz w:val="20"/>
              </w:rPr>
              <w:t>requests</w:t>
            </w:r>
          </w:p>
        </w:tc>
        <w:tc>
          <w:tcPr>
            <w:tcW w:w="1170" w:type="dxa"/>
          </w:tcPr>
          <w:p w:rsidR="0059247E" w:rsidRPr="00EA53E9" w:rsidRDefault="009D759C"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8</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8"/>
        </w:trPr>
        <w:tc>
          <w:tcPr>
            <w:tcW w:w="1090" w:type="dxa"/>
            <w:gridSpan w:val="2"/>
          </w:tcPr>
          <w:p w:rsidR="0059247E" w:rsidRPr="00EA53E9" w:rsidRDefault="00BF1868" w:rsidP="0059247E">
            <w:pPr>
              <w:widowControl/>
              <w:tabs>
                <w:tab w:val="left" w:pos="-1080"/>
                <w:tab w:val="left" w:pos="-720"/>
                <w:tab w:val="left" w:pos="360"/>
                <w:tab w:val="left" w:pos="810"/>
              </w:tabs>
              <w:rPr>
                <w:rFonts w:ascii="Times New Roman" w:hAnsi="Times New Roman"/>
                <w:snapToGrid/>
                <w:sz w:val="20"/>
              </w:rPr>
            </w:pPr>
            <w:r>
              <w:rPr>
                <w:rFonts w:ascii="Times New Roman" w:hAnsi="Times New Roman"/>
                <w:snapToGrid/>
                <w:sz w:val="20"/>
              </w:rPr>
              <w:t>1707(f)</w:t>
            </w:r>
            <w:r w:rsidR="0059247E" w:rsidRPr="00EA53E9">
              <w:rPr>
                <w:rFonts w:ascii="Times New Roman" w:hAnsi="Times New Roman"/>
                <w:snapToGrid/>
                <w:sz w:val="20"/>
              </w:rPr>
              <w:br/>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alternative method to record test pressures.</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20 requests</w:t>
            </w:r>
          </w:p>
        </w:tc>
        <w:tc>
          <w:tcPr>
            <w:tcW w:w="1170" w:type="dxa"/>
          </w:tcPr>
          <w:p w:rsidR="0059247E" w:rsidRPr="00EA53E9" w:rsidRDefault="009D759C"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10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28"/>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1707(f)</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Record test pressures during BOP and coiled tubing on a pressure chart or w/digital recorder; certify charts are correct.</w:t>
            </w:r>
          </w:p>
        </w:tc>
        <w:tc>
          <w:tcPr>
            <w:tcW w:w="990" w:type="dxa"/>
          </w:tcPr>
          <w:p w:rsidR="0059247E" w:rsidRPr="00EA53E9" w:rsidRDefault="005E409F"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250 </w:t>
            </w:r>
            <w:r w:rsidR="0059247E" w:rsidRPr="00EA53E9">
              <w:rPr>
                <w:rFonts w:ascii="Times New Roman" w:hAnsi="Times New Roman"/>
                <w:snapToGrid/>
                <w:sz w:val="20"/>
              </w:rPr>
              <w:t>records/ certifications</w:t>
            </w:r>
          </w:p>
        </w:tc>
        <w:tc>
          <w:tcPr>
            <w:tcW w:w="1170" w:type="dxa"/>
          </w:tcPr>
          <w:p w:rsidR="0059247E" w:rsidRPr="00EA53E9" w:rsidRDefault="002A69D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250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8"/>
        </w:trPr>
        <w:tc>
          <w:tcPr>
            <w:tcW w:w="1090" w:type="dxa"/>
            <w:gridSpan w:val="2"/>
          </w:tcPr>
          <w:p w:rsidR="0059247E" w:rsidRPr="00EA53E9" w:rsidRDefault="00BF1868" w:rsidP="0059247E">
            <w:pPr>
              <w:widowControl/>
              <w:tabs>
                <w:tab w:val="left" w:pos="-1080"/>
                <w:tab w:val="left" w:pos="-720"/>
                <w:tab w:val="left" w:pos="360"/>
                <w:tab w:val="left" w:pos="810"/>
              </w:tabs>
              <w:rPr>
                <w:rFonts w:ascii="Times New Roman" w:hAnsi="Times New Roman"/>
                <w:snapToGrid/>
                <w:sz w:val="20"/>
              </w:rPr>
            </w:pPr>
            <w:r>
              <w:rPr>
                <w:rFonts w:ascii="Times New Roman" w:hAnsi="Times New Roman"/>
                <w:snapToGrid/>
                <w:sz w:val="20"/>
              </w:rPr>
              <w:t>1707(g)</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Record or reference in operations log all pertinent information listed in this requirement; make all documents pertaining to BOP tests, actuations and inspections available for BSEE review at facility for duration of well abandonment activity; retain all records for 2 years at a location conveniently available for</w:t>
            </w:r>
            <w:r w:rsidR="006D61D8" w:rsidRPr="00EA53E9">
              <w:rPr>
                <w:rFonts w:ascii="Times New Roman" w:hAnsi="Times New Roman"/>
                <w:snapToGrid/>
                <w:sz w:val="20"/>
              </w:rPr>
              <w:t xml:space="preserve"> the District Manager.</w:t>
            </w:r>
          </w:p>
        </w:tc>
        <w:tc>
          <w:tcPr>
            <w:tcW w:w="990" w:type="dxa"/>
          </w:tcPr>
          <w:p w:rsidR="0059247E" w:rsidRPr="00EA53E9" w:rsidRDefault="005E409F"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250 </w:t>
            </w:r>
            <w:r w:rsidR="0059247E" w:rsidRPr="00EA53E9">
              <w:rPr>
                <w:rFonts w:ascii="Times New Roman" w:hAnsi="Times New Roman"/>
                <w:snapToGrid/>
                <w:sz w:val="20"/>
              </w:rPr>
              <w:t>records</w:t>
            </w:r>
          </w:p>
        </w:tc>
        <w:tc>
          <w:tcPr>
            <w:tcW w:w="1170" w:type="dxa"/>
          </w:tcPr>
          <w:p w:rsidR="0059247E" w:rsidRPr="00EA53E9" w:rsidRDefault="002A69D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250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0"/>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1707(h)(1)</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Submit test procedures with your APM for District Manager approval.</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75 </w:t>
            </w:r>
            <w:r w:rsidR="0059247E" w:rsidRPr="00EA53E9">
              <w:rPr>
                <w:rFonts w:ascii="Times New Roman" w:hAnsi="Times New Roman"/>
                <w:snapToGrid/>
                <w:sz w:val="20"/>
              </w:rPr>
              <w:t>submittals</w:t>
            </w:r>
          </w:p>
        </w:tc>
        <w:tc>
          <w:tcPr>
            <w:tcW w:w="1170" w:type="dxa"/>
          </w:tcPr>
          <w:p w:rsidR="0059247E" w:rsidRPr="00EA53E9" w:rsidRDefault="002A69D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75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3"/>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1707(h)(1)(ii)</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Document all ROV intervention test results; make available to BSEE upon request.</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75 </w:t>
            </w:r>
            <w:r w:rsidR="0059247E" w:rsidRPr="00EA53E9">
              <w:rPr>
                <w:rFonts w:ascii="Times New Roman" w:hAnsi="Times New Roman"/>
                <w:snapToGrid/>
                <w:sz w:val="20"/>
              </w:rPr>
              <w:t>records</w:t>
            </w:r>
          </w:p>
        </w:tc>
        <w:tc>
          <w:tcPr>
            <w:tcW w:w="1170" w:type="dxa"/>
          </w:tcPr>
          <w:p w:rsidR="0059247E" w:rsidRPr="00EA53E9" w:rsidRDefault="002A69DD"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38</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2"/>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1707(h)(2)(ii)</w:t>
            </w:r>
          </w:p>
        </w:tc>
        <w:tc>
          <w:tcPr>
            <w:tcW w:w="4490" w:type="dxa"/>
          </w:tcPr>
          <w:p w:rsidR="0059247E" w:rsidRPr="00EA53E9" w:rsidDel="00E030B8"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Document all autoshear and deadman function test results; make available to BSEE upon request.</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75 </w:t>
            </w:r>
            <w:r w:rsidR="0059247E" w:rsidRPr="00EA53E9">
              <w:rPr>
                <w:rFonts w:ascii="Times New Roman" w:hAnsi="Times New Roman"/>
                <w:snapToGrid/>
                <w:sz w:val="20"/>
              </w:rPr>
              <w:t>records</w:t>
            </w:r>
          </w:p>
        </w:tc>
        <w:tc>
          <w:tcPr>
            <w:tcW w:w="1170" w:type="dxa"/>
          </w:tcPr>
          <w:p w:rsidR="0059247E" w:rsidRPr="00EA53E9" w:rsidRDefault="00BB3EA6"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38</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4"/>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1708(a), (b)</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Document BOP inspection and maintenance procedures used; record results of BOP inspections and maintenance actions; maintain records for 2 </w:t>
            </w:r>
            <w:r w:rsidRPr="00EA53E9">
              <w:rPr>
                <w:rFonts w:ascii="Times New Roman" w:hAnsi="Times New Roman"/>
                <w:snapToGrid/>
                <w:sz w:val="20"/>
              </w:rPr>
              <w:lastRenderedPageBreak/>
              <w:t>years or longer if directed by BSEE; make available to BSEE upon request</w:t>
            </w:r>
          </w:p>
        </w:tc>
        <w:tc>
          <w:tcPr>
            <w:tcW w:w="990" w:type="dxa"/>
          </w:tcPr>
          <w:p w:rsidR="0059247E" w:rsidRPr="00EA53E9" w:rsidRDefault="006275C1"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lastRenderedPageBreak/>
              <w:t>1</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75 </w:t>
            </w:r>
            <w:r w:rsidR="0059247E" w:rsidRPr="00EA53E9">
              <w:rPr>
                <w:rFonts w:ascii="Times New Roman" w:hAnsi="Times New Roman"/>
                <w:snapToGrid/>
                <w:sz w:val="20"/>
              </w:rPr>
              <w:t>records</w:t>
            </w:r>
          </w:p>
        </w:tc>
        <w:tc>
          <w:tcPr>
            <w:tcW w:w="1170" w:type="dxa"/>
          </w:tcPr>
          <w:p w:rsidR="0059247E" w:rsidRPr="00EA53E9" w:rsidRDefault="00BB3EA6"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75</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8"/>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lastRenderedPageBreak/>
              <w:t>1708(a)</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alternative method to inspect marine risers.</w:t>
            </w:r>
          </w:p>
        </w:tc>
        <w:tc>
          <w:tcPr>
            <w:tcW w:w="99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0.5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5 </w:t>
            </w:r>
            <w:r w:rsidR="0059247E" w:rsidRPr="00EA53E9">
              <w:rPr>
                <w:rFonts w:ascii="Times New Roman" w:hAnsi="Times New Roman"/>
                <w:snapToGrid/>
                <w:sz w:val="20"/>
              </w:rPr>
              <w:t>requests</w:t>
            </w:r>
          </w:p>
        </w:tc>
        <w:tc>
          <w:tcPr>
            <w:tcW w:w="1170" w:type="dxa"/>
          </w:tcPr>
          <w:p w:rsidR="0059247E" w:rsidRPr="00EA53E9" w:rsidRDefault="00BB3EA6"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3</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92"/>
        </w:trPr>
        <w:tc>
          <w:tcPr>
            <w:tcW w:w="109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1709</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Request approval from the District Manager to displace kill-weight fluids in an unbalanced state; submit detailed wr</w:t>
            </w:r>
            <w:r w:rsidR="00C2373E" w:rsidRPr="00EA53E9">
              <w:rPr>
                <w:rFonts w:ascii="Times New Roman" w:hAnsi="Times New Roman"/>
                <w:snapToGrid/>
                <w:sz w:val="20"/>
              </w:rPr>
              <w:t>itten procedures with your APM.</w:t>
            </w:r>
          </w:p>
        </w:tc>
        <w:tc>
          <w:tcPr>
            <w:tcW w:w="990" w:type="dxa"/>
          </w:tcPr>
          <w:p w:rsidR="0059247E" w:rsidRPr="00EA53E9" w:rsidRDefault="006275C1" w:rsidP="00A82EBF">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2.</w:t>
            </w:r>
            <w:r w:rsidR="00A82EBF" w:rsidRPr="00EA53E9">
              <w:rPr>
                <w:rFonts w:ascii="Times New Roman" w:hAnsi="Times New Roman"/>
                <w:snapToGrid/>
                <w:sz w:val="20"/>
              </w:rPr>
              <w:t>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 xml:space="preserve">40 </w:t>
            </w:r>
            <w:r w:rsidR="0059247E" w:rsidRPr="00EA53E9">
              <w:rPr>
                <w:rFonts w:ascii="Times New Roman" w:hAnsi="Times New Roman"/>
                <w:snapToGrid/>
                <w:sz w:val="20"/>
              </w:rPr>
              <w:t>requests</w:t>
            </w:r>
          </w:p>
        </w:tc>
        <w:tc>
          <w:tcPr>
            <w:tcW w:w="1170" w:type="dxa"/>
          </w:tcPr>
          <w:p w:rsidR="0059247E" w:rsidRPr="00EA53E9" w:rsidRDefault="00BB3EA6"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100</w:t>
            </w:r>
          </w:p>
        </w:tc>
      </w:tr>
      <w:tr w:rsidR="00892F2E" w:rsidRPr="00EA53E9" w:rsidTr="00EA53E9">
        <w:trPr>
          <w:trHeight w:val="144"/>
        </w:trPr>
        <w:tc>
          <w:tcPr>
            <w:tcW w:w="6570" w:type="dxa"/>
            <w:gridSpan w:val="4"/>
            <w:vAlign w:val="center"/>
          </w:tcPr>
          <w:p w:rsidR="00892F2E" w:rsidRPr="00EA53E9" w:rsidRDefault="00892F2E" w:rsidP="00C2373E">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350" w:type="dxa"/>
          </w:tcPr>
          <w:p w:rsidR="00892F2E" w:rsidRPr="00EA53E9" w:rsidRDefault="00892F2E" w:rsidP="006D61D8">
            <w:pPr>
              <w:widowControl/>
              <w:tabs>
                <w:tab w:val="left" w:pos="360"/>
              </w:tabs>
              <w:rPr>
                <w:rFonts w:ascii="Times New Roman" w:hAnsi="Times New Roman"/>
                <w:b/>
                <w:snapToGrid/>
                <w:sz w:val="20"/>
              </w:rPr>
            </w:pPr>
            <w:r w:rsidRPr="00EA53E9">
              <w:rPr>
                <w:rFonts w:ascii="Times New Roman" w:hAnsi="Times New Roman"/>
                <w:b/>
                <w:snapToGrid/>
                <w:sz w:val="20"/>
              </w:rPr>
              <w:t>1,620 responses</w:t>
            </w:r>
          </w:p>
        </w:tc>
        <w:tc>
          <w:tcPr>
            <w:tcW w:w="1170" w:type="dxa"/>
          </w:tcPr>
          <w:p w:rsidR="00892F2E" w:rsidRPr="00EA53E9" w:rsidRDefault="00892F2E" w:rsidP="0034795F">
            <w:pPr>
              <w:widowControl/>
              <w:tabs>
                <w:tab w:val="left" w:pos="360"/>
              </w:tabs>
              <w:jc w:val="right"/>
              <w:rPr>
                <w:rFonts w:ascii="Times New Roman" w:hAnsi="Times New Roman"/>
                <w:b/>
                <w:snapToGrid/>
                <w:sz w:val="20"/>
              </w:rPr>
            </w:pPr>
            <w:r w:rsidRPr="00EA53E9">
              <w:rPr>
                <w:rFonts w:ascii="Times New Roman" w:hAnsi="Times New Roman"/>
                <w:b/>
                <w:snapToGrid/>
                <w:sz w:val="20"/>
              </w:rPr>
              <w:t>8,967 hours</w:t>
            </w:r>
          </w:p>
        </w:tc>
      </w:tr>
      <w:tr w:rsidR="0059247E" w:rsidRPr="00EA53E9" w:rsidTr="00EA53E9">
        <w:tc>
          <w:tcPr>
            <w:tcW w:w="9090" w:type="dxa"/>
            <w:gridSpan w:val="6"/>
          </w:tcPr>
          <w:p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Permanently Plugging Wells</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1711</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Required data if permanently plugging a well.</w:t>
            </w:r>
          </w:p>
        </w:tc>
        <w:tc>
          <w:tcPr>
            <w:tcW w:w="2340" w:type="dxa"/>
            <w:gridSpan w:val="2"/>
          </w:tcPr>
          <w:p w:rsidR="0059247E" w:rsidRPr="00EA53E9" w:rsidRDefault="0059247E" w:rsidP="0059247E">
            <w:pPr>
              <w:widowControl/>
              <w:tabs>
                <w:tab w:val="left" w:pos="360"/>
              </w:tabs>
              <w:ind w:right="-120"/>
              <w:rPr>
                <w:rFonts w:ascii="Times New Roman" w:hAnsi="Times New Roman"/>
                <w:snapToGrid/>
                <w:sz w:val="20"/>
              </w:rPr>
            </w:pPr>
            <w:r w:rsidRPr="00EA53E9">
              <w:rPr>
                <w:rFonts w:ascii="Times New Roman" w:hAnsi="Times New Roman"/>
                <w:snapToGrid/>
                <w:sz w:val="20"/>
              </w:rPr>
              <w:t>Requirement not considered Information Collection under 5 CFR 1320.3(h</w:t>
            </w:r>
            <w:proofErr w:type="gramStart"/>
            <w:r w:rsidRPr="00EA53E9">
              <w:rPr>
                <w:rFonts w:ascii="Times New Roman" w:hAnsi="Times New Roman"/>
                <w:snapToGrid/>
                <w:sz w:val="20"/>
              </w:rPr>
              <w:t>)(</w:t>
            </w:r>
            <w:proofErr w:type="gramEnd"/>
            <w:r w:rsidRPr="00EA53E9">
              <w:rPr>
                <w:rFonts w:ascii="Times New Roman" w:hAnsi="Times New Roman"/>
                <w:snapToGrid/>
                <w:sz w:val="20"/>
              </w:rPr>
              <w:t>9).</w:t>
            </w:r>
          </w:p>
        </w:tc>
        <w:tc>
          <w:tcPr>
            <w:tcW w:w="1170" w:type="dxa"/>
          </w:tcPr>
          <w:p w:rsidR="0059247E" w:rsidRPr="00EA53E9" w:rsidRDefault="00BF1868" w:rsidP="0034795F">
            <w:pPr>
              <w:widowControl/>
              <w:tabs>
                <w:tab w:val="left" w:pos="360"/>
              </w:tabs>
              <w:jc w:val="right"/>
              <w:rPr>
                <w:rFonts w:ascii="Times New Roman" w:hAnsi="Times New Roman"/>
                <w:snapToGrid/>
                <w:sz w:val="20"/>
              </w:rPr>
            </w:pPr>
            <w:r>
              <w:rPr>
                <w:rFonts w:ascii="Times New Roman" w:hAnsi="Times New Roman"/>
                <w:snapToGrid/>
                <w:sz w:val="20"/>
              </w:rPr>
              <w:t>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90" w:type="dxa"/>
            <w:gridSpan w:val="2"/>
          </w:tcPr>
          <w:p w:rsidR="0059247E" w:rsidRPr="00EA53E9" w:rsidRDefault="0059247E" w:rsidP="009B526F">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1712; 1721(h)</w:t>
            </w:r>
          </w:p>
        </w:tc>
        <w:tc>
          <w:tcPr>
            <w:tcW w:w="4490" w:type="dxa"/>
          </w:tcPr>
          <w:p w:rsidR="0059247E" w:rsidRPr="00EA53E9" w:rsidRDefault="0059247E" w:rsidP="00867921">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Submit with your APM</w:t>
            </w:r>
            <w:r w:rsidR="00867921">
              <w:rPr>
                <w:rFonts w:ascii="Times New Roman" w:hAnsi="Times New Roman"/>
                <w:snapToGrid/>
                <w:sz w:val="20"/>
              </w:rPr>
              <w:t xml:space="preserve"> all documentation for this requirement</w:t>
            </w:r>
            <w:r w:rsidRPr="00EA53E9">
              <w:rPr>
                <w:rFonts w:ascii="Times New Roman" w:hAnsi="Times New Roman"/>
                <w:snapToGrid/>
                <w:sz w:val="20"/>
              </w:rPr>
              <w:t>; professional engineer certification.</w:t>
            </w:r>
          </w:p>
        </w:tc>
        <w:tc>
          <w:tcPr>
            <w:tcW w:w="2340" w:type="dxa"/>
            <w:gridSpan w:val="2"/>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Burden covered under 1014-0018.</w:t>
            </w:r>
          </w:p>
        </w:tc>
        <w:tc>
          <w:tcPr>
            <w:tcW w:w="1170" w:type="dxa"/>
          </w:tcPr>
          <w:p w:rsidR="0059247E" w:rsidRPr="00EA53E9" w:rsidRDefault="00BF1868" w:rsidP="0034795F">
            <w:pPr>
              <w:widowControl/>
              <w:tabs>
                <w:tab w:val="left" w:pos="-1080"/>
                <w:tab w:val="left" w:pos="-720"/>
                <w:tab w:val="left" w:pos="360"/>
                <w:tab w:val="left" w:pos="810"/>
              </w:tabs>
              <w:jc w:val="right"/>
              <w:rPr>
                <w:rFonts w:ascii="Times New Roman" w:hAnsi="Times New Roman"/>
                <w:snapToGrid/>
                <w:sz w:val="20"/>
              </w:rPr>
            </w:pPr>
            <w:r>
              <w:rPr>
                <w:rFonts w:ascii="Times New Roman" w:hAnsi="Times New Roman"/>
                <w:snapToGrid/>
                <w:sz w:val="20"/>
              </w:rPr>
              <w:t>0</w:t>
            </w:r>
          </w:p>
        </w:tc>
      </w:tr>
      <w:tr w:rsidR="0059247E" w:rsidRPr="00EA53E9" w:rsidTr="00EA5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4"/>
        </w:trPr>
        <w:tc>
          <w:tcPr>
            <w:tcW w:w="1090" w:type="dxa"/>
            <w:gridSpan w:val="2"/>
          </w:tcPr>
          <w:p w:rsidR="0059247E" w:rsidRPr="00EA53E9" w:rsidRDefault="00BF1868" w:rsidP="00A61663">
            <w:pPr>
              <w:widowControl/>
              <w:tabs>
                <w:tab w:val="left" w:pos="-1080"/>
                <w:tab w:val="left" w:pos="-720"/>
                <w:tab w:val="left" w:pos="360"/>
                <w:tab w:val="left" w:pos="810"/>
              </w:tabs>
              <w:rPr>
                <w:rFonts w:ascii="Times New Roman" w:hAnsi="Times New Roman"/>
                <w:snapToGrid/>
                <w:sz w:val="20"/>
              </w:rPr>
            </w:pPr>
            <w:r>
              <w:rPr>
                <w:rFonts w:ascii="Times New Roman" w:hAnsi="Times New Roman"/>
                <w:snapToGrid/>
                <w:sz w:val="20"/>
              </w:rPr>
              <w:t>1712(g); 1721(h)</w:t>
            </w:r>
          </w:p>
        </w:tc>
        <w:tc>
          <w:tcPr>
            <w:tcW w:w="4490" w:type="dxa"/>
          </w:tcPr>
          <w:p w:rsidR="0059247E" w:rsidRPr="00EA53E9" w:rsidRDefault="0059247E"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Submit evidence from the Registered Professional Engineer/firm of the well abandonment design and procedures; plugs in the annuli meet requirements of § 250.1715; 2 independent barriers etc</w:t>
            </w:r>
            <w:r w:rsidR="00867921">
              <w:rPr>
                <w:rFonts w:ascii="Times New Roman" w:hAnsi="Times New Roman"/>
                <w:snapToGrid/>
                <w:sz w:val="20"/>
              </w:rPr>
              <w:t>.</w:t>
            </w:r>
            <w:r w:rsidRPr="00EA53E9">
              <w:rPr>
                <w:rFonts w:ascii="Times New Roman" w:hAnsi="Times New Roman"/>
                <w:snapToGrid/>
                <w:sz w:val="20"/>
              </w:rPr>
              <w:t>; has the expertise and experience necessary to perform the verification(s), submit with the APM.</w:t>
            </w:r>
          </w:p>
        </w:tc>
        <w:tc>
          <w:tcPr>
            <w:tcW w:w="990" w:type="dxa"/>
          </w:tcPr>
          <w:p w:rsidR="0059247E" w:rsidRPr="00EA53E9" w:rsidRDefault="006275C1" w:rsidP="00A82EBF">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1.</w:t>
            </w:r>
            <w:r w:rsidR="00A82EBF" w:rsidRPr="00EA53E9">
              <w:rPr>
                <w:rFonts w:ascii="Times New Roman" w:hAnsi="Times New Roman"/>
                <w:snapToGrid/>
                <w:sz w:val="20"/>
              </w:rPr>
              <w:t>5</w:t>
            </w:r>
          </w:p>
        </w:tc>
        <w:tc>
          <w:tcPr>
            <w:tcW w:w="1350" w:type="dxa"/>
          </w:tcPr>
          <w:p w:rsidR="0059247E" w:rsidRPr="00EA53E9" w:rsidRDefault="001B3E94" w:rsidP="0059247E">
            <w:pPr>
              <w:widowControl/>
              <w:tabs>
                <w:tab w:val="left" w:pos="-1080"/>
                <w:tab w:val="left" w:pos="-720"/>
                <w:tab w:val="left" w:pos="360"/>
                <w:tab w:val="left" w:pos="810"/>
              </w:tabs>
              <w:rPr>
                <w:rFonts w:ascii="Times New Roman" w:hAnsi="Times New Roman"/>
                <w:snapToGrid/>
                <w:sz w:val="20"/>
              </w:rPr>
            </w:pPr>
            <w:r w:rsidRPr="00EA53E9">
              <w:rPr>
                <w:rFonts w:ascii="Times New Roman" w:hAnsi="Times New Roman"/>
                <w:snapToGrid/>
                <w:sz w:val="20"/>
              </w:rPr>
              <w:t>250</w:t>
            </w:r>
          </w:p>
        </w:tc>
        <w:tc>
          <w:tcPr>
            <w:tcW w:w="1170" w:type="dxa"/>
          </w:tcPr>
          <w:p w:rsidR="0059247E" w:rsidRPr="00EA53E9" w:rsidRDefault="004558E8" w:rsidP="0034795F">
            <w:pPr>
              <w:widowControl/>
              <w:tabs>
                <w:tab w:val="left" w:pos="-1080"/>
                <w:tab w:val="left" w:pos="-720"/>
                <w:tab w:val="left" w:pos="360"/>
                <w:tab w:val="left" w:pos="810"/>
              </w:tabs>
              <w:jc w:val="right"/>
              <w:rPr>
                <w:rFonts w:ascii="Times New Roman" w:hAnsi="Times New Roman"/>
                <w:snapToGrid/>
                <w:sz w:val="20"/>
              </w:rPr>
            </w:pPr>
            <w:r w:rsidRPr="00EA53E9">
              <w:rPr>
                <w:rFonts w:ascii="Times New Roman" w:hAnsi="Times New Roman"/>
                <w:snapToGrid/>
                <w:sz w:val="20"/>
              </w:rPr>
              <w:t>375</w:t>
            </w:r>
          </w:p>
        </w:tc>
      </w:tr>
      <w:tr w:rsidR="0059247E" w:rsidRPr="00EA53E9" w:rsidTr="00EA53E9">
        <w:tc>
          <w:tcPr>
            <w:tcW w:w="1090" w:type="dxa"/>
            <w:gridSpan w:val="2"/>
          </w:tcPr>
          <w:p w:rsidR="0059247E" w:rsidRPr="009B526F"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1713 </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operations to permanently plug a well.</w:t>
            </w:r>
          </w:p>
        </w:tc>
        <w:tc>
          <w:tcPr>
            <w:tcW w:w="990" w:type="dxa"/>
          </w:tcPr>
          <w:p w:rsidR="0059247E" w:rsidRPr="00EA53E9" w:rsidRDefault="006275C1" w:rsidP="00A82EBF">
            <w:pPr>
              <w:widowControl/>
              <w:tabs>
                <w:tab w:val="left" w:pos="360"/>
              </w:tabs>
              <w:rPr>
                <w:rFonts w:ascii="Times New Roman" w:hAnsi="Times New Roman"/>
                <w:snapToGrid/>
                <w:sz w:val="20"/>
              </w:rPr>
            </w:pPr>
            <w:r w:rsidRPr="00EA53E9">
              <w:rPr>
                <w:rFonts w:ascii="Times New Roman" w:hAnsi="Times New Roman"/>
                <w:snapToGrid/>
                <w:sz w:val="20"/>
              </w:rPr>
              <w:t>0.</w:t>
            </w:r>
            <w:r w:rsidR="00A82EBF" w:rsidRPr="00EA53E9">
              <w:rPr>
                <w:rFonts w:ascii="Times New Roman" w:hAnsi="Times New Roman"/>
                <w:snapToGrid/>
                <w:sz w:val="20"/>
              </w:rPr>
              <w:t>5</w:t>
            </w:r>
          </w:p>
        </w:tc>
        <w:tc>
          <w:tcPr>
            <w:tcW w:w="1350" w:type="dxa"/>
          </w:tcPr>
          <w:p w:rsidR="0059247E" w:rsidRPr="00EA53E9" w:rsidRDefault="001B3E94"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700 </w:t>
            </w:r>
            <w:r w:rsidR="0059247E" w:rsidRPr="00EA53E9">
              <w:rPr>
                <w:rFonts w:ascii="Times New Roman" w:hAnsi="Times New Roman"/>
                <w:snapToGrid/>
                <w:sz w:val="20"/>
              </w:rPr>
              <w:t>notices</w:t>
            </w:r>
          </w:p>
        </w:tc>
        <w:tc>
          <w:tcPr>
            <w:tcW w:w="1170" w:type="dxa"/>
          </w:tcPr>
          <w:p w:rsidR="0059247E" w:rsidRPr="00EA53E9" w:rsidRDefault="004558E8" w:rsidP="0034795F">
            <w:pPr>
              <w:widowControl/>
              <w:tabs>
                <w:tab w:val="left" w:pos="360"/>
              </w:tabs>
              <w:jc w:val="right"/>
              <w:rPr>
                <w:rFonts w:ascii="Times New Roman" w:hAnsi="Times New Roman"/>
                <w:snapToGrid/>
                <w:sz w:val="20"/>
              </w:rPr>
            </w:pPr>
            <w:r w:rsidRPr="00EA53E9">
              <w:rPr>
                <w:rFonts w:ascii="Times New Roman" w:hAnsi="Times New Roman"/>
                <w:snapToGrid/>
                <w:sz w:val="20"/>
              </w:rPr>
              <w:t>350</w:t>
            </w:r>
          </w:p>
        </w:tc>
      </w:tr>
      <w:tr w:rsidR="006D61D8" w:rsidRPr="00EA53E9" w:rsidTr="00EA53E9">
        <w:tc>
          <w:tcPr>
            <w:tcW w:w="6570" w:type="dxa"/>
            <w:gridSpan w:val="4"/>
            <w:vAlign w:val="center"/>
          </w:tcPr>
          <w:p w:rsidR="006D61D8" w:rsidRPr="00EA53E9" w:rsidRDefault="006D61D8" w:rsidP="00D75CD5">
            <w:pPr>
              <w:widowControl/>
              <w:tabs>
                <w:tab w:val="left" w:pos="2490"/>
              </w:tabs>
              <w:ind w:left="-120"/>
              <w:jc w:val="center"/>
              <w:rPr>
                <w:rFonts w:ascii="Times New Roman" w:hAnsi="Times New Roman"/>
                <w:b/>
                <w:snapToGrid/>
                <w:sz w:val="20"/>
              </w:rPr>
            </w:pPr>
            <w:r w:rsidRPr="00EA53E9">
              <w:rPr>
                <w:rFonts w:ascii="Times New Roman" w:hAnsi="Times New Roman"/>
                <w:b/>
                <w:snapToGrid/>
                <w:sz w:val="20"/>
              </w:rPr>
              <w:t>Subtotal</w:t>
            </w:r>
          </w:p>
        </w:tc>
        <w:tc>
          <w:tcPr>
            <w:tcW w:w="1350" w:type="dxa"/>
          </w:tcPr>
          <w:p w:rsidR="006D61D8" w:rsidRPr="00EA53E9" w:rsidRDefault="006D61D8" w:rsidP="00D75CD5">
            <w:pPr>
              <w:widowControl/>
              <w:tabs>
                <w:tab w:val="left" w:pos="2490"/>
              </w:tabs>
              <w:ind w:left="-120"/>
              <w:rPr>
                <w:rFonts w:ascii="Times New Roman" w:hAnsi="Times New Roman"/>
                <w:b/>
                <w:snapToGrid/>
                <w:sz w:val="20"/>
              </w:rPr>
            </w:pPr>
            <w:r w:rsidRPr="00EA53E9">
              <w:rPr>
                <w:rFonts w:ascii="Times New Roman" w:hAnsi="Times New Roman"/>
                <w:b/>
                <w:snapToGrid/>
                <w:sz w:val="20"/>
              </w:rPr>
              <w:t>950 responses</w:t>
            </w:r>
          </w:p>
        </w:tc>
        <w:tc>
          <w:tcPr>
            <w:tcW w:w="1170" w:type="dxa"/>
          </w:tcPr>
          <w:p w:rsidR="006D61D8" w:rsidRPr="00EA53E9" w:rsidRDefault="006D61D8" w:rsidP="0034795F">
            <w:pPr>
              <w:widowControl/>
              <w:tabs>
                <w:tab w:val="left" w:pos="360"/>
              </w:tabs>
              <w:jc w:val="right"/>
              <w:rPr>
                <w:rFonts w:ascii="Times New Roman" w:hAnsi="Times New Roman"/>
                <w:b/>
                <w:snapToGrid/>
                <w:sz w:val="20"/>
              </w:rPr>
            </w:pPr>
            <w:r w:rsidRPr="00EA53E9">
              <w:rPr>
                <w:rFonts w:ascii="Times New Roman" w:hAnsi="Times New Roman"/>
                <w:b/>
                <w:snapToGrid/>
                <w:sz w:val="20"/>
              </w:rPr>
              <w:t>725 hours</w:t>
            </w:r>
          </w:p>
        </w:tc>
      </w:tr>
      <w:tr w:rsidR="0059247E" w:rsidRPr="00EA53E9" w:rsidTr="00EA53E9">
        <w:tc>
          <w:tcPr>
            <w:tcW w:w="9090" w:type="dxa"/>
            <w:gridSpan w:val="6"/>
          </w:tcPr>
          <w:p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Temporary Abandoned Wells</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1721(e); 1722(e), (h)(1); 1741(c) </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Identify and report subsea wellheads, casing stubs, or other obstructions; mark wells protected by a dome; mark location to be cleared as navigation hazard.</w:t>
            </w:r>
          </w:p>
        </w:tc>
        <w:tc>
          <w:tcPr>
            <w:tcW w:w="2340" w:type="dxa"/>
            <w:gridSpan w:val="2"/>
          </w:tcPr>
          <w:p w:rsidR="0059247E" w:rsidRPr="00EA53E9" w:rsidRDefault="0059247E" w:rsidP="004558E8">
            <w:pPr>
              <w:widowControl/>
              <w:tabs>
                <w:tab w:val="left" w:pos="2490"/>
              </w:tabs>
              <w:ind w:left="-120"/>
              <w:rPr>
                <w:rFonts w:ascii="Times New Roman" w:hAnsi="Times New Roman"/>
                <w:snapToGrid/>
                <w:sz w:val="20"/>
              </w:rPr>
            </w:pPr>
            <w:r w:rsidRPr="00EA53E9">
              <w:rPr>
                <w:rFonts w:ascii="Times New Roman" w:hAnsi="Times New Roman"/>
                <w:snapToGrid/>
                <w:sz w:val="20"/>
              </w:rPr>
              <w:t>U.S. Coast Guard requirements.</w:t>
            </w:r>
          </w:p>
        </w:tc>
        <w:tc>
          <w:tcPr>
            <w:tcW w:w="1170" w:type="dxa"/>
          </w:tcPr>
          <w:p w:rsidR="0059247E" w:rsidRPr="00EA53E9" w:rsidRDefault="00D75CD5"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1722(c), (g)(2)</w:t>
            </w:r>
          </w:p>
          <w:p w:rsidR="0059247E" w:rsidRPr="00EA53E9" w:rsidRDefault="0059247E" w:rsidP="0059247E">
            <w:pPr>
              <w:widowControl/>
              <w:tabs>
                <w:tab w:val="left" w:pos="360"/>
              </w:tabs>
              <w:rPr>
                <w:rFonts w:ascii="Times New Roman" w:hAnsi="Times New Roman"/>
                <w:b/>
                <w:i/>
                <w:snapToGrid/>
                <w:sz w:val="20"/>
              </w:rPr>
            </w:pP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Notify BSEE within 5 days if trawl does not pass over protective device or causes damages to it; or if inspection reveals casing stub or mud line suspension is no longer protected.</w:t>
            </w:r>
          </w:p>
        </w:tc>
        <w:tc>
          <w:tcPr>
            <w:tcW w:w="990" w:type="dxa"/>
          </w:tcPr>
          <w:p w:rsidR="0059247E" w:rsidRPr="00EA53E9" w:rsidRDefault="00A82EBF" w:rsidP="009B5124">
            <w:pPr>
              <w:widowControl/>
              <w:tabs>
                <w:tab w:val="left" w:pos="360"/>
              </w:tabs>
              <w:rPr>
                <w:rFonts w:ascii="Times New Roman" w:hAnsi="Times New Roman"/>
                <w:snapToGrid/>
                <w:sz w:val="20"/>
              </w:rPr>
            </w:pPr>
            <w:r w:rsidRPr="00EA53E9">
              <w:rPr>
                <w:rFonts w:ascii="Times New Roman" w:hAnsi="Times New Roman"/>
                <w:snapToGrid/>
                <w:sz w:val="20"/>
              </w:rPr>
              <w:t>1</w:t>
            </w:r>
          </w:p>
        </w:tc>
        <w:tc>
          <w:tcPr>
            <w:tcW w:w="1350" w:type="dxa"/>
          </w:tcPr>
          <w:p w:rsidR="0059247E" w:rsidRPr="00EA53E9" w:rsidRDefault="00D3272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10 </w:t>
            </w:r>
            <w:r w:rsidR="0059247E" w:rsidRPr="00EA53E9">
              <w:rPr>
                <w:rFonts w:ascii="Times New Roman" w:hAnsi="Times New Roman"/>
                <w:snapToGrid/>
                <w:sz w:val="20"/>
              </w:rPr>
              <w:t>notices</w:t>
            </w:r>
          </w:p>
        </w:tc>
        <w:tc>
          <w:tcPr>
            <w:tcW w:w="1170" w:type="dxa"/>
          </w:tcPr>
          <w:p w:rsidR="0059247E" w:rsidRPr="00EA53E9" w:rsidRDefault="00CE70E6"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10</w:t>
            </w:r>
          </w:p>
        </w:tc>
      </w:tr>
      <w:tr w:rsidR="0059247E" w:rsidRPr="00EA53E9" w:rsidTr="00EA53E9">
        <w:trPr>
          <w:trHeight w:val="417"/>
        </w:trPr>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1722(f), (g)(3)</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Submit annual report on plans for re-entry to complete or permanently abandon the well and inspection report.</w:t>
            </w:r>
          </w:p>
        </w:tc>
        <w:tc>
          <w:tcPr>
            <w:tcW w:w="990" w:type="dxa"/>
          </w:tcPr>
          <w:p w:rsidR="0059247E" w:rsidRPr="00EA53E9" w:rsidRDefault="001B3E94" w:rsidP="009B5124">
            <w:pPr>
              <w:widowControl/>
              <w:tabs>
                <w:tab w:val="left" w:pos="360"/>
              </w:tabs>
              <w:rPr>
                <w:rFonts w:ascii="Times New Roman" w:hAnsi="Times New Roman"/>
                <w:snapToGrid/>
                <w:sz w:val="20"/>
              </w:rPr>
            </w:pPr>
            <w:r w:rsidRPr="00EA53E9">
              <w:rPr>
                <w:rFonts w:ascii="Times New Roman" w:hAnsi="Times New Roman"/>
                <w:snapToGrid/>
                <w:sz w:val="20"/>
              </w:rPr>
              <w:t>2.5</w:t>
            </w:r>
          </w:p>
        </w:tc>
        <w:tc>
          <w:tcPr>
            <w:tcW w:w="1350" w:type="dxa"/>
          </w:tcPr>
          <w:p w:rsidR="0059247E" w:rsidRPr="00EA53E9" w:rsidRDefault="00D3272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95 </w:t>
            </w:r>
            <w:r w:rsidR="0059247E" w:rsidRPr="00EA53E9">
              <w:rPr>
                <w:rFonts w:ascii="Times New Roman" w:hAnsi="Times New Roman"/>
                <w:snapToGrid/>
                <w:sz w:val="20"/>
              </w:rPr>
              <w:t>reports</w:t>
            </w:r>
          </w:p>
        </w:tc>
        <w:tc>
          <w:tcPr>
            <w:tcW w:w="1170" w:type="dxa"/>
          </w:tcPr>
          <w:p w:rsidR="0059247E" w:rsidRPr="00EA53E9" w:rsidRDefault="00CE70E6"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238</w:t>
            </w:r>
          </w:p>
        </w:tc>
      </w:tr>
      <w:tr w:rsidR="0059247E" w:rsidRPr="00EA53E9" w:rsidTr="00EA53E9">
        <w:trPr>
          <w:trHeight w:val="192"/>
        </w:trPr>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1722(h)</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Request waiver of trawling test.  </w:t>
            </w:r>
          </w:p>
        </w:tc>
        <w:tc>
          <w:tcPr>
            <w:tcW w:w="990" w:type="dxa"/>
          </w:tcPr>
          <w:p w:rsidR="0059247E" w:rsidRPr="00EA53E9" w:rsidRDefault="006275C1" w:rsidP="00A82EBF">
            <w:pPr>
              <w:widowControl/>
              <w:tabs>
                <w:tab w:val="left" w:pos="360"/>
              </w:tabs>
              <w:rPr>
                <w:rFonts w:ascii="Times New Roman" w:hAnsi="Times New Roman"/>
                <w:snapToGrid/>
                <w:sz w:val="20"/>
              </w:rPr>
            </w:pPr>
            <w:r w:rsidRPr="00EA53E9">
              <w:rPr>
                <w:rFonts w:ascii="Times New Roman" w:hAnsi="Times New Roman"/>
                <w:snapToGrid/>
                <w:sz w:val="20"/>
              </w:rPr>
              <w:t>1.</w:t>
            </w:r>
            <w:r w:rsidR="00A82EBF" w:rsidRPr="00EA53E9">
              <w:rPr>
                <w:rFonts w:ascii="Times New Roman" w:hAnsi="Times New Roman"/>
                <w:snapToGrid/>
                <w:sz w:val="20"/>
              </w:rPr>
              <w:t>5</w:t>
            </w:r>
          </w:p>
        </w:tc>
        <w:tc>
          <w:tcPr>
            <w:tcW w:w="1350" w:type="dxa"/>
          </w:tcPr>
          <w:p w:rsidR="0059247E" w:rsidRPr="00EA53E9" w:rsidRDefault="00D3272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5 </w:t>
            </w:r>
            <w:r w:rsidR="0059247E" w:rsidRPr="00EA53E9">
              <w:rPr>
                <w:rFonts w:ascii="Times New Roman" w:hAnsi="Times New Roman"/>
                <w:snapToGrid/>
                <w:sz w:val="20"/>
              </w:rPr>
              <w:t>requests</w:t>
            </w:r>
          </w:p>
        </w:tc>
        <w:tc>
          <w:tcPr>
            <w:tcW w:w="1170" w:type="dxa"/>
          </w:tcPr>
          <w:p w:rsidR="0059247E" w:rsidRPr="00EA53E9" w:rsidRDefault="00CE70E6"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8</w:t>
            </w:r>
          </w:p>
        </w:tc>
      </w:tr>
      <w:tr w:rsidR="006D61D8" w:rsidRPr="00EA53E9" w:rsidTr="00EA53E9">
        <w:tc>
          <w:tcPr>
            <w:tcW w:w="6570" w:type="dxa"/>
            <w:gridSpan w:val="4"/>
            <w:vAlign w:val="center"/>
          </w:tcPr>
          <w:p w:rsidR="006D61D8" w:rsidRPr="00EA53E9" w:rsidRDefault="006D61D8" w:rsidP="00EA53E9">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350" w:type="dxa"/>
          </w:tcPr>
          <w:p w:rsidR="006D61D8" w:rsidRPr="00EA53E9" w:rsidRDefault="006D61D8" w:rsidP="006D61D8">
            <w:pPr>
              <w:widowControl/>
              <w:tabs>
                <w:tab w:val="left" w:pos="360"/>
              </w:tabs>
              <w:rPr>
                <w:rFonts w:ascii="Times New Roman" w:hAnsi="Times New Roman"/>
                <w:b/>
                <w:snapToGrid/>
                <w:sz w:val="20"/>
              </w:rPr>
            </w:pPr>
            <w:r w:rsidRPr="00EA53E9">
              <w:rPr>
                <w:rFonts w:ascii="Times New Roman" w:hAnsi="Times New Roman"/>
                <w:b/>
                <w:snapToGrid/>
                <w:sz w:val="20"/>
              </w:rPr>
              <w:t>110 responses</w:t>
            </w:r>
          </w:p>
        </w:tc>
        <w:tc>
          <w:tcPr>
            <w:tcW w:w="1170" w:type="dxa"/>
          </w:tcPr>
          <w:p w:rsidR="006D61D8" w:rsidRPr="00EA53E9" w:rsidRDefault="006D61D8" w:rsidP="0059247E">
            <w:pPr>
              <w:widowControl/>
              <w:tabs>
                <w:tab w:val="left" w:pos="360"/>
              </w:tabs>
              <w:jc w:val="right"/>
              <w:rPr>
                <w:rFonts w:ascii="Times New Roman" w:hAnsi="Times New Roman"/>
                <w:b/>
                <w:snapToGrid/>
                <w:sz w:val="20"/>
              </w:rPr>
            </w:pPr>
            <w:r w:rsidRPr="00EA53E9">
              <w:rPr>
                <w:rFonts w:ascii="Times New Roman" w:hAnsi="Times New Roman"/>
                <w:b/>
                <w:snapToGrid/>
                <w:sz w:val="20"/>
              </w:rPr>
              <w:t>256 hours</w:t>
            </w:r>
          </w:p>
        </w:tc>
      </w:tr>
      <w:tr w:rsidR="0059247E" w:rsidRPr="00EA53E9" w:rsidTr="00EA53E9">
        <w:tc>
          <w:tcPr>
            <w:tcW w:w="9090" w:type="dxa"/>
            <w:gridSpan w:val="6"/>
          </w:tcPr>
          <w:p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Removing Platforms and Other Facilities</w:t>
            </w:r>
          </w:p>
        </w:tc>
      </w:tr>
      <w:tr w:rsidR="0059247E" w:rsidRPr="00EA53E9" w:rsidTr="00EA53E9">
        <w:tc>
          <w:tcPr>
            <w:tcW w:w="1090" w:type="dxa"/>
            <w:gridSpan w:val="2"/>
          </w:tcPr>
          <w:p w:rsidR="0059247E" w:rsidRPr="00BF1868"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1726; 1704(a)</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Submit initial decommissioning application in the </w:t>
            </w:r>
            <w:r w:rsidR="00CE70E6" w:rsidRPr="00EA53E9">
              <w:rPr>
                <w:rFonts w:ascii="Times New Roman" w:hAnsi="Times New Roman"/>
                <w:snapToGrid/>
                <w:sz w:val="20"/>
              </w:rPr>
              <w:t>Pacific and Alaska OCS Regions.</w:t>
            </w:r>
          </w:p>
        </w:tc>
        <w:tc>
          <w:tcPr>
            <w:tcW w:w="990" w:type="dxa"/>
          </w:tcPr>
          <w:p w:rsidR="0059247E" w:rsidRPr="00EA53E9" w:rsidRDefault="001B3E94" w:rsidP="009B5124">
            <w:pPr>
              <w:widowControl/>
              <w:tabs>
                <w:tab w:val="left" w:pos="360"/>
              </w:tabs>
              <w:rPr>
                <w:rFonts w:ascii="Times New Roman" w:hAnsi="Times New Roman"/>
                <w:snapToGrid/>
                <w:sz w:val="20"/>
              </w:rPr>
            </w:pPr>
            <w:r w:rsidRPr="00EA53E9">
              <w:rPr>
                <w:rFonts w:ascii="Times New Roman" w:hAnsi="Times New Roman"/>
                <w:snapToGrid/>
                <w:sz w:val="20"/>
              </w:rPr>
              <w:t>20</w:t>
            </w:r>
          </w:p>
        </w:tc>
        <w:tc>
          <w:tcPr>
            <w:tcW w:w="1350" w:type="dxa"/>
          </w:tcPr>
          <w:p w:rsidR="0059247E" w:rsidRPr="00EA53E9" w:rsidRDefault="00CE70E6" w:rsidP="00CC1D90">
            <w:pPr>
              <w:widowControl/>
              <w:tabs>
                <w:tab w:val="left" w:pos="360"/>
              </w:tabs>
              <w:rPr>
                <w:rFonts w:ascii="Times New Roman" w:hAnsi="Times New Roman"/>
                <w:snapToGrid/>
                <w:sz w:val="20"/>
              </w:rPr>
            </w:pPr>
            <w:r w:rsidRPr="00EA53E9">
              <w:rPr>
                <w:rFonts w:ascii="Times New Roman" w:hAnsi="Times New Roman"/>
                <w:snapToGrid/>
                <w:sz w:val="20"/>
              </w:rPr>
              <w:t>2</w:t>
            </w:r>
            <w:r w:rsidR="00D32725" w:rsidRPr="00EA53E9">
              <w:rPr>
                <w:rFonts w:ascii="Times New Roman" w:hAnsi="Times New Roman"/>
                <w:snapToGrid/>
                <w:sz w:val="20"/>
              </w:rPr>
              <w:t xml:space="preserve"> </w:t>
            </w:r>
            <w:r w:rsidR="0059247E" w:rsidRPr="00EA53E9">
              <w:rPr>
                <w:rFonts w:ascii="Times New Roman" w:hAnsi="Times New Roman"/>
                <w:snapToGrid/>
                <w:sz w:val="20"/>
              </w:rPr>
              <w:t>applications</w:t>
            </w:r>
          </w:p>
        </w:tc>
        <w:tc>
          <w:tcPr>
            <w:tcW w:w="1170" w:type="dxa"/>
          </w:tcPr>
          <w:p w:rsidR="0059247E" w:rsidRPr="00EA53E9" w:rsidRDefault="00CE70E6"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40</w:t>
            </w:r>
          </w:p>
        </w:tc>
      </w:tr>
      <w:tr w:rsidR="0059247E" w:rsidRPr="00EA53E9" w:rsidTr="00EA53E9">
        <w:trPr>
          <w:trHeight w:val="585"/>
        </w:trPr>
        <w:tc>
          <w:tcPr>
            <w:tcW w:w="1090" w:type="dxa"/>
            <w:gridSpan w:val="2"/>
            <w:vMerge w:val="restart"/>
          </w:tcPr>
          <w:p w:rsidR="0059247E" w:rsidRPr="00EA53E9" w:rsidRDefault="0059247E" w:rsidP="0059247E">
            <w:pPr>
              <w:widowControl/>
              <w:tabs>
                <w:tab w:val="left" w:pos="360"/>
              </w:tabs>
              <w:rPr>
                <w:rFonts w:ascii="Times New Roman" w:hAnsi="Times New Roman"/>
                <w:snapToGrid/>
                <w:sz w:val="20"/>
                <w:highlight w:val="yellow"/>
              </w:rPr>
            </w:pPr>
            <w:r w:rsidRPr="00EA53E9">
              <w:rPr>
                <w:rFonts w:ascii="Times New Roman" w:hAnsi="Times New Roman"/>
                <w:snapToGrid/>
                <w:sz w:val="20"/>
              </w:rPr>
              <w:t xml:space="preserve">1725; 1727; </w:t>
            </w:r>
            <w:r w:rsidRPr="00EA53E9">
              <w:rPr>
                <w:rFonts w:ascii="Times New Roman" w:hAnsi="Times New Roman"/>
                <w:snapToGrid/>
                <w:sz w:val="20"/>
              </w:rPr>
              <w:lastRenderedPageBreak/>
              <w:t>1728; 1730; 1704(b)</w:t>
            </w:r>
          </w:p>
        </w:tc>
        <w:tc>
          <w:tcPr>
            <w:tcW w:w="4490" w:type="dxa"/>
            <w:vMerge w:val="restart"/>
          </w:tcPr>
          <w:p w:rsidR="0059247E" w:rsidRPr="00EA53E9" w:rsidRDefault="0059247E" w:rsidP="00CC1D90">
            <w:pPr>
              <w:widowControl/>
              <w:tabs>
                <w:tab w:val="left" w:pos="360"/>
              </w:tabs>
              <w:rPr>
                <w:rFonts w:ascii="Times New Roman" w:hAnsi="Times New Roman"/>
                <w:snapToGrid/>
                <w:sz w:val="20"/>
              </w:rPr>
            </w:pPr>
            <w:r w:rsidRPr="00EA53E9">
              <w:rPr>
                <w:rFonts w:ascii="Times New Roman" w:hAnsi="Times New Roman"/>
                <w:snapToGrid/>
                <w:sz w:val="20"/>
              </w:rPr>
              <w:lastRenderedPageBreak/>
              <w:t xml:space="preserve">Submit final application and appropriate data to remove platform or other subsea facility structures </w:t>
            </w:r>
            <w:r w:rsidRPr="00EA53E9">
              <w:rPr>
                <w:rFonts w:ascii="Times New Roman" w:hAnsi="Times New Roman"/>
                <w:snapToGrid/>
                <w:sz w:val="20"/>
              </w:rPr>
              <w:lastRenderedPageBreak/>
              <w:t>(including alternate depth departure) or approval to maintain, to conduct other operations, or to convert to artificial reef.</w:t>
            </w:r>
          </w:p>
        </w:tc>
        <w:tc>
          <w:tcPr>
            <w:tcW w:w="990" w:type="dxa"/>
          </w:tcPr>
          <w:p w:rsidR="0059247E" w:rsidRPr="00EA53E9" w:rsidRDefault="006275C1" w:rsidP="009B5124">
            <w:pPr>
              <w:widowControl/>
              <w:tabs>
                <w:tab w:val="left" w:pos="360"/>
              </w:tabs>
              <w:rPr>
                <w:rFonts w:ascii="Times New Roman" w:hAnsi="Times New Roman"/>
                <w:snapToGrid/>
                <w:sz w:val="20"/>
              </w:rPr>
            </w:pPr>
            <w:r w:rsidRPr="00EA53E9">
              <w:rPr>
                <w:rFonts w:ascii="Times New Roman" w:hAnsi="Times New Roman"/>
                <w:snapToGrid/>
                <w:sz w:val="20"/>
              </w:rPr>
              <w:lastRenderedPageBreak/>
              <w:t>28</w:t>
            </w:r>
          </w:p>
        </w:tc>
        <w:tc>
          <w:tcPr>
            <w:tcW w:w="1350" w:type="dxa"/>
          </w:tcPr>
          <w:p w:rsidR="0059247E" w:rsidRPr="00EA53E9" w:rsidRDefault="00CD5B1C" w:rsidP="0059247E">
            <w:pPr>
              <w:widowControl/>
              <w:tabs>
                <w:tab w:val="left" w:pos="360"/>
              </w:tabs>
              <w:ind w:right="-120"/>
              <w:rPr>
                <w:rFonts w:ascii="Times New Roman" w:hAnsi="Times New Roman"/>
                <w:snapToGrid/>
                <w:sz w:val="20"/>
              </w:rPr>
            </w:pPr>
            <w:r>
              <w:rPr>
                <w:rFonts w:ascii="Times New Roman" w:hAnsi="Times New Roman"/>
                <w:snapToGrid/>
                <w:sz w:val="20"/>
              </w:rPr>
              <w:t>327</w:t>
            </w:r>
            <w:r w:rsidR="00D32725" w:rsidRPr="00EA53E9">
              <w:rPr>
                <w:rFonts w:ascii="Times New Roman" w:hAnsi="Times New Roman"/>
                <w:snapToGrid/>
                <w:sz w:val="20"/>
              </w:rPr>
              <w:t xml:space="preserve"> </w:t>
            </w:r>
            <w:r w:rsidR="0059247E" w:rsidRPr="00EA53E9">
              <w:rPr>
                <w:rFonts w:ascii="Times New Roman" w:hAnsi="Times New Roman"/>
                <w:snapToGrid/>
                <w:sz w:val="20"/>
              </w:rPr>
              <w:t>applications</w:t>
            </w:r>
          </w:p>
        </w:tc>
        <w:tc>
          <w:tcPr>
            <w:tcW w:w="1170" w:type="dxa"/>
          </w:tcPr>
          <w:p w:rsidR="0059247E" w:rsidRPr="00EA53E9" w:rsidRDefault="008B3C3D" w:rsidP="0059247E">
            <w:pPr>
              <w:widowControl/>
              <w:tabs>
                <w:tab w:val="left" w:pos="360"/>
              </w:tabs>
              <w:jc w:val="right"/>
              <w:rPr>
                <w:rFonts w:ascii="Times New Roman" w:hAnsi="Times New Roman"/>
                <w:snapToGrid/>
                <w:sz w:val="20"/>
              </w:rPr>
            </w:pPr>
            <w:r>
              <w:rPr>
                <w:rFonts w:ascii="Times New Roman" w:hAnsi="Times New Roman"/>
                <w:snapToGrid/>
                <w:sz w:val="20"/>
              </w:rPr>
              <w:t>9,156</w:t>
            </w:r>
          </w:p>
        </w:tc>
      </w:tr>
      <w:tr w:rsidR="0059247E" w:rsidRPr="00EA53E9" w:rsidTr="00EA53E9">
        <w:trPr>
          <w:trHeight w:val="282"/>
        </w:trPr>
        <w:tc>
          <w:tcPr>
            <w:tcW w:w="1090" w:type="dxa"/>
            <w:gridSpan w:val="2"/>
            <w:vMerge/>
          </w:tcPr>
          <w:p w:rsidR="0059247E" w:rsidRPr="00EA53E9" w:rsidRDefault="0059247E" w:rsidP="0059247E">
            <w:pPr>
              <w:widowControl/>
              <w:tabs>
                <w:tab w:val="left" w:pos="360"/>
              </w:tabs>
              <w:rPr>
                <w:rFonts w:ascii="Times New Roman" w:hAnsi="Times New Roman"/>
                <w:snapToGrid/>
                <w:sz w:val="20"/>
              </w:rPr>
            </w:pPr>
          </w:p>
        </w:tc>
        <w:tc>
          <w:tcPr>
            <w:tcW w:w="4490" w:type="dxa"/>
            <w:vMerge/>
          </w:tcPr>
          <w:p w:rsidR="0059247E" w:rsidRPr="00EA53E9" w:rsidRDefault="0059247E" w:rsidP="0059247E">
            <w:pPr>
              <w:widowControl/>
              <w:tabs>
                <w:tab w:val="left" w:pos="360"/>
              </w:tabs>
              <w:rPr>
                <w:rFonts w:ascii="Times New Roman" w:hAnsi="Times New Roman"/>
                <w:snapToGrid/>
                <w:sz w:val="20"/>
              </w:rPr>
            </w:pPr>
          </w:p>
        </w:tc>
        <w:tc>
          <w:tcPr>
            <w:tcW w:w="3510" w:type="dxa"/>
            <w:gridSpan w:val="3"/>
            <w:vAlign w:val="center"/>
          </w:tcPr>
          <w:p w:rsidR="0059247E" w:rsidRPr="00EA53E9" w:rsidRDefault="0059247E" w:rsidP="00CD5B1C">
            <w:pPr>
              <w:widowControl/>
              <w:tabs>
                <w:tab w:val="left" w:pos="360"/>
              </w:tabs>
              <w:jc w:val="center"/>
              <w:rPr>
                <w:rFonts w:ascii="Times New Roman" w:hAnsi="Times New Roman"/>
                <w:snapToGrid/>
                <w:sz w:val="20"/>
              </w:rPr>
            </w:pPr>
            <w:r w:rsidRPr="00EA53E9">
              <w:rPr>
                <w:rFonts w:ascii="Times New Roman" w:hAnsi="Times New Roman"/>
                <w:snapToGrid/>
                <w:sz w:val="20"/>
              </w:rPr>
              <w:t xml:space="preserve">$4,342 fee x </w:t>
            </w:r>
            <w:r w:rsidR="00CD5B1C">
              <w:rPr>
                <w:rFonts w:ascii="Times New Roman" w:hAnsi="Times New Roman"/>
                <w:snapToGrid/>
                <w:sz w:val="20"/>
              </w:rPr>
              <w:t>327</w:t>
            </w:r>
            <w:r w:rsidRPr="00EA53E9">
              <w:rPr>
                <w:rFonts w:ascii="Times New Roman" w:hAnsi="Times New Roman"/>
                <w:snapToGrid/>
                <w:sz w:val="20"/>
              </w:rPr>
              <w:t xml:space="preserve"> = $</w:t>
            </w:r>
            <w:r w:rsidR="00CD5B1C">
              <w:rPr>
                <w:rFonts w:ascii="Times New Roman" w:hAnsi="Times New Roman"/>
                <w:snapToGrid/>
                <w:sz w:val="20"/>
              </w:rPr>
              <w:t>1,419,834</w:t>
            </w:r>
            <w:r w:rsidR="00470B20" w:rsidRPr="00EA53E9">
              <w:rPr>
                <w:rFonts w:ascii="Times New Roman" w:hAnsi="Times New Roman"/>
                <w:snapToGrid/>
                <w:sz w:val="20"/>
              </w:rPr>
              <w:t>*</w:t>
            </w:r>
          </w:p>
        </w:tc>
      </w:tr>
      <w:tr w:rsidR="0059247E" w:rsidRPr="00EA53E9" w:rsidTr="00EA53E9">
        <w:tc>
          <w:tcPr>
            <w:tcW w:w="1090" w:type="dxa"/>
            <w:gridSpan w:val="2"/>
          </w:tcPr>
          <w:p w:rsidR="0059247E" w:rsidRPr="00BF1868"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lastRenderedPageBreak/>
              <w:t>1725(e)</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removal of platform and other facilities.</w:t>
            </w:r>
          </w:p>
        </w:tc>
        <w:tc>
          <w:tcPr>
            <w:tcW w:w="990" w:type="dxa"/>
          </w:tcPr>
          <w:p w:rsidR="0059247E" w:rsidRPr="00EA53E9" w:rsidRDefault="006275C1" w:rsidP="00A82EBF">
            <w:pPr>
              <w:widowControl/>
              <w:tabs>
                <w:tab w:val="left" w:pos="360"/>
              </w:tabs>
              <w:rPr>
                <w:rFonts w:ascii="Times New Roman" w:hAnsi="Times New Roman"/>
                <w:snapToGrid/>
                <w:sz w:val="20"/>
              </w:rPr>
            </w:pPr>
            <w:r w:rsidRPr="00EA53E9">
              <w:rPr>
                <w:rFonts w:ascii="Times New Roman" w:hAnsi="Times New Roman"/>
                <w:snapToGrid/>
                <w:sz w:val="20"/>
              </w:rPr>
              <w:t>0.</w:t>
            </w:r>
            <w:r w:rsidR="00A82EBF" w:rsidRPr="00EA53E9">
              <w:rPr>
                <w:rFonts w:ascii="Times New Roman" w:hAnsi="Times New Roman"/>
                <w:snapToGrid/>
                <w:sz w:val="20"/>
              </w:rPr>
              <w:t>5</w:t>
            </w:r>
          </w:p>
        </w:tc>
        <w:tc>
          <w:tcPr>
            <w:tcW w:w="1350" w:type="dxa"/>
          </w:tcPr>
          <w:p w:rsidR="0059247E" w:rsidRPr="00EA53E9" w:rsidRDefault="00402B1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277 </w:t>
            </w:r>
            <w:r w:rsidR="0059247E" w:rsidRPr="00EA53E9">
              <w:rPr>
                <w:rFonts w:ascii="Times New Roman" w:hAnsi="Times New Roman"/>
                <w:snapToGrid/>
                <w:sz w:val="20"/>
              </w:rPr>
              <w:t>notices</w:t>
            </w:r>
          </w:p>
        </w:tc>
        <w:tc>
          <w:tcPr>
            <w:tcW w:w="1170" w:type="dxa"/>
          </w:tcPr>
          <w:p w:rsidR="0059247E" w:rsidRPr="00EA53E9" w:rsidRDefault="00D7562A"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139</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1729; 1704(c)</w:t>
            </w:r>
          </w:p>
        </w:tc>
        <w:tc>
          <w:tcPr>
            <w:tcW w:w="4490"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Submit post platform or other facility removal report;  supporting documentation; signed statements, etc.</w:t>
            </w:r>
          </w:p>
        </w:tc>
        <w:tc>
          <w:tcPr>
            <w:tcW w:w="990" w:type="dxa"/>
          </w:tcPr>
          <w:p w:rsidR="0059247E" w:rsidRPr="00EA53E9" w:rsidRDefault="006275C1" w:rsidP="00A82EBF">
            <w:pPr>
              <w:widowControl/>
              <w:tabs>
                <w:tab w:val="left" w:pos="360"/>
              </w:tabs>
              <w:rPr>
                <w:rFonts w:ascii="Times New Roman" w:hAnsi="Times New Roman"/>
                <w:snapToGrid/>
                <w:sz w:val="20"/>
              </w:rPr>
            </w:pPr>
            <w:r w:rsidRPr="00EA53E9">
              <w:rPr>
                <w:rFonts w:ascii="Times New Roman" w:hAnsi="Times New Roman"/>
                <w:snapToGrid/>
                <w:sz w:val="20"/>
              </w:rPr>
              <w:t>9.</w:t>
            </w:r>
            <w:r w:rsidR="00A82EBF" w:rsidRPr="00EA53E9">
              <w:rPr>
                <w:rFonts w:ascii="Times New Roman" w:hAnsi="Times New Roman"/>
                <w:snapToGrid/>
                <w:sz w:val="20"/>
              </w:rPr>
              <w:t>5</w:t>
            </w:r>
          </w:p>
        </w:tc>
        <w:tc>
          <w:tcPr>
            <w:tcW w:w="1350" w:type="dxa"/>
          </w:tcPr>
          <w:p w:rsidR="0059247E" w:rsidRPr="00EA53E9" w:rsidRDefault="00402B1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277 </w:t>
            </w:r>
            <w:r w:rsidR="0059247E" w:rsidRPr="00EA53E9">
              <w:rPr>
                <w:rFonts w:ascii="Times New Roman" w:hAnsi="Times New Roman"/>
                <w:snapToGrid/>
                <w:sz w:val="20"/>
              </w:rPr>
              <w:t>reports</w:t>
            </w:r>
          </w:p>
        </w:tc>
        <w:tc>
          <w:tcPr>
            <w:tcW w:w="1170" w:type="dxa"/>
          </w:tcPr>
          <w:p w:rsidR="0059247E" w:rsidRPr="00EA53E9" w:rsidRDefault="00D7562A"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2,632</w:t>
            </w:r>
          </w:p>
        </w:tc>
      </w:tr>
      <w:tr w:rsidR="0059247E" w:rsidRPr="00EA53E9" w:rsidTr="00EA53E9">
        <w:tc>
          <w:tcPr>
            <w:tcW w:w="1090"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1731(c)</w:t>
            </w:r>
          </w:p>
        </w:tc>
        <w:tc>
          <w:tcPr>
            <w:tcW w:w="4490" w:type="dxa"/>
          </w:tcPr>
          <w:p w:rsidR="0059247E" w:rsidRPr="00EA53E9" w:rsidRDefault="0059247E" w:rsidP="00E61CC9">
            <w:pPr>
              <w:widowControl/>
              <w:tabs>
                <w:tab w:val="left" w:pos="360"/>
              </w:tabs>
              <w:rPr>
                <w:rFonts w:ascii="Times New Roman" w:hAnsi="Times New Roman"/>
                <w:snapToGrid/>
                <w:sz w:val="20"/>
              </w:rPr>
            </w:pPr>
            <w:r w:rsidRPr="00EA53E9">
              <w:rPr>
                <w:rFonts w:ascii="Times New Roman" w:hAnsi="Times New Roman"/>
                <w:snapToGrid/>
                <w:sz w:val="20"/>
              </w:rPr>
              <w:t xml:space="preserve">Request deferral of facility removal subject to RUE issued under 30 CFR </w:t>
            </w:r>
            <w:r w:rsidR="00E61CC9" w:rsidRPr="00EA53E9">
              <w:rPr>
                <w:rFonts w:ascii="Times New Roman" w:hAnsi="Times New Roman"/>
                <w:snapToGrid/>
                <w:sz w:val="20"/>
              </w:rPr>
              <w:t>556</w:t>
            </w:r>
            <w:r w:rsidRPr="00EA53E9">
              <w:rPr>
                <w:rFonts w:ascii="Times New Roman" w:hAnsi="Times New Roman"/>
                <w:snapToGrid/>
                <w:sz w:val="20"/>
              </w:rPr>
              <w:t>.</w:t>
            </w:r>
          </w:p>
        </w:tc>
        <w:tc>
          <w:tcPr>
            <w:tcW w:w="990" w:type="dxa"/>
          </w:tcPr>
          <w:p w:rsidR="0059247E" w:rsidRPr="00EA53E9" w:rsidRDefault="006275C1" w:rsidP="00A82EBF">
            <w:pPr>
              <w:widowControl/>
              <w:tabs>
                <w:tab w:val="left" w:pos="360"/>
              </w:tabs>
              <w:rPr>
                <w:rFonts w:ascii="Times New Roman" w:hAnsi="Times New Roman"/>
                <w:snapToGrid/>
                <w:sz w:val="20"/>
              </w:rPr>
            </w:pPr>
            <w:r w:rsidRPr="00EA53E9">
              <w:rPr>
                <w:rFonts w:ascii="Times New Roman" w:hAnsi="Times New Roman"/>
                <w:snapToGrid/>
                <w:sz w:val="20"/>
              </w:rPr>
              <w:t>1.7</w:t>
            </w:r>
            <w:r w:rsidR="00A82EBF" w:rsidRPr="00EA53E9">
              <w:rPr>
                <w:rFonts w:ascii="Times New Roman" w:hAnsi="Times New Roman"/>
                <w:snapToGrid/>
                <w:sz w:val="20"/>
              </w:rPr>
              <w:t>5</w:t>
            </w:r>
          </w:p>
        </w:tc>
        <w:tc>
          <w:tcPr>
            <w:tcW w:w="1350" w:type="dxa"/>
          </w:tcPr>
          <w:p w:rsidR="0059247E" w:rsidRPr="00EA53E9" w:rsidRDefault="00402B1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50 </w:t>
            </w:r>
            <w:r w:rsidR="0059247E" w:rsidRPr="00EA53E9">
              <w:rPr>
                <w:rFonts w:ascii="Times New Roman" w:hAnsi="Times New Roman"/>
                <w:snapToGrid/>
                <w:sz w:val="20"/>
              </w:rPr>
              <w:t>request.</w:t>
            </w:r>
          </w:p>
        </w:tc>
        <w:tc>
          <w:tcPr>
            <w:tcW w:w="1170" w:type="dxa"/>
          </w:tcPr>
          <w:p w:rsidR="0059247E" w:rsidRPr="00EA53E9" w:rsidRDefault="00D7562A"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88</w:t>
            </w:r>
          </w:p>
        </w:tc>
      </w:tr>
      <w:tr w:rsidR="003C2D79" w:rsidRPr="00EA53E9" w:rsidTr="00EA53E9">
        <w:trPr>
          <w:trHeight w:val="233"/>
        </w:trPr>
        <w:tc>
          <w:tcPr>
            <w:tcW w:w="6570" w:type="dxa"/>
            <w:gridSpan w:val="4"/>
            <w:vMerge w:val="restart"/>
            <w:vAlign w:val="center"/>
          </w:tcPr>
          <w:p w:rsidR="003C2D79" w:rsidRPr="00EA53E9" w:rsidRDefault="003C2D79" w:rsidP="003C2D79">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350" w:type="dxa"/>
            <w:vAlign w:val="center"/>
          </w:tcPr>
          <w:p w:rsidR="003C2D79" w:rsidRPr="00EA53E9" w:rsidRDefault="008B3C3D" w:rsidP="003C2D79">
            <w:pPr>
              <w:widowControl/>
              <w:tabs>
                <w:tab w:val="left" w:pos="360"/>
              </w:tabs>
              <w:rPr>
                <w:rFonts w:ascii="Times New Roman" w:hAnsi="Times New Roman"/>
                <w:b/>
                <w:snapToGrid/>
                <w:sz w:val="20"/>
              </w:rPr>
            </w:pPr>
            <w:r>
              <w:rPr>
                <w:rFonts w:ascii="Times New Roman" w:hAnsi="Times New Roman"/>
                <w:b/>
                <w:snapToGrid/>
                <w:sz w:val="20"/>
              </w:rPr>
              <w:t>933</w:t>
            </w:r>
            <w:r w:rsidR="003C2D79" w:rsidRPr="00EA53E9">
              <w:rPr>
                <w:rFonts w:ascii="Times New Roman" w:hAnsi="Times New Roman"/>
                <w:b/>
                <w:snapToGrid/>
                <w:sz w:val="20"/>
              </w:rPr>
              <w:t xml:space="preserve"> responses</w:t>
            </w:r>
          </w:p>
        </w:tc>
        <w:tc>
          <w:tcPr>
            <w:tcW w:w="1170" w:type="dxa"/>
          </w:tcPr>
          <w:p w:rsidR="003C2D79" w:rsidRPr="00EA53E9" w:rsidRDefault="008B3C3D" w:rsidP="0059247E">
            <w:pPr>
              <w:widowControl/>
              <w:tabs>
                <w:tab w:val="left" w:pos="360"/>
              </w:tabs>
              <w:jc w:val="right"/>
              <w:rPr>
                <w:rFonts w:ascii="Times New Roman" w:hAnsi="Times New Roman"/>
                <w:b/>
                <w:snapToGrid/>
                <w:sz w:val="20"/>
              </w:rPr>
            </w:pPr>
            <w:r>
              <w:rPr>
                <w:rFonts w:ascii="Times New Roman" w:hAnsi="Times New Roman"/>
                <w:b/>
                <w:snapToGrid/>
                <w:sz w:val="20"/>
              </w:rPr>
              <w:t>12,055</w:t>
            </w:r>
            <w:r w:rsidR="003C2D79" w:rsidRPr="00EA53E9">
              <w:rPr>
                <w:rFonts w:ascii="Times New Roman" w:hAnsi="Times New Roman"/>
                <w:b/>
                <w:snapToGrid/>
                <w:sz w:val="20"/>
              </w:rPr>
              <w:t xml:space="preserve"> hours</w:t>
            </w:r>
          </w:p>
        </w:tc>
      </w:tr>
      <w:tr w:rsidR="003C2D79" w:rsidRPr="00EA53E9" w:rsidTr="00EA53E9">
        <w:trPr>
          <w:trHeight w:val="232"/>
        </w:trPr>
        <w:tc>
          <w:tcPr>
            <w:tcW w:w="6570" w:type="dxa"/>
            <w:gridSpan w:val="4"/>
            <w:vMerge/>
          </w:tcPr>
          <w:p w:rsidR="003C2D79" w:rsidRPr="00EA53E9" w:rsidRDefault="003C2D79" w:rsidP="0060182B">
            <w:pPr>
              <w:widowControl/>
              <w:tabs>
                <w:tab w:val="left" w:pos="360"/>
              </w:tabs>
              <w:jc w:val="center"/>
              <w:rPr>
                <w:rFonts w:ascii="Times New Roman" w:hAnsi="Times New Roman"/>
                <w:b/>
                <w:snapToGrid/>
                <w:sz w:val="20"/>
              </w:rPr>
            </w:pPr>
          </w:p>
        </w:tc>
        <w:tc>
          <w:tcPr>
            <w:tcW w:w="2520" w:type="dxa"/>
            <w:gridSpan w:val="2"/>
          </w:tcPr>
          <w:p w:rsidR="003C2D79" w:rsidRPr="00EA53E9" w:rsidRDefault="003C2D79" w:rsidP="003C2D79">
            <w:pPr>
              <w:widowControl/>
              <w:tabs>
                <w:tab w:val="left" w:pos="360"/>
              </w:tabs>
              <w:jc w:val="center"/>
              <w:rPr>
                <w:rFonts w:ascii="Times New Roman" w:hAnsi="Times New Roman"/>
                <w:b/>
                <w:snapToGrid/>
                <w:sz w:val="20"/>
              </w:rPr>
            </w:pPr>
            <w:r w:rsidRPr="00EA53E9">
              <w:rPr>
                <w:rFonts w:ascii="Times New Roman" w:hAnsi="Times New Roman"/>
                <w:b/>
                <w:snapToGrid/>
                <w:sz w:val="20"/>
              </w:rPr>
              <w:t>$</w:t>
            </w:r>
            <w:r w:rsidR="00CD5B1C" w:rsidRPr="00CD5B1C">
              <w:rPr>
                <w:rFonts w:ascii="Times New Roman" w:hAnsi="Times New Roman"/>
                <w:b/>
                <w:snapToGrid/>
                <w:sz w:val="20"/>
              </w:rPr>
              <w:t>1,419,834</w:t>
            </w:r>
          </w:p>
          <w:p w:rsidR="003C2D79" w:rsidRPr="00EA53E9" w:rsidRDefault="003C2D79" w:rsidP="003C2D79">
            <w:pPr>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0059247E" w:rsidRPr="00EA53E9" w:rsidTr="00EA53E9">
        <w:trPr>
          <w:trHeight w:val="183"/>
        </w:trPr>
        <w:tc>
          <w:tcPr>
            <w:tcW w:w="9090" w:type="dxa"/>
            <w:gridSpan w:val="6"/>
          </w:tcPr>
          <w:p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Site Clearance for Wells, Platforms, and Other Facilities</w:t>
            </w:r>
          </w:p>
        </w:tc>
      </w:tr>
      <w:tr w:rsidR="0059247E" w:rsidRPr="00EA53E9" w:rsidTr="00EA53E9">
        <w:trPr>
          <w:trHeight w:val="183"/>
        </w:trPr>
        <w:tc>
          <w:tcPr>
            <w:tcW w:w="1011" w:type="dxa"/>
          </w:tcPr>
          <w:p w:rsidR="0059247E" w:rsidRPr="00EA53E9" w:rsidRDefault="0059247E" w:rsidP="0059247E">
            <w:pPr>
              <w:widowControl/>
              <w:tabs>
                <w:tab w:val="left" w:pos="360"/>
              </w:tabs>
              <w:rPr>
                <w:rFonts w:ascii="Times New Roman" w:hAnsi="Times New Roman"/>
                <w:snapToGrid/>
                <w:sz w:val="20"/>
                <w:highlight w:val="yellow"/>
              </w:rPr>
            </w:pPr>
            <w:r w:rsidRPr="00EA53E9">
              <w:rPr>
                <w:rFonts w:ascii="Times New Roman" w:hAnsi="Times New Roman"/>
                <w:snapToGrid/>
                <w:sz w:val="20"/>
              </w:rPr>
              <w:t xml:space="preserve">1740; </w:t>
            </w:r>
            <w:r w:rsidR="00E61CC9" w:rsidRPr="00EA53E9">
              <w:rPr>
                <w:rFonts w:ascii="Times New Roman" w:hAnsi="Times New Roman"/>
                <w:snapToGrid/>
                <w:sz w:val="20"/>
              </w:rPr>
              <w:t>1741(g)</w:t>
            </w:r>
          </w:p>
        </w:tc>
        <w:tc>
          <w:tcPr>
            <w:tcW w:w="4569" w:type="dxa"/>
            <w:gridSpan w:val="2"/>
          </w:tcPr>
          <w:p w:rsidR="0059247E" w:rsidRPr="00EA53E9" w:rsidRDefault="00E61CC9" w:rsidP="0059247E">
            <w:pPr>
              <w:widowControl/>
              <w:tabs>
                <w:tab w:val="left" w:pos="360"/>
              </w:tabs>
              <w:rPr>
                <w:rFonts w:ascii="Times New Roman" w:hAnsi="Times New Roman"/>
                <w:snapToGrid/>
                <w:sz w:val="20"/>
              </w:rPr>
            </w:pPr>
            <w:r w:rsidRPr="00EA53E9">
              <w:rPr>
                <w:rFonts w:ascii="Times New Roman" w:hAnsi="Times New Roman"/>
                <w:snapToGrid/>
                <w:sz w:val="20"/>
              </w:rPr>
              <w:t>Request approval to use alternative methods of well site, platform, or other facility clearance; contact pipeline owner/operator before trawling to determine its condition.</w:t>
            </w:r>
          </w:p>
        </w:tc>
        <w:tc>
          <w:tcPr>
            <w:tcW w:w="990" w:type="dxa"/>
          </w:tcPr>
          <w:p w:rsidR="0059247E" w:rsidRPr="00EA53E9" w:rsidRDefault="006275C1" w:rsidP="009B5124">
            <w:pPr>
              <w:widowControl/>
              <w:tabs>
                <w:tab w:val="left" w:pos="360"/>
              </w:tabs>
              <w:rPr>
                <w:rFonts w:ascii="Times New Roman" w:hAnsi="Times New Roman"/>
                <w:snapToGrid/>
                <w:sz w:val="20"/>
              </w:rPr>
            </w:pPr>
            <w:r w:rsidRPr="00EA53E9">
              <w:rPr>
                <w:rFonts w:ascii="Times New Roman" w:hAnsi="Times New Roman"/>
                <w:snapToGrid/>
                <w:sz w:val="20"/>
              </w:rPr>
              <w:t>12.7</w:t>
            </w:r>
            <w:r w:rsidR="00A82EBF" w:rsidRPr="00EA53E9">
              <w:rPr>
                <w:rFonts w:ascii="Times New Roman" w:hAnsi="Times New Roman"/>
                <w:snapToGrid/>
                <w:sz w:val="20"/>
              </w:rPr>
              <w:t>5</w:t>
            </w:r>
          </w:p>
        </w:tc>
        <w:tc>
          <w:tcPr>
            <w:tcW w:w="1350" w:type="dxa"/>
          </w:tcPr>
          <w:p w:rsidR="0059247E" w:rsidRPr="00EA53E9" w:rsidRDefault="00402B15" w:rsidP="00A82EBF">
            <w:pPr>
              <w:widowControl/>
              <w:tabs>
                <w:tab w:val="left" w:pos="360"/>
              </w:tabs>
              <w:rPr>
                <w:rFonts w:ascii="Times New Roman" w:hAnsi="Times New Roman"/>
                <w:snapToGrid/>
                <w:sz w:val="20"/>
              </w:rPr>
            </w:pPr>
            <w:r w:rsidRPr="00EA53E9">
              <w:rPr>
                <w:rFonts w:ascii="Times New Roman" w:hAnsi="Times New Roman"/>
                <w:snapToGrid/>
                <w:sz w:val="20"/>
              </w:rPr>
              <w:t xml:space="preserve">75 </w:t>
            </w:r>
            <w:r w:rsidR="0059247E" w:rsidRPr="00EA53E9">
              <w:rPr>
                <w:rFonts w:ascii="Times New Roman" w:hAnsi="Times New Roman"/>
                <w:snapToGrid/>
                <w:sz w:val="20"/>
              </w:rPr>
              <w:t>requests</w:t>
            </w:r>
            <w:r w:rsidR="00F675BC" w:rsidRPr="00EA53E9">
              <w:rPr>
                <w:rFonts w:ascii="Times New Roman" w:hAnsi="Times New Roman"/>
                <w:snapToGrid/>
                <w:sz w:val="20"/>
              </w:rPr>
              <w:t xml:space="preserve"> </w:t>
            </w:r>
            <w:r w:rsidR="00E61B11" w:rsidRPr="00EA53E9">
              <w:rPr>
                <w:rFonts w:ascii="Times New Roman" w:hAnsi="Times New Roman"/>
                <w:snapToGrid/>
                <w:sz w:val="20"/>
              </w:rPr>
              <w:t>/contact</w:t>
            </w:r>
          </w:p>
        </w:tc>
        <w:tc>
          <w:tcPr>
            <w:tcW w:w="1170" w:type="dxa"/>
          </w:tcPr>
          <w:p w:rsidR="0059247E" w:rsidRPr="00EA53E9" w:rsidRDefault="0060182B"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956</w:t>
            </w:r>
          </w:p>
        </w:tc>
      </w:tr>
      <w:tr w:rsidR="0059247E" w:rsidRPr="00EA53E9" w:rsidTr="00EA53E9">
        <w:trPr>
          <w:trHeight w:val="183"/>
        </w:trPr>
        <w:tc>
          <w:tcPr>
            <w:tcW w:w="1011"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1743(b); 1704(f)</w:t>
            </w:r>
          </w:p>
        </w:tc>
        <w:tc>
          <w:tcPr>
            <w:tcW w:w="4569"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Verify permanently plugged well, platform, or other facility removal site cleared of obstructions; supporting documentation; and submit certification letter.</w:t>
            </w:r>
          </w:p>
        </w:tc>
        <w:tc>
          <w:tcPr>
            <w:tcW w:w="990" w:type="dxa"/>
          </w:tcPr>
          <w:p w:rsidR="0059247E" w:rsidRPr="00EA53E9" w:rsidRDefault="0059247E" w:rsidP="009B5124">
            <w:pPr>
              <w:widowControl/>
              <w:tabs>
                <w:tab w:val="left" w:pos="360"/>
              </w:tabs>
              <w:rPr>
                <w:rFonts w:ascii="Times New Roman" w:hAnsi="Times New Roman"/>
                <w:snapToGrid/>
                <w:sz w:val="20"/>
              </w:rPr>
            </w:pPr>
            <w:r w:rsidRPr="00EA53E9">
              <w:rPr>
                <w:rFonts w:ascii="Times New Roman" w:hAnsi="Times New Roman"/>
                <w:snapToGrid/>
                <w:sz w:val="20"/>
              </w:rPr>
              <w:t>5</w:t>
            </w:r>
          </w:p>
        </w:tc>
        <w:tc>
          <w:tcPr>
            <w:tcW w:w="1350" w:type="dxa"/>
          </w:tcPr>
          <w:p w:rsidR="0059247E" w:rsidRPr="00EA53E9" w:rsidRDefault="00402B15" w:rsidP="0059247E">
            <w:pPr>
              <w:widowControl/>
              <w:tabs>
                <w:tab w:val="left" w:pos="360"/>
              </w:tabs>
              <w:ind w:right="-120"/>
              <w:rPr>
                <w:rFonts w:ascii="Times New Roman" w:hAnsi="Times New Roman"/>
                <w:snapToGrid/>
                <w:sz w:val="20"/>
              </w:rPr>
            </w:pPr>
            <w:r w:rsidRPr="00EA53E9">
              <w:rPr>
                <w:rFonts w:ascii="Times New Roman" w:hAnsi="Times New Roman"/>
                <w:snapToGrid/>
                <w:sz w:val="20"/>
              </w:rPr>
              <w:t xml:space="preserve">299 </w:t>
            </w:r>
            <w:r w:rsidR="0059247E" w:rsidRPr="00EA53E9">
              <w:rPr>
                <w:rFonts w:ascii="Times New Roman" w:hAnsi="Times New Roman"/>
                <w:snapToGrid/>
                <w:sz w:val="20"/>
              </w:rPr>
              <w:t>verifica</w:t>
            </w:r>
            <w:r w:rsidR="0059247E" w:rsidRPr="00EA53E9">
              <w:rPr>
                <w:rFonts w:ascii="Times New Roman" w:hAnsi="Times New Roman"/>
                <w:snapToGrid/>
                <w:sz w:val="20"/>
              </w:rPr>
              <w:softHyphen/>
              <w:t>tions</w:t>
            </w:r>
          </w:p>
        </w:tc>
        <w:tc>
          <w:tcPr>
            <w:tcW w:w="1170" w:type="dxa"/>
          </w:tcPr>
          <w:p w:rsidR="0059247E" w:rsidRPr="00EA53E9" w:rsidRDefault="0060182B"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1,495</w:t>
            </w:r>
          </w:p>
        </w:tc>
      </w:tr>
      <w:tr w:rsidR="003C2D79" w:rsidRPr="00EA53E9" w:rsidTr="00EA53E9">
        <w:trPr>
          <w:trHeight w:val="183"/>
        </w:trPr>
        <w:tc>
          <w:tcPr>
            <w:tcW w:w="6570" w:type="dxa"/>
            <w:gridSpan w:val="4"/>
            <w:vAlign w:val="center"/>
          </w:tcPr>
          <w:p w:rsidR="003C2D79" w:rsidRPr="00EA53E9" w:rsidRDefault="003C2D79" w:rsidP="003C2D79">
            <w:pPr>
              <w:widowControl/>
              <w:tabs>
                <w:tab w:val="left" w:pos="360"/>
              </w:tabs>
              <w:ind w:right="-30"/>
              <w:jc w:val="center"/>
              <w:rPr>
                <w:rFonts w:ascii="Times New Roman" w:hAnsi="Times New Roman"/>
                <w:b/>
                <w:snapToGrid/>
                <w:sz w:val="20"/>
              </w:rPr>
            </w:pPr>
            <w:r w:rsidRPr="00EA53E9">
              <w:rPr>
                <w:rFonts w:ascii="Times New Roman" w:hAnsi="Times New Roman"/>
                <w:b/>
                <w:snapToGrid/>
                <w:sz w:val="20"/>
              </w:rPr>
              <w:t>Subtotal</w:t>
            </w:r>
          </w:p>
        </w:tc>
        <w:tc>
          <w:tcPr>
            <w:tcW w:w="1350" w:type="dxa"/>
            <w:vAlign w:val="center"/>
          </w:tcPr>
          <w:p w:rsidR="003C2D79" w:rsidRPr="00EA53E9" w:rsidRDefault="003C2D79" w:rsidP="003C2D79">
            <w:pPr>
              <w:widowControl/>
              <w:tabs>
                <w:tab w:val="left" w:pos="360"/>
              </w:tabs>
              <w:ind w:right="-30"/>
              <w:rPr>
                <w:rFonts w:ascii="Times New Roman" w:hAnsi="Times New Roman"/>
                <w:b/>
                <w:snapToGrid/>
                <w:sz w:val="20"/>
              </w:rPr>
            </w:pPr>
            <w:r w:rsidRPr="00EA53E9">
              <w:rPr>
                <w:rFonts w:ascii="Times New Roman" w:hAnsi="Times New Roman"/>
                <w:b/>
                <w:snapToGrid/>
                <w:sz w:val="20"/>
              </w:rPr>
              <w:t>374 responses</w:t>
            </w:r>
          </w:p>
        </w:tc>
        <w:tc>
          <w:tcPr>
            <w:tcW w:w="1170" w:type="dxa"/>
          </w:tcPr>
          <w:p w:rsidR="003C2D79" w:rsidRPr="00EA53E9" w:rsidRDefault="003C2D79" w:rsidP="0059247E">
            <w:pPr>
              <w:widowControl/>
              <w:tabs>
                <w:tab w:val="left" w:pos="360"/>
              </w:tabs>
              <w:jc w:val="right"/>
              <w:rPr>
                <w:rFonts w:ascii="Times New Roman" w:hAnsi="Times New Roman"/>
                <w:b/>
                <w:snapToGrid/>
                <w:sz w:val="20"/>
              </w:rPr>
            </w:pPr>
            <w:r w:rsidRPr="00EA53E9">
              <w:rPr>
                <w:rFonts w:ascii="Times New Roman" w:hAnsi="Times New Roman"/>
                <w:b/>
                <w:snapToGrid/>
                <w:sz w:val="20"/>
              </w:rPr>
              <w:t>2,451 hours</w:t>
            </w:r>
          </w:p>
        </w:tc>
      </w:tr>
      <w:tr w:rsidR="0059247E" w:rsidRPr="00EA53E9" w:rsidTr="00EA53E9">
        <w:trPr>
          <w:trHeight w:val="183"/>
        </w:trPr>
        <w:tc>
          <w:tcPr>
            <w:tcW w:w="9090" w:type="dxa"/>
            <w:gridSpan w:val="6"/>
          </w:tcPr>
          <w:p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Pipeline Decommissioning</w:t>
            </w:r>
          </w:p>
        </w:tc>
      </w:tr>
      <w:tr w:rsidR="0059247E" w:rsidRPr="00EA53E9" w:rsidTr="00EA53E9">
        <w:trPr>
          <w:trHeight w:val="235"/>
        </w:trPr>
        <w:tc>
          <w:tcPr>
            <w:tcW w:w="1011" w:type="dxa"/>
            <w:vMerge w:val="restart"/>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1750; 1751; 1752; 1754; 1704(d)</w:t>
            </w:r>
          </w:p>
        </w:tc>
        <w:tc>
          <w:tcPr>
            <w:tcW w:w="4569" w:type="dxa"/>
            <w:gridSpan w:val="2"/>
            <w:vMerge w:val="restart"/>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Submit application to decommission pipeline in place or remove pipeline (L/T or ROW).</w:t>
            </w:r>
          </w:p>
        </w:tc>
        <w:tc>
          <w:tcPr>
            <w:tcW w:w="990" w:type="dxa"/>
          </w:tcPr>
          <w:p w:rsidR="0059247E" w:rsidRPr="00EA53E9" w:rsidRDefault="00A82EBF" w:rsidP="009B5124">
            <w:pPr>
              <w:widowControl/>
              <w:tabs>
                <w:tab w:val="left" w:pos="360"/>
              </w:tabs>
              <w:rPr>
                <w:rFonts w:ascii="Times New Roman" w:hAnsi="Times New Roman"/>
                <w:snapToGrid/>
                <w:sz w:val="20"/>
              </w:rPr>
            </w:pPr>
            <w:r w:rsidRPr="00EA53E9">
              <w:rPr>
                <w:rFonts w:ascii="Times New Roman" w:hAnsi="Times New Roman"/>
                <w:snapToGrid/>
                <w:sz w:val="20"/>
              </w:rPr>
              <w:t>7.75</w:t>
            </w:r>
          </w:p>
        </w:tc>
        <w:tc>
          <w:tcPr>
            <w:tcW w:w="1350" w:type="dxa"/>
          </w:tcPr>
          <w:p w:rsidR="0059247E" w:rsidRPr="00EA53E9" w:rsidRDefault="00402B15" w:rsidP="003C2D79">
            <w:pPr>
              <w:widowControl/>
              <w:tabs>
                <w:tab w:val="left" w:pos="360"/>
              </w:tabs>
              <w:ind w:right="-120"/>
              <w:rPr>
                <w:rFonts w:ascii="Times New Roman" w:hAnsi="Times New Roman"/>
                <w:snapToGrid/>
                <w:sz w:val="20"/>
              </w:rPr>
            </w:pPr>
            <w:r w:rsidRPr="00EA53E9">
              <w:rPr>
                <w:rFonts w:ascii="Times New Roman" w:hAnsi="Times New Roman"/>
                <w:snapToGrid/>
                <w:sz w:val="20"/>
              </w:rPr>
              <w:t xml:space="preserve">530 </w:t>
            </w:r>
            <w:r w:rsidR="0059247E" w:rsidRPr="00EA53E9">
              <w:rPr>
                <w:rFonts w:ascii="Times New Roman" w:hAnsi="Times New Roman"/>
                <w:snapToGrid/>
                <w:sz w:val="20"/>
              </w:rPr>
              <w:t>applications</w:t>
            </w:r>
          </w:p>
        </w:tc>
        <w:tc>
          <w:tcPr>
            <w:tcW w:w="1170" w:type="dxa"/>
          </w:tcPr>
          <w:p w:rsidR="0059247E" w:rsidRPr="00EA53E9" w:rsidRDefault="00876B9E"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4,108</w:t>
            </w:r>
          </w:p>
        </w:tc>
      </w:tr>
      <w:tr w:rsidR="0059247E" w:rsidRPr="00EA53E9" w:rsidTr="00EA53E9">
        <w:trPr>
          <w:trHeight w:val="235"/>
        </w:trPr>
        <w:tc>
          <w:tcPr>
            <w:tcW w:w="1011" w:type="dxa"/>
            <w:vMerge/>
          </w:tcPr>
          <w:p w:rsidR="0059247E" w:rsidRPr="00EA53E9" w:rsidRDefault="0059247E" w:rsidP="0059247E">
            <w:pPr>
              <w:widowControl/>
              <w:tabs>
                <w:tab w:val="left" w:pos="360"/>
              </w:tabs>
              <w:rPr>
                <w:rFonts w:ascii="Times New Roman" w:hAnsi="Times New Roman"/>
                <w:snapToGrid/>
                <w:sz w:val="20"/>
              </w:rPr>
            </w:pPr>
          </w:p>
        </w:tc>
        <w:tc>
          <w:tcPr>
            <w:tcW w:w="4569" w:type="dxa"/>
            <w:gridSpan w:val="2"/>
            <w:vMerge/>
          </w:tcPr>
          <w:p w:rsidR="0059247E" w:rsidRPr="00EA53E9" w:rsidRDefault="0059247E" w:rsidP="0059247E">
            <w:pPr>
              <w:widowControl/>
              <w:tabs>
                <w:tab w:val="left" w:pos="360"/>
              </w:tabs>
              <w:rPr>
                <w:rFonts w:ascii="Times New Roman" w:hAnsi="Times New Roman"/>
                <w:snapToGrid/>
                <w:sz w:val="20"/>
              </w:rPr>
            </w:pPr>
          </w:p>
        </w:tc>
        <w:tc>
          <w:tcPr>
            <w:tcW w:w="3510" w:type="dxa"/>
            <w:gridSpan w:val="3"/>
          </w:tcPr>
          <w:p w:rsidR="0059247E" w:rsidRPr="00EA53E9" w:rsidRDefault="0059247E" w:rsidP="00402B15">
            <w:pPr>
              <w:widowControl/>
              <w:tabs>
                <w:tab w:val="left" w:pos="360"/>
              </w:tabs>
              <w:jc w:val="center"/>
              <w:rPr>
                <w:rFonts w:ascii="Times New Roman" w:hAnsi="Times New Roman"/>
                <w:snapToGrid/>
                <w:sz w:val="20"/>
              </w:rPr>
            </w:pPr>
            <w:r w:rsidRPr="00EA53E9">
              <w:rPr>
                <w:rFonts w:ascii="Times New Roman" w:hAnsi="Times New Roman"/>
                <w:snapToGrid/>
                <w:sz w:val="20"/>
              </w:rPr>
              <w:t xml:space="preserve">$1,059 L/T decommission fee x </w:t>
            </w:r>
            <w:r w:rsidR="00F17401" w:rsidRPr="00EA53E9">
              <w:rPr>
                <w:rFonts w:ascii="Times New Roman" w:hAnsi="Times New Roman"/>
                <w:snapToGrid/>
                <w:sz w:val="20"/>
              </w:rPr>
              <w:t>3</w:t>
            </w:r>
            <w:r w:rsidR="00402B15" w:rsidRPr="00EA53E9">
              <w:rPr>
                <w:rFonts w:ascii="Times New Roman" w:hAnsi="Times New Roman"/>
                <w:snapToGrid/>
                <w:sz w:val="20"/>
              </w:rPr>
              <w:t>50</w:t>
            </w:r>
            <w:r w:rsidRPr="00EA53E9">
              <w:rPr>
                <w:rFonts w:ascii="Times New Roman" w:hAnsi="Times New Roman"/>
                <w:snapToGrid/>
                <w:sz w:val="20"/>
              </w:rPr>
              <w:t xml:space="preserve"> = $</w:t>
            </w:r>
            <w:r w:rsidR="00451DAB" w:rsidRPr="00EA53E9">
              <w:rPr>
                <w:rFonts w:ascii="Times New Roman" w:hAnsi="Times New Roman"/>
                <w:snapToGrid/>
                <w:sz w:val="20"/>
              </w:rPr>
              <w:t>3</w:t>
            </w:r>
            <w:r w:rsidR="00402B15" w:rsidRPr="00EA53E9">
              <w:rPr>
                <w:rFonts w:ascii="Times New Roman" w:hAnsi="Times New Roman"/>
                <w:snapToGrid/>
                <w:sz w:val="20"/>
              </w:rPr>
              <w:t>70</w:t>
            </w:r>
            <w:r w:rsidR="00451DAB" w:rsidRPr="00EA53E9">
              <w:rPr>
                <w:rFonts w:ascii="Times New Roman" w:hAnsi="Times New Roman"/>
                <w:snapToGrid/>
                <w:sz w:val="20"/>
              </w:rPr>
              <w:t>,</w:t>
            </w:r>
            <w:r w:rsidR="00402B15" w:rsidRPr="00EA53E9">
              <w:rPr>
                <w:rFonts w:ascii="Times New Roman" w:hAnsi="Times New Roman"/>
                <w:snapToGrid/>
                <w:sz w:val="20"/>
              </w:rPr>
              <w:t>650</w:t>
            </w:r>
            <w:r w:rsidR="00470B20" w:rsidRPr="00EA53E9">
              <w:rPr>
                <w:rFonts w:ascii="Times New Roman" w:hAnsi="Times New Roman"/>
                <w:snapToGrid/>
                <w:sz w:val="20"/>
              </w:rPr>
              <w:t>*</w:t>
            </w:r>
          </w:p>
        </w:tc>
      </w:tr>
      <w:tr w:rsidR="0059247E" w:rsidRPr="00EA53E9" w:rsidTr="00EA53E9">
        <w:trPr>
          <w:trHeight w:val="235"/>
        </w:trPr>
        <w:tc>
          <w:tcPr>
            <w:tcW w:w="1011" w:type="dxa"/>
            <w:vMerge/>
          </w:tcPr>
          <w:p w:rsidR="0059247E" w:rsidRPr="00EA53E9" w:rsidRDefault="0059247E" w:rsidP="0059247E">
            <w:pPr>
              <w:widowControl/>
              <w:tabs>
                <w:tab w:val="left" w:pos="360"/>
              </w:tabs>
              <w:rPr>
                <w:rFonts w:ascii="Times New Roman" w:hAnsi="Times New Roman"/>
                <w:snapToGrid/>
                <w:sz w:val="20"/>
              </w:rPr>
            </w:pPr>
          </w:p>
        </w:tc>
        <w:tc>
          <w:tcPr>
            <w:tcW w:w="4569" w:type="dxa"/>
            <w:gridSpan w:val="2"/>
            <w:vMerge/>
          </w:tcPr>
          <w:p w:rsidR="0059247E" w:rsidRPr="00EA53E9" w:rsidRDefault="0059247E" w:rsidP="0059247E">
            <w:pPr>
              <w:widowControl/>
              <w:tabs>
                <w:tab w:val="left" w:pos="360"/>
              </w:tabs>
              <w:rPr>
                <w:rFonts w:ascii="Times New Roman" w:hAnsi="Times New Roman"/>
                <w:snapToGrid/>
                <w:sz w:val="20"/>
              </w:rPr>
            </w:pPr>
          </w:p>
        </w:tc>
        <w:tc>
          <w:tcPr>
            <w:tcW w:w="3510" w:type="dxa"/>
            <w:gridSpan w:val="3"/>
          </w:tcPr>
          <w:p w:rsidR="0059247E" w:rsidRPr="00EA53E9" w:rsidRDefault="0059247E" w:rsidP="00402B15">
            <w:pPr>
              <w:widowControl/>
              <w:tabs>
                <w:tab w:val="left" w:pos="360"/>
              </w:tabs>
              <w:jc w:val="center"/>
              <w:rPr>
                <w:rFonts w:ascii="Times New Roman" w:hAnsi="Times New Roman"/>
                <w:snapToGrid/>
                <w:sz w:val="20"/>
              </w:rPr>
            </w:pPr>
            <w:r w:rsidRPr="00EA53E9">
              <w:rPr>
                <w:rFonts w:ascii="Times New Roman" w:hAnsi="Times New Roman"/>
                <w:snapToGrid/>
                <w:sz w:val="20"/>
              </w:rPr>
              <w:t xml:space="preserve">$2,012 ROW decommission fee x </w:t>
            </w:r>
            <w:r w:rsidR="00F17401" w:rsidRPr="00EA53E9">
              <w:rPr>
                <w:rFonts w:ascii="Times New Roman" w:hAnsi="Times New Roman"/>
                <w:snapToGrid/>
                <w:sz w:val="20"/>
              </w:rPr>
              <w:t>1</w:t>
            </w:r>
            <w:r w:rsidR="00402B15" w:rsidRPr="00EA53E9">
              <w:rPr>
                <w:rFonts w:ascii="Times New Roman" w:hAnsi="Times New Roman"/>
                <w:snapToGrid/>
                <w:sz w:val="20"/>
              </w:rPr>
              <w:t>80</w:t>
            </w:r>
            <w:r w:rsidRPr="00EA53E9">
              <w:rPr>
                <w:rFonts w:ascii="Times New Roman" w:hAnsi="Times New Roman"/>
                <w:snapToGrid/>
                <w:sz w:val="20"/>
              </w:rPr>
              <w:t xml:space="preserve"> = $</w:t>
            </w:r>
            <w:r w:rsidR="00451DAB" w:rsidRPr="00EA53E9">
              <w:rPr>
                <w:rFonts w:ascii="Times New Roman" w:hAnsi="Times New Roman"/>
                <w:snapToGrid/>
                <w:sz w:val="20"/>
              </w:rPr>
              <w:t>3</w:t>
            </w:r>
            <w:r w:rsidR="00402B15" w:rsidRPr="00EA53E9">
              <w:rPr>
                <w:rFonts w:ascii="Times New Roman" w:hAnsi="Times New Roman"/>
                <w:snapToGrid/>
                <w:sz w:val="20"/>
              </w:rPr>
              <w:t>62,160</w:t>
            </w:r>
            <w:r w:rsidR="00470B20" w:rsidRPr="00EA53E9">
              <w:rPr>
                <w:rFonts w:ascii="Times New Roman" w:hAnsi="Times New Roman"/>
                <w:snapToGrid/>
                <w:sz w:val="20"/>
              </w:rPr>
              <w:t>*</w:t>
            </w:r>
          </w:p>
        </w:tc>
      </w:tr>
      <w:tr w:rsidR="0059247E" w:rsidRPr="00EA53E9" w:rsidTr="00EA53E9">
        <w:tc>
          <w:tcPr>
            <w:tcW w:w="1011" w:type="dxa"/>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1753; 1704(e)</w:t>
            </w:r>
          </w:p>
        </w:tc>
        <w:tc>
          <w:tcPr>
            <w:tcW w:w="4569" w:type="dxa"/>
            <w:gridSpan w:val="2"/>
          </w:tcPr>
          <w:p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Submit post pipeline decommissioning report.</w:t>
            </w:r>
          </w:p>
        </w:tc>
        <w:tc>
          <w:tcPr>
            <w:tcW w:w="990" w:type="dxa"/>
          </w:tcPr>
          <w:p w:rsidR="0059247E" w:rsidRPr="00EA53E9" w:rsidRDefault="00A82EBF" w:rsidP="00A82EBF">
            <w:pPr>
              <w:widowControl/>
              <w:tabs>
                <w:tab w:val="left" w:pos="360"/>
              </w:tabs>
              <w:rPr>
                <w:rFonts w:ascii="Times New Roman" w:hAnsi="Times New Roman"/>
                <w:snapToGrid/>
                <w:sz w:val="20"/>
              </w:rPr>
            </w:pPr>
            <w:r w:rsidRPr="00EA53E9">
              <w:rPr>
                <w:rFonts w:ascii="Times New Roman" w:hAnsi="Times New Roman"/>
                <w:snapToGrid/>
                <w:sz w:val="20"/>
              </w:rPr>
              <w:t>2.5</w:t>
            </w:r>
          </w:p>
        </w:tc>
        <w:tc>
          <w:tcPr>
            <w:tcW w:w="1350" w:type="dxa"/>
          </w:tcPr>
          <w:p w:rsidR="0059247E" w:rsidRPr="00EA53E9" w:rsidRDefault="0059247E" w:rsidP="00402B15">
            <w:pPr>
              <w:widowControl/>
              <w:tabs>
                <w:tab w:val="left" w:pos="360"/>
              </w:tabs>
              <w:ind w:right="-120"/>
              <w:rPr>
                <w:rFonts w:ascii="Times New Roman" w:hAnsi="Times New Roman"/>
                <w:snapToGrid/>
                <w:sz w:val="20"/>
              </w:rPr>
            </w:pPr>
            <w:r w:rsidRPr="00EA53E9">
              <w:rPr>
                <w:rFonts w:ascii="Times New Roman" w:hAnsi="Times New Roman"/>
                <w:snapToGrid/>
                <w:sz w:val="20"/>
              </w:rPr>
              <w:t>3</w:t>
            </w:r>
            <w:r w:rsidR="00402B15" w:rsidRPr="00EA53E9">
              <w:rPr>
                <w:rFonts w:ascii="Times New Roman" w:hAnsi="Times New Roman"/>
                <w:snapToGrid/>
                <w:sz w:val="20"/>
              </w:rPr>
              <w:t>50</w:t>
            </w:r>
            <w:r w:rsidRPr="00EA53E9">
              <w:rPr>
                <w:rFonts w:ascii="Times New Roman" w:hAnsi="Times New Roman"/>
                <w:snapToGrid/>
                <w:sz w:val="20"/>
              </w:rPr>
              <w:t xml:space="preserve"> reports</w:t>
            </w:r>
          </w:p>
        </w:tc>
        <w:tc>
          <w:tcPr>
            <w:tcW w:w="1170" w:type="dxa"/>
          </w:tcPr>
          <w:p w:rsidR="0059247E" w:rsidRPr="00EA53E9" w:rsidRDefault="00876B9E"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875</w:t>
            </w:r>
          </w:p>
        </w:tc>
      </w:tr>
      <w:tr w:rsidR="0062243B" w:rsidRPr="00EA53E9" w:rsidTr="00EA53E9">
        <w:trPr>
          <w:trHeight w:val="120"/>
        </w:trPr>
        <w:tc>
          <w:tcPr>
            <w:tcW w:w="6570" w:type="dxa"/>
            <w:gridSpan w:val="4"/>
            <w:vMerge w:val="restart"/>
            <w:vAlign w:val="center"/>
          </w:tcPr>
          <w:p w:rsidR="0062243B" w:rsidRPr="00EA53E9" w:rsidRDefault="0062243B" w:rsidP="0062243B">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350" w:type="dxa"/>
          </w:tcPr>
          <w:p w:rsidR="0062243B" w:rsidRPr="00EA53E9" w:rsidRDefault="0062243B" w:rsidP="0059247E">
            <w:pPr>
              <w:widowControl/>
              <w:tabs>
                <w:tab w:val="left" w:pos="360"/>
              </w:tabs>
              <w:jc w:val="right"/>
              <w:rPr>
                <w:rFonts w:ascii="Times New Roman" w:hAnsi="Times New Roman"/>
                <w:b/>
                <w:snapToGrid/>
                <w:sz w:val="20"/>
              </w:rPr>
            </w:pPr>
            <w:r w:rsidRPr="00EA53E9">
              <w:rPr>
                <w:rFonts w:ascii="Times New Roman" w:hAnsi="Times New Roman"/>
                <w:b/>
                <w:snapToGrid/>
                <w:sz w:val="20"/>
              </w:rPr>
              <w:t>880 responses</w:t>
            </w:r>
          </w:p>
        </w:tc>
        <w:tc>
          <w:tcPr>
            <w:tcW w:w="1170" w:type="dxa"/>
          </w:tcPr>
          <w:p w:rsidR="0062243B" w:rsidRPr="00EA53E9" w:rsidRDefault="0062243B" w:rsidP="0059247E">
            <w:pPr>
              <w:widowControl/>
              <w:tabs>
                <w:tab w:val="left" w:pos="360"/>
              </w:tabs>
              <w:jc w:val="right"/>
              <w:rPr>
                <w:rFonts w:ascii="Times New Roman" w:hAnsi="Times New Roman"/>
                <w:b/>
                <w:snapToGrid/>
                <w:sz w:val="20"/>
              </w:rPr>
            </w:pPr>
            <w:r w:rsidRPr="00EA53E9">
              <w:rPr>
                <w:rFonts w:ascii="Times New Roman" w:hAnsi="Times New Roman"/>
                <w:b/>
                <w:snapToGrid/>
                <w:sz w:val="20"/>
              </w:rPr>
              <w:t>4,983 hours</w:t>
            </w:r>
          </w:p>
        </w:tc>
      </w:tr>
      <w:tr w:rsidR="0062243B" w:rsidRPr="00EA53E9" w:rsidTr="00EA53E9">
        <w:trPr>
          <w:trHeight w:val="120"/>
        </w:trPr>
        <w:tc>
          <w:tcPr>
            <w:tcW w:w="6570" w:type="dxa"/>
            <w:gridSpan w:val="4"/>
            <w:vMerge/>
          </w:tcPr>
          <w:p w:rsidR="0062243B" w:rsidRPr="00EA53E9" w:rsidRDefault="0062243B" w:rsidP="00402B15">
            <w:pPr>
              <w:widowControl/>
              <w:tabs>
                <w:tab w:val="left" w:pos="360"/>
              </w:tabs>
              <w:jc w:val="center"/>
              <w:rPr>
                <w:rFonts w:ascii="Times New Roman" w:hAnsi="Times New Roman"/>
                <w:b/>
                <w:snapToGrid/>
                <w:sz w:val="20"/>
              </w:rPr>
            </w:pPr>
          </w:p>
        </w:tc>
        <w:tc>
          <w:tcPr>
            <w:tcW w:w="2520" w:type="dxa"/>
            <w:gridSpan w:val="2"/>
          </w:tcPr>
          <w:p w:rsidR="00EA53E9" w:rsidRDefault="0062243B" w:rsidP="00402B15">
            <w:pPr>
              <w:widowControl/>
              <w:tabs>
                <w:tab w:val="left" w:pos="360"/>
              </w:tabs>
              <w:jc w:val="center"/>
              <w:rPr>
                <w:rFonts w:ascii="Times New Roman" w:hAnsi="Times New Roman"/>
                <w:b/>
                <w:snapToGrid/>
                <w:sz w:val="20"/>
              </w:rPr>
            </w:pPr>
            <w:r w:rsidRPr="00EA53E9">
              <w:rPr>
                <w:rFonts w:ascii="Times New Roman" w:hAnsi="Times New Roman"/>
                <w:b/>
                <w:snapToGrid/>
                <w:sz w:val="20"/>
              </w:rPr>
              <w:t xml:space="preserve">$732,810 </w:t>
            </w:r>
          </w:p>
          <w:p w:rsidR="0062243B" w:rsidRPr="00EA53E9" w:rsidRDefault="0062243B" w:rsidP="00402B15">
            <w:pPr>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0059247E" w:rsidRPr="00EA53E9" w:rsidTr="00EA53E9">
        <w:trPr>
          <w:trHeight w:val="233"/>
        </w:trPr>
        <w:tc>
          <w:tcPr>
            <w:tcW w:w="6570" w:type="dxa"/>
            <w:gridSpan w:val="4"/>
            <w:vMerge w:val="restart"/>
            <w:vAlign w:val="center"/>
          </w:tcPr>
          <w:p w:rsidR="0059247E" w:rsidRPr="00EA53E9" w:rsidRDefault="0059247E" w:rsidP="0059247E">
            <w:pPr>
              <w:widowControl/>
              <w:tabs>
                <w:tab w:val="left" w:pos="360"/>
              </w:tabs>
              <w:jc w:val="center"/>
              <w:rPr>
                <w:rFonts w:ascii="Times New Roman" w:hAnsi="Times New Roman"/>
                <w:snapToGrid/>
                <w:sz w:val="20"/>
              </w:rPr>
            </w:pPr>
            <w:r w:rsidRPr="00EA53E9">
              <w:rPr>
                <w:rFonts w:ascii="Times New Roman" w:hAnsi="Times New Roman"/>
                <w:b/>
                <w:snapToGrid/>
                <w:sz w:val="20"/>
              </w:rPr>
              <w:t>Total Burden</w:t>
            </w:r>
          </w:p>
        </w:tc>
        <w:tc>
          <w:tcPr>
            <w:tcW w:w="1350" w:type="dxa"/>
            <w:tcBorders>
              <w:bottom w:val="single" w:sz="4" w:space="0" w:color="auto"/>
            </w:tcBorders>
            <w:vAlign w:val="center"/>
          </w:tcPr>
          <w:p w:rsidR="0059247E" w:rsidRPr="00EA53E9" w:rsidRDefault="008B3C3D" w:rsidP="00402B15">
            <w:pPr>
              <w:widowControl/>
              <w:tabs>
                <w:tab w:val="left" w:pos="360"/>
              </w:tabs>
              <w:spacing w:before="60" w:after="60" w:line="240" w:lineRule="exact"/>
              <w:jc w:val="right"/>
              <w:rPr>
                <w:rFonts w:ascii="Times New Roman" w:hAnsi="Times New Roman"/>
                <w:snapToGrid/>
                <w:sz w:val="20"/>
              </w:rPr>
            </w:pPr>
            <w:r>
              <w:rPr>
                <w:rFonts w:ascii="Times New Roman" w:hAnsi="Times New Roman"/>
                <w:b/>
                <w:snapToGrid/>
                <w:sz w:val="20"/>
              </w:rPr>
              <w:t>4,867</w:t>
            </w:r>
            <w:r w:rsidR="0059247E" w:rsidRPr="00EA53E9">
              <w:rPr>
                <w:rFonts w:ascii="Times New Roman" w:hAnsi="Times New Roman"/>
                <w:b/>
                <w:snapToGrid/>
                <w:sz w:val="20"/>
              </w:rPr>
              <w:t xml:space="preserve"> Responses</w:t>
            </w:r>
          </w:p>
        </w:tc>
        <w:tc>
          <w:tcPr>
            <w:tcW w:w="1170" w:type="dxa"/>
            <w:tcBorders>
              <w:bottom w:val="single" w:sz="4" w:space="0" w:color="auto"/>
            </w:tcBorders>
            <w:vAlign w:val="center"/>
          </w:tcPr>
          <w:p w:rsidR="0059247E" w:rsidRPr="00EA53E9" w:rsidRDefault="008B3C3D" w:rsidP="00892F2E">
            <w:pPr>
              <w:widowControl/>
              <w:tabs>
                <w:tab w:val="left" w:pos="360"/>
              </w:tabs>
              <w:spacing w:before="60" w:after="60" w:line="240" w:lineRule="exact"/>
              <w:jc w:val="right"/>
              <w:rPr>
                <w:rFonts w:ascii="Times New Roman" w:hAnsi="Times New Roman"/>
                <w:b/>
                <w:snapToGrid/>
                <w:sz w:val="20"/>
              </w:rPr>
            </w:pPr>
            <w:r>
              <w:rPr>
                <w:rFonts w:ascii="Times New Roman" w:hAnsi="Times New Roman"/>
                <w:b/>
                <w:snapToGrid/>
                <w:sz w:val="20"/>
              </w:rPr>
              <w:t>29,437</w:t>
            </w:r>
            <w:r w:rsidR="00892F2E" w:rsidRPr="00EA53E9">
              <w:rPr>
                <w:rFonts w:ascii="Times New Roman" w:hAnsi="Times New Roman"/>
                <w:b/>
                <w:snapToGrid/>
                <w:sz w:val="20"/>
              </w:rPr>
              <w:t xml:space="preserve"> hours</w:t>
            </w:r>
          </w:p>
        </w:tc>
      </w:tr>
      <w:tr w:rsidR="0059247E" w:rsidRPr="00EA53E9" w:rsidTr="00EA53E9">
        <w:trPr>
          <w:trHeight w:val="20"/>
        </w:trPr>
        <w:tc>
          <w:tcPr>
            <w:tcW w:w="6570" w:type="dxa"/>
            <w:gridSpan w:val="4"/>
            <w:vMerge/>
            <w:tcBorders>
              <w:bottom w:val="single" w:sz="4" w:space="0" w:color="auto"/>
            </w:tcBorders>
            <w:vAlign w:val="center"/>
          </w:tcPr>
          <w:p w:rsidR="0059247E" w:rsidRPr="00EA53E9" w:rsidRDefault="0059247E" w:rsidP="0059247E">
            <w:pPr>
              <w:widowControl/>
              <w:tabs>
                <w:tab w:val="left" w:pos="360"/>
              </w:tabs>
              <w:jc w:val="center"/>
              <w:rPr>
                <w:rFonts w:ascii="Times New Roman" w:hAnsi="Times New Roman"/>
                <w:b/>
                <w:snapToGrid/>
                <w:sz w:val="20"/>
              </w:rPr>
            </w:pPr>
          </w:p>
        </w:tc>
        <w:tc>
          <w:tcPr>
            <w:tcW w:w="2520" w:type="dxa"/>
            <w:gridSpan w:val="2"/>
            <w:tcBorders>
              <w:top w:val="single" w:sz="4" w:space="0" w:color="auto"/>
              <w:bottom w:val="single" w:sz="4" w:space="0" w:color="auto"/>
            </w:tcBorders>
            <w:vAlign w:val="center"/>
          </w:tcPr>
          <w:p w:rsidR="00EA53E9" w:rsidRDefault="0059247E" w:rsidP="00EA53E9">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w:t>
            </w:r>
            <w:r w:rsidR="008B3C3D">
              <w:rPr>
                <w:rFonts w:ascii="Times New Roman" w:hAnsi="Times New Roman"/>
                <w:b/>
                <w:snapToGrid/>
                <w:sz w:val="20"/>
              </w:rPr>
              <w:t>2,152,644</w:t>
            </w:r>
            <w:r w:rsidR="003E088E">
              <w:rPr>
                <w:rFonts w:ascii="Times New Roman" w:hAnsi="Times New Roman"/>
                <w:b/>
                <w:snapToGrid/>
                <w:sz w:val="20"/>
              </w:rPr>
              <w:t>*</w:t>
            </w:r>
          </w:p>
          <w:p w:rsidR="0059247E" w:rsidRPr="00EA53E9" w:rsidRDefault="0059247E" w:rsidP="00EA53E9">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Non-Hour Cost Burdens</w:t>
            </w:r>
          </w:p>
        </w:tc>
      </w:tr>
    </w:tbl>
    <w:p w:rsidR="0059247E" w:rsidRPr="000A5B07" w:rsidRDefault="000A5B07" w:rsidP="0059247E">
      <w:pPr>
        <w:widowControl/>
        <w:tabs>
          <w:tab w:val="left" w:pos="360"/>
          <w:tab w:val="left" w:pos="720"/>
          <w:tab w:val="left" w:pos="1080"/>
        </w:tabs>
        <w:rPr>
          <w:rFonts w:ascii="Times New Roman" w:hAnsi="Times New Roman"/>
        </w:rPr>
      </w:pPr>
      <w:r w:rsidRPr="000A5B07">
        <w:rPr>
          <w:rFonts w:ascii="Times New Roman" w:hAnsi="Times New Roman"/>
        </w:rPr>
        <w:t>* Cost recovery monies collected are based on actual submittals through Pay.gov for FY 2012.</w:t>
      </w:r>
    </w:p>
    <w:p w:rsidR="00147A03" w:rsidRPr="0059247E" w:rsidRDefault="00147A03" w:rsidP="0059247E">
      <w:pPr>
        <w:widowControl/>
        <w:tabs>
          <w:tab w:val="left" w:pos="360"/>
          <w:tab w:val="left" w:pos="720"/>
          <w:tab w:val="left" w:pos="1080"/>
        </w:tabs>
        <w:rPr>
          <w:rFonts w:ascii="Times New Roman" w:hAnsi="Times New Roman"/>
          <w:b/>
        </w:rPr>
      </w:pPr>
    </w:p>
    <w:p w:rsidR="00D41C77" w:rsidRDefault="00D41C77" w:rsidP="00D41C77">
      <w:pPr>
        <w:widowControl/>
        <w:tabs>
          <w:tab w:val="left" w:pos="-1080"/>
          <w:tab w:val="left" w:pos="-720"/>
          <w:tab w:val="left" w:pos="360"/>
          <w:tab w:val="left" w:pos="810"/>
        </w:tabs>
        <w:rPr>
          <w:rFonts w:ascii="Times New Roman" w:hAnsi="Times New Roman"/>
          <w:i/>
        </w:rPr>
      </w:pPr>
      <w:r>
        <w:rPr>
          <w:rFonts w:ascii="Times New Roman" w:hAnsi="Times New Roman"/>
          <w:b/>
          <w:i/>
        </w:rPr>
        <w:lastRenderedPageBreak/>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D41C77" w:rsidRDefault="00D41C77">
      <w:pPr>
        <w:widowControl/>
        <w:tabs>
          <w:tab w:val="left" w:pos="360"/>
          <w:tab w:val="left" w:pos="720"/>
          <w:tab w:val="left" w:pos="1080"/>
        </w:tabs>
        <w:rPr>
          <w:rFonts w:ascii="Times New Roman" w:hAnsi="Times New Roman"/>
        </w:rPr>
      </w:pPr>
    </w:p>
    <w:p w:rsidR="00D41C77" w:rsidRPr="00457CA0" w:rsidRDefault="00D41C77" w:rsidP="00D41C77">
      <w:pPr>
        <w:widowControl/>
        <w:tabs>
          <w:tab w:val="left" w:pos="360"/>
          <w:tab w:val="left" w:pos="720"/>
          <w:tab w:val="left" w:pos="1080"/>
        </w:tabs>
        <w:rPr>
          <w:rFonts w:ascii="Times New Roman" w:hAnsi="Times New Roman"/>
        </w:rPr>
      </w:pPr>
      <w:r w:rsidRPr="00457CA0">
        <w:rPr>
          <w:rFonts w:ascii="Times New Roman" w:hAnsi="Times New Roman"/>
        </w:rPr>
        <w:t>The average respondent cost is $</w:t>
      </w:r>
      <w:r w:rsidR="00A96231" w:rsidRPr="00457CA0">
        <w:rPr>
          <w:rFonts w:ascii="Times New Roman" w:hAnsi="Times New Roman"/>
        </w:rPr>
        <w:t>8</w:t>
      </w:r>
      <w:r w:rsidRPr="00457CA0">
        <w:rPr>
          <w:rFonts w:ascii="Times New Roman" w:hAnsi="Times New Roman"/>
        </w:rPr>
        <w:t>7</w:t>
      </w:r>
      <w:r w:rsidR="00A96231" w:rsidRPr="00457CA0">
        <w:rPr>
          <w:rFonts w:ascii="Times New Roman" w:hAnsi="Times New Roman"/>
        </w:rPr>
        <w:t>*</w:t>
      </w:r>
      <w:r w:rsidRPr="00457CA0">
        <w:rPr>
          <w:rFonts w:ascii="Times New Roman" w:hAnsi="Times New Roman"/>
        </w:rPr>
        <w:t xml:space="preserve">/hour (rounded).  This cost is broken out in the below table using the Bureau of Labor Statistics data for the </w:t>
      </w:r>
      <w:smartTag w:uri="urn:schemas-microsoft-com:office:smarttags" w:element="place">
        <w:smartTag w:uri="urn:schemas-microsoft-com:office:smarttags" w:element="City">
          <w:r w:rsidRPr="00457CA0">
            <w:rPr>
              <w:rFonts w:ascii="Times New Roman" w:hAnsi="Times New Roman"/>
            </w:rPr>
            <w:t>Houston</w:t>
          </w:r>
        </w:smartTag>
        <w:r w:rsidRPr="00457CA0">
          <w:rPr>
            <w:rFonts w:ascii="Times New Roman" w:hAnsi="Times New Roman"/>
          </w:rPr>
          <w:t xml:space="preserve">, </w:t>
        </w:r>
        <w:smartTag w:uri="urn:schemas-microsoft-com:office:smarttags" w:element="State">
          <w:r w:rsidRPr="00457CA0">
            <w:rPr>
              <w:rFonts w:ascii="Times New Roman" w:hAnsi="Times New Roman"/>
            </w:rPr>
            <w:t>TX</w:t>
          </w:r>
        </w:smartTag>
      </w:smartTag>
      <w:r w:rsidRPr="00457CA0">
        <w:rPr>
          <w:rFonts w:ascii="Times New Roman" w:hAnsi="Times New Roman"/>
        </w:rPr>
        <w:t xml:space="preserve"> area.  See BLS website:  </w:t>
      </w:r>
      <w:hyperlink r:id="rId8" w:history="1">
        <w:r w:rsidRPr="00457CA0">
          <w:rPr>
            <w:rStyle w:val="Hyperlink"/>
            <w:rFonts w:ascii="Times New Roman" w:hAnsi="Times New Roman"/>
          </w:rPr>
          <w:t>http://www.bls.gov/bls/wages.htm</w:t>
        </w:r>
      </w:hyperlink>
      <w:r w:rsidRPr="00457CA0">
        <w:rPr>
          <w:rFonts w:ascii="Times New Roman" w:hAnsi="Times New Roman"/>
        </w:rPr>
        <w:t xml:space="preserve">.  </w:t>
      </w:r>
    </w:p>
    <w:p w:rsidR="00D41C77" w:rsidRPr="00457CA0" w:rsidRDefault="00D41C77" w:rsidP="00D41C77">
      <w:pPr>
        <w:widowControl/>
        <w:tabs>
          <w:tab w:val="left" w:pos="360"/>
          <w:tab w:val="left" w:pos="720"/>
          <w:tab w:val="left" w:pos="1080"/>
        </w:tabs>
        <w:rPr>
          <w:rFonts w:ascii="Times New Roman" w:hAnsi="Times New Roman"/>
        </w:rPr>
      </w:pPr>
    </w:p>
    <w:tbl>
      <w:tblPr>
        <w:tblW w:w="9169" w:type="dxa"/>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967"/>
        <w:gridCol w:w="1266"/>
        <w:gridCol w:w="1577"/>
        <w:gridCol w:w="1432"/>
        <w:gridCol w:w="1150"/>
      </w:tblGrid>
      <w:tr w:rsidR="00D41C77" w:rsidRPr="00457CA0" w:rsidTr="004B0EAE">
        <w:trPr>
          <w:jc w:val="center"/>
        </w:trPr>
        <w:tc>
          <w:tcPr>
            <w:tcW w:w="2777" w:type="dxa"/>
            <w:shd w:val="clear" w:color="auto" w:fill="auto"/>
            <w:vAlign w:val="center"/>
          </w:tcPr>
          <w:p w:rsidR="00D41C77" w:rsidRPr="00457CA0" w:rsidRDefault="00D41C77" w:rsidP="00EE305E">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Position</w:t>
            </w:r>
          </w:p>
        </w:tc>
        <w:tc>
          <w:tcPr>
            <w:tcW w:w="967" w:type="dxa"/>
            <w:shd w:val="clear" w:color="auto" w:fill="auto"/>
            <w:vAlign w:val="center"/>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Level</w:t>
            </w:r>
          </w:p>
        </w:tc>
        <w:tc>
          <w:tcPr>
            <w:tcW w:w="1266"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Pay rate ($/hour estimate)</w:t>
            </w:r>
          </w:p>
        </w:tc>
        <w:tc>
          <w:tcPr>
            <w:tcW w:w="1577"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Hourly rate including benefits (1.4** x $/hour)</w:t>
            </w:r>
          </w:p>
        </w:tc>
        <w:tc>
          <w:tcPr>
            <w:tcW w:w="1432"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Percent of time spent on collection</w:t>
            </w:r>
          </w:p>
        </w:tc>
        <w:tc>
          <w:tcPr>
            <w:tcW w:w="1150"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Weighted Average ($/hour)</w:t>
            </w:r>
          </w:p>
        </w:tc>
      </w:tr>
      <w:tr w:rsidR="00D41C77" w:rsidRPr="00457CA0" w:rsidTr="004B0EAE">
        <w:trPr>
          <w:jc w:val="center"/>
        </w:trPr>
        <w:tc>
          <w:tcPr>
            <w:tcW w:w="2777" w:type="dxa"/>
            <w:shd w:val="clear" w:color="auto" w:fill="auto"/>
          </w:tcPr>
          <w:p w:rsidR="00D41C77" w:rsidRPr="00457CA0" w:rsidRDefault="00A96231" w:rsidP="00EE305E">
            <w:pPr>
              <w:widowControl/>
              <w:tabs>
                <w:tab w:val="left" w:pos="360"/>
                <w:tab w:val="left" w:pos="720"/>
                <w:tab w:val="left" w:pos="1080"/>
              </w:tabs>
              <w:rPr>
                <w:rFonts w:ascii="Times New Roman" w:hAnsi="Times New Roman"/>
                <w:sz w:val="21"/>
                <w:szCs w:val="21"/>
              </w:rPr>
            </w:pPr>
            <w:r w:rsidRPr="00457CA0">
              <w:rPr>
                <w:rFonts w:ascii="Times New Roman" w:hAnsi="Times New Roman"/>
                <w:sz w:val="21"/>
                <w:szCs w:val="21"/>
              </w:rPr>
              <w:t xml:space="preserve">Secretaries and </w:t>
            </w:r>
            <w:r w:rsidR="00D41C77" w:rsidRPr="00457CA0">
              <w:rPr>
                <w:rFonts w:ascii="Times New Roman" w:hAnsi="Times New Roman"/>
                <w:sz w:val="21"/>
                <w:szCs w:val="21"/>
              </w:rPr>
              <w:t>Administrative</w:t>
            </w:r>
            <w:r w:rsidRPr="00457CA0">
              <w:rPr>
                <w:rFonts w:ascii="Times New Roman" w:hAnsi="Times New Roman"/>
                <w:sz w:val="21"/>
                <w:szCs w:val="21"/>
              </w:rPr>
              <w:t xml:space="preserve"> assistants</w:t>
            </w:r>
          </w:p>
        </w:tc>
        <w:tc>
          <w:tcPr>
            <w:tcW w:w="967" w:type="dxa"/>
            <w:shd w:val="clear" w:color="auto" w:fill="auto"/>
          </w:tcPr>
          <w:p w:rsidR="00D41C77" w:rsidRPr="00457CA0" w:rsidRDefault="00A96231"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6</w:t>
            </w:r>
          </w:p>
        </w:tc>
        <w:tc>
          <w:tcPr>
            <w:tcW w:w="1266" w:type="dxa"/>
            <w:shd w:val="clear" w:color="auto" w:fill="auto"/>
          </w:tcPr>
          <w:p w:rsidR="00D41C77" w:rsidRPr="00457CA0" w:rsidRDefault="00A96231"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$21</w:t>
            </w:r>
          </w:p>
        </w:tc>
        <w:tc>
          <w:tcPr>
            <w:tcW w:w="1577" w:type="dxa"/>
            <w:shd w:val="clear" w:color="auto" w:fill="auto"/>
          </w:tcPr>
          <w:p w:rsidR="00D41C77" w:rsidRPr="00457CA0" w:rsidRDefault="00C71FF3"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29</w:t>
            </w:r>
          </w:p>
        </w:tc>
        <w:tc>
          <w:tcPr>
            <w:tcW w:w="1432" w:type="dxa"/>
            <w:shd w:val="clear" w:color="auto" w:fill="auto"/>
          </w:tcPr>
          <w:p w:rsidR="00D41C77" w:rsidRPr="00457CA0" w:rsidRDefault="00C708F7"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15</w:t>
            </w:r>
            <w:r w:rsidR="00D41C77" w:rsidRPr="00457CA0">
              <w:rPr>
                <w:rFonts w:ascii="Times New Roman" w:hAnsi="Times New Roman"/>
                <w:sz w:val="21"/>
                <w:szCs w:val="21"/>
              </w:rPr>
              <w:t>%</w:t>
            </w:r>
          </w:p>
        </w:tc>
        <w:tc>
          <w:tcPr>
            <w:tcW w:w="1150"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4</w:t>
            </w:r>
          </w:p>
        </w:tc>
      </w:tr>
      <w:tr w:rsidR="00D41C77" w:rsidRPr="00457CA0" w:rsidTr="004B0EAE">
        <w:trPr>
          <w:jc w:val="center"/>
        </w:trPr>
        <w:tc>
          <w:tcPr>
            <w:tcW w:w="2777" w:type="dxa"/>
            <w:shd w:val="clear" w:color="auto" w:fill="auto"/>
          </w:tcPr>
          <w:p w:rsidR="00D41C77" w:rsidRPr="00457CA0" w:rsidRDefault="00A96231" w:rsidP="00EE305E">
            <w:pPr>
              <w:widowControl/>
              <w:tabs>
                <w:tab w:val="left" w:pos="360"/>
                <w:tab w:val="left" w:pos="720"/>
                <w:tab w:val="left" w:pos="1080"/>
              </w:tabs>
              <w:rPr>
                <w:rFonts w:ascii="Times New Roman" w:hAnsi="Times New Roman"/>
                <w:sz w:val="21"/>
                <w:szCs w:val="21"/>
              </w:rPr>
            </w:pPr>
            <w:r w:rsidRPr="00457CA0">
              <w:rPr>
                <w:rFonts w:ascii="Times New Roman" w:hAnsi="Times New Roman"/>
                <w:sz w:val="21"/>
                <w:szCs w:val="21"/>
              </w:rPr>
              <w:t xml:space="preserve">Petroleum </w:t>
            </w:r>
            <w:r w:rsidR="00D41C77" w:rsidRPr="00457CA0">
              <w:rPr>
                <w:rFonts w:ascii="Times New Roman" w:hAnsi="Times New Roman"/>
                <w:sz w:val="21"/>
                <w:szCs w:val="21"/>
              </w:rPr>
              <w:t>Engineers</w:t>
            </w:r>
            <w:r w:rsidR="00317527" w:rsidRPr="00457CA0">
              <w:rPr>
                <w:rFonts w:ascii="Times New Roman" w:hAnsi="Times New Roman"/>
                <w:sz w:val="21"/>
                <w:szCs w:val="21"/>
              </w:rPr>
              <w:t>,</w:t>
            </w:r>
            <w:r w:rsidR="00D41C77" w:rsidRPr="00457CA0">
              <w:rPr>
                <w:rFonts w:ascii="Times New Roman" w:hAnsi="Times New Roman"/>
                <w:sz w:val="21"/>
                <w:szCs w:val="21"/>
              </w:rPr>
              <w:t xml:space="preserve"> Geologists</w:t>
            </w:r>
          </w:p>
        </w:tc>
        <w:tc>
          <w:tcPr>
            <w:tcW w:w="967" w:type="dxa"/>
            <w:shd w:val="clear" w:color="auto" w:fill="auto"/>
          </w:tcPr>
          <w:p w:rsidR="00D41C77" w:rsidRPr="00457CA0" w:rsidRDefault="00A96231"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All Workers</w:t>
            </w:r>
          </w:p>
        </w:tc>
        <w:tc>
          <w:tcPr>
            <w:tcW w:w="1266" w:type="dxa"/>
            <w:shd w:val="clear" w:color="auto" w:fill="auto"/>
          </w:tcPr>
          <w:p w:rsidR="00D41C77" w:rsidRPr="00457CA0" w:rsidRDefault="00D41C77"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6</w:t>
            </w:r>
            <w:r w:rsidR="00C71FF3" w:rsidRPr="00457CA0">
              <w:rPr>
                <w:rFonts w:ascii="Times New Roman" w:hAnsi="Times New Roman"/>
                <w:sz w:val="21"/>
                <w:szCs w:val="21"/>
              </w:rPr>
              <w:t>8</w:t>
            </w:r>
          </w:p>
        </w:tc>
        <w:tc>
          <w:tcPr>
            <w:tcW w:w="1577" w:type="dxa"/>
            <w:shd w:val="clear" w:color="auto" w:fill="auto"/>
          </w:tcPr>
          <w:p w:rsidR="00D41C77" w:rsidRPr="00457CA0" w:rsidRDefault="00C71FF3"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9</w:t>
            </w:r>
            <w:r w:rsidRPr="00457CA0">
              <w:rPr>
                <w:rFonts w:ascii="Times New Roman" w:hAnsi="Times New Roman"/>
                <w:sz w:val="21"/>
                <w:szCs w:val="21"/>
              </w:rPr>
              <w:t>5</w:t>
            </w:r>
          </w:p>
        </w:tc>
        <w:tc>
          <w:tcPr>
            <w:tcW w:w="1432" w:type="dxa"/>
            <w:shd w:val="clear" w:color="auto" w:fill="auto"/>
          </w:tcPr>
          <w:p w:rsidR="00D41C77" w:rsidRPr="00457CA0" w:rsidRDefault="00A96231"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7</w:t>
            </w:r>
            <w:r w:rsidR="00C708F7" w:rsidRPr="00457CA0">
              <w:rPr>
                <w:rFonts w:ascii="Times New Roman" w:hAnsi="Times New Roman"/>
                <w:sz w:val="21"/>
                <w:szCs w:val="21"/>
              </w:rPr>
              <w:t>0</w:t>
            </w:r>
            <w:r w:rsidR="00D41C77" w:rsidRPr="00457CA0">
              <w:rPr>
                <w:rFonts w:ascii="Times New Roman" w:hAnsi="Times New Roman"/>
                <w:sz w:val="21"/>
                <w:szCs w:val="21"/>
              </w:rPr>
              <w:t>%</w:t>
            </w:r>
          </w:p>
        </w:tc>
        <w:tc>
          <w:tcPr>
            <w:tcW w:w="1150" w:type="dxa"/>
            <w:shd w:val="clear" w:color="auto" w:fill="auto"/>
          </w:tcPr>
          <w:p w:rsidR="00D41C77" w:rsidRPr="00457CA0" w:rsidRDefault="00D41C77"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6</w:t>
            </w:r>
            <w:r w:rsidR="00C71FF3" w:rsidRPr="00457CA0">
              <w:rPr>
                <w:rFonts w:ascii="Times New Roman" w:hAnsi="Times New Roman"/>
                <w:sz w:val="21"/>
                <w:szCs w:val="21"/>
              </w:rPr>
              <w:t>7</w:t>
            </w:r>
          </w:p>
        </w:tc>
      </w:tr>
      <w:tr w:rsidR="00D41C77" w:rsidRPr="00457CA0" w:rsidTr="004B0EAE">
        <w:trPr>
          <w:jc w:val="center"/>
        </w:trPr>
        <w:tc>
          <w:tcPr>
            <w:tcW w:w="2777" w:type="dxa"/>
            <w:shd w:val="clear" w:color="auto" w:fill="auto"/>
          </w:tcPr>
          <w:p w:rsidR="00D41C77" w:rsidRPr="00457CA0" w:rsidRDefault="00D41C77" w:rsidP="00EE305E">
            <w:pPr>
              <w:widowControl/>
              <w:tabs>
                <w:tab w:val="left" w:pos="360"/>
                <w:tab w:val="left" w:pos="720"/>
                <w:tab w:val="left" w:pos="1080"/>
              </w:tabs>
              <w:rPr>
                <w:rFonts w:ascii="Times New Roman" w:hAnsi="Times New Roman"/>
                <w:sz w:val="21"/>
                <w:szCs w:val="21"/>
              </w:rPr>
            </w:pPr>
            <w:r w:rsidRPr="00457CA0">
              <w:rPr>
                <w:rFonts w:ascii="Times New Roman" w:hAnsi="Times New Roman"/>
                <w:sz w:val="21"/>
                <w:szCs w:val="21"/>
              </w:rPr>
              <w:t>Supv. Engineer</w:t>
            </w:r>
          </w:p>
        </w:tc>
        <w:tc>
          <w:tcPr>
            <w:tcW w:w="967" w:type="dxa"/>
            <w:shd w:val="clear" w:color="auto" w:fill="auto"/>
          </w:tcPr>
          <w:p w:rsidR="00D41C77" w:rsidRPr="00457CA0" w:rsidRDefault="00371661"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13</w:t>
            </w:r>
          </w:p>
        </w:tc>
        <w:tc>
          <w:tcPr>
            <w:tcW w:w="1266" w:type="dxa"/>
            <w:shd w:val="clear" w:color="auto" w:fill="auto"/>
          </w:tcPr>
          <w:p w:rsidR="00D41C77" w:rsidRPr="00457CA0" w:rsidRDefault="00D41C77"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C71FF3" w:rsidRPr="00457CA0">
              <w:rPr>
                <w:rFonts w:ascii="Times New Roman" w:hAnsi="Times New Roman"/>
                <w:sz w:val="21"/>
                <w:szCs w:val="21"/>
              </w:rPr>
              <w:t>76</w:t>
            </w:r>
          </w:p>
        </w:tc>
        <w:tc>
          <w:tcPr>
            <w:tcW w:w="1577" w:type="dxa"/>
            <w:shd w:val="clear" w:color="auto" w:fill="auto"/>
          </w:tcPr>
          <w:p w:rsidR="00D41C77" w:rsidRPr="00457CA0" w:rsidRDefault="00C71FF3"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$106</w:t>
            </w:r>
          </w:p>
        </w:tc>
        <w:tc>
          <w:tcPr>
            <w:tcW w:w="1432" w:type="dxa"/>
            <w:shd w:val="clear" w:color="auto" w:fill="auto"/>
          </w:tcPr>
          <w:p w:rsidR="00D41C77" w:rsidRPr="00457CA0" w:rsidRDefault="00C708F7" w:rsidP="00EE305E">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1</w:t>
            </w:r>
            <w:r w:rsidR="00A96231" w:rsidRPr="00457CA0">
              <w:rPr>
                <w:rFonts w:ascii="Times New Roman" w:hAnsi="Times New Roman"/>
                <w:sz w:val="21"/>
                <w:szCs w:val="21"/>
              </w:rPr>
              <w:t>5</w:t>
            </w:r>
            <w:r w:rsidR="00D41C77" w:rsidRPr="00457CA0">
              <w:rPr>
                <w:rFonts w:ascii="Times New Roman" w:hAnsi="Times New Roman"/>
                <w:sz w:val="21"/>
                <w:szCs w:val="21"/>
              </w:rPr>
              <w:t>%</w:t>
            </w:r>
          </w:p>
        </w:tc>
        <w:tc>
          <w:tcPr>
            <w:tcW w:w="1150" w:type="dxa"/>
            <w:shd w:val="clear" w:color="auto" w:fill="auto"/>
          </w:tcPr>
          <w:p w:rsidR="00D41C77" w:rsidRPr="00457CA0" w:rsidRDefault="00D41C77" w:rsidP="00C71FF3">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1</w:t>
            </w:r>
            <w:r w:rsidR="00C71FF3" w:rsidRPr="00457CA0">
              <w:rPr>
                <w:rFonts w:ascii="Times New Roman" w:hAnsi="Times New Roman"/>
                <w:sz w:val="21"/>
                <w:szCs w:val="21"/>
              </w:rPr>
              <w:t>6</w:t>
            </w:r>
          </w:p>
        </w:tc>
      </w:tr>
      <w:tr w:rsidR="00D41C77" w:rsidRPr="00457CA0" w:rsidTr="004B0EAE">
        <w:trPr>
          <w:jc w:val="center"/>
        </w:trPr>
        <w:tc>
          <w:tcPr>
            <w:tcW w:w="8019" w:type="dxa"/>
            <w:gridSpan w:val="5"/>
            <w:shd w:val="clear" w:color="auto" w:fill="auto"/>
          </w:tcPr>
          <w:p w:rsidR="00D41C77" w:rsidRPr="00457CA0" w:rsidRDefault="00D41C77" w:rsidP="00EE305E">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Weighted Average ($/hour)</w:t>
            </w:r>
          </w:p>
        </w:tc>
        <w:tc>
          <w:tcPr>
            <w:tcW w:w="1150" w:type="dxa"/>
            <w:shd w:val="clear" w:color="auto" w:fill="auto"/>
          </w:tcPr>
          <w:p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t>
            </w:r>
            <w:r w:rsidR="00A96231" w:rsidRPr="00457CA0">
              <w:rPr>
                <w:rFonts w:ascii="Times New Roman" w:hAnsi="Times New Roman"/>
                <w:b/>
                <w:sz w:val="21"/>
                <w:szCs w:val="21"/>
              </w:rPr>
              <w:t>87</w:t>
            </w:r>
          </w:p>
        </w:tc>
      </w:tr>
    </w:tbl>
    <w:p w:rsidR="00A96231" w:rsidRPr="00457CA0" w:rsidRDefault="00A96231" w:rsidP="00A96231">
      <w:pPr>
        <w:widowControl/>
        <w:tabs>
          <w:tab w:val="left" w:pos="360"/>
          <w:tab w:val="left" w:pos="720"/>
          <w:tab w:val="left" w:pos="1080"/>
        </w:tabs>
        <w:rPr>
          <w:rFonts w:ascii="Times New Roman" w:hAnsi="Times New Roman"/>
          <w:sz w:val="21"/>
          <w:szCs w:val="21"/>
        </w:rPr>
      </w:pPr>
      <w:proofErr w:type="gramStart"/>
      <w:r w:rsidRPr="00457CA0">
        <w:rPr>
          <w:rFonts w:ascii="Times New Roman" w:hAnsi="Times New Roman"/>
          <w:sz w:val="21"/>
          <w:szCs w:val="21"/>
        </w:rPr>
        <w:t>*  Note</w:t>
      </w:r>
      <w:proofErr w:type="gramEnd"/>
      <w:r w:rsidRPr="00457CA0">
        <w:rPr>
          <w:rFonts w:ascii="Times New Roman" w:hAnsi="Times New Roman"/>
          <w:sz w:val="21"/>
          <w:szCs w:val="21"/>
        </w:rPr>
        <w:t xml:space="preserve"> that this BLS source reflects their last update from </w:t>
      </w:r>
      <w:r w:rsidR="00903C91">
        <w:rPr>
          <w:rFonts w:ascii="Times New Roman" w:hAnsi="Times New Roman"/>
          <w:sz w:val="21"/>
          <w:szCs w:val="21"/>
        </w:rPr>
        <w:t>March</w:t>
      </w:r>
      <w:r w:rsidR="004C3AAB" w:rsidRPr="00457CA0">
        <w:rPr>
          <w:rFonts w:ascii="Times New Roman" w:hAnsi="Times New Roman"/>
          <w:sz w:val="21"/>
          <w:szCs w:val="21"/>
        </w:rPr>
        <w:t xml:space="preserve"> 201</w:t>
      </w:r>
      <w:r w:rsidR="00903C91">
        <w:rPr>
          <w:rFonts w:ascii="Times New Roman" w:hAnsi="Times New Roman"/>
          <w:sz w:val="21"/>
          <w:szCs w:val="21"/>
        </w:rPr>
        <w:t>3</w:t>
      </w:r>
      <w:r w:rsidR="004C3AAB" w:rsidRPr="00457CA0">
        <w:rPr>
          <w:rFonts w:ascii="Times New Roman" w:hAnsi="Times New Roman"/>
          <w:sz w:val="21"/>
          <w:szCs w:val="21"/>
        </w:rPr>
        <w:t>.</w:t>
      </w:r>
    </w:p>
    <w:p w:rsidR="006F0C46" w:rsidRPr="00457CA0" w:rsidRDefault="006F0C46" w:rsidP="006F0C46">
      <w:pPr>
        <w:tabs>
          <w:tab w:val="left" w:pos="360"/>
          <w:tab w:val="left" w:pos="720"/>
          <w:tab w:val="left" w:pos="1080"/>
        </w:tabs>
        <w:rPr>
          <w:rFonts w:ascii="Times New Roman" w:hAnsi="Times New Roman"/>
          <w:sz w:val="21"/>
          <w:szCs w:val="21"/>
        </w:rPr>
      </w:pPr>
      <w:r w:rsidRPr="00457CA0">
        <w:rPr>
          <w:rFonts w:ascii="Times New Roman" w:hAnsi="Times New Roman"/>
          <w:sz w:val="21"/>
          <w:szCs w:val="21"/>
        </w:rPr>
        <w:t>*</w:t>
      </w:r>
      <w:r w:rsidR="00A96231" w:rsidRPr="00457CA0">
        <w:rPr>
          <w:rFonts w:ascii="Times New Roman" w:hAnsi="Times New Roman"/>
          <w:sz w:val="21"/>
          <w:szCs w:val="21"/>
        </w:rPr>
        <w:t>*</w:t>
      </w:r>
      <w:r w:rsidRPr="00457CA0">
        <w:rPr>
          <w:rFonts w:ascii="Times New Roman" w:hAnsi="Times New Roman"/>
          <w:sz w:val="21"/>
          <w:szCs w:val="21"/>
        </w:rPr>
        <w:t xml:space="preserve"> A multiplier of 1.4 (as implied by BLS news release USDL 1</w:t>
      </w:r>
      <w:r w:rsidR="004C3AAB" w:rsidRPr="00457CA0">
        <w:rPr>
          <w:rFonts w:ascii="Times New Roman" w:hAnsi="Times New Roman"/>
          <w:sz w:val="21"/>
          <w:szCs w:val="21"/>
        </w:rPr>
        <w:t>3</w:t>
      </w:r>
      <w:r w:rsidRPr="00457CA0">
        <w:rPr>
          <w:rFonts w:ascii="Times New Roman" w:hAnsi="Times New Roman"/>
          <w:sz w:val="21"/>
          <w:szCs w:val="21"/>
        </w:rPr>
        <w:t>-</w:t>
      </w:r>
      <w:r w:rsidR="00903C91">
        <w:rPr>
          <w:rFonts w:ascii="Times New Roman" w:hAnsi="Times New Roman"/>
          <w:sz w:val="21"/>
          <w:szCs w:val="21"/>
        </w:rPr>
        <w:t>1140</w:t>
      </w:r>
      <w:r w:rsidRPr="00457CA0">
        <w:rPr>
          <w:rFonts w:ascii="Times New Roman" w:hAnsi="Times New Roman"/>
          <w:sz w:val="21"/>
          <w:szCs w:val="21"/>
        </w:rPr>
        <w:t xml:space="preserve">, </w:t>
      </w:r>
      <w:r w:rsidR="00903C91">
        <w:rPr>
          <w:rFonts w:ascii="Times New Roman" w:hAnsi="Times New Roman"/>
          <w:sz w:val="21"/>
          <w:szCs w:val="21"/>
        </w:rPr>
        <w:t>June</w:t>
      </w:r>
      <w:r w:rsidR="004C3AAB" w:rsidRPr="00457CA0">
        <w:rPr>
          <w:rFonts w:ascii="Times New Roman" w:hAnsi="Times New Roman"/>
          <w:sz w:val="21"/>
          <w:szCs w:val="21"/>
        </w:rPr>
        <w:t xml:space="preserve"> 12, 2013</w:t>
      </w:r>
      <w:r w:rsidRPr="00457CA0">
        <w:rPr>
          <w:rFonts w:ascii="Times New Roman" w:hAnsi="Times New Roman"/>
          <w:sz w:val="21"/>
          <w:szCs w:val="21"/>
        </w:rPr>
        <w:t xml:space="preserve"> (see </w:t>
      </w:r>
      <w:hyperlink r:id="rId9" w:history="1">
        <w:r w:rsidRPr="00457CA0">
          <w:rPr>
            <w:rStyle w:val="Hyperlink"/>
            <w:rFonts w:ascii="Times New Roman" w:hAnsi="Times New Roman"/>
            <w:sz w:val="21"/>
            <w:szCs w:val="21"/>
          </w:rPr>
          <w:t>http://www.bls.gov/</w:t>
        </w:r>
        <w:r w:rsidRPr="00457CA0">
          <w:rPr>
            <w:rStyle w:val="Hyperlink"/>
            <w:rFonts w:ascii="Times New Roman" w:hAnsi="Times New Roman"/>
            <w:sz w:val="21"/>
            <w:szCs w:val="21"/>
          </w:rPr>
          <w:t>n</w:t>
        </w:r>
        <w:r w:rsidRPr="00457CA0">
          <w:rPr>
            <w:rStyle w:val="Hyperlink"/>
            <w:rFonts w:ascii="Times New Roman" w:hAnsi="Times New Roman"/>
            <w:sz w:val="21"/>
            <w:szCs w:val="21"/>
          </w:rPr>
          <w:t>ews.release/</w:t>
        </w:r>
        <w:r w:rsidRPr="00457CA0">
          <w:rPr>
            <w:rStyle w:val="Hyperlink"/>
            <w:rFonts w:ascii="Times New Roman" w:hAnsi="Times New Roman"/>
            <w:sz w:val="21"/>
            <w:szCs w:val="21"/>
          </w:rPr>
          <w:t>e</w:t>
        </w:r>
        <w:r w:rsidRPr="00457CA0">
          <w:rPr>
            <w:rStyle w:val="Hyperlink"/>
            <w:rFonts w:ascii="Times New Roman" w:hAnsi="Times New Roman"/>
            <w:sz w:val="21"/>
            <w:szCs w:val="21"/>
          </w:rPr>
          <w:t>cec.nr0.htm</w:t>
        </w:r>
      </w:hyperlink>
      <w:r w:rsidRPr="00457CA0">
        <w:rPr>
          <w:rFonts w:ascii="Times New Roman" w:hAnsi="Times New Roman"/>
          <w:sz w:val="21"/>
          <w:szCs w:val="21"/>
        </w:rPr>
        <w:t xml:space="preserve">)) was added for benefits. </w:t>
      </w:r>
    </w:p>
    <w:p w:rsidR="00D41C77" w:rsidRPr="00457CA0" w:rsidRDefault="00D41C77" w:rsidP="00D41C77">
      <w:pPr>
        <w:widowControl/>
        <w:tabs>
          <w:tab w:val="left" w:pos="360"/>
          <w:tab w:val="left" w:pos="720"/>
          <w:tab w:val="left" w:pos="1080"/>
        </w:tabs>
        <w:rPr>
          <w:rFonts w:ascii="Times New Roman" w:hAnsi="Times New Roman"/>
          <w:szCs w:val="24"/>
        </w:rPr>
      </w:pPr>
    </w:p>
    <w:p w:rsidR="00D41C77" w:rsidRDefault="00D41C77" w:rsidP="00D41C77">
      <w:pPr>
        <w:widowControl/>
        <w:tabs>
          <w:tab w:val="left" w:pos="360"/>
          <w:tab w:val="left" w:pos="720"/>
          <w:tab w:val="left" w:pos="1080"/>
        </w:tabs>
        <w:rPr>
          <w:rFonts w:ascii="Times New Roman" w:hAnsi="Times New Roman"/>
        </w:rPr>
      </w:pPr>
      <w:r w:rsidRPr="00457CA0">
        <w:rPr>
          <w:rFonts w:ascii="Times New Roman" w:hAnsi="Times New Roman"/>
        </w:rPr>
        <w:t>Based on a cost factor of $</w:t>
      </w:r>
      <w:r w:rsidR="00A96231" w:rsidRPr="00457CA0">
        <w:rPr>
          <w:rFonts w:ascii="Times New Roman" w:hAnsi="Times New Roman"/>
        </w:rPr>
        <w:t>87</w:t>
      </w:r>
      <w:r w:rsidRPr="00457CA0">
        <w:rPr>
          <w:rFonts w:ascii="Times New Roman" w:hAnsi="Times New Roman"/>
        </w:rPr>
        <w:t xml:space="preserve"> per hour, </w:t>
      </w:r>
      <w:r w:rsidR="00A30817" w:rsidRPr="00A30817">
        <w:rPr>
          <w:rFonts w:ascii="Times New Roman" w:hAnsi="Times New Roman"/>
        </w:rPr>
        <w:t xml:space="preserve">we estimate the hour burden as a dollar equivalent is </w:t>
      </w:r>
      <w:r w:rsidRPr="00457CA0">
        <w:rPr>
          <w:rFonts w:ascii="Times New Roman" w:hAnsi="Times New Roman"/>
        </w:rPr>
        <w:t>$</w:t>
      </w:r>
      <w:r w:rsidR="008B3C3D">
        <w:rPr>
          <w:rFonts w:ascii="Times New Roman" w:hAnsi="Times New Roman"/>
        </w:rPr>
        <w:t>2,561,019</w:t>
      </w:r>
      <w:r w:rsidR="00903C91" w:rsidRPr="00903C91">
        <w:rPr>
          <w:rFonts w:ascii="Times New Roman" w:hAnsi="Times New Roman"/>
        </w:rPr>
        <w:t xml:space="preserve"> </w:t>
      </w:r>
      <w:r w:rsidR="00FD07BE" w:rsidRPr="00457CA0">
        <w:rPr>
          <w:rFonts w:ascii="Times New Roman" w:hAnsi="Times New Roman"/>
          <w:szCs w:val="24"/>
        </w:rPr>
        <w:t xml:space="preserve">($87 x </w:t>
      </w:r>
      <w:r w:rsidR="008B3C3D" w:rsidRPr="008B3C3D">
        <w:rPr>
          <w:rFonts w:ascii="Times New Roman" w:hAnsi="Times New Roman"/>
          <w:szCs w:val="24"/>
        </w:rPr>
        <w:t xml:space="preserve">29,437 </w:t>
      </w:r>
      <w:r w:rsidR="00FD07BE" w:rsidRPr="00457CA0">
        <w:rPr>
          <w:rFonts w:ascii="Times New Roman" w:hAnsi="Times New Roman"/>
          <w:szCs w:val="24"/>
        </w:rPr>
        <w:t>hours = $</w:t>
      </w:r>
      <w:r w:rsidR="008B3C3D" w:rsidRPr="008B3C3D">
        <w:rPr>
          <w:rFonts w:ascii="Times New Roman" w:hAnsi="Times New Roman"/>
          <w:szCs w:val="24"/>
        </w:rPr>
        <w:t>2,561,019</w:t>
      </w:r>
      <w:r w:rsidR="00FD07BE" w:rsidRPr="00457CA0">
        <w:rPr>
          <w:rFonts w:ascii="Times New Roman" w:hAnsi="Times New Roman"/>
          <w:szCs w:val="24"/>
        </w:rPr>
        <w:t>).</w:t>
      </w:r>
      <w:r w:rsidR="00FD07BE" w:rsidRPr="00FD07BE">
        <w:rPr>
          <w:rFonts w:ascii="Times New Roman" w:hAnsi="Times New Roman"/>
          <w:szCs w:val="24"/>
        </w:rPr>
        <w:t xml:space="preserve">  </w:t>
      </w:r>
    </w:p>
    <w:p w:rsidR="00D41C77" w:rsidRDefault="00D41C77">
      <w:pPr>
        <w:widowControl/>
        <w:tabs>
          <w:tab w:val="left" w:pos="360"/>
          <w:tab w:val="left" w:pos="720"/>
          <w:tab w:val="left" w:pos="108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22431A" w:rsidRDefault="0022431A" w:rsidP="001F3345">
      <w:pPr>
        <w:widowControl/>
        <w:tabs>
          <w:tab w:val="left" w:pos="-1080"/>
          <w:tab w:val="left" w:pos="-720"/>
          <w:tab w:val="left" w:pos="360"/>
          <w:tab w:val="left" w:pos="810"/>
        </w:tabs>
        <w:rPr>
          <w:rFonts w:ascii="Times New Roman" w:hAnsi="Times New Roman"/>
          <w:i/>
        </w:rPr>
      </w:pPr>
    </w:p>
    <w:p w:rsidR="001F3345" w:rsidRPr="0022431A" w:rsidRDefault="0022431A" w:rsidP="001F3345">
      <w:pPr>
        <w:widowControl/>
        <w:tabs>
          <w:tab w:val="left" w:pos="-1080"/>
          <w:tab w:val="left" w:pos="-720"/>
          <w:tab w:val="left" w:pos="360"/>
          <w:tab w:val="left" w:pos="810"/>
        </w:tabs>
        <w:rPr>
          <w:rFonts w:ascii="Times New Roman" w:hAnsi="Times New Roman"/>
        </w:rPr>
      </w:pPr>
      <w:r w:rsidRPr="0022431A">
        <w:rPr>
          <w:rFonts w:ascii="Times New Roman" w:hAnsi="Times New Roman"/>
        </w:rPr>
        <w:t>Not applicable in this collection.</w:t>
      </w:r>
    </w:p>
    <w:p w:rsidR="0022431A" w:rsidRDefault="0022431A" w:rsidP="001F3345">
      <w:pPr>
        <w:widowControl/>
        <w:tabs>
          <w:tab w:val="left" w:pos="-1080"/>
          <w:tab w:val="left" w:pos="-720"/>
          <w:tab w:val="left" w:pos="360"/>
          <w:tab w:val="left" w:pos="810"/>
        </w:tabs>
        <w:rPr>
          <w:rFonts w:ascii="Times New Roman" w:hAnsi="Times New Roman"/>
          <w:i/>
        </w:rPr>
      </w:pPr>
    </w:p>
    <w:p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C27593" w:rsidRDefault="00C27593" w:rsidP="00C27593">
      <w:pPr>
        <w:widowControl/>
        <w:tabs>
          <w:tab w:val="left" w:pos="-1080"/>
          <w:tab w:val="left" w:pos="-720"/>
          <w:tab w:val="left" w:pos="360"/>
          <w:tab w:val="left" w:pos="810"/>
        </w:tabs>
        <w:rPr>
          <w:rFonts w:ascii="Times New Roman" w:hAnsi="Times New Roman"/>
          <w:i/>
        </w:rPr>
      </w:pPr>
    </w:p>
    <w:p w:rsidR="006E35DB" w:rsidRDefault="0059247E">
      <w:pPr>
        <w:widowControl/>
        <w:tabs>
          <w:tab w:val="left" w:pos="360"/>
          <w:tab w:val="left" w:pos="720"/>
        </w:tabs>
        <w:rPr>
          <w:rFonts w:ascii="Times New Roman" w:hAnsi="Times New Roman"/>
        </w:rPr>
      </w:pPr>
      <w:r w:rsidRPr="0059247E">
        <w:rPr>
          <w:rFonts w:ascii="Times New Roman" w:hAnsi="Times New Roman"/>
        </w:rPr>
        <w:t>We have identified three non-hour paperwork cost burdens for this collection.  Respondents pay cost recovery fees when removing a platform or other facility under § 250.1727 for $4,342, or for decommissioning a pipeline under § 250.1751(a) – L/T for $1,059 or a ROW for $2,012.  The fees are required to recover the Federal Government's processing costs, and we have not identified any others.  We estimate a total reporting non-hour cost burden of $</w:t>
      </w:r>
      <w:r w:rsidR="004B002C" w:rsidRPr="004B002C">
        <w:rPr>
          <w:rFonts w:ascii="Times New Roman" w:hAnsi="Times New Roman"/>
        </w:rPr>
        <w:t>2,152,644</w:t>
      </w:r>
      <w:r w:rsidR="004B002C">
        <w:rPr>
          <w:rFonts w:ascii="Times New Roman" w:hAnsi="Times New Roman"/>
        </w:rPr>
        <w:t xml:space="preserve"> </w:t>
      </w:r>
      <w:r w:rsidRPr="0059247E">
        <w:rPr>
          <w:rFonts w:ascii="Times New Roman" w:hAnsi="Times New Roman"/>
        </w:rPr>
        <w:t>for this collection.  Refer to the table in Section A.12 of this supporting statement for the specific non-hour paperwork cost burden breakdown.</w:t>
      </w:r>
    </w:p>
    <w:p w:rsidR="0059247E" w:rsidRDefault="0059247E">
      <w:pPr>
        <w:widowControl/>
        <w:tabs>
          <w:tab w:val="left" w:pos="360"/>
          <w:tab w:val="left" w:pos="72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93DB9" w:rsidRDefault="00693DB9" w:rsidP="001F3345">
      <w:pPr>
        <w:widowControl/>
        <w:tabs>
          <w:tab w:val="left" w:pos="-1080"/>
          <w:tab w:val="left" w:pos="-720"/>
          <w:tab w:val="left" w:pos="360"/>
          <w:tab w:val="left" w:pos="810"/>
        </w:tabs>
        <w:rPr>
          <w:rFonts w:ascii="Times New Roman" w:hAnsi="Times New Roman"/>
          <w:b/>
        </w:rPr>
      </w:pPr>
    </w:p>
    <w:p w:rsidR="00A96231" w:rsidRPr="006E7D50" w:rsidRDefault="00A96231" w:rsidP="00A96231">
      <w:pPr>
        <w:tabs>
          <w:tab w:val="left" w:pos="-1080"/>
          <w:tab w:val="left" w:pos="-720"/>
          <w:tab w:val="left" w:pos="360"/>
          <w:tab w:val="left" w:pos="810"/>
        </w:tabs>
        <w:rPr>
          <w:rFonts w:ascii="Times New Roman" w:hAnsi="Times New Roman"/>
        </w:rPr>
      </w:pPr>
      <w:r w:rsidRPr="006E7D50">
        <w:rPr>
          <w:rFonts w:ascii="Times New Roman" w:hAnsi="Times New Roman"/>
        </w:rPr>
        <w:t>The average government cost is $61/hour.  This cost is broken out in the below table using the current Office of Personnel Management salary data for the REST OF THE UNITED STATES (</w:t>
      </w:r>
      <w:hyperlink r:id="rId10" w:history="1">
        <w:r w:rsidR="00FD353A" w:rsidRPr="006E7D50">
          <w:rPr>
            <w:rStyle w:val="Hyperlink"/>
            <w:rFonts w:ascii="Times New Roman" w:hAnsi="Times New Roman"/>
          </w:rPr>
          <w:t>http://www.opm.gov/oc</w:t>
        </w:r>
        <w:r w:rsidR="00FD353A" w:rsidRPr="006E7D50">
          <w:rPr>
            <w:rStyle w:val="Hyperlink"/>
            <w:rFonts w:ascii="Times New Roman" w:hAnsi="Times New Roman"/>
          </w:rPr>
          <w:t>a</w:t>
        </w:r>
        <w:r w:rsidR="00FD353A" w:rsidRPr="006E7D50">
          <w:rPr>
            <w:rStyle w:val="Hyperlink"/>
            <w:rFonts w:ascii="Times New Roman" w:hAnsi="Times New Roman"/>
          </w:rPr>
          <w:t>/13tables/</w:t>
        </w:r>
      </w:hyperlink>
      <w:r w:rsidRPr="006E7D50">
        <w:rPr>
          <w:rFonts w:ascii="Times New Roman" w:hAnsi="Times New Roman"/>
        </w:rPr>
        <w:t xml:space="preserve">).   </w:t>
      </w:r>
    </w:p>
    <w:p w:rsidR="00D41C77" w:rsidRPr="006E7D50" w:rsidRDefault="00D41C77" w:rsidP="00D41C77">
      <w:pPr>
        <w:widowControl/>
        <w:tabs>
          <w:tab w:val="left" w:pos="-1080"/>
          <w:tab w:val="left" w:pos="-720"/>
          <w:tab w:val="left" w:pos="360"/>
          <w:tab w:val="left" w:pos="720"/>
        </w:tabs>
        <w:rPr>
          <w:rFonts w:ascii="Times New Roman" w:hAnsi="Times New Roman"/>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177"/>
        <w:gridCol w:w="1260"/>
        <w:gridCol w:w="1619"/>
        <w:gridCol w:w="1288"/>
        <w:gridCol w:w="1251"/>
      </w:tblGrid>
      <w:tr w:rsidR="00D41C77" w:rsidRPr="006E7D50" w:rsidTr="00EA53E9">
        <w:tc>
          <w:tcPr>
            <w:tcW w:w="2479" w:type="dxa"/>
            <w:shd w:val="clear" w:color="auto" w:fill="auto"/>
            <w:vAlign w:val="center"/>
          </w:tcPr>
          <w:p w:rsidR="00D41C77" w:rsidRPr="006E7D50" w:rsidRDefault="00D41C77" w:rsidP="00EE305E">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Position</w:t>
            </w:r>
          </w:p>
        </w:tc>
        <w:tc>
          <w:tcPr>
            <w:tcW w:w="1426" w:type="dxa"/>
            <w:shd w:val="clear" w:color="auto" w:fill="auto"/>
            <w:vAlign w:val="center"/>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Grade</w:t>
            </w:r>
          </w:p>
        </w:tc>
        <w:tc>
          <w:tcPr>
            <w:tcW w:w="1405"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Pay rate ($/hour estimate)</w:t>
            </w:r>
          </w:p>
        </w:tc>
        <w:tc>
          <w:tcPr>
            <w:tcW w:w="1979"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rate including benefits (1.5* x $/hour)</w:t>
            </w:r>
          </w:p>
        </w:tc>
        <w:tc>
          <w:tcPr>
            <w:tcW w:w="1430"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Percent of time spent on collection</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Weighted Average ($/hour)</w:t>
            </w:r>
          </w:p>
        </w:tc>
      </w:tr>
      <w:tr w:rsidR="00D41C77" w:rsidRPr="006E7D50" w:rsidTr="00EA53E9">
        <w:tc>
          <w:tcPr>
            <w:tcW w:w="2479" w:type="dxa"/>
            <w:shd w:val="clear" w:color="auto" w:fill="auto"/>
          </w:tcPr>
          <w:p w:rsidR="00D41C77" w:rsidRPr="006E7D50" w:rsidRDefault="00D41C77" w:rsidP="00EE305E">
            <w:pPr>
              <w:widowControl/>
              <w:tabs>
                <w:tab w:val="left" w:pos="360"/>
                <w:tab w:val="left" w:pos="720"/>
                <w:tab w:val="left" w:pos="1080"/>
              </w:tabs>
              <w:rPr>
                <w:rFonts w:ascii="Times New Roman" w:hAnsi="Times New Roman"/>
                <w:sz w:val="21"/>
                <w:szCs w:val="21"/>
              </w:rPr>
            </w:pPr>
            <w:r w:rsidRPr="006E7D50">
              <w:rPr>
                <w:rFonts w:ascii="Times New Roman" w:hAnsi="Times New Roman"/>
                <w:sz w:val="21"/>
                <w:szCs w:val="21"/>
              </w:rPr>
              <w:t>Clerical</w:t>
            </w:r>
          </w:p>
        </w:tc>
        <w:tc>
          <w:tcPr>
            <w:tcW w:w="1426"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GS-5/5</w:t>
            </w:r>
          </w:p>
        </w:tc>
        <w:tc>
          <w:tcPr>
            <w:tcW w:w="1405"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$1</w:t>
            </w:r>
            <w:r w:rsidR="00A96231" w:rsidRPr="006E7D50">
              <w:rPr>
                <w:rFonts w:ascii="Times New Roman" w:hAnsi="Times New Roman"/>
                <w:sz w:val="21"/>
                <w:szCs w:val="21"/>
              </w:rPr>
              <w:t>7</w:t>
            </w:r>
          </w:p>
        </w:tc>
        <w:tc>
          <w:tcPr>
            <w:tcW w:w="1979"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$2</w:t>
            </w:r>
            <w:r w:rsidR="00A96231" w:rsidRPr="006E7D50">
              <w:rPr>
                <w:rFonts w:ascii="Times New Roman" w:hAnsi="Times New Roman"/>
                <w:sz w:val="21"/>
                <w:szCs w:val="21"/>
              </w:rPr>
              <w:t>6</w:t>
            </w:r>
          </w:p>
        </w:tc>
        <w:tc>
          <w:tcPr>
            <w:tcW w:w="1430"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4%</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$1</w:t>
            </w:r>
          </w:p>
        </w:tc>
      </w:tr>
      <w:tr w:rsidR="00D41C77" w:rsidRPr="006E7D50" w:rsidTr="00EA53E9">
        <w:tc>
          <w:tcPr>
            <w:tcW w:w="2479" w:type="dxa"/>
            <w:shd w:val="clear" w:color="auto" w:fill="auto"/>
          </w:tcPr>
          <w:p w:rsidR="00D41C77" w:rsidRPr="006E7D50" w:rsidRDefault="00D41C77" w:rsidP="00EE305E">
            <w:pPr>
              <w:widowControl/>
              <w:tabs>
                <w:tab w:val="left" w:pos="360"/>
                <w:tab w:val="left" w:pos="720"/>
                <w:tab w:val="left" w:pos="1080"/>
              </w:tabs>
              <w:rPr>
                <w:rFonts w:ascii="Times New Roman" w:hAnsi="Times New Roman"/>
                <w:sz w:val="21"/>
                <w:szCs w:val="21"/>
              </w:rPr>
            </w:pPr>
            <w:r w:rsidRPr="006E7D50">
              <w:rPr>
                <w:rFonts w:ascii="Times New Roman" w:hAnsi="Times New Roman"/>
                <w:sz w:val="21"/>
                <w:szCs w:val="21"/>
              </w:rPr>
              <w:t>Technician(s)</w:t>
            </w:r>
          </w:p>
        </w:tc>
        <w:tc>
          <w:tcPr>
            <w:tcW w:w="1426"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GS-11/5</w:t>
            </w:r>
          </w:p>
        </w:tc>
        <w:tc>
          <w:tcPr>
            <w:tcW w:w="1405"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31</w:t>
            </w:r>
          </w:p>
        </w:tc>
        <w:tc>
          <w:tcPr>
            <w:tcW w:w="1979"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$4</w:t>
            </w:r>
            <w:r w:rsidR="00A96231" w:rsidRPr="006E7D50">
              <w:rPr>
                <w:rFonts w:ascii="Times New Roman" w:hAnsi="Times New Roman"/>
                <w:sz w:val="21"/>
                <w:szCs w:val="21"/>
              </w:rPr>
              <w:t>7</w:t>
            </w:r>
          </w:p>
        </w:tc>
        <w:tc>
          <w:tcPr>
            <w:tcW w:w="1430"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25%</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$1</w:t>
            </w:r>
            <w:r w:rsidR="00A96231" w:rsidRPr="006E7D50">
              <w:rPr>
                <w:rFonts w:ascii="Times New Roman" w:hAnsi="Times New Roman"/>
                <w:sz w:val="21"/>
                <w:szCs w:val="21"/>
              </w:rPr>
              <w:t>2</w:t>
            </w:r>
          </w:p>
        </w:tc>
      </w:tr>
      <w:tr w:rsidR="00D41C77" w:rsidRPr="006E7D50" w:rsidTr="00EA53E9">
        <w:tc>
          <w:tcPr>
            <w:tcW w:w="2479" w:type="dxa"/>
            <w:shd w:val="clear" w:color="auto" w:fill="auto"/>
          </w:tcPr>
          <w:p w:rsidR="00D41C77" w:rsidRPr="006E7D50" w:rsidRDefault="00D41C77" w:rsidP="00EE305E">
            <w:pPr>
              <w:widowControl/>
              <w:tabs>
                <w:tab w:val="left" w:pos="360"/>
                <w:tab w:val="left" w:pos="720"/>
                <w:tab w:val="left" w:pos="1080"/>
              </w:tabs>
              <w:rPr>
                <w:rFonts w:ascii="Times New Roman" w:hAnsi="Times New Roman"/>
                <w:sz w:val="21"/>
                <w:szCs w:val="21"/>
              </w:rPr>
            </w:pPr>
            <w:r w:rsidRPr="006E7D50">
              <w:rPr>
                <w:rFonts w:ascii="Times New Roman" w:hAnsi="Times New Roman"/>
                <w:sz w:val="21"/>
                <w:szCs w:val="21"/>
              </w:rPr>
              <w:t>Engineer(s)</w:t>
            </w:r>
          </w:p>
        </w:tc>
        <w:tc>
          <w:tcPr>
            <w:tcW w:w="1426"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GS-13/5</w:t>
            </w:r>
          </w:p>
        </w:tc>
        <w:tc>
          <w:tcPr>
            <w:tcW w:w="1405"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44</w:t>
            </w:r>
          </w:p>
        </w:tc>
        <w:tc>
          <w:tcPr>
            <w:tcW w:w="1979"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66</w:t>
            </w:r>
          </w:p>
        </w:tc>
        <w:tc>
          <w:tcPr>
            <w:tcW w:w="1430"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65%</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43</w:t>
            </w:r>
          </w:p>
        </w:tc>
      </w:tr>
      <w:tr w:rsidR="00D41C77" w:rsidRPr="006E7D50" w:rsidTr="00EA53E9">
        <w:tc>
          <w:tcPr>
            <w:tcW w:w="2479" w:type="dxa"/>
            <w:shd w:val="clear" w:color="auto" w:fill="auto"/>
          </w:tcPr>
          <w:p w:rsidR="00D41C77" w:rsidRPr="006E7D50" w:rsidRDefault="00D41C77" w:rsidP="00EE305E">
            <w:pPr>
              <w:widowControl/>
              <w:tabs>
                <w:tab w:val="left" w:pos="360"/>
                <w:tab w:val="left" w:pos="720"/>
                <w:tab w:val="left" w:pos="1080"/>
              </w:tabs>
              <w:rPr>
                <w:rFonts w:ascii="Times New Roman" w:hAnsi="Times New Roman"/>
                <w:sz w:val="21"/>
                <w:szCs w:val="21"/>
              </w:rPr>
            </w:pPr>
            <w:r w:rsidRPr="006E7D50">
              <w:rPr>
                <w:rFonts w:ascii="Times New Roman" w:hAnsi="Times New Roman"/>
                <w:sz w:val="21"/>
                <w:szCs w:val="21"/>
              </w:rPr>
              <w:t>Supervisory</w:t>
            </w:r>
          </w:p>
        </w:tc>
        <w:tc>
          <w:tcPr>
            <w:tcW w:w="1426"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GS-14/5</w:t>
            </w:r>
          </w:p>
        </w:tc>
        <w:tc>
          <w:tcPr>
            <w:tcW w:w="1405"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53</w:t>
            </w:r>
          </w:p>
        </w:tc>
        <w:tc>
          <w:tcPr>
            <w:tcW w:w="1979"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80</w:t>
            </w:r>
          </w:p>
        </w:tc>
        <w:tc>
          <w:tcPr>
            <w:tcW w:w="1430"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6%</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sz w:val="21"/>
                <w:szCs w:val="21"/>
              </w:rPr>
            </w:pPr>
            <w:r w:rsidRPr="006E7D50">
              <w:rPr>
                <w:rFonts w:ascii="Times New Roman" w:hAnsi="Times New Roman"/>
                <w:sz w:val="21"/>
                <w:szCs w:val="21"/>
              </w:rPr>
              <w:t>$</w:t>
            </w:r>
            <w:r w:rsidR="00A96231" w:rsidRPr="006E7D50">
              <w:rPr>
                <w:rFonts w:ascii="Times New Roman" w:hAnsi="Times New Roman"/>
                <w:sz w:val="21"/>
                <w:szCs w:val="21"/>
              </w:rPr>
              <w:t>5</w:t>
            </w:r>
          </w:p>
        </w:tc>
      </w:tr>
      <w:tr w:rsidR="00D41C77" w:rsidRPr="006E7D50" w:rsidTr="00EA53E9">
        <w:tc>
          <w:tcPr>
            <w:tcW w:w="8719" w:type="dxa"/>
            <w:gridSpan w:val="5"/>
            <w:shd w:val="clear" w:color="auto" w:fill="auto"/>
          </w:tcPr>
          <w:p w:rsidR="00D41C77" w:rsidRPr="006E7D50" w:rsidRDefault="00D41C77" w:rsidP="00EE305E">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Weighted Average ($/hour)</w:t>
            </w:r>
          </w:p>
        </w:tc>
        <w:tc>
          <w:tcPr>
            <w:tcW w:w="1361" w:type="dxa"/>
            <w:shd w:val="clear" w:color="auto" w:fill="auto"/>
          </w:tcPr>
          <w:p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t>
            </w:r>
            <w:r w:rsidR="00A96231" w:rsidRPr="006E7D50">
              <w:rPr>
                <w:rFonts w:ascii="Times New Roman" w:hAnsi="Times New Roman"/>
                <w:b/>
                <w:sz w:val="21"/>
                <w:szCs w:val="21"/>
              </w:rPr>
              <w:t>61</w:t>
            </w:r>
          </w:p>
        </w:tc>
      </w:tr>
    </w:tbl>
    <w:p w:rsidR="00A96231" w:rsidRPr="006E7D50" w:rsidRDefault="00A96231" w:rsidP="00A96231">
      <w:pPr>
        <w:tabs>
          <w:tab w:val="left" w:pos="360"/>
          <w:tab w:val="left" w:pos="720"/>
          <w:tab w:val="left" w:pos="1080"/>
        </w:tabs>
        <w:rPr>
          <w:rFonts w:ascii="Times New Roman" w:hAnsi="Times New Roman"/>
          <w:sz w:val="21"/>
          <w:szCs w:val="21"/>
        </w:rPr>
      </w:pPr>
      <w:r w:rsidRPr="006E7D50">
        <w:rPr>
          <w:rFonts w:ascii="Times New Roman" w:hAnsi="Times New Roman"/>
          <w:sz w:val="21"/>
          <w:szCs w:val="21"/>
        </w:rPr>
        <w:t xml:space="preserve">* A multiplier of 1.5 (as implied by BLS news release </w:t>
      </w:r>
      <w:r w:rsidR="002266E5" w:rsidRPr="006E7D50">
        <w:rPr>
          <w:rFonts w:ascii="Times New Roman" w:hAnsi="Times New Roman"/>
          <w:sz w:val="21"/>
          <w:szCs w:val="21"/>
        </w:rPr>
        <w:t>USDL 13-</w:t>
      </w:r>
      <w:r w:rsidR="00FD353A" w:rsidRPr="006E7D50">
        <w:rPr>
          <w:rFonts w:ascii="Times New Roman" w:hAnsi="Times New Roman"/>
          <w:sz w:val="21"/>
          <w:szCs w:val="21"/>
        </w:rPr>
        <w:t>1140</w:t>
      </w:r>
      <w:r w:rsidR="002266E5" w:rsidRPr="006E7D50">
        <w:rPr>
          <w:rFonts w:ascii="Times New Roman" w:hAnsi="Times New Roman"/>
          <w:sz w:val="21"/>
          <w:szCs w:val="21"/>
        </w:rPr>
        <w:t xml:space="preserve">, </w:t>
      </w:r>
      <w:r w:rsidR="00FD353A" w:rsidRPr="006E7D50">
        <w:rPr>
          <w:rFonts w:ascii="Times New Roman" w:hAnsi="Times New Roman"/>
          <w:sz w:val="21"/>
          <w:szCs w:val="21"/>
        </w:rPr>
        <w:t xml:space="preserve">June </w:t>
      </w:r>
      <w:r w:rsidR="002266E5" w:rsidRPr="006E7D50">
        <w:rPr>
          <w:rFonts w:ascii="Times New Roman" w:hAnsi="Times New Roman"/>
          <w:sz w:val="21"/>
          <w:szCs w:val="21"/>
        </w:rPr>
        <w:t xml:space="preserve">12, 2013 </w:t>
      </w:r>
      <w:r w:rsidRPr="006E7D50">
        <w:rPr>
          <w:rFonts w:ascii="Times New Roman" w:hAnsi="Times New Roman"/>
          <w:sz w:val="21"/>
          <w:szCs w:val="21"/>
        </w:rPr>
        <w:t xml:space="preserve">(see </w:t>
      </w:r>
      <w:hyperlink r:id="rId11" w:history="1">
        <w:r w:rsidRPr="006E7D50">
          <w:rPr>
            <w:rStyle w:val="Hyperlink"/>
            <w:rFonts w:ascii="Times New Roman" w:hAnsi="Times New Roman"/>
            <w:sz w:val="21"/>
            <w:szCs w:val="21"/>
          </w:rPr>
          <w:t>http://www.bls.gov/news.rele</w:t>
        </w:r>
        <w:r w:rsidRPr="006E7D50">
          <w:rPr>
            <w:rStyle w:val="Hyperlink"/>
            <w:rFonts w:ascii="Times New Roman" w:hAnsi="Times New Roman"/>
            <w:sz w:val="21"/>
            <w:szCs w:val="21"/>
          </w:rPr>
          <w:t>a</w:t>
        </w:r>
        <w:r w:rsidRPr="006E7D50">
          <w:rPr>
            <w:rStyle w:val="Hyperlink"/>
            <w:rFonts w:ascii="Times New Roman" w:hAnsi="Times New Roman"/>
            <w:sz w:val="21"/>
            <w:szCs w:val="21"/>
          </w:rPr>
          <w:t>se/ecec.nr0.htm</w:t>
        </w:r>
      </w:hyperlink>
      <w:r w:rsidRPr="006E7D50">
        <w:rPr>
          <w:rFonts w:ascii="Times New Roman" w:hAnsi="Times New Roman"/>
          <w:sz w:val="21"/>
          <w:szCs w:val="21"/>
        </w:rPr>
        <w:t xml:space="preserve">)) was added for benefits. </w:t>
      </w:r>
    </w:p>
    <w:p w:rsidR="00D41C77" w:rsidRPr="006E7D50" w:rsidRDefault="00D41C77" w:rsidP="00892E5F">
      <w:pPr>
        <w:widowControl/>
        <w:tabs>
          <w:tab w:val="left" w:pos="-1080"/>
          <w:tab w:val="left" w:pos="-720"/>
          <w:tab w:val="left" w:pos="360"/>
          <w:tab w:val="left" w:pos="720"/>
        </w:tabs>
        <w:rPr>
          <w:rFonts w:ascii="Times New Roman" w:hAnsi="Times New Roman"/>
        </w:rPr>
      </w:pPr>
    </w:p>
    <w:p w:rsidR="00693DB9" w:rsidRDefault="00693DB9" w:rsidP="00892E5F">
      <w:pPr>
        <w:widowControl/>
        <w:tabs>
          <w:tab w:val="left" w:pos="-1080"/>
          <w:tab w:val="left" w:pos="-720"/>
          <w:tab w:val="left" w:pos="360"/>
          <w:tab w:val="left" w:pos="810"/>
        </w:tabs>
        <w:rPr>
          <w:rFonts w:ascii="Times New Roman" w:hAnsi="Times New Roman"/>
        </w:rPr>
      </w:pPr>
      <w:r w:rsidRPr="006E7D50">
        <w:rPr>
          <w:rFonts w:ascii="Times New Roman" w:hAnsi="Times New Roman"/>
        </w:rPr>
        <w:t xml:space="preserve">To analyze and review the information respondents submit for </w:t>
      </w:r>
      <w:r w:rsidR="00F6644C">
        <w:rPr>
          <w:rFonts w:ascii="Times New Roman" w:hAnsi="Times New Roman"/>
        </w:rPr>
        <w:t>S</w:t>
      </w:r>
      <w:r w:rsidRPr="006E7D50">
        <w:rPr>
          <w:rFonts w:ascii="Times New Roman" w:hAnsi="Times New Roman"/>
        </w:rPr>
        <w:t xml:space="preserve">ubpart </w:t>
      </w:r>
      <w:r w:rsidR="002266E5" w:rsidRPr="006E7D50">
        <w:rPr>
          <w:rFonts w:ascii="Times New Roman" w:hAnsi="Times New Roman"/>
        </w:rPr>
        <w:t>Q</w:t>
      </w:r>
      <w:r w:rsidRPr="006E7D50">
        <w:rPr>
          <w:rFonts w:ascii="Times New Roman" w:hAnsi="Times New Roman"/>
        </w:rPr>
        <w:t xml:space="preserve">, we estimate the Government will spend an average of approximately 0.5 hours for each hour spent by </w:t>
      </w:r>
      <w:r w:rsidR="0013642F" w:rsidRPr="006E7D50">
        <w:rPr>
          <w:rFonts w:ascii="Times New Roman" w:hAnsi="Times New Roman"/>
        </w:rPr>
        <w:t>respondents</w:t>
      </w:r>
      <w:r w:rsidRPr="006E7D50">
        <w:rPr>
          <w:rFonts w:ascii="Times New Roman" w:hAnsi="Times New Roman"/>
        </w:rPr>
        <w:t xml:space="preserve">.  Based on a cost factor of $61 per hour, the </w:t>
      </w:r>
      <w:r w:rsidR="00E47582" w:rsidRPr="006E7D50">
        <w:rPr>
          <w:rFonts w:ascii="Times New Roman" w:hAnsi="Times New Roman"/>
        </w:rPr>
        <w:t>total annual estimated burden on the</w:t>
      </w:r>
      <w:r w:rsidRPr="006E7D50">
        <w:rPr>
          <w:rFonts w:ascii="Times New Roman" w:hAnsi="Times New Roman"/>
        </w:rPr>
        <w:t xml:space="preserve"> Government is $</w:t>
      </w:r>
      <w:r w:rsidR="004B002C" w:rsidRPr="004B002C">
        <w:rPr>
          <w:rFonts w:ascii="Times New Roman" w:hAnsi="Times New Roman"/>
        </w:rPr>
        <w:t xml:space="preserve">897,859 </w:t>
      </w:r>
      <w:r w:rsidRPr="006E7D50">
        <w:rPr>
          <w:rFonts w:ascii="Times New Roman" w:hAnsi="Times New Roman"/>
        </w:rPr>
        <w:t>(</w:t>
      </w:r>
      <w:r w:rsidR="004B002C" w:rsidRPr="004B002C">
        <w:rPr>
          <w:rFonts w:ascii="Times New Roman" w:hAnsi="Times New Roman"/>
        </w:rPr>
        <w:t xml:space="preserve">29,437 </w:t>
      </w:r>
      <w:r w:rsidRPr="006E7D50">
        <w:rPr>
          <w:rFonts w:ascii="Times New Roman" w:hAnsi="Times New Roman"/>
        </w:rPr>
        <w:t xml:space="preserve">burden hours x 0.5 hours = </w:t>
      </w:r>
      <w:r w:rsidR="004B002C">
        <w:rPr>
          <w:rFonts w:ascii="Times New Roman" w:hAnsi="Times New Roman"/>
        </w:rPr>
        <w:t>14,719</w:t>
      </w:r>
      <w:r w:rsidRPr="006E7D50">
        <w:rPr>
          <w:rFonts w:ascii="Times New Roman" w:hAnsi="Times New Roman"/>
        </w:rPr>
        <w:t xml:space="preserve"> hours (rounded) x $61 = $</w:t>
      </w:r>
      <w:r w:rsidR="004B002C">
        <w:rPr>
          <w:rFonts w:ascii="Times New Roman" w:hAnsi="Times New Roman"/>
        </w:rPr>
        <w:t>897,859</w:t>
      </w:r>
      <w:r w:rsidRPr="006E7D50">
        <w:rPr>
          <w:rFonts w:ascii="Times New Roman" w:hAnsi="Times New Roman"/>
        </w:rPr>
        <w:t>).</w:t>
      </w:r>
    </w:p>
    <w:p w:rsidR="006E35DB" w:rsidRPr="00485333" w:rsidRDefault="001F3345" w:rsidP="00892E5F">
      <w:pPr>
        <w:widowControl/>
        <w:tabs>
          <w:tab w:val="left" w:pos="-1080"/>
          <w:tab w:val="left" w:pos="-720"/>
          <w:tab w:val="left" w:pos="360"/>
          <w:tab w:val="left" w:pos="810"/>
        </w:tabs>
        <w:rPr>
          <w:rFonts w:ascii="Times New Roman" w:hAnsi="Times New Roman"/>
        </w:rPr>
      </w:pPr>
      <w:r w:rsidRPr="00485333">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rsidR="00363685" w:rsidRDefault="00363685" w:rsidP="00363685">
      <w:pPr>
        <w:widowControl/>
        <w:tabs>
          <w:tab w:val="left" w:pos="-1080"/>
          <w:tab w:val="left" w:pos="-720"/>
          <w:tab w:val="left" w:pos="360"/>
          <w:tab w:val="left" w:pos="810"/>
        </w:tabs>
        <w:rPr>
          <w:rFonts w:ascii="Times New Roman" w:hAnsi="Times New Roman"/>
        </w:rPr>
      </w:pPr>
    </w:p>
    <w:p w:rsidR="00363685" w:rsidRPr="00FD07BE" w:rsidRDefault="00363685" w:rsidP="00363685">
      <w:pPr>
        <w:widowControl/>
        <w:tabs>
          <w:tab w:val="left" w:pos="-1080"/>
          <w:tab w:val="left" w:pos="-720"/>
          <w:tab w:val="left" w:pos="360"/>
          <w:tab w:val="left" w:pos="810"/>
        </w:tabs>
        <w:rPr>
          <w:rFonts w:ascii="Times New Roman" w:hAnsi="Times New Roman"/>
        </w:rPr>
      </w:pPr>
      <w:r>
        <w:rPr>
          <w:rFonts w:ascii="Times New Roman" w:hAnsi="Times New Roman"/>
        </w:rPr>
        <w:lastRenderedPageBreak/>
        <w:t>(a)  The currently OMB approved annual hour burden is</w:t>
      </w:r>
      <w:r w:rsidRPr="00FD07BE">
        <w:rPr>
          <w:rFonts w:ascii="Times New Roman" w:hAnsi="Times New Roman"/>
        </w:rPr>
        <w:t xml:space="preserve"> </w:t>
      </w:r>
      <w:r w:rsidR="00ED008E">
        <w:rPr>
          <w:rFonts w:ascii="Times New Roman" w:hAnsi="Times New Roman"/>
        </w:rPr>
        <w:t>19,613</w:t>
      </w:r>
      <w:r w:rsidR="00751DD5" w:rsidRPr="00751DD5">
        <w:rPr>
          <w:rFonts w:ascii="Times New Roman" w:hAnsi="Times New Roman"/>
        </w:rPr>
        <w:t xml:space="preserve"> </w:t>
      </w:r>
      <w:r w:rsidRPr="00FD07BE">
        <w:rPr>
          <w:rFonts w:ascii="Times New Roman" w:hAnsi="Times New Roman"/>
        </w:rPr>
        <w:t xml:space="preserve">burden hours for this collection of information.  </w:t>
      </w:r>
      <w:r w:rsidRPr="00FD07BE">
        <w:rPr>
          <w:rFonts w:ascii="Times New Roman" w:hAnsi="Times New Roman"/>
          <w:szCs w:val="24"/>
        </w:rPr>
        <w:t xml:space="preserve">This submission requests </w:t>
      </w:r>
      <w:r w:rsidR="004B002C" w:rsidRPr="004B002C">
        <w:rPr>
          <w:rFonts w:ascii="Times New Roman" w:hAnsi="Times New Roman"/>
          <w:szCs w:val="24"/>
        </w:rPr>
        <w:t xml:space="preserve">29,437 </w:t>
      </w:r>
      <w:r w:rsidRPr="00FD07BE">
        <w:rPr>
          <w:rFonts w:ascii="Times New Roman" w:hAnsi="Times New Roman"/>
          <w:szCs w:val="24"/>
        </w:rPr>
        <w:t xml:space="preserve">burden hours.  </w:t>
      </w:r>
      <w:r w:rsidRPr="00FD07BE">
        <w:rPr>
          <w:rFonts w:ascii="Times New Roman" w:hAnsi="Times New Roman"/>
        </w:rPr>
        <w:t xml:space="preserve">The adjustment </w:t>
      </w:r>
      <w:r w:rsidR="004A38E6" w:rsidRPr="00751DD5">
        <w:rPr>
          <w:rFonts w:ascii="Times New Roman" w:hAnsi="Times New Roman"/>
        </w:rPr>
        <w:t>increase</w:t>
      </w:r>
      <w:r w:rsidRPr="00751DD5">
        <w:rPr>
          <w:rFonts w:ascii="Times New Roman" w:hAnsi="Times New Roman"/>
        </w:rPr>
        <w:t xml:space="preserve"> of </w:t>
      </w:r>
      <w:r w:rsidR="004B002C">
        <w:rPr>
          <w:rFonts w:ascii="Times New Roman" w:hAnsi="Times New Roman"/>
        </w:rPr>
        <w:t>9,824</w:t>
      </w:r>
      <w:r w:rsidRPr="00FD07BE">
        <w:rPr>
          <w:rFonts w:ascii="Times New Roman" w:hAnsi="Times New Roman"/>
        </w:rPr>
        <w:t xml:space="preserve"> hours is due to re-estimating the average annual re</w:t>
      </w:r>
      <w:r w:rsidR="004A38E6">
        <w:rPr>
          <w:rFonts w:ascii="Times New Roman" w:hAnsi="Times New Roman"/>
        </w:rPr>
        <w:t>sponses and the amount of time r</w:t>
      </w:r>
      <w:r w:rsidRPr="00FD07BE">
        <w:rPr>
          <w:rFonts w:ascii="Times New Roman" w:hAnsi="Times New Roman"/>
        </w:rPr>
        <w:t xml:space="preserve">equired to respond based on consultations.  </w:t>
      </w:r>
    </w:p>
    <w:p w:rsidR="00363685" w:rsidRPr="00FD07BE" w:rsidRDefault="00363685" w:rsidP="00363685">
      <w:pPr>
        <w:widowControl/>
        <w:tabs>
          <w:tab w:val="left" w:pos="-1080"/>
          <w:tab w:val="left" w:pos="-720"/>
          <w:tab w:val="left" w:pos="360"/>
          <w:tab w:val="left" w:pos="810"/>
        </w:tabs>
        <w:rPr>
          <w:rFonts w:ascii="Times New Roman" w:hAnsi="Times New Roman"/>
        </w:rPr>
      </w:pPr>
    </w:p>
    <w:p w:rsidR="00363685" w:rsidRDefault="00363685" w:rsidP="00363685">
      <w:pPr>
        <w:widowControl/>
        <w:tabs>
          <w:tab w:val="left" w:pos="-1080"/>
          <w:tab w:val="left" w:pos="-720"/>
          <w:tab w:val="left" w:pos="360"/>
          <w:tab w:val="left" w:pos="810"/>
        </w:tabs>
        <w:rPr>
          <w:rFonts w:ascii="Times New Roman" w:hAnsi="Times New Roman"/>
        </w:rPr>
      </w:pPr>
      <w:r w:rsidRPr="00FD07BE">
        <w:rPr>
          <w:rFonts w:ascii="Times New Roman" w:hAnsi="Times New Roman"/>
        </w:rPr>
        <w:t xml:space="preserve">(b) </w:t>
      </w:r>
      <w:r>
        <w:rPr>
          <w:rFonts w:ascii="Times New Roman" w:hAnsi="Times New Roman"/>
        </w:rPr>
        <w:t xml:space="preserve"> </w:t>
      </w:r>
      <w:r w:rsidRPr="00FD07BE">
        <w:rPr>
          <w:rFonts w:ascii="Times New Roman" w:hAnsi="Times New Roman"/>
        </w:rPr>
        <w:t>The current</w:t>
      </w:r>
      <w:r>
        <w:rPr>
          <w:rFonts w:ascii="Times New Roman" w:hAnsi="Times New Roman"/>
        </w:rPr>
        <w:t xml:space="preserve">ly OMB approved annual reporting and recordkeeping non-hour cost burden is </w:t>
      </w:r>
      <w:r w:rsidRPr="00FD07BE">
        <w:rPr>
          <w:rFonts w:ascii="Times New Roman" w:hAnsi="Times New Roman"/>
        </w:rPr>
        <w:t>$</w:t>
      </w:r>
      <w:r w:rsidR="00A8624A" w:rsidRPr="00A8624A">
        <w:rPr>
          <w:rFonts w:ascii="Times New Roman" w:hAnsi="Times New Roman"/>
        </w:rPr>
        <w:t>1,677,782</w:t>
      </w:r>
      <w:r w:rsidR="00A8624A">
        <w:rPr>
          <w:rFonts w:ascii="Times New Roman" w:hAnsi="Times New Roman"/>
        </w:rPr>
        <w:t xml:space="preserve"> </w:t>
      </w:r>
      <w:r w:rsidRPr="00FD07BE">
        <w:rPr>
          <w:rFonts w:ascii="Times New Roman" w:hAnsi="Times New Roman"/>
        </w:rPr>
        <w:t>for this collection of information.  This submission requests $</w:t>
      </w:r>
      <w:r w:rsidR="004B002C" w:rsidRPr="004B002C">
        <w:rPr>
          <w:rFonts w:ascii="Times New Roman" w:hAnsi="Times New Roman"/>
        </w:rPr>
        <w:t>2,152,644</w:t>
      </w:r>
      <w:r w:rsidRPr="00FD07BE">
        <w:rPr>
          <w:rFonts w:ascii="Times New Roman" w:hAnsi="Times New Roman"/>
        </w:rPr>
        <w:t>.  The adjustment increase of $</w:t>
      </w:r>
      <w:r w:rsidR="004B002C">
        <w:rPr>
          <w:rFonts w:ascii="Times New Roman" w:hAnsi="Times New Roman"/>
        </w:rPr>
        <w:t>474,862</w:t>
      </w:r>
      <w:r w:rsidRPr="00FD07BE">
        <w:rPr>
          <w:rFonts w:ascii="Times New Roman" w:hAnsi="Times New Roman"/>
        </w:rPr>
        <w:t xml:space="preserve"> is due</w:t>
      </w:r>
      <w:r w:rsidRPr="0065446A">
        <w:rPr>
          <w:rFonts w:ascii="Times New Roman" w:hAnsi="Times New Roman"/>
        </w:rPr>
        <w:t xml:space="preserve"> to re-estimating the average number of annual responses</w:t>
      </w:r>
      <w:r>
        <w:rPr>
          <w:rFonts w:ascii="Times New Roman" w:hAnsi="Times New Roman"/>
        </w:rPr>
        <w:t xml:space="preserve"> that have associated cost recovery fees.   </w:t>
      </w:r>
    </w:p>
    <w:p w:rsidR="00363685" w:rsidRDefault="00363685" w:rsidP="00363685">
      <w:pPr>
        <w:widowControl/>
        <w:tabs>
          <w:tab w:val="left" w:pos="360"/>
          <w:tab w:val="left" w:pos="720"/>
          <w:tab w:val="left" w:pos="108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D41C77" w:rsidP="001F3345">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6661B9">
        <w:rPr>
          <w:rFonts w:ascii="Times New Roman" w:hAnsi="Times New Roman"/>
        </w:rPr>
        <w:t>BSEE</w:t>
      </w:r>
      <w:r w:rsidR="001F3345">
        <w:rPr>
          <w:rFonts w:ascii="Times New Roman" w:hAnsi="Times New Roman"/>
        </w:rPr>
        <w:t xml:space="preserve"> will not tabulate or publish the data.</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7F1D6A" w:rsidP="001F3345">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Pr="007F1D6A">
        <w:rPr>
          <w:rFonts w:ascii="Times New Roman" w:hAnsi="Times New Roman"/>
        </w:rPr>
        <w:t xml:space="preserve">BSEE will display the OMB control number and approval expiration date.  </w:t>
      </w:r>
    </w:p>
    <w:p w:rsidR="007F1D6A" w:rsidRDefault="007F1D6A" w:rsidP="001F3345">
      <w:pPr>
        <w:widowControl/>
        <w:tabs>
          <w:tab w:val="left" w:pos="-1080"/>
          <w:tab w:val="left" w:pos="-720"/>
          <w:tab w:val="left" w:pos="360"/>
          <w:tab w:val="left" w:pos="81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6E35DB" w:rsidRPr="00CD5B1C" w:rsidRDefault="001F3345" w:rsidP="00CD5B1C">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6E35DB" w:rsidRPr="00CD5B1C" w:rsidSect="00EA53E9">
      <w:footerReference w:type="even" r:id="rId12"/>
      <w:footerReference w:type="default" r:id="rId13"/>
      <w:endnotePr>
        <w:numFmt w:val="decimal"/>
      </w:endnotePr>
      <w:pgSz w:w="12240" w:h="15840" w:code="1"/>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23" w:rsidRDefault="00560123">
      <w:r>
        <w:separator/>
      </w:r>
    </w:p>
  </w:endnote>
  <w:endnote w:type="continuationSeparator" w:id="0">
    <w:p w:rsidR="00560123" w:rsidRDefault="0056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23" w:rsidRDefault="005601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123" w:rsidRDefault="00560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23" w:rsidRDefault="00560123">
    <w:pPr>
      <w:spacing w:line="240" w:lineRule="exact"/>
    </w:pPr>
  </w:p>
  <w:p w:rsidR="00560123" w:rsidRDefault="00560123">
    <w:pPr>
      <w:framePr w:wrap="around" w:vAnchor="text" w:hAnchor="margin" w:xAlign="center" w:y="1"/>
      <w:jc w:val="center"/>
    </w:pPr>
    <w:r>
      <w:fldChar w:fldCharType="begin"/>
    </w:r>
    <w:r>
      <w:instrText xml:space="preserve">PAGE </w:instrText>
    </w:r>
    <w:r>
      <w:fldChar w:fldCharType="separate"/>
    </w:r>
    <w:r w:rsidR="00811B0A">
      <w:rPr>
        <w:noProof/>
      </w:rPr>
      <w:t>13</w:t>
    </w:r>
    <w:r>
      <w:fldChar w:fldCharType="end"/>
    </w:r>
  </w:p>
  <w:p w:rsidR="00560123" w:rsidRDefault="005601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23" w:rsidRDefault="00560123">
      <w:r>
        <w:separator/>
      </w:r>
    </w:p>
  </w:footnote>
  <w:footnote w:type="continuationSeparator" w:id="0">
    <w:p w:rsidR="00560123" w:rsidRDefault="0056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0"/>
    <w:rsid w:val="0000636B"/>
    <w:rsid w:val="0003584C"/>
    <w:rsid w:val="00050F24"/>
    <w:rsid w:val="00050F26"/>
    <w:rsid w:val="00064548"/>
    <w:rsid w:val="0007184C"/>
    <w:rsid w:val="00073345"/>
    <w:rsid w:val="00076AD2"/>
    <w:rsid w:val="000830B4"/>
    <w:rsid w:val="000A5B07"/>
    <w:rsid w:val="000B67AC"/>
    <w:rsid w:val="000B7DEC"/>
    <w:rsid w:val="000C4B6E"/>
    <w:rsid w:val="000E0A47"/>
    <w:rsid w:val="000E4B4B"/>
    <w:rsid w:val="000F345B"/>
    <w:rsid w:val="000F6CBF"/>
    <w:rsid w:val="00101EFB"/>
    <w:rsid w:val="001020D5"/>
    <w:rsid w:val="001067FC"/>
    <w:rsid w:val="00112281"/>
    <w:rsid w:val="00132612"/>
    <w:rsid w:val="00132773"/>
    <w:rsid w:val="00133444"/>
    <w:rsid w:val="0013642F"/>
    <w:rsid w:val="001367C5"/>
    <w:rsid w:val="0014165F"/>
    <w:rsid w:val="00147A03"/>
    <w:rsid w:val="00164F58"/>
    <w:rsid w:val="00165A68"/>
    <w:rsid w:val="00166043"/>
    <w:rsid w:val="00170E5D"/>
    <w:rsid w:val="00187ED0"/>
    <w:rsid w:val="001A198E"/>
    <w:rsid w:val="001B3E94"/>
    <w:rsid w:val="001C7E99"/>
    <w:rsid w:val="001D0403"/>
    <w:rsid w:val="001D07D4"/>
    <w:rsid w:val="001F3345"/>
    <w:rsid w:val="001F665B"/>
    <w:rsid w:val="00213B90"/>
    <w:rsid w:val="0022431A"/>
    <w:rsid w:val="002266E5"/>
    <w:rsid w:val="002271AF"/>
    <w:rsid w:val="00237E32"/>
    <w:rsid w:val="0024381D"/>
    <w:rsid w:val="00252118"/>
    <w:rsid w:val="00254CAD"/>
    <w:rsid w:val="00256EDA"/>
    <w:rsid w:val="00275D9E"/>
    <w:rsid w:val="002769B4"/>
    <w:rsid w:val="002829C5"/>
    <w:rsid w:val="00287B9E"/>
    <w:rsid w:val="002A1AEF"/>
    <w:rsid w:val="002A69DD"/>
    <w:rsid w:val="002C0EC5"/>
    <w:rsid w:val="002C25AA"/>
    <w:rsid w:val="002C571B"/>
    <w:rsid w:val="002F09F4"/>
    <w:rsid w:val="002F5E8B"/>
    <w:rsid w:val="00313143"/>
    <w:rsid w:val="00314C8A"/>
    <w:rsid w:val="00317527"/>
    <w:rsid w:val="003215D7"/>
    <w:rsid w:val="00322A72"/>
    <w:rsid w:val="00326E16"/>
    <w:rsid w:val="0034795F"/>
    <w:rsid w:val="00361E6F"/>
    <w:rsid w:val="00363685"/>
    <w:rsid w:val="00371661"/>
    <w:rsid w:val="003753D4"/>
    <w:rsid w:val="003A0344"/>
    <w:rsid w:val="003B193D"/>
    <w:rsid w:val="003B7DEA"/>
    <w:rsid w:val="003C2D79"/>
    <w:rsid w:val="003C553D"/>
    <w:rsid w:val="003D039F"/>
    <w:rsid w:val="003D3B07"/>
    <w:rsid w:val="003E088E"/>
    <w:rsid w:val="003E095F"/>
    <w:rsid w:val="003E33E1"/>
    <w:rsid w:val="00402B15"/>
    <w:rsid w:val="00403A2B"/>
    <w:rsid w:val="00451DAB"/>
    <w:rsid w:val="004558E8"/>
    <w:rsid w:val="00457CA0"/>
    <w:rsid w:val="004638C2"/>
    <w:rsid w:val="00470B20"/>
    <w:rsid w:val="00485333"/>
    <w:rsid w:val="00487C0D"/>
    <w:rsid w:val="0049504F"/>
    <w:rsid w:val="004A38E6"/>
    <w:rsid w:val="004B002C"/>
    <w:rsid w:val="004B0EAE"/>
    <w:rsid w:val="004B70E8"/>
    <w:rsid w:val="004C3AAB"/>
    <w:rsid w:val="004F08C6"/>
    <w:rsid w:val="004F0F95"/>
    <w:rsid w:val="00500857"/>
    <w:rsid w:val="00533239"/>
    <w:rsid w:val="00541FF4"/>
    <w:rsid w:val="0054288A"/>
    <w:rsid w:val="00553F6E"/>
    <w:rsid w:val="00560123"/>
    <w:rsid w:val="00562104"/>
    <w:rsid w:val="00565838"/>
    <w:rsid w:val="0057157F"/>
    <w:rsid w:val="005765B2"/>
    <w:rsid w:val="0058189D"/>
    <w:rsid w:val="0058385B"/>
    <w:rsid w:val="0059247E"/>
    <w:rsid w:val="005A07CF"/>
    <w:rsid w:val="005A2895"/>
    <w:rsid w:val="005A4B67"/>
    <w:rsid w:val="005B589C"/>
    <w:rsid w:val="005B707D"/>
    <w:rsid w:val="005C03E0"/>
    <w:rsid w:val="005D35F0"/>
    <w:rsid w:val="005D38F4"/>
    <w:rsid w:val="005D4D1D"/>
    <w:rsid w:val="005D5370"/>
    <w:rsid w:val="005E0A56"/>
    <w:rsid w:val="005E134B"/>
    <w:rsid w:val="005E2711"/>
    <w:rsid w:val="005E2AE6"/>
    <w:rsid w:val="005E2C10"/>
    <w:rsid w:val="005E409F"/>
    <w:rsid w:val="0060182B"/>
    <w:rsid w:val="00612917"/>
    <w:rsid w:val="0062243B"/>
    <w:rsid w:val="006275C1"/>
    <w:rsid w:val="00632D5B"/>
    <w:rsid w:val="006466BE"/>
    <w:rsid w:val="00662D4F"/>
    <w:rsid w:val="006661B9"/>
    <w:rsid w:val="00675FC1"/>
    <w:rsid w:val="00684F8A"/>
    <w:rsid w:val="00686CAD"/>
    <w:rsid w:val="00687565"/>
    <w:rsid w:val="00692E24"/>
    <w:rsid w:val="00693DB9"/>
    <w:rsid w:val="006948EC"/>
    <w:rsid w:val="0069572F"/>
    <w:rsid w:val="006963A2"/>
    <w:rsid w:val="006A1B49"/>
    <w:rsid w:val="006B073C"/>
    <w:rsid w:val="006B438F"/>
    <w:rsid w:val="006C02DC"/>
    <w:rsid w:val="006C0FC4"/>
    <w:rsid w:val="006D61D8"/>
    <w:rsid w:val="006E1888"/>
    <w:rsid w:val="006E35DB"/>
    <w:rsid w:val="006E7D50"/>
    <w:rsid w:val="006F0C46"/>
    <w:rsid w:val="00701D7A"/>
    <w:rsid w:val="0073369E"/>
    <w:rsid w:val="00734337"/>
    <w:rsid w:val="007369BD"/>
    <w:rsid w:val="00740CE4"/>
    <w:rsid w:val="00745FFA"/>
    <w:rsid w:val="00747214"/>
    <w:rsid w:val="00751DD5"/>
    <w:rsid w:val="00756328"/>
    <w:rsid w:val="00763513"/>
    <w:rsid w:val="0077447C"/>
    <w:rsid w:val="00776301"/>
    <w:rsid w:val="00792131"/>
    <w:rsid w:val="007A57F1"/>
    <w:rsid w:val="007D56FB"/>
    <w:rsid w:val="007E4E0F"/>
    <w:rsid w:val="007F1D6A"/>
    <w:rsid w:val="00807199"/>
    <w:rsid w:val="00811B0A"/>
    <w:rsid w:val="00840297"/>
    <w:rsid w:val="0084042F"/>
    <w:rsid w:val="00842615"/>
    <w:rsid w:val="00842EBB"/>
    <w:rsid w:val="00846589"/>
    <w:rsid w:val="00846A51"/>
    <w:rsid w:val="00856D98"/>
    <w:rsid w:val="00867921"/>
    <w:rsid w:val="00876B9E"/>
    <w:rsid w:val="00877C39"/>
    <w:rsid w:val="00892E5F"/>
    <w:rsid w:val="00892F2E"/>
    <w:rsid w:val="00893A23"/>
    <w:rsid w:val="00893BBB"/>
    <w:rsid w:val="008A35F1"/>
    <w:rsid w:val="008B3C3D"/>
    <w:rsid w:val="008C1B75"/>
    <w:rsid w:val="008E294D"/>
    <w:rsid w:val="008F0FDF"/>
    <w:rsid w:val="008F300C"/>
    <w:rsid w:val="00903C91"/>
    <w:rsid w:val="009118AE"/>
    <w:rsid w:val="0091465D"/>
    <w:rsid w:val="0091515F"/>
    <w:rsid w:val="00926661"/>
    <w:rsid w:val="00953539"/>
    <w:rsid w:val="00962087"/>
    <w:rsid w:val="00971D00"/>
    <w:rsid w:val="00975CA3"/>
    <w:rsid w:val="009917A4"/>
    <w:rsid w:val="009B1EC6"/>
    <w:rsid w:val="009B5124"/>
    <w:rsid w:val="009B526F"/>
    <w:rsid w:val="009B7258"/>
    <w:rsid w:val="009C158D"/>
    <w:rsid w:val="009C1694"/>
    <w:rsid w:val="009C2CDE"/>
    <w:rsid w:val="009D759C"/>
    <w:rsid w:val="009F6198"/>
    <w:rsid w:val="00A0368F"/>
    <w:rsid w:val="00A072B7"/>
    <w:rsid w:val="00A30817"/>
    <w:rsid w:val="00A37713"/>
    <w:rsid w:val="00A61663"/>
    <w:rsid w:val="00A61803"/>
    <w:rsid w:val="00A82EBF"/>
    <w:rsid w:val="00A85460"/>
    <w:rsid w:val="00A85799"/>
    <w:rsid w:val="00A8624A"/>
    <w:rsid w:val="00A96231"/>
    <w:rsid w:val="00AA039F"/>
    <w:rsid w:val="00AB52DA"/>
    <w:rsid w:val="00AB61CE"/>
    <w:rsid w:val="00AC28B7"/>
    <w:rsid w:val="00AF278D"/>
    <w:rsid w:val="00B036A3"/>
    <w:rsid w:val="00B052AB"/>
    <w:rsid w:val="00B0774E"/>
    <w:rsid w:val="00B14CDB"/>
    <w:rsid w:val="00B35AFD"/>
    <w:rsid w:val="00B4219D"/>
    <w:rsid w:val="00B443E3"/>
    <w:rsid w:val="00B54E23"/>
    <w:rsid w:val="00B61375"/>
    <w:rsid w:val="00B61A5D"/>
    <w:rsid w:val="00B86FC2"/>
    <w:rsid w:val="00BA3233"/>
    <w:rsid w:val="00BB3EA6"/>
    <w:rsid w:val="00BB767B"/>
    <w:rsid w:val="00BF1868"/>
    <w:rsid w:val="00C10354"/>
    <w:rsid w:val="00C146DF"/>
    <w:rsid w:val="00C168E2"/>
    <w:rsid w:val="00C226AA"/>
    <w:rsid w:val="00C2373E"/>
    <w:rsid w:val="00C24658"/>
    <w:rsid w:val="00C27593"/>
    <w:rsid w:val="00C44E68"/>
    <w:rsid w:val="00C61478"/>
    <w:rsid w:val="00C633DE"/>
    <w:rsid w:val="00C63BB8"/>
    <w:rsid w:val="00C708F7"/>
    <w:rsid w:val="00C71FF3"/>
    <w:rsid w:val="00C7323C"/>
    <w:rsid w:val="00C82B44"/>
    <w:rsid w:val="00CA3A3C"/>
    <w:rsid w:val="00CB0442"/>
    <w:rsid w:val="00CB204C"/>
    <w:rsid w:val="00CB3811"/>
    <w:rsid w:val="00CC1D90"/>
    <w:rsid w:val="00CD5B1C"/>
    <w:rsid w:val="00CD6654"/>
    <w:rsid w:val="00CE70E6"/>
    <w:rsid w:val="00CF4208"/>
    <w:rsid w:val="00D00277"/>
    <w:rsid w:val="00D01F3B"/>
    <w:rsid w:val="00D02FAD"/>
    <w:rsid w:val="00D065D6"/>
    <w:rsid w:val="00D11C5E"/>
    <w:rsid w:val="00D270A8"/>
    <w:rsid w:val="00D32725"/>
    <w:rsid w:val="00D338A3"/>
    <w:rsid w:val="00D40DF6"/>
    <w:rsid w:val="00D41C77"/>
    <w:rsid w:val="00D543D5"/>
    <w:rsid w:val="00D5594A"/>
    <w:rsid w:val="00D7562A"/>
    <w:rsid w:val="00D75CD5"/>
    <w:rsid w:val="00D82767"/>
    <w:rsid w:val="00D955F0"/>
    <w:rsid w:val="00DA3124"/>
    <w:rsid w:val="00DA46D3"/>
    <w:rsid w:val="00DC0B42"/>
    <w:rsid w:val="00DC36E6"/>
    <w:rsid w:val="00DD29E0"/>
    <w:rsid w:val="00DD781D"/>
    <w:rsid w:val="00DE152B"/>
    <w:rsid w:val="00DF536B"/>
    <w:rsid w:val="00E1461D"/>
    <w:rsid w:val="00E213E5"/>
    <w:rsid w:val="00E23581"/>
    <w:rsid w:val="00E3304D"/>
    <w:rsid w:val="00E34E14"/>
    <w:rsid w:val="00E35011"/>
    <w:rsid w:val="00E37A38"/>
    <w:rsid w:val="00E43C73"/>
    <w:rsid w:val="00E471CE"/>
    <w:rsid w:val="00E47582"/>
    <w:rsid w:val="00E535A9"/>
    <w:rsid w:val="00E570F9"/>
    <w:rsid w:val="00E61B11"/>
    <w:rsid w:val="00E61CC9"/>
    <w:rsid w:val="00E62054"/>
    <w:rsid w:val="00E9040F"/>
    <w:rsid w:val="00EA5089"/>
    <w:rsid w:val="00EA53E9"/>
    <w:rsid w:val="00EB46D2"/>
    <w:rsid w:val="00EB5349"/>
    <w:rsid w:val="00ED008E"/>
    <w:rsid w:val="00EE305E"/>
    <w:rsid w:val="00F118DA"/>
    <w:rsid w:val="00F16A54"/>
    <w:rsid w:val="00F17401"/>
    <w:rsid w:val="00F2699C"/>
    <w:rsid w:val="00F44E08"/>
    <w:rsid w:val="00F65E78"/>
    <w:rsid w:val="00F6644C"/>
    <w:rsid w:val="00F666B6"/>
    <w:rsid w:val="00F66708"/>
    <w:rsid w:val="00F675BC"/>
    <w:rsid w:val="00F76841"/>
    <w:rsid w:val="00F8359F"/>
    <w:rsid w:val="00F918EA"/>
    <w:rsid w:val="00F959D9"/>
    <w:rsid w:val="00FD07BE"/>
    <w:rsid w:val="00FD2C03"/>
    <w:rsid w:val="00FD353A"/>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oca/13tabl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651BF3CC</Template>
  <TotalTime>1</TotalTime>
  <Pages>13</Pages>
  <Words>4878</Words>
  <Characters>27809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32622</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cp:lastModifiedBy>
  <cp:revision>2</cp:revision>
  <cp:lastPrinted>2013-08-20T21:35:00Z</cp:lastPrinted>
  <dcterms:created xsi:type="dcterms:W3CDTF">2013-10-28T16:42:00Z</dcterms:created>
  <dcterms:modified xsi:type="dcterms:W3CDTF">2013-10-28T16:42:00Z</dcterms:modified>
</cp:coreProperties>
</file>