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6F2" w:rsidRPr="00C34999" w:rsidRDefault="005226F2" w:rsidP="005226F2">
      <w:pPr>
        <w:tabs>
          <w:tab w:val="right" w:pos="2520"/>
          <w:tab w:val="left" w:pos="2880"/>
        </w:tabs>
        <w:rPr>
          <w:rFonts w:ascii="Verdana" w:hAnsi="Verdana"/>
          <w:smallCaps/>
          <w:sz w:val="20"/>
          <w:szCs w:val="20"/>
        </w:rPr>
      </w:pPr>
      <w:r>
        <w:rPr>
          <w:rFonts w:ascii="Verdana" w:hAnsi="Verdana"/>
          <w:b/>
          <w:smallCaps/>
        </w:rPr>
        <w:tab/>
      </w:r>
      <w:r w:rsidRPr="00D11D14">
        <w:rPr>
          <w:rFonts w:ascii="Verdana" w:hAnsi="Verdana"/>
          <w:b/>
          <w:smallCaps/>
        </w:rPr>
        <w:t>date:</w:t>
      </w:r>
      <w:r w:rsidRPr="00C34999">
        <w:rPr>
          <w:rFonts w:ascii="Verdana" w:hAnsi="Verdana"/>
          <w:b/>
          <w:smallCaps/>
          <w:sz w:val="20"/>
          <w:szCs w:val="20"/>
        </w:rPr>
        <w:tab/>
      </w:r>
      <w:r>
        <w:rPr>
          <w:rFonts w:ascii="Verdana" w:hAnsi="Verdana"/>
          <w:smallCaps/>
          <w:sz w:val="20"/>
          <w:szCs w:val="20"/>
        </w:rPr>
        <w:t xml:space="preserve">June </w:t>
      </w:r>
      <w:r w:rsidR="00240630">
        <w:rPr>
          <w:rFonts w:ascii="Verdana" w:hAnsi="Verdana"/>
          <w:smallCaps/>
          <w:sz w:val="20"/>
          <w:szCs w:val="20"/>
        </w:rPr>
        <w:t>6</w:t>
      </w:r>
      <w:r>
        <w:rPr>
          <w:rFonts w:ascii="Verdana" w:hAnsi="Verdana"/>
          <w:smallCaps/>
          <w:sz w:val="20"/>
          <w:szCs w:val="20"/>
        </w:rPr>
        <w:t>,</w:t>
      </w:r>
      <w:r w:rsidRPr="00C34999">
        <w:rPr>
          <w:rFonts w:ascii="Verdana" w:hAnsi="Verdana"/>
          <w:smallCaps/>
          <w:sz w:val="20"/>
          <w:szCs w:val="20"/>
        </w:rPr>
        <w:t xml:space="preserve"> 20</w:t>
      </w:r>
      <w:r>
        <w:rPr>
          <w:rFonts w:ascii="Verdana" w:hAnsi="Verdana"/>
          <w:smallCaps/>
          <w:sz w:val="20"/>
          <w:szCs w:val="20"/>
        </w:rPr>
        <w:t>12</w:t>
      </w:r>
    </w:p>
    <w:p w:rsidR="005226F2" w:rsidRPr="00C34999" w:rsidRDefault="005226F2" w:rsidP="005226F2">
      <w:pPr>
        <w:tabs>
          <w:tab w:val="right" w:pos="2520"/>
          <w:tab w:val="left" w:pos="2880"/>
        </w:tabs>
        <w:spacing w:before="200"/>
        <w:rPr>
          <w:rFonts w:ascii="Verdana" w:hAnsi="Verdana"/>
          <w:i/>
          <w:sz w:val="20"/>
          <w:szCs w:val="20"/>
        </w:rPr>
      </w:pPr>
      <w:r w:rsidRPr="00C34999">
        <w:rPr>
          <w:rFonts w:ascii="Verdana" w:hAnsi="Verdana"/>
          <w:b/>
          <w:smallCaps/>
          <w:sz w:val="20"/>
          <w:szCs w:val="20"/>
        </w:rPr>
        <w:tab/>
      </w:r>
      <w:r w:rsidRPr="00D11D14">
        <w:rPr>
          <w:rFonts w:ascii="Verdana" w:hAnsi="Verdana"/>
          <w:b/>
          <w:smallCaps/>
        </w:rPr>
        <w:t xml:space="preserve">memorandum </w:t>
      </w:r>
      <w:r>
        <w:rPr>
          <w:rFonts w:ascii="Verdana" w:hAnsi="Verdana"/>
          <w:b/>
          <w:smallCaps/>
        </w:rPr>
        <w:t>to</w:t>
      </w:r>
      <w:r w:rsidRPr="00C34999">
        <w:rPr>
          <w:rFonts w:ascii="Verdana" w:hAnsi="Verdana"/>
          <w:b/>
          <w:smallCaps/>
          <w:sz w:val="20"/>
          <w:szCs w:val="20"/>
        </w:rPr>
        <w:t>:</w:t>
      </w:r>
      <w:r w:rsidRPr="00C34999">
        <w:rPr>
          <w:rFonts w:ascii="Verdana" w:hAnsi="Verdana"/>
          <w:smallCaps/>
          <w:sz w:val="20"/>
          <w:szCs w:val="20"/>
        </w:rPr>
        <w:tab/>
      </w:r>
      <w:r w:rsidR="00240630">
        <w:rPr>
          <w:rFonts w:ascii="Verdana" w:hAnsi="Verdana"/>
          <w:smallCaps/>
          <w:color w:val="000080"/>
          <w:sz w:val="20"/>
          <w:szCs w:val="20"/>
        </w:rPr>
        <w:t>Reviewer of 1220-0044</w:t>
      </w:r>
      <w:r>
        <w:rPr>
          <w:rFonts w:ascii="Verdana" w:hAnsi="Verdana"/>
          <w:smallCaps/>
          <w:color w:val="000080"/>
          <w:sz w:val="20"/>
          <w:szCs w:val="20"/>
        </w:rPr>
        <w:t xml:space="preserve"> </w:t>
      </w:r>
    </w:p>
    <w:p w:rsidR="005226F2" w:rsidRPr="00C34999" w:rsidRDefault="00240630" w:rsidP="005226F2">
      <w:pPr>
        <w:tabs>
          <w:tab w:val="right" w:pos="2520"/>
          <w:tab w:val="left" w:pos="2880"/>
        </w:tabs>
        <w:rPr>
          <w:rFonts w:ascii="Verdana" w:hAnsi="Verdana"/>
          <w:i/>
          <w:sz w:val="20"/>
          <w:szCs w:val="20"/>
        </w:rPr>
      </w:pPr>
      <w:r>
        <w:rPr>
          <w:rFonts w:ascii="Verdana" w:hAnsi="Verdana"/>
          <w:i/>
          <w:sz w:val="20"/>
          <w:szCs w:val="20"/>
        </w:rPr>
        <w:tab/>
      </w:r>
      <w:r>
        <w:rPr>
          <w:rFonts w:ascii="Verdana" w:hAnsi="Verdana"/>
          <w:i/>
          <w:sz w:val="20"/>
          <w:szCs w:val="20"/>
        </w:rPr>
        <w:tab/>
        <w:t>Office of Management and Budget</w:t>
      </w:r>
    </w:p>
    <w:p w:rsidR="005226F2" w:rsidRPr="00C34999" w:rsidRDefault="005226F2" w:rsidP="005226F2">
      <w:pPr>
        <w:tabs>
          <w:tab w:val="right" w:pos="2520"/>
          <w:tab w:val="left" w:pos="2880"/>
        </w:tabs>
        <w:spacing w:before="200"/>
        <w:rPr>
          <w:rFonts w:ascii="Verdana" w:hAnsi="Verdana"/>
          <w:smallCaps/>
          <w:color w:val="000080"/>
          <w:sz w:val="20"/>
          <w:szCs w:val="20"/>
        </w:rPr>
      </w:pPr>
      <w:r w:rsidRPr="00C34999">
        <w:rPr>
          <w:rFonts w:ascii="Verdana" w:hAnsi="Verdana"/>
          <w:b/>
          <w:smallCaps/>
          <w:sz w:val="20"/>
          <w:szCs w:val="20"/>
        </w:rPr>
        <w:tab/>
      </w:r>
      <w:r w:rsidRPr="00D11D14">
        <w:rPr>
          <w:rFonts w:ascii="Verdana" w:hAnsi="Verdana"/>
          <w:b/>
          <w:smallCaps/>
        </w:rPr>
        <w:t>memorandum from</w:t>
      </w:r>
      <w:r w:rsidRPr="00C34999">
        <w:rPr>
          <w:rFonts w:ascii="Verdana" w:hAnsi="Verdana"/>
          <w:b/>
          <w:smallCaps/>
          <w:sz w:val="20"/>
          <w:szCs w:val="20"/>
        </w:rPr>
        <w:t>:</w:t>
      </w:r>
      <w:r w:rsidRPr="00C34999">
        <w:rPr>
          <w:rFonts w:ascii="Verdana" w:hAnsi="Verdana"/>
          <w:smallCaps/>
          <w:sz w:val="20"/>
          <w:szCs w:val="20"/>
        </w:rPr>
        <w:tab/>
      </w:r>
      <w:r>
        <w:rPr>
          <w:rFonts w:ascii="Verdana" w:hAnsi="Verdana"/>
          <w:smallCaps/>
          <w:color w:val="000080"/>
          <w:sz w:val="20"/>
          <w:szCs w:val="20"/>
        </w:rPr>
        <w:t xml:space="preserve">Anya Stockburger, </w:t>
      </w:r>
      <w:r>
        <w:rPr>
          <w:rFonts w:ascii="Verdana" w:hAnsi="Verdana"/>
          <w:color w:val="000080"/>
          <w:sz w:val="18"/>
          <w:szCs w:val="18"/>
        </w:rPr>
        <w:t>Section</w:t>
      </w:r>
      <w:r w:rsidRPr="00C81623">
        <w:rPr>
          <w:rFonts w:ascii="Verdana" w:hAnsi="Verdana"/>
          <w:color w:val="000080"/>
          <w:sz w:val="18"/>
          <w:szCs w:val="18"/>
        </w:rPr>
        <w:t xml:space="preserve"> Chief</w:t>
      </w:r>
    </w:p>
    <w:p w:rsidR="005226F2" w:rsidRDefault="005226F2" w:rsidP="005226F2">
      <w:pPr>
        <w:pStyle w:val="Heading7"/>
        <w:rPr>
          <w:rFonts w:ascii="Verdana" w:hAnsi="Verdana"/>
          <w:sz w:val="20"/>
          <w:szCs w:val="20"/>
        </w:rPr>
      </w:pPr>
      <w:r w:rsidRPr="00C34999">
        <w:rPr>
          <w:rFonts w:ascii="Verdana" w:hAnsi="Verdana"/>
          <w:sz w:val="20"/>
          <w:szCs w:val="20"/>
        </w:rPr>
        <w:tab/>
      </w:r>
      <w:r w:rsidRPr="00C34999">
        <w:rPr>
          <w:rFonts w:ascii="Verdana" w:hAnsi="Verdana"/>
          <w:sz w:val="20"/>
          <w:szCs w:val="20"/>
        </w:rPr>
        <w:tab/>
      </w:r>
      <w:r>
        <w:rPr>
          <w:rFonts w:ascii="Verdana" w:hAnsi="Verdana"/>
          <w:sz w:val="20"/>
          <w:szCs w:val="20"/>
        </w:rPr>
        <w:t>Cost Weights Section</w:t>
      </w:r>
    </w:p>
    <w:p w:rsidR="005226F2" w:rsidRPr="00C34999" w:rsidRDefault="005226F2" w:rsidP="005226F2">
      <w:pPr>
        <w:pStyle w:val="Heading7"/>
        <w:rPr>
          <w:rFonts w:ascii="Verdana" w:hAnsi="Verdana"/>
          <w:sz w:val="20"/>
          <w:szCs w:val="20"/>
        </w:rPr>
      </w:pPr>
      <w:r>
        <w:rPr>
          <w:rFonts w:ascii="Verdana" w:hAnsi="Verdana"/>
          <w:sz w:val="20"/>
          <w:szCs w:val="20"/>
        </w:rPr>
        <w:tab/>
      </w:r>
      <w:r>
        <w:rPr>
          <w:rFonts w:ascii="Verdana" w:hAnsi="Verdana"/>
          <w:sz w:val="20"/>
          <w:szCs w:val="20"/>
        </w:rPr>
        <w:tab/>
        <w:t>Branch of Revision Methodology</w:t>
      </w:r>
    </w:p>
    <w:p w:rsidR="005226F2" w:rsidRDefault="005226F2" w:rsidP="005226F2">
      <w:pPr>
        <w:tabs>
          <w:tab w:val="right" w:pos="2520"/>
          <w:tab w:val="left" w:pos="2880"/>
        </w:tabs>
        <w:rPr>
          <w:rFonts w:ascii="Verdana" w:hAnsi="Verdana"/>
          <w:i/>
          <w:sz w:val="20"/>
          <w:szCs w:val="20"/>
        </w:rPr>
      </w:pPr>
      <w:r w:rsidRPr="00C34999">
        <w:rPr>
          <w:rFonts w:ascii="Verdana" w:hAnsi="Verdana"/>
          <w:color w:val="000080"/>
          <w:sz w:val="20"/>
          <w:szCs w:val="20"/>
        </w:rPr>
        <w:tab/>
      </w:r>
      <w:r w:rsidRPr="00C34999">
        <w:rPr>
          <w:rFonts w:ascii="Verdana" w:hAnsi="Verdana"/>
          <w:color w:val="000080"/>
          <w:sz w:val="20"/>
          <w:szCs w:val="20"/>
        </w:rPr>
        <w:tab/>
      </w:r>
      <w:r w:rsidRPr="00C34999">
        <w:rPr>
          <w:rFonts w:ascii="Verdana" w:hAnsi="Verdana"/>
          <w:i/>
          <w:sz w:val="20"/>
          <w:szCs w:val="20"/>
        </w:rPr>
        <w:t>Division of Consumer Prices and Price Indexes</w:t>
      </w:r>
    </w:p>
    <w:p w:rsidR="005226F2" w:rsidRDefault="005226F2" w:rsidP="005226F2">
      <w:pPr>
        <w:tabs>
          <w:tab w:val="right" w:pos="2520"/>
          <w:tab w:val="left" w:pos="2880"/>
        </w:tabs>
        <w:rPr>
          <w:rFonts w:ascii="Verdana" w:hAnsi="Verdana"/>
          <w:i/>
          <w:sz w:val="20"/>
          <w:szCs w:val="20"/>
        </w:rPr>
      </w:pPr>
    </w:p>
    <w:p w:rsidR="005226F2" w:rsidRPr="005226F2" w:rsidRDefault="005226F2" w:rsidP="005226F2">
      <w:pPr>
        <w:ind w:left="2880" w:hanging="1440"/>
        <w:rPr>
          <w:rFonts w:ascii="Verdana" w:hAnsi="Verdana"/>
        </w:rPr>
      </w:pPr>
      <w:r w:rsidRPr="00D11D14">
        <w:rPr>
          <w:rFonts w:ascii="Verdana" w:hAnsi="Verdana"/>
          <w:b/>
          <w:smallCaps/>
        </w:rPr>
        <w:t>subject</w:t>
      </w:r>
      <w:r w:rsidRPr="00C34999">
        <w:rPr>
          <w:rFonts w:ascii="Verdana" w:hAnsi="Verdana"/>
          <w:b/>
          <w:smallCaps/>
          <w:sz w:val="20"/>
          <w:szCs w:val="20"/>
        </w:rPr>
        <w:t>:</w:t>
      </w:r>
      <w:r w:rsidRPr="00C34999">
        <w:rPr>
          <w:rFonts w:ascii="Verdana" w:hAnsi="Verdana"/>
          <w:smallCaps/>
          <w:sz w:val="20"/>
          <w:szCs w:val="20"/>
        </w:rPr>
        <w:tab/>
      </w:r>
      <w:r w:rsidRPr="005226F2">
        <w:rPr>
          <w:rFonts w:ascii="Verdana" w:hAnsi="Verdana"/>
          <w:sz w:val="20"/>
          <w:szCs w:val="20"/>
        </w:rPr>
        <w:t>Update on the Telephone Point of Purchase Survey cell phone frame planning</w:t>
      </w:r>
    </w:p>
    <w:p w:rsidR="005226F2" w:rsidRPr="005226F2" w:rsidRDefault="005226F2" w:rsidP="005226F2">
      <w:pPr>
        <w:tabs>
          <w:tab w:val="right" w:pos="2520"/>
          <w:tab w:val="left" w:pos="2880"/>
        </w:tabs>
        <w:spacing w:before="200"/>
        <w:ind w:left="2880" w:hanging="2880"/>
        <w:rPr>
          <w:rFonts w:ascii="Verdana" w:hAnsi="Verdana"/>
          <w:sz w:val="20"/>
          <w:szCs w:val="20"/>
        </w:rPr>
      </w:pPr>
    </w:p>
    <w:p w:rsidR="005226F2" w:rsidRPr="00C81623" w:rsidRDefault="005226F2" w:rsidP="005226F2">
      <w:pPr>
        <w:tabs>
          <w:tab w:val="left" w:pos="720"/>
          <w:tab w:val="right" w:pos="7920"/>
        </w:tabs>
        <w:rPr>
          <w:rFonts w:ascii="Verdana" w:hAnsi="Verdana"/>
          <w:sz w:val="20"/>
          <w:szCs w:val="20"/>
          <w:u w:val="single"/>
        </w:rPr>
      </w:pPr>
      <w:r>
        <w:rPr>
          <w:rFonts w:ascii="Verdana" w:hAnsi="Verdana"/>
          <w:sz w:val="20"/>
          <w:szCs w:val="20"/>
        </w:rPr>
        <w:tab/>
      </w:r>
      <w:r w:rsidRPr="00C81623">
        <w:rPr>
          <w:rFonts w:ascii="Verdana" w:hAnsi="Verdana"/>
          <w:sz w:val="20"/>
          <w:szCs w:val="20"/>
          <w:u w:val="single"/>
        </w:rPr>
        <w:tab/>
      </w:r>
    </w:p>
    <w:p w:rsidR="005226F2" w:rsidRDefault="005226F2" w:rsidP="00BF61AA">
      <w:pPr>
        <w:jc w:val="center"/>
        <w:rPr>
          <w:b/>
        </w:rPr>
      </w:pPr>
    </w:p>
    <w:p w:rsidR="00370197" w:rsidRPr="001E4206" w:rsidRDefault="00587672" w:rsidP="00370197">
      <w:pPr>
        <w:pStyle w:val="ListParagraph"/>
        <w:ind w:left="0"/>
        <w:rPr>
          <w:b/>
        </w:rPr>
      </w:pPr>
      <w:r w:rsidRPr="001E4206">
        <w:rPr>
          <w:b/>
        </w:rPr>
        <w:t>EXECUTIVE SUMMARY</w:t>
      </w:r>
    </w:p>
    <w:p w:rsidR="003C02EA" w:rsidRPr="001E4206" w:rsidRDefault="004D1A3B">
      <w:pPr>
        <w:autoSpaceDE w:val="0"/>
        <w:autoSpaceDN w:val="0"/>
        <w:adjustRightInd w:val="0"/>
        <w:spacing w:line="240" w:lineRule="auto"/>
      </w:pPr>
      <w:r w:rsidRPr="001E4206">
        <w:t xml:space="preserve">Pursuant to the </w:t>
      </w:r>
      <w:r w:rsidR="0097088A" w:rsidRPr="001E4206">
        <w:t>terms of clearance</w:t>
      </w:r>
      <w:r w:rsidRPr="001E4206">
        <w:t xml:space="preserve"> of the current OMB </w:t>
      </w:r>
      <w:r w:rsidR="0097088A" w:rsidRPr="001E4206">
        <w:t>approval</w:t>
      </w:r>
      <w:r w:rsidRPr="001E4206">
        <w:t xml:space="preserve"> for the Telephone Point of Purchase</w:t>
      </w:r>
      <w:r w:rsidR="0097088A" w:rsidRPr="001E4206">
        <w:t xml:space="preserve"> Survey (TPOPS</w:t>
      </w:r>
      <w:r w:rsidR="00163D27" w:rsidRPr="001E4206">
        <w:t>)</w:t>
      </w:r>
      <w:r w:rsidR="0097088A" w:rsidRPr="001E4206">
        <w:t xml:space="preserve">, </w:t>
      </w:r>
      <w:r w:rsidRPr="001E4206">
        <w:t xml:space="preserve"> </w:t>
      </w:r>
      <w:r w:rsidR="0097088A" w:rsidRPr="001E4206">
        <w:t xml:space="preserve">OMB Control Number 1220-0044,  this report (1) summarizes the results of </w:t>
      </w:r>
      <w:r w:rsidR="00163D27" w:rsidRPr="001E4206">
        <w:t xml:space="preserve">a </w:t>
      </w:r>
      <w:r w:rsidR="001143B2">
        <w:t>cell phone</w:t>
      </w:r>
      <w:r w:rsidR="00163D27" w:rsidRPr="001E4206">
        <w:t xml:space="preserve"> frame test conducted in FY11, and (2) provides additional information on the </w:t>
      </w:r>
      <w:r w:rsidR="000E7C3A">
        <w:t xml:space="preserve">dual frame design </w:t>
      </w:r>
      <w:r w:rsidR="00CD6B96">
        <w:t xml:space="preserve">being further tested </w:t>
      </w:r>
      <w:r w:rsidR="00163D27" w:rsidRPr="001E4206">
        <w:t>in FY12</w:t>
      </w:r>
      <w:r w:rsidR="00CD6B96">
        <w:t>.</w:t>
      </w:r>
    </w:p>
    <w:p w:rsidR="003C02EA" w:rsidRPr="001E4206" w:rsidRDefault="003C02EA">
      <w:pPr>
        <w:autoSpaceDE w:val="0"/>
        <w:autoSpaceDN w:val="0"/>
        <w:adjustRightInd w:val="0"/>
        <w:spacing w:line="240" w:lineRule="auto"/>
      </w:pPr>
    </w:p>
    <w:p w:rsidR="003C02EA" w:rsidRDefault="00163D27">
      <w:pPr>
        <w:autoSpaceDE w:val="0"/>
        <w:autoSpaceDN w:val="0"/>
        <w:adjustRightInd w:val="0"/>
        <w:spacing w:line="240" w:lineRule="auto"/>
      </w:pPr>
      <w:r w:rsidRPr="001E4206">
        <w:t>Since its inception in 1997, the TPOPS survey has been administered exclusively using a random-digit-dial (RDD) sample drawn from a frame of landline telephone numbers. Based on the</w:t>
      </w:r>
      <w:r w:rsidR="004F5FF7" w:rsidRPr="001E4206">
        <w:t xml:space="preserve"> results of</w:t>
      </w:r>
      <w:r w:rsidR="004F5FF7">
        <w:t xml:space="preserve"> a </w:t>
      </w:r>
      <w:r>
        <w:t xml:space="preserve">recent TPOPS </w:t>
      </w:r>
      <w:r w:rsidR="004F5FF7">
        <w:t xml:space="preserve">non-response bias analysis, the CPI program </w:t>
      </w:r>
      <w:r>
        <w:t>has been evaluating ways to address a perceived weakness of the current TPOPS sample design: notably, the landline sample may not be representative of all U.S. urban consumers.</w:t>
      </w:r>
      <w:r w:rsidR="00365884">
        <w:t xml:space="preserve"> </w:t>
      </w:r>
      <w:r>
        <w:t xml:space="preserve"> One mitigation strategy is to include </w:t>
      </w:r>
      <w:r w:rsidR="001143B2">
        <w:t>cell phone</w:t>
      </w:r>
      <w:r>
        <w:t xml:space="preserve"> numbers in th</w:t>
      </w:r>
      <w:r w:rsidR="00AE15FE">
        <w:t>e</w:t>
      </w:r>
      <w:r>
        <w:t xml:space="preserve"> TPOPS sampling frame. </w:t>
      </w:r>
      <w:r w:rsidR="00AE15FE">
        <w:t xml:space="preserve">  A frame test was conducted in the third quarter of FY11 to </w:t>
      </w:r>
      <w:r w:rsidR="001F3FAB">
        <w:t xml:space="preserve">study </w:t>
      </w:r>
      <w:r w:rsidR="00AE15FE">
        <w:t xml:space="preserve">the quality of a </w:t>
      </w:r>
      <w:r w:rsidR="001143B2">
        <w:t>cell phone</w:t>
      </w:r>
      <w:r w:rsidR="00AE15FE">
        <w:t xml:space="preserve"> frame, the feasibility of administering the survey to </w:t>
      </w:r>
      <w:r w:rsidR="001143B2">
        <w:t>cell phone</w:t>
      </w:r>
      <w:r w:rsidR="00AE15FE">
        <w:t xml:space="preserve"> users, and the willingness of </w:t>
      </w:r>
      <w:r w:rsidR="001143B2">
        <w:t>cell phone</w:t>
      </w:r>
      <w:r w:rsidR="00AE15FE">
        <w:t xml:space="preserve"> users to respond.  The resulting response rate was 18%, less than half of the response rate observed from the landline</w:t>
      </w:r>
      <w:r w:rsidR="0039292B">
        <w:t xml:space="preserve"> sample.</w:t>
      </w:r>
    </w:p>
    <w:p w:rsidR="003C02EA" w:rsidRDefault="003C02EA">
      <w:pPr>
        <w:autoSpaceDE w:val="0"/>
        <w:autoSpaceDN w:val="0"/>
        <w:adjustRightInd w:val="0"/>
        <w:spacing w:line="240" w:lineRule="auto"/>
      </w:pPr>
    </w:p>
    <w:p w:rsidR="003C02EA" w:rsidRDefault="0039292B">
      <w:pPr>
        <w:autoSpaceDE w:val="0"/>
        <w:autoSpaceDN w:val="0"/>
        <w:adjustRightInd w:val="0"/>
        <w:spacing w:line="240" w:lineRule="auto"/>
      </w:pPr>
      <w:r>
        <w:t xml:space="preserve">The percentage of households without landline service is increasing as </w:t>
      </w:r>
      <w:r w:rsidR="001143B2">
        <w:t>cell phone</w:t>
      </w:r>
      <w:r>
        <w:t xml:space="preserve"> use becomes more widespread. According to the </w:t>
      </w:r>
      <w:r w:rsidR="00365884">
        <w:t xml:space="preserve">National Health Interview Survey </w:t>
      </w:r>
      <w:r>
        <w:t>(NHIS), the percentage of U.S. households classified as ‘</w:t>
      </w:r>
      <w:r w:rsidR="001143B2">
        <w:t>wireless</w:t>
      </w:r>
      <w:r>
        <w:t xml:space="preserve"> only’ has increased from less than 5% in 2003 to over 30% in 2011 </w:t>
      </w:r>
      <w:r w:rsidR="00365884">
        <w:t>.</w:t>
      </w:r>
      <w:r w:rsidR="00917572">
        <w:rPr>
          <w:rStyle w:val="FootnoteReference"/>
        </w:rPr>
        <w:footnoteReference w:id="1"/>
      </w:r>
      <w:r>
        <w:t xml:space="preserve">  This statistic alone calls into question the </w:t>
      </w:r>
      <w:r w:rsidR="00F15F67">
        <w:t xml:space="preserve">long term viability </w:t>
      </w:r>
      <w:r>
        <w:t xml:space="preserve"> of a landline only RDD sample, and suggests </w:t>
      </w:r>
      <w:r w:rsidR="005D3B5A">
        <w:t xml:space="preserve">that </w:t>
      </w:r>
      <w:r w:rsidR="001143B2">
        <w:t>cell phone</w:t>
      </w:r>
      <w:r>
        <w:t xml:space="preserve"> numbers be added to the frame </w:t>
      </w:r>
      <w:r w:rsidR="00F15F67">
        <w:t xml:space="preserve">in the </w:t>
      </w:r>
      <w:r w:rsidR="00633610">
        <w:t>near</w:t>
      </w:r>
      <w:r w:rsidR="00F15F67">
        <w:t xml:space="preserve"> future </w:t>
      </w:r>
      <w:r w:rsidR="00EB1BD5">
        <w:t>.</w:t>
      </w:r>
    </w:p>
    <w:p w:rsidR="003C02EA" w:rsidRDefault="003C02EA">
      <w:pPr>
        <w:autoSpaceDE w:val="0"/>
        <w:autoSpaceDN w:val="0"/>
        <w:adjustRightInd w:val="0"/>
        <w:spacing w:line="240" w:lineRule="auto"/>
      </w:pPr>
    </w:p>
    <w:p w:rsidR="003C02EA" w:rsidRDefault="00A51E1D">
      <w:pPr>
        <w:autoSpaceDE w:val="0"/>
        <w:autoSpaceDN w:val="0"/>
        <w:adjustRightInd w:val="0"/>
        <w:spacing w:line="240" w:lineRule="auto"/>
      </w:pPr>
      <w:r>
        <w:t>Because of uncertainty regarding cost</w:t>
      </w:r>
      <w:r w:rsidR="00EB1BD5">
        <w:t xml:space="preserve">, </w:t>
      </w:r>
      <w:r>
        <w:t xml:space="preserve">the </w:t>
      </w:r>
      <w:r w:rsidR="00EB1BD5">
        <w:t xml:space="preserve">BLS plans to begin administering the survey on a dual frame </w:t>
      </w:r>
      <w:r w:rsidR="00CD6B96">
        <w:t>during</w:t>
      </w:r>
      <w:r w:rsidR="00EB1BD5">
        <w:t xml:space="preserve"> the third </w:t>
      </w:r>
      <w:r w:rsidR="00CD6B96">
        <w:t xml:space="preserve">and fourth </w:t>
      </w:r>
      <w:r w:rsidR="00EB1BD5">
        <w:t>quarter</w:t>
      </w:r>
      <w:r w:rsidR="00CD6B96">
        <w:t>s</w:t>
      </w:r>
      <w:r w:rsidR="00EB1BD5">
        <w:t xml:space="preserve"> of FY12 </w:t>
      </w:r>
      <w:r>
        <w:t>to collect additional information on response rates</w:t>
      </w:r>
      <w:r w:rsidR="00EB1BD5">
        <w:t xml:space="preserve">. </w:t>
      </w:r>
      <w:r w:rsidR="00CD6B96">
        <w:t>If the dual fr</w:t>
      </w:r>
      <w:r w:rsidR="00633610">
        <w:t xml:space="preserve">ame </w:t>
      </w:r>
      <w:r w:rsidR="00CD6B96">
        <w:t xml:space="preserve"> were implemented </w:t>
      </w:r>
      <w:r w:rsidR="00EB1BD5">
        <w:t xml:space="preserve">in full-scale production, BLS </w:t>
      </w:r>
      <w:r>
        <w:t xml:space="preserve">estimates </w:t>
      </w:r>
      <w:r w:rsidR="00EB1BD5">
        <w:t xml:space="preserve">TPOPS data collection costs </w:t>
      </w:r>
      <w:r w:rsidR="00CD6B96">
        <w:t>would</w:t>
      </w:r>
      <w:r w:rsidR="00EB1BD5">
        <w:t xml:space="preserve"> increase </w:t>
      </w:r>
      <w:r w:rsidR="007A1461">
        <w:t xml:space="preserve">by </w:t>
      </w:r>
      <w:r>
        <w:t>1% to 20%, depending on the response rate observed in returning cases in the cell phone frame.</w:t>
      </w:r>
      <w:r w:rsidR="00CD6B96">
        <w:t xml:space="preserve"> After response rates are confirmed using FY12 data, dual frame data collection costs will be more accurately estimated.</w:t>
      </w:r>
    </w:p>
    <w:p w:rsidR="008E78F2" w:rsidRDefault="008E78F2" w:rsidP="00370197">
      <w:pPr>
        <w:pStyle w:val="ListParagraph"/>
        <w:ind w:left="0"/>
      </w:pPr>
    </w:p>
    <w:p w:rsidR="00365884" w:rsidRPr="008E78F2" w:rsidRDefault="001F2C68" w:rsidP="00370197">
      <w:pPr>
        <w:pStyle w:val="ListParagraph"/>
        <w:ind w:left="0"/>
        <w:rPr>
          <w:b/>
        </w:rPr>
      </w:pPr>
      <w:r>
        <w:rPr>
          <w:b/>
        </w:rPr>
        <w:lastRenderedPageBreak/>
        <w:t xml:space="preserve">SECTION 1: </w:t>
      </w:r>
      <w:r w:rsidR="00587672" w:rsidRPr="00587672">
        <w:rPr>
          <w:b/>
        </w:rPr>
        <w:t>PRIOR WORK ON NON-RESPONSE BIAS</w:t>
      </w:r>
    </w:p>
    <w:p w:rsidR="00B30109" w:rsidRDefault="0057132E" w:rsidP="004A1A42">
      <w:r>
        <w:t xml:space="preserve">In 2009, </w:t>
      </w:r>
      <w:r w:rsidR="00C36502">
        <w:t>a non-response bias analysis was done f</w:t>
      </w:r>
      <w:r w:rsidR="00514A11">
        <w:t xml:space="preserve">or TPOPS (See </w:t>
      </w:r>
      <w:r w:rsidR="00202E3C" w:rsidRPr="00202E3C">
        <w:rPr>
          <w:i/>
        </w:rPr>
        <w:t>Appendix A, Nonresponse Bias in the Telephone Point of Purchase Survey, Falwell and Saxton, April 4, 2009</w:t>
      </w:r>
      <w:r w:rsidR="00514A11">
        <w:t xml:space="preserve">).  </w:t>
      </w:r>
      <w:r w:rsidR="00933757">
        <w:t xml:space="preserve">The analysis concluded, based </w:t>
      </w:r>
      <w:r w:rsidR="00514A11">
        <w:t xml:space="preserve"> </w:t>
      </w:r>
      <w:r w:rsidR="00933757">
        <w:t>on</w:t>
      </w:r>
      <w:r w:rsidR="00C36502">
        <w:t xml:space="preserve"> </w:t>
      </w:r>
      <w:r>
        <w:t>a comparison between the demographics reported in the American Community Survey (ACS) and the TPOPS</w:t>
      </w:r>
      <w:r w:rsidR="00933757">
        <w:t>,</w:t>
      </w:r>
      <w:r w:rsidR="000551A9">
        <w:t xml:space="preserve"> that the </w:t>
      </w:r>
      <w:r w:rsidR="00B1125E">
        <w:t>youngest</w:t>
      </w:r>
      <w:r w:rsidR="000551A9">
        <w:t xml:space="preserve"> cohort</w:t>
      </w:r>
      <w:r w:rsidR="00B1125E">
        <w:t>s</w:t>
      </w:r>
      <w:r w:rsidR="000551A9">
        <w:t xml:space="preserve"> w</w:t>
      </w:r>
      <w:r w:rsidR="00B1125E">
        <w:t>ere</w:t>
      </w:r>
      <w:r w:rsidR="000551A9">
        <w:t xml:space="preserve"> underrepresented in TPOPS.  To a lesser extent, people of Hispanic origin were underrepresented as we</w:t>
      </w:r>
      <w:r>
        <w:t>ll as Black/African Americans.</w:t>
      </w:r>
      <w:r w:rsidR="00917572">
        <w:rPr>
          <w:rStyle w:val="FootnoteReference"/>
        </w:rPr>
        <w:footnoteReference w:id="2"/>
      </w:r>
      <w:r>
        <w:t xml:space="preserve">  </w:t>
      </w:r>
      <w:r w:rsidR="00810904" w:rsidRPr="001E4206">
        <w:t>These data show a potential coverage bias in the survey</w:t>
      </w:r>
      <w:r w:rsidR="0039292B" w:rsidRPr="001E4206">
        <w:t xml:space="preserve"> frame</w:t>
      </w:r>
      <w:r w:rsidR="00810904" w:rsidRPr="001E4206">
        <w:t xml:space="preserve">. </w:t>
      </w:r>
      <w:r w:rsidR="00633610">
        <w:t xml:space="preserve">  </w:t>
      </w:r>
    </w:p>
    <w:p w:rsidR="00A273D7" w:rsidRDefault="00A273D7" w:rsidP="004A1A42"/>
    <w:p w:rsidR="00B30109" w:rsidRDefault="001F2C68" w:rsidP="006376EF">
      <w:pPr>
        <w:pStyle w:val="ListParagraph"/>
        <w:ind w:left="0"/>
      </w:pPr>
      <w:r w:rsidRPr="001F2C68">
        <w:rPr>
          <w:b/>
        </w:rPr>
        <w:t>SECTION 2:</w:t>
      </w:r>
      <w:r>
        <w:t xml:space="preserve"> </w:t>
      </w:r>
      <w:r w:rsidR="001143B2">
        <w:rPr>
          <w:b/>
        </w:rPr>
        <w:t>CELL PHONE</w:t>
      </w:r>
      <w:r w:rsidR="00587672" w:rsidRPr="00587672">
        <w:rPr>
          <w:b/>
        </w:rPr>
        <w:t xml:space="preserve"> TEST RESULTS FROM FY11</w:t>
      </w:r>
    </w:p>
    <w:p w:rsidR="00C9429F" w:rsidRDefault="00587672">
      <w:pPr>
        <w:pStyle w:val="ListParagraph"/>
        <w:spacing w:before="120"/>
        <w:ind w:left="0"/>
        <w:contextualSpacing w:val="0"/>
        <w:rPr>
          <w:b/>
          <w:u w:val="single"/>
        </w:rPr>
      </w:pPr>
      <w:r w:rsidRPr="00587672">
        <w:rPr>
          <w:b/>
          <w:u w:val="single"/>
        </w:rPr>
        <w:t>Outlet Questions in the Consumer Expenditure Interview Survey</w:t>
      </w:r>
    </w:p>
    <w:p w:rsidR="00F36995" w:rsidRDefault="00A87552" w:rsidP="00F36995">
      <w:pPr>
        <w:pStyle w:val="ListParagraph"/>
        <w:ind w:left="0"/>
      </w:pPr>
      <w:r>
        <w:t xml:space="preserve">A </w:t>
      </w:r>
      <w:r w:rsidR="00D47D65">
        <w:t>coverage</w:t>
      </w:r>
      <w:r>
        <w:t xml:space="preserve"> bias will only result in an outlet bias if the underrepresented populations shop at different outlets than the overrepresented populations. In order to assess the outlet bias, d</w:t>
      </w:r>
      <w:r w:rsidR="00BF61AA">
        <w:t xml:space="preserve">uring the second quarter of </w:t>
      </w:r>
      <w:r w:rsidR="00F36995">
        <w:t xml:space="preserve">2011, several </w:t>
      </w:r>
      <w:r w:rsidR="006376EF">
        <w:t xml:space="preserve">questions were added to the Consumer Expenditure </w:t>
      </w:r>
      <w:r w:rsidR="00365884">
        <w:t xml:space="preserve">Interview </w:t>
      </w:r>
      <w:r w:rsidR="006376EF">
        <w:t>Survey</w:t>
      </w:r>
      <w:r w:rsidR="004A1A42">
        <w:t xml:space="preserve"> (CE)</w:t>
      </w:r>
      <w:r w:rsidR="006376EF">
        <w:t xml:space="preserve"> </w:t>
      </w:r>
      <w:r w:rsidR="00F36995">
        <w:t xml:space="preserve">to collect </w:t>
      </w:r>
      <w:r w:rsidR="00365884">
        <w:t xml:space="preserve">outlet </w:t>
      </w:r>
      <w:r w:rsidR="00F36995">
        <w:t xml:space="preserve">information for broad categories of items.  The five categories asked were </w:t>
      </w:r>
      <w:r w:rsidR="00B210F0">
        <w:t xml:space="preserve">groceries, apparel, </w:t>
      </w:r>
      <w:r w:rsidR="00F36995">
        <w:t xml:space="preserve">electronics, restaurants, </w:t>
      </w:r>
      <w:r w:rsidR="00B210F0">
        <w:t>and music</w:t>
      </w:r>
      <w:r w:rsidR="00F36995">
        <w:t>.  Analysis using phone bills as a proxy for types of p</w:t>
      </w:r>
      <w:r w:rsidR="00FA212E">
        <w:t>hones used in the household was performed</w:t>
      </w:r>
      <w:r w:rsidR="002A616D">
        <w:t xml:space="preserve"> to a</w:t>
      </w:r>
      <w:r w:rsidR="00BF61AA">
        <w:t>ss</w:t>
      </w:r>
      <w:r w:rsidR="002A616D">
        <w:t xml:space="preserve">ess overlap of </w:t>
      </w:r>
      <w:r w:rsidR="00FA212E">
        <w:t>reported outlets</w:t>
      </w:r>
      <w:r w:rsidR="002A616D">
        <w:t xml:space="preserve"> between the </w:t>
      </w:r>
      <w:r w:rsidR="006233AE">
        <w:t>cell</w:t>
      </w:r>
      <w:r w:rsidR="004A1A42">
        <w:t xml:space="preserve"> </w:t>
      </w:r>
      <w:r w:rsidR="006233AE">
        <w:t>phone only households and households with a landline only or a combination of landline and cell phones.</w:t>
      </w:r>
      <w:r w:rsidR="00B210F0">
        <w:t xml:space="preserve">  </w:t>
      </w:r>
      <w:r w:rsidR="00731498">
        <w:t>The 315 outlet names reported in the CE test are compared to outlet names reported in TPOPS, and t</w:t>
      </w:r>
      <w:r w:rsidR="00B210F0">
        <w:t>he results are summarized in the table below.</w:t>
      </w:r>
    </w:p>
    <w:p w:rsidR="00BF61AA" w:rsidRDefault="00BF61AA" w:rsidP="00F36995">
      <w:pPr>
        <w:pStyle w:val="ListParagraph"/>
        <w:ind w:left="0"/>
      </w:pPr>
    </w:p>
    <w:p w:rsidR="00C9429F" w:rsidRDefault="00202E3C">
      <w:pPr>
        <w:pStyle w:val="ListParagraph"/>
        <w:ind w:left="0"/>
        <w:jc w:val="center"/>
        <w:rPr>
          <w:sz w:val="20"/>
          <w:szCs w:val="20"/>
        </w:rPr>
      </w:pPr>
      <w:r w:rsidRPr="00202E3C">
        <w:rPr>
          <w:b/>
          <w:sz w:val="20"/>
          <w:szCs w:val="20"/>
        </w:rPr>
        <w:t>Table 1</w:t>
      </w:r>
      <w:r w:rsidRPr="00202E3C">
        <w:rPr>
          <w:sz w:val="20"/>
          <w:szCs w:val="20"/>
        </w:rPr>
        <w:t xml:space="preserve"> </w:t>
      </w:r>
      <w:r w:rsidRPr="00202E3C">
        <w:rPr>
          <w:i/>
          <w:sz w:val="20"/>
          <w:szCs w:val="20"/>
        </w:rPr>
        <w:t>Overlap of Outlet Name Reports by Goods/Service Category in the CE Test</w:t>
      </w:r>
    </w:p>
    <w:tbl>
      <w:tblPr>
        <w:tblStyle w:val="TableGrid"/>
        <w:tblpPr w:leftFromText="180" w:rightFromText="180" w:vertAnchor="text" w:horzAnchor="page" w:tblpXSpec="center" w:tblpY="105"/>
        <w:tblOverlap w:val="never"/>
        <w:tblW w:w="0" w:type="auto"/>
        <w:jc w:val="center"/>
        <w:tblLook w:val="04A0"/>
      </w:tblPr>
      <w:tblGrid>
        <w:gridCol w:w="2178"/>
        <w:gridCol w:w="1620"/>
        <w:gridCol w:w="1440"/>
      </w:tblGrid>
      <w:tr w:rsidR="00EB038D" w:rsidTr="00A273D7">
        <w:trPr>
          <w:jc w:val="center"/>
        </w:trPr>
        <w:tc>
          <w:tcPr>
            <w:tcW w:w="2178" w:type="dxa"/>
            <w:shd w:val="clear" w:color="auto" w:fill="F2DBDB" w:themeFill="accent2" w:themeFillTint="33"/>
          </w:tcPr>
          <w:p w:rsidR="00EB038D" w:rsidRPr="00EB038D" w:rsidRDefault="00EB038D" w:rsidP="00A273D7">
            <w:pPr>
              <w:pStyle w:val="ListParagraph"/>
              <w:ind w:left="0"/>
              <w:rPr>
                <w:b/>
              </w:rPr>
            </w:pPr>
            <w:r w:rsidRPr="00EB038D">
              <w:rPr>
                <w:b/>
              </w:rPr>
              <w:t>Commodity/Services Group</w:t>
            </w:r>
          </w:p>
        </w:tc>
        <w:tc>
          <w:tcPr>
            <w:tcW w:w="1620" w:type="dxa"/>
            <w:shd w:val="clear" w:color="auto" w:fill="F2DBDB" w:themeFill="accent2" w:themeFillTint="33"/>
          </w:tcPr>
          <w:p w:rsidR="00EB038D" w:rsidRPr="00EB038D" w:rsidRDefault="00EB038D" w:rsidP="00A273D7">
            <w:pPr>
              <w:pStyle w:val="ListParagraph"/>
              <w:ind w:left="0"/>
              <w:rPr>
                <w:b/>
              </w:rPr>
            </w:pPr>
            <w:r w:rsidRPr="00EB038D">
              <w:rPr>
                <w:b/>
              </w:rPr>
              <w:t>Overlap in the top 20 reports</w:t>
            </w:r>
          </w:p>
        </w:tc>
        <w:tc>
          <w:tcPr>
            <w:tcW w:w="1440" w:type="dxa"/>
            <w:shd w:val="clear" w:color="auto" w:fill="F2DBDB" w:themeFill="accent2" w:themeFillTint="33"/>
          </w:tcPr>
          <w:p w:rsidR="00EB038D" w:rsidRPr="00EB038D" w:rsidRDefault="00EB038D" w:rsidP="00A273D7">
            <w:pPr>
              <w:pStyle w:val="ListParagraph"/>
              <w:ind w:left="0"/>
              <w:rPr>
                <w:b/>
              </w:rPr>
            </w:pPr>
            <w:r w:rsidRPr="00EB038D">
              <w:rPr>
                <w:b/>
              </w:rPr>
              <w:t>Overlap of all reports</w:t>
            </w:r>
          </w:p>
        </w:tc>
      </w:tr>
      <w:tr w:rsidR="00EB038D" w:rsidTr="00A273D7">
        <w:trPr>
          <w:jc w:val="center"/>
        </w:trPr>
        <w:tc>
          <w:tcPr>
            <w:tcW w:w="2178" w:type="dxa"/>
          </w:tcPr>
          <w:p w:rsidR="00EB038D" w:rsidRDefault="00EB038D" w:rsidP="00A273D7">
            <w:pPr>
              <w:pStyle w:val="ListParagraph"/>
              <w:ind w:left="0"/>
            </w:pPr>
            <w:r>
              <w:t>Groceries</w:t>
            </w:r>
          </w:p>
        </w:tc>
        <w:tc>
          <w:tcPr>
            <w:tcW w:w="1620" w:type="dxa"/>
          </w:tcPr>
          <w:p w:rsidR="00EB038D" w:rsidRDefault="00EB038D" w:rsidP="00A273D7">
            <w:pPr>
              <w:pStyle w:val="ListParagraph"/>
              <w:ind w:left="0"/>
            </w:pPr>
            <w:r>
              <w:t>70%</w:t>
            </w:r>
          </w:p>
        </w:tc>
        <w:tc>
          <w:tcPr>
            <w:tcW w:w="1440" w:type="dxa"/>
          </w:tcPr>
          <w:p w:rsidR="00EB038D" w:rsidRDefault="00EB038D" w:rsidP="00A273D7">
            <w:pPr>
              <w:pStyle w:val="ListParagraph"/>
              <w:ind w:left="0"/>
            </w:pPr>
            <w:r>
              <w:t>27%</w:t>
            </w:r>
          </w:p>
        </w:tc>
      </w:tr>
      <w:tr w:rsidR="00EB038D" w:rsidTr="00A273D7">
        <w:trPr>
          <w:jc w:val="center"/>
        </w:trPr>
        <w:tc>
          <w:tcPr>
            <w:tcW w:w="2178" w:type="dxa"/>
          </w:tcPr>
          <w:p w:rsidR="00EB038D" w:rsidRDefault="00EB038D" w:rsidP="00A273D7">
            <w:pPr>
              <w:pStyle w:val="ListParagraph"/>
              <w:ind w:left="0"/>
            </w:pPr>
            <w:r>
              <w:t>Apparel</w:t>
            </w:r>
          </w:p>
        </w:tc>
        <w:tc>
          <w:tcPr>
            <w:tcW w:w="1620" w:type="dxa"/>
          </w:tcPr>
          <w:p w:rsidR="00EB038D" w:rsidRDefault="00EB038D" w:rsidP="00A273D7">
            <w:pPr>
              <w:pStyle w:val="ListParagraph"/>
              <w:ind w:left="0"/>
            </w:pPr>
            <w:r>
              <w:t>70%</w:t>
            </w:r>
          </w:p>
        </w:tc>
        <w:tc>
          <w:tcPr>
            <w:tcW w:w="1440" w:type="dxa"/>
          </w:tcPr>
          <w:p w:rsidR="00EB038D" w:rsidRDefault="00EB038D" w:rsidP="00A273D7">
            <w:pPr>
              <w:pStyle w:val="ListParagraph"/>
              <w:ind w:left="0"/>
            </w:pPr>
            <w:r>
              <w:t>20%</w:t>
            </w:r>
          </w:p>
        </w:tc>
      </w:tr>
      <w:tr w:rsidR="00EB038D" w:rsidTr="00A273D7">
        <w:trPr>
          <w:jc w:val="center"/>
        </w:trPr>
        <w:tc>
          <w:tcPr>
            <w:tcW w:w="2178" w:type="dxa"/>
          </w:tcPr>
          <w:p w:rsidR="00EB038D" w:rsidRDefault="00EB038D" w:rsidP="00A273D7">
            <w:pPr>
              <w:pStyle w:val="ListParagraph"/>
              <w:ind w:left="0"/>
            </w:pPr>
            <w:r>
              <w:t>Electronics</w:t>
            </w:r>
          </w:p>
        </w:tc>
        <w:tc>
          <w:tcPr>
            <w:tcW w:w="1620" w:type="dxa"/>
          </w:tcPr>
          <w:p w:rsidR="00EB038D" w:rsidRDefault="00EB038D" w:rsidP="00A273D7">
            <w:pPr>
              <w:pStyle w:val="ListParagraph"/>
              <w:ind w:left="0"/>
            </w:pPr>
            <w:r>
              <w:t>75%</w:t>
            </w:r>
          </w:p>
        </w:tc>
        <w:tc>
          <w:tcPr>
            <w:tcW w:w="1440" w:type="dxa"/>
          </w:tcPr>
          <w:p w:rsidR="00EB038D" w:rsidRDefault="00EB038D" w:rsidP="00A273D7">
            <w:pPr>
              <w:pStyle w:val="ListParagraph"/>
              <w:ind w:left="0"/>
            </w:pPr>
            <w:r>
              <w:t>24%</w:t>
            </w:r>
          </w:p>
        </w:tc>
      </w:tr>
      <w:tr w:rsidR="00EB038D" w:rsidTr="00A273D7">
        <w:trPr>
          <w:jc w:val="center"/>
        </w:trPr>
        <w:tc>
          <w:tcPr>
            <w:tcW w:w="2178" w:type="dxa"/>
          </w:tcPr>
          <w:p w:rsidR="00EB038D" w:rsidRDefault="00EB038D" w:rsidP="00A273D7">
            <w:pPr>
              <w:pStyle w:val="ListParagraph"/>
              <w:ind w:left="0"/>
            </w:pPr>
            <w:r>
              <w:t>Music</w:t>
            </w:r>
          </w:p>
        </w:tc>
        <w:tc>
          <w:tcPr>
            <w:tcW w:w="1620" w:type="dxa"/>
          </w:tcPr>
          <w:p w:rsidR="00EB038D" w:rsidRDefault="00EB038D" w:rsidP="00A273D7">
            <w:pPr>
              <w:pStyle w:val="ListParagraph"/>
              <w:ind w:left="0"/>
            </w:pPr>
            <w:r>
              <w:t>70%</w:t>
            </w:r>
          </w:p>
        </w:tc>
        <w:tc>
          <w:tcPr>
            <w:tcW w:w="1440" w:type="dxa"/>
          </w:tcPr>
          <w:p w:rsidR="00EB038D" w:rsidRDefault="00EB038D" w:rsidP="00A273D7">
            <w:pPr>
              <w:pStyle w:val="ListParagraph"/>
              <w:ind w:left="0"/>
            </w:pPr>
            <w:r>
              <w:t>14%</w:t>
            </w:r>
          </w:p>
        </w:tc>
      </w:tr>
      <w:tr w:rsidR="00EB038D" w:rsidTr="00A273D7">
        <w:trPr>
          <w:jc w:val="center"/>
        </w:trPr>
        <w:tc>
          <w:tcPr>
            <w:tcW w:w="2178" w:type="dxa"/>
          </w:tcPr>
          <w:p w:rsidR="00EB038D" w:rsidRDefault="00EB038D" w:rsidP="00A273D7">
            <w:pPr>
              <w:pStyle w:val="ListParagraph"/>
              <w:ind w:left="0"/>
            </w:pPr>
            <w:r>
              <w:t>Food Away From Home</w:t>
            </w:r>
          </w:p>
        </w:tc>
        <w:tc>
          <w:tcPr>
            <w:tcW w:w="1620" w:type="dxa"/>
          </w:tcPr>
          <w:p w:rsidR="00EB038D" w:rsidRDefault="00EB038D" w:rsidP="00A273D7">
            <w:pPr>
              <w:pStyle w:val="ListParagraph"/>
              <w:ind w:left="0"/>
            </w:pPr>
            <w:r>
              <w:t>65%</w:t>
            </w:r>
          </w:p>
        </w:tc>
        <w:tc>
          <w:tcPr>
            <w:tcW w:w="1440" w:type="dxa"/>
          </w:tcPr>
          <w:p w:rsidR="00EB038D" w:rsidRDefault="00EB038D" w:rsidP="00A273D7">
            <w:pPr>
              <w:pStyle w:val="ListParagraph"/>
              <w:ind w:left="0"/>
            </w:pPr>
            <w:r>
              <w:t>10%</w:t>
            </w:r>
          </w:p>
        </w:tc>
      </w:tr>
    </w:tbl>
    <w:p w:rsidR="003672E6" w:rsidRDefault="003672E6" w:rsidP="00F36995">
      <w:pPr>
        <w:pStyle w:val="ListParagraph"/>
        <w:ind w:left="0"/>
      </w:pPr>
    </w:p>
    <w:p w:rsidR="00EB038D" w:rsidRDefault="00EB038D" w:rsidP="00F36995">
      <w:pPr>
        <w:pStyle w:val="ListParagraph"/>
        <w:ind w:left="0"/>
      </w:pPr>
    </w:p>
    <w:p w:rsidR="00EB038D" w:rsidRDefault="00EB038D" w:rsidP="00F36995">
      <w:pPr>
        <w:pStyle w:val="ListParagraph"/>
        <w:ind w:left="0"/>
      </w:pPr>
    </w:p>
    <w:p w:rsidR="00EB038D" w:rsidRDefault="00EB038D" w:rsidP="00F36995">
      <w:pPr>
        <w:pStyle w:val="ListParagraph"/>
        <w:ind w:left="0"/>
      </w:pPr>
    </w:p>
    <w:p w:rsidR="00EB038D" w:rsidRDefault="00EB038D" w:rsidP="00F36995">
      <w:pPr>
        <w:pStyle w:val="ListParagraph"/>
        <w:ind w:left="0"/>
      </w:pPr>
    </w:p>
    <w:p w:rsidR="00EB038D" w:rsidRDefault="00EB038D" w:rsidP="00F36995">
      <w:pPr>
        <w:pStyle w:val="ListParagraph"/>
        <w:ind w:left="0"/>
      </w:pPr>
    </w:p>
    <w:p w:rsidR="00EB038D" w:rsidRDefault="00EB038D" w:rsidP="00F36995">
      <w:pPr>
        <w:pStyle w:val="ListParagraph"/>
        <w:ind w:left="0"/>
      </w:pPr>
    </w:p>
    <w:p w:rsidR="00EB038D" w:rsidRDefault="00EB038D" w:rsidP="00F36995">
      <w:pPr>
        <w:pStyle w:val="ListParagraph"/>
        <w:ind w:left="0"/>
      </w:pPr>
    </w:p>
    <w:p w:rsidR="00EB038D" w:rsidRDefault="00EB038D" w:rsidP="00F36995">
      <w:pPr>
        <w:pStyle w:val="ListParagraph"/>
        <w:ind w:left="0"/>
      </w:pPr>
    </w:p>
    <w:p w:rsidR="001D29D7" w:rsidRDefault="00E70478" w:rsidP="00F36995">
      <w:pPr>
        <w:pStyle w:val="ListParagraph"/>
        <w:ind w:left="0"/>
      </w:pPr>
      <w:r>
        <w:t xml:space="preserve">Overall, the </w:t>
      </w:r>
      <w:r w:rsidR="00731498">
        <w:t xml:space="preserve">limited </w:t>
      </w:r>
      <w:r>
        <w:t xml:space="preserve">results of the outlet questions </w:t>
      </w:r>
      <w:r w:rsidR="00E33588">
        <w:t xml:space="preserve">for different goods and services categories </w:t>
      </w:r>
      <w:r>
        <w:t xml:space="preserve">in the CE </w:t>
      </w:r>
      <w:r w:rsidR="004A1A42">
        <w:t xml:space="preserve">test questions </w:t>
      </w:r>
      <w:r>
        <w:t>were very similar</w:t>
      </w:r>
      <w:r w:rsidR="00731498">
        <w:t xml:space="preserve"> to TPOPS</w:t>
      </w:r>
      <w:r>
        <w:t xml:space="preserve">.  A high percentage </w:t>
      </w:r>
      <w:r w:rsidR="00E33588">
        <w:t xml:space="preserve">(70 to 75%) </w:t>
      </w:r>
      <w:r>
        <w:t xml:space="preserve">of </w:t>
      </w:r>
      <w:r w:rsidR="008457D8">
        <w:t xml:space="preserve">the </w:t>
      </w:r>
      <w:r w:rsidR="002F1251">
        <w:t>top twenty</w:t>
      </w:r>
      <w:r w:rsidR="008457D8">
        <w:t xml:space="preserve"> reported outlets (those in the top 20 reports) overlapped between the two populations.  </w:t>
      </w:r>
      <w:r w:rsidR="005F6258">
        <w:t>When the</w:t>
      </w:r>
      <w:r w:rsidR="00E33588">
        <w:t xml:space="preserve"> complete list</w:t>
      </w:r>
      <w:r w:rsidR="005F6258">
        <w:t>s</w:t>
      </w:r>
      <w:r w:rsidR="00E33588">
        <w:t xml:space="preserve"> of reports</w:t>
      </w:r>
      <w:r w:rsidR="005F6258">
        <w:t xml:space="preserve"> are compared</w:t>
      </w:r>
      <w:r w:rsidR="00E33588">
        <w:t>, however, the overlap of outlet names dr</w:t>
      </w:r>
      <w:r w:rsidR="005F6258">
        <w:t>ops into the range of 10 to 27</w:t>
      </w:r>
      <w:r w:rsidR="00E33588">
        <w:t xml:space="preserve">%. </w:t>
      </w:r>
    </w:p>
    <w:p w:rsidR="001D29D7" w:rsidRDefault="001D29D7" w:rsidP="00F36995">
      <w:pPr>
        <w:pStyle w:val="ListParagraph"/>
        <w:ind w:left="0"/>
      </w:pPr>
    </w:p>
    <w:p w:rsidR="00CE24C3" w:rsidRDefault="00731498" w:rsidP="00F36995">
      <w:pPr>
        <w:pStyle w:val="ListParagraph"/>
        <w:ind w:left="0"/>
      </w:pPr>
      <w:r>
        <w:t xml:space="preserve">These results are based on a small </w:t>
      </w:r>
      <w:r w:rsidR="00D47D65">
        <w:t>sample</w:t>
      </w:r>
      <w:r>
        <w:t xml:space="preserve"> and do not </w:t>
      </w:r>
      <w:r w:rsidR="00D47D65">
        <w:t xml:space="preserve">conclusively </w:t>
      </w:r>
      <w:r>
        <w:t xml:space="preserve">indicate whether an outlet bias in TPOPS exists. Further research is required to determine whether there is a statistically significant difference between outlets reported for cell-phone and landline users. </w:t>
      </w:r>
      <w:r w:rsidR="001D29D7">
        <w:t>It is especially important to continue analysis of t</w:t>
      </w:r>
      <w:r>
        <w:t>he overlap of all reports</w:t>
      </w:r>
      <w:r w:rsidR="001D29D7">
        <w:t>, since</w:t>
      </w:r>
      <w:r w:rsidR="005F6258">
        <w:t xml:space="preserve"> the outlet </w:t>
      </w:r>
      <w:r w:rsidR="00E33588">
        <w:t xml:space="preserve">selection process </w:t>
      </w:r>
      <w:r w:rsidR="005F6258">
        <w:t xml:space="preserve">for the CPI </w:t>
      </w:r>
      <w:r w:rsidR="00E33588">
        <w:t xml:space="preserve">is designed </w:t>
      </w:r>
      <w:r w:rsidR="00E33588">
        <w:lastRenderedPageBreak/>
        <w:t xml:space="preserve">to </w:t>
      </w:r>
      <w:r w:rsidR="00E62A5A">
        <w:t xml:space="preserve">be representative of all stores in the marketplace, from big, frequently reported stores to </w:t>
      </w:r>
      <w:r w:rsidR="002C3586">
        <w:t>small, infrequently reported stores.</w:t>
      </w:r>
      <w:r w:rsidR="00EE5A40">
        <w:t xml:space="preserve"> </w:t>
      </w:r>
    </w:p>
    <w:p w:rsidR="003672E6" w:rsidRDefault="003672E6" w:rsidP="00F36995">
      <w:pPr>
        <w:pStyle w:val="ListParagraph"/>
        <w:ind w:left="0"/>
      </w:pPr>
    </w:p>
    <w:p w:rsidR="002A616D" w:rsidRPr="008E78F2" w:rsidRDefault="00587672" w:rsidP="00F36995">
      <w:pPr>
        <w:pStyle w:val="ListParagraph"/>
        <w:ind w:left="0"/>
        <w:rPr>
          <w:b/>
          <w:u w:val="single"/>
        </w:rPr>
      </w:pPr>
      <w:r w:rsidRPr="00587672">
        <w:rPr>
          <w:b/>
          <w:u w:val="single"/>
        </w:rPr>
        <w:t>THE TPOPS Cell Phone Test</w:t>
      </w:r>
    </w:p>
    <w:p w:rsidR="00527A90" w:rsidRDefault="0070744E" w:rsidP="00F36995">
      <w:pPr>
        <w:pStyle w:val="ListParagraph"/>
        <w:ind w:left="0"/>
      </w:pPr>
      <w:r>
        <w:t>In April 2011, Census conducted a cell phone test for TPOPS on behalf of the BLS.  Its main objective was to determine the hit rate</w:t>
      </w:r>
      <w:r w:rsidR="0021524E">
        <w:rPr>
          <w:rStyle w:val="FootnoteReference"/>
        </w:rPr>
        <w:footnoteReference w:id="3"/>
      </w:r>
      <w:r>
        <w:t xml:space="preserve"> by </w:t>
      </w:r>
      <w:r w:rsidR="00933757">
        <w:t>sample area</w:t>
      </w:r>
      <w:r w:rsidR="00527A90">
        <w:t xml:space="preserve">. </w:t>
      </w:r>
      <w:r w:rsidR="004A1A42">
        <w:t xml:space="preserve"> </w:t>
      </w:r>
      <w:r w:rsidR="00527A90">
        <w:t>Secondary objectives included assessing the number of ph</w:t>
      </w:r>
      <w:r w:rsidR="00BF61AA">
        <w:t xml:space="preserve">one numbers that </w:t>
      </w:r>
      <w:r w:rsidR="003A0C42">
        <w:t>belong to users who have moved</w:t>
      </w:r>
      <w:r w:rsidR="00BF61AA">
        <w:t xml:space="preserve"> to</w:t>
      </w:r>
      <w:r w:rsidR="00527A90">
        <w:t xml:space="preserve"> different </w:t>
      </w:r>
      <w:r w:rsidR="00094DA5">
        <w:t>sampling area</w:t>
      </w:r>
      <w:r w:rsidR="00BF61AA">
        <w:t>s</w:t>
      </w:r>
      <w:r w:rsidR="00527A90">
        <w:t xml:space="preserve"> and comparing the outlet name reports from the test to the </w:t>
      </w:r>
      <w:r w:rsidR="00094DA5">
        <w:t>TPOPS production</w:t>
      </w:r>
      <w:r w:rsidR="002717D6">
        <w:t xml:space="preserve"> data</w:t>
      </w:r>
      <w:r w:rsidR="00094DA5">
        <w:t xml:space="preserve"> </w:t>
      </w:r>
      <w:r w:rsidR="00527A90">
        <w:t>during the same time period.</w:t>
      </w:r>
    </w:p>
    <w:p w:rsidR="00527A90" w:rsidRDefault="00527A90" w:rsidP="00F36995">
      <w:pPr>
        <w:pStyle w:val="ListParagraph"/>
        <w:ind w:left="0"/>
      </w:pPr>
    </w:p>
    <w:p w:rsidR="0064359E" w:rsidRDefault="00527A90" w:rsidP="00F36995">
      <w:pPr>
        <w:pStyle w:val="ListParagraph"/>
        <w:ind w:left="0"/>
      </w:pPr>
      <w:r>
        <w:t xml:space="preserve">The first step of the test was to determine </w:t>
      </w:r>
      <w:r w:rsidR="002F1251">
        <w:t>a</w:t>
      </w:r>
      <w:r>
        <w:t xml:space="preserve"> source of </w:t>
      </w:r>
      <w:r w:rsidR="001143B2">
        <w:t>cell phone</w:t>
      </w:r>
      <w:r>
        <w:t xml:space="preserve"> telephone numbers</w:t>
      </w:r>
      <w:r w:rsidR="002F1251">
        <w:t xml:space="preserve"> </w:t>
      </w:r>
      <w:r w:rsidR="005267F8">
        <w:t>to</w:t>
      </w:r>
      <w:r w:rsidR="002F1251">
        <w:t xml:space="preserve"> use to construct the Random Digit Dialed (RDD) frame</w:t>
      </w:r>
      <w:r>
        <w:t xml:space="preserve">.  There are several vendors of </w:t>
      </w:r>
      <w:r w:rsidR="001143B2">
        <w:t>cell phone</w:t>
      </w:r>
      <w:r>
        <w:t xml:space="preserve"> numbers at the national level, but fewer options at the </w:t>
      </w:r>
      <w:r w:rsidR="00933757">
        <w:t>local area</w:t>
      </w:r>
      <w:r w:rsidR="00844AA8">
        <w:t xml:space="preserve"> level</w:t>
      </w:r>
      <w:r w:rsidR="00C2265A">
        <w:t>, the level</w:t>
      </w:r>
      <w:r>
        <w:t xml:space="preserve"> at which the CPI selects its sample of phone numbers.  The Demographic Statistical Methods Division</w:t>
      </w:r>
      <w:r w:rsidR="005F6258">
        <w:t xml:space="preserve"> </w:t>
      </w:r>
      <w:r w:rsidR="002717D6">
        <w:t>(DSMD)</w:t>
      </w:r>
      <w:r>
        <w:t xml:space="preserve"> at Census researched</w:t>
      </w:r>
      <w:r w:rsidR="00094DA5">
        <w:t xml:space="preserve"> the options and determined that </w:t>
      </w:r>
      <w:r w:rsidR="0064359E">
        <w:t>Wire Center</w:t>
      </w:r>
      <w:r w:rsidR="00094DA5">
        <w:t xml:space="preserve"> data </w:t>
      </w:r>
      <w:r w:rsidR="005F6258">
        <w:t>w</w:t>
      </w:r>
      <w:r w:rsidR="00094DA5">
        <w:t>ould be the most</w:t>
      </w:r>
      <w:r w:rsidR="004A1A42">
        <w:t xml:space="preserve"> appropriate for TPOPS’ needs.</w:t>
      </w:r>
    </w:p>
    <w:p w:rsidR="00C9429F" w:rsidRDefault="00202E3C">
      <w:pPr>
        <w:spacing w:before="240"/>
        <w:ind w:left="360"/>
        <w:rPr>
          <w:rFonts w:eastAsia="Times New Roman" w:cs="Times New Roman"/>
          <w:u w:val="single"/>
        </w:rPr>
      </w:pPr>
      <w:r w:rsidRPr="00202E3C">
        <w:rPr>
          <w:rFonts w:eastAsia="Times New Roman" w:cs="Times New Roman"/>
          <w:u w:val="single"/>
        </w:rPr>
        <w:t>Wire Centers</w:t>
      </w:r>
    </w:p>
    <w:p w:rsidR="0064359E" w:rsidRDefault="0064359E" w:rsidP="0064359E">
      <w:pPr>
        <w:ind w:left="360"/>
        <w:rPr>
          <w:rFonts w:eastAsia="Times New Roman" w:cs="Times New Roman"/>
        </w:rPr>
      </w:pPr>
      <w:r w:rsidRPr="0064359E">
        <w:rPr>
          <w:rFonts w:eastAsia="Times New Roman" w:cs="Times New Roman"/>
        </w:rPr>
        <w:t xml:space="preserve">A Wire Center can be thought of as the </w:t>
      </w:r>
      <w:r w:rsidR="001A6924">
        <w:rPr>
          <w:rFonts w:eastAsia="Times New Roman" w:cs="Times New Roman"/>
        </w:rPr>
        <w:t xml:space="preserve">geographic area </w:t>
      </w:r>
      <w:r w:rsidR="005F6258">
        <w:rPr>
          <w:rFonts w:eastAsia="Times New Roman" w:cs="Times New Roman"/>
        </w:rPr>
        <w:t xml:space="preserve">defined by all of the </w:t>
      </w:r>
      <w:r w:rsidRPr="0064359E">
        <w:rPr>
          <w:rFonts w:eastAsia="Times New Roman" w:cs="Times New Roman"/>
        </w:rPr>
        <w:t>households and businesses th</w:t>
      </w:r>
      <w:r>
        <w:rPr>
          <w:rFonts w:eastAsia="Times New Roman" w:cs="Times New Roman"/>
        </w:rPr>
        <w:t>at are wired to a single point or central office</w:t>
      </w:r>
      <w:r w:rsidR="002F1251">
        <w:rPr>
          <w:rFonts w:eastAsia="Times New Roman" w:cs="Times New Roman"/>
        </w:rPr>
        <w:t xml:space="preserve"> for their telephone service</w:t>
      </w:r>
      <w:r>
        <w:rPr>
          <w:rFonts w:eastAsia="Times New Roman" w:cs="Times New Roman"/>
        </w:rPr>
        <w:t xml:space="preserve">.  </w:t>
      </w:r>
      <w:r w:rsidRPr="0064359E">
        <w:rPr>
          <w:rFonts w:eastAsia="Times New Roman" w:cs="Times New Roman"/>
        </w:rPr>
        <w:t>A central office contains the telephony switches that route outgoing calls onto the US telephone network and route incoming calls to the in</w:t>
      </w:r>
      <w:r>
        <w:rPr>
          <w:rFonts w:eastAsia="Times New Roman" w:cs="Times New Roman"/>
        </w:rPr>
        <w:t xml:space="preserve">dividual residence or business. </w:t>
      </w:r>
      <w:r w:rsidRPr="0064359E">
        <w:rPr>
          <w:rFonts w:eastAsia="Times New Roman" w:cs="Times New Roman"/>
        </w:rPr>
        <w:t xml:space="preserve"> There are roughly 23,000 wire centers in the US and they are typically larger than a </w:t>
      </w:r>
      <w:r w:rsidR="004A1A42">
        <w:rPr>
          <w:rFonts w:eastAsia="Times New Roman" w:cs="Times New Roman"/>
        </w:rPr>
        <w:t>zip</w:t>
      </w:r>
      <w:r w:rsidRPr="0064359E">
        <w:rPr>
          <w:rFonts w:eastAsia="Times New Roman" w:cs="Times New Roman"/>
        </w:rPr>
        <w:t xml:space="preserve"> </w:t>
      </w:r>
      <w:r w:rsidR="004A1A42">
        <w:rPr>
          <w:rFonts w:eastAsia="Times New Roman" w:cs="Times New Roman"/>
        </w:rPr>
        <w:t>c</w:t>
      </w:r>
      <w:r>
        <w:rPr>
          <w:rFonts w:eastAsia="Times New Roman" w:cs="Times New Roman"/>
        </w:rPr>
        <w:t xml:space="preserve">ode but smaller than a county. </w:t>
      </w:r>
      <w:r w:rsidRPr="0064359E">
        <w:rPr>
          <w:rFonts w:eastAsia="Times New Roman" w:cs="Times New Roman"/>
        </w:rPr>
        <w:t xml:space="preserve"> Every wire line household and business is connected to a wire center.</w:t>
      </w:r>
    </w:p>
    <w:p w:rsidR="00C9429F" w:rsidRDefault="0064359E">
      <w:pPr>
        <w:autoSpaceDE w:val="0"/>
        <w:autoSpaceDN w:val="0"/>
        <w:adjustRightInd w:val="0"/>
        <w:spacing w:before="120"/>
        <w:ind w:left="360"/>
        <w:rPr>
          <w:rFonts w:eastAsia="Times New Roman" w:cs="Times New Roman"/>
        </w:rPr>
      </w:pPr>
      <w:r w:rsidRPr="0064359E">
        <w:rPr>
          <w:rFonts w:eastAsia="Times New Roman" w:cs="Times New Roman"/>
        </w:rPr>
        <w:t>New cellular telephone numbers are assigned to individuals based on the wire center where the</w:t>
      </w:r>
      <w:r>
        <w:rPr>
          <w:rFonts w:eastAsia="Times New Roman" w:cs="Times New Roman"/>
        </w:rPr>
        <w:t xml:space="preserve"> phone activation takes place.  </w:t>
      </w:r>
      <w:r w:rsidRPr="0064359E">
        <w:rPr>
          <w:rFonts w:eastAsia="Times New Roman" w:cs="Times New Roman"/>
        </w:rPr>
        <w:t>Most (but not all) people will purchase a cellular t</w:t>
      </w:r>
      <w:r>
        <w:rPr>
          <w:rFonts w:eastAsia="Times New Roman" w:cs="Times New Roman"/>
        </w:rPr>
        <w:t xml:space="preserve">elephone near where they live.  </w:t>
      </w:r>
      <w:r w:rsidR="004A1A42">
        <w:rPr>
          <w:rFonts w:eastAsia="Times New Roman" w:cs="Times New Roman"/>
        </w:rPr>
        <w:t>T</w:t>
      </w:r>
      <w:r w:rsidRPr="0064359E">
        <w:rPr>
          <w:rFonts w:eastAsia="Times New Roman" w:cs="Times New Roman"/>
        </w:rPr>
        <w:t>he cellular thousand series blocks that are “homed</w:t>
      </w:r>
      <w:r>
        <w:rPr>
          <w:rFonts w:eastAsia="Times New Roman" w:cs="Times New Roman"/>
        </w:rPr>
        <w:t>” to a particular wire center</w:t>
      </w:r>
      <w:r w:rsidR="004A1A42">
        <w:rPr>
          <w:rFonts w:eastAsia="Times New Roman" w:cs="Times New Roman"/>
        </w:rPr>
        <w:t xml:space="preserve"> can be identified</w:t>
      </w:r>
      <w:r>
        <w:rPr>
          <w:rFonts w:eastAsia="Times New Roman" w:cs="Times New Roman"/>
        </w:rPr>
        <w:t xml:space="preserve">.  </w:t>
      </w:r>
      <w:r w:rsidRPr="0064359E">
        <w:rPr>
          <w:rFonts w:eastAsia="Times New Roman" w:cs="Times New Roman"/>
        </w:rPr>
        <w:t>This provides the ability to define cellular sample frames sm</w:t>
      </w:r>
      <w:r>
        <w:rPr>
          <w:rFonts w:eastAsia="Times New Roman" w:cs="Times New Roman"/>
        </w:rPr>
        <w:t xml:space="preserve">aller than state or area code.  </w:t>
      </w:r>
      <w:r w:rsidRPr="0064359E">
        <w:rPr>
          <w:rFonts w:eastAsia="Times New Roman" w:cs="Times New Roman"/>
        </w:rPr>
        <w:t>An advantage of doing this is increased e</w:t>
      </w:r>
      <w:r>
        <w:rPr>
          <w:rFonts w:eastAsia="Times New Roman" w:cs="Times New Roman"/>
        </w:rPr>
        <w:t xml:space="preserve">fficiency of cellular samples.  </w:t>
      </w:r>
      <w:r w:rsidRPr="0064359E">
        <w:rPr>
          <w:rFonts w:eastAsia="Times New Roman" w:cs="Times New Roman"/>
        </w:rPr>
        <w:t>However, the sample will exclude people who may reside in these target wire centers who have a cellular telephone number that is “homed” to a wire center ou</w:t>
      </w:r>
      <w:r>
        <w:rPr>
          <w:rFonts w:eastAsia="Times New Roman" w:cs="Times New Roman"/>
        </w:rPr>
        <w:t xml:space="preserve">tside of the target geography.  </w:t>
      </w:r>
      <w:r w:rsidRPr="0064359E">
        <w:rPr>
          <w:rFonts w:eastAsia="Times New Roman" w:cs="Times New Roman"/>
        </w:rPr>
        <w:t>In addition, people may be contacted that no longer live in the target geography but have kept their cellular telephone number.</w:t>
      </w:r>
      <w:r w:rsidR="00AB028B">
        <w:rPr>
          <w:rFonts w:eastAsia="Times New Roman" w:cs="Times New Roman"/>
        </w:rPr>
        <w:t xml:space="preserve">  </w:t>
      </w:r>
      <w:r w:rsidR="00AB028B" w:rsidRPr="00AB028B">
        <w:rPr>
          <w:rFonts w:cs="Arial"/>
        </w:rPr>
        <w:t xml:space="preserve">Research by Arbitron </w:t>
      </w:r>
      <w:r w:rsidR="0021524E">
        <w:rPr>
          <w:rFonts w:cs="Arial"/>
        </w:rPr>
        <w:t>“</w:t>
      </w:r>
      <w:r w:rsidR="00AB028B" w:rsidRPr="00AB028B">
        <w:rPr>
          <w:rFonts w:cs="Arial"/>
        </w:rPr>
        <w:t>suggests that in 2005 approximately one-sixth of cell phone only subscribers lived outside the metropolitan area associated with their rate center.”</w:t>
      </w:r>
      <w:r w:rsidR="0021524E">
        <w:rPr>
          <w:rStyle w:val="FootnoteReference"/>
          <w:rFonts w:cs="Arial"/>
        </w:rPr>
        <w:footnoteReference w:id="4"/>
      </w:r>
    </w:p>
    <w:p w:rsidR="00C9429F" w:rsidRDefault="0064359E">
      <w:pPr>
        <w:pStyle w:val="ListParagraph"/>
        <w:spacing w:before="120"/>
        <w:ind w:left="360"/>
        <w:contextualSpacing w:val="0"/>
      </w:pPr>
      <w:r>
        <w:t>Using Wire Center data</w:t>
      </w:r>
      <w:r w:rsidR="000838A4">
        <w:t xml:space="preserve"> was </w:t>
      </w:r>
      <w:r w:rsidR="00094DA5">
        <w:t xml:space="preserve">effective in most CPI PSUs, but </w:t>
      </w:r>
      <w:r w:rsidR="000838A4">
        <w:t>problematic in some of the smaller PSUs in which there is not a single wire tower.  In these instances, phone numbers from wire towers in adjacent counties are u</w:t>
      </w:r>
      <w:r w:rsidR="005F6258">
        <w:t>sed by the TPOPS</w:t>
      </w:r>
      <w:r w:rsidR="000838A4">
        <w:t>.</w:t>
      </w:r>
      <w:r w:rsidR="00094DA5">
        <w:t xml:space="preserve">  </w:t>
      </w:r>
      <w:r w:rsidR="00133112">
        <w:t>Hence, g</w:t>
      </w:r>
      <w:r w:rsidR="00094DA5">
        <w:t xml:space="preserve">eographic screen outs for these small PSUs </w:t>
      </w:r>
      <w:r w:rsidR="00133112">
        <w:t>were</w:t>
      </w:r>
      <w:r w:rsidR="00094DA5">
        <w:t xml:space="preserve"> </w:t>
      </w:r>
      <w:r w:rsidR="00133112">
        <w:t>expected to be higher</w:t>
      </w:r>
      <w:r w:rsidR="00094DA5">
        <w:t>.</w:t>
      </w:r>
    </w:p>
    <w:p w:rsidR="00C9429F" w:rsidRDefault="0064359E">
      <w:pPr>
        <w:pStyle w:val="ListParagraph"/>
        <w:spacing w:before="120"/>
        <w:ind w:left="360"/>
        <w:contextualSpacing w:val="0"/>
      </w:pPr>
      <w:r w:rsidRPr="0064359E">
        <w:t xml:space="preserve">To estimate expected hit rates for the CPI PSUs, a sample of 200 phone numbers </w:t>
      </w:r>
      <w:r w:rsidR="00133112">
        <w:t>was</w:t>
      </w:r>
      <w:r w:rsidRPr="0064359E">
        <w:t xml:space="preserve"> drawn for </w:t>
      </w:r>
      <w:r w:rsidR="00112105">
        <w:t>most PSUs</w:t>
      </w:r>
      <w:r w:rsidRPr="0064359E">
        <w:t xml:space="preserve"> in the CPI.  (4</w:t>
      </w:r>
      <w:r w:rsidR="00112105">
        <w:t>50</w:t>
      </w:r>
      <w:r w:rsidR="00BF61AA">
        <w:t xml:space="preserve"> cell phone </w:t>
      </w:r>
      <w:r w:rsidRPr="0064359E">
        <w:t xml:space="preserve">numbers </w:t>
      </w:r>
      <w:r w:rsidR="00BF61AA">
        <w:t>were</w:t>
      </w:r>
      <w:r w:rsidRPr="0064359E">
        <w:t xml:space="preserve"> drawn fo</w:t>
      </w:r>
      <w:r w:rsidR="00112105">
        <w:t xml:space="preserve">r </w:t>
      </w:r>
      <w:r w:rsidR="00AB028B">
        <w:t>New York, Chicago and Los Angeles</w:t>
      </w:r>
      <w:r w:rsidR="00112105">
        <w:t xml:space="preserve">, i.e. 225 </w:t>
      </w:r>
      <w:r w:rsidR="007514F2">
        <w:t xml:space="preserve">numbers were drawn </w:t>
      </w:r>
      <w:r w:rsidR="00112105">
        <w:t xml:space="preserve">for each half sample and 400 were drawn for small </w:t>
      </w:r>
      <w:r w:rsidR="00AB028B">
        <w:t>area</w:t>
      </w:r>
      <w:r w:rsidR="00112105">
        <w:t>s with no wire centers within their boundaries</w:t>
      </w:r>
      <w:r w:rsidRPr="0064359E">
        <w:t xml:space="preserve">)  Additionally, 25 landlines </w:t>
      </w:r>
      <w:r>
        <w:t>were</w:t>
      </w:r>
      <w:r w:rsidRPr="0064359E">
        <w:t xml:space="preserve"> added to the sample for </w:t>
      </w:r>
      <w:r w:rsidR="00AB028B">
        <w:t>New York City and its subur</w:t>
      </w:r>
      <w:r w:rsidR="00133112">
        <w:t>bs</w:t>
      </w:r>
      <w:r w:rsidRPr="0064359E">
        <w:t xml:space="preserve"> for a total of 100</w:t>
      </w:r>
      <w:r w:rsidR="00112105">
        <w:t xml:space="preserve"> landline calls</w:t>
      </w:r>
      <w:r w:rsidR="005F6258">
        <w:t xml:space="preserve"> to test the landline path in the instrument</w:t>
      </w:r>
      <w:r w:rsidR="00133112">
        <w:t>, described below</w:t>
      </w:r>
      <w:r w:rsidR="00112105">
        <w:t>.  In total, 19,300</w:t>
      </w:r>
      <w:r w:rsidRPr="0064359E">
        <w:t xml:space="preserve"> calls </w:t>
      </w:r>
      <w:r w:rsidR="00112105">
        <w:t>were</w:t>
      </w:r>
      <w:r w:rsidRPr="0064359E">
        <w:t xml:space="preserve"> made.  Respondents </w:t>
      </w:r>
      <w:r w:rsidR="00112105">
        <w:t>were</w:t>
      </w:r>
      <w:r w:rsidRPr="0064359E">
        <w:t xml:space="preserve"> asked the same</w:t>
      </w:r>
      <w:r w:rsidR="00BF61AA">
        <w:t xml:space="preserve"> set of</w:t>
      </w:r>
      <w:r w:rsidRPr="0064359E">
        <w:t xml:space="preserve"> commodity questions or POPS groups as the </w:t>
      </w:r>
      <w:r w:rsidR="00133112">
        <w:t>production sample for each PSU.</w:t>
      </w:r>
    </w:p>
    <w:p w:rsidR="00A273D7" w:rsidRDefault="00A273D7" w:rsidP="004A1A42">
      <w:pPr>
        <w:pStyle w:val="ListParagraph"/>
        <w:ind w:left="0" w:firstLine="360"/>
      </w:pPr>
    </w:p>
    <w:p w:rsidR="002717D6" w:rsidRPr="00A273D7" w:rsidRDefault="00202E3C" w:rsidP="003672E6">
      <w:pPr>
        <w:pStyle w:val="ListParagraph"/>
        <w:ind w:left="360"/>
        <w:rPr>
          <w:u w:val="single"/>
        </w:rPr>
      </w:pPr>
      <w:r w:rsidRPr="00202E3C">
        <w:rPr>
          <w:u w:val="single"/>
        </w:rPr>
        <w:t>Instrument Changes to Accommodate Cell Phone Respondents</w:t>
      </w:r>
    </w:p>
    <w:p w:rsidR="0064359E" w:rsidRDefault="00112105" w:rsidP="003672E6">
      <w:pPr>
        <w:pStyle w:val="ListParagraph"/>
        <w:ind w:left="360"/>
      </w:pPr>
      <w:r>
        <w:t xml:space="preserve">With the ultimate goal of developing a single data collection instrument </w:t>
      </w:r>
      <w:r w:rsidR="00EE5A40">
        <w:t>to support the dual frame design</w:t>
      </w:r>
      <w:r>
        <w:t>, t</w:t>
      </w:r>
      <w:r w:rsidR="0064359E">
        <w:t xml:space="preserve">he TPOPS </w:t>
      </w:r>
      <w:r>
        <w:t>test</w:t>
      </w:r>
      <w:r w:rsidR="0064359E">
        <w:t xml:space="preserve"> instrument needed to be modified to accommodate </w:t>
      </w:r>
      <w:r>
        <w:t xml:space="preserve">both </w:t>
      </w:r>
      <w:r w:rsidR="0064359E">
        <w:t>c</w:t>
      </w:r>
      <w:r>
        <w:t>ell phone and landline respondents.  Because phone numbers pulled from both the landline and the cell phone frames were called</w:t>
      </w:r>
      <w:r w:rsidR="00377405">
        <w:t xml:space="preserve"> in the test</w:t>
      </w:r>
      <w:r>
        <w:t>, a variable was added to the instrument to be able to track the source of each phone number.  The first question</w:t>
      </w:r>
      <w:r w:rsidR="00D126CA">
        <w:t>,</w:t>
      </w:r>
      <w:r>
        <w:t xml:space="preserve"> regardless of the </w:t>
      </w:r>
      <w:r w:rsidR="001269A8">
        <w:t>frame</w:t>
      </w:r>
      <w:r w:rsidR="0093231F">
        <w:t xml:space="preserve"> </w:t>
      </w:r>
      <w:r>
        <w:t>source</w:t>
      </w:r>
      <w:r w:rsidR="00D126CA">
        <w:t>,</w:t>
      </w:r>
      <w:r>
        <w:t xml:space="preserve"> was </w:t>
      </w:r>
      <w:r w:rsidR="0093231F">
        <w:t xml:space="preserve">asked </w:t>
      </w:r>
      <w:r>
        <w:t xml:space="preserve">to determine if the respondent was using a cell phone or a landline phone.  This allowed different paths for different types of phone service and allowed the interviewer to ensure cell phone respondent safety </w:t>
      </w:r>
      <w:r w:rsidR="00377405">
        <w:t>early in the interview</w:t>
      </w:r>
      <w:r>
        <w:t>.</w:t>
      </w:r>
      <w:r w:rsidR="00377405">
        <w:t xml:space="preserve">  The paths merged for respo</w:t>
      </w:r>
      <w:r w:rsidR="001269A8">
        <w:t>ndents regardless of whether they answered on a cell phone or a landline phone</w:t>
      </w:r>
      <w:r w:rsidR="00377405">
        <w:t xml:space="preserve"> when the geography screening questions were asked.</w:t>
      </w:r>
    </w:p>
    <w:p w:rsidR="00377405" w:rsidRDefault="00377405" w:rsidP="003672E6">
      <w:pPr>
        <w:pStyle w:val="ListParagraph"/>
        <w:ind w:left="360"/>
      </w:pPr>
    </w:p>
    <w:p w:rsidR="00377405" w:rsidRPr="00A273D7" w:rsidRDefault="00202E3C" w:rsidP="003672E6">
      <w:pPr>
        <w:pStyle w:val="ListParagraph"/>
        <w:ind w:left="360"/>
        <w:rPr>
          <w:u w:val="single"/>
        </w:rPr>
      </w:pPr>
      <w:r w:rsidRPr="00202E3C">
        <w:rPr>
          <w:u w:val="single"/>
        </w:rPr>
        <w:t>Movers</w:t>
      </w:r>
    </w:p>
    <w:p w:rsidR="005E0CE8" w:rsidRDefault="00133112" w:rsidP="003672E6">
      <w:pPr>
        <w:pStyle w:val="ListParagraph"/>
        <w:ind w:left="360"/>
      </w:pPr>
      <w:r>
        <w:t>E</w:t>
      </w:r>
      <w:r w:rsidR="005E0CE8">
        <w:t xml:space="preserve">vidence suggests that when cell phone owners move to a different area, they often </w:t>
      </w:r>
      <w:r w:rsidR="004D21C6">
        <w:t>keep their phone numbers.  T</w:t>
      </w:r>
      <w:r w:rsidR="005E0CE8">
        <w:t xml:space="preserve">o </w:t>
      </w:r>
      <w:r w:rsidR="004D21C6">
        <w:t>assess</w:t>
      </w:r>
      <w:r w:rsidR="005E0CE8">
        <w:t xml:space="preserve"> the impact of </w:t>
      </w:r>
      <w:r w:rsidR="004D21C6">
        <w:t>this phenomenon</w:t>
      </w:r>
      <w:r w:rsidR="008F1014">
        <w:t xml:space="preserve"> on the TPOPS</w:t>
      </w:r>
      <w:r w:rsidR="004D21C6">
        <w:t xml:space="preserve">, the test instrument was designed to follow </w:t>
      </w:r>
      <w:r w:rsidR="005E0CE8">
        <w:t>respondents that move</w:t>
      </w:r>
      <w:r w:rsidR="004D21C6">
        <w:t>d to a different CPI PSU.</w:t>
      </w:r>
      <w:r w:rsidR="005E0CE8">
        <w:t xml:space="preserve">  </w:t>
      </w:r>
      <w:r w:rsidR="004D21C6">
        <w:t xml:space="preserve">Of the 1,803 completed or partially completed interviews in the test, 312 or 17.3% </w:t>
      </w:r>
      <w:r w:rsidR="0093231F">
        <w:t xml:space="preserve">of respondents had </w:t>
      </w:r>
      <w:r w:rsidR="004D21C6">
        <w:t>moved to a different CPI PSU</w:t>
      </w:r>
      <w:r w:rsidR="0093231F">
        <w:t xml:space="preserve"> than the PSU for which they were selected</w:t>
      </w:r>
      <w:r w:rsidR="004D21C6">
        <w:t xml:space="preserve">.  </w:t>
      </w:r>
      <w:r w:rsidR="005255D2">
        <w:t xml:space="preserve">Of the 19,300 </w:t>
      </w:r>
      <w:r w:rsidR="004D21C6">
        <w:t xml:space="preserve">total </w:t>
      </w:r>
      <w:r w:rsidR="005255D2">
        <w:t>telephone calls made, 1,104 respondents (5.72%</w:t>
      </w:r>
      <w:r w:rsidR="004D21C6">
        <w:t>) had moved to a non-CPI area</w:t>
      </w:r>
      <w:r w:rsidR="00C7565B">
        <w:t xml:space="preserve"> and were screened out</w:t>
      </w:r>
      <w:r w:rsidR="004D21C6">
        <w:t>.  Because of these dramatic results, the inclusion of respondents that moved to a different CPI PSU became an objective of implementation.</w:t>
      </w:r>
    </w:p>
    <w:p w:rsidR="005E0CE8" w:rsidRDefault="005E0CE8" w:rsidP="003672E6">
      <w:pPr>
        <w:pStyle w:val="ListParagraph"/>
        <w:ind w:left="360"/>
      </w:pPr>
    </w:p>
    <w:p w:rsidR="00377405" w:rsidRPr="00A273D7" w:rsidRDefault="00202E3C" w:rsidP="003672E6">
      <w:pPr>
        <w:pStyle w:val="ListParagraph"/>
        <w:ind w:left="360"/>
        <w:rPr>
          <w:u w:val="single"/>
        </w:rPr>
      </w:pPr>
      <w:r w:rsidRPr="00202E3C">
        <w:rPr>
          <w:u w:val="single"/>
        </w:rPr>
        <w:t>Results of the Cell Phone Test</w:t>
      </w:r>
    </w:p>
    <w:p w:rsidR="00E24F1C" w:rsidRDefault="005427B9" w:rsidP="005427B9">
      <w:pPr>
        <w:pStyle w:val="ListParagraph"/>
        <w:ind w:left="360"/>
      </w:pPr>
      <w:r>
        <w:t xml:space="preserve">Out of the 19,300 telephone numbers that were called, 1,805 </w:t>
      </w:r>
      <w:r w:rsidR="0093231F">
        <w:t>resulted in</w:t>
      </w:r>
      <w:r>
        <w:t xml:space="preserve"> productive</w:t>
      </w:r>
      <w:r w:rsidR="0093231F">
        <w:t xml:space="preserve"> interviews</w:t>
      </w:r>
      <w:r>
        <w:t>.  After accounting for ineligible phone numbers, the overall response rate was 17.55%.  The response rate by PSU ranged from 0% in some of the smaller PSUs to 30.6% in B352, Beaumont, TX.</w:t>
      </w:r>
      <w:r w:rsidR="00586432">
        <w:t xml:space="preserve"> </w:t>
      </w:r>
      <w:r w:rsidR="00E24F1C">
        <w:t xml:space="preserve">The following tables show the differences in demographics between the cell phone test and regular TPOPS productive interviews.  </w:t>
      </w:r>
    </w:p>
    <w:p w:rsidR="00586432" w:rsidRDefault="00586432" w:rsidP="005427B9">
      <w:pPr>
        <w:pStyle w:val="ListParagraph"/>
        <w:ind w:left="360"/>
      </w:pPr>
    </w:p>
    <w:p w:rsidR="00C9429F" w:rsidRDefault="00202E3C">
      <w:pPr>
        <w:pStyle w:val="ListParagraph"/>
        <w:keepNext/>
        <w:ind w:left="360"/>
        <w:jc w:val="center"/>
        <w:rPr>
          <w:i/>
          <w:sz w:val="20"/>
          <w:szCs w:val="20"/>
        </w:rPr>
      </w:pPr>
      <w:r w:rsidRPr="00202E3C">
        <w:rPr>
          <w:b/>
          <w:sz w:val="20"/>
          <w:szCs w:val="20"/>
        </w:rPr>
        <w:t>Table 2</w:t>
      </w:r>
      <w:r w:rsidRPr="00202E3C">
        <w:rPr>
          <w:i/>
          <w:sz w:val="20"/>
          <w:szCs w:val="20"/>
        </w:rPr>
        <w:t xml:space="preserve"> Age comparison between the </w:t>
      </w:r>
      <w:r w:rsidR="001143B2">
        <w:rPr>
          <w:i/>
          <w:sz w:val="20"/>
          <w:szCs w:val="20"/>
        </w:rPr>
        <w:t>cell phone</w:t>
      </w:r>
      <w:r w:rsidRPr="00202E3C">
        <w:rPr>
          <w:i/>
          <w:sz w:val="20"/>
          <w:szCs w:val="20"/>
        </w:rPr>
        <w:t xml:space="preserve"> test and TPOPS production</w:t>
      </w:r>
      <w:r w:rsidR="000C17CF">
        <w:rPr>
          <w:i/>
          <w:sz w:val="20"/>
          <w:szCs w:val="20"/>
        </w:rPr>
        <w:t>,</w:t>
      </w:r>
      <w:r w:rsidRPr="00202E3C">
        <w:rPr>
          <w:i/>
          <w:sz w:val="20"/>
          <w:szCs w:val="20"/>
        </w:rPr>
        <w:t xml:space="preserve"> Q112</w:t>
      </w:r>
    </w:p>
    <w:p w:rsidR="003D1D0C" w:rsidRDefault="003D1D0C">
      <w:pPr>
        <w:pStyle w:val="ListParagraph"/>
        <w:keepNext/>
        <w:ind w:left="360"/>
        <w:jc w:val="center"/>
        <w:rPr>
          <w:sz w:val="20"/>
          <w:szCs w:val="20"/>
        </w:rPr>
      </w:pPr>
    </w:p>
    <w:p w:rsidR="003D1D0C" w:rsidRDefault="0049248C">
      <w:pPr>
        <w:pStyle w:val="ListParagraph"/>
        <w:keepNext/>
        <w:ind w:left="360"/>
        <w:jc w:val="center"/>
        <w:rPr>
          <w:sz w:val="20"/>
          <w:szCs w:val="20"/>
        </w:rPr>
      </w:pPr>
      <w:r>
        <w:rPr>
          <w:noProof/>
          <w:sz w:val="20"/>
          <w:szCs w:val="20"/>
        </w:rPr>
        <w:drawing>
          <wp:inline distT="0" distB="0" distL="0" distR="0">
            <wp:extent cx="4633442" cy="2509114"/>
            <wp:effectExtent l="19050" t="0" r="14758" b="5486"/>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D1D0C" w:rsidRDefault="003D1D0C">
      <w:pPr>
        <w:pStyle w:val="ListParagraph"/>
        <w:keepNext/>
        <w:ind w:left="360"/>
        <w:jc w:val="center"/>
        <w:rPr>
          <w:sz w:val="20"/>
          <w:szCs w:val="20"/>
        </w:rPr>
      </w:pPr>
    </w:p>
    <w:p w:rsidR="00C9429F" w:rsidRDefault="00C9429F">
      <w:pPr>
        <w:pStyle w:val="ListParagraph"/>
        <w:ind w:left="360"/>
        <w:jc w:val="center"/>
      </w:pPr>
    </w:p>
    <w:p w:rsidR="005427B9" w:rsidRDefault="005427B9" w:rsidP="005427B9">
      <w:pPr>
        <w:pStyle w:val="ListParagraph"/>
        <w:ind w:left="360"/>
      </w:pPr>
    </w:p>
    <w:p w:rsidR="00577846" w:rsidRDefault="00174F9A" w:rsidP="005427B9">
      <w:pPr>
        <w:pStyle w:val="ListParagraph"/>
        <w:ind w:left="360"/>
      </w:pPr>
      <w:r>
        <w:t>Table 2</w:t>
      </w:r>
      <w:r w:rsidR="0091506E">
        <w:t xml:space="preserve"> shows that the younger cohorts are much better represented in the cell phone test.  Similarly, older cohorts are well represented in the TPOPS landline only production.  </w:t>
      </w:r>
    </w:p>
    <w:p w:rsidR="0091506E" w:rsidRDefault="0091506E" w:rsidP="004A1A42"/>
    <w:p w:rsidR="00C9429F" w:rsidRDefault="00202E3C">
      <w:pPr>
        <w:pStyle w:val="ListParagraph"/>
        <w:ind w:left="360"/>
        <w:jc w:val="center"/>
        <w:rPr>
          <w:i/>
          <w:sz w:val="20"/>
          <w:szCs w:val="20"/>
        </w:rPr>
      </w:pPr>
      <w:r w:rsidRPr="00202E3C">
        <w:rPr>
          <w:b/>
          <w:sz w:val="20"/>
          <w:szCs w:val="20"/>
        </w:rPr>
        <w:t>Table 3</w:t>
      </w:r>
      <w:r w:rsidRPr="00202E3C">
        <w:rPr>
          <w:sz w:val="20"/>
          <w:szCs w:val="20"/>
        </w:rPr>
        <w:t xml:space="preserve"> </w:t>
      </w:r>
      <w:r w:rsidRPr="00202E3C">
        <w:rPr>
          <w:i/>
          <w:sz w:val="20"/>
          <w:szCs w:val="20"/>
        </w:rPr>
        <w:t xml:space="preserve">Origin of respondent comparison between the </w:t>
      </w:r>
      <w:r w:rsidR="001143B2">
        <w:rPr>
          <w:i/>
          <w:sz w:val="20"/>
          <w:szCs w:val="20"/>
        </w:rPr>
        <w:t>cell phone</w:t>
      </w:r>
      <w:r w:rsidRPr="00202E3C">
        <w:rPr>
          <w:i/>
          <w:sz w:val="20"/>
          <w:szCs w:val="20"/>
        </w:rPr>
        <w:t xml:space="preserve"> test and TPOPS production</w:t>
      </w:r>
      <w:r w:rsidR="000C17CF">
        <w:rPr>
          <w:i/>
          <w:sz w:val="20"/>
          <w:szCs w:val="20"/>
        </w:rPr>
        <w:t>,</w:t>
      </w:r>
      <w:r w:rsidRPr="00202E3C">
        <w:rPr>
          <w:i/>
          <w:sz w:val="20"/>
          <w:szCs w:val="20"/>
        </w:rPr>
        <w:t xml:space="preserve"> Q112</w:t>
      </w:r>
    </w:p>
    <w:p w:rsidR="00C9429F" w:rsidRDefault="00F41860">
      <w:pPr>
        <w:pStyle w:val="ListParagraph"/>
        <w:ind w:left="360"/>
        <w:jc w:val="center"/>
      </w:pPr>
      <w:r w:rsidRPr="00F41860">
        <w:rPr>
          <w:noProof/>
        </w:rPr>
        <w:drawing>
          <wp:inline distT="0" distB="0" distL="0" distR="0">
            <wp:extent cx="4229202" cy="2626156"/>
            <wp:effectExtent l="19050" t="0" r="18948" b="2744"/>
            <wp:docPr id="1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506E" w:rsidRDefault="0091506E" w:rsidP="00577846">
      <w:pPr>
        <w:pStyle w:val="ListParagraph"/>
        <w:ind w:left="360"/>
      </w:pPr>
    </w:p>
    <w:p w:rsidR="00F00E2F" w:rsidRDefault="00F00E2F" w:rsidP="00F36995">
      <w:pPr>
        <w:pStyle w:val="ListParagraph"/>
        <w:ind w:left="0"/>
      </w:pPr>
    </w:p>
    <w:p w:rsidR="00C9429F" w:rsidRDefault="00202E3C">
      <w:pPr>
        <w:pStyle w:val="ListParagraph"/>
        <w:keepNext/>
        <w:ind w:left="360"/>
        <w:jc w:val="center"/>
        <w:rPr>
          <w:sz w:val="20"/>
          <w:szCs w:val="20"/>
        </w:rPr>
      </w:pPr>
      <w:r w:rsidRPr="00202E3C">
        <w:rPr>
          <w:b/>
          <w:sz w:val="20"/>
          <w:szCs w:val="20"/>
        </w:rPr>
        <w:t>Table 4</w:t>
      </w:r>
      <w:r w:rsidRPr="00202E3C">
        <w:rPr>
          <w:sz w:val="20"/>
          <w:szCs w:val="20"/>
        </w:rPr>
        <w:t xml:space="preserve"> </w:t>
      </w:r>
      <w:r w:rsidRPr="00202E3C">
        <w:rPr>
          <w:i/>
          <w:sz w:val="20"/>
          <w:szCs w:val="20"/>
        </w:rPr>
        <w:t xml:space="preserve">Sex of respondent comparison between the </w:t>
      </w:r>
      <w:r w:rsidR="001143B2">
        <w:rPr>
          <w:i/>
          <w:sz w:val="20"/>
          <w:szCs w:val="20"/>
        </w:rPr>
        <w:t>cell phone</w:t>
      </w:r>
      <w:r w:rsidRPr="00202E3C">
        <w:rPr>
          <w:i/>
          <w:sz w:val="20"/>
          <w:szCs w:val="20"/>
        </w:rPr>
        <w:t xml:space="preserve"> test and TPOPS production</w:t>
      </w:r>
      <w:r w:rsidR="000C17CF">
        <w:rPr>
          <w:i/>
          <w:sz w:val="20"/>
          <w:szCs w:val="20"/>
        </w:rPr>
        <w:t>,</w:t>
      </w:r>
      <w:r w:rsidRPr="00202E3C">
        <w:rPr>
          <w:i/>
          <w:sz w:val="20"/>
          <w:szCs w:val="20"/>
        </w:rPr>
        <w:t xml:space="preserve"> Q112</w:t>
      </w:r>
    </w:p>
    <w:p w:rsidR="00C9429F" w:rsidRDefault="00F41860">
      <w:pPr>
        <w:pStyle w:val="ListParagraph"/>
        <w:ind w:left="360"/>
        <w:jc w:val="center"/>
      </w:pPr>
      <w:r w:rsidRPr="00F41860">
        <w:rPr>
          <w:noProof/>
        </w:rPr>
        <w:drawing>
          <wp:inline distT="0" distB="0" distL="0" distR="0">
            <wp:extent cx="4278808" cy="2604211"/>
            <wp:effectExtent l="19050" t="0" r="26492" b="5639"/>
            <wp:docPr id="1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27B9" w:rsidRDefault="005427B9" w:rsidP="00F36995">
      <w:pPr>
        <w:pStyle w:val="ListParagraph"/>
        <w:ind w:left="0"/>
      </w:pPr>
    </w:p>
    <w:p w:rsidR="00F41860" w:rsidRDefault="00F41860" w:rsidP="00F36995">
      <w:pPr>
        <w:pStyle w:val="ListParagraph"/>
        <w:ind w:left="0"/>
      </w:pPr>
    </w:p>
    <w:p w:rsidR="00C9429F" w:rsidRDefault="00202E3C">
      <w:pPr>
        <w:pStyle w:val="ListParagraph"/>
        <w:keepNext/>
        <w:ind w:left="360"/>
        <w:jc w:val="center"/>
        <w:rPr>
          <w:i/>
          <w:sz w:val="20"/>
          <w:szCs w:val="20"/>
        </w:rPr>
      </w:pPr>
      <w:r w:rsidRPr="00202E3C">
        <w:rPr>
          <w:b/>
          <w:sz w:val="20"/>
          <w:szCs w:val="20"/>
        </w:rPr>
        <w:t xml:space="preserve">Table </w:t>
      </w:r>
      <w:r w:rsidRPr="00202E3C">
        <w:rPr>
          <w:b/>
          <w:i/>
          <w:sz w:val="20"/>
          <w:szCs w:val="20"/>
        </w:rPr>
        <w:t>5</w:t>
      </w:r>
      <w:r w:rsidRPr="00202E3C">
        <w:rPr>
          <w:i/>
          <w:sz w:val="20"/>
          <w:szCs w:val="20"/>
        </w:rPr>
        <w:t xml:space="preserve">   Race of respondent comparison between the </w:t>
      </w:r>
      <w:r w:rsidR="001143B2">
        <w:rPr>
          <w:i/>
          <w:sz w:val="20"/>
          <w:szCs w:val="20"/>
        </w:rPr>
        <w:t>cell phone</w:t>
      </w:r>
      <w:r w:rsidRPr="00202E3C">
        <w:rPr>
          <w:i/>
          <w:sz w:val="20"/>
          <w:szCs w:val="20"/>
        </w:rPr>
        <w:t xml:space="preserve"> test and TPOPS production</w:t>
      </w:r>
      <w:r w:rsidR="000C17CF">
        <w:rPr>
          <w:i/>
          <w:sz w:val="20"/>
          <w:szCs w:val="20"/>
        </w:rPr>
        <w:t>,</w:t>
      </w:r>
      <w:r w:rsidRPr="00202E3C">
        <w:rPr>
          <w:i/>
          <w:sz w:val="20"/>
          <w:szCs w:val="20"/>
        </w:rPr>
        <w:t xml:space="preserve"> Q112</w:t>
      </w:r>
    </w:p>
    <w:p w:rsidR="00C9429F" w:rsidRDefault="009009C9">
      <w:pPr>
        <w:pStyle w:val="ListParagraph"/>
        <w:ind w:left="0"/>
        <w:jc w:val="center"/>
      </w:pPr>
      <w:r w:rsidRPr="009009C9">
        <w:rPr>
          <w:noProof/>
        </w:rPr>
        <w:drawing>
          <wp:inline distT="0" distB="0" distL="0" distR="0">
            <wp:extent cx="5599024" cy="4681728"/>
            <wp:effectExtent l="19050" t="0" r="20726" b="4572"/>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009C9" w:rsidRDefault="009009C9" w:rsidP="00F36995">
      <w:pPr>
        <w:pStyle w:val="ListParagraph"/>
        <w:ind w:left="0"/>
      </w:pPr>
    </w:p>
    <w:p w:rsidR="00E24F1C" w:rsidRDefault="00E24F1C" w:rsidP="008642C7">
      <w:pPr>
        <w:pStyle w:val="ListParagraph"/>
        <w:ind w:left="360"/>
      </w:pPr>
    </w:p>
    <w:p w:rsidR="007433C0" w:rsidRDefault="007433C0" w:rsidP="00F36995">
      <w:pPr>
        <w:pStyle w:val="ListParagraph"/>
        <w:ind w:left="0"/>
      </w:pPr>
    </w:p>
    <w:p w:rsidR="009009C9" w:rsidRPr="001E4206" w:rsidRDefault="00F00E2F" w:rsidP="00F36995">
      <w:pPr>
        <w:pStyle w:val="ListParagraph"/>
        <w:ind w:left="0"/>
        <w:rPr>
          <w:b/>
        </w:rPr>
      </w:pPr>
      <w:r w:rsidRPr="001E4206">
        <w:rPr>
          <w:b/>
        </w:rPr>
        <w:t xml:space="preserve">SECTION </w:t>
      </w:r>
      <w:r w:rsidR="00A273D7">
        <w:rPr>
          <w:b/>
        </w:rPr>
        <w:t>3</w:t>
      </w:r>
      <w:r w:rsidRPr="001E4206">
        <w:rPr>
          <w:b/>
        </w:rPr>
        <w:t>: P</w:t>
      </w:r>
      <w:r w:rsidR="00587672" w:rsidRPr="001E4206">
        <w:rPr>
          <w:b/>
        </w:rPr>
        <w:t>LANS FOR THE DUAL FRAME DESIGN IN TPOPS</w:t>
      </w:r>
    </w:p>
    <w:p w:rsidR="00200838" w:rsidRDefault="00200838" w:rsidP="00F36995">
      <w:pPr>
        <w:pStyle w:val="ListParagraph"/>
        <w:ind w:left="0"/>
      </w:pPr>
      <w:r w:rsidRPr="001E4206">
        <w:t xml:space="preserve">The </w:t>
      </w:r>
      <w:r w:rsidR="002871F1" w:rsidRPr="001E4206">
        <w:t xml:space="preserve">survey </w:t>
      </w:r>
      <w:r w:rsidRPr="001E4206">
        <w:t xml:space="preserve">considerations for </w:t>
      </w:r>
      <w:r w:rsidR="002871F1" w:rsidRPr="001E4206">
        <w:t>the inclusion of</w:t>
      </w:r>
      <w:r w:rsidRPr="001E4206">
        <w:t xml:space="preserve"> cell phone frame </w:t>
      </w:r>
      <w:r w:rsidR="002871F1" w:rsidRPr="001E4206">
        <w:t>cases in</w:t>
      </w:r>
      <w:r w:rsidRPr="001E4206">
        <w:t xml:space="preserve"> </w:t>
      </w:r>
      <w:r w:rsidR="002871F1" w:rsidRPr="001E4206">
        <w:t xml:space="preserve">the </w:t>
      </w:r>
      <w:r w:rsidRPr="001E4206">
        <w:t xml:space="preserve">TPOPS’ production </w:t>
      </w:r>
      <w:r w:rsidR="002871F1" w:rsidRPr="001E4206">
        <w:t>sample in Q122 and Q123 are</w:t>
      </w:r>
      <w:r w:rsidR="008E78F2" w:rsidRPr="001E4206">
        <w:t>: (i)</w:t>
      </w:r>
      <w:r w:rsidRPr="001E4206">
        <w:t xml:space="preserve"> changes to the instrument to accommodate </w:t>
      </w:r>
      <w:r w:rsidR="00F8530B" w:rsidRPr="001E4206">
        <w:t>returning cases</w:t>
      </w:r>
      <w:r w:rsidR="00A7047E" w:rsidRPr="001E4206">
        <w:t xml:space="preserve">, </w:t>
      </w:r>
      <w:r w:rsidR="008E78F2" w:rsidRPr="001E4206">
        <w:t xml:space="preserve">(ii) </w:t>
      </w:r>
      <w:r w:rsidR="00A7047E" w:rsidRPr="001E4206">
        <w:t>weighting (including</w:t>
      </w:r>
      <w:r w:rsidR="00695019" w:rsidRPr="001E4206">
        <w:t xml:space="preserve"> </w:t>
      </w:r>
      <w:r w:rsidR="002871F1" w:rsidRPr="001E4206">
        <w:t>special handling of</w:t>
      </w:r>
      <w:r w:rsidR="00695019" w:rsidRPr="001E4206">
        <w:t xml:space="preserve"> respondents that </w:t>
      </w:r>
      <w:r w:rsidRPr="001E4206">
        <w:t>move</w:t>
      </w:r>
      <w:r w:rsidR="00695019" w:rsidRPr="001E4206">
        <w:t>d from</w:t>
      </w:r>
      <w:r w:rsidR="00695019">
        <w:t xml:space="preserve"> the PSU for which they were initially selected</w:t>
      </w:r>
      <w:r>
        <w:t xml:space="preserve">), </w:t>
      </w:r>
      <w:r w:rsidR="008E78F2">
        <w:t xml:space="preserve">(iii) </w:t>
      </w:r>
      <w:r>
        <w:t>target</w:t>
      </w:r>
      <w:r w:rsidR="00A7047E">
        <w:t xml:space="preserve"> number of</w:t>
      </w:r>
      <w:r>
        <w:t xml:space="preserve"> interviews by frame</w:t>
      </w:r>
      <w:r w:rsidR="00AE7430">
        <w:t>,</w:t>
      </w:r>
      <w:r>
        <w:t xml:space="preserve"> and </w:t>
      </w:r>
      <w:r w:rsidR="008E78F2">
        <w:t xml:space="preserve">(iv) </w:t>
      </w:r>
      <w:r>
        <w:t>cost.</w:t>
      </w:r>
    </w:p>
    <w:p w:rsidR="00200838" w:rsidRDefault="00200838" w:rsidP="00F36995">
      <w:pPr>
        <w:pStyle w:val="ListParagraph"/>
        <w:ind w:left="0"/>
      </w:pPr>
    </w:p>
    <w:p w:rsidR="00200838" w:rsidRPr="000C17CF" w:rsidRDefault="00202E3C" w:rsidP="0091506E">
      <w:pPr>
        <w:pStyle w:val="ListParagraph"/>
        <w:ind w:left="360"/>
        <w:rPr>
          <w:u w:val="single"/>
        </w:rPr>
      </w:pPr>
      <w:r w:rsidRPr="00202E3C">
        <w:rPr>
          <w:u w:val="single"/>
        </w:rPr>
        <w:t>The TPOPS Instrument</w:t>
      </w:r>
    </w:p>
    <w:p w:rsidR="00AD2C3D" w:rsidRDefault="00AD2C3D" w:rsidP="0091506E">
      <w:pPr>
        <w:pStyle w:val="ListParagraph"/>
        <w:ind w:left="360"/>
      </w:pPr>
      <w:r>
        <w:t xml:space="preserve">While the instrument changes for the cell phone test provide paths for cell or landline phone respondents, they were designed only for the first interview with a respondent.  </w:t>
      </w:r>
      <w:r w:rsidR="00775632">
        <w:t>The instrument needed to be changed to support interviews two through four</w:t>
      </w:r>
      <w:r w:rsidR="00356442">
        <w:t xml:space="preserve"> and</w:t>
      </w:r>
      <w:r w:rsidR="00775632">
        <w:t xml:space="preserve"> to handle respondents that </w:t>
      </w:r>
      <w:r w:rsidR="00F8530B">
        <w:t>had moved since their first contact.</w:t>
      </w:r>
      <w:r w:rsidR="00775632">
        <w:t xml:space="preserve">  Census updated the instrument to addr</w:t>
      </w:r>
      <w:r w:rsidR="00C23C46">
        <w:t xml:space="preserve">ess all of these concerns.  </w:t>
      </w:r>
      <w:r w:rsidR="00C23C46" w:rsidRPr="00B5569E">
        <w:t xml:space="preserve">See </w:t>
      </w:r>
      <w:r w:rsidR="00B5569E" w:rsidRPr="00B5569E">
        <w:t>A</w:t>
      </w:r>
      <w:r w:rsidR="00C23C46" w:rsidRPr="00B5569E">
        <w:t xml:space="preserve">ppendix </w:t>
      </w:r>
      <w:r w:rsidR="00B5569E" w:rsidRPr="00B5569E">
        <w:t>B</w:t>
      </w:r>
      <w:r w:rsidR="00C23C46" w:rsidRPr="00B5569E">
        <w:t xml:space="preserve"> </w:t>
      </w:r>
      <w:r w:rsidR="00C23C46" w:rsidRPr="00C23C46">
        <w:t>TPOPS Requirement for Q122—Implementation of the Cell Phone Frame in Production</w:t>
      </w:r>
      <w:r w:rsidR="00F8530B">
        <w:t xml:space="preserve"> for a</w:t>
      </w:r>
      <w:r w:rsidR="00501005">
        <w:t xml:space="preserve"> detailed explanat</w:t>
      </w:r>
      <w:r w:rsidR="00F8530B">
        <w:t>ion of these instrument changes.</w:t>
      </w:r>
    </w:p>
    <w:p w:rsidR="00C9429F" w:rsidRDefault="00202E3C">
      <w:pPr>
        <w:pStyle w:val="ListParagraph"/>
        <w:spacing w:before="120"/>
        <w:ind w:left="360"/>
        <w:contextualSpacing w:val="0"/>
        <w:rPr>
          <w:u w:val="single"/>
        </w:rPr>
      </w:pPr>
      <w:r w:rsidRPr="00202E3C">
        <w:rPr>
          <w:u w:val="single"/>
        </w:rPr>
        <w:t>Weighting</w:t>
      </w:r>
    </w:p>
    <w:p w:rsidR="003D2246" w:rsidRDefault="003249CC" w:rsidP="0091506E">
      <w:pPr>
        <w:pStyle w:val="ListParagraph"/>
        <w:ind w:left="360"/>
      </w:pPr>
      <w:r>
        <w:t>The Demographics Statistical Methods Division at the Census Bureau developed the methodology for weighting TPOPS’ dual frame design</w:t>
      </w:r>
      <w:r w:rsidR="00AC38B5">
        <w:t xml:space="preserve">.  It was </w:t>
      </w:r>
      <w:r w:rsidR="00501005">
        <w:t>chosen to</w:t>
      </w:r>
      <w:r w:rsidR="00C55CA2">
        <w:t xml:space="preserve"> maximize each contact that is made</w:t>
      </w:r>
      <w:r w:rsidR="00501005">
        <w:t>, specifically to increase the number of eligible cases</w:t>
      </w:r>
      <w:r w:rsidR="009272B5" w:rsidRPr="00AC38B5">
        <w:t>.</w:t>
      </w:r>
      <w:r w:rsidR="00C55CA2">
        <w:t xml:space="preserve">  When implementing a dual frame RDD telephone survey, there are </w:t>
      </w:r>
      <w:r w:rsidR="00AE7430">
        <w:t>several</w:t>
      </w:r>
      <w:r w:rsidR="00C55CA2">
        <w:t xml:space="preserve"> general weighting methodologies</w:t>
      </w:r>
      <w:r w:rsidR="00D30436">
        <w:t xml:space="preserve"> that </w:t>
      </w:r>
      <w:r w:rsidR="003D2246">
        <w:t>can be</w:t>
      </w:r>
      <w:r w:rsidR="00D30436">
        <w:t xml:space="preserve"> considered</w:t>
      </w:r>
      <w:r w:rsidR="00C55CA2">
        <w:t>.</w:t>
      </w:r>
      <w:r w:rsidR="0073231D">
        <w:rPr>
          <w:rStyle w:val="FootnoteReference"/>
        </w:rPr>
        <w:footnoteReference w:id="5"/>
      </w:r>
      <w:r w:rsidR="00D30436">
        <w:t xml:space="preserve">  </w:t>
      </w:r>
      <w:r w:rsidR="00B7527D">
        <w:t xml:space="preserve"> </w:t>
      </w:r>
      <w:r w:rsidR="0048755C">
        <w:t>One</w:t>
      </w:r>
      <w:r w:rsidR="00C55CA2">
        <w:t xml:space="preserve"> method is to </w:t>
      </w:r>
      <w:r w:rsidR="00C31362">
        <w:t xml:space="preserve">implement a dual frame survey without overlaps.  Using this methodology, phone numbers from both frames are called, but dual users </w:t>
      </w:r>
      <w:r w:rsidR="004E02BB">
        <w:t xml:space="preserve">are screened out </w:t>
      </w:r>
      <w:r w:rsidR="00C31362">
        <w:t>in one frame to simplify weighting.  For example, if you contacted a respondent by cell phone and they indicated that they also had a landline number, they would be out-of-scope because they would have a chance of being selected in the landline frame.  This</w:t>
      </w:r>
      <w:r w:rsidR="004E02BB">
        <w:t xml:space="preserve"> way is simpler, but </w:t>
      </w:r>
      <w:r w:rsidR="00C31362">
        <w:t>inefficient</w:t>
      </w:r>
      <w:r w:rsidR="00501005">
        <w:t xml:space="preserve"> given t</w:t>
      </w:r>
      <w:r w:rsidR="00C31362">
        <w:t xml:space="preserve">he most expensive aspect of an RDD telephone survey is contacting a respondent.  The second method is </w:t>
      </w:r>
      <w:r w:rsidR="004E02BB">
        <w:t xml:space="preserve">a survey with overlapping RDD frames.  In this method, </w:t>
      </w:r>
      <w:r w:rsidR="00C31362">
        <w:t xml:space="preserve">all respondents </w:t>
      </w:r>
      <w:r w:rsidR="004E02BB">
        <w:t xml:space="preserve">are interviewed </w:t>
      </w:r>
      <w:r w:rsidR="00C31362">
        <w:t>regardless of the household’s</w:t>
      </w:r>
      <w:r w:rsidR="004E02BB">
        <w:t xml:space="preserve"> telephone service.  After determining the types of telephone service that the household has, the overlap between the two frames can be estimated and weighting adjustments can be made to account for it.  This method is better for the TPOPS because considerable time, cost</w:t>
      </w:r>
      <w:r w:rsidR="00501005">
        <w:t>,</w:t>
      </w:r>
      <w:r w:rsidR="00174F9A">
        <w:t xml:space="preserve"> and effort are</w:t>
      </w:r>
      <w:r w:rsidR="004E02BB">
        <w:t xml:space="preserve"> spent</w:t>
      </w:r>
      <w:r w:rsidR="00501005">
        <w:t xml:space="preserve"> </w:t>
      </w:r>
      <w:r w:rsidR="00F8530B">
        <w:t>contacting respondents</w:t>
      </w:r>
      <w:r w:rsidR="004E02BB">
        <w:t xml:space="preserve"> due to the high screen o</w:t>
      </w:r>
      <w:r w:rsidR="003D2246">
        <w:t>ut rate of cell phone numbers.</w:t>
      </w:r>
    </w:p>
    <w:p w:rsidR="007433C0" w:rsidRDefault="007433C0" w:rsidP="007433C0">
      <w:pPr>
        <w:pStyle w:val="ListParagraph"/>
        <w:ind w:left="360"/>
      </w:pPr>
    </w:p>
    <w:p w:rsidR="007433C0" w:rsidRDefault="00A0639B" w:rsidP="007433C0">
      <w:pPr>
        <w:pStyle w:val="ListParagraph"/>
        <w:ind w:left="360"/>
      </w:pPr>
      <w:r>
        <w:t>T</w:t>
      </w:r>
      <w:r w:rsidR="007433C0">
        <w:t>o maximize each contact, the new TPOPS’ design will follow respondents if they move from the PSU for which they were selected to another CPI PSU.  Because the TPOPS is a sample survey and not a complete census, we can use the first stage probability of selection (selection of PSUs within the US) of the location for which they were originally selected</w:t>
      </w:r>
      <w:r w:rsidR="00652DC9">
        <w:t xml:space="preserve"> for weighting</w:t>
      </w:r>
      <w:r>
        <w:t>, but apply weighting adjustments for the PSU in which they live</w:t>
      </w:r>
      <w:r w:rsidR="007433C0">
        <w:t>.</w:t>
      </w:r>
    </w:p>
    <w:p w:rsidR="007433C0" w:rsidRDefault="007433C0" w:rsidP="007433C0">
      <w:pPr>
        <w:pStyle w:val="ListParagraph"/>
        <w:ind w:left="360"/>
      </w:pPr>
    </w:p>
    <w:p w:rsidR="007433C0" w:rsidRDefault="007433C0" w:rsidP="007433C0">
      <w:pPr>
        <w:pStyle w:val="ListParagraph"/>
        <w:ind w:left="360"/>
      </w:pPr>
      <w:r>
        <w:t xml:space="preserve">More information regarding the TPOPS dual frame weighting methodology can be found in </w:t>
      </w:r>
      <w:r w:rsidRPr="007E5F7C">
        <w:t xml:space="preserve">Appendix </w:t>
      </w:r>
      <w:r>
        <w:t>C “2011 Telephone Point of Purchase Survey:  High Level Discussion of Weighting for a Landline and Cell Phone Sample Design, November 14, 2011.</w:t>
      </w:r>
    </w:p>
    <w:p w:rsidR="00C9429F" w:rsidRDefault="00202E3C">
      <w:pPr>
        <w:pStyle w:val="ListParagraph"/>
        <w:spacing w:before="120"/>
        <w:ind w:left="360"/>
        <w:contextualSpacing w:val="0"/>
        <w:rPr>
          <w:u w:val="single"/>
        </w:rPr>
      </w:pPr>
      <w:r w:rsidRPr="00202E3C">
        <w:rPr>
          <w:u w:val="single"/>
        </w:rPr>
        <w:t>Sampling—Target Methodology</w:t>
      </w:r>
    </w:p>
    <w:p w:rsidR="002871F1" w:rsidRDefault="00804D81" w:rsidP="00AC0D19">
      <w:pPr>
        <w:pStyle w:val="BodyText"/>
        <w:tabs>
          <w:tab w:val="left" w:pos="0"/>
        </w:tabs>
        <w:spacing w:after="120" w:line="276" w:lineRule="auto"/>
        <w:ind w:left="360"/>
        <w:rPr>
          <w:rFonts w:asciiTheme="minorHAnsi" w:hAnsiTheme="minorHAnsi"/>
          <w:sz w:val="22"/>
          <w:szCs w:val="22"/>
        </w:rPr>
      </w:pPr>
      <w:r>
        <w:rPr>
          <w:rFonts w:asciiTheme="minorHAnsi" w:hAnsiTheme="minorHAnsi"/>
          <w:sz w:val="22"/>
          <w:szCs w:val="22"/>
        </w:rPr>
        <w:t>To determine the target number of completed interviews by frame, t</w:t>
      </w:r>
      <w:r w:rsidR="004E02BB" w:rsidRPr="004E02BB">
        <w:rPr>
          <w:rFonts w:asciiTheme="minorHAnsi" w:hAnsiTheme="minorHAnsi"/>
          <w:sz w:val="22"/>
          <w:szCs w:val="22"/>
        </w:rPr>
        <w:t xml:space="preserve">he </w:t>
      </w:r>
      <w:r w:rsidR="00D30436">
        <w:rPr>
          <w:rFonts w:asciiTheme="minorHAnsi" w:hAnsiTheme="minorHAnsi"/>
          <w:sz w:val="22"/>
          <w:szCs w:val="22"/>
        </w:rPr>
        <w:t>targets have been</w:t>
      </w:r>
      <w:r w:rsidR="004E02BB" w:rsidRPr="004E02BB">
        <w:rPr>
          <w:rFonts w:asciiTheme="minorHAnsi" w:hAnsiTheme="minorHAnsi"/>
          <w:sz w:val="22"/>
          <w:szCs w:val="22"/>
        </w:rPr>
        <w:t xml:space="preserve"> </w:t>
      </w:r>
      <w:r w:rsidR="00B7527D">
        <w:rPr>
          <w:rFonts w:asciiTheme="minorHAnsi" w:hAnsiTheme="minorHAnsi"/>
          <w:sz w:val="22"/>
          <w:szCs w:val="22"/>
        </w:rPr>
        <w:t>calculated</w:t>
      </w:r>
      <w:r w:rsidR="003672E6">
        <w:rPr>
          <w:rFonts w:asciiTheme="minorHAnsi" w:hAnsiTheme="minorHAnsi"/>
          <w:sz w:val="22"/>
          <w:szCs w:val="22"/>
        </w:rPr>
        <w:t xml:space="preserve"> at the Primary Sampling Unit (PSU)</w:t>
      </w:r>
      <w:r w:rsidR="004E02BB" w:rsidRPr="004E02BB">
        <w:rPr>
          <w:rFonts w:asciiTheme="minorHAnsi" w:hAnsiTheme="minorHAnsi"/>
          <w:sz w:val="22"/>
          <w:szCs w:val="22"/>
        </w:rPr>
        <w:t xml:space="preserve"> level based on NHIS da</w:t>
      </w:r>
      <w:r>
        <w:rPr>
          <w:rFonts w:asciiTheme="minorHAnsi" w:hAnsiTheme="minorHAnsi"/>
          <w:sz w:val="22"/>
          <w:szCs w:val="22"/>
        </w:rPr>
        <w:t xml:space="preserve">ta regarding telephone </w:t>
      </w:r>
      <w:r w:rsidR="00D30436">
        <w:rPr>
          <w:rFonts w:asciiTheme="minorHAnsi" w:hAnsiTheme="minorHAnsi"/>
          <w:sz w:val="22"/>
          <w:szCs w:val="22"/>
        </w:rPr>
        <w:t xml:space="preserve">usage in households.  The </w:t>
      </w:r>
      <w:r w:rsidR="00B7527D">
        <w:rPr>
          <w:rFonts w:asciiTheme="minorHAnsi" w:hAnsiTheme="minorHAnsi"/>
          <w:sz w:val="22"/>
          <w:szCs w:val="22"/>
        </w:rPr>
        <w:t>BLS</w:t>
      </w:r>
      <w:r w:rsidR="00D30436">
        <w:rPr>
          <w:rFonts w:asciiTheme="minorHAnsi" w:hAnsiTheme="minorHAnsi"/>
          <w:sz w:val="22"/>
          <w:szCs w:val="22"/>
        </w:rPr>
        <w:t xml:space="preserve"> adopted a conservative approach to minimize the more expensive cell phone frame by using the percent of households that were identified as </w:t>
      </w:r>
      <w:r w:rsidR="00D30436" w:rsidRPr="00D30436">
        <w:rPr>
          <w:rFonts w:asciiTheme="minorHAnsi" w:hAnsiTheme="minorHAnsi"/>
          <w:i/>
          <w:sz w:val="22"/>
          <w:szCs w:val="22"/>
        </w:rPr>
        <w:t xml:space="preserve">cell phone </w:t>
      </w:r>
      <w:r w:rsidR="00471D34">
        <w:rPr>
          <w:rFonts w:asciiTheme="minorHAnsi" w:hAnsiTheme="minorHAnsi"/>
          <w:i/>
          <w:sz w:val="22"/>
          <w:szCs w:val="22"/>
        </w:rPr>
        <w:t>on</w:t>
      </w:r>
      <w:r w:rsidR="00D30436" w:rsidRPr="00D30436">
        <w:rPr>
          <w:rFonts w:asciiTheme="minorHAnsi" w:hAnsiTheme="minorHAnsi"/>
          <w:i/>
          <w:sz w:val="22"/>
          <w:szCs w:val="22"/>
        </w:rPr>
        <w:t>ly</w:t>
      </w:r>
      <w:r w:rsidR="00D30436">
        <w:rPr>
          <w:rFonts w:asciiTheme="minorHAnsi" w:hAnsiTheme="minorHAnsi"/>
          <w:sz w:val="22"/>
          <w:szCs w:val="22"/>
        </w:rPr>
        <w:t xml:space="preserve"> at the state level.  This percentage was applied to the total number of desired interviews at the PSU level to determine the amount of the sample to dedicate to the cell phone frame.  This resulted in a 25%/75% cell phone to landline frame split overall (although </w:t>
      </w:r>
      <w:r w:rsidR="00B7527D">
        <w:rPr>
          <w:rFonts w:asciiTheme="minorHAnsi" w:hAnsiTheme="minorHAnsi"/>
          <w:sz w:val="22"/>
          <w:szCs w:val="22"/>
        </w:rPr>
        <w:t xml:space="preserve">at </w:t>
      </w:r>
      <w:r w:rsidR="00D30436">
        <w:rPr>
          <w:rFonts w:asciiTheme="minorHAnsi" w:hAnsiTheme="minorHAnsi"/>
          <w:sz w:val="22"/>
          <w:szCs w:val="22"/>
        </w:rPr>
        <w:t xml:space="preserve">the PSU </w:t>
      </w:r>
      <w:r w:rsidR="00B7527D">
        <w:rPr>
          <w:rFonts w:asciiTheme="minorHAnsi" w:hAnsiTheme="minorHAnsi"/>
          <w:sz w:val="22"/>
          <w:szCs w:val="22"/>
        </w:rPr>
        <w:t>level</w:t>
      </w:r>
      <w:r w:rsidR="00501005">
        <w:rPr>
          <w:rFonts w:asciiTheme="minorHAnsi" w:hAnsiTheme="minorHAnsi"/>
          <w:sz w:val="22"/>
          <w:szCs w:val="22"/>
        </w:rPr>
        <w:t>,</w:t>
      </w:r>
      <w:r w:rsidR="00B7527D">
        <w:rPr>
          <w:rFonts w:asciiTheme="minorHAnsi" w:hAnsiTheme="minorHAnsi"/>
          <w:sz w:val="22"/>
          <w:szCs w:val="22"/>
        </w:rPr>
        <w:t xml:space="preserve"> the split ratios</w:t>
      </w:r>
      <w:r w:rsidR="00D30436">
        <w:rPr>
          <w:rFonts w:asciiTheme="minorHAnsi" w:hAnsiTheme="minorHAnsi"/>
          <w:sz w:val="22"/>
          <w:szCs w:val="22"/>
        </w:rPr>
        <w:t xml:space="preserve"> vary widely.</w:t>
      </w:r>
      <w:r w:rsidR="00B7527D">
        <w:rPr>
          <w:rFonts w:asciiTheme="minorHAnsi" w:hAnsiTheme="minorHAnsi"/>
          <w:sz w:val="22"/>
          <w:szCs w:val="22"/>
        </w:rPr>
        <w:t xml:space="preserve"> </w:t>
      </w:r>
      <w:r w:rsidR="007E5F7C">
        <w:rPr>
          <w:rFonts w:asciiTheme="minorHAnsi" w:hAnsiTheme="minorHAnsi"/>
          <w:sz w:val="22"/>
          <w:szCs w:val="22"/>
        </w:rPr>
        <w:t xml:space="preserve"> </w:t>
      </w:r>
      <w:r w:rsidR="007E5F7C" w:rsidRPr="007E5F7C">
        <w:rPr>
          <w:rFonts w:asciiTheme="minorHAnsi" w:hAnsiTheme="minorHAnsi"/>
          <w:sz w:val="22"/>
          <w:szCs w:val="22"/>
        </w:rPr>
        <w:t>See Appendix B TPOPS Requirement for Q122—Implementation of the Cell Phone Frame in Production</w:t>
      </w:r>
      <w:r w:rsidR="007E5F7C">
        <w:rPr>
          <w:rFonts w:asciiTheme="minorHAnsi" w:hAnsiTheme="minorHAnsi"/>
          <w:sz w:val="22"/>
          <w:szCs w:val="22"/>
        </w:rPr>
        <w:t>.</w:t>
      </w:r>
    </w:p>
    <w:p w:rsidR="004E02BB" w:rsidRDefault="002871F1" w:rsidP="00AC0D19">
      <w:pPr>
        <w:pStyle w:val="BodyText"/>
        <w:tabs>
          <w:tab w:val="left" w:pos="0"/>
        </w:tabs>
        <w:spacing w:after="120" w:line="276" w:lineRule="auto"/>
        <w:ind w:left="360"/>
        <w:rPr>
          <w:rFonts w:asciiTheme="minorHAnsi" w:hAnsiTheme="minorHAnsi"/>
          <w:sz w:val="22"/>
          <w:szCs w:val="22"/>
        </w:rPr>
      </w:pPr>
      <w:r>
        <w:rPr>
          <w:rFonts w:asciiTheme="minorHAnsi" w:hAnsiTheme="minorHAnsi"/>
          <w:sz w:val="22"/>
          <w:szCs w:val="22"/>
        </w:rPr>
        <w:t xml:space="preserve">If continued, </w:t>
      </w:r>
      <w:r w:rsidR="00EE5A40">
        <w:rPr>
          <w:rFonts w:asciiTheme="minorHAnsi" w:hAnsiTheme="minorHAnsi"/>
          <w:sz w:val="22"/>
          <w:szCs w:val="22"/>
        </w:rPr>
        <w:t xml:space="preserve">it is proposed that </w:t>
      </w:r>
      <w:r>
        <w:rPr>
          <w:rFonts w:asciiTheme="minorHAnsi" w:hAnsiTheme="minorHAnsi"/>
          <w:sz w:val="22"/>
          <w:szCs w:val="22"/>
        </w:rPr>
        <w:t>c</w:t>
      </w:r>
      <w:r w:rsidR="004E02BB" w:rsidRPr="004E02BB">
        <w:rPr>
          <w:rFonts w:asciiTheme="minorHAnsi" w:hAnsiTheme="minorHAnsi"/>
          <w:sz w:val="22"/>
          <w:szCs w:val="22"/>
        </w:rPr>
        <w:t xml:space="preserve">ell phone numbers </w:t>
      </w:r>
      <w:r>
        <w:rPr>
          <w:rFonts w:asciiTheme="minorHAnsi" w:hAnsiTheme="minorHAnsi"/>
          <w:sz w:val="22"/>
          <w:szCs w:val="22"/>
        </w:rPr>
        <w:t>would</w:t>
      </w:r>
      <w:r w:rsidR="004E02BB" w:rsidRPr="004E02BB">
        <w:rPr>
          <w:rFonts w:asciiTheme="minorHAnsi" w:hAnsiTheme="minorHAnsi"/>
          <w:sz w:val="22"/>
          <w:szCs w:val="22"/>
        </w:rPr>
        <w:t xml:space="preserve"> be gradually in</w:t>
      </w:r>
      <w:r w:rsidR="00174F9A">
        <w:rPr>
          <w:rFonts w:asciiTheme="minorHAnsi" w:hAnsiTheme="minorHAnsi"/>
          <w:sz w:val="22"/>
          <w:szCs w:val="22"/>
        </w:rPr>
        <w:t xml:space="preserve">troduced </w:t>
      </w:r>
      <w:r w:rsidR="004E02BB" w:rsidRPr="004E02BB">
        <w:rPr>
          <w:rFonts w:asciiTheme="minorHAnsi" w:hAnsiTheme="minorHAnsi"/>
          <w:sz w:val="22"/>
          <w:szCs w:val="22"/>
        </w:rPr>
        <w:t xml:space="preserve">in production </w:t>
      </w:r>
      <w:r w:rsidR="00B7527D">
        <w:rPr>
          <w:rFonts w:asciiTheme="minorHAnsi" w:hAnsiTheme="minorHAnsi"/>
          <w:sz w:val="22"/>
          <w:szCs w:val="22"/>
        </w:rPr>
        <w:t xml:space="preserve">for first interviews </w:t>
      </w:r>
      <w:r w:rsidR="004E02BB" w:rsidRPr="004E02BB">
        <w:rPr>
          <w:rFonts w:asciiTheme="minorHAnsi" w:hAnsiTheme="minorHAnsi"/>
          <w:sz w:val="22"/>
          <w:szCs w:val="22"/>
        </w:rPr>
        <w:t xml:space="preserve">over four quarters.  </w:t>
      </w:r>
      <w:r w:rsidR="00174F9A">
        <w:rPr>
          <w:rFonts w:asciiTheme="minorHAnsi" w:hAnsiTheme="minorHAnsi"/>
          <w:sz w:val="22"/>
          <w:szCs w:val="22"/>
        </w:rPr>
        <w:t xml:space="preserve">The cell phone sample </w:t>
      </w:r>
      <w:r>
        <w:rPr>
          <w:rFonts w:asciiTheme="minorHAnsi" w:hAnsiTheme="minorHAnsi"/>
          <w:sz w:val="22"/>
          <w:szCs w:val="22"/>
        </w:rPr>
        <w:t>would</w:t>
      </w:r>
      <w:r w:rsidR="00174F9A">
        <w:rPr>
          <w:rFonts w:asciiTheme="minorHAnsi" w:hAnsiTheme="minorHAnsi"/>
          <w:sz w:val="22"/>
          <w:szCs w:val="22"/>
        </w:rPr>
        <w:t xml:space="preserve"> not be fully implemented until four quarters of production have occurred.  </w:t>
      </w:r>
      <w:r w:rsidR="004E02BB" w:rsidRPr="004E02BB">
        <w:rPr>
          <w:rFonts w:asciiTheme="minorHAnsi" w:hAnsiTheme="minorHAnsi"/>
          <w:sz w:val="22"/>
          <w:szCs w:val="22"/>
        </w:rPr>
        <w:t xml:space="preserve">The </w:t>
      </w:r>
      <w:r>
        <w:rPr>
          <w:rFonts w:asciiTheme="minorHAnsi" w:hAnsiTheme="minorHAnsi"/>
          <w:sz w:val="22"/>
          <w:szCs w:val="22"/>
        </w:rPr>
        <w:t>full scale implementation would</w:t>
      </w:r>
      <w:r w:rsidR="004E02BB" w:rsidRPr="004E02BB">
        <w:rPr>
          <w:rFonts w:asciiTheme="minorHAnsi" w:hAnsiTheme="minorHAnsi"/>
          <w:sz w:val="22"/>
          <w:szCs w:val="22"/>
        </w:rPr>
        <w:t xml:space="preserve"> be reached in Q13</w:t>
      </w:r>
      <w:r w:rsidR="00133112">
        <w:rPr>
          <w:rFonts w:asciiTheme="minorHAnsi" w:hAnsiTheme="minorHAnsi"/>
          <w:sz w:val="22"/>
          <w:szCs w:val="22"/>
        </w:rPr>
        <w:t>1</w:t>
      </w:r>
      <w:r w:rsidR="004E02BB" w:rsidRPr="004E02BB">
        <w:rPr>
          <w:rFonts w:asciiTheme="minorHAnsi" w:hAnsiTheme="minorHAnsi"/>
          <w:sz w:val="22"/>
          <w:szCs w:val="22"/>
        </w:rPr>
        <w:t>.</w:t>
      </w:r>
    </w:p>
    <w:p w:rsidR="00F44A5E" w:rsidRDefault="00F44A5E" w:rsidP="004E1F59">
      <w:pPr>
        <w:pStyle w:val="ListParagraph"/>
        <w:ind w:left="360"/>
        <w:rPr>
          <w:u w:val="single"/>
        </w:rPr>
      </w:pPr>
    </w:p>
    <w:p w:rsidR="004E1F59" w:rsidRPr="001143B2" w:rsidRDefault="00C9429F" w:rsidP="004E1F59">
      <w:pPr>
        <w:pStyle w:val="ListParagraph"/>
        <w:ind w:left="360"/>
        <w:rPr>
          <w:u w:val="single"/>
        </w:rPr>
      </w:pPr>
      <w:r w:rsidRPr="00C9429F">
        <w:rPr>
          <w:u w:val="single"/>
        </w:rPr>
        <w:t>Small PSUs</w:t>
      </w:r>
    </w:p>
    <w:p w:rsidR="00C23C46" w:rsidRDefault="004E1F59" w:rsidP="00AC0D19">
      <w:pPr>
        <w:pStyle w:val="ListParagraph"/>
        <w:ind w:left="360"/>
      </w:pPr>
      <w:r>
        <w:t>In several smaller B and C size PSUs, the test resulted in hit rates below 5%, and in three cases the</w:t>
      </w:r>
      <w:r w:rsidR="00133112">
        <w:t xml:space="preserve"> </w:t>
      </w:r>
      <w:r w:rsidR="004B6B4D">
        <w:t xml:space="preserve">hit rate </w:t>
      </w:r>
      <w:r w:rsidR="00C23C46">
        <w:t xml:space="preserve">was 0%.  </w:t>
      </w:r>
      <w:r w:rsidR="007E5F7C" w:rsidRPr="007E5F7C">
        <w:t xml:space="preserve">See Appendix </w:t>
      </w:r>
      <w:r w:rsidR="007E5F7C">
        <w:t>D</w:t>
      </w:r>
      <w:r w:rsidR="00C23C46">
        <w:t xml:space="preserve"> POPS Cell Phone Progress Report</w:t>
      </w:r>
      <w:r w:rsidR="00714F87">
        <w:t>.</w:t>
      </w:r>
      <w:r w:rsidR="00C23C46">
        <w:t xml:space="preserve">   In these PSUs, the cell phone frame sample will be </w:t>
      </w:r>
      <w:r w:rsidR="004B6B4D">
        <w:t>increased</w:t>
      </w:r>
      <w:r w:rsidR="00C23C46">
        <w:t xml:space="preserve"> to reach our target number of cell phone interviews.  </w:t>
      </w:r>
      <w:r w:rsidR="00EE5A40">
        <w:t>Using additional data from the third and fourth quarter of FY12 will allow</w:t>
      </w:r>
      <w:r w:rsidR="00C23C46">
        <w:t xml:space="preserve"> a more a</w:t>
      </w:r>
      <w:r w:rsidR="00174F9A">
        <w:t>ccurate sample size</w:t>
      </w:r>
      <w:r w:rsidR="00C23C46">
        <w:t xml:space="preserve"> </w:t>
      </w:r>
      <w:r w:rsidR="00EE5A40">
        <w:t xml:space="preserve">to </w:t>
      </w:r>
      <w:r w:rsidR="00C23C46">
        <w:t>be established.</w:t>
      </w:r>
    </w:p>
    <w:p w:rsidR="00C9429F" w:rsidRDefault="00202E3C">
      <w:pPr>
        <w:pStyle w:val="ListParagraph"/>
        <w:spacing w:before="120"/>
        <w:ind w:left="360"/>
        <w:contextualSpacing w:val="0"/>
        <w:rPr>
          <w:u w:val="single"/>
        </w:rPr>
      </w:pPr>
      <w:r w:rsidRPr="00202E3C">
        <w:rPr>
          <w:u w:val="single"/>
        </w:rPr>
        <w:t>Costs</w:t>
      </w:r>
    </w:p>
    <w:p w:rsidR="008642C7" w:rsidRPr="001E4206" w:rsidRDefault="00381DD4" w:rsidP="008642C7">
      <w:pPr>
        <w:pStyle w:val="ListParagraph"/>
        <w:ind w:left="360"/>
      </w:pPr>
      <w:r w:rsidRPr="001E4206">
        <w:t xml:space="preserve">Analysis </w:t>
      </w:r>
      <w:r w:rsidR="0031104E">
        <w:t xml:space="preserve">based on limited data from the Cell Phone Test </w:t>
      </w:r>
      <w:r w:rsidRPr="001E4206">
        <w:t xml:space="preserve">shows that adding a cell phone frame to the TPOPS design will increase costs </w:t>
      </w:r>
      <w:r w:rsidR="00A51E1D">
        <w:t>to some extent</w:t>
      </w:r>
      <w:r w:rsidRPr="001E4206">
        <w:t xml:space="preserve">.  </w:t>
      </w:r>
      <w:r w:rsidR="00A51E1D">
        <w:t xml:space="preserve">Because of the uncertainty associated with the </w:t>
      </w:r>
      <w:r w:rsidR="00712AFB">
        <w:t>cost</w:t>
      </w:r>
      <w:r w:rsidR="00A51E1D">
        <w:t xml:space="preserve"> estimates, t</w:t>
      </w:r>
      <w:r w:rsidRPr="001E4206">
        <w:t xml:space="preserve">he BLS </w:t>
      </w:r>
      <w:r w:rsidR="008642C7" w:rsidRPr="001E4206">
        <w:t xml:space="preserve">used funds carried over from FY11, $400,000 </w:t>
      </w:r>
      <w:r w:rsidR="00A51E1D">
        <w:t>to include a</w:t>
      </w:r>
      <w:r w:rsidRPr="001E4206">
        <w:t xml:space="preserve"> dual frame design for two quarters in FY12.</w:t>
      </w:r>
      <w:r w:rsidR="00712AFB">
        <w:t xml:space="preserve"> Once more data are available, response rates can be determined and costs can be estimated with a greater degree of accuracy. Options for continuing the dual frame in FY13 can be evaluated will depend on the cost estimates. At this point, it is </w:t>
      </w:r>
      <w:r w:rsidR="00F44A5E">
        <w:t xml:space="preserve">premature </w:t>
      </w:r>
      <w:r w:rsidR="00712AFB">
        <w:t>to discuss the various options without knowing the full cost of the dual frame.</w:t>
      </w:r>
    </w:p>
    <w:p w:rsidR="00F27B3F" w:rsidRPr="001E4206" w:rsidRDefault="00F27B3F" w:rsidP="008642C7">
      <w:pPr>
        <w:pStyle w:val="ListParagraph"/>
        <w:ind w:left="360"/>
      </w:pPr>
    </w:p>
    <w:p w:rsidR="00FB087D" w:rsidRDefault="00FB087D"/>
    <w:p w:rsidR="00C325D9" w:rsidRDefault="00C325D9" w:rsidP="00F36995">
      <w:pPr>
        <w:pStyle w:val="ListParagraph"/>
        <w:ind w:left="0"/>
      </w:pPr>
    </w:p>
    <w:p w:rsidR="00C23C46" w:rsidRPr="00714F87" w:rsidRDefault="00202E3C" w:rsidP="001E4206">
      <w:pPr>
        <w:pStyle w:val="ListParagraph"/>
        <w:keepNext/>
        <w:ind w:left="0"/>
        <w:rPr>
          <w:b/>
        </w:rPr>
      </w:pPr>
      <w:r w:rsidRPr="00202E3C">
        <w:rPr>
          <w:b/>
        </w:rPr>
        <w:t>CONCLUSION</w:t>
      </w:r>
    </w:p>
    <w:p w:rsidR="00381DD4" w:rsidRPr="001E4206" w:rsidRDefault="00381DD4" w:rsidP="00F36995">
      <w:pPr>
        <w:pStyle w:val="ListParagraph"/>
        <w:ind w:left="0"/>
      </w:pPr>
      <w:r w:rsidRPr="001E4206">
        <w:t xml:space="preserve">The TPOPS Cell Phone Test conducted in the second quarter of 2011 showed that </w:t>
      </w:r>
      <w:r w:rsidR="008927EC" w:rsidRPr="001E4206">
        <w:t xml:space="preserve">while </w:t>
      </w:r>
      <w:r w:rsidRPr="001E4206">
        <w:t>including a cell phone frame wil</w:t>
      </w:r>
      <w:r w:rsidR="009526D1" w:rsidRPr="001E4206">
        <w:t>l mitigate the observed underrepresentation of some demographic cohorts,</w:t>
      </w:r>
      <w:r w:rsidR="008642C7" w:rsidRPr="001E4206">
        <w:t xml:space="preserve"> the degree to which this coverage bias contributes to a bias in outlet reports </w:t>
      </w:r>
      <w:r w:rsidR="008927EC" w:rsidRPr="001E4206">
        <w:t>remains</w:t>
      </w:r>
      <w:r w:rsidR="008642C7" w:rsidRPr="001E4206">
        <w:t xml:space="preserve"> unclear.</w:t>
      </w:r>
    </w:p>
    <w:p w:rsidR="00381DD4" w:rsidRPr="001E4206" w:rsidRDefault="00381DD4" w:rsidP="00F36995">
      <w:pPr>
        <w:pStyle w:val="ListParagraph"/>
        <w:ind w:left="0"/>
      </w:pPr>
    </w:p>
    <w:p w:rsidR="003D2246" w:rsidRPr="001E4206" w:rsidRDefault="00381DD4" w:rsidP="00F36995">
      <w:pPr>
        <w:pStyle w:val="ListParagraph"/>
        <w:ind w:left="0"/>
      </w:pPr>
      <w:r w:rsidRPr="001E4206">
        <w:t>Test questions added to the Consumer Expenditure Interview Survey collected information about ou</w:t>
      </w:r>
      <w:r w:rsidR="003D2246" w:rsidRPr="001E4206">
        <w:t>tlets and showed that while m</w:t>
      </w:r>
      <w:r w:rsidR="007433C0" w:rsidRPr="001E4206">
        <w:t>any</w:t>
      </w:r>
      <w:r w:rsidRPr="001E4206">
        <w:t xml:space="preserve"> of the top twenty outlet names were reported for both test populations—cell phone only and landline only or both cell phone and landline, the overlap by category varied between 10 % and 27%</w:t>
      </w:r>
      <w:r w:rsidR="008642C7" w:rsidRPr="001E4206">
        <w:t>.  Because of the small sample size of the cell phone only cohort in the CE test, however, statistical conclusions cannot be drawn.</w:t>
      </w:r>
    </w:p>
    <w:p w:rsidR="003D2246" w:rsidRPr="001E4206" w:rsidRDefault="003D2246" w:rsidP="00F36995">
      <w:pPr>
        <w:pStyle w:val="ListParagraph"/>
        <w:ind w:left="0"/>
      </w:pPr>
    </w:p>
    <w:p w:rsidR="00381DD4" w:rsidRPr="001E4206" w:rsidRDefault="003D2246" w:rsidP="00F36995">
      <w:pPr>
        <w:pStyle w:val="ListParagraph"/>
        <w:ind w:left="0"/>
      </w:pPr>
      <w:r w:rsidRPr="001E4206">
        <w:t xml:space="preserve">The TPOPS’ survey </w:t>
      </w:r>
      <w:r w:rsidR="0038064D" w:rsidRPr="001E4206">
        <w:t>weighting strategy for the new design</w:t>
      </w:r>
      <w:r w:rsidRPr="001E4206">
        <w:t xml:space="preserve"> attempts to maximize both frames while minimizing survey costs.   By </w:t>
      </w:r>
      <w:r w:rsidR="007E5F7C" w:rsidRPr="001E4206">
        <w:t>following respondents that move from the PSU for which they were selected, the sample is more efficient.</w:t>
      </w:r>
    </w:p>
    <w:p w:rsidR="0038064D" w:rsidRPr="001E4206" w:rsidRDefault="0038064D" w:rsidP="00F36995">
      <w:pPr>
        <w:pStyle w:val="ListParagraph"/>
        <w:ind w:left="0"/>
      </w:pPr>
    </w:p>
    <w:p w:rsidR="009526D1" w:rsidRPr="001E4206" w:rsidRDefault="0038064D" w:rsidP="00F36995">
      <w:pPr>
        <w:pStyle w:val="ListParagraph"/>
        <w:ind w:left="0"/>
      </w:pPr>
      <w:r w:rsidRPr="001E4206">
        <w:t xml:space="preserve">The </w:t>
      </w:r>
      <w:r w:rsidR="008642C7" w:rsidRPr="001E4206">
        <w:t xml:space="preserve">use of the </w:t>
      </w:r>
      <w:r w:rsidRPr="001E4206">
        <w:t xml:space="preserve">new instrument and </w:t>
      </w:r>
      <w:r w:rsidR="009526D1" w:rsidRPr="001E4206">
        <w:t>the inclusion of production cell phone cases for further evaluation</w:t>
      </w:r>
      <w:r w:rsidRPr="001E4206">
        <w:t xml:space="preserve"> </w:t>
      </w:r>
      <w:r w:rsidR="009B0C27">
        <w:t>will take place in the field during the third and fourth quarter of FY12</w:t>
      </w:r>
      <w:r w:rsidRPr="001E4206">
        <w:t xml:space="preserve">.  </w:t>
      </w:r>
      <w:r w:rsidR="009B0C27">
        <w:t>I</w:t>
      </w:r>
      <w:r w:rsidR="009526D1" w:rsidRPr="001E4206">
        <w:t xml:space="preserve">t is expected that </w:t>
      </w:r>
      <w:r w:rsidRPr="001E4206">
        <w:t xml:space="preserve">the </w:t>
      </w:r>
      <w:r w:rsidR="009526D1" w:rsidRPr="001E4206">
        <w:t xml:space="preserve">overall </w:t>
      </w:r>
      <w:r w:rsidRPr="001E4206">
        <w:t xml:space="preserve">response rate </w:t>
      </w:r>
      <w:r w:rsidR="009526D1" w:rsidRPr="001E4206">
        <w:t>will decrease</w:t>
      </w:r>
      <w:r w:rsidR="009B0C27">
        <w:t>. The data collected in FY12 will be used to evaluate whether</w:t>
      </w:r>
      <w:r w:rsidR="009526D1" w:rsidRPr="001E4206">
        <w:t xml:space="preserve"> </w:t>
      </w:r>
      <w:r w:rsidRPr="001E4206">
        <w:t>reducing coverage bias will improve TPOPS’ results overall.</w:t>
      </w:r>
    </w:p>
    <w:p w:rsidR="009526D1" w:rsidRPr="001E4206" w:rsidRDefault="009526D1" w:rsidP="00F36995">
      <w:pPr>
        <w:pStyle w:val="ListParagraph"/>
        <w:ind w:left="0"/>
      </w:pPr>
    </w:p>
    <w:p w:rsidR="0038064D" w:rsidRPr="001E4206" w:rsidRDefault="00247208" w:rsidP="00247208">
      <w:pPr>
        <w:pStyle w:val="ListParagraph"/>
        <w:ind w:left="0"/>
      </w:pPr>
      <w:r>
        <w:t>R</w:t>
      </w:r>
      <w:r w:rsidRPr="001E4206">
        <w:t xml:space="preserve">esearch and evaluation </w:t>
      </w:r>
      <w:r>
        <w:t xml:space="preserve">of </w:t>
      </w:r>
      <w:r w:rsidR="008927EC" w:rsidRPr="001E4206">
        <w:t xml:space="preserve"> </w:t>
      </w:r>
      <w:r w:rsidR="0038064D" w:rsidRPr="001E4206">
        <w:t xml:space="preserve">TPOPS is continuing </w:t>
      </w:r>
      <w:r>
        <w:t xml:space="preserve">to indentify </w:t>
      </w:r>
      <w:r w:rsidR="0038064D" w:rsidRPr="001E4206">
        <w:t xml:space="preserve">  other ways to improve  estimates such as using more secondary sources as outlet frames for the CPI and considering a multi-mode approach to data collection.</w:t>
      </w:r>
    </w:p>
    <w:sectPr w:rsidR="0038064D" w:rsidRPr="001E4206" w:rsidSect="00CD5254">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C42" w:rsidRDefault="003A0C42" w:rsidP="000C1374">
      <w:pPr>
        <w:spacing w:line="240" w:lineRule="auto"/>
      </w:pPr>
      <w:r>
        <w:separator/>
      </w:r>
    </w:p>
  </w:endnote>
  <w:endnote w:type="continuationSeparator" w:id="0">
    <w:p w:rsidR="003A0C42" w:rsidRDefault="003A0C42" w:rsidP="000C13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766159"/>
      <w:docPartObj>
        <w:docPartGallery w:val="Page Numbers (Bottom of Page)"/>
        <w:docPartUnique/>
      </w:docPartObj>
    </w:sdtPr>
    <w:sdtContent>
      <w:p w:rsidR="003A0C42" w:rsidRDefault="00481130">
        <w:pPr>
          <w:pStyle w:val="Footer"/>
          <w:jc w:val="right"/>
        </w:pPr>
        <w:fldSimple w:instr=" PAGE   \* MERGEFORMAT ">
          <w:r w:rsidR="002E73FC">
            <w:rPr>
              <w:noProof/>
            </w:rPr>
            <w:t>9</w:t>
          </w:r>
        </w:fldSimple>
      </w:p>
    </w:sdtContent>
  </w:sdt>
  <w:p w:rsidR="003A0C42" w:rsidRDefault="003A0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C42" w:rsidRDefault="003A0C42" w:rsidP="000C1374">
      <w:pPr>
        <w:spacing w:line="240" w:lineRule="auto"/>
      </w:pPr>
      <w:r>
        <w:separator/>
      </w:r>
    </w:p>
  </w:footnote>
  <w:footnote w:type="continuationSeparator" w:id="0">
    <w:p w:rsidR="003A0C42" w:rsidRDefault="003A0C42" w:rsidP="000C1374">
      <w:pPr>
        <w:spacing w:line="240" w:lineRule="auto"/>
      </w:pPr>
      <w:r>
        <w:continuationSeparator/>
      </w:r>
    </w:p>
  </w:footnote>
  <w:footnote w:id="1">
    <w:p w:rsidR="003A0C42" w:rsidRPr="00A273D7" w:rsidRDefault="003A0C42">
      <w:pPr>
        <w:pStyle w:val="FootnoteText"/>
        <w:rPr>
          <w:sz w:val="16"/>
          <w:szCs w:val="16"/>
        </w:rPr>
      </w:pPr>
      <w:r w:rsidRPr="00202E3C">
        <w:rPr>
          <w:rStyle w:val="FootnoteReference"/>
          <w:sz w:val="16"/>
          <w:szCs w:val="16"/>
        </w:rPr>
        <w:footnoteRef/>
      </w:r>
      <w:r w:rsidRPr="00202E3C">
        <w:rPr>
          <w:sz w:val="16"/>
          <w:szCs w:val="16"/>
        </w:rPr>
        <w:t xml:space="preserve"> “Wireless Substitution:  Early Release of Estimates The National Health Interview Survey, January-June, 2011” by Stephen J. Blumberg, Ph.D and Julien V. Luke.</w:t>
      </w:r>
    </w:p>
  </w:footnote>
  <w:footnote w:id="2">
    <w:p w:rsidR="003A0C42" w:rsidRDefault="003A0C42">
      <w:pPr>
        <w:pStyle w:val="FootnoteText"/>
      </w:pPr>
      <w:r w:rsidRPr="00202E3C">
        <w:rPr>
          <w:rStyle w:val="FootnoteReference"/>
          <w:sz w:val="16"/>
          <w:szCs w:val="16"/>
        </w:rPr>
        <w:footnoteRef/>
      </w:r>
      <w:r w:rsidRPr="00202E3C">
        <w:rPr>
          <w:sz w:val="16"/>
          <w:szCs w:val="16"/>
        </w:rPr>
        <w:t xml:space="preserve"> Age comparison:  TPOPS under 35—11.2%; ACS under 35—21.8%; TPOPS Hispanic origin—8.8%; ACS Hispanic origin—13%; TPOPS Black or African American—7.4%; ACS Black or African American—13.6</w:t>
      </w:r>
      <w:r w:rsidR="000248DF">
        <w:rPr>
          <w:sz w:val="16"/>
          <w:szCs w:val="16"/>
        </w:rPr>
        <w:t>%</w:t>
      </w:r>
      <w:r w:rsidRPr="00202E3C">
        <w:rPr>
          <w:sz w:val="16"/>
          <w:szCs w:val="16"/>
        </w:rPr>
        <w:t>, 2007.</w:t>
      </w:r>
    </w:p>
  </w:footnote>
  <w:footnote w:id="3">
    <w:p w:rsidR="003A0C42" w:rsidRPr="00A273D7" w:rsidRDefault="003A0C42">
      <w:pPr>
        <w:pStyle w:val="FootnoteText"/>
        <w:rPr>
          <w:sz w:val="16"/>
          <w:szCs w:val="16"/>
        </w:rPr>
      </w:pPr>
      <w:r w:rsidRPr="00202E3C">
        <w:rPr>
          <w:rStyle w:val="FootnoteReference"/>
          <w:sz w:val="16"/>
          <w:szCs w:val="16"/>
        </w:rPr>
        <w:footnoteRef/>
      </w:r>
      <w:r w:rsidRPr="00202E3C">
        <w:rPr>
          <w:sz w:val="16"/>
          <w:szCs w:val="16"/>
        </w:rPr>
        <w:t xml:space="preserve"> The </w:t>
      </w:r>
      <w:r w:rsidRPr="00202E3C">
        <w:rPr>
          <w:i/>
          <w:sz w:val="16"/>
          <w:szCs w:val="16"/>
        </w:rPr>
        <w:t>hit rate</w:t>
      </w:r>
      <w:r w:rsidRPr="00202E3C">
        <w:rPr>
          <w:sz w:val="16"/>
          <w:szCs w:val="16"/>
        </w:rPr>
        <w:t xml:space="preserve"> is the number of completed usable interviews divided by the number of selected phone numbers.</w:t>
      </w:r>
    </w:p>
  </w:footnote>
  <w:footnote w:id="4">
    <w:p w:rsidR="003A0C42" w:rsidRPr="00A273D7" w:rsidRDefault="003A0C42">
      <w:pPr>
        <w:pStyle w:val="FootnoteText"/>
        <w:rPr>
          <w:sz w:val="16"/>
          <w:szCs w:val="16"/>
        </w:rPr>
      </w:pPr>
      <w:r w:rsidRPr="00202E3C">
        <w:rPr>
          <w:rStyle w:val="FootnoteReference"/>
          <w:sz w:val="16"/>
          <w:szCs w:val="16"/>
        </w:rPr>
        <w:footnoteRef/>
      </w:r>
      <w:r w:rsidRPr="00202E3C">
        <w:rPr>
          <w:sz w:val="16"/>
          <w:szCs w:val="16"/>
        </w:rPr>
        <w:t xml:space="preserve"> </w:t>
      </w:r>
      <w:r w:rsidR="00356442">
        <w:rPr>
          <w:sz w:val="16"/>
          <w:szCs w:val="16"/>
        </w:rPr>
        <w:t>“</w:t>
      </w:r>
      <w:r w:rsidRPr="00202E3C">
        <w:rPr>
          <w:sz w:val="16"/>
          <w:szCs w:val="16"/>
        </w:rPr>
        <w:t>Guidelines and Considerations for Survey Researchers When Planning and Conducting RDD and Other Telephone Surveys in the U.S. with Respondents Reached via Cell Phone Numbers</w:t>
      </w:r>
      <w:r w:rsidR="00356442">
        <w:rPr>
          <w:sz w:val="16"/>
          <w:szCs w:val="16"/>
        </w:rPr>
        <w:t>”</w:t>
      </w:r>
      <w:r w:rsidRPr="00202E3C">
        <w:rPr>
          <w:sz w:val="16"/>
          <w:szCs w:val="16"/>
        </w:rPr>
        <w:t>, AAPOR Cell Phone Task Force, April, 2008</w:t>
      </w:r>
      <w:r>
        <w:rPr>
          <w:sz w:val="16"/>
          <w:szCs w:val="16"/>
        </w:rPr>
        <w:t>.</w:t>
      </w:r>
    </w:p>
  </w:footnote>
  <w:footnote w:id="5">
    <w:p w:rsidR="003A0C42" w:rsidRPr="00714F87" w:rsidRDefault="003A0C42">
      <w:pPr>
        <w:pStyle w:val="FootnoteText"/>
        <w:rPr>
          <w:sz w:val="16"/>
          <w:szCs w:val="16"/>
        </w:rPr>
      </w:pPr>
      <w:r w:rsidRPr="00202E3C">
        <w:rPr>
          <w:rStyle w:val="FootnoteReference"/>
          <w:sz w:val="16"/>
          <w:szCs w:val="16"/>
        </w:rPr>
        <w:footnoteRef/>
      </w:r>
      <w:r w:rsidRPr="00202E3C">
        <w:rPr>
          <w:sz w:val="16"/>
          <w:szCs w:val="16"/>
        </w:rPr>
        <w:t xml:space="preserve"> AAPOR Cell Phone Task Force, April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01280"/>
    <w:multiLevelType w:val="hybridMultilevel"/>
    <w:tmpl w:val="B744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969B9"/>
    <w:multiLevelType w:val="hybridMultilevel"/>
    <w:tmpl w:val="6A06F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C60E0"/>
    <w:rsid w:val="00001614"/>
    <w:rsid w:val="00006A34"/>
    <w:rsid w:val="000106A5"/>
    <w:rsid w:val="00015A5A"/>
    <w:rsid w:val="00016EA7"/>
    <w:rsid w:val="000248DF"/>
    <w:rsid w:val="00036C53"/>
    <w:rsid w:val="000479F8"/>
    <w:rsid w:val="000551A9"/>
    <w:rsid w:val="000558FC"/>
    <w:rsid w:val="00056112"/>
    <w:rsid w:val="00080776"/>
    <w:rsid w:val="000838A4"/>
    <w:rsid w:val="00094DA5"/>
    <w:rsid w:val="000B14DA"/>
    <w:rsid w:val="000B56B9"/>
    <w:rsid w:val="000C1374"/>
    <w:rsid w:val="000C17CF"/>
    <w:rsid w:val="000C273F"/>
    <w:rsid w:val="000D00CC"/>
    <w:rsid w:val="000E7C3A"/>
    <w:rsid w:val="00112105"/>
    <w:rsid w:val="001143B2"/>
    <w:rsid w:val="001269A8"/>
    <w:rsid w:val="00132217"/>
    <w:rsid w:val="00133112"/>
    <w:rsid w:val="00133B89"/>
    <w:rsid w:val="001357B5"/>
    <w:rsid w:val="00153831"/>
    <w:rsid w:val="0015609E"/>
    <w:rsid w:val="00163D27"/>
    <w:rsid w:val="00167E73"/>
    <w:rsid w:val="00174F9A"/>
    <w:rsid w:val="00182269"/>
    <w:rsid w:val="00187D03"/>
    <w:rsid w:val="001A6924"/>
    <w:rsid w:val="001B40DF"/>
    <w:rsid w:val="001B5DD1"/>
    <w:rsid w:val="001D29D7"/>
    <w:rsid w:val="001E4206"/>
    <w:rsid w:val="001F2C68"/>
    <w:rsid w:val="001F3FAB"/>
    <w:rsid w:val="00200838"/>
    <w:rsid w:val="00202E3C"/>
    <w:rsid w:val="00205674"/>
    <w:rsid w:val="00211826"/>
    <w:rsid w:val="0021524E"/>
    <w:rsid w:val="00240630"/>
    <w:rsid w:val="002445CE"/>
    <w:rsid w:val="00247208"/>
    <w:rsid w:val="00266B0B"/>
    <w:rsid w:val="00267C9C"/>
    <w:rsid w:val="002717D6"/>
    <w:rsid w:val="002871F1"/>
    <w:rsid w:val="00292EFC"/>
    <w:rsid w:val="002A3025"/>
    <w:rsid w:val="002A616D"/>
    <w:rsid w:val="002C3586"/>
    <w:rsid w:val="002D1314"/>
    <w:rsid w:val="002D3E7F"/>
    <w:rsid w:val="002E2B95"/>
    <w:rsid w:val="002E73FC"/>
    <w:rsid w:val="002F1251"/>
    <w:rsid w:val="0031104E"/>
    <w:rsid w:val="003249CC"/>
    <w:rsid w:val="00330AC2"/>
    <w:rsid w:val="00342A75"/>
    <w:rsid w:val="00356442"/>
    <w:rsid w:val="00363C9F"/>
    <w:rsid w:val="00365884"/>
    <w:rsid w:val="003672E6"/>
    <w:rsid w:val="00370197"/>
    <w:rsid w:val="00377405"/>
    <w:rsid w:val="0038064D"/>
    <w:rsid w:val="00381DD4"/>
    <w:rsid w:val="00382E49"/>
    <w:rsid w:val="0039292B"/>
    <w:rsid w:val="00396982"/>
    <w:rsid w:val="003A0C42"/>
    <w:rsid w:val="003A78E2"/>
    <w:rsid w:val="003C02EA"/>
    <w:rsid w:val="003C09F8"/>
    <w:rsid w:val="003D064D"/>
    <w:rsid w:val="003D1D0C"/>
    <w:rsid w:val="003D2246"/>
    <w:rsid w:val="003E1585"/>
    <w:rsid w:val="003F2748"/>
    <w:rsid w:val="003F62D9"/>
    <w:rsid w:val="003F774A"/>
    <w:rsid w:val="0040216E"/>
    <w:rsid w:val="00404413"/>
    <w:rsid w:val="00456356"/>
    <w:rsid w:val="00456357"/>
    <w:rsid w:val="00471D34"/>
    <w:rsid w:val="004736F9"/>
    <w:rsid w:val="00481130"/>
    <w:rsid w:val="0048755C"/>
    <w:rsid w:val="0049248C"/>
    <w:rsid w:val="004A1A42"/>
    <w:rsid w:val="004B6B4D"/>
    <w:rsid w:val="004D1A3B"/>
    <w:rsid w:val="004D21C6"/>
    <w:rsid w:val="004E02BB"/>
    <w:rsid w:val="004E1F59"/>
    <w:rsid w:val="004E338D"/>
    <w:rsid w:val="004E7805"/>
    <w:rsid w:val="004F5FF7"/>
    <w:rsid w:val="00501005"/>
    <w:rsid w:val="00514553"/>
    <w:rsid w:val="00514A11"/>
    <w:rsid w:val="005226F2"/>
    <w:rsid w:val="005255D2"/>
    <w:rsid w:val="005267F8"/>
    <w:rsid w:val="00527A90"/>
    <w:rsid w:val="005427B9"/>
    <w:rsid w:val="00553470"/>
    <w:rsid w:val="0055569B"/>
    <w:rsid w:val="00570559"/>
    <w:rsid w:val="0057132E"/>
    <w:rsid w:val="005743F3"/>
    <w:rsid w:val="00577846"/>
    <w:rsid w:val="00586432"/>
    <w:rsid w:val="00587672"/>
    <w:rsid w:val="005D3B5A"/>
    <w:rsid w:val="005E0CE8"/>
    <w:rsid w:val="005F6258"/>
    <w:rsid w:val="00611261"/>
    <w:rsid w:val="00613658"/>
    <w:rsid w:val="006136B6"/>
    <w:rsid w:val="006233AE"/>
    <w:rsid w:val="0062453E"/>
    <w:rsid w:val="00633610"/>
    <w:rsid w:val="006376EF"/>
    <w:rsid w:val="0064114E"/>
    <w:rsid w:val="006418DA"/>
    <w:rsid w:val="0064359E"/>
    <w:rsid w:val="006519F5"/>
    <w:rsid w:val="00652DC9"/>
    <w:rsid w:val="00654ACA"/>
    <w:rsid w:val="00695019"/>
    <w:rsid w:val="006A26F1"/>
    <w:rsid w:val="006B1F2F"/>
    <w:rsid w:val="006C2643"/>
    <w:rsid w:val="006D05FB"/>
    <w:rsid w:val="006E1603"/>
    <w:rsid w:val="00704C37"/>
    <w:rsid w:val="0070744E"/>
    <w:rsid w:val="00712AFB"/>
    <w:rsid w:val="00714F87"/>
    <w:rsid w:val="00725A17"/>
    <w:rsid w:val="00731498"/>
    <w:rsid w:val="0073231D"/>
    <w:rsid w:val="007353B2"/>
    <w:rsid w:val="007433C0"/>
    <w:rsid w:val="007514F2"/>
    <w:rsid w:val="00773E03"/>
    <w:rsid w:val="00775632"/>
    <w:rsid w:val="007A1461"/>
    <w:rsid w:val="007C55DC"/>
    <w:rsid w:val="007C60E0"/>
    <w:rsid w:val="007D13CA"/>
    <w:rsid w:val="007E1E6E"/>
    <w:rsid w:val="007E5F7C"/>
    <w:rsid w:val="007F7536"/>
    <w:rsid w:val="0080374F"/>
    <w:rsid w:val="00803E72"/>
    <w:rsid w:val="00804D81"/>
    <w:rsid w:val="00805F3E"/>
    <w:rsid w:val="00810904"/>
    <w:rsid w:val="0083025A"/>
    <w:rsid w:val="00832136"/>
    <w:rsid w:val="00844AA8"/>
    <w:rsid w:val="008457D8"/>
    <w:rsid w:val="00853170"/>
    <w:rsid w:val="00863B23"/>
    <w:rsid w:val="008642C7"/>
    <w:rsid w:val="00864A73"/>
    <w:rsid w:val="00867ED6"/>
    <w:rsid w:val="00871BDA"/>
    <w:rsid w:val="0088133C"/>
    <w:rsid w:val="008927EC"/>
    <w:rsid w:val="008B4834"/>
    <w:rsid w:val="008C0A7F"/>
    <w:rsid w:val="008E1AC7"/>
    <w:rsid w:val="008E78F2"/>
    <w:rsid w:val="008F1014"/>
    <w:rsid w:val="008F4EA2"/>
    <w:rsid w:val="009009C9"/>
    <w:rsid w:val="0091122E"/>
    <w:rsid w:val="0091506E"/>
    <w:rsid w:val="00917572"/>
    <w:rsid w:val="009272B5"/>
    <w:rsid w:val="0093231F"/>
    <w:rsid w:val="00933757"/>
    <w:rsid w:val="00946BCB"/>
    <w:rsid w:val="00947071"/>
    <w:rsid w:val="00950FEC"/>
    <w:rsid w:val="009526D1"/>
    <w:rsid w:val="00954EAE"/>
    <w:rsid w:val="009615E9"/>
    <w:rsid w:val="0096246A"/>
    <w:rsid w:val="0097088A"/>
    <w:rsid w:val="00972B1A"/>
    <w:rsid w:val="00973734"/>
    <w:rsid w:val="00974E85"/>
    <w:rsid w:val="0098232D"/>
    <w:rsid w:val="009A3060"/>
    <w:rsid w:val="009B0C27"/>
    <w:rsid w:val="009D72C1"/>
    <w:rsid w:val="00A0639B"/>
    <w:rsid w:val="00A07CD5"/>
    <w:rsid w:val="00A27328"/>
    <w:rsid w:val="00A273D7"/>
    <w:rsid w:val="00A32252"/>
    <w:rsid w:val="00A51E1D"/>
    <w:rsid w:val="00A7047E"/>
    <w:rsid w:val="00A734D2"/>
    <w:rsid w:val="00A77167"/>
    <w:rsid w:val="00A80869"/>
    <w:rsid w:val="00A83FAB"/>
    <w:rsid w:val="00A87552"/>
    <w:rsid w:val="00A96229"/>
    <w:rsid w:val="00AA2586"/>
    <w:rsid w:val="00AB028B"/>
    <w:rsid w:val="00AB5F90"/>
    <w:rsid w:val="00AB74E5"/>
    <w:rsid w:val="00AC0D19"/>
    <w:rsid w:val="00AC38B5"/>
    <w:rsid w:val="00AD2C3D"/>
    <w:rsid w:val="00AD574B"/>
    <w:rsid w:val="00AD776D"/>
    <w:rsid w:val="00AE15FE"/>
    <w:rsid w:val="00AE7430"/>
    <w:rsid w:val="00B05419"/>
    <w:rsid w:val="00B1125E"/>
    <w:rsid w:val="00B210F0"/>
    <w:rsid w:val="00B232FC"/>
    <w:rsid w:val="00B2619C"/>
    <w:rsid w:val="00B30109"/>
    <w:rsid w:val="00B424AD"/>
    <w:rsid w:val="00B5569E"/>
    <w:rsid w:val="00B569C7"/>
    <w:rsid w:val="00B56B4C"/>
    <w:rsid w:val="00B629CE"/>
    <w:rsid w:val="00B63521"/>
    <w:rsid w:val="00B70BF8"/>
    <w:rsid w:val="00B7527D"/>
    <w:rsid w:val="00BD048C"/>
    <w:rsid w:val="00BE2DDB"/>
    <w:rsid w:val="00BE595E"/>
    <w:rsid w:val="00BE7ED0"/>
    <w:rsid w:val="00BF07EC"/>
    <w:rsid w:val="00BF61AA"/>
    <w:rsid w:val="00C2265A"/>
    <w:rsid w:val="00C23C46"/>
    <w:rsid w:val="00C24944"/>
    <w:rsid w:val="00C31362"/>
    <w:rsid w:val="00C325D9"/>
    <w:rsid w:val="00C36502"/>
    <w:rsid w:val="00C47DFC"/>
    <w:rsid w:val="00C556D1"/>
    <w:rsid w:val="00C55CA2"/>
    <w:rsid w:val="00C60C17"/>
    <w:rsid w:val="00C621BC"/>
    <w:rsid w:val="00C62D65"/>
    <w:rsid w:val="00C65953"/>
    <w:rsid w:val="00C71A3E"/>
    <w:rsid w:val="00C7565B"/>
    <w:rsid w:val="00C9130F"/>
    <w:rsid w:val="00C9429F"/>
    <w:rsid w:val="00CA2E8A"/>
    <w:rsid w:val="00CB691D"/>
    <w:rsid w:val="00CB75F6"/>
    <w:rsid w:val="00CC700F"/>
    <w:rsid w:val="00CD17FA"/>
    <w:rsid w:val="00CD1CA5"/>
    <w:rsid w:val="00CD5254"/>
    <w:rsid w:val="00CD6B96"/>
    <w:rsid w:val="00CE178E"/>
    <w:rsid w:val="00CE24C3"/>
    <w:rsid w:val="00CE7B5E"/>
    <w:rsid w:val="00D01F23"/>
    <w:rsid w:val="00D024F6"/>
    <w:rsid w:val="00D126CA"/>
    <w:rsid w:val="00D30436"/>
    <w:rsid w:val="00D44D07"/>
    <w:rsid w:val="00D47D65"/>
    <w:rsid w:val="00D62AAA"/>
    <w:rsid w:val="00D64C09"/>
    <w:rsid w:val="00D703D6"/>
    <w:rsid w:val="00D77095"/>
    <w:rsid w:val="00D800D2"/>
    <w:rsid w:val="00D85324"/>
    <w:rsid w:val="00D90E17"/>
    <w:rsid w:val="00DB4BDD"/>
    <w:rsid w:val="00DC6E80"/>
    <w:rsid w:val="00DF0B1D"/>
    <w:rsid w:val="00E12CAA"/>
    <w:rsid w:val="00E153DC"/>
    <w:rsid w:val="00E2374B"/>
    <w:rsid w:val="00E24F1C"/>
    <w:rsid w:val="00E33588"/>
    <w:rsid w:val="00E34E10"/>
    <w:rsid w:val="00E37E93"/>
    <w:rsid w:val="00E42CED"/>
    <w:rsid w:val="00E46E40"/>
    <w:rsid w:val="00E56799"/>
    <w:rsid w:val="00E62A5A"/>
    <w:rsid w:val="00E70478"/>
    <w:rsid w:val="00EB038D"/>
    <w:rsid w:val="00EB1BD5"/>
    <w:rsid w:val="00EB34F3"/>
    <w:rsid w:val="00EB4127"/>
    <w:rsid w:val="00EB458B"/>
    <w:rsid w:val="00EC2854"/>
    <w:rsid w:val="00EE5A40"/>
    <w:rsid w:val="00EF6662"/>
    <w:rsid w:val="00F00E2F"/>
    <w:rsid w:val="00F10074"/>
    <w:rsid w:val="00F1383A"/>
    <w:rsid w:val="00F15F67"/>
    <w:rsid w:val="00F27B3F"/>
    <w:rsid w:val="00F36995"/>
    <w:rsid w:val="00F41860"/>
    <w:rsid w:val="00F44A5E"/>
    <w:rsid w:val="00F8530B"/>
    <w:rsid w:val="00FA212E"/>
    <w:rsid w:val="00FB087D"/>
    <w:rsid w:val="00FC34D8"/>
    <w:rsid w:val="00FC4083"/>
    <w:rsid w:val="00FC703D"/>
    <w:rsid w:val="00FD0C36"/>
    <w:rsid w:val="00FF3560"/>
    <w:rsid w:val="00FF5F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03"/>
  </w:style>
  <w:style w:type="paragraph" w:styleId="Heading7">
    <w:name w:val="heading 7"/>
    <w:basedOn w:val="Normal"/>
    <w:next w:val="Normal"/>
    <w:link w:val="Heading7Char"/>
    <w:qFormat/>
    <w:rsid w:val="005226F2"/>
    <w:pPr>
      <w:keepNext/>
      <w:tabs>
        <w:tab w:val="right" w:pos="2520"/>
        <w:tab w:val="left" w:pos="2880"/>
      </w:tabs>
      <w:spacing w:line="240" w:lineRule="auto"/>
      <w:outlineLvl w:val="6"/>
    </w:pPr>
    <w:rPr>
      <w:rFonts w:ascii="CG Times (W1)" w:eastAsia="Times New Roman" w:hAnsi="CG Times (W1)"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0E0"/>
    <w:pPr>
      <w:ind w:left="720"/>
      <w:contextualSpacing/>
    </w:pPr>
  </w:style>
  <w:style w:type="paragraph" w:styleId="Header">
    <w:name w:val="header"/>
    <w:basedOn w:val="Normal"/>
    <w:link w:val="HeaderChar"/>
    <w:uiPriority w:val="99"/>
    <w:semiHidden/>
    <w:unhideWhenUsed/>
    <w:rsid w:val="000C137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C1374"/>
  </w:style>
  <w:style w:type="paragraph" w:styleId="Footer">
    <w:name w:val="footer"/>
    <w:basedOn w:val="Normal"/>
    <w:link w:val="FooterChar"/>
    <w:uiPriority w:val="99"/>
    <w:unhideWhenUsed/>
    <w:rsid w:val="000C1374"/>
    <w:pPr>
      <w:tabs>
        <w:tab w:val="center" w:pos="4680"/>
        <w:tab w:val="right" w:pos="9360"/>
      </w:tabs>
      <w:spacing w:line="240" w:lineRule="auto"/>
    </w:pPr>
  </w:style>
  <w:style w:type="character" w:customStyle="1" w:styleId="FooterChar">
    <w:name w:val="Footer Char"/>
    <w:basedOn w:val="DefaultParagraphFont"/>
    <w:link w:val="Footer"/>
    <w:uiPriority w:val="99"/>
    <w:rsid w:val="000C1374"/>
  </w:style>
  <w:style w:type="paragraph" w:styleId="BalloonText">
    <w:name w:val="Balloon Text"/>
    <w:basedOn w:val="Normal"/>
    <w:link w:val="BalloonTextChar"/>
    <w:uiPriority w:val="99"/>
    <w:semiHidden/>
    <w:unhideWhenUsed/>
    <w:rsid w:val="005778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846"/>
    <w:rPr>
      <w:rFonts w:ascii="Tahoma" w:hAnsi="Tahoma" w:cs="Tahoma"/>
      <w:sz w:val="16"/>
      <w:szCs w:val="16"/>
    </w:rPr>
  </w:style>
  <w:style w:type="paragraph" w:styleId="BodyText">
    <w:name w:val="Body Text"/>
    <w:basedOn w:val="Normal"/>
    <w:link w:val="BodyTextChar"/>
    <w:rsid w:val="004E02BB"/>
    <w:pPr>
      <w:spacing w:line="240" w:lineRule="auto"/>
    </w:pPr>
    <w:rPr>
      <w:rFonts w:ascii="CG Times (W1)" w:eastAsia="Times New Roman" w:hAnsi="CG Times (W1)" w:cs="Times New Roman"/>
      <w:sz w:val="24"/>
      <w:szCs w:val="20"/>
    </w:rPr>
  </w:style>
  <w:style w:type="character" w:customStyle="1" w:styleId="BodyTextChar">
    <w:name w:val="Body Text Char"/>
    <w:basedOn w:val="DefaultParagraphFont"/>
    <w:link w:val="BodyText"/>
    <w:rsid w:val="004E02BB"/>
    <w:rPr>
      <w:rFonts w:ascii="CG Times (W1)" w:eastAsia="Times New Roman" w:hAnsi="CG Times (W1)" w:cs="Times New Roman"/>
      <w:sz w:val="24"/>
      <w:szCs w:val="20"/>
    </w:rPr>
  </w:style>
  <w:style w:type="character" w:styleId="CommentReference">
    <w:name w:val="annotation reference"/>
    <w:basedOn w:val="DefaultParagraphFont"/>
    <w:uiPriority w:val="99"/>
    <w:semiHidden/>
    <w:unhideWhenUsed/>
    <w:rsid w:val="001B40DF"/>
    <w:rPr>
      <w:sz w:val="16"/>
      <w:szCs w:val="16"/>
    </w:rPr>
  </w:style>
  <w:style w:type="paragraph" w:styleId="CommentText">
    <w:name w:val="annotation text"/>
    <w:basedOn w:val="Normal"/>
    <w:link w:val="CommentTextChar"/>
    <w:uiPriority w:val="99"/>
    <w:semiHidden/>
    <w:unhideWhenUsed/>
    <w:rsid w:val="001B40DF"/>
    <w:pPr>
      <w:spacing w:line="240" w:lineRule="auto"/>
    </w:pPr>
    <w:rPr>
      <w:sz w:val="20"/>
      <w:szCs w:val="20"/>
    </w:rPr>
  </w:style>
  <w:style w:type="character" w:customStyle="1" w:styleId="CommentTextChar">
    <w:name w:val="Comment Text Char"/>
    <w:basedOn w:val="DefaultParagraphFont"/>
    <w:link w:val="CommentText"/>
    <w:uiPriority w:val="99"/>
    <w:semiHidden/>
    <w:rsid w:val="001B40DF"/>
    <w:rPr>
      <w:sz w:val="20"/>
      <w:szCs w:val="20"/>
    </w:rPr>
  </w:style>
  <w:style w:type="paragraph" w:styleId="CommentSubject">
    <w:name w:val="annotation subject"/>
    <w:basedOn w:val="CommentText"/>
    <w:next w:val="CommentText"/>
    <w:link w:val="CommentSubjectChar"/>
    <w:uiPriority w:val="99"/>
    <w:semiHidden/>
    <w:unhideWhenUsed/>
    <w:rsid w:val="001B40DF"/>
    <w:rPr>
      <w:b/>
      <w:bCs/>
    </w:rPr>
  </w:style>
  <w:style w:type="character" w:customStyle="1" w:styleId="CommentSubjectChar">
    <w:name w:val="Comment Subject Char"/>
    <w:basedOn w:val="CommentTextChar"/>
    <w:link w:val="CommentSubject"/>
    <w:uiPriority w:val="99"/>
    <w:semiHidden/>
    <w:rsid w:val="001B40DF"/>
    <w:rPr>
      <w:b/>
      <w:bCs/>
    </w:rPr>
  </w:style>
  <w:style w:type="paragraph" w:styleId="Revision">
    <w:name w:val="Revision"/>
    <w:hidden/>
    <w:uiPriority w:val="99"/>
    <w:semiHidden/>
    <w:rsid w:val="00C71A3E"/>
    <w:pPr>
      <w:spacing w:line="240" w:lineRule="auto"/>
    </w:pPr>
  </w:style>
  <w:style w:type="table" w:styleId="TableGrid">
    <w:name w:val="Table Grid"/>
    <w:basedOn w:val="TableNormal"/>
    <w:uiPriority w:val="59"/>
    <w:rsid w:val="00954EA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7095"/>
    <w:pPr>
      <w:spacing w:line="240" w:lineRule="auto"/>
    </w:pPr>
    <w:rPr>
      <w:sz w:val="20"/>
      <w:szCs w:val="20"/>
    </w:rPr>
  </w:style>
  <w:style w:type="character" w:customStyle="1" w:styleId="FootnoteTextChar">
    <w:name w:val="Footnote Text Char"/>
    <w:basedOn w:val="DefaultParagraphFont"/>
    <w:link w:val="FootnoteText"/>
    <w:uiPriority w:val="99"/>
    <w:semiHidden/>
    <w:rsid w:val="00D77095"/>
    <w:rPr>
      <w:sz w:val="20"/>
      <w:szCs w:val="20"/>
    </w:rPr>
  </w:style>
  <w:style w:type="character" w:styleId="FootnoteReference">
    <w:name w:val="footnote reference"/>
    <w:basedOn w:val="DefaultParagraphFont"/>
    <w:uiPriority w:val="99"/>
    <w:semiHidden/>
    <w:unhideWhenUsed/>
    <w:rsid w:val="00D77095"/>
    <w:rPr>
      <w:vertAlign w:val="superscript"/>
    </w:rPr>
  </w:style>
  <w:style w:type="paragraph" w:styleId="EndnoteText">
    <w:name w:val="endnote text"/>
    <w:basedOn w:val="Normal"/>
    <w:link w:val="EndnoteTextChar"/>
    <w:uiPriority w:val="99"/>
    <w:semiHidden/>
    <w:unhideWhenUsed/>
    <w:rsid w:val="00FA212E"/>
    <w:pPr>
      <w:spacing w:line="240" w:lineRule="auto"/>
    </w:pPr>
    <w:rPr>
      <w:sz w:val="20"/>
      <w:szCs w:val="20"/>
    </w:rPr>
  </w:style>
  <w:style w:type="character" w:customStyle="1" w:styleId="EndnoteTextChar">
    <w:name w:val="Endnote Text Char"/>
    <w:basedOn w:val="DefaultParagraphFont"/>
    <w:link w:val="EndnoteText"/>
    <w:uiPriority w:val="99"/>
    <w:semiHidden/>
    <w:rsid w:val="00FA212E"/>
    <w:rPr>
      <w:sz w:val="20"/>
      <w:szCs w:val="20"/>
    </w:rPr>
  </w:style>
  <w:style w:type="character" w:styleId="EndnoteReference">
    <w:name w:val="endnote reference"/>
    <w:basedOn w:val="DefaultParagraphFont"/>
    <w:uiPriority w:val="99"/>
    <w:semiHidden/>
    <w:unhideWhenUsed/>
    <w:rsid w:val="00FA212E"/>
    <w:rPr>
      <w:vertAlign w:val="superscript"/>
    </w:rPr>
  </w:style>
  <w:style w:type="character" w:customStyle="1" w:styleId="Heading7Char">
    <w:name w:val="Heading 7 Char"/>
    <w:basedOn w:val="DefaultParagraphFont"/>
    <w:link w:val="Heading7"/>
    <w:rsid w:val="005226F2"/>
    <w:rPr>
      <w:rFonts w:ascii="CG Times (W1)" w:eastAsia="Times New Roman" w:hAnsi="CG Times (W1)" w:cs="Times New Roman"/>
      <w:i/>
      <w:iCs/>
      <w:sz w:val="24"/>
      <w:szCs w:val="24"/>
    </w:rPr>
  </w:style>
</w:styles>
</file>

<file path=word/webSettings.xml><?xml version="1.0" encoding="utf-8"?>
<w:webSettings xmlns:r="http://schemas.openxmlformats.org/officeDocument/2006/relationships" xmlns:w="http://schemas.openxmlformats.org/wordprocessingml/2006/main">
  <w:divs>
    <w:div w:id="71709640">
      <w:bodyDiv w:val="1"/>
      <w:marLeft w:val="0"/>
      <w:marRight w:val="0"/>
      <w:marTop w:val="0"/>
      <w:marBottom w:val="0"/>
      <w:divBdr>
        <w:top w:val="none" w:sz="0" w:space="0" w:color="auto"/>
        <w:left w:val="none" w:sz="0" w:space="0" w:color="auto"/>
        <w:bottom w:val="none" w:sz="0" w:space="0" w:color="auto"/>
        <w:right w:val="none" w:sz="0" w:space="0" w:color="auto"/>
      </w:divBdr>
    </w:div>
    <w:div w:id="91171411">
      <w:bodyDiv w:val="1"/>
      <w:marLeft w:val="0"/>
      <w:marRight w:val="0"/>
      <w:marTop w:val="0"/>
      <w:marBottom w:val="0"/>
      <w:divBdr>
        <w:top w:val="none" w:sz="0" w:space="0" w:color="auto"/>
        <w:left w:val="none" w:sz="0" w:space="0" w:color="auto"/>
        <w:bottom w:val="none" w:sz="0" w:space="0" w:color="auto"/>
        <w:right w:val="none" w:sz="0" w:space="0" w:color="auto"/>
      </w:divBdr>
    </w:div>
    <w:div w:id="104348811">
      <w:bodyDiv w:val="1"/>
      <w:marLeft w:val="0"/>
      <w:marRight w:val="0"/>
      <w:marTop w:val="0"/>
      <w:marBottom w:val="0"/>
      <w:divBdr>
        <w:top w:val="none" w:sz="0" w:space="0" w:color="auto"/>
        <w:left w:val="none" w:sz="0" w:space="0" w:color="auto"/>
        <w:bottom w:val="none" w:sz="0" w:space="0" w:color="auto"/>
        <w:right w:val="none" w:sz="0" w:space="0" w:color="auto"/>
      </w:divBdr>
    </w:div>
    <w:div w:id="138503084">
      <w:bodyDiv w:val="1"/>
      <w:marLeft w:val="0"/>
      <w:marRight w:val="0"/>
      <w:marTop w:val="0"/>
      <w:marBottom w:val="0"/>
      <w:divBdr>
        <w:top w:val="none" w:sz="0" w:space="0" w:color="auto"/>
        <w:left w:val="none" w:sz="0" w:space="0" w:color="auto"/>
        <w:bottom w:val="none" w:sz="0" w:space="0" w:color="auto"/>
        <w:right w:val="none" w:sz="0" w:space="0" w:color="auto"/>
      </w:divBdr>
    </w:div>
    <w:div w:id="246499228">
      <w:bodyDiv w:val="1"/>
      <w:marLeft w:val="0"/>
      <w:marRight w:val="0"/>
      <w:marTop w:val="0"/>
      <w:marBottom w:val="0"/>
      <w:divBdr>
        <w:top w:val="none" w:sz="0" w:space="0" w:color="auto"/>
        <w:left w:val="none" w:sz="0" w:space="0" w:color="auto"/>
        <w:bottom w:val="none" w:sz="0" w:space="0" w:color="auto"/>
        <w:right w:val="none" w:sz="0" w:space="0" w:color="auto"/>
      </w:divBdr>
    </w:div>
    <w:div w:id="320622769">
      <w:bodyDiv w:val="1"/>
      <w:marLeft w:val="0"/>
      <w:marRight w:val="0"/>
      <w:marTop w:val="0"/>
      <w:marBottom w:val="0"/>
      <w:divBdr>
        <w:top w:val="none" w:sz="0" w:space="0" w:color="auto"/>
        <w:left w:val="none" w:sz="0" w:space="0" w:color="auto"/>
        <w:bottom w:val="none" w:sz="0" w:space="0" w:color="auto"/>
        <w:right w:val="none" w:sz="0" w:space="0" w:color="auto"/>
      </w:divBdr>
    </w:div>
    <w:div w:id="342123582">
      <w:bodyDiv w:val="1"/>
      <w:marLeft w:val="0"/>
      <w:marRight w:val="0"/>
      <w:marTop w:val="0"/>
      <w:marBottom w:val="0"/>
      <w:divBdr>
        <w:top w:val="none" w:sz="0" w:space="0" w:color="auto"/>
        <w:left w:val="none" w:sz="0" w:space="0" w:color="auto"/>
        <w:bottom w:val="none" w:sz="0" w:space="0" w:color="auto"/>
        <w:right w:val="none" w:sz="0" w:space="0" w:color="auto"/>
      </w:divBdr>
    </w:div>
    <w:div w:id="347147846">
      <w:bodyDiv w:val="1"/>
      <w:marLeft w:val="0"/>
      <w:marRight w:val="0"/>
      <w:marTop w:val="0"/>
      <w:marBottom w:val="0"/>
      <w:divBdr>
        <w:top w:val="none" w:sz="0" w:space="0" w:color="auto"/>
        <w:left w:val="none" w:sz="0" w:space="0" w:color="auto"/>
        <w:bottom w:val="none" w:sz="0" w:space="0" w:color="auto"/>
        <w:right w:val="none" w:sz="0" w:space="0" w:color="auto"/>
      </w:divBdr>
    </w:div>
    <w:div w:id="605967292">
      <w:bodyDiv w:val="1"/>
      <w:marLeft w:val="0"/>
      <w:marRight w:val="0"/>
      <w:marTop w:val="0"/>
      <w:marBottom w:val="0"/>
      <w:divBdr>
        <w:top w:val="none" w:sz="0" w:space="0" w:color="auto"/>
        <w:left w:val="none" w:sz="0" w:space="0" w:color="auto"/>
        <w:bottom w:val="none" w:sz="0" w:space="0" w:color="auto"/>
        <w:right w:val="none" w:sz="0" w:space="0" w:color="auto"/>
      </w:divBdr>
    </w:div>
    <w:div w:id="844592236">
      <w:bodyDiv w:val="1"/>
      <w:marLeft w:val="0"/>
      <w:marRight w:val="0"/>
      <w:marTop w:val="0"/>
      <w:marBottom w:val="0"/>
      <w:divBdr>
        <w:top w:val="none" w:sz="0" w:space="0" w:color="auto"/>
        <w:left w:val="none" w:sz="0" w:space="0" w:color="auto"/>
        <w:bottom w:val="none" w:sz="0" w:space="0" w:color="auto"/>
        <w:right w:val="none" w:sz="0" w:space="0" w:color="auto"/>
      </w:divBdr>
    </w:div>
    <w:div w:id="1253591641">
      <w:bodyDiv w:val="1"/>
      <w:marLeft w:val="0"/>
      <w:marRight w:val="0"/>
      <w:marTop w:val="0"/>
      <w:marBottom w:val="0"/>
      <w:divBdr>
        <w:top w:val="none" w:sz="0" w:space="0" w:color="auto"/>
        <w:left w:val="none" w:sz="0" w:space="0" w:color="auto"/>
        <w:bottom w:val="none" w:sz="0" w:space="0" w:color="auto"/>
        <w:right w:val="none" w:sz="0" w:space="0" w:color="auto"/>
      </w:divBdr>
    </w:div>
    <w:div w:id="1315373763">
      <w:bodyDiv w:val="1"/>
      <w:marLeft w:val="0"/>
      <w:marRight w:val="0"/>
      <w:marTop w:val="0"/>
      <w:marBottom w:val="0"/>
      <w:divBdr>
        <w:top w:val="none" w:sz="0" w:space="0" w:color="auto"/>
        <w:left w:val="none" w:sz="0" w:space="0" w:color="auto"/>
        <w:bottom w:val="none" w:sz="0" w:space="0" w:color="auto"/>
        <w:right w:val="none" w:sz="0" w:space="0" w:color="auto"/>
      </w:divBdr>
    </w:div>
    <w:div w:id="1346327961">
      <w:bodyDiv w:val="1"/>
      <w:marLeft w:val="0"/>
      <w:marRight w:val="0"/>
      <w:marTop w:val="0"/>
      <w:marBottom w:val="0"/>
      <w:divBdr>
        <w:top w:val="none" w:sz="0" w:space="0" w:color="auto"/>
        <w:left w:val="none" w:sz="0" w:space="0" w:color="auto"/>
        <w:bottom w:val="none" w:sz="0" w:space="0" w:color="auto"/>
        <w:right w:val="none" w:sz="0" w:space="0" w:color="auto"/>
      </w:divBdr>
    </w:div>
    <w:div w:id="1525904674">
      <w:bodyDiv w:val="1"/>
      <w:marLeft w:val="0"/>
      <w:marRight w:val="0"/>
      <w:marTop w:val="0"/>
      <w:marBottom w:val="0"/>
      <w:divBdr>
        <w:top w:val="none" w:sz="0" w:space="0" w:color="auto"/>
        <w:left w:val="none" w:sz="0" w:space="0" w:color="auto"/>
        <w:bottom w:val="none" w:sz="0" w:space="0" w:color="auto"/>
        <w:right w:val="none" w:sz="0" w:space="0" w:color="auto"/>
      </w:divBdr>
    </w:div>
    <w:div w:id="1535801253">
      <w:bodyDiv w:val="1"/>
      <w:marLeft w:val="0"/>
      <w:marRight w:val="0"/>
      <w:marTop w:val="0"/>
      <w:marBottom w:val="0"/>
      <w:divBdr>
        <w:top w:val="none" w:sz="0" w:space="0" w:color="auto"/>
        <w:left w:val="none" w:sz="0" w:space="0" w:color="auto"/>
        <w:bottom w:val="none" w:sz="0" w:space="0" w:color="auto"/>
        <w:right w:val="none" w:sz="0" w:space="0" w:color="auto"/>
      </w:divBdr>
    </w:div>
    <w:div w:id="1652950311">
      <w:bodyDiv w:val="1"/>
      <w:marLeft w:val="0"/>
      <w:marRight w:val="0"/>
      <w:marTop w:val="0"/>
      <w:marBottom w:val="0"/>
      <w:divBdr>
        <w:top w:val="none" w:sz="0" w:space="0" w:color="auto"/>
        <w:left w:val="none" w:sz="0" w:space="0" w:color="auto"/>
        <w:bottom w:val="none" w:sz="0" w:space="0" w:color="auto"/>
        <w:right w:val="none" w:sz="0" w:space="0" w:color="auto"/>
      </w:divBdr>
    </w:div>
    <w:div w:id="197579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pisrv3\tpops\Cell%20Phone%20Evaluation\DemStats%20with%20Q112%20prod%20data%20RE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isrv3\tpops\Cell%20Phone%20Evaluation\DemStats%20with%20Q112%20prod%20data%20RE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pisrv3\tpops\Cell%20Phone%20Evaluation\DemStats%20with%20Q112%20prod%20data%20RE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pisrv3\tpops\Cell%20Phone%20Evaluation\DemStats%20with%20Q112%20prod%20data%20RE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 of Respondent</a:t>
            </a:r>
          </a:p>
        </c:rich>
      </c:tx>
      <c:layout>
        <c:manualLayout>
          <c:xMode val="edge"/>
          <c:yMode val="edge"/>
          <c:x val="0.29745822397200583"/>
          <c:y val="4.6296296296296563E-3"/>
        </c:manualLayout>
      </c:layout>
    </c:title>
    <c:plotArea>
      <c:layout/>
      <c:barChart>
        <c:barDir val="col"/>
        <c:grouping val="clustered"/>
        <c:ser>
          <c:idx val="0"/>
          <c:order val="0"/>
          <c:tx>
            <c:strRef>
              <c:f>AGEGRP!$B$17</c:f>
              <c:strCache>
                <c:ptCount val="1"/>
                <c:pt idx="0">
                  <c:v>CELL TEST</c:v>
                </c:pt>
              </c:strCache>
            </c:strRef>
          </c:tx>
          <c:dLbls>
            <c:txPr>
              <a:bodyPr/>
              <a:lstStyle/>
              <a:p>
                <a:pPr>
                  <a:defRPr sz="800"/>
                </a:pPr>
                <a:endParaRPr lang="en-US"/>
              </a:p>
            </c:txPr>
            <c:showVal val="1"/>
          </c:dLbls>
          <c:cat>
            <c:strRef>
              <c:f>AGEGRP!$A$18:$A$26</c:f>
              <c:strCache>
                <c:ptCount val="9"/>
                <c:pt idx="0">
                  <c:v>25 and under</c:v>
                </c:pt>
                <c:pt idx="1">
                  <c:v>26-35</c:v>
                </c:pt>
                <c:pt idx="2">
                  <c:v>36-45</c:v>
                </c:pt>
                <c:pt idx="3">
                  <c:v>46-55</c:v>
                </c:pt>
                <c:pt idx="4">
                  <c:v>56-65</c:v>
                </c:pt>
                <c:pt idx="5">
                  <c:v>66-75</c:v>
                </c:pt>
                <c:pt idx="6">
                  <c:v>76-85</c:v>
                </c:pt>
                <c:pt idx="7">
                  <c:v>85 and older</c:v>
                </c:pt>
                <c:pt idx="8">
                  <c:v>missing</c:v>
                </c:pt>
              </c:strCache>
            </c:strRef>
          </c:cat>
          <c:val>
            <c:numRef>
              <c:f>AGEGRP!$B$18:$B$26</c:f>
              <c:numCache>
                <c:formatCode>General</c:formatCode>
                <c:ptCount val="9"/>
                <c:pt idx="0">
                  <c:v>11.1</c:v>
                </c:pt>
                <c:pt idx="1">
                  <c:v>20.3</c:v>
                </c:pt>
                <c:pt idx="2">
                  <c:v>18.8</c:v>
                </c:pt>
                <c:pt idx="3">
                  <c:v>20.100000000000001</c:v>
                </c:pt>
                <c:pt idx="4">
                  <c:v>15.3</c:v>
                </c:pt>
                <c:pt idx="5">
                  <c:v>6.5</c:v>
                </c:pt>
                <c:pt idx="6">
                  <c:v>2.5</c:v>
                </c:pt>
                <c:pt idx="7">
                  <c:v>0.2</c:v>
                </c:pt>
                <c:pt idx="8">
                  <c:v>5.2</c:v>
                </c:pt>
              </c:numCache>
            </c:numRef>
          </c:val>
        </c:ser>
        <c:ser>
          <c:idx val="1"/>
          <c:order val="1"/>
          <c:tx>
            <c:strRef>
              <c:f>AGEGRP!$C$17</c:f>
              <c:strCache>
                <c:ptCount val="1"/>
                <c:pt idx="0">
                  <c:v> LANDLINE PRODUCTION</c:v>
                </c:pt>
              </c:strCache>
            </c:strRef>
          </c:tx>
          <c:dLbls>
            <c:txPr>
              <a:bodyPr/>
              <a:lstStyle/>
              <a:p>
                <a:pPr>
                  <a:defRPr sz="800"/>
                </a:pPr>
                <a:endParaRPr lang="en-US"/>
              </a:p>
            </c:txPr>
            <c:showVal val="1"/>
          </c:dLbls>
          <c:cat>
            <c:strRef>
              <c:f>AGEGRP!$A$18:$A$26</c:f>
              <c:strCache>
                <c:ptCount val="9"/>
                <c:pt idx="0">
                  <c:v>25 and under</c:v>
                </c:pt>
                <c:pt idx="1">
                  <c:v>26-35</c:v>
                </c:pt>
                <c:pt idx="2">
                  <c:v>36-45</c:v>
                </c:pt>
                <c:pt idx="3">
                  <c:v>46-55</c:v>
                </c:pt>
                <c:pt idx="4">
                  <c:v>56-65</c:v>
                </c:pt>
                <c:pt idx="5">
                  <c:v>66-75</c:v>
                </c:pt>
                <c:pt idx="6">
                  <c:v>76-85</c:v>
                </c:pt>
                <c:pt idx="7">
                  <c:v>85 and older</c:v>
                </c:pt>
                <c:pt idx="8">
                  <c:v>missing</c:v>
                </c:pt>
              </c:strCache>
            </c:strRef>
          </c:cat>
          <c:val>
            <c:numRef>
              <c:f>AGEGRP!$C$18:$C$26</c:f>
              <c:numCache>
                <c:formatCode>General</c:formatCode>
                <c:ptCount val="9"/>
                <c:pt idx="0">
                  <c:v>1.1000000000000001</c:v>
                </c:pt>
                <c:pt idx="1">
                  <c:v>6.8</c:v>
                </c:pt>
                <c:pt idx="2">
                  <c:v>13.4</c:v>
                </c:pt>
                <c:pt idx="3">
                  <c:v>21.6</c:v>
                </c:pt>
                <c:pt idx="4">
                  <c:v>23.4</c:v>
                </c:pt>
                <c:pt idx="5">
                  <c:v>17.100000000000001</c:v>
                </c:pt>
                <c:pt idx="6">
                  <c:v>9.7000000000000011</c:v>
                </c:pt>
                <c:pt idx="7">
                  <c:v>2.8</c:v>
                </c:pt>
                <c:pt idx="8">
                  <c:v>4.0999999999999996</c:v>
                </c:pt>
              </c:numCache>
            </c:numRef>
          </c:val>
        </c:ser>
        <c:dLbls>
          <c:showVal val="1"/>
        </c:dLbls>
        <c:gapWidth val="75"/>
        <c:axId val="85948288"/>
        <c:axId val="86533248"/>
      </c:barChart>
      <c:catAx>
        <c:axId val="85948288"/>
        <c:scaling>
          <c:orientation val="minMax"/>
        </c:scaling>
        <c:axPos val="b"/>
        <c:majorTickMark val="none"/>
        <c:tickLblPos val="nextTo"/>
        <c:txPr>
          <a:bodyPr/>
          <a:lstStyle/>
          <a:p>
            <a:pPr>
              <a:defRPr sz="900"/>
            </a:pPr>
            <a:endParaRPr lang="en-US"/>
          </a:p>
        </c:txPr>
        <c:crossAx val="86533248"/>
        <c:crosses val="autoZero"/>
        <c:auto val="1"/>
        <c:lblAlgn val="ctr"/>
        <c:lblOffset val="100"/>
      </c:catAx>
      <c:valAx>
        <c:axId val="86533248"/>
        <c:scaling>
          <c:orientation val="minMax"/>
        </c:scaling>
        <c:axPos val="l"/>
        <c:majorGridlines/>
        <c:numFmt formatCode="General" sourceLinked="1"/>
        <c:majorTickMark val="none"/>
        <c:tickLblPos val="nextTo"/>
        <c:spPr>
          <a:ln w="9525">
            <a:noFill/>
          </a:ln>
        </c:spPr>
        <c:crossAx val="85948288"/>
        <c:crosses val="autoZero"/>
        <c:crossBetween val="between"/>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DIFFERENCES IN HISPANIC ORIGIN</a:t>
            </a:r>
          </a:p>
        </c:rich>
      </c:tx>
      <c:layout>
        <c:manualLayout>
          <c:xMode val="edge"/>
          <c:yMode val="edge"/>
          <c:x val="0.11648600174978127"/>
          <c:y val="2.7777777777778349E-2"/>
        </c:manualLayout>
      </c:layout>
    </c:title>
    <c:plotArea>
      <c:layout/>
      <c:barChart>
        <c:barDir val="col"/>
        <c:grouping val="clustered"/>
        <c:ser>
          <c:idx val="0"/>
          <c:order val="0"/>
          <c:tx>
            <c:strRef>
              <c:f>HISPORG!$B$21</c:f>
              <c:strCache>
                <c:ptCount val="1"/>
                <c:pt idx="0">
                  <c:v>CELL TEST</c:v>
                </c:pt>
              </c:strCache>
            </c:strRef>
          </c:tx>
          <c:dLbls>
            <c:txPr>
              <a:bodyPr/>
              <a:lstStyle/>
              <a:p>
                <a:pPr>
                  <a:defRPr sz="800"/>
                </a:pPr>
                <a:endParaRPr lang="en-US"/>
              </a:p>
            </c:txPr>
            <c:showVal val="1"/>
          </c:dLbls>
          <c:cat>
            <c:strRef>
              <c:f>HISPORG!$A$22:$A$24</c:f>
              <c:strCache>
                <c:ptCount val="3"/>
                <c:pt idx="0">
                  <c:v>HISPANIC ORIGIN</c:v>
                </c:pt>
                <c:pt idx="1">
                  <c:v>NON-HISPANIC ORIGIN</c:v>
                </c:pt>
                <c:pt idx="2">
                  <c:v>MISSING</c:v>
                </c:pt>
              </c:strCache>
            </c:strRef>
          </c:cat>
          <c:val>
            <c:numRef>
              <c:f>HISPORG!$B$22:$B$24</c:f>
              <c:numCache>
                <c:formatCode>General</c:formatCode>
                <c:ptCount val="3"/>
                <c:pt idx="0">
                  <c:v>10.9</c:v>
                </c:pt>
                <c:pt idx="1">
                  <c:v>89.1</c:v>
                </c:pt>
                <c:pt idx="2">
                  <c:v>5.5</c:v>
                </c:pt>
              </c:numCache>
            </c:numRef>
          </c:val>
        </c:ser>
        <c:ser>
          <c:idx val="1"/>
          <c:order val="1"/>
          <c:tx>
            <c:strRef>
              <c:f>HISPORG!$C$21</c:f>
              <c:strCache>
                <c:ptCount val="1"/>
                <c:pt idx="0">
                  <c:v>LANDLINE PRODUCTION</c:v>
                </c:pt>
              </c:strCache>
            </c:strRef>
          </c:tx>
          <c:dLbls>
            <c:txPr>
              <a:bodyPr/>
              <a:lstStyle/>
              <a:p>
                <a:pPr>
                  <a:defRPr sz="800"/>
                </a:pPr>
                <a:endParaRPr lang="en-US"/>
              </a:p>
            </c:txPr>
            <c:showVal val="1"/>
          </c:dLbls>
          <c:cat>
            <c:strRef>
              <c:f>HISPORG!$A$22:$A$24</c:f>
              <c:strCache>
                <c:ptCount val="3"/>
                <c:pt idx="0">
                  <c:v>HISPANIC ORIGIN</c:v>
                </c:pt>
                <c:pt idx="1">
                  <c:v>NON-HISPANIC ORIGIN</c:v>
                </c:pt>
                <c:pt idx="2">
                  <c:v>MISSING</c:v>
                </c:pt>
              </c:strCache>
            </c:strRef>
          </c:cat>
          <c:val>
            <c:numRef>
              <c:f>HISPORG!$C$22:$C$24</c:f>
              <c:numCache>
                <c:formatCode>General</c:formatCode>
                <c:ptCount val="3"/>
                <c:pt idx="0">
                  <c:v>3.4</c:v>
                </c:pt>
                <c:pt idx="1">
                  <c:v>92.6</c:v>
                </c:pt>
                <c:pt idx="2">
                  <c:v>3.4</c:v>
                </c:pt>
              </c:numCache>
            </c:numRef>
          </c:val>
        </c:ser>
        <c:dLbls>
          <c:showVal val="1"/>
        </c:dLbls>
        <c:gapWidth val="75"/>
        <c:overlap val="-25"/>
        <c:axId val="87107840"/>
        <c:axId val="87773184"/>
      </c:barChart>
      <c:catAx>
        <c:axId val="87107840"/>
        <c:scaling>
          <c:orientation val="minMax"/>
        </c:scaling>
        <c:axPos val="b"/>
        <c:majorTickMark val="none"/>
        <c:tickLblPos val="nextTo"/>
        <c:crossAx val="87773184"/>
        <c:crosses val="autoZero"/>
        <c:auto val="1"/>
        <c:lblAlgn val="ctr"/>
        <c:lblOffset val="100"/>
      </c:catAx>
      <c:valAx>
        <c:axId val="87773184"/>
        <c:scaling>
          <c:orientation val="minMax"/>
        </c:scaling>
        <c:axPos val="l"/>
        <c:majorGridlines/>
        <c:numFmt formatCode="General" sourceLinked="1"/>
        <c:majorTickMark val="none"/>
        <c:tickLblPos val="nextTo"/>
        <c:spPr>
          <a:ln w="9525">
            <a:noFill/>
          </a:ln>
        </c:spPr>
        <c:crossAx val="87107840"/>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DIFFERENCES IN SEX OF RESPONDENT</a:t>
            </a:r>
          </a:p>
        </c:rich>
      </c:tx>
    </c:title>
    <c:plotArea>
      <c:layout/>
      <c:barChart>
        <c:barDir val="col"/>
        <c:grouping val="clustered"/>
        <c:ser>
          <c:idx val="0"/>
          <c:order val="0"/>
          <c:tx>
            <c:strRef>
              <c:f>SEXREF!$B$22</c:f>
              <c:strCache>
                <c:ptCount val="1"/>
                <c:pt idx="0">
                  <c:v>CELL TEST</c:v>
                </c:pt>
              </c:strCache>
            </c:strRef>
          </c:tx>
          <c:dLbls>
            <c:txPr>
              <a:bodyPr/>
              <a:lstStyle/>
              <a:p>
                <a:pPr>
                  <a:defRPr sz="800"/>
                </a:pPr>
                <a:endParaRPr lang="en-US"/>
              </a:p>
            </c:txPr>
            <c:showVal val="1"/>
          </c:dLbls>
          <c:cat>
            <c:strRef>
              <c:f>SEXREF!$A$23:$A$25</c:f>
              <c:strCache>
                <c:ptCount val="3"/>
                <c:pt idx="0">
                  <c:v>MALE</c:v>
                </c:pt>
                <c:pt idx="1">
                  <c:v>FEMALE</c:v>
                </c:pt>
                <c:pt idx="2">
                  <c:v>MISSING</c:v>
                </c:pt>
              </c:strCache>
            </c:strRef>
          </c:cat>
          <c:val>
            <c:numRef>
              <c:f>SEXREF!$B$23:$B$25</c:f>
              <c:numCache>
                <c:formatCode>General</c:formatCode>
                <c:ptCount val="3"/>
                <c:pt idx="0">
                  <c:v>47.8</c:v>
                </c:pt>
                <c:pt idx="1">
                  <c:v>52.2</c:v>
                </c:pt>
                <c:pt idx="2">
                  <c:v>4.2</c:v>
                </c:pt>
              </c:numCache>
            </c:numRef>
          </c:val>
        </c:ser>
        <c:ser>
          <c:idx val="1"/>
          <c:order val="1"/>
          <c:tx>
            <c:strRef>
              <c:f>SEXREF!$C$22</c:f>
              <c:strCache>
                <c:ptCount val="1"/>
                <c:pt idx="0">
                  <c:v>LANDLINE PRODUCTION</c:v>
                </c:pt>
              </c:strCache>
            </c:strRef>
          </c:tx>
          <c:dLbls>
            <c:txPr>
              <a:bodyPr/>
              <a:lstStyle/>
              <a:p>
                <a:pPr>
                  <a:defRPr sz="800"/>
                </a:pPr>
                <a:endParaRPr lang="en-US"/>
              </a:p>
            </c:txPr>
            <c:showVal val="1"/>
          </c:dLbls>
          <c:cat>
            <c:strRef>
              <c:f>SEXREF!$A$23:$A$25</c:f>
              <c:strCache>
                <c:ptCount val="3"/>
                <c:pt idx="0">
                  <c:v>MALE</c:v>
                </c:pt>
                <c:pt idx="1">
                  <c:v>FEMALE</c:v>
                </c:pt>
                <c:pt idx="2">
                  <c:v>MISSING</c:v>
                </c:pt>
              </c:strCache>
            </c:strRef>
          </c:cat>
          <c:val>
            <c:numRef>
              <c:f>SEXREF!$C$23:$C$25</c:f>
              <c:numCache>
                <c:formatCode>General</c:formatCode>
                <c:ptCount val="3"/>
                <c:pt idx="0">
                  <c:v>36.800000000000004</c:v>
                </c:pt>
                <c:pt idx="1">
                  <c:v>63.2</c:v>
                </c:pt>
                <c:pt idx="2">
                  <c:v>2.6</c:v>
                </c:pt>
              </c:numCache>
            </c:numRef>
          </c:val>
        </c:ser>
        <c:dLbls>
          <c:showVal val="1"/>
        </c:dLbls>
        <c:gapWidth val="75"/>
        <c:overlap val="-25"/>
        <c:axId val="97749248"/>
        <c:axId val="72163328"/>
      </c:barChart>
      <c:catAx>
        <c:axId val="97749248"/>
        <c:scaling>
          <c:orientation val="minMax"/>
        </c:scaling>
        <c:axPos val="b"/>
        <c:majorTickMark val="none"/>
        <c:tickLblPos val="nextTo"/>
        <c:crossAx val="72163328"/>
        <c:crosses val="autoZero"/>
        <c:auto val="1"/>
        <c:lblAlgn val="ctr"/>
        <c:lblOffset val="100"/>
      </c:catAx>
      <c:valAx>
        <c:axId val="72163328"/>
        <c:scaling>
          <c:orientation val="minMax"/>
        </c:scaling>
        <c:axPos val="l"/>
        <c:majorGridlines/>
        <c:numFmt formatCode="General" sourceLinked="1"/>
        <c:majorTickMark val="none"/>
        <c:tickLblPos val="nextTo"/>
        <c:spPr>
          <a:ln w="9525">
            <a:noFill/>
          </a:ln>
        </c:spPr>
        <c:crossAx val="97749248"/>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baseline="0"/>
              <a:t>DIFFERENCES IN RACE OF RESONDENT</a:t>
            </a:r>
          </a:p>
        </c:rich>
      </c:tx>
    </c:title>
    <c:plotArea>
      <c:layout>
        <c:manualLayout>
          <c:layoutTarget val="inner"/>
          <c:xMode val="edge"/>
          <c:yMode val="edge"/>
          <c:x val="0.26236675737478127"/>
          <c:y val="8.1830535985633765E-2"/>
          <c:w val="0.68130993099467263"/>
          <c:h val="0.76268113689736161"/>
        </c:manualLayout>
      </c:layout>
      <c:barChart>
        <c:barDir val="bar"/>
        <c:grouping val="clustered"/>
        <c:ser>
          <c:idx val="0"/>
          <c:order val="0"/>
          <c:tx>
            <c:v>Cell Test Q112</c:v>
          </c:tx>
          <c:dLbls>
            <c:txPr>
              <a:bodyPr/>
              <a:lstStyle/>
              <a:p>
                <a:pPr>
                  <a:defRPr sz="800"/>
                </a:pPr>
                <a:endParaRPr lang="en-US"/>
              </a:p>
            </c:txPr>
            <c:showVal val="1"/>
          </c:dLbls>
          <c:cat>
            <c:strRef>
              <c:f>'Cell Test Race'!$G$1804:$N$1804</c:f>
              <c:strCache>
                <c:ptCount val="8"/>
                <c:pt idx="0">
                  <c:v>Multiracial</c:v>
                </c:pt>
                <c:pt idx="1">
                  <c:v>White Only</c:v>
                </c:pt>
                <c:pt idx="2">
                  <c:v>Black or African American Only</c:v>
                </c:pt>
                <c:pt idx="3">
                  <c:v>American Indian or Alaska Native Only</c:v>
                </c:pt>
                <c:pt idx="4">
                  <c:v>Asian Only</c:v>
                </c:pt>
                <c:pt idx="5">
                  <c:v>Native Hawaiian/Other Pacific Islander Only</c:v>
                </c:pt>
                <c:pt idx="6">
                  <c:v>Other Only</c:v>
                </c:pt>
                <c:pt idx="7">
                  <c:v>No Report</c:v>
                </c:pt>
              </c:strCache>
            </c:strRef>
          </c:cat>
          <c:val>
            <c:numRef>
              <c:f>'Cell Test Race'!$G$1803:$N$1803</c:f>
              <c:numCache>
                <c:formatCode>0.00%</c:formatCode>
                <c:ptCount val="8"/>
                <c:pt idx="0">
                  <c:v>2.5555555555555581E-2</c:v>
                </c:pt>
                <c:pt idx="1">
                  <c:v>0.73277777777777775</c:v>
                </c:pt>
                <c:pt idx="2">
                  <c:v>8.5555555555557161E-2</c:v>
                </c:pt>
                <c:pt idx="3">
                  <c:v>8.3333333333333367E-3</c:v>
                </c:pt>
                <c:pt idx="4">
                  <c:v>3.6666666666666681E-2</c:v>
                </c:pt>
                <c:pt idx="5">
                  <c:v>5.5555555555555558E-3</c:v>
                </c:pt>
                <c:pt idx="6">
                  <c:v>5.1111111111111114E-2</c:v>
                </c:pt>
                <c:pt idx="7">
                  <c:v>5.4444444444444504E-2</c:v>
                </c:pt>
              </c:numCache>
            </c:numRef>
          </c:val>
        </c:ser>
        <c:ser>
          <c:idx val="1"/>
          <c:order val="1"/>
          <c:tx>
            <c:v>Landline Production Q112</c:v>
          </c:tx>
          <c:dLbls>
            <c:txPr>
              <a:bodyPr/>
              <a:lstStyle/>
              <a:p>
                <a:pPr>
                  <a:defRPr sz="800"/>
                </a:pPr>
                <a:endParaRPr lang="en-US"/>
              </a:p>
            </c:txPr>
            <c:showVal val="1"/>
          </c:dLbls>
          <c:val>
            <c:numRef>
              <c:f>'Landline Race'!$G$3438:$N$3438</c:f>
              <c:numCache>
                <c:formatCode>0.00%</c:formatCode>
                <c:ptCount val="8"/>
                <c:pt idx="0">
                  <c:v>2.0087336244541485E-2</c:v>
                </c:pt>
                <c:pt idx="1">
                  <c:v>0.79417758369723357</c:v>
                </c:pt>
                <c:pt idx="2">
                  <c:v>7.9475982532751094E-2</c:v>
                </c:pt>
                <c:pt idx="3">
                  <c:v>6.1135371179039302E-3</c:v>
                </c:pt>
                <c:pt idx="4">
                  <c:v>3.2896652110626041E-2</c:v>
                </c:pt>
                <c:pt idx="5">
                  <c:v>4.6579330422125186E-3</c:v>
                </c:pt>
                <c:pt idx="6">
                  <c:v>2.5036390101892285E-2</c:v>
                </c:pt>
                <c:pt idx="7">
                  <c:v>3.7554585152838424E-2</c:v>
                </c:pt>
              </c:numCache>
            </c:numRef>
          </c:val>
        </c:ser>
        <c:axId val="72176768"/>
        <c:axId val="72178304"/>
      </c:barChart>
      <c:catAx>
        <c:axId val="72176768"/>
        <c:scaling>
          <c:orientation val="minMax"/>
        </c:scaling>
        <c:axPos val="l"/>
        <c:tickLblPos val="nextTo"/>
        <c:crossAx val="72178304"/>
        <c:crosses val="autoZero"/>
        <c:auto val="1"/>
        <c:lblAlgn val="ctr"/>
        <c:lblOffset val="100"/>
      </c:catAx>
      <c:valAx>
        <c:axId val="72178304"/>
        <c:scaling>
          <c:orientation val="minMax"/>
        </c:scaling>
        <c:axPos val="b"/>
        <c:majorGridlines>
          <c:spPr>
            <a:ln>
              <a:solidFill>
                <a:srgbClr val="4F81BD">
                  <a:alpha val="20000"/>
                </a:srgbClr>
              </a:solidFill>
            </a:ln>
          </c:spPr>
        </c:majorGridlines>
        <c:numFmt formatCode="0%" sourceLinked="0"/>
        <c:tickLblPos val="nextTo"/>
        <c:crossAx val="72176768"/>
        <c:crosses val="autoZero"/>
        <c:crossBetween val="between"/>
      </c:valAx>
      <c:spPr>
        <a:noFill/>
        <a:ln w="25400">
          <a:noFill/>
        </a:ln>
      </c:spPr>
    </c:plotArea>
    <c:legend>
      <c:legendPos val="b"/>
      <c:layout>
        <c:manualLayout>
          <c:xMode val="edge"/>
          <c:yMode val="edge"/>
          <c:x val="0.22415353086526421"/>
          <c:y val="0.93402869871529215"/>
          <c:w val="0.53410699542023299"/>
          <c:h val="6.597120002596786E-2"/>
        </c:manualLayout>
      </c:layout>
      <c:overlay val="1"/>
      <c:txPr>
        <a:bodyPr/>
        <a:lstStyle/>
        <a:p>
          <a:pPr>
            <a:defRPr sz="12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A51AE-01C3-4322-927D-041A302C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2709</Words>
  <Characters>15446</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saxton_m</dc:creator>
  <cp:lastModifiedBy>arcos_g</cp:lastModifiedBy>
  <cp:revision>2</cp:revision>
  <cp:lastPrinted>2012-04-02T14:06:00Z</cp:lastPrinted>
  <dcterms:created xsi:type="dcterms:W3CDTF">2013-07-08T15:12:00Z</dcterms:created>
  <dcterms:modified xsi:type="dcterms:W3CDTF">2013-07-08T15:12:00Z</dcterms:modified>
</cp:coreProperties>
</file>