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0720" w:rsidRPr="006068EC" w:rsidRDefault="00470720" w:rsidP="00895892">
      <w:pPr>
        <w:pStyle w:val="Title"/>
        <w:widowControl/>
        <w:rPr>
          <w:rFonts w:ascii="Times New Roman" w:hAnsi="Times New Roman"/>
          <w:sz w:val="28"/>
          <w:szCs w:val="28"/>
          <w:u w:val="none"/>
        </w:rPr>
      </w:pPr>
      <w:r w:rsidRPr="006068EC">
        <w:rPr>
          <w:rFonts w:ascii="Times New Roman" w:hAnsi="Times New Roman"/>
          <w:sz w:val="28"/>
          <w:szCs w:val="28"/>
          <w:u w:val="none"/>
        </w:rPr>
        <w:t>Department of Transportation</w:t>
      </w:r>
    </w:p>
    <w:p w:rsidR="00470720" w:rsidRPr="006068EC" w:rsidRDefault="00470720" w:rsidP="00895892">
      <w:pPr>
        <w:pStyle w:val="Title"/>
        <w:widowControl/>
        <w:outlineLvl w:val="0"/>
        <w:rPr>
          <w:rFonts w:ascii="Times New Roman" w:hAnsi="Times New Roman"/>
          <w:sz w:val="32"/>
          <w:szCs w:val="32"/>
        </w:rPr>
      </w:pPr>
      <w:r w:rsidRPr="006068EC">
        <w:rPr>
          <w:rFonts w:ascii="Times New Roman" w:hAnsi="Times New Roman"/>
          <w:sz w:val="28"/>
          <w:szCs w:val="28"/>
          <w:u w:val="none"/>
        </w:rPr>
        <w:t>Office of the Chief Information Officer</w:t>
      </w:r>
    </w:p>
    <w:p w:rsidR="00470720" w:rsidRPr="006068EC" w:rsidRDefault="00470720" w:rsidP="00895892">
      <w:pPr>
        <w:pStyle w:val="Title"/>
        <w:widowControl/>
        <w:rPr>
          <w:rFonts w:ascii="Times New Roman" w:hAnsi="Times New Roman"/>
        </w:rPr>
      </w:pPr>
    </w:p>
    <w:p w:rsidR="0004749E" w:rsidRPr="006068EC" w:rsidRDefault="0004749E" w:rsidP="00895892">
      <w:pPr>
        <w:pStyle w:val="Title"/>
        <w:widowControl/>
        <w:outlineLvl w:val="0"/>
        <w:rPr>
          <w:rFonts w:ascii="Times New Roman" w:hAnsi="Times New Roman"/>
        </w:rPr>
      </w:pPr>
      <w:r w:rsidRPr="006068EC">
        <w:rPr>
          <w:rFonts w:ascii="Times New Roman" w:hAnsi="Times New Roman"/>
        </w:rPr>
        <w:t>SUPPORTING STATEMENT</w:t>
      </w:r>
    </w:p>
    <w:p w:rsidR="00F94A46" w:rsidRPr="006068EC" w:rsidRDefault="00F94A46" w:rsidP="00895892">
      <w:pPr>
        <w:pStyle w:val="Title"/>
        <w:widowControl/>
        <w:outlineLvl w:val="0"/>
        <w:rPr>
          <w:rFonts w:ascii="Times New Roman" w:hAnsi="Times New Roman"/>
        </w:rPr>
      </w:pPr>
    </w:p>
    <w:p w:rsidR="0004749E" w:rsidRPr="006068EC" w:rsidRDefault="00965E53" w:rsidP="00895892">
      <w:pPr>
        <w:pStyle w:val="Title"/>
        <w:widowControl/>
        <w:rPr>
          <w:rFonts w:ascii="Times New Roman" w:hAnsi="Times New Roman"/>
          <w:u w:val="none"/>
        </w:rPr>
      </w:pPr>
      <w:r w:rsidRPr="006068EC">
        <w:rPr>
          <w:rFonts w:ascii="Times New Roman" w:hAnsi="Times New Roman"/>
          <w:u w:val="none"/>
        </w:rPr>
        <w:t>Commercial Motor Vehicle Marking Requirements</w:t>
      </w:r>
    </w:p>
    <w:p w:rsidR="0004749E" w:rsidRPr="006068EC" w:rsidRDefault="0004749E" w:rsidP="00895892">
      <w:pPr>
        <w:widowControl/>
        <w:rPr>
          <w:rFonts w:ascii="Times New Roman" w:hAnsi="Times New Roman"/>
          <w:b/>
          <w:bCs/>
          <w:sz w:val="24"/>
          <w:szCs w:val="24"/>
        </w:rPr>
      </w:pPr>
    </w:p>
    <w:p w:rsidR="00105F8E" w:rsidRPr="006068EC" w:rsidRDefault="00105F8E" w:rsidP="00895892">
      <w:pPr>
        <w:widowControl/>
        <w:rPr>
          <w:rFonts w:ascii="Times New Roman" w:hAnsi="Times New Roman"/>
          <w:b/>
          <w:bCs/>
          <w:sz w:val="24"/>
          <w:szCs w:val="24"/>
        </w:rPr>
      </w:pPr>
    </w:p>
    <w:p w:rsidR="0004749E" w:rsidRPr="006068EC" w:rsidRDefault="0004749E" w:rsidP="00895892">
      <w:pPr>
        <w:pStyle w:val="Subtitle"/>
        <w:widowControl/>
        <w:outlineLvl w:val="0"/>
        <w:rPr>
          <w:rFonts w:ascii="Times New Roman" w:hAnsi="Times New Roman"/>
        </w:rPr>
      </w:pPr>
      <w:r w:rsidRPr="006068EC">
        <w:rPr>
          <w:rFonts w:ascii="Times New Roman" w:hAnsi="Times New Roman"/>
        </w:rPr>
        <w:t>INTRODUCTION</w:t>
      </w:r>
    </w:p>
    <w:p w:rsidR="0004749E" w:rsidRPr="006068EC" w:rsidRDefault="0004749E" w:rsidP="00895892">
      <w:pPr>
        <w:widowControl/>
        <w:rPr>
          <w:rFonts w:ascii="Times New Roman" w:hAnsi="Times New Roman"/>
          <w:b/>
          <w:bCs/>
          <w:sz w:val="24"/>
          <w:szCs w:val="24"/>
        </w:rPr>
      </w:pPr>
    </w:p>
    <w:p w:rsidR="0004749E" w:rsidRPr="006068EC" w:rsidRDefault="0004749E" w:rsidP="00895892">
      <w:pPr>
        <w:widowControl/>
        <w:rPr>
          <w:rFonts w:ascii="Times New Roman" w:hAnsi="Times New Roman"/>
          <w:sz w:val="24"/>
          <w:szCs w:val="24"/>
        </w:rPr>
      </w:pPr>
      <w:r w:rsidRPr="006068EC">
        <w:rPr>
          <w:rFonts w:ascii="Times New Roman" w:hAnsi="Times New Roman"/>
          <w:sz w:val="24"/>
          <w:szCs w:val="24"/>
        </w:rPr>
        <w:t>This is to request the O</w:t>
      </w:r>
      <w:r w:rsidR="00E41012" w:rsidRPr="006068EC">
        <w:rPr>
          <w:rFonts w:ascii="Times New Roman" w:hAnsi="Times New Roman"/>
          <w:sz w:val="24"/>
          <w:szCs w:val="24"/>
        </w:rPr>
        <w:t>ffice of Management and Budget’s</w:t>
      </w:r>
      <w:r w:rsidRPr="006068EC">
        <w:rPr>
          <w:rFonts w:ascii="Times New Roman" w:hAnsi="Times New Roman"/>
          <w:sz w:val="24"/>
          <w:szCs w:val="24"/>
        </w:rPr>
        <w:t xml:space="preserve"> (OMB)</w:t>
      </w:r>
      <w:r w:rsidR="00A40EA2" w:rsidRPr="006068EC">
        <w:rPr>
          <w:rFonts w:ascii="Times New Roman" w:hAnsi="Times New Roman"/>
          <w:sz w:val="24"/>
          <w:szCs w:val="24"/>
        </w:rPr>
        <w:t xml:space="preserve"> approval of </w:t>
      </w:r>
      <w:r w:rsidR="009D63DF">
        <w:rPr>
          <w:rFonts w:ascii="Times New Roman" w:hAnsi="Times New Roman"/>
          <w:sz w:val="24"/>
          <w:szCs w:val="24"/>
        </w:rPr>
        <w:t>a new</w:t>
      </w:r>
      <w:r w:rsidR="00A40EA2" w:rsidRPr="006068EC">
        <w:rPr>
          <w:rFonts w:ascii="Times New Roman" w:hAnsi="Times New Roman"/>
          <w:sz w:val="24"/>
          <w:szCs w:val="24"/>
        </w:rPr>
        <w:t xml:space="preserve"> Information C</w:t>
      </w:r>
      <w:r w:rsidRPr="006068EC">
        <w:rPr>
          <w:rFonts w:ascii="Times New Roman" w:hAnsi="Times New Roman"/>
          <w:sz w:val="24"/>
          <w:szCs w:val="24"/>
        </w:rPr>
        <w:t xml:space="preserve">ollection </w:t>
      </w:r>
      <w:r w:rsidR="00A40EA2" w:rsidRPr="006068EC">
        <w:rPr>
          <w:rFonts w:ascii="Times New Roman" w:hAnsi="Times New Roman"/>
          <w:sz w:val="24"/>
          <w:szCs w:val="24"/>
        </w:rPr>
        <w:t xml:space="preserve">Request (ICR) </w:t>
      </w:r>
      <w:r w:rsidRPr="006068EC">
        <w:rPr>
          <w:rFonts w:ascii="Times New Roman" w:hAnsi="Times New Roman"/>
          <w:sz w:val="24"/>
          <w:szCs w:val="24"/>
        </w:rPr>
        <w:t xml:space="preserve">entitled, </w:t>
      </w:r>
      <w:r w:rsidR="001A66DC" w:rsidRPr="006068EC">
        <w:rPr>
          <w:rFonts w:ascii="Times New Roman" w:hAnsi="Times New Roman"/>
          <w:sz w:val="24"/>
          <w:szCs w:val="24"/>
        </w:rPr>
        <w:t xml:space="preserve">Commercial Motor Vehicle Marking Requirements </w:t>
      </w:r>
      <w:r w:rsidRPr="006068EC">
        <w:rPr>
          <w:rFonts w:ascii="Times New Roman" w:hAnsi="Times New Roman"/>
          <w:sz w:val="24"/>
          <w:szCs w:val="24"/>
        </w:rPr>
        <w:t xml:space="preserve">(OMB Control No. </w:t>
      </w:r>
      <w:r w:rsidRPr="006068EC">
        <w:rPr>
          <w:rFonts w:ascii="Times New Roman" w:hAnsi="Times New Roman"/>
          <w:i/>
          <w:sz w:val="24"/>
          <w:szCs w:val="24"/>
        </w:rPr>
        <w:t>21</w:t>
      </w:r>
      <w:r w:rsidR="00276C1F" w:rsidRPr="006068EC">
        <w:rPr>
          <w:rFonts w:ascii="Times New Roman" w:hAnsi="Times New Roman"/>
          <w:i/>
          <w:sz w:val="24"/>
          <w:szCs w:val="24"/>
        </w:rPr>
        <w:t>26</w:t>
      </w:r>
      <w:r w:rsidRPr="006068EC">
        <w:rPr>
          <w:rFonts w:ascii="Times New Roman" w:hAnsi="Times New Roman"/>
          <w:i/>
          <w:sz w:val="24"/>
          <w:szCs w:val="24"/>
        </w:rPr>
        <w:t>-XXXX</w:t>
      </w:r>
      <w:r w:rsidR="004C4BD0" w:rsidRPr="006068EC">
        <w:rPr>
          <w:rFonts w:ascii="Times New Roman" w:hAnsi="Times New Roman"/>
          <w:sz w:val="24"/>
          <w:szCs w:val="24"/>
        </w:rPr>
        <w:t>)</w:t>
      </w:r>
      <w:r w:rsidRPr="006068EC">
        <w:rPr>
          <w:rFonts w:ascii="Times New Roman" w:hAnsi="Times New Roman"/>
          <w:sz w:val="24"/>
          <w:szCs w:val="24"/>
        </w:rPr>
        <w:t>.</w:t>
      </w:r>
      <w:r w:rsidR="00A40EA2" w:rsidRPr="006068EC">
        <w:rPr>
          <w:rFonts w:ascii="Times New Roman" w:hAnsi="Times New Roman"/>
          <w:sz w:val="24"/>
          <w:szCs w:val="24"/>
        </w:rPr>
        <w:t xml:space="preserve">  </w:t>
      </w:r>
      <w:r w:rsidR="00A40EA2" w:rsidRPr="00A227BC">
        <w:rPr>
          <w:rFonts w:ascii="Times New Roman" w:hAnsi="Times New Roman"/>
          <w:sz w:val="24"/>
          <w:szCs w:val="24"/>
        </w:rPr>
        <w:t xml:space="preserve">This  </w:t>
      </w:r>
      <w:r w:rsidR="009D63DF" w:rsidRPr="00A227BC">
        <w:rPr>
          <w:rFonts w:ascii="Times New Roman" w:hAnsi="Times New Roman"/>
          <w:sz w:val="24"/>
          <w:szCs w:val="24"/>
        </w:rPr>
        <w:t xml:space="preserve">ICR </w:t>
      </w:r>
      <w:r w:rsidR="00A40EA2" w:rsidRPr="00A227BC">
        <w:rPr>
          <w:rFonts w:ascii="Times New Roman" w:hAnsi="Times New Roman"/>
          <w:sz w:val="24"/>
          <w:szCs w:val="24"/>
        </w:rPr>
        <w:t xml:space="preserve">will enable the Federal Motor Carrier Safety Administration (FMCSA) to </w:t>
      </w:r>
      <w:r w:rsidR="00E31539" w:rsidRPr="00A227BC">
        <w:rPr>
          <w:rFonts w:ascii="Times New Roman" w:hAnsi="Times New Roman"/>
          <w:sz w:val="24"/>
          <w:szCs w:val="24"/>
        </w:rPr>
        <w:t xml:space="preserve">more accurately </w:t>
      </w:r>
      <w:r w:rsidR="00A40EA2" w:rsidRPr="00A227BC">
        <w:rPr>
          <w:rFonts w:ascii="Times New Roman" w:hAnsi="Times New Roman"/>
          <w:sz w:val="24"/>
          <w:szCs w:val="24"/>
        </w:rPr>
        <w:t>document the burden associated with the marking regulations codified in 49 CFR Part 390.21, “Marking of Self-Propelled CMVs and Intermodal Equipment</w:t>
      </w:r>
      <w:r w:rsidR="009E1512" w:rsidRPr="00A227BC">
        <w:rPr>
          <w:rFonts w:ascii="Times New Roman" w:hAnsi="Times New Roman"/>
          <w:sz w:val="24"/>
          <w:szCs w:val="24"/>
        </w:rPr>
        <w:t>,</w:t>
      </w:r>
      <w:r w:rsidR="00A40EA2" w:rsidRPr="00A227BC">
        <w:rPr>
          <w:rFonts w:ascii="Times New Roman" w:hAnsi="Times New Roman"/>
          <w:sz w:val="24"/>
          <w:szCs w:val="24"/>
        </w:rPr>
        <w:t>”</w:t>
      </w:r>
      <w:r w:rsidR="009E1512" w:rsidRPr="00A227BC">
        <w:rPr>
          <w:rFonts w:ascii="Times New Roman" w:hAnsi="Times New Roman"/>
          <w:sz w:val="24"/>
          <w:szCs w:val="24"/>
        </w:rPr>
        <w:t xml:space="preserve"> (Attachment 1)</w:t>
      </w:r>
      <w:r w:rsidR="001E404B" w:rsidRPr="00A227BC">
        <w:rPr>
          <w:rFonts w:ascii="Times New Roman" w:hAnsi="Times New Roman"/>
          <w:sz w:val="24"/>
          <w:szCs w:val="24"/>
        </w:rPr>
        <w:t xml:space="preserve"> and move them out of </w:t>
      </w:r>
      <w:r w:rsidR="00745D90" w:rsidRPr="00A227BC">
        <w:rPr>
          <w:rFonts w:ascii="Times New Roman" w:hAnsi="Times New Roman"/>
          <w:sz w:val="24"/>
          <w:szCs w:val="24"/>
        </w:rPr>
        <w:t xml:space="preserve">the </w:t>
      </w:r>
      <w:r w:rsidR="00745D90" w:rsidRPr="00A227BC">
        <w:rPr>
          <w:rFonts w:ascii="Times New Roman" w:hAnsi="Times New Roman"/>
          <w:sz w:val="24"/>
        </w:rPr>
        <w:t>OMB Control Number 2126-0013, “</w:t>
      </w:r>
      <w:r w:rsidR="00745D90" w:rsidRPr="00A227BC">
        <w:rPr>
          <w:rFonts w:ascii="Times New Roman" w:hAnsi="Times New Roman"/>
          <w:color w:val="000000"/>
          <w:sz w:val="24"/>
        </w:rPr>
        <w:t>Motor Carrier Identification Report,”</w:t>
      </w:r>
      <w:r w:rsidR="00745D90" w:rsidRPr="00A227BC">
        <w:rPr>
          <w:rFonts w:ascii="Times New Roman" w:hAnsi="Times New Roman"/>
          <w:sz w:val="24"/>
        </w:rPr>
        <w:t xml:space="preserve"> ICR</w:t>
      </w:r>
      <w:r w:rsidR="001E404B" w:rsidRPr="00A227BC">
        <w:rPr>
          <w:rFonts w:ascii="Times New Roman" w:hAnsi="Times New Roman"/>
          <w:sz w:val="24"/>
        </w:rPr>
        <w:t xml:space="preserve"> into this collection</w:t>
      </w:r>
      <w:r w:rsidR="009E1512" w:rsidRPr="00A227BC">
        <w:rPr>
          <w:rFonts w:ascii="Times New Roman" w:hAnsi="Times New Roman"/>
          <w:sz w:val="24"/>
          <w:szCs w:val="24"/>
        </w:rPr>
        <w:t>.</w:t>
      </w:r>
      <w:r w:rsidR="00A40EA2" w:rsidRPr="00745D90">
        <w:rPr>
          <w:rFonts w:ascii="Times New Roman" w:hAnsi="Times New Roman"/>
          <w:sz w:val="24"/>
          <w:szCs w:val="24"/>
        </w:rPr>
        <w:t xml:space="preserve">  </w:t>
      </w:r>
      <w:r w:rsidR="00A40EA2" w:rsidRPr="006068EC">
        <w:rPr>
          <w:rFonts w:ascii="Times New Roman" w:hAnsi="Times New Roman"/>
          <w:sz w:val="24"/>
          <w:szCs w:val="24"/>
        </w:rPr>
        <w:t xml:space="preserve">These regulations require </w:t>
      </w:r>
      <w:r w:rsidR="00091D8E" w:rsidRPr="006068EC">
        <w:rPr>
          <w:rFonts w:ascii="Times New Roman" w:hAnsi="Times New Roman"/>
          <w:sz w:val="24"/>
          <w:szCs w:val="24"/>
        </w:rPr>
        <w:t>marking of vehicles and intermodal equipment by motor carriers, freight forwarders and intermodal equipment providers (IEPs) engaging in interstate transportation.</w:t>
      </w:r>
    </w:p>
    <w:p w:rsidR="00A40EA2" w:rsidRPr="006068EC" w:rsidRDefault="00A40EA2" w:rsidP="00895892">
      <w:pPr>
        <w:widowControl/>
        <w:rPr>
          <w:rFonts w:ascii="Times New Roman" w:hAnsi="Times New Roman"/>
          <w:sz w:val="24"/>
          <w:szCs w:val="24"/>
        </w:rPr>
      </w:pPr>
    </w:p>
    <w:p w:rsidR="00A40EA2" w:rsidRPr="006068EC" w:rsidRDefault="00A40EA2" w:rsidP="00895892">
      <w:pPr>
        <w:widowControl/>
        <w:rPr>
          <w:rFonts w:ascii="Times New Roman" w:hAnsi="Times New Roman"/>
          <w:b/>
          <w:bCs/>
          <w:sz w:val="24"/>
          <w:szCs w:val="24"/>
        </w:rPr>
      </w:pPr>
    </w:p>
    <w:p w:rsidR="0004749E" w:rsidRPr="006068EC" w:rsidRDefault="0004749E" w:rsidP="00895892">
      <w:pPr>
        <w:widowControl/>
        <w:tabs>
          <w:tab w:val="left" w:pos="-1440"/>
          <w:tab w:val="left" w:pos="-720"/>
        </w:tabs>
        <w:outlineLvl w:val="0"/>
        <w:rPr>
          <w:rFonts w:ascii="Times New Roman" w:hAnsi="Times New Roman"/>
          <w:b/>
          <w:bCs/>
          <w:sz w:val="24"/>
          <w:szCs w:val="24"/>
        </w:rPr>
      </w:pPr>
      <w:r w:rsidRPr="006068EC">
        <w:rPr>
          <w:rFonts w:ascii="Times New Roman" w:hAnsi="Times New Roman"/>
          <w:b/>
          <w:bCs/>
          <w:sz w:val="24"/>
          <w:u w:val="single"/>
        </w:rPr>
        <w:t>Part A. Justification</w:t>
      </w:r>
    </w:p>
    <w:p w:rsidR="0004749E" w:rsidRPr="006068EC" w:rsidRDefault="0004749E" w:rsidP="00895892">
      <w:pPr>
        <w:widowControl/>
        <w:tabs>
          <w:tab w:val="left" w:pos="-1440"/>
          <w:tab w:val="left" w:pos="-720"/>
        </w:tabs>
        <w:rPr>
          <w:rFonts w:ascii="Times New Roman" w:hAnsi="Times New Roman"/>
          <w:b/>
          <w:bCs/>
          <w:sz w:val="24"/>
          <w:szCs w:val="24"/>
        </w:rPr>
      </w:pPr>
    </w:p>
    <w:p w:rsidR="001C1B4B" w:rsidRPr="006068EC" w:rsidRDefault="00C14920" w:rsidP="00895892">
      <w:pPr>
        <w:widowControl/>
        <w:numPr>
          <w:ilvl w:val="0"/>
          <w:numId w:val="18"/>
        </w:numPr>
        <w:tabs>
          <w:tab w:val="left" w:pos="-1440"/>
          <w:tab w:val="left" w:pos="-720"/>
        </w:tabs>
        <w:rPr>
          <w:rFonts w:ascii="Times New Roman" w:hAnsi="Times New Roman"/>
          <w:b/>
          <w:bCs/>
          <w:sz w:val="24"/>
          <w:szCs w:val="24"/>
          <w:u w:val="single"/>
        </w:rPr>
      </w:pPr>
      <w:r w:rsidRPr="006068EC">
        <w:rPr>
          <w:rFonts w:ascii="Times New Roman" w:hAnsi="Times New Roman"/>
          <w:b/>
          <w:bCs/>
          <w:sz w:val="24"/>
          <w:szCs w:val="24"/>
        </w:rPr>
        <w:t>CIRCUMSTANCES THAT MAKE THE COLLECTION OF INFORMATION NECESSARY</w:t>
      </w:r>
    </w:p>
    <w:p w:rsidR="009B4625" w:rsidRDefault="00C14920" w:rsidP="005E0914">
      <w:pPr>
        <w:widowControl/>
        <w:tabs>
          <w:tab w:val="left" w:pos="-1440"/>
          <w:tab w:val="left" w:pos="-720"/>
        </w:tabs>
        <w:ind w:left="360"/>
        <w:rPr>
          <w:rFonts w:ascii="Times New Roman" w:hAnsi="Times New Roman"/>
          <w:bCs/>
          <w:sz w:val="24"/>
          <w:szCs w:val="24"/>
        </w:rPr>
      </w:pPr>
      <w:r w:rsidRPr="006068EC">
        <w:rPr>
          <w:rFonts w:ascii="Times New Roman" w:hAnsi="Times New Roman"/>
          <w:b/>
          <w:bCs/>
          <w:sz w:val="24"/>
          <w:szCs w:val="24"/>
        </w:rPr>
        <w:br/>
      </w:r>
      <w:r w:rsidR="009B4625" w:rsidRPr="006068EC">
        <w:rPr>
          <w:rFonts w:ascii="Times New Roman" w:hAnsi="Times New Roman"/>
          <w:bCs/>
          <w:sz w:val="24"/>
          <w:szCs w:val="24"/>
        </w:rPr>
        <w:t>The USDOT number is used to identify all motor carriers in FMCSA's registration</w:t>
      </w:r>
      <w:r w:rsidR="000500A8" w:rsidRPr="006068EC">
        <w:rPr>
          <w:rFonts w:ascii="Times New Roman" w:hAnsi="Times New Roman"/>
          <w:bCs/>
          <w:sz w:val="24"/>
          <w:szCs w:val="24"/>
        </w:rPr>
        <w:t xml:space="preserve"> and </w:t>
      </w:r>
      <w:r w:rsidR="0011172E" w:rsidRPr="006068EC">
        <w:rPr>
          <w:rFonts w:ascii="Times New Roman" w:hAnsi="Times New Roman"/>
          <w:bCs/>
          <w:sz w:val="24"/>
          <w:szCs w:val="24"/>
        </w:rPr>
        <w:t>information</w:t>
      </w:r>
      <w:r w:rsidR="009B4625" w:rsidRPr="006068EC">
        <w:rPr>
          <w:rFonts w:ascii="Times New Roman" w:hAnsi="Times New Roman"/>
          <w:bCs/>
          <w:sz w:val="24"/>
          <w:szCs w:val="24"/>
        </w:rPr>
        <w:t xml:space="preserve"> systems. </w:t>
      </w:r>
      <w:r w:rsidR="00ED7C28">
        <w:rPr>
          <w:rFonts w:ascii="Times New Roman" w:hAnsi="Times New Roman"/>
          <w:bCs/>
          <w:sz w:val="24"/>
          <w:szCs w:val="24"/>
        </w:rPr>
        <w:t xml:space="preserve"> </w:t>
      </w:r>
      <w:r w:rsidR="009B4625" w:rsidRPr="006068EC">
        <w:rPr>
          <w:rFonts w:ascii="Times New Roman" w:hAnsi="Times New Roman"/>
          <w:bCs/>
          <w:sz w:val="24"/>
          <w:szCs w:val="24"/>
        </w:rPr>
        <w:t>It is also used by States as the key identifier in the Performance and Registration Information Systems Management (PRISM)</w:t>
      </w:r>
      <w:r w:rsidR="00C52247" w:rsidRPr="006068EC">
        <w:rPr>
          <w:rFonts w:ascii="Times New Roman" w:hAnsi="Times New Roman"/>
          <w:bCs/>
          <w:sz w:val="24"/>
          <w:szCs w:val="24"/>
        </w:rPr>
        <w:t xml:space="preserve"> system, a cooperative Federal/</w:t>
      </w:r>
      <w:r w:rsidR="009B4625" w:rsidRPr="006068EC">
        <w:rPr>
          <w:rFonts w:ascii="Times New Roman" w:hAnsi="Times New Roman"/>
          <w:bCs/>
          <w:sz w:val="24"/>
          <w:szCs w:val="24"/>
        </w:rPr>
        <w:t>State program that makes motor carrier safety a requi</w:t>
      </w:r>
      <w:r w:rsidR="00C52247" w:rsidRPr="006068EC">
        <w:rPr>
          <w:rFonts w:ascii="Times New Roman" w:hAnsi="Times New Roman"/>
          <w:bCs/>
          <w:sz w:val="24"/>
          <w:szCs w:val="24"/>
        </w:rPr>
        <w:t>rement for obtaining and maintaining</w:t>
      </w:r>
      <w:r w:rsidR="009B4625" w:rsidRPr="006068EC">
        <w:rPr>
          <w:rFonts w:ascii="Times New Roman" w:hAnsi="Times New Roman"/>
          <w:bCs/>
          <w:sz w:val="24"/>
          <w:szCs w:val="24"/>
        </w:rPr>
        <w:t xml:space="preserve"> commercial motor vehicle registration and privileges. </w:t>
      </w:r>
    </w:p>
    <w:p w:rsidR="002B2D4B" w:rsidRDefault="002B2D4B" w:rsidP="00895892">
      <w:pPr>
        <w:widowControl/>
        <w:tabs>
          <w:tab w:val="left" w:pos="-1440"/>
          <w:tab w:val="left" w:pos="-720"/>
        </w:tabs>
        <w:ind w:left="360"/>
        <w:jc w:val="both"/>
        <w:rPr>
          <w:rFonts w:ascii="Times New Roman" w:hAnsi="Times New Roman"/>
          <w:bCs/>
          <w:sz w:val="24"/>
          <w:szCs w:val="24"/>
        </w:rPr>
      </w:pPr>
    </w:p>
    <w:p w:rsidR="002B2D4B" w:rsidRDefault="002B2D4B" w:rsidP="00895892">
      <w:pPr>
        <w:widowControl/>
        <w:tabs>
          <w:tab w:val="left" w:pos="-1440"/>
          <w:tab w:val="left" w:pos="-720"/>
        </w:tabs>
        <w:ind w:left="360"/>
        <w:jc w:val="both"/>
        <w:rPr>
          <w:rFonts w:ascii="Times New Roman" w:hAnsi="Times New Roman"/>
          <w:bCs/>
          <w:sz w:val="24"/>
          <w:szCs w:val="24"/>
        </w:rPr>
      </w:pPr>
      <w:r w:rsidRPr="002B2D4B">
        <w:rPr>
          <w:rFonts w:ascii="Times New Roman" w:hAnsi="Times New Roman"/>
          <w:bCs/>
          <w:sz w:val="24"/>
          <w:szCs w:val="24"/>
        </w:rPr>
        <w:t>FMCSA has authority to require motor carriers to conduct recordkeeping, reporting, and disclosure of information (see 49 U.S.C. 31133(a)(8) or 31133(a)(10))</w:t>
      </w:r>
      <w:r w:rsidR="005C615B">
        <w:rPr>
          <w:rFonts w:ascii="Times New Roman" w:hAnsi="Times New Roman"/>
          <w:bCs/>
          <w:sz w:val="24"/>
          <w:szCs w:val="24"/>
        </w:rPr>
        <w:t xml:space="preserve"> (Attachment 2)</w:t>
      </w:r>
      <w:r w:rsidR="00895892">
        <w:rPr>
          <w:rFonts w:ascii="Times New Roman" w:hAnsi="Times New Roman"/>
          <w:bCs/>
          <w:sz w:val="24"/>
          <w:szCs w:val="24"/>
        </w:rPr>
        <w:t>.</w:t>
      </w:r>
    </w:p>
    <w:p w:rsidR="00895892" w:rsidRDefault="00895892" w:rsidP="00895892">
      <w:pPr>
        <w:widowControl/>
        <w:tabs>
          <w:tab w:val="left" w:pos="-1440"/>
          <w:tab w:val="left" w:pos="-720"/>
        </w:tabs>
        <w:ind w:left="360"/>
        <w:jc w:val="both"/>
        <w:rPr>
          <w:rFonts w:ascii="Times New Roman" w:hAnsi="Times New Roman"/>
          <w:bCs/>
          <w:sz w:val="24"/>
          <w:szCs w:val="24"/>
        </w:rPr>
      </w:pPr>
    </w:p>
    <w:p w:rsidR="00895892" w:rsidRPr="00895892" w:rsidRDefault="00895892" w:rsidP="00895892">
      <w:pPr>
        <w:widowControl/>
        <w:tabs>
          <w:tab w:val="left" w:pos="-1440"/>
          <w:tab w:val="left" w:pos="-720"/>
        </w:tabs>
        <w:ind w:left="360"/>
        <w:jc w:val="both"/>
        <w:rPr>
          <w:rFonts w:ascii="Times New Roman" w:hAnsi="Times New Roman"/>
          <w:bCs/>
          <w:sz w:val="24"/>
          <w:szCs w:val="24"/>
        </w:rPr>
      </w:pPr>
      <w:r>
        <w:rPr>
          <w:rFonts w:ascii="Times New Roman" w:hAnsi="Times New Roman"/>
          <w:bCs/>
          <w:sz w:val="24"/>
          <w:szCs w:val="24"/>
        </w:rPr>
        <w:t xml:space="preserve">49 U.S.C. </w:t>
      </w:r>
      <w:r w:rsidRPr="00895892">
        <w:rPr>
          <w:rFonts w:ascii="Times New Roman" w:hAnsi="Times New Roman"/>
          <w:bCs/>
          <w:sz w:val="24"/>
          <w:szCs w:val="24"/>
        </w:rPr>
        <w:t xml:space="preserve">31133. </w:t>
      </w:r>
      <w:r w:rsidRPr="00895892">
        <w:rPr>
          <w:rFonts w:ascii="Times New Roman" w:hAnsi="Times New Roman"/>
          <w:b/>
          <w:bCs/>
          <w:sz w:val="24"/>
          <w:szCs w:val="24"/>
        </w:rPr>
        <w:t>General powers of the Secretary of Transportation</w:t>
      </w:r>
    </w:p>
    <w:p w:rsidR="00895892" w:rsidRPr="00895892" w:rsidRDefault="00895892" w:rsidP="00895892">
      <w:pPr>
        <w:widowControl/>
        <w:tabs>
          <w:tab w:val="left" w:pos="-1440"/>
          <w:tab w:val="left" w:pos="-720"/>
        </w:tabs>
        <w:ind w:left="360"/>
        <w:jc w:val="both"/>
        <w:rPr>
          <w:rFonts w:ascii="Times New Roman" w:hAnsi="Times New Roman"/>
          <w:bCs/>
          <w:sz w:val="24"/>
          <w:szCs w:val="24"/>
        </w:rPr>
      </w:pPr>
      <w:r w:rsidRPr="00895892">
        <w:rPr>
          <w:rFonts w:ascii="Times New Roman" w:hAnsi="Times New Roman"/>
          <w:bCs/>
          <w:sz w:val="24"/>
          <w:szCs w:val="24"/>
        </w:rPr>
        <w:t>(a) GENERAL.—In carrying out this subchapter</w:t>
      </w:r>
      <w:r>
        <w:rPr>
          <w:rFonts w:ascii="Times New Roman" w:hAnsi="Times New Roman"/>
          <w:bCs/>
          <w:sz w:val="24"/>
          <w:szCs w:val="24"/>
        </w:rPr>
        <w:t xml:space="preserve"> </w:t>
      </w:r>
      <w:r w:rsidRPr="00895892">
        <w:rPr>
          <w:rFonts w:ascii="Times New Roman" w:hAnsi="Times New Roman"/>
          <w:bCs/>
          <w:sz w:val="24"/>
          <w:szCs w:val="24"/>
        </w:rPr>
        <w:t>and regulations prescribed under section 31102 of</w:t>
      </w:r>
      <w:r>
        <w:rPr>
          <w:rFonts w:ascii="Times New Roman" w:hAnsi="Times New Roman"/>
          <w:bCs/>
          <w:sz w:val="24"/>
          <w:szCs w:val="24"/>
        </w:rPr>
        <w:t xml:space="preserve"> </w:t>
      </w:r>
      <w:r w:rsidRPr="00895892">
        <w:rPr>
          <w:rFonts w:ascii="Times New Roman" w:hAnsi="Times New Roman"/>
          <w:bCs/>
          <w:sz w:val="24"/>
          <w:szCs w:val="24"/>
        </w:rPr>
        <w:t>this title, the Secretary of Transportation</w:t>
      </w:r>
      <w:r>
        <w:rPr>
          <w:rFonts w:ascii="Times New Roman" w:hAnsi="Times New Roman"/>
          <w:bCs/>
          <w:sz w:val="24"/>
          <w:szCs w:val="24"/>
        </w:rPr>
        <w:t xml:space="preserve"> </w:t>
      </w:r>
      <w:r w:rsidRPr="00895892">
        <w:rPr>
          <w:rFonts w:ascii="Times New Roman" w:hAnsi="Times New Roman"/>
          <w:bCs/>
          <w:sz w:val="24"/>
          <w:szCs w:val="24"/>
        </w:rPr>
        <w:t>may—</w:t>
      </w:r>
    </w:p>
    <w:p w:rsidR="00895892" w:rsidRPr="00895892" w:rsidRDefault="00895892" w:rsidP="00895892">
      <w:pPr>
        <w:widowControl/>
        <w:tabs>
          <w:tab w:val="left" w:pos="-1440"/>
          <w:tab w:val="left" w:pos="-720"/>
        </w:tabs>
        <w:ind w:left="720"/>
        <w:jc w:val="both"/>
        <w:rPr>
          <w:rFonts w:ascii="Times New Roman" w:hAnsi="Times New Roman"/>
          <w:bCs/>
          <w:sz w:val="24"/>
          <w:szCs w:val="24"/>
        </w:rPr>
      </w:pPr>
      <w:r>
        <w:rPr>
          <w:rFonts w:ascii="Times New Roman" w:hAnsi="Times New Roman"/>
          <w:bCs/>
          <w:sz w:val="24"/>
          <w:szCs w:val="24"/>
        </w:rPr>
        <w:t>* * *</w:t>
      </w:r>
    </w:p>
    <w:p w:rsidR="00895892" w:rsidRPr="00895892" w:rsidRDefault="00895892" w:rsidP="00895892">
      <w:pPr>
        <w:widowControl/>
        <w:tabs>
          <w:tab w:val="left" w:pos="-1440"/>
          <w:tab w:val="left" w:pos="-720"/>
        </w:tabs>
        <w:ind w:left="720"/>
        <w:jc w:val="both"/>
        <w:rPr>
          <w:rFonts w:ascii="Times New Roman" w:hAnsi="Times New Roman"/>
          <w:bCs/>
          <w:sz w:val="24"/>
          <w:szCs w:val="24"/>
        </w:rPr>
      </w:pPr>
      <w:r w:rsidRPr="00895892">
        <w:rPr>
          <w:rFonts w:ascii="Times New Roman" w:hAnsi="Times New Roman"/>
          <w:bCs/>
          <w:sz w:val="24"/>
          <w:szCs w:val="24"/>
        </w:rPr>
        <w:t>(8) prescribe recordkeeping and reporting requirements;</w:t>
      </w:r>
    </w:p>
    <w:p w:rsidR="00895892" w:rsidRPr="00895892" w:rsidRDefault="00895892" w:rsidP="00895892">
      <w:pPr>
        <w:widowControl/>
        <w:tabs>
          <w:tab w:val="left" w:pos="-1440"/>
          <w:tab w:val="left" w:pos="-720"/>
        </w:tabs>
        <w:ind w:left="720"/>
        <w:jc w:val="both"/>
        <w:rPr>
          <w:rFonts w:ascii="Times New Roman" w:hAnsi="Times New Roman"/>
          <w:bCs/>
          <w:sz w:val="24"/>
          <w:szCs w:val="24"/>
        </w:rPr>
      </w:pPr>
      <w:r>
        <w:rPr>
          <w:rFonts w:ascii="Times New Roman" w:hAnsi="Times New Roman"/>
          <w:bCs/>
          <w:sz w:val="24"/>
          <w:szCs w:val="24"/>
        </w:rPr>
        <w:t>* * *</w:t>
      </w:r>
      <w:r w:rsidRPr="00895892">
        <w:rPr>
          <w:rFonts w:ascii="Times New Roman" w:hAnsi="Times New Roman"/>
          <w:bCs/>
          <w:sz w:val="24"/>
          <w:szCs w:val="24"/>
        </w:rPr>
        <w:t>;</w:t>
      </w:r>
      <w:r>
        <w:rPr>
          <w:rFonts w:ascii="Times New Roman" w:hAnsi="Times New Roman"/>
          <w:bCs/>
          <w:sz w:val="24"/>
          <w:szCs w:val="24"/>
        </w:rPr>
        <w:t xml:space="preserve"> </w:t>
      </w:r>
      <w:r w:rsidRPr="00895892">
        <w:rPr>
          <w:rFonts w:ascii="Times New Roman" w:hAnsi="Times New Roman"/>
          <w:bCs/>
          <w:sz w:val="24"/>
          <w:szCs w:val="24"/>
        </w:rPr>
        <w:t>and</w:t>
      </w:r>
    </w:p>
    <w:p w:rsidR="00895892" w:rsidRPr="006068EC" w:rsidRDefault="00895892" w:rsidP="00895892">
      <w:pPr>
        <w:widowControl/>
        <w:tabs>
          <w:tab w:val="left" w:pos="-1440"/>
          <w:tab w:val="left" w:pos="-720"/>
        </w:tabs>
        <w:ind w:left="720"/>
        <w:jc w:val="both"/>
        <w:rPr>
          <w:rFonts w:ascii="Times New Roman" w:hAnsi="Times New Roman"/>
          <w:bCs/>
          <w:sz w:val="24"/>
          <w:szCs w:val="24"/>
        </w:rPr>
      </w:pPr>
      <w:r w:rsidRPr="00895892">
        <w:rPr>
          <w:rFonts w:ascii="Times New Roman" w:hAnsi="Times New Roman"/>
          <w:bCs/>
          <w:sz w:val="24"/>
          <w:szCs w:val="24"/>
        </w:rPr>
        <w:t>(10) perform other acts the Secretary considers</w:t>
      </w:r>
      <w:r>
        <w:rPr>
          <w:rFonts w:ascii="Times New Roman" w:hAnsi="Times New Roman"/>
          <w:bCs/>
          <w:sz w:val="24"/>
          <w:szCs w:val="24"/>
        </w:rPr>
        <w:t xml:space="preserve"> </w:t>
      </w:r>
      <w:r w:rsidRPr="00895892">
        <w:rPr>
          <w:rFonts w:ascii="Times New Roman" w:hAnsi="Times New Roman"/>
          <w:bCs/>
          <w:sz w:val="24"/>
          <w:szCs w:val="24"/>
        </w:rPr>
        <w:t>appropriate.</w:t>
      </w:r>
    </w:p>
    <w:p w:rsidR="009B4625" w:rsidRPr="006068EC" w:rsidRDefault="009B4625" w:rsidP="00895892">
      <w:pPr>
        <w:widowControl/>
        <w:tabs>
          <w:tab w:val="left" w:pos="-1440"/>
          <w:tab w:val="left" w:pos="-720"/>
        </w:tabs>
        <w:ind w:left="360"/>
        <w:jc w:val="both"/>
        <w:rPr>
          <w:rFonts w:ascii="Times New Roman" w:hAnsi="Times New Roman"/>
          <w:bCs/>
          <w:sz w:val="24"/>
          <w:szCs w:val="24"/>
        </w:rPr>
      </w:pPr>
    </w:p>
    <w:p w:rsidR="0070342A" w:rsidRDefault="00707FD9" w:rsidP="00895892">
      <w:pPr>
        <w:widowControl/>
        <w:tabs>
          <w:tab w:val="left" w:pos="-1440"/>
          <w:tab w:val="left" w:pos="-720"/>
        </w:tabs>
        <w:ind w:left="360"/>
        <w:jc w:val="both"/>
        <w:rPr>
          <w:rFonts w:ascii="Times New Roman" w:hAnsi="Times New Roman"/>
          <w:bCs/>
          <w:sz w:val="24"/>
          <w:szCs w:val="24"/>
        </w:rPr>
      </w:pPr>
      <w:r w:rsidRPr="006068EC">
        <w:rPr>
          <w:rFonts w:ascii="Times New Roman" w:hAnsi="Times New Roman"/>
          <w:bCs/>
          <w:sz w:val="24"/>
          <w:szCs w:val="24"/>
        </w:rPr>
        <w:t>Vehicle marking requirements are intended to</w:t>
      </w:r>
      <w:r w:rsidR="00291C15" w:rsidRPr="006068EC">
        <w:rPr>
          <w:rFonts w:ascii="Times New Roman" w:hAnsi="Times New Roman"/>
          <w:bCs/>
          <w:sz w:val="24"/>
          <w:szCs w:val="24"/>
        </w:rPr>
        <w:t xml:space="preserve"> ensure that FMCSA, the </w:t>
      </w:r>
      <w:r w:rsidR="00C52247" w:rsidRPr="006068EC">
        <w:rPr>
          <w:rFonts w:ascii="Times New Roman" w:hAnsi="Times New Roman"/>
          <w:bCs/>
          <w:sz w:val="24"/>
          <w:szCs w:val="24"/>
        </w:rPr>
        <w:t>National Transportation Safety Board (</w:t>
      </w:r>
      <w:r w:rsidR="00291C15" w:rsidRPr="006068EC">
        <w:rPr>
          <w:rFonts w:ascii="Times New Roman" w:hAnsi="Times New Roman"/>
          <w:bCs/>
          <w:sz w:val="24"/>
          <w:szCs w:val="24"/>
        </w:rPr>
        <w:t>NTSB</w:t>
      </w:r>
      <w:r w:rsidR="00C52247" w:rsidRPr="006068EC">
        <w:rPr>
          <w:rFonts w:ascii="Times New Roman" w:hAnsi="Times New Roman"/>
          <w:bCs/>
          <w:sz w:val="24"/>
          <w:szCs w:val="24"/>
        </w:rPr>
        <w:t>)</w:t>
      </w:r>
      <w:r w:rsidR="00291C15" w:rsidRPr="006068EC">
        <w:rPr>
          <w:rFonts w:ascii="Times New Roman" w:hAnsi="Times New Roman"/>
          <w:bCs/>
          <w:sz w:val="24"/>
          <w:szCs w:val="24"/>
        </w:rPr>
        <w:t xml:space="preserve">, and State safety officials are able to identify motor carriers and correctly assign responsibility for regulatory violations during inspections, investigations, compliance reviews, and crash studies. </w:t>
      </w:r>
      <w:r w:rsidR="006A2261">
        <w:rPr>
          <w:rFonts w:ascii="Times New Roman" w:hAnsi="Times New Roman"/>
          <w:bCs/>
          <w:sz w:val="24"/>
          <w:szCs w:val="24"/>
        </w:rPr>
        <w:t xml:space="preserve"> </w:t>
      </w:r>
      <w:r w:rsidR="009B4625" w:rsidRPr="006068EC">
        <w:rPr>
          <w:rFonts w:ascii="Times New Roman" w:hAnsi="Times New Roman"/>
          <w:bCs/>
          <w:sz w:val="24"/>
          <w:szCs w:val="24"/>
        </w:rPr>
        <w:t xml:space="preserve">These </w:t>
      </w:r>
      <w:r w:rsidR="00E12337" w:rsidRPr="006068EC">
        <w:rPr>
          <w:rFonts w:ascii="Times New Roman" w:hAnsi="Times New Roman"/>
          <w:bCs/>
          <w:sz w:val="24"/>
          <w:szCs w:val="24"/>
        </w:rPr>
        <w:t xml:space="preserve">marking </w:t>
      </w:r>
      <w:r w:rsidR="009B4625" w:rsidRPr="006068EC">
        <w:rPr>
          <w:rFonts w:ascii="Times New Roman" w:hAnsi="Times New Roman"/>
          <w:bCs/>
          <w:sz w:val="24"/>
          <w:szCs w:val="24"/>
        </w:rPr>
        <w:t xml:space="preserve">requirements will also </w:t>
      </w:r>
      <w:r w:rsidR="009B4625" w:rsidRPr="006068EC">
        <w:rPr>
          <w:rFonts w:ascii="Times New Roman" w:hAnsi="Times New Roman"/>
          <w:bCs/>
          <w:sz w:val="24"/>
          <w:szCs w:val="24"/>
        </w:rPr>
        <w:lastRenderedPageBreak/>
        <w:t xml:space="preserve">provide the public with beneficial information that could also assist in identifying carriers for the purposes of commerce, complaints or emergency notification. </w:t>
      </w:r>
    </w:p>
    <w:p w:rsidR="00745D90" w:rsidRDefault="00745D90" w:rsidP="00895892">
      <w:pPr>
        <w:widowControl/>
        <w:tabs>
          <w:tab w:val="left" w:pos="-1440"/>
          <w:tab w:val="left" w:pos="-720"/>
        </w:tabs>
        <w:ind w:left="360"/>
        <w:jc w:val="both"/>
        <w:rPr>
          <w:rFonts w:ascii="Times New Roman" w:hAnsi="Times New Roman"/>
          <w:bCs/>
          <w:sz w:val="24"/>
          <w:szCs w:val="24"/>
        </w:rPr>
      </w:pPr>
    </w:p>
    <w:p w:rsidR="00745D90" w:rsidRPr="00A227BC" w:rsidRDefault="00745D90" w:rsidP="00895892">
      <w:pPr>
        <w:widowControl/>
        <w:tabs>
          <w:tab w:val="left" w:pos="-1440"/>
          <w:tab w:val="left" w:pos="-720"/>
        </w:tabs>
        <w:ind w:left="360"/>
        <w:jc w:val="both"/>
        <w:rPr>
          <w:rFonts w:ascii="Times New Roman" w:hAnsi="Times New Roman"/>
          <w:bCs/>
          <w:sz w:val="24"/>
          <w:szCs w:val="24"/>
        </w:rPr>
      </w:pPr>
      <w:r w:rsidRPr="00A227BC">
        <w:rPr>
          <w:rFonts w:ascii="Times New Roman" w:hAnsi="Times New Roman"/>
          <w:bCs/>
          <w:sz w:val="24"/>
          <w:szCs w:val="24"/>
        </w:rPr>
        <w:t xml:space="preserve">The burden for the CMV marking requirement was initially documented in the final rule entitled, “Federal Motor Carrier </w:t>
      </w:r>
      <w:r w:rsidR="00E31539" w:rsidRPr="00A227BC">
        <w:rPr>
          <w:rFonts w:ascii="Times New Roman" w:hAnsi="Times New Roman"/>
          <w:bCs/>
          <w:sz w:val="24"/>
          <w:szCs w:val="24"/>
        </w:rPr>
        <w:t xml:space="preserve">Safety Regulations: General </w:t>
      </w:r>
      <w:r w:rsidR="003C5D2F" w:rsidRPr="00A227BC">
        <w:rPr>
          <w:rFonts w:ascii="Times New Roman" w:hAnsi="Times New Roman"/>
          <w:bCs/>
          <w:sz w:val="24"/>
          <w:szCs w:val="24"/>
        </w:rPr>
        <w:t xml:space="preserve">Commercial </w:t>
      </w:r>
      <w:r w:rsidR="004D5515" w:rsidRPr="00A227BC">
        <w:rPr>
          <w:rFonts w:ascii="Times New Roman" w:hAnsi="Times New Roman"/>
          <w:bCs/>
          <w:sz w:val="24"/>
          <w:szCs w:val="24"/>
        </w:rPr>
        <w:t>Motor Vehicle Marking,” (65 FR 35287), June 2, 2000 (Attachment 3).  FMCSA determined at the time that this requirement would affect the approved Form MCS-150 in the OMB Control Number 2126-0013, “Motor Carrier Identification Report,” ICR.  The wording in Notice section of the MCS-150 was changed</w:t>
      </w:r>
      <w:r w:rsidR="00010ACD" w:rsidRPr="00A227BC">
        <w:rPr>
          <w:rFonts w:ascii="Times New Roman" w:hAnsi="Times New Roman"/>
          <w:bCs/>
          <w:sz w:val="24"/>
          <w:szCs w:val="24"/>
        </w:rPr>
        <w:t xml:space="preserve"> but </w:t>
      </w:r>
      <w:r w:rsidR="004D5515" w:rsidRPr="00A227BC">
        <w:rPr>
          <w:rFonts w:ascii="Times New Roman" w:hAnsi="Times New Roman"/>
          <w:bCs/>
          <w:sz w:val="24"/>
          <w:szCs w:val="24"/>
        </w:rPr>
        <w:t xml:space="preserve">the </w:t>
      </w:r>
      <w:r w:rsidR="00893D39" w:rsidRPr="00A227BC">
        <w:rPr>
          <w:rFonts w:ascii="Times New Roman" w:hAnsi="Times New Roman"/>
          <w:bCs/>
          <w:sz w:val="24"/>
          <w:szCs w:val="24"/>
        </w:rPr>
        <w:t>burden hours and numbers of respondents did not change as a result of this Final Rule.  However, a revised estimate that reflected a more accurate number of respondents and the time to complete the MCS-150 was done and submitted to OMB in June 1999.  The OMB approved that revision to the ICR on October 4, 1999 through October 31, 2002.  The estimated annual burden for the CMV marking requirement has not been updated since this approval.</w:t>
      </w:r>
    </w:p>
    <w:p w:rsidR="00893D39" w:rsidRPr="00A227BC" w:rsidRDefault="00893D39" w:rsidP="00895892">
      <w:pPr>
        <w:widowControl/>
        <w:tabs>
          <w:tab w:val="left" w:pos="-1440"/>
          <w:tab w:val="left" w:pos="-720"/>
        </w:tabs>
        <w:ind w:left="360"/>
        <w:jc w:val="both"/>
        <w:rPr>
          <w:rFonts w:ascii="Times New Roman" w:hAnsi="Times New Roman"/>
          <w:bCs/>
          <w:sz w:val="24"/>
          <w:szCs w:val="24"/>
        </w:rPr>
      </w:pPr>
    </w:p>
    <w:p w:rsidR="00893D39" w:rsidRPr="006068EC" w:rsidRDefault="00893D39" w:rsidP="00937E4D">
      <w:pPr>
        <w:widowControl/>
        <w:tabs>
          <w:tab w:val="left" w:pos="-1440"/>
          <w:tab w:val="left" w:pos="-720"/>
        </w:tabs>
        <w:ind w:left="360"/>
        <w:rPr>
          <w:rFonts w:ascii="Times New Roman" w:hAnsi="Times New Roman"/>
          <w:bCs/>
          <w:sz w:val="24"/>
          <w:szCs w:val="24"/>
        </w:rPr>
      </w:pPr>
      <w:r w:rsidRPr="00A227BC">
        <w:rPr>
          <w:rFonts w:ascii="Times New Roman" w:hAnsi="Times New Roman"/>
          <w:bCs/>
          <w:sz w:val="24"/>
          <w:szCs w:val="24"/>
        </w:rPr>
        <w:t>FMCSA discovered that the annual burden for the CMV marking requirement needed to be updated during the development of the recent Notice of proposed rulemaking (NPRM) entitled, “</w:t>
      </w:r>
      <w:r w:rsidR="000F1704" w:rsidRPr="00A227BC">
        <w:rPr>
          <w:rFonts w:ascii="Times New Roman" w:hAnsi="Times New Roman"/>
          <w:bCs/>
          <w:sz w:val="24"/>
          <w:szCs w:val="24"/>
        </w:rPr>
        <w:t>Lease and Interchange of Vehicles; Motor Carriers of Passengers,” (78 FR 57822), September 20, 2013 (Attachment 4).</w:t>
      </w:r>
      <w:r w:rsidR="00937E4D" w:rsidRPr="00A227BC">
        <w:rPr>
          <w:rFonts w:ascii="Times New Roman" w:hAnsi="Times New Roman"/>
          <w:bCs/>
          <w:sz w:val="24"/>
          <w:szCs w:val="24"/>
        </w:rPr>
        <w:t xml:space="preserve">  </w:t>
      </w:r>
      <w:r w:rsidR="00010ACD" w:rsidRPr="00A227BC">
        <w:rPr>
          <w:rFonts w:ascii="Times New Roman" w:hAnsi="Times New Roman"/>
          <w:bCs/>
          <w:sz w:val="24"/>
          <w:szCs w:val="24"/>
        </w:rPr>
        <w:t>The Agency, therefore, submits this new ICR retrospectively, to document the CMV marking requirement burden using up-to-date estimations that are reflective of current Agency data, industry statistics and business practices.</w:t>
      </w:r>
      <w:bookmarkStart w:id="0" w:name="_GoBack"/>
      <w:bookmarkEnd w:id="0"/>
    </w:p>
    <w:p w:rsidR="0070342A" w:rsidRPr="006068EC" w:rsidRDefault="0070342A" w:rsidP="00895892">
      <w:pPr>
        <w:widowControl/>
        <w:tabs>
          <w:tab w:val="left" w:pos="-1440"/>
          <w:tab w:val="left" w:pos="-720"/>
        </w:tabs>
        <w:ind w:left="360"/>
        <w:rPr>
          <w:rFonts w:ascii="Times New Roman" w:hAnsi="Times New Roman"/>
          <w:b/>
          <w:bCs/>
          <w:sz w:val="24"/>
          <w:szCs w:val="24"/>
        </w:rPr>
      </w:pPr>
    </w:p>
    <w:p w:rsidR="00F1201C" w:rsidRPr="006068EC" w:rsidRDefault="00707FD9" w:rsidP="00895892">
      <w:pPr>
        <w:widowControl/>
        <w:tabs>
          <w:tab w:val="left" w:pos="360"/>
        </w:tabs>
        <w:ind w:left="360"/>
        <w:rPr>
          <w:rFonts w:ascii="Times New Roman" w:hAnsi="Times New Roman"/>
          <w:bCs/>
          <w:sz w:val="24"/>
          <w:szCs w:val="24"/>
        </w:rPr>
      </w:pPr>
      <w:r w:rsidRPr="006068EC">
        <w:rPr>
          <w:rFonts w:ascii="Times New Roman" w:hAnsi="Times New Roman"/>
          <w:bCs/>
          <w:sz w:val="24"/>
          <w:szCs w:val="24"/>
        </w:rPr>
        <w:t>This information collection supports the DOT strategic goals of safety and organizational excellence.</w:t>
      </w:r>
    </w:p>
    <w:p w:rsidR="009B4625" w:rsidRPr="006068EC" w:rsidRDefault="009B4625" w:rsidP="00895892">
      <w:pPr>
        <w:widowControl/>
        <w:tabs>
          <w:tab w:val="left" w:pos="360"/>
        </w:tabs>
        <w:rPr>
          <w:rFonts w:ascii="Times New Roman" w:hAnsi="Times New Roman"/>
          <w:bCs/>
          <w:sz w:val="24"/>
          <w:szCs w:val="24"/>
          <w:u w:val="single"/>
        </w:rPr>
      </w:pPr>
    </w:p>
    <w:p w:rsidR="001C1B4B" w:rsidRPr="006068EC" w:rsidRDefault="00C14920" w:rsidP="00895892">
      <w:pPr>
        <w:widowControl/>
        <w:numPr>
          <w:ilvl w:val="0"/>
          <w:numId w:val="18"/>
        </w:numPr>
        <w:tabs>
          <w:tab w:val="left" w:pos="360"/>
        </w:tabs>
        <w:rPr>
          <w:rFonts w:ascii="Times New Roman" w:hAnsi="Times New Roman"/>
          <w:bCs/>
          <w:sz w:val="24"/>
          <w:szCs w:val="24"/>
          <w:u w:val="single"/>
        </w:rPr>
      </w:pPr>
      <w:r w:rsidRPr="006068EC">
        <w:rPr>
          <w:rFonts w:ascii="Times New Roman" w:hAnsi="Times New Roman"/>
          <w:b/>
          <w:bCs/>
          <w:sz w:val="24"/>
          <w:szCs w:val="24"/>
        </w:rPr>
        <w:t>HOW, BY WHOM, AND FOR WHAT PURPOSE IS THE INFORMATION USED</w:t>
      </w:r>
      <w:r w:rsidR="009D4F72" w:rsidRPr="006068EC">
        <w:rPr>
          <w:rFonts w:ascii="Times New Roman" w:hAnsi="Times New Roman"/>
          <w:b/>
          <w:bCs/>
          <w:sz w:val="24"/>
          <w:szCs w:val="24"/>
        </w:rPr>
        <w:t xml:space="preserve"> </w:t>
      </w:r>
    </w:p>
    <w:p w:rsidR="00DE3A22" w:rsidRPr="005E0914" w:rsidRDefault="005612EB" w:rsidP="005E0914">
      <w:pPr>
        <w:widowControl/>
        <w:tabs>
          <w:tab w:val="left" w:pos="360"/>
        </w:tabs>
        <w:ind w:left="360"/>
        <w:rPr>
          <w:rFonts w:ascii="Times New Roman" w:hAnsi="Times New Roman"/>
          <w:sz w:val="24"/>
          <w:szCs w:val="24"/>
        </w:rPr>
      </w:pPr>
      <w:r w:rsidRPr="006068EC">
        <w:rPr>
          <w:rFonts w:ascii="Times New Roman" w:hAnsi="Times New Roman"/>
          <w:b/>
          <w:bCs/>
          <w:sz w:val="24"/>
          <w:szCs w:val="24"/>
        </w:rPr>
        <w:br/>
      </w:r>
      <w:r w:rsidR="00E12337" w:rsidRPr="005E0914">
        <w:rPr>
          <w:rFonts w:ascii="Times New Roman" w:hAnsi="Times New Roman"/>
          <w:sz w:val="24"/>
          <w:szCs w:val="24"/>
        </w:rPr>
        <w:t>The</w:t>
      </w:r>
      <w:r w:rsidR="00DD5E98" w:rsidRPr="005E0914">
        <w:rPr>
          <w:rFonts w:ascii="Times New Roman" w:hAnsi="Times New Roman"/>
          <w:sz w:val="24"/>
          <w:szCs w:val="24"/>
        </w:rPr>
        <w:t xml:space="preserve"> marking requirement</w:t>
      </w:r>
      <w:r w:rsidR="00E12337" w:rsidRPr="005E0914">
        <w:rPr>
          <w:rFonts w:ascii="Times New Roman" w:hAnsi="Times New Roman"/>
          <w:sz w:val="24"/>
          <w:szCs w:val="24"/>
        </w:rPr>
        <w:t>s apply</w:t>
      </w:r>
      <w:r w:rsidR="00DD5E98" w:rsidRPr="005E0914">
        <w:rPr>
          <w:rFonts w:ascii="Times New Roman" w:hAnsi="Times New Roman"/>
          <w:sz w:val="24"/>
          <w:szCs w:val="24"/>
        </w:rPr>
        <w:t xml:space="preserve"> to motor carriers, freight forwarders and in</w:t>
      </w:r>
      <w:r w:rsidR="00343B81" w:rsidRPr="005E0914">
        <w:rPr>
          <w:rFonts w:ascii="Times New Roman" w:hAnsi="Times New Roman"/>
          <w:sz w:val="24"/>
          <w:szCs w:val="24"/>
        </w:rPr>
        <w:t xml:space="preserve">termodal equipment providers </w:t>
      </w:r>
      <w:r w:rsidR="00E12337" w:rsidRPr="005E0914">
        <w:rPr>
          <w:rFonts w:ascii="Times New Roman" w:hAnsi="Times New Roman"/>
          <w:sz w:val="24"/>
          <w:szCs w:val="24"/>
        </w:rPr>
        <w:t xml:space="preserve">(IEPs) </w:t>
      </w:r>
      <w:r w:rsidR="00343B81" w:rsidRPr="005E0914">
        <w:rPr>
          <w:rFonts w:ascii="Times New Roman" w:hAnsi="Times New Roman"/>
          <w:sz w:val="24"/>
          <w:szCs w:val="24"/>
        </w:rPr>
        <w:t xml:space="preserve">engaging in interstate transportation. </w:t>
      </w:r>
      <w:r w:rsidR="00ED7C28">
        <w:rPr>
          <w:rFonts w:ascii="Times New Roman" w:hAnsi="Times New Roman"/>
          <w:sz w:val="24"/>
          <w:szCs w:val="24"/>
        </w:rPr>
        <w:t xml:space="preserve"> </w:t>
      </w:r>
      <w:r w:rsidR="00E12337" w:rsidRPr="005E0914">
        <w:rPr>
          <w:rFonts w:ascii="Times New Roman" w:hAnsi="Times New Roman"/>
          <w:sz w:val="24"/>
          <w:szCs w:val="24"/>
        </w:rPr>
        <w:t>T</w:t>
      </w:r>
      <w:r w:rsidR="00343B81" w:rsidRPr="005E0914">
        <w:rPr>
          <w:rFonts w:ascii="Times New Roman" w:hAnsi="Times New Roman"/>
          <w:sz w:val="24"/>
          <w:szCs w:val="24"/>
        </w:rPr>
        <w:t>he Agency does not require a specific method of marking as long as the method complies</w:t>
      </w:r>
      <w:r w:rsidR="00E12337" w:rsidRPr="005E0914">
        <w:rPr>
          <w:rFonts w:ascii="Times New Roman" w:hAnsi="Times New Roman"/>
          <w:sz w:val="24"/>
          <w:szCs w:val="24"/>
        </w:rPr>
        <w:t xml:space="preserve"> with FMCSA’s regulations.</w:t>
      </w:r>
      <w:r w:rsidR="00ED7C28">
        <w:rPr>
          <w:rFonts w:ascii="Times New Roman" w:hAnsi="Times New Roman"/>
          <w:sz w:val="24"/>
          <w:szCs w:val="24"/>
        </w:rPr>
        <w:t xml:space="preserve"> </w:t>
      </w:r>
      <w:r w:rsidR="00E12337" w:rsidRPr="005E0914">
        <w:rPr>
          <w:rFonts w:ascii="Times New Roman" w:hAnsi="Times New Roman"/>
          <w:sz w:val="24"/>
          <w:szCs w:val="24"/>
        </w:rPr>
        <w:t xml:space="preserve"> These </w:t>
      </w:r>
      <w:r w:rsidR="00343B81" w:rsidRPr="005E0914">
        <w:rPr>
          <w:rFonts w:ascii="Times New Roman" w:hAnsi="Times New Roman"/>
          <w:sz w:val="24"/>
          <w:szCs w:val="24"/>
        </w:rPr>
        <w:t>requirement</w:t>
      </w:r>
      <w:r w:rsidR="00E12337" w:rsidRPr="005E0914">
        <w:rPr>
          <w:rFonts w:ascii="Times New Roman" w:hAnsi="Times New Roman"/>
          <w:sz w:val="24"/>
          <w:szCs w:val="24"/>
        </w:rPr>
        <w:t>s</w:t>
      </w:r>
      <w:r w:rsidR="00343B81" w:rsidRPr="005E0914">
        <w:rPr>
          <w:rFonts w:ascii="Times New Roman" w:hAnsi="Times New Roman"/>
          <w:sz w:val="24"/>
          <w:szCs w:val="24"/>
        </w:rPr>
        <w:t xml:space="preserve"> will ensure that FMCSA, NTSB and the States are able to identify motor carriers and correctly assign responsibility for regulatory violations during inspections, investigations, compliance r</w:t>
      </w:r>
      <w:r w:rsidR="00E12337" w:rsidRPr="005E0914">
        <w:rPr>
          <w:rFonts w:ascii="Times New Roman" w:hAnsi="Times New Roman"/>
          <w:sz w:val="24"/>
          <w:szCs w:val="24"/>
        </w:rPr>
        <w:t>eviews, and crash studies.  These</w:t>
      </w:r>
      <w:r w:rsidR="00343B81" w:rsidRPr="005E0914">
        <w:rPr>
          <w:rFonts w:ascii="Times New Roman" w:hAnsi="Times New Roman"/>
          <w:sz w:val="24"/>
          <w:szCs w:val="24"/>
        </w:rPr>
        <w:t xml:space="preserve"> requirement</w:t>
      </w:r>
      <w:r w:rsidR="00E12337" w:rsidRPr="005E0914">
        <w:rPr>
          <w:rFonts w:ascii="Times New Roman" w:hAnsi="Times New Roman"/>
          <w:sz w:val="24"/>
          <w:szCs w:val="24"/>
        </w:rPr>
        <w:t>s</w:t>
      </w:r>
      <w:r w:rsidR="00343B81" w:rsidRPr="005E0914">
        <w:rPr>
          <w:rFonts w:ascii="Times New Roman" w:hAnsi="Times New Roman"/>
          <w:sz w:val="24"/>
          <w:szCs w:val="24"/>
        </w:rPr>
        <w:t xml:space="preserve"> will also provide </w:t>
      </w:r>
      <w:r w:rsidR="00AA6D90" w:rsidRPr="005E0914">
        <w:rPr>
          <w:rFonts w:ascii="Times New Roman" w:hAnsi="Times New Roman"/>
          <w:sz w:val="24"/>
          <w:szCs w:val="24"/>
        </w:rPr>
        <w:t xml:space="preserve">the public with beneficial information that could also assist in identifying carriers for the purposes of commerce, complaints or emergency notification. </w:t>
      </w:r>
    </w:p>
    <w:p w:rsidR="00A613EE" w:rsidRPr="006068EC" w:rsidRDefault="00A613EE" w:rsidP="00895892">
      <w:pPr>
        <w:widowControl/>
        <w:rPr>
          <w:rFonts w:ascii="Times New Roman" w:hAnsi="Times New Roman"/>
          <w:bCs/>
          <w:sz w:val="24"/>
          <w:szCs w:val="24"/>
        </w:rPr>
      </w:pPr>
    </w:p>
    <w:p w:rsidR="005813B2" w:rsidRPr="006068EC" w:rsidRDefault="00C14920" w:rsidP="00895892">
      <w:pPr>
        <w:widowControl/>
        <w:numPr>
          <w:ilvl w:val="0"/>
          <w:numId w:val="18"/>
        </w:numPr>
        <w:rPr>
          <w:rFonts w:ascii="Times New Roman" w:hAnsi="Times New Roman"/>
          <w:sz w:val="24"/>
          <w:szCs w:val="24"/>
        </w:rPr>
      </w:pPr>
      <w:r w:rsidRPr="006068EC">
        <w:rPr>
          <w:rFonts w:ascii="Times New Roman" w:hAnsi="Times New Roman"/>
          <w:b/>
          <w:bCs/>
          <w:sz w:val="24"/>
          <w:szCs w:val="24"/>
        </w:rPr>
        <w:t>EXTENT OF AUTOMATED INFORMATION COLLECTION</w:t>
      </w:r>
    </w:p>
    <w:p w:rsidR="008E4E78" w:rsidRPr="005E0914" w:rsidRDefault="009D4F72" w:rsidP="005E0914">
      <w:pPr>
        <w:widowControl/>
        <w:ind w:left="360"/>
        <w:rPr>
          <w:rFonts w:ascii="Times New Roman" w:hAnsi="Times New Roman"/>
          <w:iCs/>
          <w:sz w:val="24"/>
          <w:szCs w:val="24"/>
        </w:rPr>
      </w:pPr>
      <w:r w:rsidRPr="006068EC">
        <w:rPr>
          <w:rFonts w:ascii="Times New Roman" w:hAnsi="Times New Roman"/>
          <w:b/>
          <w:bCs/>
        </w:rPr>
        <w:t xml:space="preserve"> </w:t>
      </w:r>
      <w:r w:rsidR="005612EB" w:rsidRPr="006068EC">
        <w:rPr>
          <w:rFonts w:ascii="Times New Roman" w:hAnsi="Times New Roman"/>
          <w:b/>
          <w:bCs/>
        </w:rPr>
        <w:br/>
      </w:r>
      <w:r w:rsidR="00AA6D90" w:rsidRPr="005E0914">
        <w:rPr>
          <w:rFonts w:ascii="Times New Roman" w:hAnsi="Times New Roman"/>
          <w:iCs/>
          <w:sz w:val="24"/>
          <w:szCs w:val="24"/>
        </w:rPr>
        <w:t xml:space="preserve">Motor carriers will not be subject to any reporting requirement </w:t>
      </w:r>
      <w:r w:rsidR="005E0914">
        <w:rPr>
          <w:rFonts w:ascii="Times New Roman" w:hAnsi="Times New Roman"/>
          <w:iCs/>
          <w:sz w:val="24"/>
          <w:szCs w:val="24"/>
        </w:rPr>
        <w:t>in response to this ICR</w:t>
      </w:r>
      <w:r w:rsidR="00AA6D90" w:rsidRPr="005E0914">
        <w:rPr>
          <w:rFonts w:ascii="Times New Roman" w:hAnsi="Times New Roman"/>
          <w:iCs/>
          <w:sz w:val="24"/>
          <w:szCs w:val="24"/>
        </w:rPr>
        <w:t>.</w:t>
      </w:r>
    </w:p>
    <w:p w:rsidR="00A613EE" w:rsidRPr="006068EC" w:rsidRDefault="00A613EE" w:rsidP="00895892">
      <w:pPr>
        <w:widowControl/>
        <w:rPr>
          <w:rFonts w:ascii="Times New Roman" w:hAnsi="Times New Roman"/>
          <w:sz w:val="24"/>
        </w:rPr>
      </w:pPr>
    </w:p>
    <w:p w:rsidR="005813B2" w:rsidRPr="006068EC" w:rsidRDefault="00C14920" w:rsidP="002B2D4B">
      <w:pPr>
        <w:pStyle w:val="NormalWeb"/>
        <w:numPr>
          <w:ilvl w:val="0"/>
          <w:numId w:val="18"/>
        </w:numPr>
        <w:spacing w:before="0" w:beforeAutospacing="0" w:after="0" w:afterAutospacing="0"/>
        <w:rPr>
          <w:rFonts w:ascii="Times New Roman" w:hAnsi="Times New Roman" w:cs="Times New Roman"/>
          <w:bCs/>
          <w:szCs w:val="20"/>
        </w:rPr>
      </w:pPr>
      <w:r w:rsidRPr="006068EC">
        <w:rPr>
          <w:rFonts w:ascii="Times New Roman" w:hAnsi="Times New Roman" w:cs="Times New Roman"/>
          <w:b/>
          <w:bCs/>
          <w:szCs w:val="20"/>
        </w:rPr>
        <w:t>EFFORTS TO IDENTIFY DUPLICATION</w:t>
      </w:r>
    </w:p>
    <w:p w:rsidR="0004749E" w:rsidRPr="006068EC" w:rsidRDefault="00A613EE" w:rsidP="002B2D4B">
      <w:pPr>
        <w:pStyle w:val="NormalWeb"/>
        <w:spacing w:before="0" w:beforeAutospacing="0" w:after="0" w:afterAutospacing="0"/>
        <w:ind w:left="360"/>
        <w:rPr>
          <w:rFonts w:ascii="Times New Roman" w:hAnsi="Times New Roman" w:cs="Times New Roman"/>
          <w:bCs/>
          <w:szCs w:val="20"/>
        </w:rPr>
      </w:pPr>
      <w:r w:rsidRPr="006068EC">
        <w:rPr>
          <w:rFonts w:ascii="Times New Roman" w:hAnsi="Times New Roman" w:cs="Times New Roman"/>
          <w:b/>
          <w:bCs/>
          <w:szCs w:val="20"/>
        </w:rPr>
        <w:br/>
      </w:r>
      <w:r w:rsidR="00897896" w:rsidRPr="006068EC">
        <w:rPr>
          <w:rFonts w:ascii="Times New Roman" w:hAnsi="Times New Roman" w:cs="Times New Roman"/>
          <w:bCs/>
          <w:szCs w:val="20"/>
        </w:rPr>
        <w:t xml:space="preserve">There are no </w:t>
      </w:r>
      <w:r w:rsidR="005E0914">
        <w:rPr>
          <w:rFonts w:ascii="Times New Roman" w:hAnsi="Times New Roman" w:cs="Times New Roman"/>
          <w:bCs/>
          <w:szCs w:val="20"/>
        </w:rPr>
        <w:t>other Federal agencies that ha</w:t>
      </w:r>
      <w:r w:rsidR="005E0102">
        <w:rPr>
          <w:rFonts w:ascii="Times New Roman" w:hAnsi="Times New Roman" w:cs="Times New Roman"/>
          <w:bCs/>
          <w:szCs w:val="20"/>
        </w:rPr>
        <w:t>ve</w:t>
      </w:r>
      <w:r w:rsidR="005E0914">
        <w:rPr>
          <w:rFonts w:ascii="Times New Roman" w:hAnsi="Times New Roman" w:cs="Times New Roman"/>
          <w:bCs/>
          <w:szCs w:val="20"/>
        </w:rPr>
        <w:t xml:space="preserve"> the commercial mo</w:t>
      </w:r>
      <w:r w:rsidR="005E0102">
        <w:rPr>
          <w:rFonts w:ascii="Times New Roman" w:hAnsi="Times New Roman" w:cs="Times New Roman"/>
          <w:bCs/>
          <w:szCs w:val="20"/>
        </w:rPr>
        <w:t>tor vehicle marking requirement.</w:t>
      </w:r>
      <w:r w:rsidR="00897896" w:rsidRPr="006068EC">
        <w:rPr>
          <w:rFonts w:ascii="Times New Roman" w:hAnsi="Times New Roman" w:cs="Times New Roman"/>
          <w:bCs/>
          <w:szCs w:val="20"/>
        </w:rPr>
        <w:t xml:space="preserve"> </w:t>
      </w:r>
    </w:p>
    <w:p w:rsidR="0004749E" w:rsidRDefault="0004749E" w:rsidP="00895892">
      <w:pPr>
        <w:widowControl/>
        <w:rPr>
          <w:rFonts w:ascii="Times New Roman" w:hAnsi="Times New Roman"/>
          <w:sz w:val="24"/>
        </w:rPr>
      </w:pPr>
    </w:p>
    <w:p w:rsidR="00937E4D" w:rsidRDefault="00937E4D" w:rsidP="00895892">
      <w:pPr>
        <w:widowControl/>
        <w:rPr>
          <w:rFonts w:ascii="Times New Roman" w:hAnsi="Times New Roman"/>
          <w:sz w:val="24"/>
        </w:rPr>
      </w:pPr>
    </w:p>
    <w:p w:rsidR="00937E4D" w:rsidRPr="006068EC" w:rsidRDefault="00937E4D" w:rsidP="00895892">
      <w:pPr>
        <w:widowControl/>
        <w:rPr>
          <w:rFonts w:ascii="Times New Roman" w:hAnsi="Times New Roman"/>
          <w:sz w:val="24"/>
        </w:rPr>
      </w:pPr>
    </w:p>
    <w:p w:rsidR="001C1B4B" w:rsidRPr="006068EC" w:rsidRDefault="00C14920" w:rsidP="00895892">
      <w:pPr>
        <w:widowControl/>
        <w:numPr>
          <w:ilvl w:val="0"/>
          <w:numId w:val="18"/>
        </w:numPr>
        <w:rPr>
          <w:rFonts w:ascii="Times New Roman" w:hAnsi="Times New Roman"/>
          <w:sz w:val="24"/>
          <w:szCs w:val="24"/>
        </w:rPr>
      </w:pPr>
      <w:r w:rsidRPr="006068EC">
        <w:rPr>
          <w:rFonts w:ascii="Times New Roman" w:hAnsi="Times New Roman"/>
          <w:b/>
          <w:bCs/>
          <w:sz w:val="24"/>
          <w:szCs w:val="24"/>
        </w:rPr>
        <w:t>EFFORTS TO MINIMIZE THE BURDEN ON SMALL BUSINESSES</w:t>
      </w:r>
    </w:p>
    <w:p w:rsidR="005E0102" w:rsidRDefault="005E0102" w:rsidP="00895892">
      <w:pPr>
        <w:widowControl/>
        <w:ind w:left="360"/>
        <w:rPr>
          <w:rFonts w:ascii="Times New Roman" w:hAnsi="Times New Roman"/>
          <w:sz w:val="24"/>
          <w:szCs w:val="24"/>
        </w:rPr>
      </w:pPr>
    </w:p>
    <w:p w:rsidR="00291C15" w:rsidRPr="006068EC" w:rsidRDefault="00CB0188" w:rsidP="00895892">
      <w:pPr>
        <w:widowControl/>
        <w:ind w:left="360"/>
        <w:rPr>
          <w:rFonts w:ascii="Times New Roman" w:hAnsi="Times New Roman"/>
          <w:sz w:val="24"/>
          <w:szCs w:val="24"/>
        </w:rPr>
      </w:pPr>
      <w:r w:rsidRPr="006068EC">
        <w:rPr>
          <w:rFonts w:ascii="Times New Roman" w:hAnsi="Times New Roman"/>
          <w:sz w:val="24"/>
          <w:szCs w:val="24"/>
        </w:rPr>
        <w:lastRenderedPageBreak/>
        <w:t xml:space="preserve">The </w:t>
      </w:r>
      <w:r w:rsidR="00897896" w:rsidRPr="006068EC">
        <w:rPr>
          <w:rFonts w:ascii="Times New Roman" w:hAnsi="Times New Roman"/>
          <w:sz w:val="24"/>
          <w:szCs w:val="24"/>
        </w:rPr>
        <w:t>marking requirements</w:t>
      </w:r>
      <w:r w:rsidRPr="006068EC">
        <w:rPr>
          <w:rFonts w:ascii="Times New Roman" w:hAnsi="Times New Roman"/>
          <w:sz w:val="24"/>
          <w:szCs w:val="24"/>
        </w:rPr>
        <w:t xml:space="preserve"> impose min</w:t>
      </w:r>
      <w:r w:rsidR="00344C64" w:rsidRPr="006068EC">
        <w:rPr>
          <w:rFonts w:ascii="Times New Roman" w:hAnsi="Times New Roman"/>
          <w:sz w:val="24"/>
          <w:szCs w:val="24"/>
        </w:rPr>
        <w:t>imal burden on small business</w:t>
      </w:r>
      <w:r w:rsidR="00897896" w:rsidRPr="006068EC">
        <w:rPr>
          <w:rFonts w:ascii="Times New Roman" w:hAnsi="Times New Roman"/>
          <w:sz w:val="24"/>
          <w:szCs w:val="24"/>
        </w:rPr>
        <w:t>es</w:t>
      </w:r>
      <w:r w:rsidR="00344C64" w:rsidRPr="006068EC">
        <w:rPr>
          <w:rFonts w:ascii="Times New Roman" w:hAnsi="Times New Roman"/>
          <w:sz w:val="24"/>
          <w:szCs w:val="24"/>
        </w:rPr>
        <w:t xml:space="preserve">. </w:t>
      </w:r>
      <w:r w:rsidR="00ED7C28">
        <w:rPr>
          <w:rFonts w:ascii="Times New Roman" w:hAnsi="Times New Roman"/>
          <w:sz w:val="24"/>
          <w:szCs w:val="24"/>
        </w:rPr>
        <w:t xml:space="preserve"> </w:t>
      </w:r>
      <w:r w:rsidR="004B4DA5" w:rsidRPr="006068EC">
        <w:rPr>
          <w:rFonts w:ascii="Times New Roman" w:hAnsi="Times New Roman"/>
          <w:sz w:val="24"/>
          <w:szCs w:val="24"/>
        </w:rPr>
        <w:t>Considerable fl</w:t>
      </w:r>
      <w:r w:rsidRPr="006068EC">
        <w:rPr>
          <w:rFonts w:ascii="Times New Roman" w:hAnsi="Times New Roman"/>
          <w:sz w:val="24"/>
          <w:szCs w:val="24"/>
        </w:rPr>
        <w:t>exibil</w:t>
      </w:r>
      <w:r w:rsidR="00B45F1A" w:rsidRPr="006068EC">
        <w:rPr>
          <w:rFonts w:ascii="Times New Roman" w:hAnsi="Times New Roman"/>
          <w:sz w:val="24"/>
          <w:szCs w:val="24"/>
        </w:rPr>
        <w:t xml:space="preserve">ity is afforded in meeting </w:t>
      </w:r>
      <w:r w:rsidR="00897896" w:rsidRPr="006068EC">
        <w:rPr>
          <w:rFonts w:ascii="Times New Roman" w:hAnsi="Times New Roman"/>
          <w:sz w:val="24"/>
          <w:szCs w:val="24"/>
        </w:rPr>
        <w:t>those requirements</w:t>
      </w:r>
      <w:r w:rsidRPr="006068EC">
        <w:rPr>
          <w:rFonts w:ascii="Times New Roman" w:hAnsi="Times New Roman"/>
          <w:sz w:val="24"/>
          <w:szCs w:val="24"/>
        </w:rPr>
        <w:t xml:space="preserve">.  </w:t>
      </w:r>
      <w:r w:rsidR="00B45F1A" w:rsidRPr="006068EC">
        <w:rPr>
          <w:rFonts w:ascii="Times New Roman" w:hAnsi="Times New Roman"/>
          <w:sz w:val="24"/>
          <w:szCs w:val="24"/>
        </w:rPr>
        <w:t>Marking may be painted on the vehicles, app</w:t>
      </w:r>
      <w:r w:rsidR="00897896" w:rsidRPr="006068EC">
        <w:rPr>
          <w:rFonts w:ascii="Times New Roman" w:hAnsi="Times New Roman"/>
          <w:sz w:val="24"/>
          <w:szCs w:val="24"/>
        </w:rPr>
        <w:t>lied with stencils, decals,</w:t>
      </w:r>
      <w:r w:rsidR="00B45F1A" w:rsidRPr="006068EC">
        <w:rPr>
          <w:rFonts w:ascii="Times New Roman" w:hAnsi="Times New Roman"/>
          <w:sz w:val="24"/>
          <w:szCs w:val="24"/>
        </w:rPr>
        <w:t xml:space="preserve"> </w:t>
      </w:r>
      <w:r w:rsidR="00897896" w:rsidRPr="006068EC">
        <w:rPr>
          <w:rFonts w:ascii="Times New Roman" w:hAnsi="Times New Roman"/>
          <w:sz w:val="24"/>
          <w:szCs w:val="24"/>
        </w:rPr>
        <w:t xml:space="preserve">or </w:t>
      </w:r>
      <w:r w:rsidR="00B45F1A" w:rsidRPr="006068EC">
        <w:rPr>
          <w:rFonts w:ascii="Times New Roman" w:hAnsi="Times New Roman"/>
          <w:sz w:val="24"/>
          <w:szCs w:val="24"/>
        </w:rPr>
        <w:t>affixed by any other means</w:t>
      </w:r>
      <w:r w:rsidR="00897896" w:rsidRPr="006068EC">
        <w:rPr>
          <w:rFonts w:ascii="Times New Roman" w:hAnsi="Times New Roman"/>
          <w:sz w:val="24"/>
          <w:szCs w:val="24"/>
        </w:rPr>
        <w:t>, including paper, provided the method(s) meets the requirements.</w:t>
      </w:r>
      <w:r w:rsidR="00B45F1A" w:rsidRPr="006068EC">
        <w:rPr>
          <w:rFonts w:ascii="Times New Roman" w:hAnsi="Times New Roman"/>
          <w:sz w:val="24"/>
          <w:szCs w:val="24"/>
        </w:rPr>
        <w:t xml:space="preserve"> </w:t>
      </w:r>
      <w:r w:rsidR="00ED7C28">
        <w:rPr>
          <w:rFonts w:ascii="Times New Roman" w:hAnsi="Times New Roman"/>
          <w:sz w:val="24"/>
          <w:szCs w:val="24"/>
        </w:rPr>
        <w:t xml:space="preserve"> </w:t>
      </w:r>
      <w:r w:rsidR="00B45F1A" w:rsidRPr="006068EC">
        <w:rPr>
          <w:rFonts w:ascii="Times New Roman" w:hAnsi="Times New Roman"/>
          <w:sz w:val="24"/>
          <w:szCs w:val="24"/>
        </w:rPr>
        <w:t xml:space="preserve">The cost of marking includes the cost of materials, labor, and the opportunity cost of the </w:t>
      </w:r>
      <w:r w:rsidR="000525A4" w:rsidRPr="006068EC">
        <w:rPr>
          <w:rFonts w:ascii="Times New Roman" w:hAnsi="Times New Roman"/>
          <w:sz w:val="24"/>
          <w:szCs w:val="24"/>
        </w:rPr>
        <w:t>vehicles' time out of service (</w:t>
      </w:r>
      <w:r w:rsidR="00817764" w:rsidRPr="006068EC">
        <w:rPr>
          <w:rFonts w:ascii="Times New Roman" w:hAnsi="Times New Roman"/>
          <w:sz w:val="24"/>
          <w:szCs w:val="24"/>
        </w:rPr>
        <w:t>negligible</w:t>
      </w:r>
      <w:r w:rsidR="009A51F0" w:rsidRPr="006068EC">
        <w:rPr>
          <w:rFonts w:ascii="Times New Roman" w:hAnsi="Times New Roman"/>
          <w:sz w:val="24"/>
          <w:szCs w:val="24"/>
        </w:rPr>
        <w:t>)</w:t>
      </w:r>
      <w:r w:rsidR="00B45F1A" w:rsidRPr="006068EC">
        <w:rPr>
          <w:rFonts w:ascii="Times New Roman" w:hAnsi="Times New Roman"/>
          <w:sz w:val="24"/>
          <w:szCs w:val="24"/>
        </w:rPr>
        <w:t xml:space="preserve">. </w:t>
      </w:r>
    </w:p>
    <w:p w:rsidR="00291C15" w:rsidRPr="006068EC" w:rsidRDefault="00291C15" w:rsidP="00895892">
      <w:pPr>
        <w:widowControl/>
        <w:ind w:left="360"/>
        <w:rPr>
          <w:rFonts w:ascii="Times New Roman" w:hAnsi="Times New Roman"/>
          <w:sz w:val="24"/>
          <w:szCs w:val="24"/>
        </w:rPr>
      </w:pPr>
    </w:p>
    <w:p w:rsidR="005E0102" w:rsidRDefault="00C14920" w:rsidP="005E0102">
      <w:pPr>
        <w:widowControl/>
        <w:numPr>
          <w:ilvl w:val="0"/>
          <w:numId w:val="18"/>
        </w:numPr>
        <w:rPr>
          <w:rFonts w:ascii="Times New Roman" w:hAnsi="Times New Roman"/>
        </w:rPr>
      </w:pPr>
      <w:r w:rsidRPr="006068EC">
        <w:rPr>
          <w:rFonts w:ascii="Times New Roman" w:hAnsi="Times New Roman"/>
          <w:b/>
          <w:bCs/>
          <w:sz w:val="24"/>
          <w:szCs w:val="24"/>
        </w:rPr>
        <w:t>IMPACT OF LESS FREQUENT COLLECTION OF INFORMATION</w:t>
      </w:r>
      <w:r w:rsidR="00A613EE" w:rsidRPr="006068EC">
        <w:rPr>
          <w:rFonts w:ascii="Times New Roman" w:hAnsi="Times New Roman"/>
          <w:b/>
          <w:sz w:val="24"/>
          <w:szCs w:val="24"/>
        </w:rPr>
        <w:br/>
      </w:r>
    </w:p>
    <w:p w:rsidR="00AC57C7" w:rsidRDefault="00905572" w:rsidP="005E0102">
      <w:pPr>
        <w:widowControl/>
        <w:ind w:left="360"/>
        <w:rPr>
          <w:rFonts w:ascii="Times New Roman" w:hAnsi="Times New Roman"/>
          <w:sz w:val="24"/>
          <w:szCs w:val="24"/>
        </w:rPr>
      </w:pPr>
      <w:r w:rsidRPr="005E0102">
        <w:rPr>
          <w:rFonts w:ascii="Times New Roman" w:hAnsi="Times New Roman"/>
          <w:sz w:val="24"/>
          <w:szCs w:val="24"/>
        </w:rPr>
        <w:t xml:space="preserve">The appropriate </w:t>
      </w:r>
      <w:r w:rsidR="008E5B11" w:rsidRPr="005E0102">
        <w:rPr>
          <w:rFonts w:ascii="Times New Roman" w:hAnsi="Times New Roman"/>
          <w:sz w:val="24"/>
          <w:szCs w:val="24"/>
        </w:rPr>
        <w:t>m</w:t>
      </w:r>
      <w:r w:rsidRPr="005E0102">
        <w:rPr>
          <w:rFonts w:ascii="Times New Roman" w:hAnsi="Times New Roman"/>
          <w:sz w:val="24"/>
          <w:szCs w:val="24"/>
        </w:rPr>
        <w:t xml:space="preserve">arking of vehicles, owned, leased or rented, </w:t>
      </w:r>
      <w:r w:rsidR="008E5B11" w:rsidRPr="005E0102">
        <w:rPr>
          <w:rFonts w:ascii="Times New Roman" w:hAnsi="Times New Roman"/>
          <w:sz w:val="24"/>
          <w:szCs w:val="24"/>
        </w:rPr>
        <w:t xml:space="preserve">would assist FMCSA to identify unsafe and therefore high risk motor carriers. </w:t>
      </w:r>
      <w:r w:rsidR="00ED7C28">
        <w:rPr>
          <w:rFonts w:ascii="Times New Roman" w:hAnsi="Times New Roman"/>
          <w:sz w:val="24"/>
          <w:szCs w:val="24"/>
        </w:rPr>
        <w:t xml:space="preserve"> </w:t>
      </w:r>
      <w:r w:rsidR="008E5B11" w:rsidRPr="005E0102">
        <w:rPr>
          <w:rFonts w:ascii="Times New Roman" w:hAnsi="Times New Roman"/>
          <w:sz w:val="24"/>
          <w:szCs w:val="24"/>
        </w:rPr>
        <w:t xml:space="preserve">This </w:t>
      </w:r>
      <w:r w:rsidR="009B4168">
        <w:rPr>
          <w:rFonts w:ascii="Times New Roman" w:hAnsi="Times New Roman"/>
          <w:sz w:val="24"/>
          <w:szCs w:val="24"/>
        </w:rPr>
        <w:t xml:space="preserve">ICR </w:t>
      </w:r>
      <w:r w:rsidR="008E5B11" w:rsidRPr="005E0102">
        <w:rPr>
          <w:rFonts w:ascii="Times New Roman" w:hAnsi="Times New Roman"/>
          <w:sz w:val="24"/>
          <w:szCs w:val="24"/>
        </w:rPr>
        <w:t>would also greatly assist investigators to meet the standard burden of proof to prosec</w:t>
      </w:r>
      <w:r w:rsidR="00DD213E" w:rsidRPr="005E0102">
        <w:rPr>
          <w:rFonts w:ascii="Times New Roman" w:hAnsi="Times New Roman"/>
          <w:sz w:val="24"/>
          <w:szCs w:val="24"/>
        </w:rPr>
        <w:t xml:space="preserve">ute non-compliant carriers, </w:t>
      </w:r>
      <w:r w:rsidR="008E5B11" w:rsidRPr="005E0102">
        <w:rPr>
          <w:rFonts w:ascii="Times New Roman" w:hAnsi="Times New Roman"/>
          <w:sz w:val="24"/>
          <w:szCs w:val="24"/>
        </w:rPr>
        <w:t xml:space="preserve">as well as assist State partners during accident investigations in determining the </w:t>
      </w:r>
      <w:r w:rsidR="00DD213E" w:rsidRPr="005E0102">
        <w:rPr>
          <w:rFonts w:ascii="Times New Roman" w:hAnsi="Times New Roman"/>
          <w:sz w:val="24"/>
          <w:szCs w:val="24"/>
        </w:rPr>
        <w:tab/>
      </w:r>
      <w:r w:rsidR="008E5B11" w:rsidRPr="005E0102">
        <w:rPr>
          <w:rFonts w:ascii="Times New Roman" w:hAnsi="Times New Roman"/>
          <w:sz w:val="24"/>
          <w:szCs w:val="24"/>
        </w:rPr>
        <w:t xml:space="preserve">responsible motor carrier involved in a </w:t>
      </w:r>
      <w:r w:rsidRPr="005E0102">
        <w:rPr>
          <w:rFonts w:ascii="Times New Roman" w:hAnsi="Times New Roman"/>
          <w:sz w:val="24"/>
          <w:szCs w:val="24"/>
        </w:rPr>
        <w:t>CMV</w:t>
      </w:r>
      <w:r w:rsidR="002B2D4B" w:rsidRPr="005E0102">
        <w:rPr>
          <w:rFonts w:ascii="Times New Roman" w:hAnsi="Times New Roman"/>
          <w:sz w:val="24"/>
          <w:szCs w:val="24"/>
        </w:rPr>
        <w:t xml:space="preserve"> </w:t>
      </w:r>
      <w:r w:rsidR="008E5B11" w:rsidRPr="005E0102">
        <w:rPr>
          <w:rFonts w:ascii="Times New Roman" w:hAnsi="Times New Roman"/>
          <w:sz w:val="24"/>
          <w:szCs w:val="24"/>
        </w:rPr>
        <w:t>crash</w:t>
      </w:r>
      <w:r w:rsidR="00ED7C28" w:rsidRPr="005E0102">
        <w:rPr>
          <w:rFonts w:ascii="Times New Roman" w:hAnsi="Times New Roman"/>
          <w:sz w:val="24"/>
          <w:szCs w:val="24"/>
        </w:rPr>
        <w:t>.</w:t>
      </w:r>
      <w:r w:rsidR="00ED7C28">
        <w:rPr>
          <w:rFonts w:ascii="Times New Roman" w:hAnsi="Times New Roman"/>
          <w:sz w:val="24"/>
          <w:szCs w:val="24"/>
        </w:rPr>
        <w:t xml:space="preserve">  </w:t>
      </w:r>
      <w:r w:rsidR="00897896" w:rsidRPr="005E0102">
        <w:rPr>
          <w:rFonts w:ascii="Times New Roman" w:hAnsi="Times New Roman"/>
          <w:sz w:val="24"/>
          <w:szCs w:val="24"/>
        </w:rPr>
        <w:t xml:space="preserve">The </w:t>
      </w:r>
      <w:r w:rsidR="00011244">
        <w:rPr>
          <w:rFonts w:ascii="Times New Roman" w:hAnsi="Times New Roman"/>
          <w:sz w:val="24"/>
          <w:szCs w:val="24"/>
        </w:rPr>
        <w:t>requirement</w:t>
      </w:r>
      <w:r w:rsidR="00897896" w:rsidRPr="005E0102">
        <w:rPr>
          <w:rFonts w:ascii="Times New Roman" w:hAnsi="Times New Roman"/>
          <w:sz w:val="24"/>
          <w:szCs w:val="24"/>
        </w:rPr>
        <w:t xml:space="preserve"> at hand is not a collection per se, but a marking requirement, which depending on the need and method, could be permanent or temporary.  </w:t>
      </w:r>
    </w:p>
    <w:p w:rsidR="00044F42" w:rsidRPr="005E0102" w:rsidRDefault="00044F42" w:rsidP="005E0102">
      <w:pPr>
        <w:widowControl/>
        <w:ind w:left="360"/>
        <w:rPr>
          <w:rFonts w:ascii="Times New Roman" w:hAnsi="Times New Roman"/>
          <w:sz w:val="24"/>
          <w:szCs w:val="24"/>
        </w:rPr>
      </w:pPr>
    </w:p>
    <w:p w:rsidR="005E0102" w:rsidRPr="005E0102" w:rsidRDefault="00F358A1" w:rsidP="002B2D4B">
      <w:pPr>
        <w:widowControl/>
        <w:numPr>
          <w:ilvl w:val="0"/>
          <w:numId w:val="18"/>
        </w:numPr>
        <w:rPr>
          <w:rFonts w:ascii="Times New Roman" w:hAnsi="Times New Roman"/>
          <w:sz w:val="24"/>
          <w:szCs w:val="24"/>
        </w:rPr>
      </w:pPr>
      <w:r w:rsidRPr="006068EC">
        <w:rPr>
          <w:rFonts w:ascii="Times New Roman" w:hAnsi="Times New Roman"/>
          <w:b/>
          <w:bCs/>
          <w:sz w:val="24"/>
          <w:szCs w:val="24"/>
        </w:rPr>
        <w:t>SPECIAL CIRCUMSTANCES</w:t>
      </w:r>
      <w:r w:rsidR="00470720" w:rsidRPr="006068EC">
        <w:rPr>
          <w:rFonts w:ascii="Times New Roman" w:hAnsi="Times New Roman"/>
          <w:b/>
          <w:bCs/>
        </w:rPr>
        <w:t xml:space="preserve">  </w:t>
      </w:r>
    </w:p>
    <w:p w:rsidR="00470720" w:rsidRPr="006068EC" w:rsidRDefault="00470720" w:rsidP="005E0102">
      <w:pPr>
        <w:widowControl/>
        <w:ind w:left="360"/>
        <w:rPr>
          <w:rFonts w:ascii="Times New Roman" w:hAnsi="Times New Roman"/>
          <w:sz w:val="24"/>
          <w:szCs w:val="24"/>
        </w:rPr>
      </w:pPr>
    </w:p>
    <w:p w:rsidR="008E5B11" w:rsidRPr="006068EC" w:rsidRDefault="008E5B11" w:rsidP="002B2D4B">
      <w:pPr>
        <w:widowControl/>
        <w:rPr>
          <w:rFonts w:ascii="Times New Roman" w:hAnsi="Times New Roman"/>
          <w:sz w:val="24"/>
          <w:szCs w:val="24"/>
        </w:rPr>
      </w:pPr>
      <w:r w:rsidRPr="006068EC">
        <w:rPr>
          <w:rFonts w:ascii="Times New Roman" w:hAnsi="Times New Roman"/>
          <w:sz w:val="24"/>
          <w:szCs w:val="24"/>
        </w:rPr>
        <w:t xml:space="preserve">      There are no special circumstances associated with this </w:t>
      </w:r>
      <w:r w:rsidR="005E0102">
        <w:rPr>
          <w:rFonts w:ascii="Times New Roman" w:hAnsi="Times New Roman"/>
          <w:sz w:val="24"/>
          <w:szCs w:val="24"/>
        </w:rPr>
        <w:t>ICR</w:t>
      </w:r>
      <w:r w:rsidRPr="006068EC">
        <w:rPr>
          <w:rFonts w:ascii="Times New Roman" w:hAnsi="Times New Roman"/>
          <w:sz w:val="24"/>
          <w:szCs w:val="24"/>
        </w:rPr>
        <w:t>.</w:t>
      </w:r>
    </w:p>
    <w:p w:rsidR="001C2B34" w:rsidRPr="006068EC" w:rsidRDefault="001C2B34" w:rsidP="002B2D4B">
      <w:pPr>
        <w:pStyle w:val="ListParagraph"/>
        <w:widowControl/>
        <w:ind w:left="360"/>
        <w:rPr>
          <w:rFonts w:ascii="Times New Roman" w:hAnsi="Times New Roman"/>
          <w:sz w:val="24"/>
          <w:szCs w:val="24"/>
        </w:rPr>
      </w:pPr>
    </w:p>
    <w:p w:rsidR="006C714E" w:rsidRPr="00EB7DAD" w:rsidRDefault="00F358A1" w:rsidP="005E0102">
      <w:pPr>
        <w:widowControl/>
        <w:numPr>
          <w:ilvl w:val="0"/>
          <w:numId w:val="18"/>
        </w:numPr>
        <w:rPr>
          <w:rFonts w:ascii="Times New Roman" w:hAnsi="Times New Roman"/>
          <w:b/>
        </w:rPr>
      </w:pPr>
      <w:r w:rsidRPr="00EB7DAD">
        <w:rPr>
          <w:rFonts w:ascii="Times New Roman" w:hAnsi="Times New Roman"/>
          <w:b/>
          <w:bCs/>
          <w:sz w:val="24"/>
          <w:szCs w:val="24"/>
        </w:rPr>
        <w:t>COMPLIANCE WITH 5 CFR 1320.8</w:t>
      </w:r>
      <w:r w:rsidR="00470720" w:rsidRPr="00EB7DAD">
        <w:rPr>
          <w:rFonts w:ascii="Times New Roman" w:hAnsi="Times New Roman"/>
          <w:b/>
          <w:bCs/>
        </w:rPr>
        <w:t xml:space="preserve"> </w:t>
      </w:r>
      <w:r w:rsidR="00A613EE" w:rsidRPr="00EB7DAD">
        <w:rPr>
          <w:rFonts w:ascii="Times New Roman" w:hAnsi="Times New Roman"/>
          <w:b/>
          <w:bCs/>
        </w:rPr>
        <w:br/>
      </w:r>
    </w:p>
    <w:p w:rsidR="002B2D4B" w:rsidRDefault="002B2D4B" w:rsidP="002B2D4B">
      <w:pPr>
        <w:widowControl/>
        <w:ind w:left="360"/>
        <w:rPr>
          <w:rFonts w:ascii="Times New Roman" w:hAnsi="Times New Roman"/>
          <w:sz w:val="24"/>
          <w:szCs w:val="24"/>
        </w:rPr>
      </w:pPr>
      <w:r w:rsidRPr="002B2D4B">
        <w:rPr>
          <w:rFonts w:ascii="Times New Roman" w:hAnsi="Times New Roman"/>
          <w:sz w:val="24"/>
          <w:szCs w:val="24"/>
        </w:rPr>
        <w:t xml:space="preserve">On </w:t>
      </w:r>
      <w:r w:rsidR="006B6356">
        <w:rPr>
          <w:rFonts w:ascii="Times New Roman" w:hAnsi="Times New Roman"/>
          <w:sz w:val="24"/>
          <w:szCs w:val="24"/>
        </w:rPr>
        <w:t>April 11</w:t>
      </w:r>
      <w:r w:rsidR="001E404B">
        <w:rPr>
          <w:rFonts w:ascii="Times New Roman" w:hAnsi="Times New Roman"/>
          <w:sz w:val="24"/>
          <w:szCs w:val="24"/>
        </w:rPr>
        <w:t xml:space="preserve">, </w:t>
      </w:r>
      <w:r w:rsidRPr="002B2D4B">
        <w:rPr>
          <w:rFonts w:ascii="Times New Roman" w:hAnsi="Times New Roman"/>
          <w:sz w:val="24"/>
          <w:szCs w:val="24"/>
        </w:rPr>
        <w:t xml:space="preserve">2013 (78 FR </w:t>
      </w:r>
      <w:r w:rsidR="006B6356">
        <w:rPr>
          <w:rFonts w:ascii="Times New Roman" w:hAnsi="Times New Roman"/>
          <w:sz w:val="24"/>
          <w:szCs w:val="24"/>
        </w:rPr>
        <w:t>21705</w:t>
      </w:r>
      <w:r w:rsidR="007D65EF">
        <w:rPr>
          <w:rFonts w:ascii="Times New Roman" w:hAnsi="Times New Roman"/>
          <w:sz w:val="24"/>
          <w:szCs w:val="24"/>
        </w:rPr>
        <w:t>)</w:t>
      </w:r>
      <w:r w:rsidRPr="002B2D4B">
        <w:rPr>
          <w:rFonts w:ascii="Times New Roman" w:hAnsi="Times New Roman"/>
          <w:sz w:val="24"/>
          <w:szCs w:val="24"/>
        </w:rPr>
        <w:t xml:space="preserve"> (See Attachment </w:t>
      </w:r>
      <w:r w:rsidR="005C615B">
        <w:rPr>
          <w:rFonts w:ascii="Times New Roman" w:hAnsi="Times New Roman"/>
          <w:sz w:val="24"/>
          <w:szCs w:val="24"/>
        </w:rPr>
        <w:t>3</w:t>
      </w:r>
      <w:r w:rsidRPr="002B2D4B">
        <w:rPr>
          <w:rFonts w:ascii="Times New Roman" w:hAnsi="Times New Roman"/>
          <w:sz w:val="24"/>
          <w:szCs w:val="24"/>
        </w:rPr>
        <w:t xml:space="preserve">), FMCSA published a notice in the Federal Register requesting public comments on this proposed new ICR.  </w:t>
      </w:r>
      <w:r w:rsidR="009D63DF">
        <w:rPr>
          <w:rFonts w:ascii="Times New Roman" w:hAnsi="Times New Roman"/>
          <w:sz w:val="24"/>
          <w:szCs w:val="24"/>
        </w:rPr>
        <w:t>The FMCSA received no comments in response to this notice.</w:t>
      </w:r>
      <w:r w:rsidRPr="002B2D4B">
        <w:rPr>
          <w:rFonts w:ascii="Times New Roman" w:hAnsi="Times New Roman"/>
          <w:sz w:val="24"/>
          <w:szCs w:val="24"/>
        </w:rPr>
        <w:t xml:space="preserve">   </w:t>
      </w:r>
    </w:p>
    <w:p w:rsidR="002B2D4B" w:rsidRPr="002B2D4B" w:rsidRDefault="002B2D4B" w:rsidP="002B2D4B">
      <w:pPr>
        <w:widowControl/>
        <w:ind w:left="360"/>
        <w:rPr>
          <w:rFonts w:ascii="Times New Roman" w:hAnsi="Times New Roman"/>
          <w:sz w:val="24"/>
          <w:szCs w:val="24"/>
        </w:rPr>
      </w:pPr>
    </w:p>
    <w:p w:rsidR="002B2D4B" w:rsidRPr="006068EC" w:rsidRDefault="002B2D4B" w:rsidP="002B2D4B">
      <w:pPr>
        <w:widowControl/>
        <w:ind w:left="360"/>
        <w:rPr>
          <w:rFonts w:ascii="Times New Roman" w:hAnsi="Times New Roman"/>
          <w:b/>
        </w:rPr>
      </w:pPr>
      <w:r w:rsidRPr="002B2D4B">
        <w:rPr>
          <w:rFonts w:ascii="Times New Roman" w:hAnsi="Times New Roman"/>
          <w:sz w:val="24"/>
          <w:szCs w:val="24"/>
        </w:rPr>
        <w:t xml:space="preserve">FMCSA published a second notice on </w:t>
      </w:r>
      <w:r w:rsidR="00FA13F0">
        <w:rPr>
          <w:rFonts w:ascii="Times New Roman" w:hAnsi="Times New Roman"/>
          <w:sz w:val="24"/>
          <w:szCs w:val="24"/>
        </w:rPr>
        <w:t>August 1</w:t>
      </w:r>
      <w:r w:rsidRPr="002B2D4B">
        <w:rPr>
          <w:rFonts w:ascii="Times New Roman" w:hAnsi="Times New Roman"/>
          <w:sz w:val="24"/>
          <w:szCs w:val="24"/>
        </w:rPr>
        <w:t xml:space="preserve">, 2013 (78 FR </w:t>
      </w:r>
      <w:r w:rsidR="00FA13F0">
        <w:rPr>
          <w:rFonts w:ascii="Times New Roman" w:hAnsi="Times New Roman"/>
          <w:sz w:val="24"/>
          <w:szCs w:val="24"/>
        </w:rPr>
        <w:t>46677)</w:t>
      </w:r>
      <w:r w:rsidRPr="002B2D4B">
        <w:rPr>
          <w:rFonts w:ascii="Times New Roman" w:hAnsi="Times New Roman"/>
          <w:sz w:val="24"/>
          <w:szCs w:val="24"/>
        </w:rPr>
        <w:t xml:space="preserve"> (See Attachment </w:t>
      </w:r>
      <w:r w:rsidR="006A2261">
        <w:rPr>
          <w:rFonts w:ascii="Times New Roman" w:hAnsi="Times New Roman"/>
          <w:sz w:val="24"/>
          <w:szCs w:val="24"/>
        </w:rPr>
        <w:t>4</w:t>
      </w:r>
      <w:r w:rsidRPr="002B2D4B">
        <w:rPr>
          <w:rFonts w:ascii="Times New Roman" w:hAnsi="Times New Roman"/>
          <w:sz w:val="24"/>
          <w:szCs w:val="24"/>
        </w:rPr>
        <w:t>) with a 30-day comment period that announced this information collection w</w:t>
      </w:r>
      <w:r w:rsidR="00FA13F0">
        <w:rPr>
          <w:rFonts w:ascii="Times New Roman" w:hAnsi="Times New Roman"/>
          <w:sz w:val="24"/>
          <w:szCs w:val="24"/>
        </w:rPr>
        <w:t xml:space="preserve">ill </w:t>
      </w:r>
      <w:r w:rsidRPr="002B2D4B">
        <w:rPr>
          <w:rFonts w:ascii="Times New Roman" w:hAnsi="Times New Roman"/>
          <w:sz w:val="24"/>
          <w:szCs w:val="24"/>
        </w:rPr>
        <w:t xml:space="preserve">be submitted to OMB for approval.   </w:t>
      </w:r>
    </w:p>
    <w:p w:rsidR="000B3AF8" w:rsidRPr="006068EC" w:rsidRDefault="000B3AF8" w:rsidP="002B2D4B">
      <w:pPr>
        <w:widowControl/>
        <w:rPr>
          <w:rFonts w:ascii="Times New Roman" w:hAnsi="Times New Roman"/>
          <w:i/>
        </w:rPr>
      </w:pPr>
    </w:p>
    <w:p w:rsidR="00470720" w:rsidRPr="006068EC" w:rsidRDefault="00F358A1" w:rsidP="002B2D4B">
      <w:pPr>
        <w:widowControl/>
        <w:numPr>
          <w:ilvl w:val="0"/>
          <w:numId w:val="18"/>
        </w:numPr>
        <w:rPr>
          <w:rFonts w:ascii="Times New Roman" w:hAnsi="Times New Roman"/>
        </w:rPr>
      </w:pPr>
      <w:r w:rsidRPr="006068EC">
        <w:rPr>
          <w:rFonts w:ascii="Times New Roman" w:hAnsi="Times New Roman"/>
          <w:b/>
          <w:bCs/>
          <w:sz w:val="24"/>
          <w:szCs w:val="24"/>
        </w:rPr>
        <w:t>PAYMENTS OR GIFTS TO RESPONDENTS</w:t>
      </w:r>
      <w:r w:rsidR="00A613EE" w:rsidRPr="006068EC">
        <w:rPr>
          <w:rFonts w:ascii="Times New Roman" w:hAnsi="Times New Roman"/>
          <w:b/>
          <w:bCs/>
        </w:rPr>
        <w:br/>
      </w:r>
    </w:p>
    <w:p w:rsidR="00F358A1" w:rsidRPr="006068EC" w:rsidRDefault="00043CA1" w:rsidP="002B2D4B">
      <w:pPr>
        <w:widowControl/>
        <w:outlineLvl w:val="0"/>
        <w:rPr>
          <w:rFonts w:ascii="Times New Roman" w:hAnsi="Times New Roman"/>
          <w:sz w:val="24"/>
          <w:szCs w:val="24"/>
        </w:rPr>
      </w:pPr>
      <w:r w:rsidRPr="006068EC">
        <w:rPr>
          <w:rFonts w:ascii="Times New Roman" w:hAnsi="Times New Roman"/>
        </w:rPr>
        <w:t xml:space="preserve">        </w:t>
      </w:r>
      <w:r w:rsidRPr="006068EC">
        <w:rPr>
          <w:rFonts w:ascii="Times New Roman" w:hAnsi="Times New Roman"/>
          <w:sz w:val="24"/>
          <w:szCs w:val="24"/>
        </w:rPr>
        <w:t xml:space="preserve">No payments or gifts are provided.  </w:t>
      </w:r>
    </w:p>
    <w:p w:rsidR="008E4E78" w:rsidRPr="006068EC" w:rsidRDefault="008E4E78" w:rsidP="002B2D4B">
      <w:pPr>
        <w:widowControl/>
        <w:rPr>
          <w:rFonts w:ascii="Times New Roman" w:hAnsi="Times New Roman"/>
        </w:rPr>
      </w:pPr>
    </w:p>
    <w:p w:rsidR="00546B07" w:rsidRPr="00546B07" w:rsidRDefault="00F358A1" w:rsidP="002B2D4B">
      <w:pPr>
        <w:widowControl/>
        <w:numPr>
          <w:ilvl w:val="0"/>
          <w:numId w:val="18"/>
        </w:numPr>
        <w:rPr>
          <w:rFonts w:ascii="Times New Roman" w:hAnsi="Times New Roman"/>
          <w:sz w:val="24"/>
          <w:szCs w:val="24"/>
        </w:rPr>
      </w:pPr>
      <w:r w:rsidRPr="006068EC">
        <w:rPr>
          <w:rFonts w:ascii="Times New Roman" w:hAnsi="Times New Roman"/>
          <w:b/>
          <w:bCs/>
          <w:sz w:val="24"/>
          <w:szCs w:val="24"/>
        </w:rPr>
        <w:t>ASSURANCE OF CONFIDENTIALITY</w:t>
      </w:r>
    </w:p>
    <w:p w:rsidR="000B3AF8" w:rsidRPr="00546B07" w:rsidRDefault="00F92057" w:rsidP="00546B07">
      <w:pPr>
        <w:widowControl/>
        <w:ind w:left="360"/>
        <w:rPr>
          <w:rFonts w:ascii="Times New Roman" w:hAnsi="Times New Roman"/>
          <w:sz w:val="24"/>
          <w:szCs w:val="24"/>
        </w:rPr>
      </w:pPr>
      <w:r w:rsidRPr="00546B07">
        <w:rPr>
          <w:rFonts w:ascii="Times New Roman" w:hAnsi="Times New Roman"/>
          <w:sz w:val="24"/>
          <w:szCs w:val="24"/>
        </w:rPr>
        <w:br/>
      </w:r>
      <w:r w:rsidR="00DF4E1A" w:rsidRPr="00546B07">
        <w:rPr>
          <w:rFonts w:ascii="Times New Roman" w:hAnsi="Times New Roman"/>
          <w:sz w:val="24"/>
          <w:szCs w:val="24"/>
        </w:rPr>
        <w:t xml:space="preserve">There are no confidential reporting requirements associated with this </w:t>
      </w:r>
      <w:r w:rsidR="002B2D4B" w:rsidRPr="00546B07">
        <w:rPr>
          <w:rFonts w:ascii="Times New Roman" w:hAnsi="Times New Roman"/>
          <w:sz w:val="24"/>
          <w:szCs w:val="24"/>
        </w:rPr>
        <w:t>information collection</w:t>
      </w:r>
      <w:r w:rsidR="00DF4E1A" w:rsidRPr="00546B07">
        <w:rPr>
          <w:rFonts w:ascii="Times New Roman" w:hAnsi="Times New Roman"/>
          <w:sz w:val="24"/>
          <w:szCs w:val="24"/>
        </w:rPr>
        <w:t xml:space="preserve">.  The requirement is limited to marking vehicles </w:t>
      </w:r>
      <w:r w:rsidR="002B2D4B" w:rsidRPr="00546B07">
        <w:rPr>
          <w:rFonts w:ascii="Times New Roman" w:hAnsi="Times New Roman"/>
          <w:sz w:val="24"/>
          <w:szCs w:val="24"/>
        </w:rPr>
        <w:t>operated in interstate commerce with an FMCSA-furnished USDOT registration number</w:t>
      </w:r>
      <w:r w:rsidR="00DF4E1A" w:rsidRPr="00546B07">
        <w:rPr>
          <w:rFonts w:ascii="Times New Roman" w:hAnsi="Times New Roman"/>
          <w:sz w:val="24"/>
          <w:szCs w:val="24"/>
        </w:rPr>
        <w:t xml:space="preserve">. </w:t>
      </w:r>
    </w:p>
    <w:p w:rsidR="000B3AF8" w:rsidRPr="006068EC" w:rsidRDefault="000B3AF8" w:rsidP="002B2D4B">
      <w:pPr>
        <w:pStyle w:val="BodyText3"/>
        <w:widowControl/>
        <w:tabs>
          <w:tab w:val="clear" w:pos="-1440"/>
          <w:tab w:val="clear" w:pos="-720"/>
          <w:tab w:val="clear" w:pos="0"/>
          <w:tab w:val="clear" w:pos="288"/>
          <w:tab w:val="clear" w:pos="576"/>
          <w:tab w:val="clear" w:pos="720"/>
          <w:tab w:val="clear" w:pos="864"/>
          <w:tab w:val="clear" w:pos="1152"/>
          <w:tab w:val="clear" w:pos="1440"/>
          <w:tab w:val="clear" w:pos="1728"/>
          <w:tab w:val="clear" w:pos="2016"/>
          <w:tab w:val="clear" w:pos="2160"/>
          <w:tab w:val="clear" w:pos="2304"/>
          <w:tab w:val="clear" w:pos="2592"/>
          <w:tab w:val="clear" w:pos="2880"/>
          <w:tab w:val="clear" w:pos="3168"/>
          <w:tab w:val="clear" w:pos="3456"/>
          <w:tab w:val="clear" w:pos="3600"/>
          <w:tab w:val="clear" w:pos="3744"/>
        </w:tabs>
        <w:ind w:left="360"/>
        <w:rPr>
          <w:rFonts w:ascii="Times New Roman" w:hAnsi="Times New Roman"/>
          <w:bCs/>
          <w:color w:val="auto"/>
        </w:rPr>
      </w:pPr>
    </w:p>
    <w:p w:rsidR="00043CA1" w:rsidRPr="006068EC" w:rsidRDefault="00F358A1" w:rsidP="002B2D4B">
      <w:pPr>
        <w:widowControl/>
        <w:numPr>
          <w:ilvl w:val="0"/>
          <w:numId w:val="18"/>
        </w:numPr>
        <w:tabs>
          <w:tab w:val="left" w:pos="360"/>
        </w:tabs>
        <w:ind w:left="-180" w:firstLine="180"/>
        <w:rPr>
          <w:rFonts w:ascii="Times New Roman" w:hAnsi="Times New Roman"/>
          <w:i/>
          <w:sz w:val="24"/>
          <w:szCs w:val="24"/>
        </w:rPr>
      </w:pPr>
      <w:r w:rsidRPr="006068EC">
        <w:rPr>
          <w:rFonts w:ascii="Times New Roman" w:hAnsi="Times New Roman"/>
          <w:b/>
          <w:bCs/>
          <w:sz w:val="24"/>
          <w:szCs w:val="24"/>
        </w:rPr>
        <w:t>JUSTIFICATION FOR COLLECTION OF SENSITIVE INFORMATION</w:t>
      </w:r>
      <w:r w:rsidR="00470720" w:rsidRPr="006068EC">
        <w:rPr>
          <w:rFonts w:ascii="Times New Roman" w:hAnsi="Times New Roman"/>
        </w:rPr>
        <w:t xml:space="preserve"> </w:t>
      </w:r>
      <w:r w:rsidR="00A613EE" w:rsidRPr="006068EC">
        <w:rPr>
          <w:rFonts w:ascii="Times New Roman" w:hAnsi="Times New Roman"/>
        </w:rPr>
        <w:br/>
      </w:r>
    </w:p>
    <w:p w:rsidR="003E0C15" w:rsidRDefault="00DF4E1A" w:rsidP="002B2D4B">
      <w:pPr>
        <w:widowControl/>
        <w:ind w:left="360"/>
        <w:rPr>
          <w:rFonts w:ascii="Times New Roman" w:hAnsi="Times New Roman"/>
          <w:sz w:val="24"/>
          <w:szCs w:val="24"/>
        </w:rPr>
      </w:pPr>
      <w:r w:rsidRPr="006068EC">
        <w:rPr>
          <w:rFonts w:ascii="Times New Roman" w:hAnsi="Times New Roman"/>
          <w:sz w:val="24"/>
          <w:szCs w:val="24"/>
        </w:rPr>
        <w:t>The information requested and collected is not of a sensitive nature.</w:t>
      </w:r>
    </w:p>
    <w:p w:rsidR="008F4BDA" w:rsidRDefault="008F4BDA" w:rsidP="002B2D4B">
      <w:pPr>
        <w:widowControl/>
        <w:ind w:left="360"/>
        <w:rPr>
          <w:rFonts w:ascii="Times New Roman" w:hAnsi="Times New Roman"/>
          <w:sz w:val="24"/>
          <w:szCs w:val="24"/>
        </w:rPr>
      </w:pPr>
    </w:p>
    <w:p w:rsidR="008F4BDA" w:rsidRDefault="008F4BDA" w:rsidP="002B2D4B">
      <w:pPr>
        <w:widowControl/>
        <w:ind w:left="360"/>
        <w:rPr>
          <w:rFonts w:ascii="Times New Roman" w:hAnsi="Times New Roman"/>
          <w:sz w:val="24"/>
          <w:szCs w:val="24"/>
        </w:rPr>
      </w:pPr>
    </w:p>
    <w:p w:rsidR="000F1704" w:rsidRDefault="000F1704" w:rsidP="00A5738E">
      <w:pPr>
        <w:widowControl/>
        <w:tabs>
          <w:tab w:val="left" w:pos="360"/>
        </w:tabs>
        <w:rPr>
          <w:rFonts w:ascii="Times New Roman" w:hAnsi="Times New Roman"/>
          <w:b/>
          <w:bCs/>
          <w:sz w:val="24"/>
          <w:szCs w:val="24"/>
        </w:rPr>
      </w:pPr>
    </w:p>
    <w:p w:rsidR="000F1704" w:rsidRDefault="000F1704" w:rsidP="00A5738E">
      <w:pPr>
        <w:widowControl/>
        <w:tabs>
          <w:tab w:val="left" w:pos="360"/>
        </w:tabs>
        <w:rPr>
          <w:rFonts w:ascii="Times New Roman" w:hAnsi="Times New Roman"/>
          <w:b/>
          <w:bCs/>
          <w:sz w:val="24"/>
          <w:szCs w:val="24"/>
        </w:rPr>
      </w:pPr>
    </w:p>
    <w:p w:rsidR="008F4BDA" w:rsidRPr="008F4BDA" w:rsidRDefault="008F4BDA" w:rsidP="00A5738E">
      <w:pPr>
        <w:widowControl/>
        <w:tabs>
          <w:tab w:val="left" w:pos="360"/>
        </w:tabs>
        <w:rPr>
          <w:rFonts w:ascii="Times New Roman" w:hAnsi="Times New Roman"/>
          <w:b/>
          <w:bCs/>
          <w:sz w:val="24"/>
          <w:szCs w:val="24"/>
        </w:rPr>
      </w:pPr>
      <w:r w:rsidRPr="008F4BDA">
        <w:rPr>
          <w:rFonts w:ascii="Times New Roman" w:hAnsi="Times New Roman"/>
          <w:b/>
          <w:bCs/>
          <w:sz w:val="24"/>
          <w:szCs w:val="24"/>
        </w:rPr>
        <w:t>12. ESTIMATE OF BURDEN HOURS FOR INFORMATION REQUESTED</w:t>
      </w:r>
    </w:p>
    <w:p w:rsidR="008F4BDA" w:rsidRPr="008F4BDA" w:rsidRDefault="008F4BDA" w:rsidP="008F4BDA">
      <w:pPr>
        <w:widowControl/>
        <w:tabs>
          <w:tab w:val="left" w:pos="360"/>
        </w:tabs>
        <w:ind w:firstLine="360"/>
        <w:rPr>
          <w:rFonts w:ascii="Times New Roman" w:hAnsi="Times New Roman"/>
          <w:b/>
          <w:bCs/>
          <w:sz w:val="24"/>
          <w:szCs w:val="24"/>
        </w:rPr>
      </w:pPr>
    </w:p>
    <w:p w:rsidR="008F4BDA" w:rsidRPr="008F4BDA" w:rsidRDefault="008F4BDA" w:rsidP="008F4BDA">
      <w:pPr>
        <w:widowControl/>
        <w:tabs>
          <w:tab w:val="left" w:pos="360"/>
        </w:tabs>
        <w:ind w:firstLine="360"/>
        <w:rPr>
          <w:rFonts w:ascii="Times New Roman" w:hAnsi="Times New Roman"/>
          <w:bCs/>
          <w:sz w:val="24"/>
          <w:szCs w:val="24"/>
        </w:rPr>
      </w:pPr>
      <w:r w:rsidRPr="008F4BDA">
        <w:rPr>
          <w:rFonts w:ascii="Times New Roman" w:hAnsi="Times New Roman"/>
          <w:bCs/>
          <w:sz w:val="24"/>
          <w:szCs w:val="24"/>
        </w:rPr>
        <w:t xml:space="preserve">The estimate of burden hours depends on four factors: the type of entity, size of entity, type </w:t>
      </w:r>
      <w:r w:rsidRPr="008F4BDA">
        <w:rPr>
          <w:rFonts w:ascii="Times New Roman" w:hAnsi="Times New Roman"/>
          <w:bCs/>
          <w:sz w:val="24"/>
          <w:szCs w:val="24"/>
        </w:rPr>
        <w:tab/>
        <w:t>of vehicle ownership (owned vs. leased), and the type of marking.</w:t>
      </w:r>
    </w:p>
    <w:p w:rsidR="008F4BDA" w:rsidRPr="008F4BDA" w:rsidRDefault="008F4BDA" w:rsidP="008F4BDA">
      <w:pPr>
        <w:widowControl/>
        <w:tabs>
          <w:tab w:val="left" w:pos="360"/>
        </w:tabs>
        <w:ind w:firstLine="360"/>
        <w:rPr>
          <w:rFonts w:ascii="Times New Roman" w:hAnsi="Times New Roman"/>
          <w:bCs/>
          <w:sz w:val="24"/>
          <w:szCs w:val="24"/>
        </w:rPr>
      </w:pPr>
    </w:p>
    <w:p w:rsidR="008F4BDA" w:rsidRPr="008F4BDA" w:rsidRDefault="008F4BDA" w:rsidP="008F4BDA">
      <w:pPr>
        <w:widowControl/>
        <w:tabs>
          <w:tab w:val="left" w:pos="360"/>
        </w:tabs>
        <w:rPr>
          <w:rFonts w:ascii="Times New Roman" w:hAnsi="Times New Roman"/>
          <w:b/>
          <w:bCs/>
          <w:sz w:val="24"/>
          <w:szCs w:val="24"/>
        </w:rPr>
      </w:pPr>
      <w:r w:rsidRPr="008F4BDA">
        <w:rPr>
          <w:rFonts w:ascii="Times New Roman" w:hAnsi="Times New Roman"/>
          <w:bCs/>
          <w:sz w:val="24"/>
          <w:szCs w:val="24"/>
        </w:rPr>
        <w:tab/>
      </w:r>
      <w:r w:rsidRPr="008F4BDA">
        <w:rPr>
          <w:rFonts w:ascii="Times New Roman" w:hAnsi="Times New Roman"/>
          <w:b/>
          <w:bCs/>
          <w:sz w:val="24"/>
          <w:szCs w:val="24"/>
        </w:rPr>
        <w:t>Component 1: Freight-carrying commercial motor carriers (i.e., trucking companies)</w:t>
      </w:r>
    </w:p>
    <w:p w:rsidR="008F4BDA" w:rsidRPr="008F4BDA" w:rsidRDefault="008F4BDA" w:rsidP="008F4BDA">
      <w:pPr>
        <w:widowControl/>
        <w:tabs>
          <w:tab w:val="left" w:pos="360"/>
        </w:tabs>
        <w:rPr>
          <w:rFonts w:ascii="Times New Roman" w:hAnsi="Times New Roman"/>
          <w:b/>
          <w:bCs/>
          <w:sz w:val="24"/>
          <w:szCs w:val="24"/>
        </w:rPr>
      </w:pPr>
    </w:p>
    <w:p w:rsidR="008F4BDA" w:rsidRPr="008F4BDA" w:rsidRDefault="008F4BDA" w:rsidP="008F4BDA">
      <w:pPr>
        <w:widowControl/>
        <w:numPr>
          <w:ilvl w:val="0"/>
          <w:numId w:val="35"/>
        </w:numPr>
        <w:tabs>
          <w:tab w:val="left" w:pos="360"/>
        </w:tabs>
        <w:ind w:hanging="720"/>
        <w:rPr>
          <w:rFonts w:ascii="Times New Roman" w:hAnsi="Times New Roman"/>
          <w:bCs/>
          <w:sz w:val="24"/>
          <w:szCs w:val="24"/>
        </w:rPr>
      </w:pPr>
      <w:r w:rsidRPr="008F4BDA">
        <w:rPr>
          <w:rFonts w:ascii="Times New Roman" w:hAnsi="Times New Roman"/>
          <w:bCs/>
          <w:sz w:val="24"/>
          <w:szCs w:val="24"/>
        </w:rPr>
        <w:t>Small carriers are assumed to use individual stencil kits.</w:t>
      </w:r>
    </w:p>
    <w:p w:rsidR="008F4BDA" w:rsidRPr="008F4BDA" w:rsidRDefault="008F4BDA" w:rsidP="008F4BDA">
      <w:pPr>
        <w:widowControl/>
        <w:numPr>
          <w:ilvl w:val="0"/>
          <w:numId w:val="35"/>
        </w:numPr>
        <w:tabs>
          <w:tab w:val="left" w:pos="360"/>
        </w:tabs>
        <w:ind w:hanging="720"/>
        <w:rPr>
          <w:rFonts w:ascii="Times New Roman" w:hAnsi="Times New Roman"/>
          <w:bCs/>
          <w:sz w:val="24"/>
          <w:szCs w:val="24"/>
        </w:rPr>
      </w:pPr>
      <w:r w:rsidRPr="008F4BDA">
        <w:rPr>
          <w:rFonts w:ascii="Times New Roman" w:hAnsi="Times New Roman"/>
          <w:bCs/>
          <w:sz w:val="24"/>
          <w:szCs w:val="24"/>
        </w:rPr>
        <w:t>Medium carriers are assumed to use larger stencil kits.</w:t>
      </w:r>
    </w:p>
    <w:p w:rsidR="008F4BDA" w:rsidRPr="008F4BDA" w:rsidRDefault="008F4BDA" w:rsidP="008F4BDA">
      <w:pPr>
        <w:widowControl/>
        <w:numPr>
          <w:ilvl w:val="0"/>
          <w:numId w:val="35"/>
        </w:numPr>
        <w:tabs>
          <w:tab w:val="left" w:pos="360"/>
        </w:tabs>
        <w:ind w:hanging="720"/>
        <w:rPr>
          <w:rFonts w:ascii="Times New Roman" w:hAnsi="Times New Roman"/>
          <w:bCs/>
          <w:sz w:val="24"/>
          <w:szCs w:val="24"/>
        </w:rPr>
      </w:pPr>
      <w:r w:rsidRPr="008F4BDA">
        <w:rPr>
          <w:rFonts w:ascii="Times New Roman" w:hAnsi="Times New Roman"/>
          <w:bCs/>
          <w:sz w:val="24"/>
          <w:szCs w:val="24"/>
        </w:rPr>
        <w:t>Large carriers are assumed to use individually developed decals.</w:t>
      </w:r>
    </w:p>
    <w:p w:rsidR="008F4BDA" w:rsidRPr="008F4BDA" w:rsidRDefault="008F4BDA" w:rsidP="008F4BDA">
      <w:pPr>
        <w:widowControl/>
        <w:tabs>
          <w:tab w:val="left" w:pos="360"/>
        </w:tabs>
        <w:ind w:left="1800"/>
        <w:rPr>
          <w:rFonts w:ascii="Times New Roman" w:hAnsi="Times New Roman"/>
          <w:bCs/>
          <w:sz w:val="24"/>
          <w:szCs w:val="24"/>
        </w:rPr>
      </w:pPr>
    </w:p>
    <w:p w:rsidR="008F4BDA" w:rsidRPr="008F4BDA" w:rsidRDefault="008F4BDA" w:rsidP="008F4BDA">
      <w:pPr>
        <w:widowControl/>
        <w:tabs>
          <w:tab w:val="left" w:pos="360"/>
        </w:tabs>
        <w:ind w:left="360"/>
        <w:rPr>
          <w:rFonts w:ascii="Times New Roman" w:hAnsi="Times New Roman"/>
          <w:bCs/>
          <w:sz w:val="24"/>
          <w:szCs w:val="24"/>
        </w:rPr>
      </w:pPr>
      <w:r w:rsidRPr="008F4BDA">
        <w:rPr>
          <w:rFonts w:ascii="Times New Roman" w:hAnsi="Times New Roman"/>
          <w:bCs/>
          <w:sz w:val="24"/>
          <w:szCs w:val="24"/>
        </w:rPr>
        <w:t>The estimated average time for affixing a DOT number is 12 minutes (assuming an average of 7 digits), and the estimated average time for affixing a carrier name is 14 minutes (assuming an average of 21 alphanumeric characters); these estimates incorporate a number of factors that vary, including marking via stencils versus decals, amount of cleaning required, weather, and whether a new or existing vehicle is being marked.</w:t>
      </w:r>
      <w:r w:rsidRPr="008F4BDA">
        <w:rPr>
          <w:rFonts w:ascii="Times New Roman" w:hAnsi="Times New Roman"/>
          <w:bCs/>
          <w:sz w:val="24"/>
          <w:szCs w:val="24"/>
          <w:vertAlign w:val="superscript"/>
        </w:rPr>
        <w:footnoteReference w:id="1"/>
      </w:r>
      <w:r w:rsidRPr="008F4BDA">
        <w:rPr>
          <w:rFonts w:ascii="Times New Roman" w:hAnsi="Times New Roman"/>
          <w:bCs/>
          <w:sz w:val="24"/>
          <w:szCs w:val="24"/>
        </w:rPr>
        <w:t xml:space="preserve">  (These estimates are based on responses to the Federal Highway Administration [FHWA, the predecessor organization to the FMCSA] interviews with metropolitan Washington, D.C. signage companies and Agency employees formerly employed by the motor carrier industry, which were undertaken during the original rulemaking process.  This rule was published July 3, 2000.</w:t>
      </w:r>
      <w:r w:rsidRPr="008F4BDA">
        <w:rPr>
          <w:rFonts w:ascii="Times New Roman" w:hAnsi="Times New Roman"/>
          <w:bCs/>
          <w:sz w:val="24"/>
          <w:szCs w:val="24"/>
          <w:vertAlign w:val="superscript"/>
        </w:rPr>
        <w:footnoteReference w:id="2"/>
      </w:r>
      <w:r w:rsidRPr="008F4BDA">
        <w:rPr>
          <w:rFonts w:ascii="Times New Roman" w:hAnsi="Times New Roman"/>
          <w:bCs/>
          <w:sz w:val="24"/>
          <w:szCs w:val="24"/>
        </w:rPr>
        <w:t xml:space="preserve">) The combined total is 26 minutes. </w:t>
      </w:r>
    </w:p>
    <w:p w:rsidR="008F4BDA" w:rsidRPr="008F4BDA" w:rsidRDefault="008F4BDA" w:rsidP="008F4BDA">
      <w:pPr>
        <w:widowControl/>
        <w:tabs>
          <w:tab w:val="left" w:pos="360"/>
        </w:tabs>
        <w:ind w:left="360"/>
        <w:rPr>
          <w:rFonts w:ascii="Times New Roman" w:hAnsi="Times New Roman"/>
          <w:bCs/>
          <w:sz w:val="24"/>
          <w:szCs w:val="24"/>
        </w:rPr>
      </w:pPr>
    </w:p>
    <w:p w:rsidR="008F4BDA" w:rsidRPr="008F4BDA" w:rsidRDefault="008F4BDA" w:rsidP="008F4BDA">
      <w:pPr>
        <w:widowControl/>
        <w:tabs>
          <w:tab w:val="left" w:pos="360"/>
        </w:tabs>
        <w:ind w:left="360"/>
        <w:rPr>
          <w:rFonts w:ascii="Times New Roman" w:hAnsi="Times New Roman"/>
          <w:bCs/>
          <w:sz w:val="24"/>
          <w:szCs w:val="24"/>
        </w:rPr>
      </w:pPr>
      <w:r w:rsidRPr="008F4BDA">
        <w:rPr>
          <w:rFonts w:ascii="Times New Roman" w:hAnsi="Times New Roman"/>
          <w:bCs/>
          <w:sz w:val="24"/>
          <w:szCs w:val="24"/>
        </w:rPr>
        <w:t>FMCSA’s Motor Carrier Management Information System (MCMIS) database indicates that there are 495,000 freight carriers comprised of 3,777,000 CMVs, as of an August 24, 2012 snapshot. (Both figures are rounded.)</w:t>
      </w:r>
    </w:p>
    <w:p w:rsidR="008F4BDA" w:rsidRPr="008F4BDA" w:rsidRDefault="008F4BDA" w:rsidP="008F4BDA">
      <w:pPr>
        <w:widowControl/>
        <w:tabs>
          <w:tab w:val="left" w:pos="360"/>
        </w:tabs>
        <w:ind w:left="360"/>
        <w:rPr>
          <w:rFonts w:ascii="Times New Roman" w:hAnsi="Times New Roman"/>
          <w:bCs/>
          <w:sz w:val="24"/>
          <w:szCs w:val="24"/>
        </w:rPr>
      </w:pPr>
    </w:p>
    <w:p w:rsidR="008F4BDA" w:rsidRPr="008F4BDA" w:rsidRDefault="008F4BDA" w:rsidP="008F4BDA">
      <w:pPr>
        <w:widowControl/>
        <w:tabs>
          <w:tab w:val="left" w:pos="360"/>
        </w:tabs>
        <w:ind w:left="360"/>
        <w:rPr>
          <w:rFonts w:ascii="Times New Roman" w:hAnsi="Times New Roman"/>
          <w:bCs/>
          <w:sz w:val="24"/>
          <w:szCs w:val="24"/>
        </w:rPr>
      </w:pPr>
      <w:r w:rsidRPr="008F4BDA">
        <w:rPr>
          <w:rFonts w:ascii="Times New Roman" w:hAnsi="Times New Roman"/>
          <w:bCs/>
          <w:sz w:val="24"/>
          <w:szCs w:val="24"/>
        </w:rPr>
        <w:t>The U.S. Department of Transportation’s National Highway Traffic Safety Administration (NHTSA) published a report in 1994 which suggests that the average operational life of a heavy-duty commercial motor vehicle was 14.7 years.</w:t>
      </w:r>
      <w:r w:rsidRPr="008F4BDA">
        <w:rPr>
          <w:rFonts w:ascii="Times New Roman" w:hAnsi="Times New Roman"/>
          <w:bCs/>
          <w:sz w:val="24"/>
          <w:szCs w:val="24"/>
          <w:vertAlign w:val="superscript"/>
        </w:rPr>
        <w:footnoteReference w:id="3"/>
      </w:r>
      <w:r w:rsidRPr="008F4BDA">
        <w:rPr>
          <w:rFonts w:ascii="Times New Roman" w:hAnsi="Times New Roman"/>
          <w:bCs/>
          <w:sz w:val="24"/>
          <w:szCs w:val="24"/>
        </w:rPr>
        <w:t xml:space="preserve"> Therefore, the Agency assumes that one new freight-carrying CMV is acquired every 14.7 years (i.e., approximately 6.8 percent of all freight-carrying CMVs are replaced with new CMVs every year). </w:t>
      </w:r>
    </w:p>
    <w:p w:rsidR="008F4BDA" w:rsidRPr="008F4BDA" w:rsidRDefault="008F4BDA" w:rsidP="008F4BDA">
      <w:pPr>
        <w:widowControl/>
        <w:tabs>
          <w:tab w:val="left" w:pos="360"/>
        </w:tabs>
        <w:ind w:left="360"/>
        <w:rPr>
          <w:rFonts w:ascii="Times New Roman" w:hAnsi="Times New Roman"/>
          <w:bCs/>
          <w:sz w:val="24"/>
          <w:szCs w:val="24"/>
        </w:rPr>
      </w:pPr>
    </w:p>
    <w:p w:rsidR="008F4BDA" w:rsidRPr="008F4BDA" w:rsidRDefault="008F4BDA" w:rsidP="008F4BDA">
      <w:pPr>
        <w:widowControl/>
        <w:tabs>
          <w:tab w:val="left" w:pos="360"/>
        </w:tabs>
        <w:ind w:left="360"/>
        <w:rPr>
          <w:rFonts w:ascii="Times New Roman" w:hAnsi="Times New Roman"/>
          <w:bCs/>
          <w:sz w:val="24"/>
          <w:szCs w:val="24"/>
        </w:rPr>
      </w:pPr>
      <w:r w:rsidRPr="008F4BDA">
        <w:rPr>
          <w:rFonts w:ascii="Times New Roman" w:hAnsi="Times New Roman"/>
          <w:bCs/>
          <w:sz w:val="24"/>
          <w:szCs w:val="24"/>
        </w:rPr>
        <w:t xml:space="preserve">In addition, the Final Regulatory Evaluation for the FMCSA’s </w:t>
      </w:r>
      <w:r w:rsidRPr="008F4BDA">
        <w:rPr>
          <w:rFonts w:ascii="Times New Roman" w:hAnsi="Times New Roman"/>
          <w:bCs/>
          <w:i/>
          <w:sz w:val="24"/>
          <w:szCs w:val="24"/>
        </w:rPr>
        <w:t>Inspection, Repair, and Maintenance Requirements for Intermodal Equipment Providers</w:t>
      </w:r>
      <w:r w:rsidRPr="008F4BDA">
        <w:rPr>
          <w:rFonts w:ascii="Times New Roman" w:hAnsi="Times New Roman"/>
          <w:bCs/>
          <w:sz w:val="24"/>
          <w:szCs w:val="24"/>
        </w:rPr>
        <w:t xml:space="preserve"> suggests that the average life of a weatherproof vinyl label (as attached to an IEP) is 3 years.</w:t>
      </w:r>
      <w:bookmarkStart w:id="1" w:name="_Ref351044505"/>
      <w:r w:rsidRPr="008F4BDA">
        <w:rPr>
          <w:rFonts w:ascii="Times New Roman" w:hAnsi="Times New Roman"/>
          <w:bCs/>
          <w:sz w:val="24"/>
          <w:szCs w:val="24"/>
          <w:vertAlign w:val="superscript"/>
        </w:rPr>
        <w:footnoteReference w:id="4"/>
      </w:r>
      <w:bookmarkEnd w:id="1"/>
      <w:r w:rsidRPr="008F4BDA">
        <w:rPr>
          <w:rFonts w:ascii="Times New Roman" w:hAnsi="Times New Roman"/>
          <w:bCs/>
          <w:sz w:val="24"/>
          <w:szCs w:val="24"/>
        </w:rPr>
        <w:t xml:space="preserve"> Without more authoritative information on the lifetimes of both freight-carrying motor vehicles and other types of labeling (e.g., paper), the Agency uses these as estimates of all freight-carrying </w:t>
      </w:r>
      <w:r w:rsidRPr="008F4BDA">
        <w:rPr>
          <w:rFonts w:ascii="Times New Roman" w:hAnsi="Times New Roman"/>
          <w:bCs/>
          <w:sz w:val="24"/>
          <w:szCs w:val="24"/>
        </w:rPr>
        <w:lastRenderedPageBreak/>
        <w:t xml:space="preserve">CMVs and all types of labels (realizing that some labels will likely last less than 3 years [e.g., paper] and some will likely last more than 3 years). </w:t>
      </w:r>
    </w:p>
    <w:p w:rsidR="008F4BDA" w:rsidRPr="008F4BDA" w:rsidRDefault="008F4BDA" w:rsidP="008F4BDA">
      <w:pPr>
        <w:widowControl/>
        <w:tabs>
          <w:tab w:val="left" w:pos="360"/>
        </w:tabs>
        <w:ind w:left="360"/>
        <w:rPr>
          <w:rFonts w:ascii="Times New Roman" w:hAnsi="Times New Roman"/>
          <w:bCs/>
          <w:sz w:val="24"/>
          <w:szCs w:val="24"/>
        </w:rPr>
      </w:pPr>
    </w:p>
    <w:p w:rsidR="008F4BDA" w:rsidRPr="008F4BDA" w:rsidRDefault="008F4BDA" w:rsidP="008F4BDA">
      <w:pPr>
        <w:widowControl/>
        <w:tabs>
          <w:tab w:val="left" w:pos="360"/>
        </w:tabs>
        <w:ind w:left="360"/>
        <w:rPr>
          <w:rFonts w:ascii="Times New Roman" w:hAnsi="Times New Roman"/>
          <w:bCs/>
          <w:sz w:val="24"/>
          <w:szCs w:val="24"/>
        </w:rPr>
      </w:pPr>
      <w:r w:rsidRPr="008F4BDA">
        <w:rPr>
          <w:rFonts w:ascii="Times New Roman" w:hAnsi="Times New Roman"/>
          <w:bCs/>
          <w:sz w:val="24"/>
          <w:szCs w:val="24"/>
        </w:rPr>
        <w:t>As noted previously, the average useful life of a label of 3 years is used in this analysis; further, because of the absence of more reliable data on the sale and resale of used freight carrying CMVs, for purposes of this analysis and to simplify calculations, the Agency assumes that the average turnover of these vehicles is not more frequent than once every 3 years. The implication of this assumption is that one-third of freight-carrying CMVs are either resold in a secondary market and undergo re-identification or are retained by the owner and undergo relabeling (due to the label reaching the end of its useful life). This implication is employed in the calculation of impacted freight-carrying CMVs.</w:t>
      </w:r>
    </w:p>
    <w:p w:rsidR="008F4BDA" w:rsidRPr="008F4BDA" w:rsidRDefault="008F4BDA" w:rsidP="008F4BDA">
      <w:pPr>
        <w:widowControl/>
        <w:tabs>
          <w:tab w:val="left" w:pos="360"/>
        </w:tabs>
        <w:ind w:left="360"/>
        <w:rPr>
          <w:rFonts w:ascii="Times New Roman" w:hAnsi="Times New Roman"/>
          <w:bCs/>
          <w:sz w:val="24"/>
          <w:szCs w:val="24"/>
        </w:rPr>
      </w:pPr>
    </w:p>
    <w:p w:rsidR="008F4BDA" w:rsidRPr="008F4BDA" w:rsidRDefault="008F4BDA" w:rsidP="008F4BDA">
      <w:pPr>
        <w:widowControl/>
        <w:tabs>
          <w:tab w:val="left" w:pos="360"/>
        </w:tabs>
        <w:ind w:left="360"/>
        <w:rPr>
          <w:rFonts w:ascii="Times New Roman" w:hAnsi="Times New Roman"/>
          <w:bCs/>
          <w:sz w:val="24"/>
          <w:szCs w:val="24"/>
        </w:rPr>
      </w:pPr>
      <w:r w:rsidRPr="008F4BDA">
        <w:rPr>
          <w:rFonts w:ascii="Times New Roman" w:hAnsi="Times New Roman"/>
          <w:bCs/>
          <w:sz w:val="24"/>
          <w:szCs w:val="24"/>
        </w:rPr>
        <w:t xml:space="preserve">With these assumptions in mind, the Agency estimates the number of newly-acquired </w:t>
      </w:r>
      <w:r w:rsidRPr="00350388">
        <w:rPr>
          <w:rFonts w:ascii="Times New Roman" w:hAnsi="Times New Roman"/>
          <w:bCs/>
          <w:i/>
          <w:sz w:val="24"/>
          <w:szCs w:val="24"/>
        </w:rPr>
        <w:t>freight-carrying CMVs to be 257,000 per year (3,777,000 total freight carrying CMVs ÷ 14.7 years average freight-carrying CMV operational life, rounded to the nearest thousand). The number</w:t>
      </w:r>
      <w:r w:rsidRPr="008F4BDA">
        <w:rPr>
          <w:rFonts w:ascii="Times New Roman" w:hAnsi="Times New Roman"/>
          <w:bCs/>
          <w:sz w:val="24"/>
          <w:szCs w:val="24"/>
        </w:rPr>
        <w:t xml:space="preserve"> of resold and re-identified freight-carrying CMVs is estimated to be 1,173,000 per year ([3,777,000 total freight carrying CMVs – 257,000 newly acquired CMVs] ÷ 3 years average re-identification rate, rounded to the nearest thousand). This results in an estimated 1,430,000 freight-carrying CMVs (257,000 + 1,173,000) impacted by marking requirements annually.</w:t>
      </w:r>
    </w:p>
    <w:p w:rsidR="008F4BDA" w:rsidRPr="008F4BDA" w:rsidRDefault="008F4BDA" w:rsidP="008F4BDA">
      <w:pPr>
        <w:widowControl/>
        <w:tabs>
          <w:tab w:val="left" w:pos="360"/>
        </w:tabs>
        <w:rPr>
          <w:rFonts w:ascii="Times New Roman" w:hAnsi="Times New Roman"/>
          <w:bCs/>
          <w:sz w:val="24"/>
          <w:szCs w:val="24"/>
        </w:rPr>
      </w:pPr>
    </w:p>
    <w:p w:rsidR="008F4BDA" w:rsidRPr="008F4BDA" w:rsidRDefault="008F4BDA" w:rsidP="008F4BDA">
      <w:pPr>
        <w:widowControl/>
        <w:tabs>
          <w:tab w:val="left" w:pos="360"/>
        </w:tabs>
        <w:ind w:left="360"/>
        <w:rPr>
          <w:rFonts w:ascii="Times New Roman" w:hAnsi="Times New Roman"/>
          <w:bCs/>
          <w:sz w:val="24"/>
          <w:szCs w:val="24"/>
        </w:rPr>
      </w:pPr>
      <w:r w:rsidRPr="008F4BDA">
        <w:rPr>
          <w:rFonts w:ascii="Times New Roman" w:hAnsi="Times New Roman"/>
          <w:bCs/>
          <w:sz w:val="24"/>
          <w:szCs w:val="24"/>
        </w:rPr>
        <w:t xml:space="preserve">The estimated 1,430,000 freight-carrying CMVs impacted by the marking requirements are expected to generate </w:t>
      </w:r>
      <w:r w:rsidRPr="008F4BDA">
        <w:rPr>
          <w:rFonts w:ascii="Times New Roman" w:hAnsi="Times New Roman"/>
          <w:b/>
          <w:bCs/>
          <w:sz w:val="24"/>
          <w:szCs w:val="24"/>
        </w:rPr>
        <w:t xml:space="preserve">1,430,000 </w:t>
      </w:r>
      <w:r w:rsidRPr="008F4BDA">
        <w:rPr>
          <w:rFonts w:ascii="Times New Roman" w:hAnsi="Times New Roman"/>
          <w:bCs/>
          <w:sz w:val="24"/>
          <w:szCs w:val="24"/>
        </w:rPr>
        <w:t>responses</w:t>
      </w:r>
      <w:r w:rsidRPr="008F4BDA">
        <w:rPr>
          <w:rFonts w:ascii="Times New Roman" w:hAnsi="Times New Roman"/>
          <w:b/>
          <w:bCs/>
          <w:sz w:val="24"/>
          <w:szCs w:val="24"/>
        </w:rPr>
        <w:t xml:space="preserve"> </w:t>
      </w:r>
      <w:r w:rsidRPr="008F4BDA">
        <w:rPr>
          <w:rFonts w:ascii="Times New Roman" w:hAnsi="Times New Roman"/>
          <w:bCs/>
          <w:sz w:val="24"/>
          <w:szCs w:val="24"/>
        </w:rPr>
        <w:t>annually.</w:t>
      </w:r>
    </w:p>
    <w:p w:rsidR="008F4BDA" w:rsidRPr="008F4BDA" w:rsidRDefault="008F4BDA" w:rsidP="008F4BDA">
      <w:pPr>
        <w:widowControl/>
        <w:tabs>
          <w:tab w:val="left" w:pos="360"/>
        </w:tabs>
        <w:ind w:left="360"/>
        <w:rPr>
          <w:rFonts w:ascii="Times New Roman" w:hAnsi="Times New Roman"/>
          <w:bCs/>
          <w:sz w:val="24"/>
          <w:szCs w:val="24"/>
        </w:rPr>
      </w:pPr>
    </w:p>
    <w:p w:rsidR="008F4BDA" w:rsidRPr="008F4BDA" w:rsidRDefault="008F4BDA" w:rsidP="008F4BDA">
      <w:pPr>
        <w:widowControl/>
        <w:tabs>
          <w:tab w:val="left" w:pos="360"/>
        </w:tabs>
        <w:ind w:left="360"/>
        <w:rPr>
          <w:rFonts w:ascii="Times New Roman" w:hAnsi="Times New Roman"/>
          <w:bCs/>
          <w:sz w:val="24"/>
          <w:szCs w:val="24"/>
        </w:rPr>
      </w:pPr>
      <w:r w:rsidRPr="008F4BDA">
        <w:rPr>
          <w:rFonts w:ascii="Times New Roman" w:hAnsi="Times New Roman"/>
          <w:bCs/>
          <w:sz w:val="24"/>
          <w:szCs w:val="24"/>
        </w:rPr>
        <w:t xml:space="preserve">The estimated total number of annual burden hours (accounting for the total of CMVs) is </w:t>
      </w:r>
      <w:r w:rsidRPr="008F4BDA">
        <w:rPr>
          <w:rFonts w:ascii="Times New Roman" w:hAnsi="Times New Roman"/>
          <w:b/>
          <w:bCs/>
          <w:sz w:val="24"/>
          <w:szCs w:val="24"/>
        </w:rPr>
        <w:t>620,000</w:t>
      </w:r>
      <w:r w:rsidRPr="008F4BDA">
        <w:rPr>
          <w:rFonts w:ascii="Times New Roman" w:hAnsi="Times New Roman"/>
          <w:bCs/>
          <w:sz w:val="24"/>
          <w:szCs w:val="24"/>
        </w:rPr>
        <w:t xml:space="preserve"> (1,430,000 responses × 26/60 minutes per hour, rounded).  </w:t>
      </w:r>
    </w:p>
    <w:p w:rsidR="008F4BDA" w:rsidRPr="008F4BDA" w:rsidRDefault="008F4BDA" w:rsidP="008F4BDA">
      <w:pPr>
        <w:widowControl/>
        <w:tabs>
          <w:tab w:val="left" w:pos="360"/>
        </w:tabs>
        <w:ind w:left="360"/>
        <w:rPr>
          <w:rFonts w:ascii="Times New Roman" w:hAnsi="Times New Roman"/>
          <w:bCs/>
          <w:sz w:val="24"/>
          <w:szCs w:val="24"/>
        </w:rPr>
      </w:pPr>
    </w:p>
    <w:p w:rsidR="008F4BDA" w:rsidRPr="008F4BDA" w:rsidRDefault="008F4BDA" w:rsidP="008F4BDA">
      <w:pPr>
        <w:widowControl/>
        <w:tabs>
          <w:tab w:val="left" w:pos="360"/>
        </w:tabs>
        <w:ind w:left="360"/>
        <w:rPr>
          <w:rFonts w:ascii="Times New Roman" w:hAnsi="Times New Roman"/>
          <w:bCs/>
          <w:sz w:val="24"/>
          <w:szCs w:val="24"/>
        </w:rPr>
      </w:pPr>
      <w:r w:rsidRPr="008F4BDA">
        <w:rPr>
          <w:rFonts w:ascii="Times New Roman" w:hAnsi="Times New Roman"/>
          <w:bCs/>
          <w:sz w:val="24"/>
          <w:szCs w:val="24"/>
        </w:rPr>
        <w:t xml:space="preserve">The estimated total number of annual respondents (i.e., impacted freight-carrying motor carriers) is </w:t>
      </w:r>
      <w:r w:rsidRPr="008F4BDA">
        <w:rPr>
          <w:rFonts w:ascii="Times New Roman" w:hAnsi="Times New Roman"/>
          <w:b/>
          <w:bCs/>
          <w:sz w:val="24"/>
          <w:szCs w:val="24"/>
        </w:rPr>
        <w:t xml:space="preserve">187,000 </w:t>
      </w:r>
      <w:r w:rsidRPr="008F4BDA">
        <w:rPr>
          <w:rFonts w:ascii="Times New Roman" w:hAnsi="Times New Roman"/>
          <w:bCs/>
          <w:sz w:val="24"/>
          <w:szCs w:val="24"/>
        </w:rPr>
        <w:t>(1,430,000 impacted vehicles / 3,777,000 total vehicles × 495,000 total freight carriers, rounded to the nearest thousand).</w:t>
      </w:r>
    </w:p>
    <w:p w:rsidR="008F4BDA" w:rsidRPr="008F4BDA" w:rsidRDefault="008F4BDA" w:rsidP="008F4BDA">
      <w:pPr>
        <w:widowControl/>
        <w:tabs>
          <w:tab w:val="left" w:pos="360"/>
        </w:tabs>
        <w:ind w:left="1080"/>
        <w:rPr>
          <w:rFonts w:ascii="Times New Roman" w:hAnsi="Times New Roman"/>
          <w:bCs/>
          <w:sz w:val="24"/>
          <w:szCs w:val="24"/>
        </w:rPr>
      </w:pPr>
    </w:p>
    <w:p w:rsidR="008F4BDA" w:rsidRPr="008F4BDA" w:rsidRDefault="008F4BDA" w:rsidP="008F4BDA">
      <w:pPr>
        <w:widowControl/>
        <w:tabs>
          <w:tab w:val="left" w:pos="360"/>
        </w:tabs>
        <w:rPr>
          <w:rFonts w:ascii="Times New Roman" w:hAnsi="Times New Roman"/>
          <w:b/>
          <w:bCs/>
          <w:sz w:val="24"/>
          <w:szCs w:val="24"/>
        </w:rPr>
      </w:pPr>
      <w:r w:rsidRPr="008F4BDA">
        <w:rPr>
          <w:rFonts w:ascii="Times New Roman" w:hAnsi="Times New Roman"/>
          <w:bCs/>
          <w:sz w:val="24"/>
          <w:szCs w:val="24"/>
        </w:rPr>
        <w:tab/>
      </w:r>
      <w:r w:rsidRPr="008F4BDA">
        <w:rPr>
          <w:rFonts w:ascii="Times New Roman" w:hAnsi="Times New Roman"/>
          <w:b/>
          <w:bCs/>
          <w:sz w:val="24"/>
          <w:szCs w:val="24"/>
        </w:rPr>
        <w:t>Component 2: Passenger-carrying commercial motor carriers</w:t>
      </w:r>
    </w:p>
    <w:p w:rsidR="008F4BDA" w:rsidRPr="008F4BDA" w:rsidRDefault="008F4BDA" w:rsidP="008F4BDA">
      <w:pPr>
        <w:widowControl/>
        <w:tabs>
          <w:tab w:val="left" w:pos="1080"/>
        </w:tabs>
        <w:ind w:left="720"/>
        <w:rPr>
          <w:rFonts w:ascii="Times New Roman" w:hAnsi="Times New Roman"/>
          <w:bCs/>
          <w:sz w:val="24"/>
          <w:szCs w:val="24"/>
        </w:rPr>
      </w:pPr>
    </w:p>
    <w:p w:rsidR="008F4BDA" w:rsidRPr="008F4BDA" w:rsidRDefault="008F4BDA" w:rsidP="008F4BDA">
      <w:pPr>
        <w:widowControl/>
        <w:numPr>
          <w:ilvl w:val="0"/>
          <w:numId w:val="38"/>
        </w:numPr>
        <w:tabs>
          <w:tab w:val="left" w:pos="1080"/>
        </w:tabs>
        <w:rPr>
          <w:rFonts w:ascii="Times New Roman" w:hAnsi="Times New Roman"/>
          <w:bCs/>
          <w:sz w:val="24"/>
          <w:szCs w:val="24"/>
        </w:rPr>
      </w:pPr>
      <w:r w:rsidRPr="008F4BDA">
        <w:rPr>
          <w:rFonts w:ascii="Times New Roman" w:hAnsi="Times New Roman"/>
          <w:bCs/>
          <w:sz w:val="24"/>
          <w:szCs w:val="24"/>
        </w:rPr>
        <w:t>Owned vehicles are assumed to use decals or stencils for permanent signage.</w:t>
      </w:r>
    </w:p>
    <w:p w:rsidR="008F4BDA" w:rsidRPr="008F4BDA" w:rsidRDefault="008F4BDA" w:rsidP="008F4BDA">
      <w:pPr>
        <w:widowControl/>
        <w:numPr>
          <w:ilvl w:val="0"/>
          <w:numId w:val="38"/>
        </w:numPr>
        <w:tabs>
          <w:tab w:val="left" w:pos="1080"/>
        </w:tabs>
        <w:rPr>
          <w:rFonts w:ascii="Times New Roman" w:hAnsi="Times New Roman"/>
          <w:bCs/>
          <w:sz w:val="24"/>
          <w:szCs w:val="24"/>
        </w:rPr>
      </w:pPr>
      <w:r w:rsidRPr="008F4BDA">
        <w:rPr>
          <w:rFonts w:ascii="Times New Roman" w:hAnsi="Times New Roman"/>
          <w:bCs/>
          <w:sz w:val="24"/>
          <w:szCs w:val="24"/>
        </w:rPr>
        <w:t>Lease and rented vehicles are assumed to use paper signage, and incur a negligible burden.</w:t>
      </w:r>
    </w:p>
    <w:p w:rsidR="008F4BDA" w:rsidRPr="008F4BDA" w:rsidRDefault="008F4BDA" w:rsidP="008F4BDA">
      <w:pPr>
        <w:widowControl/>
        <w:ind w:left="720"/>
        <w:rPr>
          <w:rFonts w:ascii="Times New Roman" w:hAnsi="Times New Roman"/>
          <w:bCs/>
          <w:sz w:val="24"/>
          <w:szCs w:val="24"/>
        </w:rPr>
      </w:pPr>
    </w:p>
    <w:p w:rsidR="008F4BDA" w:rsidRPr="008F4BDA" w:rsidRDefault="008F4BDA" w:rsidP="008F4BDA">
      <w:pPr>
        <w:widowControl/>
        <w:ind w:left="360"/>
        <w:rPr>
          <w:rFonts w:ascii="Times New Roman" w:hAnsi="Times New Roman"/>
          <w:bCs/>
          <w:sz w:val="24"/>
          <w:szCs w:val="24"/>
        </w:rPr>
      </w:pPr>
      <w:r w:rsidRPr="008F4BDA">
        <w:rPr>
          <w:rFonts w:ascii="Times New Roman" w:hAnsi="Times New Roman"/>
          <w:bCs/>
          <w:sz w:val="24"/>
          <w:szCs w:val="24"/>
        </w:rPr>
        <w:t xml:space="preserve">The passenger carrier population impacted by the marking requirements consists of  motor carriers transporting passengers in interstate commerce in CMVs that either: (1) have a gross vehicle weight rating or gross vehicle weight of at least 10,001 pounds, whichever is greater; (2) are designed or used to transport more than 8 passengers (including the driver) for compensation; or (3) are designed or used to transport more than 15 passengers (including the driver) and are not used to transport passengers for compensation.  </w:t>
      </w:r>
    </w:p>
    <w:p w:rsidR="008F4BDA" w:rsidRPr="008F4BDA" w:rsidRDefault="008F4BDA" w:rsidP="008F4BDA">
      <w:pPr>
        <w:widowControl/>
        <w:ind w:left="360"/>
        <w:rPr>
          <w:rFonts w:ascii="Times New Roman" w:hAnsi="Times New Roman"/>
          <w:bCs/>
          <w:sz w:val="24"/>
          <w:szCs w:val="24"/>
        </w:rPr>
      </w:pPr>
    </w:p>
    <w:p w:rsidR="008F4BDA" w:rsidRPr="008F4BDA" w:rsidRDefault="008F4BDA" w:rsidP="008F4BDA">
      <w:pPr>
        <w:widowControl/>
        <w:tabs>
          <w:tab w:val="left" w:pos="360"/>
        </w:tabs>
        <w:ind w:left="360"/>
        <w:rPr>
          <w:rFonts w:ascii="Times New Roman" w:hAnsi="Times New Roman"/>
          <w:bCs/>
          <w:sz w:val="24"/>
          <w:szCs w:val="24"/>
        </w:rPr>
      </w:pPr>
      <w:r w:rsidRPr="008F4BDA">
        <w:rPr>
          <w:rFonts w:ascii="Times New Roman" w:hAnsi="Times New Roman"/>
          <w:bCs/>
          <w:sz w:val="24"/>
          <w:szCs w:val="24"/>
        </w:rPr>
        <w:t xml:space="preserve">The MCMIS database indicates that there are </w:t>
      </w:r>
      <w:r w:rsidRPr="008F4BDA">
        <w:rPr>
          <w:rFonts w:ascii="Times New Roman" w:hAnsi="Times New Roman"/>
          <w:b/>
          <w:bCs/>
          <w:sz w:val="24"/>
          <w:szCs w:val="24"/>
        </w:rPr>
        <w:t>10,000</w:t>
      </w:r>
      <w:r w:rsidRPr="008F4BDA">
        <w:rPr>
          <w:rFonts w:ascii="Times New Roman" w:hAnsi="Times New Roman"/>
          <w:bCs/>
          <w:sz w:val="24"/>
          <w:szCs w:val="24"/>
        </w:rPr>
        <w:t xml:space="preserve"> passenger carriers that operate 174,000 CMVs, as of an August 24, 2012 snapshot. (Both figures are rounded.)</w:t>
      </w:r>
    </w:p>
    <w:p w:rsidR="008F4BDA" w:rsidRPr="008F4BDA" w:rsidRDefault="008F4BDA" w:rsidP="008F4BDA">
      <w:pPr>
        <w:widowControl/>
        <w:ind w:left="360"/>
        <w:rPr>
          <w:rFonts w:ascii="Times New Roman" w:hAnsi="Times New Roman"/>
          <w:bCs/>
          <w:sz w:val="24"/>
          <w:szCs w:val="24"/>
        </w:rPr>
      </w:pPr>
    </w:p>
    <w:p w:rsidR="008F4BDA" w:rsidRPr="008F4BDA" w:rsidRDefault="008F4BDA" w:rsidP="008F4BDA">
      <w:pPr>
        <w:widowControl/>
        <w:numPr>
          <w:ilvl w:val="0"/>
          <w:numId w:val="40"/>
        </w:numPr>
        <w:rPr>
          <w:rFonts w:ascii="Times New Roman" w:hAnsi="Times New Roman"/>
          <w:bCs/>
          <w:sz w:val="24"/>
          <w:szCs w:val="24"/>
        </w:rPr>
      </w:pPr>
      <w:r w:rsidRPr="008F4BDA">
        <w:rPr>
          <w:rFonts w:ascii="Times New Roman" w:hAnsi="Times New Roman"/>
          <w:bCs/>
          <w:sz w:val="24"/>
          <w:szCs w:val="24"/>
        </w:rPr>
        <w:lastRenderedPageBreak/>
        <w:t xml:space="preserve">Approximately 157,000 (or 90 percent of the 174,000) CMVs are owned and assumed to use decals or stencils for permanent signage. </w:t>
      </w:r>
    </w:p>
    <w:p w:rsidR="008F4BDA" w:rsidRPr="008F4BDA" w:rsidRDefault="008F4BDA" w:rsidP="008F4BDA">
      <w:pPr>
        <w:widowControl/>
        <w:numPr>
          <w:ilvl w:val="0"/>
          <w:numId w:val="40"/>
        </w:numPr>
        <w:rPr>
          <w:rFonts w:ascii="Times New Roman" w:hAnsi="Times New Roman"/>
          <w:bCs/>
          <w:sz w:val="24"/>
          <w:szCs w:val="24"/>
        </w:rPr>
      </w:pPr>
      <w:r w:rsidRPr="008F4BDA">
        <w:rPr>
          <w:rFonts w:ascii="Times New Roman" w:hAnsi="Times New Roman"/>
          <w:bCs/>
          <w:sz w:val="24"/>
          <w:szCs w:val="24"/>
        </w:rPr>
        <w:t>The remaining 17,000 (or 10 percent of the 174,000) CMVs are term- or trip-leased and assumed to use paper signage. (Both figures are rounded.)</w:t>
      </w:r>
    </w:p>
    <w:p w:rsidR="008F4BDA" w:rsidRPr="008F4BDA" w:rsidRDefault="008F4BDA" w:rsidP="008F4BDA">
      <w:pPr>
        <w:widowControl/>
        <w:ind w:left="360"/>
        <w:rPr>
          <w:rFonts w:ascii="Times New Roman" w:hAnsi="Times New Roman"/>
          <w:bCs/>
          <w:sz w:val="24"/>
          <w:szCs w:val="24"/>
        </w:rPr>
      </w:pPr>
    </w:p>
    <w:p w:rsidR="008F4BDA" w:rsidRPr="008F4BDA" w:rsidRDefault="008F4BDA" w:rsidP="008F4BDA">
      <w:pPr>
        <w:widowControl/>
        <w:ind w:left="360"/>
        <w:rPr>
          <w:rFonts w:ascii="Times New Roman" w:hAnsi="Times New Roman"/>
          <w:bCs/>
          <w:sz w:val="24"/>
          <w:szCs w:val="24"/>
        </w:rPr>
      </w:pPr>
      <w:r w:rsidRPr="008F4BDA">
        <w:rPr>
          <w:rFonts w:ascii="Times New Roman" w:hAnsi="Times New Roman"/>
          <w:bCs/>
          <w:sz w:val="24"/>
          <w:szCs w:val="24"/>
        </w:rPr>
        <w:t xml:space="preserve">Average annual rates of the resale of used passenger-carrying CMVs could not be readily located.  To arrive at an estimate, the Agency makes equivalent assumptions about the proportion of newly acquired and re-identified passenger-carrying CMVs as was made for freight-carrying CMVs (i.e., nearly 1/15 of current fleet are newly acquired, 1/3 of current fleet are resold and/or re-identified every year). </w:t>
      </w:r>
    </w:p>
    <w:p w:rsidR="008F4BDA" w:rsidRPr="008F4BDA" w:rsidRDefault="008F4BDA" w:rsidP="008F4BDA">
      <w:pPr>
        <w:widowControl/>
        <w:ind w:left="360"/>
        <w:rPr>
          <w:rFonts w:ascii="Times New Roman" w:hAnsi="Times New Roman"/>
          <w:bCs/>
          <w:sz w:val="24"/>
          <w:szCs w:val="24"/>
        </w:rPr>
      </w:pPr>
    </w:p>
    <w:p w:rsidR="008F4BDA" w:rsidRPr="008F4BDA" w:rsidRDefault="008F4BDA" w:rsidP="008F4BDA">
      <w:pPr>
        <w:widowControl/>
        <w:ind w:left="360"/>
        <w:rPr>
          <w:rFonts w:ascii="Times New Roman" w:hAnsi="Times New Roman"/>
          <w:bCs/>
          <w:sz w:val="24"/>
          <w:szCs w:val="24"/>
        </w:rPr>
      </w:pPr>
      <w:r w:rsidRPr="008F4BDA">
        <w:rPr>
          <w:rFonts w:ascii="Times New Roman" w:hAnsi="Times New Roman"/>
          <w:bCs/>
          <w:sz w:val="24"/>
          <w:szCs w:val="24"/>
        </w:rPr>
        <w:t>Marking of owned vehicles (which use decals or stencils, see above) takes 26 minutes, consistent with other previous estimates calculated herein. Marking of leased vehicles (which use paper signs, see above) takes a negligible amount of time (i.e., assumed 0 minutes).</w:t>
      </w:r>
    </w:p>
    <w:p w:rsidR="008F4BDA" w:rsidRPr="008F4BDA" w:rsidRDefault="008F4BDA" w:rsidP="008F4BDA">
      <w:pPr>
        <w:widowControl/>
        <w:ind w:left="360"/>
        <w:rPr>
          <w:rFonts w:ascii="Times New Roman" w:hAnsi="Times New Roman"/>
          <w:bCs/>
          <w:sz w:val="24"/>
          <w:szCs w:val="24"/>
        </w:rPr>
      </w:pPr>
    </w:p>
    <w:p w:rsidR="008F4BDA" w:rsidRPr="008F4BDA" w:rsidRDefault="008F4BDA" w:rsidP="008F4BDA">
      <w:pPr>
        <w:widowControl/>
        <w:ind w:left="360"/>
        <w:rPr>
          <w:rFonts w:ascii="Times New Roman" w:hAnsi="Times New Roman"/>
          <w:bCs/>
          <w:sz w:val="24"/>
          <w:szCs w:val="24"/>
        </w:rPr>
      </w:pPr>
      <w:r w:rsidRPr="008F4BDA">
        <w:rPr>
          <w:rFonts w:ascii="Times New Roman" w:hAnsi="Times New Roman"/>
          <w:bCs/>
          <w:sz w:val="24"/>
          <w:szCs w:val="24"/>
        </w:rPr>
        <w:t xml:space="preserve">The estimated number of newly-acquired owned passenger-carrying CMVs of 11,000 per year (157,000 owned passenger-carrying CMVs ÷ 14.7 years average CMV operational life, rounded to the nearest thousand). The number of resold and owned re-identified passenger-carrying CMVs is estimated to be 49,000 per year ([157,000 owned passenger-carrying CMVs – 11,000] ÷ 3 years average re-identification rate, rounded to the nearest thousand). This results in an estimated 60,000 owned passenger-carrying CMVs (11,000 + 49,000) impacted by marking requirements annually. </w:t>
      </w:r>
    </w:p>
    <w:p w:rsidR="008F4BDA" w:rsidRPr="008F4BDA" w:rsidRDefault="008F4BDA" w:rsidP="008F4BDA">
      <w:pPr>
        <w:widowControl/>
        <w:ind w:left="360"/>
        <w:rPr>
          <w:rFonts w:ascii="Times New Roman" w:hAnsi="Times New Roman"/>
          <w:bCs/>
          <w:sz w:val="24"/>
          <w:szCs w:val="24"/>
        </w:rPr>
      </w:pPr>
    </w:p>
    <w:p w:rsidR="008F4BDA" w:rsidRPr="008F4BDA" w:rsidRDefault="008F4BDA" w:rsidP="008F4BDA">
      <w:pPr>
        <w:widowControl/>
        <w:ind w:left="360"/>
        <w:rPr>
          <w:rFonts w:ascii="Times New Roman" w:hAnsi="Times New Roman"/>
          <w:bCs/>
          <w:sz w:val="24"/>
          <w:szCs w:val="24"/>
        </w:rPr>
      </w:pPr>
      <w:r w:rsidRPr="008F4BDA">
        <w:rPr>
          <w:rFonts w:ascii="Times New Roman" w:hAnsi="Times New Roman"/>
          <w:bCs/>
          <w:sz w:val="24"/>
          <w:szCs w:val="24"/>
        </w:rPr>
        <w:t xml:space="preserve">The estimated number of newly acquired leased passenger-carrying CMVs is approximately 1,000 per year (17,000 leased passenger-carrying CMVs ÷ 14.7 years average CMV operational life, rounded to the nearest thousand); and the estimated number of resold and re-identified leased passenger-carrying CMVs is estimated to be 5,000 per year ([17,000 leased passenger-carrying CMVs – 1,000 newly acquired CMVs] ÷ 3 years average re-identification rate, rounded to the nearest thousand). This results in an estimated 6,000 leased passenger-carrying CMVs (1,000 + 5,000) impacted by marking requirements annually. </w:t>
      </w:r>
    </w:p>
    <w:p w:rsidR="008F4BDA" w:rsidRPr="008F4BDA" w:rsidRDefault="008F4BDA" w:rsidP="008F4BDA">
      <w:pPr>
        <w:widowControl/>
        <w:ind w:left="360"/>
        <w:rPr>
          <w:rFonts w:ascii="Times New Roman" w:hAnsi="Times New Roman"/>
          <w:bCs/>
          <w:sz w:val="24"/>
          <w:szCs w:val="24"/>
        </w:rPr>
      </w:pPr>
    </w:p>
    <w:p w:rsidR="008F4BDA" w:rsidRPr="008F4BDA" w:rsidRDefault="008F4BDA" w:rsidP="008F4BDA">
      <w:pPr>
        <w:widowControl/>
        <w:ind w:left="360"/>
        <w:rPr>
          <w:rFonts w:ascii="Times New Roman" w:hAnsi="Times New Roman"/>
          <w:bCs/>
          <w:sz w:val="24"/>
          <w:szCs w:val="24"/>
        </w:rPr>
      </w:pPr>
      <w:r w:rsidRPr="008F4BDA">
        <w:rPr>
          <w:rFonts w:ascii="Times New Roman" w:hAnsi="Times New Roman"/>
          <w:bCs/>
          <w:sz w:val="24"/>
          <w:szCs w:val="24"/>
        </w:rPr>
        <w:t xml:space="preserve">The total number of passenger-carrying CMVs impacted by the marking requirements is estimated to be </w:t>
      </w:r>
      <w:r w:rsidRPr="008F4BDA">
        <w:rPr>
          <w:rFonts w:ascii="Times New Roman" w:hAnsi="Times New Roman"/>
          <w:b/>
          <w:bCs/>
          <w:sz w:val="24"/>
          <w:szCs w:val="24"/>
        </w:rPr>
        <w:t>66,000</w:t>
      </w:r>
      <w:r w:rsidRPr="008F4BDA">
        <w:rPr>
          <w:rFonts w:ascii="Times New Roman" w:hAnsi="Times New Roman"/>
          <w:bCs/>
          <w:sz w:val="24"/>
          <w:szCs w:val="24"/>
        </w:rPr>
        <w:t xml:space="preserve"> per year (60,000 +6,000).</w:t>
      </w:r>
    </w:p>
    <w:p w:rsidR="008F4BDA" w:rsidRPr="008F4BDA" w:rsidRDefault="008F4BDA" w:rsidP="008F4BDA">
      <w:pPr>
        <w:widowControl/>
        <w:ind w:left="360"/>
        <w:rPr>
          <w:rFonts w:ascii="Times New Roman" w:hAnsi="Times New Roman"/>
          <w:bCs/>
          <w:sz w:val="24"/>
          <w:szCs w:val="24"/>
        </w:rPr>
      </w:pPr>
    </w:p>
    <w:p w:rsidR="008F4BDA" w:rsidRPr="008F4BDA" w:rsidRDefault="008F4BDA" w:rsidP="008F4BDA">
      <w:pPr>
        <w:widowControl/>
        <w:ind w:left="360"/>
        <w:rPr>
          <w:rFonts w:ascii="Times New Roman" w:hAnsi="Times New Roman"/>
          <w:bCs/>
          <w:sz w:val="24"/>
          <w:szCs w:val="24"/>
        </w:rPr>
      </w:pPr>
      <w:r w:rsidRPr="008F4BDA">
        <w:rPr>
          <w:rFonts w:ascii="Times New Roman" w:hAnsi="Times New Roman"/>
          <w:bCs/>
          <w:sz w:val="24"/>
          <w:szCs w:val="24"/>
        </w:rPr>
        <w:t xml:space="preserve">The estimated total number of annual burden hours (accounting for the respective total number of vehicles) attributed to marking is </w:t>
      </w:r>
      <w:r w:rsidRPr="008F4BDA">
        <w:rPr>
          <w:rFonts w:ascii="Times New Roman" w:hAnsi="Times New Roman"/>
          <w:b/>
          <w:bCs/>
          <w:sz w:val="24"/>
          <w:szCs w:val="24"/>
        </w:rPr>
        <w:t>26,000 (</w:t>
      </w:r>
      <w:r w:rsidRPr="008F4BDA">
        <w:rPr>
          <w:rFonts w:ascii="Times New Roman" w:hAnsi="Times New Roman"/>
          <w:bCs/>
          <w:sz w:val="24"/>
          <w:szCs w:val="24"/>
        </w:rPr>
        <w:t>26/60 minutes per hour × 60,000 CMVs marked with decals or stenciled marking + 0 minutes per hour × 6,000 CMVs marked with paper signage).</w:t>
      </w:r>
    </w:p>
    <w:p w:rsidR="008F4BDA" w:rsidRPr="008F4BDA" w:rsidRDefault="008F4BDA" w:rsidP="008F4BDA">
      <w:pPr>
        <w:widowControl/>
        <w:ind w:left="360"/>
        <w:rPr>
          <w:rFonts w:ascii="Times New Roman" w:hAnsi="Times New Roman"/>
          <w:bCs/>
          <w:sz w:val="24"/>
          <w:szCs w:val="24"/>
        </w:rPr>
      </w:pPr>
    </w:p>
    <w:p w:rsidR="008F4BDA" w:rsidRPr="008F4BDA" w:rsidRDefault="008F4BDA" w:rsidP="008F4BDA">
      <w:pPr>
        <w:widowControl/>
        <w:ind w:left="360"/>
        <w:rPr>
          <w:rFonts w:ascii="Times New Roman" w:hAnsi="Times New Roman"/>
          <w:bCs/>
          <w:sz w:val="24"/>
          <w:szCs w:val="24"/>
        </w:rPr>
      </w:pPr>
      <w:r w:rsidRPr="008F4BDA">
        <w:rPr>
          <w:rFonts w:ascii="Times New Roman" w:hAnsi="Times New Roman"/>
          <w:bCs/>
          <w:sz w:val="24"/>
          <w:szCs w:val="24"/>
        </w:rPr>
        <w:t xml:space="preserve">The Agency estimates the total number of annual respondents (i.e., passenger-carrying motor carriers) as </w:t>
      </w:r>
      <w:r w:rsidRPr="008F4BDA">
        <w:rPr>
          <w:rFonts w:ascii="Times New Roman" w:hAnsi="Times New Roman"/>
          <w:b/>
          <w:bCs/>
          <w:sz w:val="24"/>
          <w:szCs w:val="24"/>
        </w:rPr>
        <w:t>4,000</w:t>
      </w:r>
      <w:r w:rsidRPr="008F4BDA">
        <w:rPr>
          <w:rFonts w:ascii="Times New Roman" w:hAnsi="Times New Roman"/>
          <w:bCs/>
          <w:sz w:val="24"/>
          <w:szCs w:val="24"/>
        </w:rPr>
        <w:t xml:space="preserve"> ([(60,000 impacted vehicles + 6,000 leased vehicles) / 174,000 total vehicles] × 10,000 passenger-carrying carriers).</w:t>
      </w:r>
    </w:p>
    <w:p w:rsidR="008F4BDA" w:rsidRPr="008F4BDA" w:rsidRDefault="008F4BDA" w:rsidP="008F4BDA">
      <w:pPr>
        <w:widowControl/>
        <w:ind w:left="360"/>
        <w:rPr>
          <w:rFonts w:ascii="Times New Roman" w:hAnsi="Times New Roman"/>
          <w:bCs/>
          <w:sz w:val="24"/>
          <w:szCs w:val="24"/>
        </w:rPr>
      </w:pPr>
    </w:p>
    <w:p w:rsidR="008F4BDA" w:rsidRPr="008F4BDA" w:rsidRDefault="008F4BDA" w:rsidP="008F4BDA">
      <w:pPr>
        <w:widowControl/>
        <w:tabs>
          <w:tab w:val="left" w:pos="360"/>
        </w:tabs>
        <w:rPr>
          <w:rFonts w:ascii="Times New Roman" w:hAnsi="Times New Roman"/>
          <w:b/>
          <w:bCs/>
          <w:sz w:val="24"/>
          <w:szCs w:val="24"/>
        </w:rPr>
      </w:pPr>
      <w:r w:rsidRPr="008F4BDA">
        <w:rPr>
          <w:rFonts w:ascii="Times New Roman" w:hAnsi="Times New Roman"/>
          <w:bCs/>
          <w:sz w:val="24"/>
          <w:szCs w:val="24"/>
        </w:rPr>
        <w:tab/>
      </w:r>
      <w:r w:rsidRPr="008F4BDA">
        <w:rPr>
          <w:rFonts w:ascii="Times New Roman" w:hAnsi="Times New Roman"/>
          <w:b/>
          <w:bCs/>
          <w:sz w:val="24"/>
          <w:szCs w:val="24"/>
        </w:rPr>
        <w:t>Component 3: Intermodal equipment providers (IEPs)</w:t>
      </w:r>
    </w:p>
    <w:p w:rsidR="008F4BDA" w:rsidRPr="008F4BDA" w:rsidRDefault="008F4BDA" w:rsidP="008F4BDA">
      <w:pPr>
        <w:widowControl/>
        <w:tabs>
          <w:tab w:val="left" w:pos="360"/>
        </w:tabs>
        <w:ind w:left="1080"/>
        <w:rPr>
          <w:rFonts w:ascii="Times New Roman" w:hAnsi="Times New Roman"/>
          <w:bCs/>
          <w:sz w:val="24"/>
          <w:szCs w:val="24"/>
        </w:rPr>
      </w:pPr>
    </w:p>
    <w:p w:rsidR="008F4BDA" w:rsidRPr="008F4BDA" w:rsidRDefault="008F4BDA" w:rsidP="008F4BDA">
      <w:pPr>
        <w:widowControl/>
        <w:numPr>
          <w:ilvl w:val="0"/>
          <w:numId w:val="39"/>
        </w:numPr>
        <w:tabs>
          <w:tab w:val="left" w:pos="360"/>
        </w:tabs>
        <w:rPr>
          <w:rFonts w:ascii="Times New Roman" w:hAnsi="Times New Roman"/>
          <w:bCs/>
          <w:sz w:val="24"/>
          <w:szCs w:val="24"/>
        </w:rPr>
      </w:pPr>
      <w:r w:rsidRPr="008F4BDA">
        <w:rPr>
          <w:rFonts w:ascii="Times New Roman" w:hAnsi="Times New Roman"/>
          <w:bCs/>
          <w:sz w:val="24"/>
          <w:szCs w:val="24"/>
        </w:rPr>
        <w:t xml:space="preserve">The majority of IEPs, about 90 percent, mark their equipment electronically into the Intermodal Association of North America (IANA) database. </w:t>
      </w:r>
    </w:p>
    <w:p w:rsidR="008F4BDA" w:rsidRPr="008F4BDA" w:rsidRDefault="008F4BDA" w:rsidP="008F4BDA">
      <w:pPr>
        <w:widowControl/>
        <w:numPr>
          <w:ilvl w:val="0"/>
          <w:numId w:val="39"/>
        </w:numPr>
        <w:tabs>
          <w:tab w:val="left" w:pos="360"/>
        </w:tabs>
        <w:rPr>
          <w:rFonts w:ascii="Times New Roman" w:hAnsi="Times New Roman"/>
          <w:bCs/>
          <w:sz w:val="24"/>
          <w:szCs w:val="24"/>
        </w:rPr>
      </w:pPr>
      <w:r w:rsidRPr="008F4BDA">
        <w:rPr>
          <w:rFonts w:ascii="Times New Roman" w:hAnsi="Times New Roman"/>
          <w:bCs/>
          <w:sz w:val="24"/>
          <w:szCs w:val="24"/>
        </w:rPr>
        <w:lastRenderedPageBreak/>
        <w:t xml:space="preserve">The remaining 10 percent are assumed to use decals or stencils. </w:t>
      </w:r>
    </w:p>
    <w:p w:rsidR="008F4BDA" w:rsidRPr="008F4BDA" w:rsidRDefault="008F4BDA" w:rsidP="008F4BDA">
      <w:pPr>
        <w:widowControl/>
        <w:tabs>
          <w:tab w:val="left" w:pos="360"/>
        </w:tabs>
        <w:ind w:left="360"/>
        <w:rPr>
          <w:rFonts w:ascii="Times New Roman" w:hAnsi="Times New Roman"/>
          <w:bCs/>
          <w:sz w:val="24"/>
          <w:szCs w:val="24"/>
        </w:rPr>
      </w:pPr>
    </w:p>
    <w:p w:rsidR="008F4BDA" w:rsidRPr="008F4BDA" w:rsidRDefault="008F4BDA" w:rsidP="008F4BDA">
      <w:pPr>
        <w:widowControl/>
        <w:tabs>
          <w:tab w:val="left" w:pos="360"/>
        </w:tabs>
        <w:ind w:left="360"/>
        <w:rPr>
          <w:rFonts w:ascii="Times New Roman" w:hAnsi="Times New Roman"/>
          <w:bCs/>
          <w:sz w:val="24"/>
          <w:szCs w:val="24"/>
        </w:rPr>
      </w:pPr>
      <w:r w:rsidRPr="008F4BDA">
        <w:rPr>
          <w:rFonts w:ascii="Times New Roman" w:hAnsi="Times New Roman"/>
          <w:bCs/>
          <w:sz w:val="24"/>
          <w:szCs w:val="24"/>
        </w:rPr>
        <w:t xml:space="preserve">The MCMIS database indicates that there are 94 registered IEPs comprising 535,000 (figure rounded) intermodal trailers, chassis and equipment owned or leased as of a July 27, 2012 snapshot. The burden hours associated with the marking requirements will only include those incurred by the 10 percent of the impacted IEP population that does not elect to input their equipment information into the IANA database. The total number of IEPs (or respondents) impacted by the marking rules is approximately 9 (or 10 percent of 94). The estimated count of intermodal trailers/chassis/equipment not marked electronically is assumed to be 10 percent of 535,000, or approximately 54,000.  </w:t>
      </w:r>
    </w:p>
    <w:p w:rsidR="008F4BDA" w:rsidRPr="008F4BDA" w:rsidRDefault="008F4BDA" w:rsidP="008F4BDA">
      <w:pPr>
        <w:widowControl/>
        <w:tabs>
          <w:tab w:val="left" w:pos="360"/>
        </w:tabs>
        <w:ind w:left="360"/>
        <w:rPr>
          <w:rFonts w:ascii="Times New Roman" w:hAnsi="Times New Roman"/>
          <w:bCs/>
          <w:sz w:val="24"/>
          <w:szCs w:val="24"/>
        </w:rPr>
      </w:pPr>
    </w:p>
    <w:p w:rsidR="008F4BDA" w:rsidRPr="008F4BDA" w:rsidRDefault="008F4BDA" w:rsidP="008F4BDA">
      <w:pPr>
        <w:widowControl/>
        <w:tabs>
          <w:tab w:val="left" w:pos="360"/>
        </w:tabs>
        <w:ind w:left="360"/>
        <w:rPr>
          <w:rFonts w:ascii="Times New Roman" w:hAnsi="Times New Roman"/>
          <w:bCs/>
          <w:sz w:val="24"/>
          <w:szCs w:val="24"/>
        </w:rPr>
      </w:pPr>
      <w:r w:rsidRPr="008F4BDA">
        <w:rPr>
          <w:rFonts w:ascii="Times New Roman" w:hAnsi="Times New Roman"/>
          <w:bCs/>
          <w:sz w:val="24"/>
          <w:szCs w:val="24"/>
        </w:rPr>
        <w:t xml:space="preserve">As noted previously, the Final Regulatory Evaluation for the FMCSA’s </w:t>
      </w:r>
      <w:r w:rsidRPr="008F4BDA">
        <w:rPr>
          <w:rFonts w:ascii="Times New Roman" w:hAnsi="Times New Roman"/>
          <w:bCs/>
          <w:i/>
          <w:sz w:val="24"/>
          <w:szCs w:val="24"/>
        </w:rPr>
        <w:t>Inspection, Repair, and Maintenance Requirements for Intermodal Equipment Providers</w:t>
      </w:r>
      <w:r w:rsidRPr="008F4BDA">
        <w:rPr>
          <w:rFonts w:ascii="Times New Roman" w:hAnsi="Times New Roman"/>
          <w:bCs/>
          <w:sz w:val="24"/>
          <w:szCs w:val="24"/>
        </w:rPr>
        <w:t xml:space="preserve"> suggests that the average life of a weatherproof vinyl label (as attached to an IEP) is 3 years.</w:t>
      </w:r>
      <w:r w:rsidRPr="008F4BDA">
        <w:rPr>
          <w:rFonts w:ascii="Times New Roman" w:hAnsi="Times New Roman"/>
          <w:bCs/>
          <w:sz w:val="24"/>
          <w:szCs w:val="24"/>
          <w:vertAlign w:val="superscript"/>
        </w:rPr>
        <w:footnoteReference w:id="5"/>
      </w:r>
      <w:r w:rsidRPr="008F4BDA">
        <w:rPr>
          <w:rFonts w:ascii="Times New Roman" w:hAnsi="Times New Roman"/>
          <w:bCs/>
          <w:sz w:val="24"/>
          <w:szCs w:val="24"/>
        </w:rPr>
        <w:t xml:space="preserve"> It also suggests that the operational life of an intermodal chassis is 14.7 years (and thus nearly 1/15 of the intermodal chassis pool turns over each year).</w:t>
      </w:r>
      <w:r w:rsidRPr="008F4BDA">
        <w:rPr>
          <w:rFonts w:ascii="Times New Roman" w:hAnsi="Times New Roman"/>
          <w:bCs/>
          <w:sz w:val="24"/>
          <w:szCs w:val="24"/>
          <w:vertAlign w:val="superscript"/>
        </w:rPr>
        <w:footnoteReference w:id="6"/>
      </w:r>
      <w:r w:rsidRPr="008F4BDA">
        <w:rPr>
          <w:rFonts w:ascii="Times New Roman" w:hAnsi="Times New Roman"/>
          <w:bCs/>
          <w:sz w:val="24"/>
          <w:szCs w:val="24"/>
        </w:rPr>
        <w:t xml:space="preserve"> Similar to the calculations performed in Component 1, the Agency estimates the count of newly acquired intermodal trailers/chassis/equipment is 4,000 per year (54,000 decal-marked intermodal equipment ÷ 14.7 years average intermodal chassis life, rounded to the nearest thousand); and the number of existing intermodal trailers/chassis/equipment requiring re-identification is estimated to be 17,000 per year ([54,000 decal-marked intermodal equipment – 4,000 newly acquired units] ÷ 3 years average weatherproof vinyl label life, rounded to the nearest thousand). </w:t>
      </w:r>
    </w:p>
    <w:p w:rsidR="008F4BDA" w:rsidRPr="008F4BDA" w:rsidRDefault="008F4BDA" w:rsidP="008F4BDA">
      <w:pPr>
        <w:widowControl/>
        <w:tabs>
          <w:tab w:val="left" w:pos="360"/>
        </w:tabs>
        <w:ind w:left="360"/>
        <w:rPr>
          <w:rFonts w:ascii="Times New Roman" w:hAnsi="Times New Roman"/>
          <w:bCs/>
          <w:sz w:val="24"/>
          <w:szCs w:val="24"/>
        </w:rPr>
      </w:pPr>
    </w:p>
    <w:p w:rsidR="008F4BDA" w:rsidRPr="008F4BDA" w:rsidRDefault="008F4BDA" w:rsidP="008F4BDA">
      <w:pPr>
        <w:widowControl/>
        <w:tabs>
          <w:tab w:val="left" w:pos="360"/>
        </w:tabs>
        <w:ind w:left="360"/>
        <w:rPr>
          <w:rFonts w:ascii="Times New Roman" w:hAnsi="Times New Roman"/>
          <w:bCs/>
          <w:sz w:val="24"/>
          <w:szCs w:val="24"/>
        </w:rPr>
      </w:pPr>
      <w:r w:rsidRPr="008F4BDA">
        <w:rPr>
          <w:rFonts w:ascii="Times New Roman" w:hAnsi="Times New Roman"/>
          <w:bCs/>
          <w:sz w:val="24"/>
          <w:szCs w:val="24"/>
        </w:rPr>
        <w:t xml:space="preserve">Thus, the total estimate of intermodal trailers/chassis/equipment impacted by the marking requirements is </w:t>
      </w:r>
      <w:r w:rsidRPr="008F4BDA">
        <w:rPr>
          <w:rFonts w:ascii="Times New Roman" w:hAnsi="Times New Roman"/>
          <w:b/>
          <w:bCs/>
          <w:sz w:val="24"/>
          <w:szCs w:val="24"/>
        </w:rPr>
        <w:t>21,000</w:t>
      </w:r>
      <w:r w:rsidRPr="008F4BDA">
        <w:rPr>
          <w:rFonts w:ascii="Times New Roman" w:hAnsi="Times New Roman"/>
          <w:bCs/>
          <w:sz w:val="24"/>
          <w:szCs w:val="24"/>
        </w:rPr>
        <w:t xml:space="preserve"> annually (4,000 + 17,000).</w:t>
      </w:r>
    </w:p>
    <w:p w:rsidR="008F4BDA" w:rsidRPr="008F4BDA" w:rsidRDefault="008F4BDA" w:rsidP="008F4BDA">
      <w:pPr>
        <w:widowControl/>
        <w:tabs>
          <w:tab w:val="left" w:pos="360"/>
        </w:tabs>
        <w:ind w:left="360"/>
        <w:rPr>
          <w:rFonts w:ascii="Times New Roman" w:hAnsi="Times New Roman"/>
          <w:bCs/>
          <w:sz w:val="24"/>
          <w:szCs w:val="24"/>
        </w:rPr>
      </w:pPr>
    </w:p>
    <w:p w:rsidR="008F4BDA" w:rsidRPr="008F4BDA" w:rsidRDefault="008F4BDA" w:rsidP="008F4BDA">
      <w:pPr>
        <w:widowControl/>
        <w:tabs>
          <w:tab w:val="left" w:pos="360"/>
        </w:tabs>
        <w:ind w:left="360"/>
        <w:rPr>
          <w:rFonts w:ascii="Times New Roman" w:hAnsi="Times New Roman"/>
          <w:bCs/>
          <w:sz w:val="24"/>
          <w:szCs w:val="24"/>
        </w:rPr>
      </w:pPr>
      <w:r w:rsidRPr="008F4BDA">
        <w:rPr>
          <w:rFonts w:ascii="Times New Roman" w:hAnsi="Times New Roman"/>
          <w:bCs/>
          <w:sz w:val="24"/>
          <w:szCs w:val="24"/>
        </w:rPr>
        <w:t>The estimated total number of annual burden hours attributed to marking by this segment is  9</w:t>
      </w:r>
      <w:r w:rsidRPr="008F4BDA">
        <w:rPr>
          <w:rFonts w:ascii="Times New Roman" w:hAnsi="Times New Roman"/>
          <w:b/>
          <w:bCs/>
          <w:sz w:val="24"/>
          <w:szCs w:val="24"/>
        </w:rPr>
        <w:t>,000</w:t>
      </w:r>
      <w:r w:rsidRPr="008F4BDA">
        <w:rPr>
          <w:rFonts w:ascii="Times New Roman" w:hAnsi="Times New Roman"/>
          <w:bCs/>
          <w:sz w:val="24"/>
          <w:szCs w:val="24"/>
        </w:rPr>
        <w:t xml:space="preserve"> (26/60 minutes per hour × 21,000 intermodal chassis, trailers, and equipment owned or leased by IEPs not inputted into the IANA database per year, rounded). </w:t>
      </w:r>
    </w:p>
    <w:p w:rsidR="008F4BDA" w:rsidRPr="008F4BDA" w:rsidRDefault="008F4BDA" w:rsidP="008F4BDA">
      <w:pPr>
        <w:widowControl/>
        <w:tabs>
          <w:tab w:val="left" w:pos="360"/>
        </w:tabs>
        <w:ind w:left="360"/>
        <w:rPr>
          <w:rFonts w:ascii="Times New Roman" w:hAnsi="Times New Roman"/>
          <w:bCs/>
          <w:sz w:val="24"/>
          <w:szCs w:val="24"/>
        </w:rPr>
      </w:pPr>
    </w:p>
    <w:p w:rsidR="008F4BDA" w:rsidRPr="008F4BDA" w:rsidRDefault="008F4BDA" w:rsidP="008F4BDA">
      <w:pPr>
        <w:widowControl/>
        <w:tabs>
          <w:tab w:val="left" w:pos="360"/>
        </w:tabs>
        <w:ind w:left="360"/>
        <w:rPr>
          <w:rFonts w:ascii="Times New Roman" w:hAnsi="Times New Roman"/>
          <w:bCs/>
          <w:sz w:val="24"/>
          <w:szCs w:val="24"/>
        </w:rPr>
      </w:pPr>
      <w:r w:rsidRPr="008F4BDA">
        <w:rPr>
          <w:rFonts w:ascii="Times New Roman" w:hAnsi="Times New Roman"/>
          <w:bCs/>
          <w:sz w:val="24"/>
          <w:szCs w:val="24"/>
        </w:rPr>
        <w:t xml:space="preserve">The total number of IEPs (or respondents) impacted by the marking rules is approximately </w:t>
      </w:r>
      <w:r w:rsidRPr="008F4BDA">
        <w:rPr>
          <w:rFonts w:ascii="Times New Roman" w:hAnsi="Times New Roman"/>
          <w:b/>
          <w:bCs/>
          <w:sz w:val="24"/>
          <w:szCs w:val="24"/>
        </w:rPr>
        <w:t>9</w:t>
      </w:r>
      <w:r w:rsidRPr="008F4BDA">
        <w:rPr>
          <w:rFonts w:ascii="Times New Roman" w:hAnsi="Times New Roman"/>
          <w:bCs/>
          <w:sz w:val="24"/>
          <w:szCs w:val="24"/>
        </w:rPr>
        <w:t xml:space="preserve"> (or 10 percent of 94).</w:t>
      </w:r>
    </w:p>
    <w:p w:rsidR="008F4BDA" w:rsidRPr="008F4BDA" w:rsidRDefault="008F4BDA" w:rsidP="008F4BDA">
      <w:pPr>
        <w:widowControl/>
        <w:tabs>
          <w:tab w:val="left" w:pos="360"/>
        </w:tabs>
        <w:ind w:left="360"/>
        <w:rPr>
          <w:rFonts w:ascii="Times New Roman" w:hAnsi="Times New Roman"/>
          <w:bCs/>
          <w:sz w:val="24"/>
          <w:szCs w:val="24"/>
        </w:rPr>
      </w:pPr>
    </w:p>
    <w:p w:rsidR="008F4BDA" w:rsidRPr="008F4BDA" w:rsidRDefault="008F4BDA" w:rsidP="008F4BDA">
      <w:pPr>
        <w:widowControl/>
        <w:tabs>
          <w:tab w:val="left" w:pos="360"/>
        </w:tabs>
        <w:ind w:left="360"/>
        <w:rPr>
          <w:rFonts w:ascii="Times New Roman" w:hAnsi="Times New Roman"/>
          <w:b/>
          <w:bCs/>
          <w:sz w:val="24"/>
          <w:szCs w:val="24"/>
        </w:rPr>
      </w:pPr>
      <w:r w:rsidRPr="008F4BDA">
        <w:rPr>
          <w:rFonts w:ascii="Times New Roman" w:hAnsi="Times New Roman"/>
          <w:b/>
          <w:bCs/>
          <w:sz w:val="24"/>
          <w:szCs w:val="24"/>
        </w:rPr>
        <w:t>Summary</w:t>
      </w:r>
    </w:p>
    <w:p w:rsidR="008F4BDA" w:rsidRPr="008F4BDA" w:rsidRDefault="008F4BDA" w:rsidP="008F4BDA">
      <w:pPr>
        <w:widowControl/>
        <w:tabs>
          <w:tab w:val="left" w:pos="360"/>
        </w:tabs>
        <w:ind w:left="360"/>
        <w:rPr>
          <w:rFonts w:ascii="Times New Roman" w:hAnsi="Times New Roman"/>
          <w:bCs/>
          <w:sz w:val="24"/>
          <w:szCs w:val="24"/>
        </w:rPr>
      </w:pPr>
    </w:p>
    <w:p w:rsidR="008F4BDA" w:rsidRPr="008F4BDA" w:rsidRDefault="008F4BDA" w:rsidP="008F4BDA">
      <w:pPr>
        <w:widowControl/>
        <w:tabs>
          <w:tab w:val="left" w:pos="450"/>
        </w:tabs>
        <w:ind w:left="360" w:hanging="540"/>
        <w:rPr>
          <w:rFonts w:ascii="Times New Roman" w:hAnsi="Times New Roman"/>
          <w:bCs/>
          <w:sz w:val="24"/>
          <w:szCs w:val="24"/>
        </w:rPr>
      </w:pPr>
      <w:r w:rsidRPr="008F4BDA">
        <w:rPr>
          <w:rFonts w:ascii="Times New Roman" w:hAnsi="Times New Roman"/>
          <w:bCs/>
          <w:sz w:val="24"/>
          <w:szCs w:val="24"/>
        </w:rPr>
        <w:tab/>
        <w:t>The totals are presented below in Table 1. The table displays previously calculated estimates, including number of respondents (number of carriers and IEPs with impacted CMVs and intermodal equipment), number of responses (number of impacted CMVs and intermodal equipment), and the total annual hour burden of all responses across vehicles and equipment.</w:t>
      </w:r>
    </w:p>
    <w:p w:rsidR="008F4BDA" w:rsidRPr="008F4BDA" w:rsidRDefault="008F4BDA" w:rsidP="008F4BDA">
      <w:pPr>
        <w:widowControl/>
        <w:tabs>
          <w:tab w:val="left" w:pos="450"/>
        </w:tabs>
        <w:ind w:left="360" w:hanging="540"/>
        <w:rPr>
          <w:rFonts w:ascii="Times New Roman" w:hAnsi="Times New Roman"/>
          <w:bCs/>
          <w:sz w:val="24"/>
          <w:szCs w:val="24"/>
        </w:rPr>
      </w:pPr>
      <w:r w:rsidRPr="008F4BDA">
        <w:rPr>
          <w:rFonts w:ascii="Times New Roman" w:hAnsi="Times New Roman"/>
          <w:bCs/>
          <w:sz w:val="24"/>
          <w:szCs w:val="24"/>
        </w:rPr>
        <w:t xml:space="preserve"> </w:t>
      </w:r>
    </w:p>
    <w:p w:rsidR="00937E4D" w:rsidRDefault="00937E4D" w:rsidP="008F4BDA">
      <w:pPr>
        <w:widowControl/>
        <w:tabs>
          <w:tab w:val="left" w:pos="450"/>
        </w:tabs>
        <w:spacing w:after="200"/>
        <w:ind w:left="360" w:hanging="547"/>
        <w:jc w:val="center"/>
        <w:rPr>
          <w:rFonts w:ascii="Arial" w:hAnsi="Arial" w:cs="Arial"/>
          <w:b/>
          <w:bCs/>
        </w:rPr>
      </w:pPr>
    </w:p>
    <w:p w:rsidR="00937E4D" w:rsidRDefault="00937E4D" w:rsidP="008F4BDA">
      <w:pPr>
        <w:widowControl/>
        <w:tabs>
          <w:tab w:val="left" w:pos="450"/>
        </w:tabs>
        <w:spacing w:after="200"/>
        <w:ind w:left="360" w:hanging="547"/>
        <w:jc w:val="center"/>
        <w:rPr>
          <w:rFonts w:ascii="Arial" w:hAnsi="Arial" w:cs="Arial"/>
          <w:b/>
          <w:bCs/>
        </w:rPr>
      </w:pPr>
    </w:p>
    <w:p w:rsidR="00937E4D" w:rsidRDefault="00937E4D" w:rsidP="008F4BDA">
      <w:pPr>
        <w:widowControl/>
        <w:tabs>
          <w:tab w:val="left" w:pos="450"/>
        </w:tabs>
        <w:spacing w:after="200"/>
        <w:ind w:left="360" w:hanging="547"/>
        <w:jc w:val="center"/>
        <w:rPr>
          <w:rFonts w:ascii="Arial" w:hAnsi="Arial" w:cs="Arial"/>
          <w:b/>
          <w:bCs/>
        </w:rPr>
      </w:pPr>
    </w:p>
    <w:p w:rsidR="00937E4D" w:rsidRDefault="00937E4D" w:rsidP="008F4BDA">
      <w:pPr>
        <w:widowControl/>
        <w:tabs>
          <w:tab w:val="left" w:pos="450"/>
        </w:tabs>
        <w:spacing w:after="200"/>
        <w:ind w:left="360" w:hanging="547"/>
        <w:jc w:val="center"/>
        <w:rPr>
          <w:rFonts w:ascii="Arial" w:hAnsi="Arial" w:cs="Arial"/>
          <w:b/>
          <w:bCs/>
        </w:rPr>
      </w:pPr>
    </w:p>
    <w:p w:rsidR="008F4BDA" w:rsidRPr="008F4BDA" w:rsidRDefault="008F4BDA" w:rsidP="008F4BDA">
      <w:pPr>
        <w:widowControl/>
        <w:tabs>
          <w:tab w:val="left" w:pos="450"/>
        </w:tabs>
        <w:spacing w:after="200"/>
        <w:ind w:left="360" w:hanging="547"/>
        <w:jc w:val="center"/>
        <w:rPr>
          <w:rFonts w:ascii="Arial" w:hAnsi="Arial" w:cs="Arial"/>
          <w:b/>
          <w:bCs/>
        </w:rPr>
      </w:pPr>
      <w:proofErr w:type="gramStart"/>
      <w:r w:rsidRPr="008F4BDA">
        <w:rPr>
          <w:rFonts w:ascii="Arial" w:hAnsi="Arial" w:cs="Arial"/>
          <w:b/>
          <w:bCs/>
        </w:rPr>
        <w:t>Table 1.</w:t>
      </w:r>
      <w:proofErr w:type="gramEnd"/>
      <w:r w:rsidRPr="008F4BDA">
        <w:rPr>
          <w:rFonts w:ascii="Arial" w:hAnsi="Arial" w:cs="Arial"/>
          <w:b/>
          <w:bCs/>
        </w:rPr>
        <w:t xml:space="preserve"> Summary of Total Annual Respondents, Responses, and Burden by Component (all figures are rounded)</w:t>
      </w:r>
    </w:p>
    <w:tbl>
      <w:tblPr>
        <w:tblW w:w="8534" w:type="dxa"/>
        <w:jc w:val="center"/>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2"/>
        <w:gridCol w:w="1415"/>
        <w:gridCol w:w="1621"/>
        <w:gridCol w:w="1976"/>
      </w:tblGrid>
      <w:tr w:rsidR="008F4BDA" w:rsidRPr="008F4BDA" w:rsidTr="00DA36E4">
        <w:trPr>
          <w:trHeight w:val="570"/>
          <w:jc w:val="center"/>
        </w:trPr>
        <w:tc>
          <w:tcPr>
            <w:tcW w:w="3522" w:type="dxa"/>
            <w:tcBorders>
              <w:top w:val="single" w:sz="18" w:space="0" w:color="auto"/>
              <w:left w:val="single" w:sz="18" w:space="0" w:color="auto"/>
              <w:bottom w:val="single" w:sz="18" w:space="0" w:color="auto"/>
            </w:tcBorders>
            <w:shd w:val="clear" w:color="auto" w:fill="D9D9D9"/>
            <w:noWrap/>
            <w:vAlign w:val="center"/>
            <w:hideMark/>
          </w:tcPr>
          <w:p w:rsidR="008F4BDA" w:rsidRPr="008F4BDA" w:rsidRDefault="008F4BDA" w:rsidP="008F4BDA">
            <w:pPr>
              <w:widowControl/>
              <w:autoSpaceDE/>
              <w:autoSpaceDN/>
              <w:adjustRightInd/>
              <w:jc w:val="center"/>
              <w:rPr>
                <w:rFonts w:ascii="Times New Roman" w:hAnsi="Times New Roman"/>
                <w:b/>
                <w:color w:val="000000"/>
                <w:sz w:val="22"/>
                <w:szCs w:val="22"/>
              </w:rPr>
            </w:pPr>
            <w:r w:rsidRPr="008F4BDA">
              <w:rPr>
                <w:rFonts w:ascii="Times New Roman" w:hAnsi="Times New Roman"/>
                <w:b/>
                <w:color w:val="000000"/>
                <w:sz w:val="22"/>
                <w:szCs w:val="22"/>
              </w:rPr>
              <w:t>Component</w:t>
            </w:r>
          </w:p>
        </w:tc>
        <w:tc>
          <w:tcPr>
            <w:tcW w:w="1415" w:type="dxa"/>
            <w:tcBorders>
              <w:top w:val="single" w:sz="18" w:space="0" w:color="auto"/>
            </w:tcBorders>
            <w:shd w:val="clear" w:color="auto" w:fill="D9D9D9"/>
            <w:vAlign w:val="center"/>
          </w:tcPr>
          <w:p w:rsidR="008F4BDA" w:rsidRPr="008F4BDA" w:rsidRDefault="008F4BDA" w:rsidP="008F4BDA">
            <w:pPr>
              <w:widowControl/>
              <w:autoSpaceDE/>
              <w:autoSpaceDN/>
              <w:adjustRightInd/>
              <w:jc w:val="center"/>
              <w:rPr>
                <w:rFonts w:ascii="Times New Roman" w:hAnsi="Times New Roman"/>
                <w:b/>
                <w:bCs/>
                <w:color w:val="000000"/>
                <w:sz w:val="22"/>
                <w:szCs w:val="22"/>
              </w:rPr>
            </w:pPr>
            <w:r w:rsidRPr="008F4BDA">
              <w:rPr>
                <w:rFonts w:ascii="Times New Roman" w:hAnsi="Times New Roman"/>
                <w:b/>
                <w:bCs/>
                <w:color w:val="000000"/>
                <w:sz w:val="22"/>
                <w:szCs w:val="22"/>
              </w:rPr>
              <w:t>Number of Respondents</w:t>
            </w:r>
          </w:p>
        </w:tc>
        <w:tc>
          <w:tcPr>
            <w:tcW w:w="1621" w:type="dxa"/>
            <w:tcBorders>
              <w:top w:val="single" w:sz="18" w:space="0" w:color="auto"/>
            </w:tcBorders>
            <w:shd w:val="clear" w:color="auto" w:fill="D9D9D9"/>
            <w:vAlign w:val="center"/>
            <w:hideMark/>
          </w:tcPr>
          <w:p w:rsidR="008F4BDA" w:rsidRPr="008F4BDA" w:rsidRDefault="008F4BDA" w:rsidP="008F4BDA">
            <w:pPr>
              <w:widowControl/>
              <w:autoSpaceDE/>
              <w:autoSpaceDN/>
              <w:adjustRightInd/>
              <w:jc w:val="center"/>
              <w:rPr>
                <w:rFonts w:ascii="Times New Roman" w:hAnsi="Times New Roman"/>
                <w:b/>
                <w:bCs/>
                <w:color w:val="000000"/>
                <w:sz w:val="22"/>
                <w:szCs w:val="22"/>
              </w:rPr>
            </w:pPr>
            <w:r w:rsidRPr="008F4BDA">
              <w:rPr>
                <w:rFonts w:ascii="Times New Roman" w:hAnsi="Times New Roman"/>
                <w:b/>
                <w:bCs/>
                <w:color w:val="000000"/>
                <w:sz w:val="22"/>
                <w:szCs w:val="22"/>
              </w:rPr>
              <w:t>Number of Responses</w:t>
            </w:r>
          </w:p>
        </w:tc>
        <w:tc>
          <w:tcPr>
            <w:tcW w:w="1976" w:type="dxa"/>
            <w:tcBorders>
              <w:top w:val="single" w:sz="18" w:space="0" w:color="auto"/>
              <w:right w:val="single" w:sz="18" w:space="0" w:color="auto"/>
            </w:tcBorders>
            <w:shd w:val="clear" w:color="auto" w:fill="D9D9D9"/>
            <w:vAlign w:val="center"/>
            <w:hideMark/>
          </w:tcPr>
          <w:p w:rsidR="008F4BDA" w:rsidRPr="008F4BDA" w:rsidRDefault="008F4BDA" w:rsidP="008F4BDA">
            <w:pPr>
              <w:widowControl/>
              <w:autoSpaceDE/>
              <w:autoSpaceDN/>
              <w:adjustRightInd/>
              <w:jc w:val="center"/>
              <w:rPr>
                <w:rFonts w:ascii="Times New Roman" w:hAnsi="Times New Roman"/>
                <w:b/>
                <w:bCs/>
                <w:color w:val="000000"/>
                <w:sz w:val="22"/>
                <w:szCs w:val="22"/>
              </w:rPr>
            </w:pPr>
            <w:r w:rsidRPr="008F4BDA">
              <w:rPr>
                <w:rFonts w:ascii="Times New Roman" w:hAnsi="Times New Roman"/>
                <w:b/>
                <w:bCs/>
                <w:color w:val="000000"/>
                <w:sz w:val="22"/>
                <w:szCs w:val="22"/>
              </w:rPr>
              <w:t>Hourly Burden</w:t>
            </w:r>
          </w:p>
        </w:tc>
      </w:tr>
      <w:tr w:rsidR="008F4BDA" w:rsidRPr="008F4BDA" w:rsidTr="00DA36E4">
        <w:trPr>
          <w:trHeight w:val="300"/>
          <w:jc w:val="center"/>
        </w:trPr>
        <w:tc>
          <w:tcPr>
            <w:tcW w:w="3522" w:type="dxa"/>
            <w:tcBorders>
              <w:top w:val="single" w:sz="18" w:space="0" w:color="auto"/>
              <w:left w:val="single" w:sz="18" w:space="0" w:color="auto"/>
            </w:tcBorders>
            <w:shd w:val="clear" w:color="auto" w:fill="auto"/>
            <w:vAlign w:val="center"/>
            <w:hideMark/>
          </w:tcPr>
          <w:p w:rsidR="008F4BDA" w:rsidRPr="008F4BDA" w:rsidRDefault="008F4BDA" w:rsidP="008F4BDA">
            <w:pPr>
              <w:widowControl/>
              <w:autoSpaceDE/>
              <w:autoSpaceDN/>
              <w:adjustRightInd/>
              <w:jc w:val="center"/>
              <w:rPr>
                <w:rFonts w:ascii="Times New Roman" w:hAnsi="Times New Roman"/>
                <w:b/>
                <w:bCs/>
                <w:color w:val="000000"/>
                <w:sz w:val="22"/>
                <w:szCs w:val="22"/>
              </w:rPr>
            </w:pPr>
            <w:r w:rsidRPr="008F4BDA">
              <w:rPr>
                <w:rFonts w:ascii="Times New Roman" w:hAnsi="Times New Roman"/>
                <w:b/>
                <w:bCs/>
                <w:color w:val="000000"/>
                <w:sz w:val="22"/>
                <w:szCs w:val="22"/>
              </w:rPr>
              <w:lastRenderedPageBreak/>
              <w:t>Component 1: Freight Carriers</w:t>
            </w:r>
          </w:p>
        </w:tc>
        <w:tc>
          <w:tcPr>
            <w:tcW w:w="1415" w:type="dxa"/>
            <w:tcBorders>
              <w:top w:val="single" w:sz="18" w:space="0" w:color="auto"/>
            </w:tcBorders>
            <w:vAlign w:val="center"/>
          </w:tcPr>
          <w:p w:rsidR="008F4BDA" w:rsidRPr="008F4BDA" w:rsidRDefault="008F4BDA" w:rsidP="008F4BDA">
            <w:pPr>
              <w:widowControl/>
              <w:autoSpaceDE/>
              <w:autoSpaceDN/>
              <w:adjustRightInd/>
              <w:jc w:val="center"/>
              <w:rPr>
                <w:rFonts w:ascii="Times New Roman" w:hAnsi="Times New Roman"/>
                <w:color w:val="000000"/>
                <w:sz w:val="22"/>
                <w:szCs w:val="22"/>
              </w:rPr>
            </w:pPr>
            <w:r w:rsidRPr="008F4BDA">
              <w:rPr>
                <w:rFonts w:ascii="Times New Roman" w:hAnsi="Times New Roman"/>
                <w:color w:val="000000"/>
                <w:sz w:val="22"/>
                <w:szCs w:val="22"/>
              </w:rPr>
              <w:t>187,000</w:t>
            </w:r>
          </w:p>
        </w:tc>
        <w:tc>
          <w:tcPr>
            <w:tcW w:w="1621" w:type="dxa"/>
            <w:tcBorders>
              <w:top w:val="single" w:sz="18" w:space="0" w:color="auto"/>
            </w:tcBorders>
            <w:shd w:val="clear" w:color="auto" w:fill="auto"/>
            <w:noWrap/>
            <w:vAlign w:val="center"/>
            <w:hideMark/>
          </w:tcPr>
          <w:p w:rsidR="008F4BDA" w:rsidRPr="008F4BDA" w:rsidRDefault="008F4BDA" w:rsidP="008F4BDA">
            <w:pPr>
              <w:widowControl/>
              <w:autoSpaceDE/>
              <w:autoSpaceDN/>
              <w:adjustRightInd/>
              <w:jc w:val="center"/>
              <w:rPr>
                <w:rFonts w:ascii="Times New Roman" w:hAnsi="Times New Roman"/>
                <w:color w:val="000000"/>
                <w:sz w:val="22"/>
                <w:szCs w:val="22"/>
              </w:rPr>
            </w:pPr>
            <w:r w:rsidRPr="008F4BDA">
              <w:rPr>
                <w:rFonts w:ascii="Times New Roman" w:hAnsi="Times New Roman"/>
                <w:color w:val="000000"/>
                <w:sz w:val="22"/>
                <w:szCs w:val="22"/>
              </w:rPr>
              <w:t>1,430,000</w:t>
            </w:r>
          </w:p>
        </w:tc>
        <w:tc>
          <w:tcPr>
            <w:tcW w:w="1976" w:type="dxa"/>
            <w:tcBorders>
              <w:top w:val="single" w:sz="18" w:space="0" w:color="auto"/>
              <w:right w:val="single" w:sz="18" w:space="0" w:color="auto"/>
            </w:tcBorders>
            <w:shd w:val="clear" w:color="auto" w:fill="auto"/>
            <w:noWrap/>
            <w:vAlign w:val="center"/>
          </w:tcPr>
          <w:p w:rsidR="008F4BDA" w:rsidRPr="008F4BDA" w:rsidRDefault="008F4BDA" w:rsidP="008F4BDA">
            <w:pPr>
              <w:widowControl/>
              <w:autoSpaceDE/>
              <w:autoSpaceDN/>
              <w:adjustRightInd/>
              <w:jc w:val="center"/>
              <w:rPr>
                <w:rFonts w:ascii="Times New Roman" w:hAnsi="Times New Roman"/>
                <w:color w:val="000000"/>
                <w:sz w:val="22"/>
                <w:szCs w:val="22"/>
              </w:rPr>
            </w:pPr>
            <w:r w:rsidRPr="008F4BDA">
              <w:rPr>
                <w:rFonts w:ascii="Times New Roman" w:hAnsi="Times New Roman"/>
                <w:color w:val="000000"/>
                <w:sz w:val="22"/>
                <w:szCs w:val="22"/>
              </w:rPr>
              <w:t>620,000</w:t>
            </w:r>
          </w:p>
        </w:tc>
      </w:tr>
      <w:tr w:rsidR="008F4BDA" w:rsidRPr="008F4BDA" w:rsidTr="00DA36E4">
        <w:trPr>
          <w:trHeight w:val="300"/>
          <w:jc w:val="center"/>
        </w:trPr>
        <w:tc>
          <w:tcPr>
            <w:tcW w:w="3522" w:type="dxa"/>
            <w:tcBorders>
              <w:left w:val="single" w:sz="18" w:space="0" w:color="auto"/>
            </w:tcBorders>
            <w:shd w:val="clear" w:color="auto" w:fill="auto"/>
            <w:vAlign w:val="center"/>
            <w:hideMark/>
          </w:tcPr>
          <w:p w:rsidR="008F4BDA" w:rsidRPr="008F4BDA" w:rsidRDefault="008F4BDA" w:rsidP="008F4BDA">
            <w:pPr>
              <w:widowControl/>
              <w:autoSpaceDE/>
              <w:autoSpaceDN/>
              <w:adjustRightInd/>
              <w:jc w:val="center"/>
              <w:rPr>
                <w:rFonts w:ascii="Times New Roman" w:hAnsi="Times New Roman"/>
                <w:b/>
                <w:bCs/>
                <w:color w:val="000000"/>
                <w:sz w:val="22"/>
                <w:szCs w:val="22"/>
              </w:rPr>
            </w:pPr>
            <w:r w:rsidRPr="008F4BDA">
              <w:rPr>
                <w:rFonts w:ascii="Times New Roman" w:hAnsi="Times New Roman"/>
                <w:b/>
                <w:bCs/>
                <w:color w:val="000000"/>
                <w:sz w:val="22"/>
                <w:szCs w:val="22"/>
              </w:rPr>
              <w:t>Component 2: Passenger Carriers</w:t>
            </w:r>
          </w:p>
        </w:tc>
        <w:tc>
          <w:tcPr>
            <w:tcW w:w="1415" w:type="dxa"/>
            <w:vAlign w:val="center"/>
          </w:tcPr>
          <w:p w:rsidR="008F4BDA" w:rsidRPr="008F4BDA" w:rsidRDefault="008F4BDA" w:rsidP="008F4BDA">
            <w:pPr>
              <w:widowControl/>
              <w:autoSpaceDE/>
              <w:autoSpaceDN/>
              <w:adjustRightInd/>
              <w:jc w:val="center"/>
              <w:rPr>
                <w:rFonts w:ascii="Times New Roman" w:hAnsi="Times New Roman"/>
                <w:color w:val="000000"/>
                <w:sz w:val="22"/>
                <w:szCs w:val="22"/>
              </w:rPr>
            </w:pPr>
            <w:r w:rsidRPr="008F4BDA">
              <w:rPr>
                <w:rFonts w:ascii="Times New Roman" w:hAnsi="Times New Roman"/>
                <w:color w:val="000000"/>
                <w:sz w:val="22"/>
                <w:szCs w:val="22"/>
              </w:rPr>
              <w:t>4,000</w:t>
            </w:r>
          </w:p>
        </w:tc>
        <w:tc>
          <w:tcPr>
            <w:tcW w:w="1621" w:type="dxa"/>
            <w:shd w:val="clear" w:color="auto" w:fill="auto"/>
            <w:noWrap/>
            <w:vAlign w:val="center"/>
            <w:hideMark/>
          </w:tcPr>
          <w:p w:rsidR="008F4BDA" w:rsidRPr="008F4BDA" w:rsidRDefault="008F4BDA" w:rsidP="008F4BDA">
            <w:pPr>
              <w:widowControl/>
              <w:autoSpaceDE/>
              <w:autoSpaceDN/>
              <w:adjustRightInd/>
              <w:jc w:val="center"/>
              <w:rPr>
                <w:rFonts w:ascii="Times New Roman" w:hAnsi="Times New Roman"/>
                <w:color w:val="000000"/>
                <w:sz w:val="22"/>
                <w:szCs w:val="22"/>
              </w:rPr>
            </w:pPr>
            <w:r w:rsidRPr="008F4BDA">
              <w:rPr>
                <w:rFonts w:ascii="Times New Roman" w:hAnsi="Times New Roman"/>
                <w:color w:val="000000"/>
                <w:sz w:val="22"/>
                <w:szCs w:val="22"/>
              </w:rPr>
              <w:t>66,000</w:t>
            </w:r>
          </w:p>
        </w:tc>
        <w:tc>
          <w:tcPr>
            <w:tcW w:w="1976" w:type="dxa"/>
            <w:tcBorders>
              <w:right w:val="single" w:sz="18" w:space="0" w:color="auto"/>
            </w:tcBorders>
            <w:shd w:val="clear" w:color="auto" w:fill="auto"/>
            <w:noWrap/>
            <w:vAlign w:val="center"/>
          </w:tcPr>
          <w:p w:rsidR="008F4BDA" w:rsidRPr="008F4BDA" w:rsidRDefault="008F4BDA" w:rsidP="008F4BDA">
            <w:pPr>
              <w:widowControl/>
              <w:autoSpaceDE/>
              <w:autoSpaceDN/>
              <w:adjustRightInd/>
              <w:jc w:val="center"/>
              <w:rPr>
                <w:rFonts w:ascii="Times New Roman" w:hAnsi="Times New Roman"/>
                <w:color w:val="000000"/>
                <w:sz w:val="22"/>
                <w:szCs w:val="22"/>
              </w:rPr>
            </w:pPr>
            <w:r w:rsidRPr="008F4BDA">
              <w:rPr>
                <w:rFonts w:ascii="Times New Roman" w:hAnsi="Times New Roman"/>
                <w:color w:val="000000"/>
                <w:sz w:val="22"/>
                <w:szCs w:val="22"/>
              </w:rPr>
              <w:t>26,000</w:t>
            </w:r>
          </w:p>
        </w:tc>
      </w:tr>
      <w:tr w:rsidR="008F4BDA" w:rsidRPr="008F4BDA" w:rsidTr="00DA36E4">
        <w:trPr>
          <w:trHeight w:val="300"/>
          <w:jc w:val="center"/>
        </w:trPr>
        <w:tc>
          <w:tcPr>
            <w:tcW w:w="3522" w:type="dxa"/>
            <w:tcBorders>
              <w:left w:val="single" w:sz="18" w:space="0" w:color="auto"/>
            </w:tcBorders>
            <w:shd w:val="clear" w:color="auto" w:fill="auto"/>
            <w:vAlign w:val="center"/>
            <w:hideMark/>
          </w:tcPr>
          <w:p w:rsidR="008F4BDA" w:rsidRPr="008F4BDA" w:rsidRDefault="008F4BDA" w:rsidP="008F4BDA">
            <w:pPr>
              <w:widowControl/>
              <w:autoSpaceDE/>
              <w:autoSpaceDN/>
              <w:adjustRightInd/>
              <w:jc w:val="center"/>
              <w:rPr>
                <w:rFonts w:ascii="Times New Roman" w:hAnsi="Times New Roman"/>
                <w:b/>
                <w:bCs/>
                <w:color w:val="000000"/>
                <w:sz w:val="22"/>
                <w:szCs w:val="22"/>
              </w:rPr>
            </w:pPr>
            <w:r w:rsidRPr="008F4BDA">
              <w:rPr>
                <w:rFonts w:ascii="Times New Roman" w:hAnsi="Times New Roman"/>
                <w:b/>
                <w:bCs/>
                <w:color w:val="000000"/>
                <w:sz w:val="22"/>
                <w:szCs w:val="22"/>
              </w:rPr>
              <w:t>Component 3: IEPs</w:t>
            </w:r>
          </w:p>
        </w:tc>
        <w:tc>
          <w:tcPr>
            <w:tcW w:w="1415" w:type="dxa"/>
            <w:vAlign w:val="center"/>
          </w:tcPr>
          <w:p w:rsidR="008F4BDA" w:rsidRPr="008F4BDA" w:rsidRDefault="008F4BDA" w:rsidP="008F4BDA">
            <w:pPr>
              <w:widowControl/>
              <w:autoSpaceDE/>
              <w:autoSpaceDN/>
              <w:adjustRightInd/>
              <w:jc w:val="center"/>
              <w:rPr>
                <w:rFonts w:ascii="Times New Roman" w:hAnsi="Times New Roman"/>
                <w:color w:val="000000"/>
                <w:sz w:val="22"/>
                <w:szCs w:val="22"/>
              </w:rPr>
            </w:pPr>
            <w:r w:rsidRPr="008F4BDA">
              <w:rPr>
                <w:rFonts w:ascii="Times New Roman" w:hAnsi="Times New Roman"/>
                <w:color w:val="000000"/>
                <w:sz w:val="22"/>
                <w:szCs w:val="22"/>
              </w:rPr>
              <w:t>9</w:t>
            </w:r>
          </w:p>
        </w:tc>
        <w:tc>
          <w:tcPr>
            <w:tcW w:w="1621" w:type="dxa"/>
            <w:shd w:val="clear" w:color="auto" w:fill="auto"/>
            <w:noWrap/>
            <w:vAlign w:val="center"/>
            <w:hideMark/>
          </w:tcPr>
          <w:p w:rsidR="008F4BDA" w:rsidRPr="008F4BDA" w:rsidRDefault="008F4BDA" w:rsidP="008F4BDA">
            <w:pPr>
              <w:widowControl/>
              <w:autoSpaceDE/>
              <w:autoSpaceDN/>
              <w:adjustRightInd/>
              <w:jc w:val="center"/>
              <w:rPr>
                <w:rFonts w:ascii="Times New Roman" w:hAnsi="Times New Roman"/>
                <w:color w:val="000000"/>
                <w:sz w:val="22"/>
                <w:szCs w:val="22"/>
              </w:rPr>
            </w:pPr>
            <w:r w:rsidRPr="008F4BDA">
              <w:rPr>
                <w:rFonts w:ascii="Times New Roman" w:hAnsi="Times New Roman"/>
                <w:color w:val="000000"/>
                <w:sz w:val="22"/>
                <w:szCs w:val="22"/>
              </w:rPr>
              <w:t>21,000</w:t>
            </w:r>
          </w:p>
        </w:tc>
        <w:tc>
          <w:tcPr>
            <w:tcW w:w="1976" w:type="dxa"/>
            <w:tcBorders>
              <w:right w:val="single" w:sz="18" w:space="0" w:color="auto"/>
            </w:tcBorders>
            <w:shd w:val="clear" w:color="auto" w:fill="auto"/>
            <w:noWrap/>
            <w:vAlign w:val="center"/>
          </w:tcPr>
          <w:p w:rsidR="008F4BDA" w:rsidRPr="008F4BDA" w:rsidRDefault="008F4BDA" w:rsidP="008F4BDA">
            <w:pPr>
              <w:widowControl/>
              <w:autoSpaceDE/>
              <w:autoSpaceDN/>
              <w:adjustRightInd/>
              <w:jc w:val="center"/>
              <w:rPr>
                <w:rFonts w:ascii="Times New Roman" w:hAnsi="Times New Roman"/>
                <w:color w:val="000000"/>
                <w:sz w:val="22"/>
                <w:szCs w:val="22"/>
              </w:rPr>
            </w:pPr>
            <w:r w:rsidRPr="008F4BDA">
              <w:rPr>
                <w:rFonts w:ascii="Times New Roman" w:hAnsi="Times New Roman"/>
                <w:color w:val="000000"/>
                <w:sz w:val="22"/>
                <w:szCs w:val="22"/>
              </w:rPr>
              <w:t>9,000</w:t>
            </w:r>
          </w:p>
        </w:tc>
      </w:tr>
      <w:tr w:rsidR="008F4BDA" w:rsidRPr="008F4BDA" w:rsidTr="00DA36E4">
        <w:trPr>
          <w:trHeight w:val="300"/>
          <w:jc w:val="center"/>
        </w:trPr>
        <w:tc>
          <w:tcPr>
            <w:tcW w:w="3522" w:type="dxa"/>
            <w:tcBorders>
              <w:left w:val="single" w:sz="18" w:space="0" w:color="auto"/>
              <w:bottom w:val="single" w:sz="18" w:space="0" w:color="auto"/>
            </w:tcBorders>
            <w:shd w:val="clear" w:color="auto" w:fill="auto"/>
            <w:vAlign w:val="center"/>
            <w:hideMark/>
          </w:tcPr>
          <w:p w:rsidR="008F4BDA" w:rsidRPr="008F4BDA" w:rsidRDefault="008F4BDA" w:rsidP="008F4BDA">
            <w:pPr>
              <w:widowControl/>
              <w:autoSpaceDE/>
              <w:autoSpaceDN/>
              <w:adjustRightInd/>
              <w:jc w:val="center"/>
              <w:rPr>
                <w:rFonts w:ascii="Times New Roman" w:hAnsi="Times New Roman"/>
                <w:b/>
                <w:bCs/>
                <w:color w:val="000000"/>
                <w:sz w:val="22"/>
                <w:szCs w:val="22"/>
              </w:rPr>
            </w:pPr>
            <w:r w:rsidRPr="008F4BDA">
              <w:rPr>
                <w:rFonts w:ascii="Times New Roman" w:hAnsi="Times New Roman"/>
                <w:b/>
                <w:bCs/>
                <w:color w:val="000000"/>
                <w:sz w:val="22"/>
                <w:szCs w:val="22"/>
              </w:rPr>
              <w:t>Total</w:t>
            </w:r>
          </w:p>
        </w:tc>
        <w:tc>
          <w:tcPr>
            <w:tcW w:w="1415" w:type="dxa"/>
            <w:tcBorders>
              <w:bottom w:val="single" w:sz="18" w:space="0" w:color="auto"/>
            </w:tcBorders>
            <w:vAlign w:val="center"/>
          </w:tcPr>
          <w:p w:rsidR="008F4BDA" w:rsidRPr="008F4BDA" w:rsidRDefault="008F4BDA" w:rsidP="008F4BDA">
            <w:pPr>
              <w:widowControl/>
              <w:autoSpaceDE/>
              <w:autoSpaceDN/>
              <w:adjustRightInd/>
              <w:jc w:val="center"/>
              <w:rPr>
                <w:rFonts w:ascii="Times New Roman" w:hAnsi="Times New Roman"/>
                <w:b/>
                <w:bCs/>
                <w:color w:val="000000"/>
                <w:sz w:val="22"/>
                <w:szCs w:val="22"/>
              </w:rPr>
            </w:pPr>
            <w:r w:rsidRPr="008F4BDA">
              <w:rPr>
                <w:rFonts w:ascii="Times New Roman" w:hAnsi="Times New Roman"/>
                <w:b/>
                <w:bCs/>
                <w:color w:val="000000"/>
                <w:sz w:val="22"/>
                <w:szCs w:val="22"/>
              </w:rPr>
              <w:t>191,000</w:t>
            </w:r>
          </w:p>
        </w:tc>
        <w:tc>
          <w:tcPr>
            <w:tcW w:w="1621" w:type="dxa"/>
            <w:tcBorders>
              <w:bottom w:val="single" w:sz="18" w:space="0" w:color="auto"/>
            </w:tcBorders>
            <w:shd w:val="clear" w:color="auto" w:fill="auto"/>
            <w:noWrap/>
            <w:vAlign w:val="center"/>
            <w:hideMark/>
          </w:tcPr>
          <w:p w:rsidR="008F4BDA" w:rsidRPr="008F4BDA" w:rsidRDefault="008F4BDA" w:rsidP="008F4BDA">
            <w:pPr>
              <w:widowControl/>
              <w:autoSpaceDE/>
              <w:autoSpaceDN/>
              <w:adjustRightInd/>
              <w:jc w:val="center"/>
              <w:rPr>
                <w:rFonts w:ascii="Times New Roman" w:hAnsi="Times New Roman"/>
                <w:b/>
                <w:bCs/>
                <w:color w:val="000000"/>
                <w:sz w:val="22"/>
                <w:szCs w:val="22"/>
              </w:rPr>
            </w:pPr>
            <w:r w:rsidRPr="008F4BDA">
              <w:rPr>
                <w:rFonts w:ascii="Times New Roman" w:hAnsi="Times New Roman"/>
                <w:b/>
                <w:bCs/>
                <w:color w:val="000000"/>
                <w:sz w:val="22"/>
                <w:szCs w:val="22"/>
              </w:rPr>
              <w:t>1,517,000</w:t>
            </w:r>
          </w:p>
        </w:tc>
        <w:tc>
          <w:tcPr>
            <w:tcW w:w="1976" w:type="dxa"/>
            <w:tcBorders>
              <w:bottom w:val="single" w:sz="18" w:space="0" w:color="auto"/>
              <w:right w:val="single" w:sz="18" w:space="0" w:color="auto"/>
            </w:tcBorders>
            <w:shd w:val="clear" w:color="auto" w:fill="auto"/>
            <w:noWrap/>
            <w:vAlign w:val="center"/>
          </w:tcPr>
          <w:p w:rsidR="008F4BDA" w:rsidRPr="008F4BDA" w:rsidRDefault="008F4BDA" w:rsidP="008F4BDA">
            <w:pPr>
              <w:widowControl/>
              <w:autoSpaceDE/>
              <w:autoSpaceDN/>
              <w:adjustRightInd/>
              <w:jc w:val="center"/>
              <w:rPr>
                <w:rFonts w:ascii="Times New Roman" w:hAnsi="Times New Roman"/>
                <w:b/>
                <w:bCs/>
                <w:color w:val="000000"/>
                <w:sz w:val="22"/>
                <w:szCs w:val="22"/>
              </w:rPr>
            </w:pPr>
            <w:r w:rsidRPr="008F4BDA">
              <w:rPr>
                <w:rFonts w:ascii="Times New Roman" w:hAnsi="Times New Roman"/>
                <w:b/>
                <w:bCs/>
                <w:color w:val="000000"/>
                <w:sz w:val="22"/>
                <w:szCs w:val="22"/>
              </w:rPr>
              <w:t>655,000</w:t>
            </w:r>
          </w:p>
        </w:tc>
      </w:tr>
    </w:tbl>
    <w:p w:rsidR="008F4BDA" w:rsidRPr="008F4BDA" w:rsidRDefault="008F4BDA" w:rsidP="008F4BDA">
      <w:pPr>
        <w:widowControl/>
        <w:tabs>
          <w:tab w:val="left" w:pos="450"/>
        </w:tabs>
        <w:ind w:left="360"/>
        <w:rPr>
          <w:rFonts w:ascii="Times New Roman" w:hAnsi="Times New Roman"/>
          <w:bCs/>
          <w:sz w:val="24"/>
          <w:szCs w:val="24"/>
        </w:rPr>
      </w:pPr>
    </w:p>
    <w:p w:rsidR="008F4BDA" w:rsidRPr="008F4BDA" w:rsidRDefault="008F4BDA" w:rsidP="008F4BDA">
      <w:pPr>
        <w:widowControl/>
        <w:tabs>
          <w:tab w:val="left" w:pos="450"/>
        </w:tabs>
        <w:ind w:left="360"/>
        <w:rPr>
          <w:rFonts w:ascii="Times New Roman" w:hAnsi="Times New Roman"/>
          <w:bCs/>
          <w:sz w:val="24"/>
          <w:szCs w:val="24"/>
        </w:rPr>
      </w:pPr>
      <w:r w:rsidRPr="008F4BDA">
        <w:rPr>
          <w:rFonts w:ascii="Times New Roman" w:hAnsi="Times New Roman"/>
          <w:b/>
          <w:bCs/>
          <w:sz w:val="24"/>
          <w:szCs w:val="24"/>
        </w:rPr>
        <w:t>Estimated Total Annual Burden:  655,000</w:t>
      </w:r>
      <w:r w:rsidRPr="008F4BDA">
        <w:rPr>
          <w:rFonts w:ascii="Times New Roman" w:hAnsi="Times New Roman"/>
          <w:bCs/>
          <w:sz w:val="24"/>
          <w:szCs w:val="24"/>
        </w:rPr>
        <w:t xml:space="preserve"> hours spent by motor carriers and IEPs marking CMVs with a DOT number and carrier information.</w:t>
      </w:r>
    </w:p>
    <w:p w:rsidR="008F4BDA" w:rsidRPr="008F4BDA" w:rsidRDefault="008F4BDA" w:rsidP="008F4BDA">
      <w:pPr>
        <w:widowControl/>
        <w:tabs>
          <w:tab w:val="left" w:pos="450"/>
        </w:tabs>
        <w:ind w:left="360"/>
        <w:rPr>
          <w:rFonts w:ascii="Times New Roman" w:hAnsi="Times New Roman"/>
          <w:b/>
          <w:bCs/>
          <w:sz w:val="24"/>
          <w:szCs w:val="24"/>
        </w:rPr>
      </w:pPr>
    </w:p>
    <w:p w:rsidR="008F4BDA" w:rsidRPr="008F4BDA" w:rsidRDefault="008F4BDA" w:rsidP="008F4BDA">
      <w:pPr>
        <w:widowControl/>
        <w:tabs>
          <w:tab w:val="left" w:pos="450"/>
        </w:tabs>
        <w:ind w:left="360"/>
        <w:rPr>
          <w:rFonts w:ascii="Times New Roman" w:hAnsi="Times New Roman"/>
          <w:bCs/>
          <w:sz w:val="24"/>
          <w:szCs w:val="24"/>
        </w:rPr>
      </w:pPr>
      <w:r w:rsidRPr="008F4BDA">
        <w:rPr>
          <w:rFonts w:ascii="Times New Roman" w:hAnsi="Times New Roman"/>
          <w:b/>
          <w:bCs/>
          <w:sz w:val="24"/>
          <w:szCs w:val="24"/>
        </w:rPr>
        <w:t>Estimated Total Annual Respondents:  191,000</w:t>
      </w:r>
      <w:r w:rsidRPr="008F4BDA">
        <w:rPr>
          <w:rFonts w:ascii="Times New Roman" w:hAnsi="Times New Roman"/>
          <w:bCs/>
          <w:sz w:val="24"/>
          <w:szCs w:val="24"/>
        </w:rPr>
        <w:t xml:space="preserve"> motor carriers and IEPs.</w:t>
      </w:r>
    </w:p>
    <w:p w:rsidR="008F4BDA" w:rsidRPr="008F4BDA" w:rsidRDefault="008F4BDA" w:rsidP="008F4BDA">
      <w:pPr>
        <w:widowControl/>
        <w:tabs>
          <w:tab w:val="left" w:pos="450"/>
        </w:tabs>
        <w:ind w:left="360"/>
        <w:rPr>
          <w:rFonts w:ascii="Times New Roman" w:hAnsi="Times New Roman"/>
          <w:b/>
          <w:bCs/>
          <w:sz w:val="24"/>
          <w:szCs w:val="24"/>
        </w:rPr>
      </w:pPr>
    </w:p>
    <w:p w:rsidR="008F4BDA" w:rsidRPr="008F4BDA" w:rsidRDefault="008F4BDA" w:rsidP="008F4BDA">
      <w:pPr>
        <w:widowControl/>
        <w:tabs>
          <w:tab w:val="left" w:pos="450"/>
        </w:tabs>
        <w:ind w:left="360"/>
        <w:rPr>
          <w:rFonts w:ascii="Times New Roman" w:hAnsi="Times New Roman"/>
          <w:bCs/>
          <w:sz w:val="24"/>
          <w:szCs w:val="24"/>
        </w:rPr>
      </w:pPr>
      <w:r w:rsidRPr="008F4BDA">
        <w:rPr>
          <w:rFonts w:ascii="Times New Roman" w:hAnsi="Times New Roman"/>
          <w:b/>
          <w:bCs/>
          <w:sz w:val="24"/>
          <w:szCs w:val="24"/>
        </w:rPr>
        <w:t xml:space="preserve">Estimated Total Annual Responses:  1,517,000 </w:t>
      </w:r>
      <w:r w:rsidRPr="008F4BDA">
        <w:rPr>
          <w:rFonts w:ascii="Times New Roman" w:hAnsi="Times New Roman"/>
          <w:bCs/>
          <w:sz w:val="24"/>
          <w:szCs w:val="24"/>
        </w:rPr>
        <w:t>responses regarding the marking of freight-carrying CMVs, passenger-carrying CMVs, and intermodal equipment and vehicles.</w:t>
      </w:r>
    </w:p>
    <w:p w:rsidR="008F4BDA" w:rsidRPr="008F4BDA" w:rsidRDefault="008F4BDA" w:rsidP="008F4BDA">
      <w:pPr>
        <w:widowControl/>
        <w:tabs>
          <w:tab w:val="left" w:pos="450"/>
        </w:tabs>
        <w:ind w:left="360"/>
        <w:rPr>
          <w:rFonts w:ascii="Times New Roman" w:hAnsi="Times New Roman"/>
          <w:b/>
          <w:bCs/>
          <w:sz w:val="24"/>
          <w:szCs w:val="24"/>
        </w:rPr>
      </w:pPr>
    </w:p>
    <w:p w:rsidR="008F4BDA" w:rsidRPr="008F4BDA" w:rsidRDefault="008F4BDA" w:rsidP="008F4BDA">
      <w:pPr>
        <w:widowControl/>
        <w:tabs>
          <w:tab w:val="left" w:pos="450"/>
        </w:tabs>
        <w:ind w:left="360"/>
        <w:rPr>
          <w:rFonts w:ascii="Times New Roman" w:hAnsi="Times New Roman"/>
          <w:bCs/>
          <w:sz w:val="24"/>
          <w:szCs w:val="24"/>
        </w:rPr>
      </w:pPr>
      <w:r w:rsidRPr="008F4BDA">
        <w:rPr>
          <w:rFonts w:ascii="Times New Roman" w:hAnsi="Times New Roman"/>
          <w:bCs/>
          <w:sz w:val="24"/>
          <w:szCs w:val="24"/>
        </w:rPr>
        <w:t>FMCSA calculated labor costs based on a truck mechanic’s national mean hourly wage of $18.77 for the General Freight Trucking industry,</w:t>
      </w:r>
      <w:r w:rsidRPr="008F4BDA">
        <w:rPr>
          <w:rFonts w:ascii="Times New Roman" w:hAnsi="Times New Roman"/>
          <w:bCs/>
          <w:sz w:val="24"/>
          <w:szCs w:val="24"/>
          <w:vertAlign w:val="superscript"/>
        </w:rPr>
        <w:footnoteReference w:id="7"/>
      </w:r>
      <w:r w:rsidRPr="008F4BDA">
        <w:rPr>
          <w:rFonts w:ascii="Times New Roman" w:hAnsi="Times New Roman"/>
          <w:bCs/>
          <w:sz w:val="24"/>
          <w:szCs w:val="24"/>
        </w:rPr>
        <w:t xml:space="preserve"> fringe benefits of 55 percent,</w:t>
      </w:r>
      <w:r w:rsidRPr="008F4BDA">
        <w:rPr>
          <w:rFonts w:ascii="Times New Roman" w:hAnsi="Times New Roman"/>
          <w:bCs/>
          <w:sz w:val="24"/>
          <w:szCs w:val="24"/>
          <w:vertAlign w:val="superscript"/>
        </w:rPr>
        <w:footnoteReference w:id="8"/>
      </w:r>
      <w:r w:rsidRPr="008F4BDA">
        <w:rPr>
          <w:rFonts w:ascii="Times New Roman" w:hAnsi="Times New Roman"/>
          <w:bCs/>
          <w:sz w:val="24"/>
          <w:szCs w:val="24"/>
        </w:rPr>
        <w:t xml:space="preserve"> and overhead of 27 percent.</w:t>
      </w:r>
      <w:r w:rsidRPr="008F4BDA">
        <w:rPr>
          <w:rFonts w:ascii="Times New Roman" w:hAnsi="Times New Roman"/>
          <w:bCs/>
          <w:sz w:val="24"/>
          <w:szCs w:val="24"/>
          <w:vertAlign w:val="superscript"/>
        </w:rPr>
        <w:footnoteReference w:id="9"/>
      </w:r>
      <w:r w:rsidRPr="008F4BDA">
        <w:rPr>
          <w:rFonts w:ascii="Times New Roman" w:hAnsi="Times New Roman"/>
          <w:bCs/>
          <w:sz w:val="24"/>
          <w:szCs w:val="24"/>
        </w:rPr>
        <w:t xml:space="preserve">  The estimated hourly labor cost is $36.95 (= $18.77 × 1.55 × 1.27). Given the annual hour burden of 655,000 across all carriers and IEPs, the estimated total annual labor burden cost is </w:t>
      </w:r>
      <w:r w:rsidRPr="008F4BDA">
        <w:rPr>
          <w:rFonts w:ascii="Times New Roman" w:hAnsi="Times New Roman"/>
          <w:b/>
          <w:bCs/>
          <w:sz w:val="24"/>
          <w:szCs w:val="24"/>
        </w:rPr>
        <w:t>$24,202,000</w:t>
      </w:r>
      <w:r w:rsidRPr="008F4BDA">
        <w:rPr>
          <w:rFonts w:ascii="Times New Roman" w:hAnsi="Times New Roman"/>
          <w:bCs/>
          <w:sz w:val="24"/>
          <w:szCs w:val="24"/>
        </w:rPr>
        <w:t xml:space="preserve"> (655,000 burden hours × $36.95 per hour, rounded to the nearest thousand).</w:t>
      </w:r>
    </w:p>
    <w:p w:rsidR="008F4BDA" w:rsidRPr="008F4BDA" w:rsidRDefault="008F4BDA" w:rsidP="008F4BDA">
      <w:pPr>
        <w:widowControl/>
        <w:tabs>
          <w:tab w:val="left" w:pos="450"/>
        </w:tabs>
        <w:rPr>
          <w:rFonts w:ascii="Times New Roman" w:hAnsi="Times New Roman"/>
          <w:b/>
          <w:sz w:val="24"/>
        </w:rPr>
      </w:pPr>
    </w:p>
    <w:p w:rsidR="008F4BDA" w:rsidRPr="008F4BDA" w:rsidRDefault="008F4BDA" w:rsidP="008F4BDA">
      <w:pPr>
        <w:widowControl/>
        <w:numPr>
          <w:ilvl w:val="0"/>
          <w:numId w:val="31"/>
        </w:numPr>
        <w:rPr>
          <w:rFonts w:ascii="Times New Roman" w:hAnsi="Times New Roman"/>
        </w:rPr>
      </w:pPr>
      <w:r w:rsidRPr="008F4BDA">
        <w:rPr>
          <w:rFonts w:ascii="Times New Roman" w:hAnsi="Times New Roman"/>
          <w:b/>
          <w:bCs/>
          <w:sz w:val="24"/>
          <w:szCs w:val="24"/>
        </w:rPr>
        <w:t>ESTIMATE OF TOTAL ANNUAL COSTS TO RESPONDENTS</w:t>
      </w:r>
    </w:p>
    <w:p w:rsidR="008F4BDA" w:rsidRPr="008F4BDA" w:rsidRDefault="008F4BDA" w:rsidP="008F4BDA">
      <w:pPr>
        <w:widowControl/>
        <w:ind w:left="360"/>
        <w:rPr>
          <w:rFonts w:ascii="Times New Roman" w:hAnsi="Times New Roman"/>
        </w:rPr>
      </w:pPr>
      <w:r w:rsidRPr="008F4BDA">
        <w:rPr>
          <w:rFonts w:ascii="Times New Roman" w:hAnsi="Times New Roman"/>
        </w:rPr>
        <w:t xml:space="preserve"> </w:t>
      </w:r>
    </w:p>
    <w:p w:rsidR="008F4BDA" w:rsidRPr="008F4BDA" w:rsidRDefault="008F4BDA" w:rsidP="008F4BDA">
      <w:pPr>
        <w:widowControl/>
        <w:tabs>
          <w:tab w:val="left" w:pos="360"/>
        </w:tabs>
        <w:ind w:left="360" w:hanging="360"/>
        <w:rPr>
          <w:rFonts w:ascii="Times New Roman" w:hAnsi="Times New Roman"/>
          <w:sz w:val="24"/>
        </w:rPr>
      </w:pPr>
      <w:r w:rsidRPr="008F4BDA">
        <w:rPr>
          <w:rFonts w:ascii="Times New Roman" w:hAnsi="Times New Roman"/>
          <w:sz w:val="24"/>
        </w:rPr>
        <w:tab/>
        <w:t xml:space="preserve">The estimated total annual costs to respondents vary by entity, as explained above. The total annual cost per respondent depends on the material cost per vehicle. The marking requirements call for the display of the carrier’s name and address (city and state) and USDOT number.  The marking must be displayed on both sides of the vehicle (equipment). </w:t>
      </w:r>
    </w:p>
    <w:p w:rsidR="008F4BDA" w:rsidRPr="008F4BDA" w:rsidRDefault="008F4BDA" w:rsidP="008F4BDA">
      <w:pPr>
        <w:widowControl/>
        <w:tabs>
          <w:tab w:val="left" w:pos="360"/>
        </w:tabs>
        <w:ind w:left="360" w:hanging="360"/>
        <w:rPr>
          <w:rFonts w:ascii="Times New Roman" w:hAnsi="Times New Roman"/>
          <w:sz w:val="24"/>
        </w:rPr>
      </w:pPr>
    </w:p>
    <w:p w:rsidR="008F4BDA" w:rsidRPr="008F4BDA" w:rsidRDefault="008F4BDA" w:rsidP="008F4BDA">
      <w:pPr>
        <w:widowControl/>
        <w:tabs>
          <w:tab w:val="left" w:pos="360"/>
        </w:tabs>
        <w:ind w:left="360" w:hanging="360"/>
        <w:rPr>
          <w:rFonts w:ascii="Times New Roman" w:hAnsi="Times New Roman"/>
          <w:sz w:val="24"/>
        </w:rPr>
      </w:pPr>
      <w:r w:rsidRPr="008F4BDA">
        <w:rPr>
          <w:rFonts w:ascii="Times New Roman" w:hAnsi="Times New Roman"/>
          <w:sz w:val="24"/>
        </w:rPr>
        <w:tab/>
        <w:t>Due to the diversity of carriers and the dynamics of renting and leasing of vehicles and equipment, the estimate of cost is based on a recent snapshot</w:t>
      </w:r>
      <w:r w:rsidRPr="008F4BDA">
        <w:rPr>
          <w:rFonts w:ascii="Times New Roman" w:hAnsi="Times New Roman"/>
          <w:i/>
          <w:sz w:val="24"/>
        </w:rPr>
        <w:t xml:space="preserve"> </w:t>
      </w:r>
      <w:r w:rsidRPr="008F4BDA">
        <w:rPr>
          <w:rFonts w:ascii="Times New Roman" w:hAnsi="Times New Roman"/>
          <w:sz w:val="24"/>
        </w:rPr>
        <w:t xml:space="preserve">(August 24, 2012) of carrier and CMV counts. The CMV count is of owned, leased and rented vehicles combined. The annual cost per carrier is estimated based on the average size of carrier, as explained below. </w:t>
      </w:r>
    </w:p>
    <w:p w:rsidR="008F4BDA" w:rsidRPr="008F4BDA" w:rsidRDefault="008F4BDA" w:rsidP="008F4BDA">
      <w:pPr>
        <w:widowControl/>
        <w:tabs>
          <w:tab w:val="left" w:pos="360"/>
        </w:tabs>
        <w:ind w:left="360" w:hanging="360"/>
        <w:rPr>
          <w:rFonts w:ascii="Times New Roman" w:hAnsi="Times New Roman"/>
          <w:sz w:val="24"/>
        </w:rPr>
      </w:pPr>
      <w:r w:rsidRPr="008F4BDA">
        <w:rPr>
          <w:rFonts w:ascii="Times New Roman" w:hAnsi="Times New Roman"/>
          <w:sz w:val="24"/>
        </w:rPr>
        <w:t xml:space="preserve">  </w:t>
      </w:r>
      <w:r w:rsidRPr="008F4BDA">
        <w:rPr>
          <w:rFonts w:ascii="Times New Roman" w:hAnsi="Times New Roman"/>
          <w:sz w:val="24"/>
        </w:rPr>
        <w:tab/>
      </w:r>
    </w:p>
    <w:p w:rsidR="008F4BDA" w:rsidRPr="008F4BDA" w:rsidRDefault="008F4BDA" w:rsidP="008F4BDA">
      <w:pPr>
        <w:widowControl/>
        <w:numPr>
          <w:ilvl w:val="0"/>
          <w:numId w:val="36"/>
        </w:numPr>
        <w:tabs>
          <w:tab w:val="left" w:pos="360"/>
        </w:tabs>
        <w:rPr>
          <w:rFonts w:ascii="Times New Roman" w:hAnsi="Times New Roman"/>
          <w:sz w:val="24"/>
        </w:rPr>
      </w:pPr>
      <w:r w:rsidRPr="008F4BDA">
        <w:rPr>
          <w:rFonts w:ascii="Times New Roman" w:hAnsi="Times New Roman"/>
          <w:sz w:val="24"/>
        </w:rPr>
        <w:t>Freight-carrying commercial motor carriers.</w:t>
      </w:r>
    </w:p>
    <w:p w:rsidR="008F4BDA" w:rsidRPr="008F4BDA" w:rsidRDefault="008F4BDA" w:rsidP="008F4BDA">
      <w:pPr>
        <w:widowControl/>
        <w:tabs>
          <w:tab w:val="left" w:pos="360"/>
        </w:tabs>
        <w:ind w:left="720"/>
        <w:rPr>
          <w:rFonts w:ascii="Times New Roman" w:hAnsi="Times New Roman"/>
          <w:sz w:val="24"/>
        </w:rPr>
      </w:pPr>
    </w:p>
    <w:p w:rsidR="008F4BDA" w:rsidRPr="008F4BDA" w:rsidRDefault="008F4BDA" w:rsidP="008F4BDA">
      <w:pPr>
        <w:widowControl/>
        <w:tabs>
          <w:tab w:val="left" w:pos="360"/>
        </w:tabs>
        <w:ind w:left="360"/>
        <w:rPr>
          <w:rFonts w:ascii="Times New Roman" w:hAnsi="Times New Roman"/>
          <w:sz w:val="24"/>
        </w:rPr>
      </w:pPr>
      <w:r w:rsidRPr="008F4BDA">
        <w:rPr>
          <w:rFonts w:ascii="Times New Roman" w:hAnsi="Times New Roman"/>
          <w:sz w:val="24"/>
        </w:rPr>
        <w:lastRenderedPageBreak/>
        <w:t xml:space="preserve">The vast majority of these carriers currently use stencils or decals for marking, as these are the cheapest methods.  The paper option is not conducive to this type of carrier. The distribution of freight carriers by size is presented below in Table 2.  As shown, the majority (86 percent) of those carriers is small (1–6 CMVs).  </w:t>
      </w:r>
    </w:p>
    <w:p w:rsidR="008F4BDA" w:rsidRPr="008F4BDA" w:rsidRDefault="008F4BDA" w:rsidP="008F4BDA">
      <w:pPr>
        <w:widowControl/>
        <w:tabs>
          <w:tab w:val="left" w:pos="360"/>
        </w:tabs>
        <w:rPr>
          <w:rFonts w:ascii="Times New Roman" w:hAnsi="Times New Roman"/>
          <w:sz w:val="24"/>
        </w:rPr>
      </w:pPr>
    </w:p>
    <w:p w:rsidR="00937E4D" w:rsidRPr="008F4BDA" w:rsidRDefault="00937E4D" w:rsidP="00937E4D">
      <w:pPr>
        <w:widowControl/>
        <w:tabs>
          <w:tab w:val="left" w:pos="360"/>
        </w:tabs>
        <w:spacing w:after="200"/>
        <w:jc w:val="center"/>
        <w:rPr>
          <w:rFonts w:ascii="Arial" w:hAnsi="Arial" w:cs="Arial"/>
        </w:rPr>
      </w:pPr>
      <w:r w:rsidRPr="00937E4D">
        <w:rPr>
          <w:rFonts w:ascii="Arial" w:eastAsia="Arial Unicode MS" w:hAnsi="Arial" w:cs="Arial"/>
          <w:b/>
          <w:bCs/>
          <w:color w:val="000000"/>
        </w:rPr>
        <w:t xml:space="preserve"> </w:t>
      </w:r>
      <w:proofErr w:type="gramStart"/>
      <w:r w:rsidRPr="008F4BDA">
        <w:rPr>
          <w:rFonts w:ascii="Arial" w:eastAsia="Arial Unicode MS" w:hAnsi="Arial" w:cs="Arial"/>
          <w:b/>
          <w:bCs/>
          <w:color w:val="000000"/>
        </w:rPr>
        <w:t>Table 2.</w:t>
      </w:r>
      <w:proofErr w:type="gramEnd"/>
      <w:r w:rsidRPr="008F4BDA">
        <w:rPr>
          <w:rFonts w:ascii="Arial" w:eastAsia="Arial Unicode MS" w:hAnsi="Arial" w:cs="Arial"/>
          <w:b/>
          <w:bCs/>
          <w:color w:val="000000"/>
        </w:rPr>
        <w:t xml:space="preserve"> Distribution of Freight Carriers by Size (2012)</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6"/>
        <w:gridCol w:w="1023"/>
        <w:gridCol w:w="1841"/>
        <w:gridCol w:w="1096"/>
        <w:gridCol w:w="1646"/>
      </w:tblGrid>
      <w:tr w:rsidR="00937E4D" w:rsidRPr="008F4BDA" w:rsidTr="00D603C5">
        <w:trPr>
          <w:cantSplit/>
          <w:trHeight w:hRule="exact" w:val="576"/>
          <w:jc w:val="center"/>
        </w:trPr>
        <w:tc>
          <w:tcPr>
            <w:tcW w:w="0" w:type="auto"/>
            <w:tcBorders>
              <w:top w:val="single" w:sz="18" w:space="0" w:color="auto"/>
              <w:left w:val="single" w:sz="18" w:space="0" w:color="auto"/>
            </w:tcBorders>
            <w:shd w:val="clear" w:color="auto" w:fill="D9D9D9"/>
            <w:vAlign w:val="center"/>
            <w:hideMark/>
          </w:tcPr>
          <w:p w:rsidR="00937E4D" w:rsidRPr="008F4BDA" w:rsidRDefault="00937E4D" w:rsidP="00D603C5">
            <w:pPr>
              <w:widowControl/>
              <w:autoSpaceDE/>
              <w:autoSpaceDN/>
              <w:adjustRightInd/>
              <w:jc w:val="center"/>
              <w:rPr>
                <w:rFonts w:ascii="Times New Roman" w:hAnsi="Times New Roman"/>
                <w:b/>
                <w:bCs/>
                <w:color w:val="000000"/>
                <w:sz w:val="22"/>
                <w:szCs w:val="22"/>
              </w:rPr>
            </w:pPr>
            <w:r w:rsidRPr="008F4BDA">
              <w:rPr>
                <w:rFonts w:ascii="Times New Roman" w:hAnsi="Times New Roman"/>
                <w:b/>
                <w:bCs/>
                <w:color w:val="000000"/>
                <w:sz w:val="22"/>
                <w:szCs w:val="22"/>
              </w:rPr>
              <w:t xml:space="preserve">   Carrier Size</w:t>
            </w:r>
          </w:p>
        </w:tc>
        <w:tc>
          <w:tcPr>
            <w:tcW w:w="0" w:type="auto"/>
            <w:tcBorders>
              <w:top w:val="single" w:sz="18" w:space="0" w:color="auto"/>
            </w:tcBorders>
            <w:shd w:val="clear" w:color="auto" w:fill="D9D9D9"/>
            <w:noWrap/>
            <w:vAlign w:val="center"/>
            <w:hideMark/>
          </w:tcPr>
          <w:p w:rsidR="00937E4D" w:rsidRPr="008F4BDA" w:rsidRDefault="00937E4D" w:rsidP="00D603C5">
            <w:pPr>
              <w:widowControl/>
              <w:autoSpaceDE/>
              <w:autoSpaceDN/>
              <w:adjustRightInd/>
              <w:jc w:val="center"/>
              <w:rPr>
                <w:rFonts w:ascii="Times New Roman" w:hAnsi="Times New Roman"/>
                <w:b/>
                <w:bCs/>
                <w:color w:val="000000"/>
                <w:sz w:val="22"/>
                <w:szCs w:val="22"/>
              </w:rPr>
            </w:pPr>
            <w:r w:rsidRPr="008F4BDA">
              <w:rPr>
                <w:rFonts w:ascii="Times New Roman" w:hAnsi="Times New Roman"/>
                <w:b/>
                <w:bCs/>
                <w:color w:val="000000"/>
                <w:sz w:val="22"/>
                <w:szCs w:val="22"/>
              </w:rPr>
              <w:t>Carriers</w:t>
            </w:r>
          </w:p>
        </w:tc>
        <w:tc>
          <w:tcPr>
            <w:tcW w:w="0" w:type="auto"/>
            <w:tcBorders>
              <w:top w:val="single" w:sz="18" w:space="0" w:color="auto"/>
            </w:tcBorders>
            <w:shd w:val="clear" w:color="auto" w:fill="D9D9D9"/>
            <w:vAlign w:val="center"/>
            <w:hideMark/>
          </w:tcPr>
          <w:p w:rsidR="00937E4D" w:rsidRPr="008F4BDA" w:rsidRDefault="00937E4D" w:rsidP="00D603C5">
            <w:pPr>
              <w:widowControl/>
              <w:autoSpaceDE/>
              <w:autoSpaceDN/>
              <w:adjustRightInd/>
              <w:jc w:val="center"/>
              <w:rPr>
                <w:rFonts w:ascii="Times New Roman" w:hAnsi="Times New Roman"/>
                <w:b/>
                <w:bCs/>
                <w:color w:val="000000"/>
                <w:sz w:val="22"/>
                <w:szCs w:val="22"/>
              </w:rPr>
            </w:pPr>
            <w:r w:rsidRPr="008F4BDA">
              <w:rPr>
                <w:rFonts w:ascii="Times New Roman" w:hAnsi="Times New Roman"/>
                <w:b/>
                <w:bCs/>
                <w:color w:val="000000"/>
                <w:sz w:val="22"/>
                <w:szCs w:val="22"/>
              </w:rPr>
              <w:t>Carriers  percent</w:t>
            </w:r>
          </w:p>
        </w:tc>
        <w:tc>
          <w:tcPr>
            <w:tcW w:w="0" w:type="auto"/>
            <w:tcBorders>
              <w:top w:val="single" w:sz="18" w:space="0" w:color="auto"/>
            </w:tcBorders>
            <w:shd w:val="clear" w:color="auto" w:fill="D9D9D9"/>
            <w:noWrap/>
            <w:vAlign w:val="center"/>
            <w:hideMark/>
          </w:tcPr>
          <w:p w:rsidR="00937E4D" w:rsidRPr="008F4BDA" w:rsidRDefault="00937E4D" w:rsidP="00D603C5">
            <w:pPr>
              <w:widowControl/>
              <w:autoSpaceDE/>
              <w:autoSpaceDN/>
              <w:adjustRightInd/>
              <w:jc w:val="center"/>
              <w:rPr>
                <w:rFonts w:ascii="Times New Roman" w:hAnsi="Times New Roman"/>
                <w:b/>
                <w:bCs/>
                <w:color w:val="000000"/>
                <w:sz w:val="22"/>
                <w:szCs w:val="22"/>
              </w:rPr>
            </w:pPr>
            <w:r w:rsidRPr="008F4BDA">
              <w:rPr>
                <w:rFonts w:ascii="Times New Roman" w:hAnsi="Times New Roman"/>
                <w:b/>
                <w:bCs/>
                <w:color w:val="000000"/>
                <w:sz w:val="22"/>
                <w:szCs w:val="22"/>
              </w:rPr>
              <w:t>CMVs</w:t>
            </w:r>
          </w:p>
        </w:tc>
        <w:tc>
          <w:tcPr>
            <w:tcW w:w="0" w:type="auto"/>
            <w:tcBorders>
              <w:top w:val="single" w:sz="18" w:space="0" w:color="auto"/>
              <w:bottom w:val="single" w:sz="18" w:space="0" w:color="auto"/>
              <w:right w:val="single" w:sz="18" w:space="0" w:color="auto"/>
            </w:tcBorders>
            <w:shd w:val="clear" w:color="auto" w:fill="D9D9D9"/>
            <w:noWrap/>
            <w:vAlign w:val="center"/>
            <w:hideMark/>
          </w:tcPr>
          <w:p w:rsidR="00937E4D" w:rsidRPr="008F4BDA" w:rsidRDefault="00937E4D" w:rsidP="00D603C5">
            <w:pPr>
              <w:widowControl/>
              <w:autoSpaceDE/>
              <w:autoSpaceDN/>
              <w:adjustRightInd/>
              <w:jc w:val="center"/>
              <w:rPr>
                <w:rFonts w:ascii="Times New Roman" w:hAnsi="Times New Roman"/>
                <w:b/>
                <w:bCs/>
                <w:color w:val="000000"/>
                <w:sz w:val="22"/>
                <w:szCs w:val="22"/>
              </w:rPr>
            </w:pPr>
            <w:r w:rsidRPr="008F4BDA">
              <w:rPr>
                <w:rFonts w:ascii="Times New Roman" w:hAnsi="Times New Roman"/>
                <w:b/>
                <w:bCs/>
                <w:color w:val="000000"/>
                <w:sz w:val="22"/>
                <w:szCs w:val="22"/>
              </w:rPr>
              <w:t>CMVs  percent</w:t>
            </w:r>
          </w:p>
        </w:tc>
      </w:tr>
      <w:tr w:rsidR="00937E4D" w:rsidRPr="008F4BDA" w:rsidTr="00D603C5">
        <w:trPr>
          <w:cantSplit/>
          <w:trHeight w:hRule="exact" w:val="300"/>
          <w:jc w:val="center"/>
        </w:trPr>
        <w:tc>
          <w:tcPr>
            <w:tcW w:w="0" w:type="auto"/>
            <w:tcBorders>
              <w:top w:val="single" w:sz="18" w:space="0" w:color="auto"/>
              <w:left w:val="single" w:sz="18" w:space="0" w:color="auto"/>
            </w:tcBorders>
            <w:shd w:val="clear" w:color="auto" w:fill="auto"/>
            <w:vAlign w:val="center"/>
            <w:hideMark/>
          </w:tcPr>
          <w:p w:rsidR="00937E4D" w:rsidRPr="008F4BDA" w:rsidRDefault="00937E4D" w:rsidP="00D603C5">
            <w:pPr>
              <w:widowControl/>
              <w:autoSpaceDE/>
              <w:autoSpaceDN/>
              <w:adjustRightInd/>
              <w:jc w:val="center"/>
              <w:rPr>
                <w:rFonts w:ascii="Times New Roman" w:hAnsi="Times New Roman"/>
                <w:b/>
                <w:bCs/>
                <w:color w:val="000000"/>
                <w:sz w:val="22"/>
                <w:szCs w:val="22"/>
              </w:rPr>
            </w:pPr>
            <w:r w:rsidRPr="008F4BDA">
              <w:rPr>
                <w:rFonts w:ascii="Times New Roman" w:hAnsi="Times New Roman"/>
                <w:b/>
                <w:bCs/>
                <w:color w:val="000000"/>
                <w:sz w:val="22"/>
                <w:szCs w:val="22"/>
              </w:rPr>
              <w:t xml:space="preserve"> 1-6</w:t>
            </w:r>
          </w:p>
        </w:tc>
        <w:tc>
          <w:tcPr>
            <w:tcW w:w="0" w:type="auto"/>
            <w:tcBorders>
              <w:top w:val="single" w:sz="18" w:space="0" w:color="auto"/>
            </w:tcBorders>
            <w:shd w:val="clear" w:color="auto" w:fill="auto"/>
            <w:noWrap/>
            <w:vAlign w:val="center"/>
            <w:hideMark/>
          </w:tcPr>
          <w:p w:rsidR="00937E4D" w:rsidRPr="008F4BDA" w:rsidRDefault="00937E4D" w:rsidP="00D603C5">
            <w:pPr>
              <w:widowControl/>
              <w:autoSpaceDE/>
              <w:autoSpaceDN/>
              <w:adjustRightInd/>
              <w:jc w:val="center"/>
              <w:rPr>
                <w:rFonts w:ascii="Times New Roman" w:hAnsi="Times New Roman"/>
                <w:color w:val="000000"/>
                <w:sz w:val="22"/>
                <w:szCs w:val="22"/>
              </w:rPr>
            </w:pPr>
            <w:r w:rsidRPr="008F4BDA">
              <w:rPr>
                <w:rFonts w:ascii="Times New Roman" w:hAnsi="Times New Roman"/>
                <w:color w:val="000000"/>
                <w:sz w:val="22"/>
                <w:szCs w:val="22"/>
              </w:rPr>
              <w:t>426,161</w:t>
            </w:r>
          </w:p>
        </w:tc>
        <w:tc>
          <w:tcPr>
            <w:tcW w:w="0" w:type="auto"/>
            <w:tcBorders>
              <w:top w:val="single" w:sz="18" w:space="0" w:color="auto"/>
            </w:tcBorders>
            <w:shd w:val="clear" w:color="auto" w:fill="auto"/>
            <w:vAlign w:val="center"/>
            <w:hideMark/>
          </w:tcPr>
          <w:p w:rsidR="00937E4D" w:rsidRPr="008F4BDA" w:rsidRDefault="00937E4D" w:rsidP="00D603C5">
            <w:pPr>
              <w:widowControl/>
              <w:autoSpaceDE/>
              <w:autoSpaceDN/>
              <w:adjustRightInd/>
              <w:jc w:val="center"/>
              <w:rPr>
                <w:rFonts w:ascii="Times New Roman" w:hAnsi="Times New Roman"/>
                <w:color w:val="000000"/>
                <w:sz w:val="22"/>
                <w:szCs w:val="22"/>
              </w:rPr>
            </w:pPr>
            <w:r w:rsidRPr="008F4BDA">
              <w:rPr>
                <w:rFonts w:ascii="Times New Roman" w:hAnsi="Times New Roman"/>
                <w:color w:val="000000"/>
                <w:sz w:val="22"/>
                <w:szCs w:val="22"/>
              </w:rPr>
              <w:t>86 percent</w:t>
            </w:r>
          </w:p>
        </w:tc>
        <w:tc>
          <w:tcPr>
            <w:tcW w:w="0" w:type="auto"/>
            <w:tcBorders>
              <w:top w:val="single" w:sz="18" w:space="0" w:color="auto"/>
            </w:tcBorders>
            <w:shd w:val="clear" w:color="auto" w:fill="auto"/>
            <w:noWrap/>
            <w:vAlign w:val="center"/>
            <w:hideMark/>
          </w:tcPr>
          <w:p w:rsidR="00937E4D" w:rsidRPr="008F4BDA" w:rsidRDefault="00937E4D" w:rsidP="00D603C5">
            <w:pPr>
              <w:widowControl/>
              <w:autoSpaceDE/>
              <w:autoSpaceDN/>
              <w:adjustRightInd/>
              <w:jc w:val="center"/>
              <w:rPr>
                <w:rFonts w:ascii="Times New Roman" w:hAnsi="Times New Roman"/>
                <w:color w:val="000000"/>
                <w:sz w:val="22"/>
                <w:szCs w:val="22"/>
              </w:rPr>
            </w:pPr>
            <w:r w:rsidRPr="008F4BDA">
              <w:rPr>
                <w:rFonts w:ascii="Times New Roman" w:hAnsi="Times New Roman"/>
                <w:color w:val="000000"/>
                <w:sz w:val="22"/>
                <w:szCs w:val="22"/>
              </w:rPr>
              <w:t>808,337</w:t>
            </w:r>
          </w:p>
        </w:tc>
        <w:tc>
          <w:tcPr>
            <w:tcW w:w="0" w:type="auto"/>
            <w:tcBorders>
              <w:top w:val="single" w:sz="18" w:space="0" w:color="auto"/>
              <w:right w:val="single" w:sz="18" w:space="0" w:color="auto"/>
            </w:tcBorders>
            <w:shd w:val="clear" w:color="auto" w:fill="auto"/>
            <w:vAlign w:val="center"/>
            <w:hideMark/>
          </w:tcPr>
          <w:p w:rsidR="00937E4D" w:rsidRPr="008F4BDA" w:rsidRDefault="00937E4D" w:rsidP="00D603C5">
            <w:pPr>
              <w:widowControl/>
              <w:autoSpaceDE/>
              <w:autoSpaceDN/>
              <w:adjustRightInd/>
              <w:jc w:val="center"/>
              <w:rPr>
                <w:rFonts w:ascii="Times New Roman" w:hAnsi="Times New Roman"/>
                <w:color w:val="000000"/>
                <w:sz w:val="22"/>
                <w:szCs w:val="22"/>
              </w:rPr>
            </w:pPr>
            <w:r w:rsidRPr="008F4BDA">
              <w:rPr>
                <w:rFonts w:ascii="Times New Roman" w:hAnsi="Times New Roman"/>
                <w:color w:val="000000"/>
                <w:sz w:val="22"/>
                <w:szCs w:val="22"/>
              </w:rPr>
              <w:t>21 percent</w:t>
            </w:r>
          </w:p>
        </w:tc>
      </w:tr>
      <w:tr w:rsidR="00937E4D" w:rsidRPr="008F4BDA" w:rsidTr="00D603C5">
        <w:trPr>
          <w:cantSplit/>
          <w:trHeight w:hRule="exact" w:val="300"/>
          <w:jc w:val="center"/>
        </w:trPr>
        <w:tc>
          <w:tcPr>
            <w:tcW w:w="0" w:type="auto"/>
            <w:tcBorders>
              <w:left w:val="single" w:sz="18" w:space="0" w:color="auto"/>
            </w:tcBorders>
            <w:shd w:val="clear" w:color="auto" w:fill="auto"/>
            <w:vAlign w:val="center"/>
            <w:hideMark/>
          </w:tcPr>
          <w:p w:rsidR="00937E4D" w:rsidRPr="008F4BDA" w:rsidRDefault="00937E4D" w:rsidP="00D603C5">
            <w:pPr>
              <w:widowControl/>
              <w:autoSpaceDE/>
              <w:autoSpaceDN/>
              <w:adjustRightInd/>
              <w:jc w:val="center"/>
              <w:rPr>
                <w:rFonts w:ascii="Times New Roman" w:hAnsi="Times New Roman"/>
                <w:b/>
                <w:bCs/>
                <w:color w:val="000000"/>
                <w:sz w:val="22"/>
                <w:szCs w:val="22"/>
              </w:rPr>
            </w:pPr>
            <w:r w:rsidRPr="008F4BDA">
              <w:rPr>
                <w:rFonts w:ascii="Times New Roman" w:hAnsi="Times New Roman"/>
                <w:b/>
                <w:bCs/>
                <w:color w:val="000000"/>
                <w:sz w:val="22"/>
                <w:szCs w:val="22"/>
              </w:rPr>
              <w:t>7-19</w:t>
            </w:r>
          </w:p>
        </w:tc>
        <w:tc>
          <w:tcPr>
            <w:tcW w:w="0" w:type="auto"/>
            <w:shd w:val="clear" w:color="auto" w:fill="auto"/>
            <w:noWrap/>
            <w:vAlign w:val="center"/>
            <w:hideMark/>
          </w:tcPr>
          <w:p w:rsidR="00937E4D" w:rsidRPr="008F4BDA" w:rsidRDefault="00937E4D" w:rsidP="00D603C5">
            <w:pPr>
              <w:widowControl/>
              <w:autoSpaceDE/>
              <w:autoSpaceDN/>
              <w:adjustRightInd/>
              <w:jc w:val="center"/>
              <w:rPr>
                <w:rFonts w:ascii="Times New Roman" w:hAnsi="Times New Roman"/>
                <w:color w:val="000000"/>
                <w:sz w:val="22"/>
                <w:szCs w:val="22"/>
              </w:rPr>
            </w:pPr>
            <w:r w:rsidRPr="008F4BDA">
              <w:rPr>
                <w:rFonts w:ascii="Times New Roman" w:hAnsi="Times New Roman"/>
                <w:color w:val="000000"/>
                <w:sz w:val="22"/>
                <w:szCs w:val="22"/>
              </w:rPr>
              <w:t>46,379</w:t>
            </w:r>
          </w:p>
        </w:tc>
        <w:tc>
          <w:tcPr>
            <w:tcW w:w="0" w:type="auto"/>
            <w:shd w:val="clear" w:color="auto" w:fill="auto"/>
            <w:vAlign w:val="center"/>
            <w:hideMark/>
          </w:tcPr>
          <w:p w:rsidR="00937E4D" w:rsidRPr="008F4BDA" w:rsidRDefault="00937E4D" w:rsidP="00D603C5">
            <w:pPr>
              <w:widowControl/>
              <w:autoSpaceDE/>
              <w:autoSpaceDN/>
              <w:adjustRightInd/>
              <w:jc w:val="center"/>
              <w:rPr>
                <w:rFonts w:ascii="Times New Roman" w:hAnsi="Times New Roman"/>
                <w:color w:val="000000"/>
                <w:sz w:val="22"/>
                <w:szCs w:val="22"/>
              </w:rPr>
            </w:pPr>
            <w:r w:rsidRPr="008F4BDA">
              <w:rPr>
                <w:rFonts w:ascii="Times New Roman" w:hAnsi="Times New Roman"/>
                <w:color w:val="000000"/>
                <w:sz w:val="22"/>
                <w:szCs w:val="22"/>
              </w:rPr>
              <w:t>9 percent</w:t>
            </w:r>
          </w:p>
        </w:tc>
        <w:tc>
          <w:tcPr>
            <w:tcW w:w="0" w:type="auto"/>
            <w:shd w:val="clear" w:color="auto" w:fill="auto"/>
            <w:noWrap/>
            <w:vAlign w:val="center"/>
            <w:hideMark/>
          </w:tcPr>
          <w:p w:rsidR="00937E4D" w:rsidRPr="008F4BDA" w:rsidRDefault="00937E4D" w:rsidP="00D603C5">
            <w:pPr>
              <w:widowControl/>
              <w:autoSpaceDE/>
              <w:autoSpaceDN/>
              <w:adjustRightInd/>
              <w:jc w:val="center"/>
              <w:rPr>
                <w:rFonts w:ascii="Times New Roman" w:hAnsi="Times New Roman"/>
                <w:color w:val="000000"/>
                <w:sz w:val="22"/>
                <w:szCs w:val="22"/>
              </w:rPr>
            </w:pPr>
            <w:r w:rsidRPr="008F4BDA">
              <w:rPr>
                <w:rFonts w:ascii="Times New Roman" w:hAnsi="Times New Roman"/>
                <w:color w:val="000000"/>
                <w:sz w:val="22"/>
                <w:szCs w:val="22"/>
              </w:rPr>
              <w:t>503,016</w:t>
            </w:r>
          </w:p>
        </w:tc>
        <w:tc>
          <w:tcPr>
            <w:tcW w:w="0" w:type="auto"/>
            <w:tcBorders>
              <w:right w:val="single" w:sz="18" w:space="0" w:color="auto"/>
            </w:tcBorders>
            <w:shd w:val="clear" w:color="auto" w:fill="auto"/>
            <w:vAlign w:val="center"/>
            <w:hideMark/>
          </w:tcPr>
          <w:p w:rsidR="00937E4D" w:rsidRPr="008F4BDA" w:rsidRDefault="00937E4D" w:rsidP="00D603C5">
            <w:pPr>
              <w:widowControl/>
              <w:autoSpaceDE/>
              <w:autoSpaceDN/>
              <w:adjustRightInd/>
              <w:jc w:val="center"/>
              <w:rPr>
                <w:rFonts w:ascii="Times New Roman" w:hAnsi="Times New Roman"/>
                <w:color w:val="000000"/>
                <w:sz w:val="22"/>
                <w:szCs w:val="22"/>
              </w:rPr>
            </w:pPr>
            <w:r w:rsidRPr="008F4BDA">
              <w:rPr>
                <w:rFonts w:ascii="Times New Roman" w:hAnsi="Times New Roman"/>
                <w:color w:val="000000"/>
                <w:sz w:val="22"/>
                <w:szCs w:val="22"/>
              </w:rPr>
              <w:t>13 percent</w:t>
            </w:r>
          </w:p>
        </w:tc>
      </w:tr>
      <w:tr w:rsidR="00937E4D" w:rsidRPr="008F4BDA" w:rsidTr="00D603C5">
        <w:trPr>
          <w:cantSplit/>
          <w:trHeight w:hRule="exact" w:val="300"/>
          <w:jc w:val="center"/>
        </w:trPr>
        <w:tc>
          <w:tcPr>
            <w:tcW w:w="0" w:type="auto"/>
            <w:tcBorders>
              <w:left w:val="single" w:sz="18" w:space="0" w:color="auto"/>
            </w:tcBorders>
            <w:shd w:val="clear" w:color="auto" w:fill="auto"/>
            <w:vAlign w:val="center"/>
            <w:hideMark/>
          </w:tcPr>
          <w:p w:rsidR="00937E4D" w:rsidRPr="008F4BDA" w:rsidRDefault="00937E4D" w:rsidP="00D603C5">
            <w:pPr>
              <w:widowControl/>
              <w:autoSpaceDE/>
              <w:autoSpaceDN/>
              <w:adjustRightInd/>
              <w:jc w:val="center"/>
              <w:rPr>
                <w:rFonts w:ascii="Times New Roman" w:hAnsi="Times New Roman"/>
                <w:b/>
                <w:bCs/>
                <w:color w:val="000000"/>
                <w:sz w:val="22"/>
                <w:szCs w:val="22"/>
              </w:rPr>
            </w:pPr>
            <w:r w:rsidRPr="008F4BDA">
              <w:rPr>
                <w:rFonts w:ascii="Times New Roman" w:hAnsi="Times New Roman"/>
                <w:b/>
                <w:bCs/>
                <w:color w:val="000000"/>
                <w:sz w:val="22"/>
                <w:szCs w:val="22"/>
              </w:rPr>
              <w:t>20-100</w:t>
            </w:r>
          </w:p>
        </w:tc>
        <w:tc>
          <w:tcPr>
            <w:tcW w:w="0" w:type="auto"/>
            <w:shd w:val="clear" w:color="auto" w:fill="auto"/>
            <w:noWrap/>
            <w:vAlign w:val="center"/>
            <w:hideMark/>
          </w:tcPr>
          <w:p w:rsidR="00937E4D" w:rsidRPr="008F4BDA" w:rsidRDefault="00937E4D" w:rsidP="00D603C5">
            <w:pPr>
              <w:widowControl/>
              <w:autoSpaceDE/>
              <w:autoSpaceDN/>
              <w:adjustRightInd/>
              <w:jc w:val="center"/>
              <w:rPr>
                <w:rFonts w:ascii="Times New Roman" w:hAnsi="Times New Roman"/>
                <w:color w:val="000000"/>
                <w:sz w:val="22"/>
                <w:szCs w:val="22"/>
              </w:rPr>
            </w:pPr>
            <w:r w:rsidRPr="008F4BDA">
              <w:rPr>
                <w:rFonts w:ascii="Times New Roman" w:hAnsi="Times New Roman"/>
                <w:color w:val="000000"/>
                <w:sz w:val="22"/>
                <w:szCs w:val="22"/>
              </w:rPr>
              <w:t>18,928</w:t>
            </w:r>
          </w:p>
        </w:tc>
        <w:tc>
          <w:tcPr>
            <w:tcW w:w="0" w:type="auto"/>
            <w:shd w:val="clear" w:color="auto" w:fill="auto"/>
            <w:vAlign w:val="center"/>
            <w:hideMark/>
          </w:tcPr>
          <w:p w:rsidR="00937E4D" w:rsidRPr="008F4BDA" w:rsidRDefault="00937E4D" w:rsidP="00D603C5">
            <w:pPr>
              <w:widowControl/>
              <w:autoSpaceDE/>
              <w:autoSpaceDN/>
              <w:adjustRightInd/>
              <w:jc w:val="center"/>
              <w:rPr>
                <w:rFonts w:ascii="Times New Roman" w:hAnsi="Times New Roman"/>
                <w:color w:val="000000"/>
                <w:sz w:val="22"/>
                <w:szCs w:val="22"/>
              </w:rPr>
            </w:pPr>
            <w:r w:rsidRPr="008F4BDA">
              <w:rPr>
                <w:rFonts w:ascii="Times New Roman" w:hAnsi="Times New Roman"/>
                <w:color w:val="000000"/>
                <w:sz w:val="22"/>
                <w:szCs w:val="22"/>
              </w:rPr>
              <w:t>4 percent</w:t>
            </w:r>
          </w:p>
        </w:tc>
        <w:tc>
          <w:tcPr>
            <w:tcW w:w="0" w:type="auto"/>
            <w:shd w:val="clear" w:color="auto" w:fill="auto"/>
            <w:noWrap/>
            <w:vAlign w:val="center"/>
            <w:hideMark/>
          </w:tcPr>
          <w:p w:rsidR="00937E4D" w:rsidRPr="008F4BDA" w:rsidRDefault="00937E4D" w:rsidP="00D603C5">
            <w:pPr>
              <w:widowControl/>
              <w:autoSpaceDE/>
              <w:autoSpaceDN/>
              <w:adjustRightInd/>
              <w:jc w:val="center"/>
              <w:rPr>
                <w:rFonts w:ascii="Times New Roman" w:hAnsi="Times New Roman"/>
                <w:color w:val="000000"/>
                <w:sz w:val="22"/>
                <w:szCs w:val="22"/>
              </w:rPr>
            </w:pPr>
            <w:r w:rsidRPr="008F4BDA">
              <w:rPr>
                <w:rFonts w:ascii="Times New Roman" w:hAnsi="Times New Roman"/>
                <w:color w:val="000000"/>
                <w:sz w:val="22"/>
                <w:szCs w:val="22"/>
              </w:rPr>
              <w:t>741,086</w:t>
            </w:r>
          </w:p>
        </w:tc>
        <w:tc>
          <w:tcPr>
            <w:tcW w:w="0" w:type="auto"/>
            <w:tcBorders>
              <w:right w:val="single" w:sz="18" w:space="0" w:color="auto"/>
            </w:tcBorders>
            <w:shd w:val="clear" w:color="auto" w:fill="auto"/>
            <w:vAlign w:val="center"/>
            <w:hideMark/>
          </w:tcPr>
          <w:p w:rsidR="00937E4D" w:rsidRPr="008F4BDA" w:rsidRDefault="00937E4D" w:rsidP="00D603C5">
            <w:pPr>
              <w:widowControl/>
              <w:autoSpaceDE/>
              <w:autoSpaceDN/>
              <w:adjustRightInd/>
              <w:jc w:val="center"/>
              <w:rPr>
                <w:rFonts w:ascii="Times New Roman" w:hAnsi="Times New Roman"/>
                <w:color w:val="000000"/>
                <w:sz w:val="22"/>
                <w:szCs w:val="22"/>
              </w:rPr>
            </w:pPr>
            <w:r w:rsidRPr="008F4BDA">
              <w:rPr>
                <w:rFonts w:ascii="Times New Roman" w:hAnsi="Times New Roman"/>
                <w:color w:val="000000"/>
                <w:sz w:val="22"/>
                <w:szCs w:val="22"/>
              </w:rPr>
              <w:t>20 percent</w:t>
            </w:r>
          </w:p>
        </w:tc>
      </w:tr>
      <w:tr w:rsidR="00937E4D" w:rsidRPr="008F4BDA" w:rsidTr="00D603C5">
        <w:trPr>
          <w:cantSplit/>
          <w:trHeight w:hRule="exact" w:val="300"/>
          <w:jc w:val="center"/>
        </w:trPr>
        <w:tc>
          <w:tcPr>
            <w:tcW w:w="0" w:type="auto"/>
            <w:tcBorders>
              <w:left w:val="single" w:sz="18" w:space="0" w:color="auto"/>
            </w:tcBorders>
            <w:shd w:val="clear" w:color="auto" w:fill="auto"/>
            <w:vAlign w:val="center"/>
            <w:hideMark/>
          </w:tcPr>
          <w:p w:rsidR="00937E4D" w:rsidRPr="008F4BDA" w:rsidRDefault="00937E4D" w:rsidP="00D603C5">
            <w:pPr>
              <w:widowControl/>
              <w:autoSpaceDE/>
              <w:autoSpaceDN/>
              <w:adjustRightInd/>
              <w:jc w:val="center"/>
              <w:rPr>
                <w:rFonts w:ascii="Times New Roman" w:hAnsi="Times New Roman"/>
                <w:b/>
                <w:bCs/>
                <w:color w:val="000000"/>
                <w:sz w:val="22"/>
                <w:szCs w:val="22"/>
              </w:rPr>
            </w:pPr>
            <w:r w:rsidRPr="008F4BDA">
              <w:rPr>
                <w:rFonts w:ascii="Times New Roman" w:hAnsi="Times New Roman"/>
                <w:b/>
                <w:bCs/>
                <w:color w:val="000000"/>
                <w:sz w:val="22"/>
                <w:szCs w:val="22"/>
              </w:rPr>
              <w:t>101+</w:t>
            </w:r>
          </w:p>
        </w:tc>
        <w:tc>
          <w:tcPr>
            <w:tcW w:w="0" w:type="auto"/>
            <w:shd w:val="clear" w:color="auto" w:fill="auto"/>
            <w:noWrap/>
            <w:vAlign w:val="center"/>
            <w:hideMark/>
          </w:tcPr>
          <w:p w:rsidR="00937E4D" w:rsidRPr="008F4BDA" w:rsidRDefault="00937E4D" w:rsidP="00D603C5">
            <w:pPr>
              <w:widowControl/>
              <w:autoSpaceDE/>
              <w:autoSpaceDN/>
              <w:adjustRightInd/>
              <w:jc w:val="center"/>
              <w:rPr>
                <w:rFonts w:ascii="Times New Roman" w:hAnsi="Times New Roman"/>
                <w:color w:val="000000"/>
                <w:sz w:val="22"/>
                <w:szCs w:val="22"/>
              </w:rPr>
            </w:pPr>
            <w:r w:rsidRPr="008F4BDA">
              <w:rPr>
                <w:rFonts w:ascii="Times New Roman" w:hAnsi="Times New Roman"/>
                <w:color w:val="000000"/>
                <w:sz w:val="22"/>
                <w:szCs w:val="22"/>
              </w:rPr>
              <w:t>3,556</w:t>
            </w:r>
          </w:p>
        </w:tc>
        <w:tc>
          <w:tcPr>
            <w:tcW w:w="0" w:type="auto"/>
            <w:shd w:val="clear" w:color="auto" w:fill="auto"/>
            <w:vAlign w:val="center"/>
            <w:hideMark/>
          </w:tcPr>
          <w:p w:rsidR="00937E4D" w:rsidRPr="008F4BDA" w:rsidRDefault="00937E4D" w:rsidP="00D603C5">
            <w:pPr>
              <w:widowControl/>
              <w:autoSpaceDE/>
              <w:autoSpaceDN/>
              <w:adjustRightInd/>
              <w:jc w:val="center"/>
              <w:rPr>
                <w:rFonts w:ascii="Times New Roman" w:hAnsi="Times New Roman"/>
                <w:color w:val="000000"/>
                <w:sz w:val="22"/>
                <w:szCs w:val="22"/>
              </w:rPr>
            </w:pPr>
            <w:r w:rsidRPr="008F4BDA">
              <w:rPr>
                <w:rFonts w:ascii="Times New Roman" w:hAnsi="Times New Roman"/>
                <w:color w:val="000000"/>
                <w:sz w:val="22"/>
                <w:szCs w:val="22"/>
              </w:rPr>
              <w:t>1 percent</w:t>
            </w:r>
          </w:p>
        </w:tc>
        <w:tc>
          <w:tcPr>
            <w:tcW w:w="0" w:type="auto"/>
            <w:shd w:val="clear" w:color="auto" w:fill="auto"/>
            <w:noWrap/>
            <w:vAlign w:val="center"/>
            <w:hideMark/>
          </w:tcPr>
          <w:p w:rsidR="00937E4D" w:rsidRPr="008F4BDA" w:rsidRDefault="00937E4D" w:rsidP="00D603C5">
            <w:pPr>
              <w:widowControl/>
              <w:autoSpaceDE/>
              <w:autoSpaceDN/>
              <w:adjustRightInd/>
              <w:jc w:val="center"/>
              <w:rPr>
                <w:rFonts w:ascii="Times New Roman" w:hAnsi="Times New Roman"/>
                <w:color w:val="000000"/>
                <w:sz w:val="22"/>
                <w:szCs w:val="22"/>
              </w:rPr>
            </w:pPr>
            <w:r w:rsidRPr="008F4BDA">
              <w:rPr>
                <w:rFonts w:ascii="Times New Roman" w:hAnsi="Times New Roman"/>
                <w:color w:val="000000"/>
                <w:sz w:val="22"/>
                <w:szCs w:val="22"/>
              </w:rPr>
              <w:t>1,724,578</w:t>
            </w:r>
          </w:p>
        </w:tc>
        <w:tc>
          <w:tcPr>
            <w:tcW w:w="0" w:type="auto"/>
            <w:tcBorders>
              <w:right w:val="single" w:sz="18" w:space="0" w:color="auto"/>
            </w:tcBorders>
            <w:shd w:val="clear" w:color="auto" w:fill="auto"/>
            <w:vAlign w:val="center"/>
            <w:hideMark/>
          </w:tcPr>
          <w:p w:rsidR="00937E4D" w:rsidRPr="008F4BDA" w:rsidRDefault="00937E4D" w:rsidP="00D603C5">
            <w:pPr>
              <w:widowControl/>
              <w:autoSpaceDE/>
              <w:autoSpaceDN/>
              <w:adjustRightInd/>
              <w:jc w:val="center"/>
              <w:rPr>
                <w:rFonts w:ascii="Times New Roman" w:hAnsi="Times New Roman"/>
                <w:color w:val="000000"/>
                <w:sz w:val="22"/>
                <w:szCs w:val="22"/>
              </w:rPr>
            </w:pPr>
            <w:r w:rsidRPr="008F4BDA">
              <w:rPr>
                <w:rFonts w:ascii="Times New Roman" w:hAnsi="Times New Roman"/>
                <w:color w:val="000000"/>
                <w:sz w:val="22"/>
                <w:szCs w:val="22"/>
              </w:rPr>
              <w:t>46 percent</w:t>
            </w:r>
          </w:p>
        </w:tc>
      </w:tr>
      <w:tr w:rsidR="00937E4D" w:rsidRPr="008F4BDA" w:rsidTr="00D603C5">
        <w:trPr>
          <w:cantSplit/>
          <w:trHeight w:hRule="exact" w:val="300"/>
          <w:jc w:val="center"/>
        </w:trPr>
        <w:tc>
          <w:tcPr>
            <w:tcW w:w="0" w:type="auto"/>
            <w:tcBorders>
              <w:left w:val="single" w:sz="18" w:space="0" w:color="auto"/>
              <w:bottom w:val="single" w:sz="18" w:space="0" w:color="auto"/>
            </w:tcBorders>
            <w:shd w:val="clear" w:color="auto" w:fill="auto"/>
            <w:vAlign w:val="center"/>
            <w:hideMark/>
          </w:tcPr>
          <w:p w:rsidR="00937E4D" w:rsidRPr="008F4BDA" w:rsidRDefault="00937E4D" w:rsidP="00D603C5">
            <w:pPr>
              <w:widowControl/>
              <w:autoSpaceDE/>
              <w:autoSpaceDN/>
              <w:adjustRightInd/>
              <w:jc w:val="center"/>
              <w:rPr>
                <w:rFonts w:ascii="Times New Roman" w:hAnsi="Times New Roman"/>
                <w:b/>
                <w:bCs/>
                <w:color w:val="000000"/>
                <w:sz w:val="22"/>
                <w:szCs w:val="22"/>
              </w:rPr>
            </w:pPr>
            <w:r w:rsidRPr="008F4BDA">
              <w:rPr>
                <w:rFonts w:ascii="Times New Roman" w:hAnsi="Times New Roman"/>
                <w:b/>
                <w:bCs/>
                <w:color w:val="000000"/>
                <w:sz w:val="22"/>
                <w:szCs w:val="22"/>
              </w:rPr>
              <w:t xml:space="preserve">Total </w:t>
            </w:r>
          </w:p>
        </w:tc>
        <w:tc>
          <w:tcPr>
            <w:tcW w:w="0" w:type="auto"/>
            <w:tcBorders>
              <w:bottom w:val="single" w:sz="18" w:space="0" w:color="auto"/>
            </w:tcBorders>
            <w:shd w:val="clear" w:color="auto" w:fill="auto"/>
            <w:noWrap/>
            <w:vAlign w:val="center"/>
            <w:hideMark/>
          </w:tcPr>
          <w:p w:rsidR="00937E4D" w:rsidRPr="008F4BDA" w:rsidRDefault="00937E4D" w:rsidP="00D603C5">
            <w:pPr>
              <w:widowControl/>
              <w:autoSpaceDE/>
              <w:autoSpaceDN/>
              <w:adjustRightInd/>
              <w:jc w:val="center"/>
              <w:rPr>
                <w:rFonts w:ascii="Times New Roman" w:hAnsi="Times New Roman"/>
                <w:b/>
                <w:bCs/>
                <w:color w:val="000000"/>
                <w:sz w:val="22"/>
                <w:szCs w:val="22"/>
              </w:rPr>
            </w:pPr>
            <w:r w:rsidRPr="008F4BDA">
              <w:rPr>
                <w:rFonts w:ascii="Times New Roman" w:hAnsi="Times New Roman"/>
                <w:b/>
                <w:bCs/>
                <w:color w:val="000000"/>
                <w:sz w:val="22"/>
                <w:szCs w:val="22"/>
              </w:rPr>
              <w:t>495,024</w:t>
            </w:r>
          </w:p>
        </w:tc>
        <w:tc>
          <w:tcPr>
            <w:tcW w:w="0" w:type="auto"/>
            <w:tcBorders>
              <w:bottom w:val="single" w:sz="18" w:space="0" w:color="auto"/>
            </w:tcBorders>
            <w:shd w:val="clear" w:color="auto" w:fill="auto"/>
            <w:vAlign w:val="center"/>
            <w:hideMark/>
          </w:tcPr>
          <w:p w:rsidR="00937E4D" w:rsidRPr="008F4BDA" w:rsidRDefault="00937E4D" w:rsidP="00D603C5">
            <w:pPr>
              <w:widowControl/>
              <w:autoSpaceDE/>
              <w:autoSpaceDN/>
              <w:adjustRightInd/>
              <w:jc w:val="center"/>
              <w:rPr>
                <w:rFonts w:ascii="Times New Roman" w:hAnsi="Times New Roman"/>
                <w:b/>
                <w:bCs/>
                <w:color w:val="000000"/>
                <w:sz w:val="22"/>
                <w:szCs w:val="22"/>
              </w:rPr>
            </w:pPr>
            <w:r w:rsidRPr="008F4BDA">
              <w:rPr>
                <w:rFonts w:ascii="Times New Roman" w:hAnsi="Times New Roman"/>
                <w:b/>
                <w:bCs/>
                <w:color w:val="000000"/>
                <w:sz w:val="22"/>
                <w:szCs w:val="22"/>
              </w:rPr>
              <w:t>100 percent</w:t>
            </w:r>
          </w:p>
        </w:tc>
        <w:tc>
          <w:tcPr>
            <w:tcW w:w="0" w:type="auto"/>
            <w:tcBorders>
              <w:bottom w:val="single" w:sz="18" w:space="0" w:color="auto"/>
            </w:tcBorders>
            <w:shd w:val="clear" w:color="auto" w:fill="auto"/>
            <w:noWrap/>
            <w:vAlign w:val="center"/>
            <w:hideMark/>
          </w:tcPr>
          <w:p w:rsidR="00937E4D" w:rsidRPr="008F4BDA" w:rsidRDefault="00937E4D" w:rsidP="00D603C5">
            <w:pPr>
              <w:widowControl/>
              <w:autoSpaceDE/>
              <w:autoSpaceDN/>
              <w:adjustRightInd/>
              <w:jc w:val="center"/>
              <w:rPr>
                <w:rFonts w:ascii="Times New Roman" w:hAnsi="Times New Roman"/>
                <w:b/>
                <w:bCs/>
                <w:color w:val="000000"/>
                <w:sz w:val="22"/>
                <w:szCs w:val="22"/>
              </w:rPr>
            </w:pPr>
            <w:r w:rsidRPr="008F4BDA">
              <w:rPr>
                <w:rFonts w:ascii="Times New Roman" w:hAnsi="Times New Roman"/>
                <w:b/>
                <w:bCs/>
                <w:color w:val="000000"/>
                <w:sz w:val="22"/>
                <w:szCs w:val="22"/>
              </w:rPr>
              <w:t>3,777,017</w:t>
            </w:r>
          </w:p>
        </w:tc>
        <w:tc>
          <w:tcPr>
            <w:tcW w:w="0" w:type="auto"/>
            <w:tcBorders>
              <w:bottom w:val="single" w:sz="18" w:space="0" w:color="auto"/>
              <w:right w:val="single" w:sz="18" w:space="0" w:color="auto"/>
            </w:tcBorders>
            <w:shd w:val="clear" w:color="auto" w:fill="auto"/>
            <w:noWrap/>
            <w:vAlign w:val="center"/>
            <w:hideMark/>
          </w:tcPr>
          <w:p w:rsidR="00937E4D" w:rsidRPr="008F4BDA" w:rsidRDefault="00937E4D" w:rsidP="00D603C5">
            <w:pPr>
              <w:widowControl/>
              <w:autoSpaceDE/>
              <w:autoSpaceDN/>
              <w:adjustRightInd/>
              <w:jc w:val="center"/>
              <w:rPr>
                <w:rFonts w:ascii="Times New Roman" w:hAnsi="Times New Roman"/>
                <w:b/>
                <w:bCs/>
                <w:color w:val="000000"/>
                <w:sz w:val="22"/>
                <w:szCs w:val="22"/>
              </w:rPr>
            </w:pPr>
            <w:r w:rsidRPr="008F4BDA">
              <w:rPr>
                <w:rFonts w:ascii="Times New Roman" w:hAnsi="Times New Roman"/>
                <w:b/>
                <w:bCs/>
                <w:color w:val="000000"/>
                <w:sz w:val="22"/>
                <w:szCs w:val="22"/>
              </w:rPr>
              <w:t>100 percent</w:t>
            </w:r>
          </w:p>
        </w:tc>
      </w:tr>
    </w:tbl>
    <w:p w:rsidR="00937E4D" w:rsidRPr="008F4BDA" w:rsidRDefault="00937E4D" w:rsidP="00937E4D">
      <w:pPr>
        <w:widowControl/>
        <w:rPr>
          <w:rFonts w:ascii="Times New Roman" w:hAnsi="Times New Roman"/>
          <w:sz w:val="24"/>
        </w:rPr>
      </w:pPr>
    </w:p>
    <w:p w:rsidR="00937E4D" w:rsidRPr="008F4BDA" w:rsidRDefault="00937E4D" w:rsidP="00937E4D">
      <w:pPr>
        <w:widowControl/>
        <w:ind w:left="360"/>
        <w:rPr>
          <w:rFonts w:ascii="Times New Roman" w:hAnsi="Times New Roman"/>
          <w:sz w:val="24"/>
        </w:rPr>
      </w:pPr>
      <w:r w:rsidRPr="008F4BDA">
        <w:rPr>
          <w:rFonts w:ascii="Times New Roman" w:hAnsi="Times New Roman"/>
          <w:sz w:val="24"/>
        </w:rPr>
        <w:t xml:space="preserve">The Agency applies the percentage distributions from Table 2 to the estimated total numbers of impacted freight carriers and CMVs to estimate the distribution of impacts by carrier size (see Table 3). </w:t>
      </w:r>
    </w:p>
    <w:p w:rsidR="008F4BDA" w:rsidRPr="008F4BDA" w:rsidRDefault="008F4BDA" w:rsidP="008F4BDA">
      <w:pPr>
        <w:widowControl/>
        <w:tabs>
          <w:tab w:val="left" w:pos="360"/>
        </w:tabs>
        <w:ind w:left="720"/>
        <w:rPr>
          <w:rFonts w:ascii="Times New Roman" w:hAnsi="Times New Roman"/>
          <w:sz w:val="24"/>
        </w:rPr>
      </w:pPr>
    </w:p>
    <w:tbl>
      <w:tblPr>
        <w:tblW w:w="9402" w:type="dxa"/>
        <w:tblInd w:w="93"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ook w:val="04A0" w:firstRow="1" w:lastRow="0" w:firstColumn="1" w:lastColumn="0" w:noHBand="0" w:noVBand="1"/>
      </w:tblPr>
      <w:tblGrid>
        <w:gridCol w:w="954"/>
        <w:gridCol w:w="1581"/>
        <w:gridCol w:w="2070"/>
        <w:gridCol w:w="1980"/>
        <w:gridCol w:w="2817"/>
      </w:tblGrid>
      <w:tr w:rsidR="008F4BDA" w:rsidRPr="008F4BDA" w:rsidTr="00DA36E4">
        <w:trPr>
          <w:trHeight w:val="322"/>
        </w:trPr>
        <w:tc>
          <w:tcPr>
            <w:tcW w:w="9402" w:type="dxa"/>
            <w:gridSpan w:val="5"/>
            <w:tcBorders>
              <w:top w:val="nil"/>
              <w:left w:val="nil"/>
              <w:bottom w:val="single" w:sz="6" w:space="0" w:color="auto"/>
              <w:right w:val="nil"/>
            </w:tcBorders>
            <w:shd w:val="clear" w:color="auto" w:fill="auto"/>
            <w:noWrap/>
            <w:vAlign w:val="center"/>
            <w:hideMark/>
          </w:tcPr>
          <w:p w:rsidR="008F4BDA" w:rsidRPr="008F4BDA" w:rsidRDefault="008F4BDA" w:rsidP="008F4BDA">
            <w:pPr>
              <w:widowControl/>
              <w:autoSpaceDE/>
              <w:autoSpaceDN/>
              <w:adjustRightInd/>
              <w:jc w:val="center"/>
              <w:rPr>
                <w:rFonts w:ascii="Arial" w:hAnsi="Arial" w:cs="Arial"/>
                <w:b/>
                <w:bCs/>
                <w:color w:val="000000"/>
              </w:rPr>
            </w:pPr>
            <w:r w:rsidRPr="008F4BDA">
              <w:rPr>
                <w:rFonts w:ascii="Arial" w:hAnsi="Arial" w:cs="Arial"/>
                <w:b/>
                <w:bCs/>
                <w:color w:val="000000"/>
              </w:rPr>
              <w:t>Table 3. Estimated Distribution of Impacted Freight Carriers by Size</w:t>
            </w:r>
          </w:p>
        </w:tc>
      </w:tr>
      <w:tr w:rsidR="008F4BDA" w:rsidRPr="008F4BDA" w:rsidTr="00DA36E4">
        <w:trPr>
          <w:trHeight w:val="571"/>
        </w:trPr>
        <w:tc>
          <w:tcPr>
            <w:tcW w:w="954" w:type="dxa"/>
            <w:tcBorders>
              <w:top w:val="single" w:sz="18" w:space="0" w:color="auto"/>
              <w:left w:val="single" w:sz="18" w:space="0" w:color="auto"/>
              <w:bottom w:val="single" w:sz="18" w:space="0" w:color="auto"/>
              <w:right w:val="single" w:sz="18" w:space="0" w:color="auto"/>
            </w:tcBorders>
            <w:shd w:val="clear" w:color="auto" w:fill="D9D9D9"/>
            <w:vAlign w:val="center"/>
            <w:hideMark/>
          </w:tcPr>
          <w:p w:rsidR="008F4BDA" w:rsidRPr="008F4BDA" w:rsidRDefault="008F4BDA" w:rsidP="008F4BDA">
            <w:pPr>
              <w:widowControl/>
              <w:autoSpaceDE/>
              <w:autoSpaceDN/>
              <w:adjustRightInd/>
              <w:jc w:val="center"/>
              <w:rPr>
                <w:rFonts w:ascii="Times New Roman" w:hAnsi="Times New Roman"/>
                <w:b/>
                <w:bCs/>
                <w:color w:val="000000"/>
                <w:sz w:val="22"/>
                <w:szCs w:val="22"/>
              </w:rPr>
            </w:pPr>
            <w:r w:rsidRPr="008F4BDA">
              <w:rPr>
                <w:rFonts w:ascii="Times New Roman" w:hAnsi="Times New Roman"/>
                <w:b/>
                <w:bCs/>
                <w:color w:val="000000"/>
                <w:sz w:val="22"/>
                <w:szCs w:val="22"/>
              </w:rPr>
              <w:t xml:space="preserve">   Carrier Size</w:t>
            </w:r>
          </w:p>
        </w:tc>
        <w:tc>
          <w:tcPr>
            <w:tcW w:w="1581" w:type="dxa"/>
            <w:tcBorders>
              <w:top w:val="single" w:sz="18" w:space="0" w:color="auto"/>
              <w:left w:val="single" w:sz="18" w:space="0" w:color="auto"/>
              <w:bottom w:val="single" w:sz="6" w:space="0" w:color="auto"/>
              <w:right w:val="single" w:sz="18" w:space="0" w:color="auto"/>
            </w:tcBorders>
            <w:shd w:val="clear" w:color="auto" w:fill="D9D9D9"/>
            <w:vAlign w:val="center"/>
            <w:hideMark/>
          </w:tcPr>
          <w:p w:rsidR="008F4BDA" w:rsidRPr="008F4BDA" w:rsidRDefault="008F4BDA" w:rsidP="008F4BDA">
            <w:pPr>
              <w:widowControl/>
              <w:autoSpaceDE/>
              <w:autoSpaceDN/>
              <w:adjustRightInd/>
              <w:jc w:val="center"/>
              <w:rPr>
                <w:rFonts w:ascii="Times New Roman" w:hAnsi="Times New Roman"/>
                <w:b/>
                <w:bCs/>
                <w:color w:val="000000"/>
                <w:sz w:val="22"/>
                <w:szCs w:val="22"/>
              </w:rPr>
            </w:pPr>
            <w:r w:rsidRPr="008F4BDA">
              <w:rPr>
                <w:rFonts w:ascii="Times New Roman" w:hAnsi="Times New Roman"/>
                <w:b/>
                <w:bCs/>
                <w:color w:val="000000"/>
                <w:sz w:val="22"/>
                <w:szCs w:val="22"/>
              </w:rPr>
              <w:t>Carriers  percent</w:t>
            </w:r>
          </w:p>
        </w:tc>
        <w:tc>
          <w:tcPr>
            <w:tcW w:w="2070" w:type="dxa"/>
            <w:tcBorders>
              <w:top w:val="single" w:sz="18" w:space="0" w:color="auto"/>
              <w:left w:val="single" w:sz="18" w:space="0" w:color="auto"/>
              <w:bottom w:val="single" w:sz="6" w:space="0" w:color="auto"/>
              <w:right w:val="single" w:sz="18" w:space="0" w:color="auto"/>
            </w:tcBorders>
            <w:shd w:val="clear" w:color="auto" w:fill="D9D9D9"/>
            <w:noWrap/>
            <w:vAlign w:val="center"/>
            <w:hideMark/>
          </w:tcPr>
          <w:p w:rsidR="008F4BDA" w:rsidRPr="008F4BDA" w:rsidRDefault="008F4BDA" w:rsidP="008F4BDA">
            <w:pPr>
              <w:widowControl/>
              <w:autoSpaceDE/>
              <w:autoSpaceDN/>
              <w:adjustRightInd/>
              <w:jc w:val="center"/>
              <w:rPr>
                <w:rFonts w:ascii="Times New Roman" w:hAnsi="Times New Roman"/>
                <w:b/>
                <w:bCs/>
                <w:color w:val="000000"/>
                <w:sz w:val="22"/>
                <w:szCs w:val="22"/>
              </w:rPr>
            </w:pPr>
            <w:r w:rsidRPr="008F4BDA">
              <w:rPr>
                <w:rFonts w:ascii="Times New Roman" w:hAnsi="Times New Roman"/>
                <w:b/>
                <w:bCs/>
                <w:color w:val="000000"/>
                <w:sz w:val="22"/>
                <w:szCs w:val="22"/>
              </w:rPr>
              <w:t>Impacted Carriers</w:t>
            </w:r>
          </w:p>
        </w:tc>
        <w:tc>
          <w:tcPr>
            <w:tcW w:w="1980" w:type="dxa"/>
            <w:tcBorders>
              <w:top w:val="single" w:sz="18" w:space="0" w:color="auto"/>
              <w:left w:val="single" w:sz="18" w:space="0" w:color="auto"/>
              <w:bottom w:val="single" w:sz="6" w:space="0" w:color="auto"/>
              <w:right w:val="single" w:sz="18" w:space="0" w:color="auto"/>
            </w:tcBorders>
            <w:shd w:val="clear" w:color="auto" w:fill="D9D9D9"/>
            <w:noWrap/>
            <w:vAlign w:val="center"/>
            <w:hideMark/>
          </w:tcPr>
          <w:p w:rsidR="008F4BDA" w:rsidRPr="008F4BDA" w:rsidRDefault="008F4BDA" w:rsidP="008F4BDA">
            <w:pPr>
              <w:widowControl/>
              <w:autoSpaceDE/>
              <w:autoSpaceDN/>
              <w:adjustRightInd/>
              <w:jc w:val="center"/>
              <w:rPr>
                <w:rFonts w:ascii="Times New Roman" w:hAnsi="Times New Roman"/>
                <w:b/>
                <w:bCs/>
                <w:color w:val="000000"/>
                <w:sz w:val="22"/>
                <w:szCs w:val="22"/>
              </w:rPr>
            </w:pPr>
            <w:r w:rsidRPr="008F4BDA">
              <w:rPr>
                <w:rFonts w:ascii="Times New Roman" w:hAnsi="Times New Roman"/>
                <w:b/>
                <w:bCs/>
                <w:color w:val="000000"/>
                <w:sz w:val="22"/>
                <w:szCs w:val="22"/>
              </w:rPr>
              <w:t>CMVs percent</w:t>
            </w:r>
          </w:p>
        </w:tc>
        <w:tc>
          <w:tcPr>
            <w:tcW w:w="2817" w:type="dxa"/>
            <w:tcBorders>
              <w:top w:val="single" w:sz="18" w:space="0" w:color="auto"/>
              <w:left w:val="single" w:sz="18" w:space="0" w:color="auto"/>
              <w:bottom w:val="single" w:sz="6" w:space="0" w:color="auto"/>
              <w:right w:val="single" w:sz="18" w:space="0" w:color="auto"/>
            </w:tcBorders>
            <w:shd w:val="clear" w:color="auto" w:fill="D9D9D9"/>
            <w:noWrap/>
            <w:vAlign w:val="center"/>
            <w:hideMark/>
          </w:tcPr>
          <w:p w:rsidR="008F4BDA" w:rsidRPr="008F4BDA" w:rsidRDefault="008F4BDA" w:rsidP="008F4BDA">
            <w:pPr>
              <w:widowControl/>
              <w:autoSpaceDE/>
              <w:autoSpaceDN/>
              <w:adjustRightInd/>
              <w:jc w:val="center"/>
              <w:rPr>
                <w:rFonts w:ascii="Times New Roman" w:hAnsi="Times New Roman"/>
                <w:b/>
                <w:bCs/>
                <w:color w:val="000000"/>
                <w:sz w:val="22"/>
                <w:szCs w:val="22"/>
              </w:rPr>
            </w:pPr>
            <w:r w:rsidRPr="008F4BDA">
              <w:rPr>
                <w:rFonts w:ascii="Times New Roman" w:hAnsi="Times New Roman"/>
                <w:b/>
                <w:bCs/>
                <w:color w:val="000000"/>
                <w:sz w:val="22"/>
                <w:szCs w:val="22"/>
              </w:rPr>
              <w:t>Impacted CMVs</w:t>
            </w:r>
          </w:p>
        </w:tc>
      </w:tr>
      <w:tr w:rsidR="008F4BDA" w:rsidRPr="008F4BDA" w:rsidTr="00DA36E4">
        <w:trPr>
          <w:trHeight w:hRule="exact" w:val="293"/>
        </w:trPr>
        <w:tc>
          <w:tcPr>
            <w:tcW w:w="954" w:type="dxa"/>
            <w:tcBorders>
              <w:top w:val="single" w:sz="18" w:space="0" w:color="auto"/>
              <w:left w:val="single" w:sz="18" w:space="0" w:color="auto"/>
            </w:tcBorders>
            <w:shd w:val="clear" w:color="auto" w:fill="auto"/>
            <w:vAlign w:val="center"/>
            <w:hideMark/>
          </w:tcPr>
          <w:p w:rsidR="008F4BDA" w:rsidRPr="008F4BDA" w:rsidRDefault="008F4BDA" w:rsidP="008F4BDA">
            <w:pPr>
              <w:widowControl/>
              <w:autoSpaceDE/>
              <w:autoSpaceDN/>
              <w:adjustRightInd/>
              <w:jc w:val="center"/>
              <w:rPr>
                <w:rFonts w:ascii="Times New Roman" w:hAnsi="Times New Roman"/>
                <w:b/>
                <w:bCs/>
                <w:color w:val="000000"/>
                <w:sz w:val="22"/>
                <w:szCs w:val="22"/>
              </w:rPr>
            </w:pPr>
            <w:r w:rsidRPr="008F4BDA">
              <w:rPr>
                <w:rFonts w:ascii="Times New Roman" w:hAnsi="Times New Roman"/>
                <w:b/>
                <w:bCs/>
                <w:color w:val="000000"/>
                <w:sz w:val="22"/>
                <w:szCs w:val="22"/>
              </w:rPr>
              <w:t xml:space="preserve"> 1-6</w:t>
            </w:r>
          </w:p>
        </w:tc>
        <w:tc>
          <w:tcPr>
            <w:tcW w:w="1581" w:type="dxa"/>
            <w:tcBorders>
              <w:top w:val="single" w:sz="18" w:space="0" w:color="auto"/>
            </w:tcBorders>
            <w:shd w:val="clear" w:color="auto" w:fill="auto"/>
            <w:vAlign w:val="center"/>
            <w:hideMark/>
          </w:tcPr>
          <w:p w:rsidR="008F4BDA" w:rsidRPr="008F4BDA" w:rsidRDefault="008F4BDA" w:rsidP="008F4BDA">
            <w:pPr>
              <w:widowControl/>
              <w:autoSpaceDE/>
              <w:autoSpaceDN/>
              <w:adjustRightInd/>
              <w:jc w:val="center"/>
              <w:rPr>
                <w:rFonts w:ascii="Times New Roman" w:hAnsi="Times New Roman"/>
                <w:color w:val="000000"/>
                <w:sz w:val="22"/>
                <w:szCs w:val="22"/>
              </w:rPr>
            </w:pPr>
            <w:r w:rsidRPr="008F4BDA">
              <w:rPr>
                <w:rFonts w:ascii="Times New Roman" w:hAnsi="Times New Roman"/>
                <w:color w:val="000000"/>
                <w:sz w:val="22"/>
                <w:szCs w:val="22"/>
              </w:rPr>
              <w:t>86 percent</w:t>
            </w:r>
          </w:p>
        </w:tc>
        <w:tc>
          <w:tcPr>
            <w:tcW w:w="2070" w:type="dxa"/>
            <w:tcBorders>
              <w:top w:val="single" w:sz="18" w:space="0" w:color="auto"/>
            </w:tcBorders>
            <w:shd w:val="clear" w:color="auto" w:fill="auto"/>
            <w:noWrap/>
            <w:vAlign w:val="center"/>
            <w:hideMark/>
          </w:tcPr>
          <w:p w:rsidR="008F4BDA" w:rsidRPr="008F4BDA" w:rsidRDefault="008F4BDA" w:rsidP="008F4BDA">
            <w:pPr>
              <w:widowControl/>
              <w:autoSpaceDE/>
              <w:autoSpaceDN/>
              <w:adjustRightInd/>
              <w:jc w:val="center"/>
              <w:rPr>
                <w:rFonts w:ascii="Times New Roman" w:hAnsi="Times New Roman"/>
                <w:color w:val="000000"/>
                <w:sz w:val="22"/>
                <w:szCs w:val="22"/>
              </w:rPr>
            </w:pPr>
            <w:r w:rsidRPr="008F4BDA">
              <w:rPr>
                <w:rFonts w:ascii="Times New Roman" w:hAnsi="Times New Roman"/>
                <w:color w:val="000000"/>
                <w:sz w:val="22"/>
                <w:szCs w:val="22"/>
              </w:rPr>
              <w:t>160,820</w:t>
            </w:r>
          </w:p>
        </w:tc>
        <w:tc>
          <w:tcPr>
            <w:tcW w:w="1980" w:type="dxa"/>
            <w:tcBorders>
              <w:top w:val="single" w:sz="18" w:space="0" w:color="auto"/>
            </w:tcBorders>
            <w:shd w:val="clear" w:color="auto" w:fill="auto"/>
            <w:vAlign w:val="center"/>
            <w:hideMark/>
          </w:tcPr>
          <w:p w:rsidR="008F4BDA" w:rsidRPr="008F4BDA" w:rsidRDefault="008F4BDA" w:rsidP="008F4BDA">
            <w:pPr>
              <w:widowControl/>
              <w:autoSpaceDE/>
              <w:autoSpaceDN/>
              <w:adjustRightInd/>
              <w:jc w:val="center"/>
              <w:rPr>
                <w:rFonts w:ascii="Times New Roman" w:hAnsi="Times New Roman"/>
                <w:color w:val="000000"/>
                <w:sz w:val="22"/>
                <w:szCs w:val="22"/>
              </w:rPr>
            </w:pPr>
            <w:r w:rsidRPr="008F4BDA">
              <w:rPr>
                <w:rFonts w:ascii="Times New Roman" w:hAnsi="Times New Roman"/>
                <w:color w:val="000000"/>
                <w:sz w:val="22"/>
                <w:szCs w:val="22"/>
              </w:rPr>
              <w:t xml:space="preserve">21 percent </w:t>
            </w:r>
          </w:p>
        </w:tc>
        <w:tc>
          <w:tcPr>
            <w:tcW w:w="2817" w:type="dxa"/>
            <w:tcBorders>
              <w:top w:val="single" w:sz="18" w:space="0" w:color="auto"/>
              <w:right w:val="single" w:sz="18" w:space="0" w:color="auto"/>
            </w:tcBorders>
            <w:shd w:val="clear" w:color="auto" w:fill="auto"/>
            <w:noWrap/>
            <w:vAlign w:val="center"/>
            <w:hideMark/>
          </w:tcPr>
          <w:p w:rsidR="008F4BDA" w:rsidRPr="008F4BDA" w:rsidRDefault="008F4BDA" w:rsidP="008F4BDA">
            <w:pPr>
              <w:widowControl/>
              <w:autoSpaceDE/>
              <w:autoSpaceDN/>
              <w:adjustRightInd/>
              <w:jc w:val="center"/>
              <w:rPr>
                <w:rFonts w:ascii="Times New Roman" w:hAnsi="Times New Roman"/>
                <w:color w:val="000000"/>
                <w:sz w:val="22"/>
                <w:szCs w:val="22"/>
              </w:rPr>
            </w:pPr>
            <w:r w:rsidRPr="008F4BDA">
              <w:rPr>
                <w:rFonts w:ascii="Times New Roman" w:hAnsi="Times New Roman"/>
                <w:color w:val="000000"/>
                <w:sz w:val="22"/>
                <w:szCs w:val="22"/>
              </w:rPr>
              <w:t>300,300</w:t>
            </w:r>
          </w:p>
        </w:tc>
      </w:tr>
      <w:tr w:rsidR="008F4BDA" w:rsidRPr="008F4BDA" w:rsidTr="00DA36E4">
        <w:trPr>
          <w:trHeight w:hRule="exact" w:val="293"/>
        </w:trPr>
        <w:tc>
          <w:tcPr>
            <w:tcW w:w="954" w:type="dxa"/>
            <w:tcBorders>
              <w:left w:val="single" w:sz="18" w:space="0" w:color="auto"/>
            </w:tcBorders>
            <w:shd w:val="clear" w:color="auto" w:fill="auto"/>
            <w:vAlign w:val="center"/>
            <w:hideMark/>
          </w:tcPr>
          <w:p w:rsidR="008F4BDA" w:rsidRPr="008F4BDA" w:rsidRDefault="008F4BDA" w:rsidP="008F4BDA">
            <w:pPr>
              <w:widowControl/>
              <w:autoSpaceDE/>
              <w:autoSpaceDN/>
              <w:adjustRightInd/>
              <w:jc w:val="center"/>
              <w:rPr>
                <w:rFonts w:ascii="Times New Roman" w:hAnsi="Times New Roman"/>
                <w:b/>
                <w:bCs/>
                <w:color w:val="000000"/>
                <w:sz w:val="22"/>
                <w:szCs w:val="22"/>
              </w:rPr>
            </w:pPr>
            <w:r w:rsidRPr="008F4BDA">
              <w:rPr>
                <w:rFonts w:ascii="Times New Roman" w:hAnsi="Times New Roman"/>
                <w:b/>
                <w:bCs/>
                <w:color w:val="000000"/>
                <w:sz w:val="22"/>
                <w:szCs w:val="22"/>
              </w:rPr>
              <w:t>7-19</w:t>
            </w:r>
          </w:p>
        </w:tc>
        <w:tc>
          <w:tcPr>
            <w:tcW w:w="1581" w:type="dxa"/>
            <w:shd w:val="clear" w:color="auto" w:fill="auto"/>
            <w:vAlign w:val="center"/>
            <w:hideMark/>
          </w:tcPr>
          <w:p w:rsidR="008F4BDA" w:rsidRPr="008F4BDA" w:rsidRDefault="008F4BDA" w:rsidP="008F4BDA">
            <w:pPr>
              <w:widowControl/>
              <w:autoSpaceDE/>
              <w:autoSpaceDN/>
              <w:adjustRightInd/>
              <w:jc w:val="center"/>
              <w:rPr>
                <w:rFonts w:ascii="Times New Roman" w:hAnsi="Times New Roman"/>
                <w:color w:val="000000"/>
                <w:sz w:val="22"/>
                <w:szCs w:val="22"/>
              </w:rPr>
            </w:pPr>
            <w:r w:rsidRPr="008F4BDA">
              <w:rPr>
                <w:rFonts w:ascii="Times New Roman" w:hAnsi="Times New Roman"/>
                <w:color w:val="000000"/>
                <w:sz w:val="22"/>
                <w:szCs w:val="22"/>
              </w:rPr>
              <w:t xml:space="preserve">9 percent </w:t>
            </w:r>
          </w:p>
        </w:tc>
        <w:tc>
          <w:tcPr>
            <w:tcW w:w="2070" w:type="dxa"/>
            <w:shd w:val="clear" w:color="auto" w:fill="auto"/>
            <w:noWrap/>
            <w:vAlign w:val="center"/>
            <w:hideMark/>
          </w:tcPr>
          <w:p w:rsidR="008F4BDA" w:rsidRPr="008F4BDA" w:rsidRDefault="008F4BDA" w:rsidP="008F4BDA">
            <w:pPr>
              <w:widowControl/>
              <w:autoSpaceDE/>
              <w:autoSpaceDN/>
              <w:adjustRightInd/>
              <w:jc w:val="center"/>
              <w:rPr>
                <w:rFonts w:ascii="Times New Roman" w:hAnsi="Times New Roman"/>
                <w:color w:val="000000"/>
                <w:sz w:val="22"/>
                <w:szCs w:val="22"/>
              </w:rPr>
            </w:pPr>
            <w:r w:rsidRPr="008F4BDA">
              <w:rPr>
                <w:rFonts w:ascii="Times New Roman" w:hAnsi="Times New Roman"/>
                <w:color w:val="000000"/>
                <w:sz w:val="22"/>
                <w:szCs w:val="22"/>
              </w:rPr>
              <w:t>16,830</w:t>
            </w:r>
          </w:p>
        </w:tc>
        <w:tc>
          <w:tcPr>
            <w:tcW w:w="1980" w:type="dxa"/>
            <w:shd w:val="clear" w:color="auto" w:fill="auto"/>
            <w:vAlign w:val="center"/>
            <w:hideMark/>
          </w:tcPr>
          <w:p w:rsidR="008F4BDA" w:rsidRPr="008F4BDA" w:rsidRDefault="008F4BDA" w:rsidP="008F4BDA">
            <w:pPr>
              <w:widowControl/>
              <w:autoSpaceDE/>
              <w:autoSpaceDN/>
              <w:adjustRightInd/>
              <w:jc w:val="center"/>
              <w:rPr>
                <w:rFonts w:ascii="Times New Roman" w:hAnsi="Times New Roman"/>
                <w:color w:val="000000"/>
                <w:sz w:val="22"/>
                <w:szCs w:val="22"/>
              </w:rPr>
            </w:pPr>
            <w:r w:rsidRPr="008F4BDA">
              <w:rPr>
                <w:rFonts w:ascii="Times New Roman" w:hAnsi="Times New Roman"/>
                <w:color w:val="000000"/>
                <w:sz w:val="22"/>
                <w:szCs w:val="22"/>
              </w:rPr>
              <w:t xml:space="preserve">13 percent </w:t>
            </w:r>
          </w:p>
        </w:tc>
        <w:tc>
          <w:tcPr>
            <w:tcW w:w="2817" w:type="dxa"/>
            <w:tcBorders>
              <w:right w:val="single" w:sz="18" w:space="0" w:color="auto"/>
            </w:tcBorders>
            <w:shd w:val="clear" w:color="auto" w:fill="auto"/>
            <w:noWrap/>
            <w:vAlign w:val="center"/>
            <w:hideMark/>
          </w:tcPr>
          <w:p w:rsidR="008F4BDA" w:rsidRPr="008F4BDA" w:rsidRDefault="008F4BDA" w:rsidP="008F4BDA">
            <w:pPr>
              <w:widowControl/>
              <w:autoSpaceDE/>
              <w:autoSpaceDN/>
              <w:adjustRightInd/>
              <w:jc w:val="center"/>
              <w:rPr>
                <w:rFonts w:ascii="Times New Roman" w:hAnsi="Times New Roman"/>
                <w:color w:val="000000"/>
                <w:sz w:val="22"/>
                <w:szCs w:val="22"/>
              </w:rPr>
            </w:pPr>
            <w:r w:rsidRPr="008F4BDA">
              <w:rPr>
                <w:rFonts w:ascii="Times New Roman" w:hAnsi="Times New Roman"/>
                <w:color w:val="000000"/>
                <w:sz w:val="22"/>
                <w:szCs w:val="22"/>
              </w:rPr>
              <w:t>185,900</w:t>
            </w:r>
          </w:p>
        </w:tc>
      </w:tr>
      <w:tr w:rsidR="008F4BDA" w:rsidRPr="008F4BDA" w:rsidTr="00DA36E4">
        <w:trPr>
          <w:trHeight w:hRule="exact" w:val="293"/>
        </w:trPr>
        <w:tc>
          <w:tcPr>
            <w:tcW w:w="954" w:type="dxa"/>
            <w:tcBorders>
              <w:left w:val="single" w:sz="18" w:space="0" w:color="auto"/>
            </w:tcBorders>
            <w:shd w:val="clear" w:color="auto" w:fill="auto"/>
            <w:vAlign w:val="center"/>
            <w:hideMark/>
          </w:tcPr>
          <w:p w:rsidR="008F4BDA" w:rsidRPr="008F4BDA" w:rsidRDefault="008F4BDA" w:rsidP="008F4BDA">
            <w:pPr>
              <w:widowControl/>
              <w:autoSpaceDE/>
              <w:autoSpaceDN/>
              <w:adjustRightInd/>
              <w:jc w:val="center"/>
              <w:rPr>
                <w:rFonts w:ascii="Times New Roman" w:hAnsi="Times New Roman"/>
                <w:b/>
                <w:bCs/>
                <w:color w:val="000000"/>
                <w:sz w:val="22"/>
                <w:szCs w:val="22"/>
              </w:rPr>
            </w:pPr>
            <w:r w:rsidRPr="008F4BDA">
              <w:rPr>
                <w:rFonts w:ascii="Times New Roman" w:hAnsi="Times New Roman"/>
                <w:b/>
                <w:bCs/>
                <w:color w:val="000000"/>
                <w:sz w:val="22"/>
                <w:szCs w:val="22"/>
              </w:rPr>
              <w:t>20-100</w:t>
            </w:r>
          </w:p>
        </w:tc>
        <w:tc>
          <w:tcPr>
            <w:tcW w:w="1581" w:type="dxa"/>
            <w:shd w:val="clear" w:color="auto" w:fill="auto"/>
            <w:vAlign w:val="center"/>
            <w:hideMark/>
          </w:tcPr>
          <w:p w:rsidR="008F4BDA" w:rsidRPr="008F4BDA" w:rsidRDefault="008F4BDA" w:rsidP="008F4BDA">
            <w:pPr>
              <w:widowControl/>
              <w:autoSpaceDE/>
              <w:autoSpaceDN/>
              <w:adjustRightInd/>
              <w:jc w:val="center"/>
              <w:rPr>
                <w:rFonts w:ascii="Times New Roman" w:hAnsi="Times New Roman"/>
                <w:color w:val="000000"/>
                <w:sz w:val="22"/>
                <w:szCs w:val="22"/>
              </w:rPr>
            </w:pPr>
            <w:r w:rsidRPr="008F4BDA">
              <w:rPr>
                <w:rFonts w:ascii="Times New Roman" w:hAnsi="Times New Roman"/>
                <w:color w:val="000000"/>
                <w:sz w:val="22"/>
                <w:szCs w:val="22"/>
              </w:rPr>
              <w:t xml:space="preserve">4 percent </w:t>
            </w:r>
          </w:p>
        </w:tc>
        <w:tc>
          <w:tcPr>
            <w:tcW w:w="2070" w:type="dxa"/>
            <w:shd w:val="clear" w:color="auto" w:fill="auto"/>
            <w:noWrap/>
            <w:vAlign w:val="center"/>
            <w:hideMark/>
          </w:tcPr>
          <w:p w:rsidR="008F4BDA" w:rsidRPr="008F4BDA" w:rsidRDefault="008F4BDA" w:rsidP="008F4BDA">
            <w:pPr>
              <w:widowControl/>
              <w:autoSpaceDE/>
              <w:autoSpaceDN/>
              <w:adjustRightInd/>
              <w:jc w:val="center"/>
              <w:rPr>
                <w:rFonts w:ascii="Times New Roman" w:hAnsi="Times New Roman"/>
                <w:color w:val="000000"/>
                <w:sz w:val="22"/>
                <w:szCs w:val="22"/>
              </w:rPr>
            </w:pPr>
            <w:r w:rsidRPr="008F4BDA">
              <w:rPr>
                <w:rFonts w:ascii="Times New Roman" w:hAnsi="Times New Roman"/>
                <w:color w:val="000000"/>
                <w:sz w:val="22"/>
                <w:szCs w:val="22"/>
              </w:rPr>
              <w:t>7,480</w:t>
            </w:r>
          </w:p>
        </w:tc>
        <w:tc>
          <w:tcPr>
            <w:tcW w:w="1980" w:type="dxa"/>
            <w:shd w:val="clear" w:color="auto" w:fill="auto"/>
            <w:vAlign w:val="center"/>
            <w:hideMark/>
          </w:tcPr>
          <w:p w:rsidR="008F4BDA" w:rsidRPr="008F4BDA" w:rsidRDefault="008F4BDA" w:rsidP="008F4BDA">
            <w:pPr>
              <w:widowControl/>
              <w:autoSpaceDE/>
              <w:autoSpaceDN/>
              <w:adjustRightInd/>
              <w:jc w:val="center"/>
              <w:rPr>
                <w:rFonts w:ascii="Times New Roman" w:hAnsi="Times New Roman"/>
                <w:color w:val="000000"/>
                <w:sz w:val="22"/>
                <w:szCs w:val="22"/>
              </w:rPr>
            </w:pPr>
            <w:r w:rsidRPr="008F4BDA">
              <w:rPr>
                <w:rFonts w:ascii="Times New Roman" w:hAnsi="Times New Roman"/>
                <w:color w:val="000000"/>
                <w:sz w:val="22"/>
                <w:szCs w:val="22"/>
              </w:rPr>
              <w:t xml:space="preserve">20 percent </w:t>
            </w:r>
          </w:p>
        </w:tc>
        <w:tc>
          <w:tcPr>
            <w:tcW w:w="2817" w:type="dxa"/>
            <w:tcBorders>
              <w:right w:val="single" w:sz="18" w:space="0" w:color="auto"/>
            </w:tcBorders>
            <w:shd w:val="clear" w:color="auto" w:fill="auto"/>
            <w:noWrap/>
            <w:vAlign w:val="center"/>
            <w:hideMark/>
          </w:tcPr>
          <w:p w:rsidR="008F4BDA" w:rsidRPr="008F4BDA" w:rsidRDefault="008F4BDA" w:rsidP="008F4BDA">
            <w:pPr>
              <w:widowControl/>
              <w:autoSpaceDE/>
              <w:autoSpaceDN/>
              <w:adjustRightInd/>
              <w:jc w:val="center"/>
              <w:rPr>
                <w:rFonts w:ascii="Times New Roman" w:hAnsi="Times New Roman"/>
                <w:color w:val="000000"/>
                <w:sz w:val="22"/>
                <w:szCs w:val="22"/>
              </w:rPr>
            </w:pPr>
            <w:r w:rsidRPr="008F4BDA">
              <w:rPr>
                <w:rFonts w:ascii="Times New Roman" w:hAnsi="Times New Roman"/>
                <w:color w:val="000000"/>
                <w:sz w:val="22"/>
                <w:szCs w:val="22"/>
              </w:rPr>
              <w:t>286,000</w:t>
            </w:r>
          </w:p>
        </w:tc>
      </w:tr>
      <w:tr w:rsidR="008F4BDA" w:rsidRPr="008F4BDA" w:rsidTr="00DA36E4">
        <w:trPr>
          <w:trHeight w:hRule="exact" w:val="307"/>
        </w:trPr>
        <w:tc>
          <w:tcPr>
            <w:tcW w:w="954" w:type="dxa"/>
            <w:tcBorders>
              <w:left w:val="single" w:sz="18" w:space="0" w:color="auto"/>
            </w:tcBorders>
            <w:shd w:val="clear" w:color="auto" w:fill="auto"/>
            <w:vAlign w:val="center"/>
            <w:hideMark/>
          </w:tcPr>
          <w:p w:rsidR="008F4BDA" w:rsidRPr="008F4BDA" w:rsidRDefault="008F4BDA" w:rsidP="008F4BDA">
            <w:pPr>
              <w:widowControl/>
              <w:autoSpaceDE/>
              <w:autoSpaceDN/>
              <w:adjustRightInd/>
              <w:jc w:val="center"/>
              <w:rPr>
                <w:rFonts w:ascii="Times New Roman" w:hAnsi="Times New Roman"/>
                <w:b/>
                <w:bCs/>
                <w:color w:val="000000"/>
                <w:sz w:val="22"/>
                <w:szCs w:val="22"/>
              </w:rPr>
            </w:pPr>
            <w:r w:rsidRPr="008F4BDA">
              <w:rPr>
                <w:rFonts w:ascii="Times New Roman" w:hAnsi="Times New Roman"/>
                <w:b/>
                <w:bCs/>
                <w:color w:val="000000"/>
                <w:sz w:val="22"/>
                <w:szCs w:val="22"/>
              </w:rPr>
              <w:t>101+</w:t>
            </w:r>
          </w:p>
        </w:tc>
        <w:tc>
          <w:tcPr>
            <w:tcW w:w="1581" w:type="dxa"/>
            <w:shd w:val="clear" w:color="auto" w:fill="auto"/>
            <w:vAlign w:val="center"/>
            <w:hideMark/>
          </w:tcPr>
          <w:p w:rsidR="008F4BDA" w:rsidRPr="008F4BDA" w:rsidRDefault="008F4BDA" w:rsidP="008F4BDA">
            <w:pPr>
              <w:widowControl/>
              <w:autoSpaceDE/>
              <w:autoSpaceDN/>
              <w:adjustRightInd/>
              <w:jc w:val="center"/>
              <w:rPr>
                <w:rFonts w:ascii="Times New Roman" w:hAnsi="Times New Roman"/>
                <w:color w:val="000000"/>
                <w:sz w:val="22"/>
                <w:szCs w:val="22"/>
              </w:rPr>
            </w:pPr>
            <w:r w:rsidRPr="008F4BDA">
              <w:rPr>
                <w:rFonts w:ascii="Times New Roman" w:hAnsi="Times New Roman"/>
                <w:color w:val="000000"/>
                <w:sz w:val="22"/>
                <w:szCs w:val="22"/>
              </w:rPr>
              <w:t xml:space="preserve">1 percent </w:t>
            </w:r>
          </w:p>
        </w:tc>
        <w:tc>
          <w:tcPr>
            <w:tcW w:w="2070" w:type="dxa"/>
            <w:shd w:val="clear" w:color="auto" w:fill="auto"/>
            <w:noWrap/>
            <w:vAlign w:val="center"/>
            <w:hideMark/>
          </w:tcPr>
          <w:p w:rsidR="008F4BDA" w:rsidRPr="008F4BDA" w:rsidRDefault="008F4BDA" w:rsidP="008F4BDA">
            <w:pPr>
              <w:widowControl/>
              <w:autoSpaceDE/>
              <w:autoSpaceDN/>
              <w:adjustRightInd/>
              <w:jc w:val="center"/>
              <w:rPr>
                <w:rFonts w:ascii="Times New Roman" w:hAnsi="Times New Roman"/>
                <w:color w:val="000000"/>
                <w:sz w:val="22"/>
                <w:szCs w:val="22"/>
              </w:rPr>
            </w:pPr>
            <w:r w:rsidRPr="008F4BDA">
              <w:rPr>
                <w:rFonts w:ascii="Times New Roman" w:hAnsi="Times New Roman"/>
                <w:color w:val="000000"/>
                <w:sz w:val="22"/>
                <w:szCs w:val="22"/>
              </w:rPr>
              <w:t>1,870</w:t>
            </w:r>
          </w:p>
        </w:tc>
        <w:tc>
          <w:tcPr>
            <w:tcW w:w="1980" w:type="dxa"/>
            <w:shd w:val="clear" w:color="auto" w:fill="auto"/>
            <w:vAlign w:val="center"/>
            <w:hideMark/>
          </w:tcPr>
          <w:p w:rsidR="008F4BDA" w:rsidRPr="008F4BDA" w:rsidRDefault="008F4BDA" w:rsidP="008F4BDA">
            <w:pPr>
              <w:widowControl/>
              <w:autoSpaceDE/>
              <w:autoSpaceDN/>
              <w:adjustRightInd/>
              <w:jc w:val="center"/>
              <w:rPr>
                <w:rFonts w:ascii="Times New Roman" w:hAnsi="Times New Roman"/>
                <w:color w:val="000000"/>
                <w:sz w:val="22"/>
                <w:szCs w:val="22"/>
              </w:rPr>
            </w:pPr>
            <w:r w:rsidRPr="008F4BDA">
              <w:rPr>
                <w:rFonts w:ascii="Times New Roman" w:hAnsi="Times New Roman"/>
                <w:color w:val="000000"/>
                <w:sz w:val="22"/>
                <w:szCs w:val="22"/>
              </w:rPr>
              <w:t xml:space="preserve">46 percent </w:t>
            </w:r>
          </w:p>
        </w:tc>
        <w:tc>
          <w:tcPr>
            <w:tcW w:w="2817" w:type="dxa"/>
            <w:tcBorders>
              <w:right w:val="single" w:sz="18" w:space="0" w:color="auto"/>
            </w:tcBorders>
            <w:shd w:val="clear" w:color="auto" w:fill="auto"/>
            <w:noWrap/>
            <w:vAlign w:val="center"/>
            <w:hideMark/>
          </w:tcPr>
          <w:p w:rsidR="008F4BDA" w:rsidRPr="008F4BDA" w:rsidRDefault="008F4BDA" w:rsidP="008F4BDA">
            <w:pPr>
              <w:widowControl/>
              <w:autoSpaceDE/>
              <w:autoSpaceDN/>
              <w:adjustRightInd/>
              <w:jc w:val="center"/>
              <w:rPr>
                <w:rFonts w:ascii="Times New Roman" w:hAnsi="Times New Roman"/>
                <w:color w:val="000000"/>
                <w:sz w:val="22"/>
                <w:szCs w:val="22"/>
              </w:rPr>
            </w:pPr>
            <w:r w:rsidRPr="008F4BDA">
              <w:rPr>
                <w:rFonts w:ascii="Times New Roman" w:hAnsi="Times New Roman"/>
                <w:color w:val="000000"/>
                <w:sz w:val="22"/>
                <w:szCs w:val="22"/>
              </w:rPr>
              <w:t>657,800</w:t>
            </w:r>
          </w:p>
        </w:tc>
      </w:tr>
      <w:tr w:rsidR="008F4BDA" w:rsidRPr="008F4BDA" w:rsidTr="00DA36E4">
        <w:trPr>
          <w:trHeight w:val="307"/>
        </w:trPr>
        <w:tc>
          <w:tcPr>
            <w:tcW w:w="954" w:type="dxa"/>
            <w:tcBorders>
              <w:left w:val="single" w:sz="18" w:space="0" w:color="auto"/>
              <w:bottom w:val="single" w:sz="18" w:space="0" w:color="auto"/>
            </w:tcBorders>
            <w:shd w:val="clear" w:color="auto" w:fill="auto"/>
            <w:vAlign w:val="center"/>
            <w:hideMark/>
          </w:tcPr>
          <w:p w:rsidR="008F4BDA" w:rsidRPr="008F4BDA" w:rsidRDefault="008F4BDA" w:rsidP="008F4BDA">
            <w:pPr>
              <w:widowControl/>
              <w:autoSpaceDE/>
              <w:autoSpaceDN/>
              <w:adjustRightInd/>
              <w:jc w:val="center"/>
              <w:rPr>
                <w:rFonts w:ascii="Times New Roman" w:hAnsi="Times New Roman"/>
                <w:b/>
                <w:bCs/>
                <w:color w:val="000000"/>
                <w:sz w:val="22"/>
                <w:szCs w:val="22"/>
              </w:rPr>
            </w:pPr>
            <w:r w:rsidRPr="008F4BDA">
              <w:rPr>
                <w:rFonts w:ascii="Times New Roman" w:hAnsi="Times New Roman"/>
                <w:b/>
                <w:bCs/>
                <w:color w:val="000000"/>
                <w:sz w:val="22"/>
                <w:szCs w:val="22"/>
              </w:rPr>
              <w:t xml:space="preserve">Total </w:t>
            </w:r>
          </w:p>
        </w:tc>
        <w:tc>
          <w:tcPr>
            <w:tcW w:w="1581" w:type="dxa"/>
            <w:tcBorders>
              <w:bottom w:val="single" w:sz="18" w:space="0" w:color="auto"/>
            </w:tcBorders>
            <w:shd w:val="clear" w:color="auto" w:fill="auto"/>
            <w:vAlign w:val="center"/>
            <w:hideMark/>
          </w:tcPr>
          <w:p w:rsidR="008F4BDA" w:rsidRPr="008F4BDA" w:rsidRDefault="008F4BDA" w:rsidP="008F4BDA">
            <w:pPr>
              <w:widowControl/>
              <w:autoSpaceDE/>
              <w:autoSpaceDN/>
              <w:adjustRightInd/>
              <w:jc w:val="center"/>
              <w:rPr>
                <w:rFonts w:ascii="Times New Roman" w:hAnsi="Times New Roman"/>
                <w:b/>
                <w:bCs/>
                <w:color w:val="000000"/>
                <w:sz w:val="22"/>
                <w:szCs w:val="22"/>
              </w:rPr>
            </w:pPr>
            <w:r w:rsidRPr="008F4BDA">
              <w:rPr>
                <w:rFonts w:ascii="Times New Roman" w:hAnsi="Times New Roman"/>
                <w:b/>
                <w:bCs/>
                <w:color w:val="000000"/>
                <w:sz w:val="22"/>
                <w:szCs w:val="22"/>
              </w:rPr>
              <w:t>100</w:t>
            </w:r>
            <w:r w:rsidRPr="008F4BDA">
              <w:rPr>
                <w:rFonts w:ascii="Times New Roman" w:hAnsi="Times New Roman"/>
                <w:color w:val="000000"/>
                <w:sz w:val="22"/>
                <w:szCs w:val="22"/>
              </w:rPr>
              <w:t xml:space="preserve"> </w:t>
            </w:r>
            <w:r w:rsidRPr="008F4BDA">
              <w:rPr>
                <w:rFonts w:ascii="Times New Roman" w:hAnsi="Times New Roman"/>
                <w:b/>
                <w:color w:val="000000"/>
                <w:sz w:val="22"/>
                <w:szCs w:val="22"/>
              </w:rPr>
              <w:t>percent</w:t>
            </w:r>
          </w:p>
        </w:tc>
        <w:tc>
          <w:tcPr>
            <w:tcW w:w="2070" w:type="dxa"/>
            <w:tcBorders>
              <w:bottom w:val="single" w:sz="18" w:space="0" w:color="auto"/>
            </w:tcBorders>
            <w:shd w:val="clear" w:color="auto" w:fill="auto"/>
            <w:vAlign w:val="center"/>
            <w:hideMark/>
          </w:tcPr>
          <w:p w:rsidR="008F4BDA" w:rsidRPr="008F4BDA" w:rsidRDefault="008F4BDA" w:rsidP="008F4BDA">
            <w:pPr>
              <w:widowControl/>
              <w:autoSpaceDE/>
              <w:autoSpaceDN/>
              <w:adjustRightInd/>
              <w:jc w:val="center"/>
              <w:rPr>
                <w:rFonts w:ascii="Times New Roman" w:hAnsi="Times New Roman"/>
                <w:b/>
                <w:bCs/>
                <w:color w:val="000000"/>
                <w:sz w:val="22"/>
                <w:szCs w:val="22"/>
              </w:rPr>
            </w:pPr>
            <w:r w:rsidRPr="008F4BDA">
              <w:rPr>
                <w:rFonts w:ascii="Times New Roman" w:hAnsi="Times New Roman"/>
                <w:b/>
                <w:bCs/>
                <w:color w:val="000000"/>
                <w:sz w:val="22"/>
                <w:szCs w:val="22"/>
              </w:rPr>
              <w:t>187,000</w:t>
            </w:r>
          </w:p>
        </w:tc>
        <w:tc>
          <w:tcPr>
            <w:tcW w:w="1980" w:type="dxa"/>
            <w:tcBorders>
              <w:bottom w:val="single" w:sz="18" w:space="0" w:color="auto"/>
            </w:tcBorders>
            <w:shd w:val="clear" w:color="auto" w:fill="auto"/>
            <w:vAlign w:val="center"/>
            <w:hideMark/>
          </w:tcPr>
          <w:p w:rsidR="008F4BDA" w:rsidRPr="008F4BDA" w:rsidRDefault="008F4BDA" w:rsidP="008F4BDA">
            <w:pPr>
              <w:widowControl/>
              <w:autoSpaceDE/>
              <w:autoSpaceDN/>
              <w:adjustRightInd/>
              <w:jc w:val="center"/>
              <w:rPr>
                <w:rFonts w:ascii="Times New Roman" w:hAnsi="Times New Roman"/>
                <w:b/>
                <w:bCs/>
                <w:color w:val="000000"/>
                <w:sz w:val="22"/>
                <w:szCs w:val="22"/>
              </w:rPr>
            </w:pPr>
            <w:r w:rsidRPr="008F4BDA">
              <w:rPr>
                <w:rFonts w:ascii="Times New Roman" w:hAnsi="Times New Roman"/>
                <w:b/>
                <w:bCs/>
                <w:color w:val="000000"/>
                <w:sz w:val="22"/>
                <w:szCs w:val="22"/>
              </w:rPr>
              <w:t>100</w:t>
            </w:r>
            <w:r w:rsidRPr="008F4BDA">
              <w:rPr>
                <w:rFonts w:ascii="Times New Roman" w:hAnsi="Times New Roman"/>
                <w:color w:val="000000"/>
                <w:sz w:val="22"/>
                <w:szCs w:val="22"/>
              </w:rPr>
              <w:t xml:space="preserve"> </w:t>
            </w:r>
            <w:r w:rsidRPr="008F4BDA">
              <w:rPr>
                <w:rFonts w:ascii="Times New Roman" w:hAnsi="Times New Roman"/>
                <w:b/>
                <w:color w:val="000000"/>
                <w:sz w:val="22"/>
                <w:szCs w:val="22"/>
              </w:rPr>
              <w:t>percent</w:t>
            </w:r>
            <w:r w:rsidRPr="008F4BDA">
              <w:rPr>
                <w:rFonts w:ascii="Times New Roman" w:hAnsi="Times New Roman"/>
                <w:b/>
                <w:bCs/>
                <w:color w:val="000000"/>
                <w:sz w:val="22"/>
                <w:szCs w:val="22"/>
              </w:rPr>
              <w:t xml:space="preserve"> </w:t>
            </w:r>
          </w:p>
        </w:tc>
        <w:tc>
          <w:tcPr>
            <w:tcW w:w="2817" w:type="dxa"/>
            <w:tcBorders>
              <w:bottom w:val="single" w:sz="18" w:space="0" w:color="auto"/>
              <w:right w:val="single" w:sz="18" w:space="0" w:color="auto"/>
            </w:tcBorders>
            <w:shd w:val="clear" w:color="auto" w:fill="auto"/>
            <w:vAlign w:val="center"/>
            <w:hideMark/>
          </w:tcPr>
          <w:p w:rsidR="008F4BDA" w:rsidRPr="008F4BDA" w:rsidRDefault="008F4BDA" w:rsidP="008F4BDA">
            <w:pPr>
              <w:widowControl/>
              <w:autoSpaceDE/>
              <w:autoSpaceDN/>
              <w:adjustRightInd/>
              <w:jc w:val="center"/>
              <w:rPr>
                <w:rFonts w:ascii="Times New Roman" w:hAnsi="Times New Roman"/>
                <w:b/>
                <w:bCs/>
                <w:color w:val="000000"/>
                <w:sz w:val="22"/>
                <w:szCs w:val="22"/>
              </w:rPr>
            </w:pPr>
            <w:r w:rsidRPr="008F4BDA">
              <w:rPr>
                <w:rFonts w:ascii="Times New Roman" w:hAnsi="Times New Roman"/>
                <w:b/>
                <w:bCs/>
                <w:color w:val="000000"/>
                <w:sz w:val="22"/>
                <w:szCs w:val="22"/>
              </w:rPr>
              <w:t xml:space="preserve">1,430,000 </w:t>
            </w:r>
          </w:p>
        </w:tc>
      </w:tr>
    </w:tbl>
    <w:p w:rsidR="008F4BDA" w:rsidRPr="008F4BDA" w:rsidRDefault="008F4BDA" w:rsidP="008F4BDA">
      <w:pPr>
        <w:widowControl/>
        <w:tabs>
          <w:tab w:val="left" w:pos="360"/>
        </w:tabs>
        <w:ind w:left="720"/>
        <w:rPr>
          <w:rFonts w:ascii="Times New Roman" w:hAnsi="Times New Roman"/>
          <w:sz w:val="24"/>
        </w:rPr>
      </w:pPr>
    </w:p>
    <w:p w:rsidR="00937E4D" w:rsidRDefault="008F4BDA" w:rsidP="00937E4D">
      <w:pPr>
        <w:widowControl/>
        <w:tabs>
          <w:tab w:val="left" w:pos="360"/>
        </w:tabs>
        <w:ind w:left="360"/>
        <w:rPr>
          <w:rFonts w:ascii="Times New Roman" w:hAnsi="Times New Roman"/>
          <w:sz w:val="24"/>
        </w:rPr>
      </w:pPr>
      <w:r w:rsidRPr="008F4BDA">
        <w:rPr>
          <w:rFonts w:ascii="Times New Roman" w:hAnsi="Times New Roman"/>
          <w:sz w:val="24"/>
        </w:rPr>
        <w:t>The estimated marking costs, consisting of both material and labor costs, are depicted below in Table 4.  The estimates are the inflation-updated numbers submitted in the Final Regulatory Evaluation for Motor Vehicle Marking Requirement rulemaking.</w:t>
      </w:r>
      <w:r w:rsidRPr="008F4BDA">
        <w:rPr>
          <w:rFonts w:ascii="Times New Roman" w:hAnsi="Times New Roman"/>
          <w:sz w:val="24"/>
          <w:vertAlign w:val="superscript"/>
        </w:rPr>
        <w:footnoteReference w:id="10"/>
      </w:r>
      <w:r w:rsidRPr="008F4BDA">
        <w:rPr>
          <w:rFonts w:ascii="Times New Roman" w:hAnsi="Times New Roman"/>
          <w:sz w:val="24"/>
        </w:rPr>
        <w:t xml:space="preserve">  The updated estimates are used for the purpose of convenience, consistency, and due to the lack of uniformity of costs and options.  Current research shows prices ranging from $6 to $1,000, depending on the type, quality, quantity, and durability of the option, as well as whether it is a do-it-yourself tool or custom-made.  </w:t>
      </w:r>
    </w:p>
    <w:p w:rsidR="00937E4D" w:rsidRDefault="00937E4D" w:rsidP="00937E4D">
      <w:pPr>
        <w:widowControl/>
        <w:tabs>
          <w:tab w:val="left" w:pos="360"/>
        </w:tabs>
        <w:ind w:left="360"/>
        <w:rPr>
          <w:rFonts w:ascii="Times New Roman" w:hAnsi="Times New Roman"/>
          <w:sz w:val="24"/>
        </w:rPr>
      </w:pPr>
    </w:p>
    <w:p w:rsidR="009C2D8C" w:rsidRDefault="009C2D8C" w:rsidP="00937E4D">
      <w:pPr>
        <w:widowControl/>
        <w:tabs>
          <w:tab w:val="left" w:pos="360"/>
        </w:tabs>
        <w:ind w:left="360"/>
        <w:rPr>
          <w:rFonts w:ascii="Times New Roman" w:hAnsi="Times New Roman"/>
          <w:sz w:val="24"/>
        </w:rPr>
      </w:pPr>
    </w:p>
    <w:p w:rsidR="009C2D8C" w:rsidRDefault="009C2D8C" w:rsidP="00937E4D">
      <w:pPr>
        <w:widowControl/>
        <w:tabs>
          <w:tab w:val="left" w:pos="360"/>
        </w:tabs>
        <w:ind w:left="360"/>
        <w:rPr>
          <w:rFonts w:ascii="Times New Roman" w:hAnsi="Times New Roman"/>
          <w:sz w:val="24"/>
        </w:rPr>
      </w:pPr>
    </w:p>
    <w:p w:rsidR="00937E4D" w:rsidRDefault="00937E4D" w:rsidP="00937E4D">
      <w:pPr>
        <w:widowControl/>
        <w:tabs>
          <w:tab w:val="left" w:pos="360"/>
        </w:tabs>
        <w:ind w:left="360"/>
        <w:rPr>
          <w:rFonts w:ascii="Times New Roman" w:hAnsi="Times New Roman"/>
          <w:sz w:val="24"/>
        </w:rPr>
      </w:pPr>
    </w:p>
    <w:p w:rsidR="00937E4D" w:rsidRDefault="00937E4D" w:rsidP="00937E4D">
      <w:pPr>
        <w:widowControl/>
        <w:tabs>
          <w:tab w:val="left" w:pos="360"/>
        </w:tabs>
        <w:ind w:left="360"/>
        <w:rPr>
          <w:rFonts w:ascii="Times New Roman" w:hAnsi="Times New Roman"/>
          <w:sz w:val="24"/>
        </w:rPr>
      </w:pPr>
    </w:p>
    <w:p w:rsidR="008F4BDA" w:rsidRDefault="00937E4D" w:rsidP="00937E4D">
      <w:pPr>
        <w:widowControl/>
        <w:tabs>
          <w:tab w:val="left" w:pos="360"/>
        </w:tabs>
        <w:ind w:left="360"/>
        <w:rPr>
          <w:rFonts w:ascii="Arial" w:hAnsi="Arial" w:cs="Arial"/>
          <w:b/>
        </w:rPr>
      </w:pPr>
      <w:r>
        <w:rPr>
          <w:rFonts w:ascii="Times New Roman" w:hAnsi="Times New Roman"/>
          <w:sz w:val="24"/>
        </w:rPr>
        <w:tab/>
      </w:r>
      <w:r>
        <w:rPr>
          <w:rFonts w:ascii="Times New Roman" w:hAnsi="Times New Roman"/>
          <w:sz w:val="24"/>
        </w:rPr>
        <w:tab/>
      </w:r>
      <w:proofErr w:type="gramStart"/>
      <w:r w:rsidR="008F4BDA" w:rsidRPr="008F4BDA">
        <w:rPr>
          <w:rFonts w:ascii="Arial" w:hAnsi="Arial" w:cs="Arial"/>
          <w:b/>
        </w:rPr>
        <w:t>Table 4.</w:t>
      </w:r>
      <w:proofErr w:type="gramEnd"/>
      <w:r w:rsidR="008F4BDA" w:rsidRPr="008F4BDA">
        <w:rPr>
          <w:rFonts w:ascii="Arial" w:hAnsi="Arial" w:cs="Arial"/>
          <w:b/>
        </w:rPr>
        <w:t xml:space="preserve"> Estimated Marking Costs per Vehicle- by Freight Carrier Size</w:t>
      </w:r>
    </w:p>
    <w:p w:rsidR="00937E4D" w:rsidRPr="008F4BDA" w:rsidRDefault="00937E4D" w:rsidP="00937E4D">
      <w:pPr>
        <w:widowControl/>
        <w:tabs>
          <w:tab w:val="left" w:pos="360"/>
        </w:tabs>
        <w:ind w:left="360"/>
        <w:rPr>
          <w:rFonts w:ascii="Arial" w:eastAsia="Arial Unicode MS" w:hAnsi="Arial" w:cs="Arial"/>
          <w:b/>
        </w:rPr>
      </w:pPr>
    </w:p>
    <w:tbl>
      <w:tblPr>
        <w:tblW w:w="6640" w:type="dxa"/>
        <w:jc w:val="center"/>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0"/>
        <w:gridCol w:w="1660"/>
        <w:gridCol w:w="1660"/>
        <w:gridCol w:w="1660"/>
      </w:tblGrid>
      <w:tr w:rsidR="008F4BDA" w:rsidRPr="008F4BDA" w:rsidTr="00DA36E4">
        <w:trPr>
          <w:trHeight w:hRule="exact" w:val="315"/>
          <w:jc w:val="center"/>
        </w:trPr>
        <w:tc>
          <w:tcPr>
            <w:tcW w:w="1660" w:type="dxa"/>
            <w:vMerge w:val="restart"/>
            <w:tcBorders>
              <w:top w:val="single" w:sz="18" w:space="0" w:color="auto"/>
              <w:left w:val="single" w:sz="18" w:space="0" w:color="auto"/>
              <w:right w:val="single" w:sz="18" w:space="0" w:color="auto"/>
            </w:tcBorders>
            <w:shd w:val="clear" w:color="auto" w:fill="D9D9D9"/>
            <w:vAlign w:val="center"/>
            <w:hideMark/>
          </w:tcPr>
          <w:p w:rsidR="008F4BDA" w:rsidRPr="008F4BDA" w:rsidRDefault="008F4BDA" w:rsidP="008F4BDA">
            <w:pPr>
              <w:widowControl/>
              <w:autoSpaceDE/>
              <w:autoSpaceDN/>
              <w:adjustRightInd/>
              <w:jc w:val="center"/>
              <w:rPr>
                <w:rFonts w:ascii="Times New Roman" w:hAnsi="Times New Roman"/>
                <w:b/>
                <w:bCs/>
                <w:color w:val="030303"/>
                <w:sz w:val="22"/>
                <w:szCs w:val="22"/>
              </w:rPr>
            </w:pPr>
            <w:r w:rsidRPr="008F4BDA">
              <w:rPr>
                <w:rFonts w:ascii="Times New Roman" w:hAnsi="Times New Roman"/>
                <w:b/>
                <w:bCs/>
                <w:color w:val="030303"/>
                <w:sz w:val="22"/>
                <w:szCs w:val="22"/>
              </w:rPr>
              <w:t>Freight Carrier Size, by Number of Vehicles</w:t>
            </w:r>
          </w:p>
        </w:tc>
        <w:tc>
          <w:tcPr>
            <w:tcW w:w="3320" w:type="dxa"/>
            <w:gridSpan w:val="2"/>
            <w:tcBorders>
              <w:top w:val="single" w:sz="18" w:space="0" w:color="auto"/>
              <w:left w:val="single" w:sz="18" w:space="0" w:color="auto"/>
              <w:right w:val="single" w:sz="18" w:space="0" w:color="auto"/>
            </w:tcBorders>
            <w:shd w:val="clear" w:color="auto" w:fill="D9D9D9"/>
            <w:vAlign w:val="center"/>
            <w:hideMark/>
          </w:tcPr>
          <w:p w:rsidR="008F4BDA" w:rsidRPr="008F4BDA" w:rsidRDefault="008F4BDA" w:rsidP="008F4BDA">
            <w:pPr>
              <w:widowControl/>
              <w:autoSpaceDE/>
              <w:autoSpaceDN/>
              <w:adjustRightInd/>
              <w:jc w:val="center"/>
              <w:rPr>
                <w:rFonts w:ascii="Times New Roman" w:hAnsi="Times New Roman"/>
                <w:b/>
                <w:bCs/>
                <w:color w:val="030303"/>
                <w:sz w:val="22"/>
                <w:szCs w:val="22"/>
              </w:rPr>
            </w:pPr>
            <w:r w:rsidRPr="008F4BDA">
              <w:rPr>
                <w:rFonts w:ascii="Times New Roman" w:hAnsi="Times New Roman"/>
                <w:b/>
                <w:bCs/>
                <w:color w:val="030303"/>
                <w:sz w:val="22"/>
                <w:szCs w:val="22"/>
              </w:rPr>
              <w:t>Material Cost, per  Vehicle</w:t>
            </w:r>
          </w:p>
        </w:tc>
        <w:tc>
          <w:tcPr>
            <w:tcW w:w="1660" w:type="dxa"/>
            <w:vMerge w:val="restart"/>
            <w:tcBorders>
              <w:top w:val="single" w:sz="18" w:space="0" w:color="auto"/>
              <w:left w:val="single" w:sz="18" w:space="0" w:color="auto"/>
              <w:right w:val="single" w:sz="18" w:space="0" w:color="auto"/>
            </w:tcBorders>
            <w:shd w:val="clear" w:color="auto" w:fill="D9D9D9"/>
            <w:vAlign w:val="center"/>
            <w:hideMark/>
          </w:tcPr>
          <w:p w:rsidR="008F4BDA" w:rsidRPr="008F4BDA" w:rsidRDefault="008F4BDA" w:rsidP="008F4BDA">
            <w:pPr>
              <w:widowControl/>
              <w:autoSpaceDE/>
              <w:autoSpaceDN/>
              <w:adjustRightInd/>
              <w:jc w:val="center"/>
              <w:rPr>
                <w:rFonts w:ascii="Times New Roman" w:hAnsi="Times New Roman"/>
                <w:b/>
                <w:bCs/>
                <w:color w:val="000000"/>
                <w:sz w:val="22"/>
                <w:szCs w:val="22"/>
              </w:rPr>
            </w:pPr>
            <w:r w:rsidRPr="008F4BDA">
              <w:rPr>
                <w:rFonts w:ascii="Times New Roman" w:hAnsi="Times New Roman"/>
                <w:b/>
                <w:bCs/>
                <w:color w:val="000000"/>
                <w:sz w:val="22"/>
                <w:szCs w:val="22"/>
              </w:rPr>
              <w:t>Total Cost per Vehicle</w:t>
            </w:r>
          </w:p>
        </w:tc>
      </w:tr>
      <w:tr w:rsidR="008F4BDA" w:rsidRPr="008F4BDA" w:rsidTr="00DA36E4">
        <w:trPr>
          <w:trHeight w:val="630"/>
          <w:jc w:val="center"/>
        </w:trPr>
        <w:tc>
          <w:tcPr>
            <w:tcW w:w="1660" w:type="dxa"/>
            <w:vMerge/>
            <w:tcBorders>
              <w:left w:val="single" w:sz="18" w:space="0" w:color="auto"/>
              <w:right w:val="single" w:sz="18" w:space="0" w:color="auto"/>
            </w:tcBorders>
            <w:shd w:val="clear" w:color="auto" w:fill="D9D9D9"/>
            <w:vAlign w:val="center"/>
            <w:hideMark/>
          </w:tcPr>
          <w:p w:rsidR="008F4BDA" w:rsidRPr="008F4BDA" w:rsidRDefault="008F4BDA" w:rsidP="008F4BDA">
            <w:pPr>
              <w:widowControl/>
              <w:autoSpaceDE/>
              <w:autoSpaceDN/>
              <w:adjustRightInd/>
              <w:rPr>
                <w:rFonts w:ascii="Times New Roman" w:hAnsi="Times New Roman"/>
                <w:b/>
                <w:bCs/>
                <w:color w:val="030303"/>
                <w:sz w:val="22"/>
                <w:szCs w:val="22"/>
              </w:rPr>
            </w:pPr>
          </w:p>
        </w:tc>
        <w:tc>
          <w:tcPr>
            <w:tcW w:w="1660" w:type="dxa"/>
            <w:tcBorders>
              <w:top w:val="single" w:sz="18" w:space="0" w:color="auto"/>
              <w:left w:val="single" w:sz="18" w:space="0" w:color="auto"/>
            </w:tcBorders>
            <w:shd w:val="clear" w:color="auto" w:fill="D9D9D9"/>
            <w:vAlign w:val="center"/>
            <w:hideMark/>
          </w:tcPr>
          <w:p w:rsidR="008F4BDA" w:rsidRPr="008F4BDA" w:rsidRDefault="008F4BDA" w:rsidP="008F4BDA">
            <w:pPr>
              <w:widowControl/>
              <w:autoSpaceDE/>
              <w:autoSpaceDN/>
              <w:adjustRightInd/>
              <w:jc w:val="center"/>
              <w:rPr>
                <w:rFonts w:ascii="Times New Roman" w:hAnsi="Times New Roman"/>
                <w:b/>
                <w:bCs/>
                <w:color w:val="030303"/>
                <w:sz w:val="22"/>
                <w:szCs w:val="22"/>
              </w:rPr>
            </w:pPr>
            <w:r w:rsidRPr="008F4BDA">
              <w:rPr>
                <w:rFonts w:ascii="Times New Roman" w:hAnsi="Times New Roman"/>
                <w:b/>
                <w:bCs/>
                <w:color w:val="030303"/>
                <w:w w:val="113"/>
                <w:sz w:val="22"/>
                <w:szCs w:val="22"/>
              </w:rPr>
              <w:t>Affixing Carrier DOT#</w:t>
            </w:r>
          </w:p>
        </w:tc>
        <w:tc>
          <w:tcPr>
            <w:tcW w:w="1660" w:type="dxa"/>
            <w:tcBorders>
              <w:top w:val="single" w:sz="18" w:space="0" w:color="auto"/>
              <w:right w:val="single" w:sz="18" w:space="0" w:color="auto"/>
            </w:tcBorders>
            <w:shd w:val="clear" w:color="auto" w:fill="D9D9D9"/>
            <w:vAlign w:val="center"/>
            <w:hideMark/>
          </w:tcPr>
          <w:p w:rsidR="008F4BDA" w:rsidRPr="008F4BDA" w:rsidRDefault="008F4BDA" w:rsidP="008F4BDA">
            <w:pPr>
              <w:widowControl/>
              <w:autoSpaceDE/>
              <w:autoSpaceDN/>
              <w:adjustRightInd/>
              <w:jc w:val="center"/>
              <w:rPr>
                <w:rFonts w:ascii="Times New Roman" w:hAnsi="Times New Roman"/>
                <w:b/>
                <w:bCs/>
                <w:color w:val="030303"/>
                <w:sz w:val="22"/>
                <w:szCs w:val="22"/>
              </w:rPr>
            </w:pPr>
            <w:r w:rsidRPr="008F4BDA">
              <w:rPr>
                <w:rFonts w:ascii="Times New Roman" w:hAnsi="Times New Roman"/>
                <w:b/>
                <w:bCs/>
                <w:color w:val="030303"/>
                <w:sz w:val="22"/>
                <w:szCs w:val="22"/>
              </w:rPr>
              <w:t>Affixing Carrier Name</w:t>
            </w:r>
          </w:p>
        </w:tc>
        <w:tc>
          <w:tcPr>
            <w:tcW w:w="1660" w:type="dxa"/>
            <w:vMerge/>
            <w:tcBorders>
              <w:left w:val="single" w:sz="18" w:space="0" w:color="auto"/>
              <w:bottom w:val="single" w:sz="18" w:space="0" w:color="auto"/>
              <w:right w:val="single" w:sz="18" w:space="0" w:color="auto"/>
            </w:tcBorders>
            <w:shd w:val="clear" w:color="auto" w:fill="D9D9D9"/>
            <w:vAlign w:val="center"/>
            <w:hideMark/>
          </w:tcPr>
          <w:p w:rsidR="008F4BDA" w:rsidRPr="008F4BDA" w:rsidRDefault="008F4BDA" w:rsidP="008F4BDA">
            <w:pPr>
              <w:widowControl/>
              <w:autoSpaceDE/>
              <w:autoSpaceDN/>
              <w:adjustRightInd/>
              <w:rPr>
                <w:rFonts w:ascii="Times New Roman" w:hAnsi="Times New Roman"/>
                <w:b/>
                <w:bCs/>
                <w:color w:val="000000"/>
                <w:sz w:val="22"/>
                <w:szCs w:val="22"/>
              </w:rPr>
            </w:pPr>
          </w:p>
        </w:tc>
      </w:tr>
      <w:tr w:rsidR="008F4BDA" w:rsidRPr="008F4BDA" w:rsidTr="00DA36E4">
        <w:trPr>
          <w:trHeight w:val="315"/>
          <w:jc w:val="center"/>
        </w:trPr>
        <w:tc>
          <w:tcPr>
            <w:tcW w:w="1660" w:type="dxa"/>
            <w:tcBorders>
              <w:top w:val="single" w:sz="18" w:space="0" w:color="auto"/>
              <w:left w:val="single" w:sz="18" w:space="0" w:color="auto"/>
            </w:tcBorders>
            <w:shd w:val="clear" w:color="auto" w:fill="auto"/>
            <w:vAlign w:val="center"/>
            <w:hideMark/>
          </w:tcPr>
          <w:p w:rsidR="008F4BDA" w:rsidRPr="008F4BDA" w:rsidRDefault="008F4BDA" w:rsidP="008F4BDA">
            <w:pPr>
              <w:widowControl/>
              <w:autoSpaceDE/>
              <w:autoSpaceDN/>
              <w:adjustRightInd/>
              <w:jc w:val="center"/>
              <w:rPr>
                <w:rFonts w:ascii="Times New Roman" w:hAnsi="Times New Roman"/>
                <w:b/>
                <w:bCs/>
                <w:color w:val="030303"/>
                <w:sz w:val="22"/>
                <w:szCs w:val="22"/>
              </w:rPr>
            </w:pPr>
            <w:r w:rsidRPr="008F4BDA">
              <w:rPr>
                <w:rFonts w:ascii="Times New Roman" w:hAnsi="Times New Roman"/>
                <w:b/>
                <w:bCs/>
                <w:color w:val="030303"/>
                <w:w w:val="102"/>
                <w:sz w:val="22"/>
                <w:szCs w:val="22"/>
              </w:rPr>
              <w:t>1-6</w:t>
            </w:r>
          </w:p>
        </w:tc>
        <w:tc>
          <w:tcPr>
            <w:tcW w:w="1660" w:type="dxa"/>
            <w:tcBorders>
              <w:top w:val="single" w:sz="18" w:space="0" w:color="auto"/>
            </w:tcBorders>
            <w:shd w:val="clear" w:color="auto" w:fill="auto"/>
            <w:vAlign w:val="center"/>
            <w:hideMark/>
          </w:tcPr>
          <w:p w:rsidR="008F4BDA" w:rsidRPr="008F4BDA" w:rsidRDefault="008F4BDA" w:rsidP="008F4BDA">
            <w:pPr>
              <w:widowControl/>
              <w:autoSpaceDE/>
              <w:autoSpaceDN/>
              <w:adjustRightInd/>
              <w:jc w:val="center"/>
              <w:rPr>
                <w:rFonts w:ascii="Times New Roman" w:hAnsi="Times New Roman"/>
                <w:color w:val="030303"/>
                <w:sz w:val="22"/>
                <w:szCs w:val="22"/>
              </w:rPr>
            </w:pPr>
            <w:r w:rsidRPr="008F4BDA">
              <w:rPr>
                <w:rFonts w:ascii="Times New Roman" w:hAnsi="Times New Roman"/>
                <w:color w:val="030303"/>
                <w:w w:val="108"/>
                <w:sz w:val="22"/>
                <w:szCs w:val="22"/>
              </w:rPr>
              <w:t xml:space="preserve">$11.10 </w:t>
            </w:r>
          </w:p>
        </w:tc>
        <w:tc>
          <w:tcPr>
            <w:tcW w:w="1660" w:type="dxa"/>
            <w:tcBorders>
              <w:top w:val="single" w:sz="18" w:space="0" w:color="auto"/>
            </w:tcBorders>
            <w:shd w:val="clear" w:color="auto" w:fill="auto"/>
            <w:vAlign w:val="center"/>
            <w:hideMark/>
          </w:tcPr>
          <w:p w:rsidR="008F4BDA" w:rsidRPr="008F4BDA" w:rsidRDefault="008F4BDA" w:rsidP="008F4BDA">
            <w:pPr>
              <w:widowControl/>
              <w:autoSpaceDE/>
              <w:autoSpaceDN/>
              <w:adjustRightInd/>
              <w:jc w:val="center"/>
              <w:rPr>
                <w:rFonts w:ascii="Times New Roman" w:hAnsi="Times New Roman"/>
                <w:color w:val="000000"/>
                <w:sz w:val="22"/>
                <w:szCs w:val="22"/>
              </w:rPr>
            </w:pPr>
            <w:r w:rsidRPr="008F4BDA">
              <w:rPr>
                <w:rFonts w:ascii="Times New Roman" w:hAnsi="Times New Roman"/>
                <w:color w:val="000000"/>
                <w:sz w:val="22"/>
                <w:szCs w:val="22"/>
              </w:rPr>
              <w:t xml:space="preserve">$16.70 </w:t>
            </w:r>
          </w:p>
        </w:tc>
        <w:tc>
          <w:tcPr>
            <w:tcW w:w="1660" w:type="dxa"/>
            <w:tcBorders>
              <w:top w:val="single" w:sz="18" w:space="0" w:color="auto"/>
              <w:right w:val="single" w:sz="18" w:space="0" w:color="auto"/>
            </w:tcBorders>
            <w:shd w:val="clear" w:color="auto" w:fill="auto"/>
            <w:vAlign w:val="center"/>
            <w:hideMark/>
          </w:tcPr>
          <w:p w:rsidR="008F4BDA" w:rsidRPr="008F4BDA" w:rsidRDefault="008F4BDA" w:rsidP="008F4BDA">
            <w:pPr>
              <w:widowControl/>
              <w:autoSpaceDE/>
              <w:autoSpaceDN/>
              <w:adjustRightInd/>
              <w:jc w:val="center"/>
              <w:rPr>
                <w:rFonts w:ascii="Times New Roman" w:hAnsi="Times New Roman"/>
                <w:color w:val="000000"/>
                <w:sz w:val="22"/>
                <w:szCs w:val="22"/>
              </w:rPr>
            </w:pPr>
            <w:r w:rsidRPr="008F4BDA">
              <w:rPr>
                <w:rFonts w:ascii="Times New Roman" w:hAnsi="Times New Roman"/>
                <w:color w:val="000000"/>
                <w:sz w:val="22"/>
                <w:szCs w:val="22"/>
              </w:rPr>
              <w:t xml:space="preserve">$27.80 </w:t>
            </w:r>
          </w:p>
        </w:tc>
      </w:tr>
      <w:tr w:rsidR="008F4BDA" w:rsidRPr="008F4BDA" w:rsidTr="00DA36E4">
        <w:trPr>
          <w:trHeight w:val="315"/>
          <w:jc w:val="center"/>
        </w:trPr>
        <w:tc>
          <w:tcPr>
            <w:tcW w:w="1660" w:type="dxa"/>
            <w:tcBorders>
              <w:left w:val="single" w:sz="18" w:space="0" w:color="auto"/>
            </w:tcBorders>
            <w:shd w:val="clear" w:color="auto" w:fill="auto"/>
            <w:vAlign w:val="center"/>
            <w:hideMark/>
          </w:tcPr>
          <w:p w:rsidR="008F4BDA" w:rsidRPr="008F4BDA" w:rsidRDefault="008F4BDA" w:rsidP="008F4BDA">
            <w:pPr>
              <w:widowControl/>
              <w:autoSpaceDE/>
              <w:autoSpaceDN/>
              <w:adjustRightInd/>
              <w:jc w:val="center"/>
              <w:rPr>
                <w:rFonts w:ascii="Times New Roman" w:hAnsi="Times New Roman"/>
                <w:b/>
                <w:bCs/>
                <w:color w:val="030303"/>
                <w:sz w:val="22"/>
                <w:szCs w:val="22"/>
              </w:rPr>
            </w:pPr>
            <w:r w:rsidRPr="008F4BDA">
              <w:rPr>
                <w:rFonts w:ascii="Times New Roman" w:hAnsi="Times New Roman"/>
                <w:b/>
                <w:bCs/>
                <w:color w:val="030303"/>
                <w:w w:val="102"/>
                <w:sz w:val="22"/>
                <w:szCs w:val="22"/>
              </w:rPr>
              <w:t>7-19</w:t>
            </w:r>
          </w:p>
        </w:tc>
        <w:tc>
          <w:tcPr>
            <w:tcW w:w="1660" w:type="dxa"/>
            <w:shd w:val="clear" w:color="auto" w:fill="auto"/>
            <w:vAlign w:val="center"/>
            <w:hideMark/>
          </w:tcPr>
          <w:p w:rsidR="008F4BDA" w:rsidRPr="008F4BDA" w:rsidRDefault="008F4BDA" w:rsidP="008F4BDA">
            <w:pPr>
              <w:widowControl/>
              <w:autoSpaceDE/>
              <w:autoSpaceDN/>
              <w:adjustRightInd/>
              <w:jc w:val="center"/>
              <w:rPr>
                <w:rFonts w:ascii="Times New Roman" w:hAnsi="Times New Roman"/>
                <w:color w:val="030303"/>
                <w:sz w:val="22"/>
                <w:szCs w:val="22"/>
              </w:rPr>
            </w:pPr>
            <w:r w:rsidRPr="008F4BDA">
              <w:rPr>
                <w:rFonts w:ascii="Times New Roman" w:hAnsi="Times New Roman"/>
                <w:color w:val="030303"/>
                <w:w w:val="106"/>
                <w:sz w:val="22"/>
                <w:szCs w:val="22"/>
              </w:rPr>
              <w:t xml:space="preserve">$8.30 </w:t>
            </w:r>
          </w:p>
        </w:tc>
        <w:tc>
          <w:tcPr>
            <w:tcW w:w="1660" w:type="dxa"/>
            <w:shd w:val="clear" w:color="auto" w:fill="auto"/>
            <w:vAlign w:val="center"/>
            <w:hideMark/>
          </w:tcPr>
          <w:p w:rsidR="008F4BDA" w:rsidRPr="008F4BDA" w:rsidRDefault="008F4BDA" w:rsidP="008F4BDA">
            <w:pPr>
              <w:widowControl/>
              <w:autoSpaceDE/>
              <w:autoSpaceDN/>
              <w:adjustRightInd/>
              <w:jc w:val="center"/>
              <w:rPr>
                <w:rFonts w:ascii="Times New Roman" w:hAnsi="Times New Roman"/>
                <w:color w:val="000000"/>
                <w:sz w:val="22"/>
                <w:szCs w:val="22"/>
              </w:rPr>
            </w:pPr>
            <w:r w:rsidRPr="008F4BDA">
              <w:rPr>
                <w:rFonts w:ascii="Times New Roman" w:hAnsi="Times New Roman"/>
                <w:color w:val="000000"/>
                <w:sz w:val="22"/>
                <w:szCs w:val="22"/>
              </w:rPr>
              <w:t xml:space="preserve">$12.50 </w:t>
            </w:r>
          </w:p>
        </w:tc>
        <w:tc>
          <w:tcPr>
            <w:tcW w:w="1660" w:type="dxa"/>
            <w:tcBorders>
              <w:right w:val="single" w:sz="18" w:space="0" w:color="auto"/>
            </w:tcBorders>
            <w:shd w:val="clear" w:color="auto" w:fill="auto"/>
            <w:vAlign w:val="center"/>
            <w:hideMark/>
          </w:tcPr>
          <w:p w:rsidR="008F4BDA" w:rsidRPr="008F4BDA" w:rsidRDefault="008F4BDA" w:rsidP="008F4BDA">
            <w:pPr>
              <w:widowControl/>
              <w:autoSpaceDE/>
              <w:autoSpaceDN/>
              <w:adjustRightInd/>
              <w:jc w:val="center"/>
              <w:rPr>
                <w:rFonts w:ascii="Times New Roman" w:hAnsi="Times New Roman"/>
                <w:color w:val="000000"/>
                <w:sz w:val="22"/>
                <w:szCs w:val="22"/>
              </w:rPr>
            </w:pPr>
            <w:r w:rsidRPr="008F4BDA">
              <w:rPr>
                <w:rFonts w:ascii="Times New Roman" w:hAnsi="Times New Roman"/>
                <w:color w:val="000000"/>
                <w:sz w:val="22"/>
                <w:szCs w:val="22"/>
              </w:rPr>
              <w:t xml:space="preserve">$20.80 </w:t>
            </w:r>
          </w:p>
        </w:tc>
      </w:tr>
      <w:tr w:rsidR="008F4BDA" w:rsidRPr="008F4BDA" w:rsidTr="00DA36E4">
        <w:trPr>
          <w:trHeight w:val="315"/>
          <w:jc w:val="center"/>
        </w:trPr>
        <w:tc>
          <w:tcPr>
            <w:tcW w:w="1660" w:type="dxa"/>
            <w:tcBorders>
              <w:left w:val="single" w:sz="18" w:space="0" w:color="auto"/>
            </w:tcBorders>
            <w:shd w:val="clear" w:color="auto" w:fill="auto"/>
            <w:vAlign w:val="center"/>
            <w:hideMark/>
          </w:tcPr>
          <w:p w:rsidR="008F4BDA" w:rsidRPr="008F4BDA" w:rsidRDefault="008F4BDA" w:rsidP="008F4BDA">
            <w:pPr>
              <w:widowControl/>
              <w:autoSpaceDE/>
              <w:autoSpaceDN/>
              <w:adjustRightInd/>
              <w:jc w:val="center"/>
              <w:rPr>
                <w:rFonts w:ascii="Times New Roman" w:hAnsi="Times New Roman"/>
                <w:b/>
                <w:bCs/>
                <w:color w:val="030303"/>
                <w:sz w:val="22"/>
                <w:szCs w:val="22"/>
              </w:rPr>
            </w:pPr>
            <w:r w:rsidRPr="008F4BDA">
              <w:rPr>
                <w:rFonts w:ascii="Times New Roman" w:hAnsi="Times New Roman"/>
                <w:b/>
                <w:bCs/>
                <w:color w:val="030303"/>
                <w:sz w:val="22"/>
                <w:szCs w:val="22"/>
              </w:rPr>
              <w:t>20-100</w:t>
            </w:r>
          </w:p>
        </w:tc>
        <w:tc>
          <w:tcPr>
            <w:tcW w:w="1660" w:type="dxa"/>
            <w:shd w:val="clear" w:color="auto" w:fill="auto"/>
            <w:vAlign w:val="center"/>
            <w:hideMark/>
          </w:tcPr>
          <w:p w:rsidR="008F4BDA" w:rsidRPr="008F4BDA" w:rsidRDefault="008F4BDA" w:rsidP="008F4BDA">
            <w:pPr>
              <w:widowControl/>
              <w:autoSpaceDE/>
              <w:autoSpaceDN/>
              <w:adjustRightInd/>
              <w:jc w:val="center"/>
              <w:rPr>
                <w:rFonts w:ascii="Times New Roman" w:hAnsi="Times New Roman"/>
                <w:color w:val="030303"/>
                <w:sz w:val="22"/>
                <w:szCs w:val="22"/>
              </w:rPr>
            </w:pPr>
            <w:r w:rsidRPr="008F4BDA">
              <w:rPr>
                <w:rFonts w:ascii="Times New Roman" w:hAnsi="Times New Roman"/>
                <w:color w:val="030303"/>
                <w:w w:val="105"/>
                <w:sz w:val="22"/>
                <w:szCs w:val="22"/>
              </w:rPr>
              <w:t xml:space="preserve">$5.50 </w:t>
            </w:r>
          </w:p>
        </w:tc>
        <w:tc>
          <w:tcPr>
            <w:tcW w:w="1660" w:type="dxa"/>
            <w:shd w:val="clear" w:color="auto" w:fill="auto"/>
            <w:vAlign w:val="center"/>
            <w:hideMark/>
          </w:tcPr>
          <w:p w:rsidR="008F4BDA" w:rsidRPr="008F4BDA" w:rsidRDefault="008F4BDA" w:rsidP="008F4BDA">
            <w:pPr>
              <w:widowControl/>
              <w:autoSpaceDE/>
              <w:autoSpaceDN/>
              <w:adjustRightInd/>
              <w:jc w:val="center"/>
              <w:rPr>
                <w:rFonts w:ascii="Times New Roman" w:hAnsi="Times New Roman"/>
                <w:color w:val="000000"/>
                <w:sz w:val="22"/>
                <w:szCs w:val="22"/>
              </w:rPr>
            </w:pPr>
            <w:r w:rsidRPr="008F4BDA">
              <w:rPr>
                <w:rFonts w:ascii="Times New Roman" w:hAnsi="Times New Roman"/>
                <w:color w:val="000000"/>
                <w:sz w:val="22"/>
                <w:szCs w:val="22"/>
              </w:rPr>
              <w:t xml:space="preserve">$8.30 </w:t>
            </w:r>
          </w:p>
        </w:tc>
        <w:tc>
          <w:tcPr>
            <w:tcW w:w="1660" w:type="dxa"/>
            <w:tcBorders>
              <w:right w:val="single" w:sz="18" w:space="0" w:color="auto"/>
            </w:tcBorders>
            <w:shd w:val="clear" w:color="auto" w:fill="auto"/>
            <w:vAlign w:val="center"/>
            <w:hideMark/>
          </w:tcPr>
          <w:p w:rsidR="008F4BDA" w:rsidRPr="008F4BDA" w:rsidRDefault="008F4BDA" w:rsidP="008F4BDA">
            <w:pPr>
              <w:widowControl/>
              <w:autoSpaceDE/>
              <w:autoSpaceDN/>
              <w:adjustRightInd/>
              <w:jc w:val="center"/>
              <w:rPr>
                <w:rFonts w:ascii="Times New Roman" w:hAnsi="Times New Roman"/>
                <w:color w:val="000000"/>
                <w:sz w:val="22"/>
                <w:szCs w:val="22"/>
              </w:rPr>
            </w:pPr>
            <w:r w:rsidRPr="008F4BDA">
              <w:rPr>
                <w:rFonts w:ascii="Times New Roman" w:hAnsi="Times New Roman"/>
                <w:color w:val="000000"/>
                <w:sz w:val="22"/>
                <w:szCs w:val="22"/>
              </w:rPr>
              <w:t xml:space="preserve">$13.80 </w:t>
            </w:r>
          </w:p>
        </w:tc>
      </w:tr>
      <w:tr w:rsidR="008F4BDA" w:rsidRPr="008F4BDA" w:rsidTr="00DA36E4">
        <w:trPr>
          <w:trHeight w:val="315"/>
          <w:jc w:val="center"/>
        </w:trPr>
        <w:tc>
          <w:tcPr>
            <w:tcW w:w="1660" w:type="dxa"/>
            <w:tcBorders>
              <w:left w:val="single" w:sz="18" w:space="0" w:color="auto"/>
              <w:bottom w:val="single" w:sz="18" w:space="0" w:color="auto"/>
            </w:tcBorders>
            <w:shd w:val="clear" w:color="auto" w:fill="auto"/>
            <w:vAlign w:val="center"/>
            <w:hideMark/>
          </w:tcPr>
          <w:p w:rsidR="008F4BDA" w:rsidRPr="008F4BDA" w:rsidRDefault="008F4BDA" w:rsidP="008F4BDA">
            <w:pPr>
              <w:widowControl/>
              <w:autoSpaceDE/>
              <w:autoSpaceDN/>
              <w:adjustRightInd/>
              <w:jc w:val="center"/>
              <w:rPr>
                <w:rFonts w:ascii="Times New Roman" w:hAnsi="Times New Roman"/>
                <w:b/>
                <w:bCs/>
                <w:color w:val="030303"/>
                <w:sz w:val="22"/>
                <w:szCs w:val="22"/>
              </w:rPr>
            </w:pPr>
            <w:r w:rsidRPr="008F4BDA">
              <w:rPr>
                <w:rFonts w:ascii="Times New Roman" w:hAnsi="Times New Roman"/>
                <w:b/>
                <w:bCs/>
                <w:color w:val="030303"/>
                <w:w w:val="101"/>
                <w:sz w:val="22"/>
                <w:szCs w:val="22"/>
              </w:rPr>
              <w:t>101+</w:t>
            </w:r>
          </w:p>
        </w:tc>
        <w:tc>
          <w:tcPr>
            <w:tcW w:w="1660" w:type="dxa"/>
            <w:tcBorders>
              <w:bottom w:val="single" w:sz="18" w:space="0" w:color="auto"/>
            </w:tcBorders>
            <w:shd w:val="clear" w:color="auto" w:fill="auto"/>
            <w:vAlign w:val="center"/>
            <w:hideMark/>
          </w:tcPr>
          <w:p w:rsidR="008F4BDA" w:rsidRPr="008F4BDA" w:rsidRDefault="008F4BDA" w:rsidP="008F4BDA">
            <w:pPr>
              <w:widowControl/>
              <w:autoSpaceDE/>
              <w:autoSpaceDN/>
              <w:adjustRightInd/>
              <w:jc w:val="center"/>
              <w:rPr>
                <w:rFonts w:ascii="Times New Roman" w:hAnsi="Times New Roman"/>
                <w:color w:val="030303"/>
                <w:sz w:val="22"/>
                <w:szCs w:val="22"/>
              </w:rPr>
            </w:pPr>
            <w:r w:rsidRPr="008F4BDA">
              <w:rPr>
                <w:rFonts w:ascii="Times New Roman" w:hAnsi="Times New Roman"/>
                <w:color w:val="030303"/>
                <w:w w:val="106"/>
                <w:sz w:val="22"/>
                <w:szCs w:val="22"/>
              </w:rPr>
              <w:t xml:space="preserve">$2.80 </w:t>
            </w:r>
          </w:p>
        </w:tc>
        <w:tc>
          <w:tcPr>
            <w:tcW w:w="1660" w:type="dxa"/>
            <w:tcBorders>
              <w:bottom w:val="single" w:sz="18" w:space="0" w:color="auto"/>
            </w:tcBorders>
            <w:shd w:val="clear" w:color="auto" w:fill="auto"/>
            <w:vAlign w:val="center"/>
            <w:hideMark/>
          </w:tcPr>
          <w:p w:rsidR="008F4BDA" w:rsidRPr="008F4BDA" w:rsidRDefault="008F4BDA" w:rsidP="008F4BDA">
            <w:pPr>
              <w:widowControl/>
              <w:autoSpaceDE/>
              <w:autoSpaceDN/>
              <w:adjustRightInd/>
              <w:jc w:val="center"/>
              <w:rPr>
                <w:rFonts w:ascii="Times New Roman" w:hAnsi="Times New Roman"/>
                <w:color w:val="000000"/>
                <w:sz w:val="22"/>
                <w:szCs w:val="22"/>
              </w:rPr>
            </w:pPr>
            <w:r w:rsidRPr="008F4BDA">
              <w:rPr>
                <w:rFonts w:ascii="Times New Roman" w:hAnsi="Times New Roman"/>
                <w:color w:val="000000"/>
                <w:sz w:val="22"/>
                <w:szCs w:val="22"/>
              </w:rPr>
              <w:t xml:space="preserve">$4.10 </w:t>
            </w:r>
          </w:p>
        </w:tc>
        <w:tc>
          <w:tcPr>
            <w:tcW w:w="1660" w:type="dxa"/>
            <w:tcBorders>
              <w:bottom w:val="single" w:sz="18" w:space="0" w:color="auto"/>
              <w:right w:val="single" w:sz="18" w:space="0" w:color="auto"/>
            </w:tcBorders>
            <w:shd w:val="clear" w:color="auto" w:fill="auto"/>
            <w:vAlign w:val="center"/>
            <w:hideMark/>
          </w:tcPr>
          <w:p w:rsidR="008F4BDA" w:rsidRPr="008F4BDA" w:rsidRDefault="008F4BDA" w:rsidP="008F4BDA">
            <w:pPr>
              <w:widowControl/>
              <w:autoSpaceDE/>
              <w:autoSpaceDN/>
              <w:adjustRightInd/>
              <w:jc w:val="center"/>
              <w:rPr>
                <w:rFonts w:ascii="Times New Roman" w:hAnsi="Times New Roman"/>
                <w:color w:val="000000"/>
                <w:sz w:val="22"/>
                <w:szCs w:val="22"/>
              </w:rPr>
            </w:pPr>
            <w:r w:rsidRPr="008F4BDA">
              <w:rPr>
                <w:rFonts w:ascii="Times New Roman" w:hAnsi="Times New Roman"/>
                <w:color w:val="000000"/>
                <w:sz w:val="22"/>
                <w:szCs w:val="22"/>
              </w:rPr>
              <w:t xml:space="preserve">$6.90 </w:t>
            </w:r>
          </w:p>
        </w:tc>
      </w:tr>
    </w:tbl>
    <w:p w:rsidR="008F4BDA" w:rsidRPr="008F4BDA" w:rsidRDefault="008F4BDA" w:rsidP="008F4BDA">
      <w:pPr>
        <w:widowControl/>
        <w:tabs>
          <w:tab w:val="left" w:pos="360"/>
        </w:tabs>
        <w:ind w:left="720"/>
        <w:rPr>
          <w:rFonts w:ascii="Times New Roman" w:hAnsi="Times New Roman"/>
          <w:sz w:val="24"/>
        </w:rPr>
      </w:pPr>
    </w:p>
    <w:p w:rsidR="008F4BDA" w:rsidRPr="008F4BDA" w:rsidRDefault="008F4BDA" w:rsidP="008F4BDA">
      <w:pPr>
        <w:widowControl/>
        <w:tabs>
          <w:tab w:val="left" w:pos="360"/>
        </w:tabs>
        <w:ind w:left="360"/>
        <w:rPr>
          <w:rFonts w:ascii="Times New Roman" w:hAnsi="Times New Roman"/>
          <w:sz w:val="24"/>
        </w:rPr>
      </w:pPr>
      <w:r w:rsidRPr="008F4BDA">
        <w:rPr>
          <w:rFonts w:ascii="Times New Roman" w:hAnsi="Times New Roman"/>
          <w:sz w:val="24"/>
        </w:rPr>
        <w:lastRenderedPageBreak/>
        <w:t>The estimated marking cost per carrier (summarized in Table 5) will vary according to the fleet size per carrier.  The analysis uses MCMIS data (August 24, 2012 snapshot) to estimate average fleet size for each carrier size category.  This is done by selecting the carrier fleet size at which the level of CMVs is nearest to the 50</w:t>
      </w:r>
      <w:r w:rsidRPr="008F4BDA">
        <w:rPr>
          <w:rFonts w:ascii="Times New Roman" w:hAnsi="Times New Roman"/>
          <w:sz w:val="24"/>
          <w:vertAlign w:val="superscript"/>
        </w:rPr>
        <w:t>th</w:t>
      </w:r>
      <w:r w:rsidRPr="008F4BDA">
        <w:rPr>
          <w:rFonts w:ascii="Times New Roman" w:hAnsi="Times New Roman"/>
          <w:sz w:val="24"/>
        </w:rPr>
        <w:t xml:space="preserve"> percentile for that category.  For example, in the 7–19 category MCMIS data indicates that 51 percent of CMVs have a fleet size of up to 11 CMVs; therefore, the average fleet size for this category is approximately 11 CMVs.  The last size category (101+) consists of a wide range of sizes including thousands of units.  Yet a large portion of that category is 101–300.  Therefore, the analysis assumes an average fleet size for the 101+ of 300 CMVs.  The total cost per carrier for that category is $2,070.  Average fleet size and cost per carrier for each category is presented in Table 5 below.</w:t>
      </w:r>
    </w:p>
    <w:p w:rsidR="008F4BDA" w:rsidRPr="008F4BDA" w:rsidRDefault="008F4BDA" w:rsidP="008F4BDA">
      <w:pPr>
        <w:widowControl/>
        <w:tabs>
          <w:tab w:val="left" w:pos="360"/>
        </w:tabs>
        <w:rPr>
          <w:rFonts w:ascii="Times New Roman" w:hAnsi="Times New Roman"/>
          <w:sz w:val="24"/>
        </w:rPr>
      </w:pPr>
    </w:p>
    <w:p w:rsidR="008F4BDA" w:rsidRPr="008F4BDA" w:rsidRDefault="008F4BDA" w:rsidP="008F4BDA">
      <w:pPr>
        <w:widowControl/>
        <w:tabs>
          <w:tab w:val="left" w:pos="360"/>
        </w:tabs>
        <w:spacing w:after="200"/>
        <w:jc w:val="center"/>
        <w:rPr>
          <w:rFonts w:ascii="Arial" w:hAnsi="Arial" w:cs="Arial"/>
          <w:b/>
        </w:rPr>
      </w:pPr>
      <w:r w:rsidRPr="008F4BDA">
        <w:rPr>
          <w:rFonts w:ascii="Arial" w:hAnsi="Arial" w:cs="Arial"/>
          <w:b/>
        </w:rPr>
        <w:t>Table 5. Average Material Cost per Carrier</w:t>
      </w:r>
    </w:p>
    <w:tbl>
      <w:tblPr>
        <w:tblW w:w="6640" w:type="dxa"/>
        <w:jc w:val="center"/>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0"/>
        <w:gridCol w:w="1660"/>
        <w:gridCol w:w="1660"/>
        <w:gridCol w:w="1660"/>
      </w:tblGrid>
      <w:tr w:rsidR="008F4BDA" w:rsidRPr="008F4BDA" w:rsidTr="00DA36E4">
        <w:trPr>
          <w:trHeight w:val="1151"/>
          <w:jc w:val="center"/>
        </w:trPr>
        <w:tc>
          <w:tcPr>
            <w:tcW w:w="1660" w:type="dxa"/>
            <w:tcBorders>
              <w:top w:val="single" w:sz="18" w:space="0" w:color="auto"/>
              <w:left w:val="single" w:sz="18" w:space="0" w:color="auto"/>
            </w:tcBorders>
            <w:shd w:val="clear" w:color="auto" w:fill="D9D9D9"/>
            <w:vAlign w:val="center"/>
            <w:hideMark/>
          </w:tcPr>
          <w:p w:rsidR="008F4BDA" w:rsidRPr="008F4BDA" w:rsidRDefault="008F4BDA" w:rsidP="008F4BDA">
            <w:pPr>
              <w:widowControl/>
              <w:autoSpaceDE/>
              <w:autoSpaceDN/>
              <w:adjustRightInd/>
              <w:jc w:val="center"/>
              <w:rPr>
                <w:rFonts w:ascii="Times New Roman" w:hAnsi="Times New Roman"/>
                <w:b/>
                <w:bCs/>
                <w:color w:val="010101"/>
                <w:sz w:val="22"/>
                <w:szCs w:val="22"/>
              </w:rPr>
            </w:pPr>
            <w:r w:rsidRPr="008F4BDA">
              <w:rPr>
                <w:rFonts w:ascii="Times New Roman" w:hAnsi="Times New Roman"/>
                <w:b/>
                <w:bCs/>
                <w:color w:val="010101"/>
                <w:sz w:val="22"/>
                <w:szCs w:val="22"/>
              </w:rPr>
              <w:t>Freight Carrier Size, by Number of Vehicles</w:t>
            </w:r>
          </w:p>
        </w:tc>
        <w:tc>
          <w:tcPr>
            <w:tcW w:w="1660" w:type="dxa"/>
            <w:tcBorders>
              <w:top w:val="single" w:sz="18" w:space="0" w:color="auto"/>
              <w:bottom w:val="single" w:sz="18" w:space="0" w:color="auto"/>
            </w:tcBorders>
            <w:shd w:val="clear" w:color="auto" w:fill="D9D9D9"/>
            <w:vAlign w:val="center"/>
            <w:hideMark/>
          </w:tcPr>
          <w:p w:rsidR="008F4BDA" w:rsidRPr="008F4BDA" w:rsidRDefault="008F4BDA" w:rsidP="008F4BDA">
            <w:pPr>
              <w:widowControl/>
              <w:autoSpaceDE/>
              <w:autoSpaceDN/>
              <w:adjustRightInd/>
              <w:jc w:val="center"/>
              <w:rPr>
                <w:rFonts w:ascii="Times New Roman" w:hAnsi="Times New Roman"/>
                <w:b/>
                <w:bCs/>
                <w:color w:val="010101"/>
                <w:sz w:val="22"/>
                <w:szCs w:val="22"/>
              </w:rPr>
            </w:pPr>
            <w:r w:rsidRPr="008F4BDA">
              <w:rPr>
                <w:rFonts w:ascii="Times New Roman" w:hAnsi="Times New Roman"/>
                <w:b/>
                <w:bCs/>
                <w:color w:val="010101"/>
                <w:sz w:val="22"/>
                <w:szCs w:val="22"/>
              </w:rPr>
              <w:t>Average Fleet Size</w:t>
            </w:r>
          </w:p>
        </w:tc>
        <w:tc>
          <w:tcPr>
            <w:tcW w:w="1660" w:type="dxa"/>
            <w:tcBorders>
              <w:top w:val="single" w:sz="18" w:space="0" w:color="auto"/>
            </w:tcBorders>
            <w:shd w:val="clear" w:color="auto" w:fill="D9D9D9"/>
            <w:vAlign w:val="center"/>
            <w:hideMark/>
          </w:tcPr>
          <w:p w:rsidR="008F4BDA" w:rsidRPr="008F4BDA" w:rsidRDefault="008F4BDA" w:rsidP="008F4BDA">
            <w:pPr>
              <w:widowControl/>
              <w:autoSpaceDE/>
              <w:autoSpaceDN/>
              <w:adjustRightInd/>
              <w:jc w:val="center"/>
              <w:rPr>
                <w:rFonts w:ascii="Times New Roman" w:hAnsi="Times New Roman"/>
                <w:b/>
                <w:bCs/>
                <w:color w:val="010101"/>
                <w:sz w:val="22"/>
                <w:szCs w:val="22"/>
              </w:rPr>
            </w:pPr>
            <w:r w:rsidRPr="008F4BDA">
              <w:rPr>
                <w:rFonts w:ascii="Times New Roman" w:hAnsi="Times New Roman"/>
                <w:b/>
                <w:bCs/>
                <w:color w:val="010101"/>
                <w:sz w:val="22"/>
                <w:szCs w:val="22"/>
              </w:rPr>
              <w:t>Material Cost per Vehicle</w:t>
            </w:r>
          </w:p>
        </w:tc>
        <w:tc>
          <w:tcPr>
            <w:tcW w:w="1660" w:type="dxa"/>
            <w:tcBorders>
              <w:top w:val="single" w:sz="18" w:space="0" w:color="auto"/>
              <w:right w:val="single" w:sz="18" w:space="0" w:color="auto"/>
            </w:tcBorders>
            <w:shd w:val="clear" w:color="auto" w:fill="D9D9D9"/>
            <w:vAlign w:val="center"/>
            <w:hideMark/>
          </w:tcPr>
          <w:p w:rsidR="008F4BDA" w:rsidRPr="008F4BDA" w:rsidRDefault="008F4BDA" w:rsidP="008F4BDA">
            <w:pPr>
              <w:widowControl/>
              <w:autoSpaceDE/>
              <w:autoSpaceDN/>
              <w:adjustRightInd/>
              <w:jc w:val="center"/>
              <w:rPr>
                <w:rFonts w:ascii="Times New Roman" w:hAnsi="Times New Roman"/>
                <w:b/>
                <w:bCs/>
                <w:color w:val="010101"/>
                <w:sz w:val="22"/>
                <w:szCs w:val="22"/>
              </w:rPr>
            </w:pPr>
            <w:r w:rsidRPr="008F4BDA">
              <w:rPr>
                <w:rFonts w:ascii="Times New Roman" w:hAnsi="Times New Roman"/>
                <w:b/>
                <w:bCs/>
                <w:color w:val="010101"/>
                <w:sz w:val="22"/>
                <w:szCs w:val="22"/>
              </w:rPr>
              <w:t>Average Cost per Carrier</w:t>
            </w:r>
          </w:p>
        </w:tc>
      </w:tr>
      <w:tr w:rsidR="008F4BDA" w:rsidRPr="008F4BDA" w:rsidTr="00DA36E4">
        <w:trPr>
          <w:trHeight w:hRule="exact" w:val="315"/>
          <w:jc w:val="center"/>
        </w:trPr>
        <w:tc>
          <w:tcPr>
            <w:tcW w:w="1660" w:type="dxa"/>
            <w:tcBorders>
              <w:top w:val="single" w:sz="18" w:space="0" w:color="auto"/>
              <w:left w:val="single" w:sz="18" w:space="0" w:color="auto"/>
            </w:tcBorders>
            <w:shd w:val="clear" w:color="auto" w:fill="auto"/>
            <w:noWrap/>
            <w:vAlign w:val="center"/>
            <w:hideMark/>
          </w:tcPr>
          <w:p w:rsidR="008F4BDA" w:rsidRPr="008F4BDA" w:rsidRDefault="008F4BDA" w:rsidP="008F4BDA">
            <w:pPr>
              <w:widowControl/>
              <w:autoSpaceDE/>
              <w:autoSpaceDN/>
              <w:adjustRightInd/>
              <w:jc w:val="center"/>
              <w:rPr>
                <w:rFonts w:ascii="Times New Roman" w:hAnsi="Times New Roman"/>
                <w:b/>
                <w:bCs/>
                <w:color w:val="010101"/>
                <w:sz w:val="22"/>
                <w:szCs w:val="22"/>
              </w:rPr>
            </w:pPr>
            <w:r w:rsidRPr="008F4BDA">
              <w:rPr>
                <w:rFonts w:ascii="Times New Roman" w:hAnsi="Times New Roman"/>
                <w:b/>
                <w:bCs/>
                <w:color w:val="010101"/>
                <w:sz w:val="22"/>
                <w:szCs w:val="22"/>
              </w:rPr>
              <w:t>1-6</w:t>
            </w:r>
          </w:p>
        </w:tc>
        <w:tc>
          <w:tcPr>
            <w:tcW w:w="1660" w:type="dxa"/>
            <w:tcBorders>
              <w:top w:val="single" w:sz="18" w:space="0" w:color="auto"/>
            </w:tcBorders>
            <w:shd w:val="clear" w:color="auto" w:fill="auto"/>
            <w:noWrap/>
            <w:vAlign w:val="center"/>
            <w:hideMark/>
          </w:tcPr>
          <w:p w:rsidR="008F4BDA" w:rsidRPr="008F4BDA" w:rsidRDefault="008F4BDA" w:rsidP="008F4BDA">
            <w:pPr>
              <w:widowControl/>
              <w:autoSpaceDE/>
              <w:autoSpaceDN/>
              <w:adjustRightInd/>
              <w:jc w:val="center"/>
              <w:rPr>
                <w:rFonts w:ascii="Times New Roman" w:hAnsi="Times New Roman"/>
                <w:color w:val="010101"/>
                <w:sz w:val="22"/>
                <w:szCs w:val="22"/>
              </w:rPr>
            </w:pPr>
            <w:r w:rsidRPr="008F4BDA">
              <w:rPr>
                <w:rFonts w:ascii="Times New Roman" w:hAnsi="Times New Roman"/>
                <w:color w:val="010101"/>
                <w:sz w:val="22"/>
                <w:szCs w:val="22"/>
              </w:rPr>
              <w:t>3</w:t>
            </w:r>
          </w:p>
        </w:tc>
        <w:tc>
          <w:tcPr>
            <w:tcW w:w="1660" w:type="dxa"/>
            <w:tcBorders>
              <w:top w:val="single" w:sz="18" w:space="0" w:color="auto"/>
            </w:tcBorders>
            <w:shd w:val="clear" w:color="auto" w:fill="auto"/>
            <w:noWrap/>
            <w:vAlign w:val="center"/>
            <w:hideMark/>
          </w:tcPr>
          <w:p w:rsidR="008F4BDA" w:rsidRPr="008F4BDA" w:rsidRDefault="008F4BDA" w:rsidP="008F4BDA">
            <w:pPr>
              <w:widowControl/>
              <w:autoSpaceDE/>
              <w:autoSpaceDN/>
              <w:adjustRightInd/>
              <w:jc w:val="center"/>
              <w:rPr>
                <w:rFonts w:ascii="Times New Roman" w:hAnsi="Times New Roman"/>
                <w:color w:val="010101"/>
                <w:sz w:val="22"/>
                <w:szCs w:val="22"/>
              </w:rPr>
            </w:pPr>
            <w:r w:rsidRPr="008F4BDA">
              <w:rPr>
                <w:rFonts w:ascii="Times New Roman" w:hAnsi="Times New Roman"/>
                <w:color w:val="010101"/>
                <w:sz w:val="22"/>
                <w:szCs w:val="22"/>
              </w:rPr>
              <w:t xml:space="preserve">$27.80 </w:t>
            </w:r>
          </w:p>
        </w:tc>
        <w:tc>
          <w:tcPr>
            <w:tcW w:w="1660" w:type="dxa"/>
            <w:tcBorders>
              <w:top w:val="single" w:sz="18" w:space="0" w:color="auto"/>
              <w:right w:val="single" w:sz="18" w:space="0" w:color="auto"/>
            </w:tcBorders>
            <w:shd w:val="clear" w:color="auto" w:fill="auto"/>
            <w:noWrap/>
            <w:vAlign w:val="center"/>
            <w:hideMark/>
          </w:tcPr>
          <w:p w:rsidR="008F4BDA" w:rsidRPr="008F4BDA" w:rsidRDefault="008F4BDA" w:rsidP="008F4BDA">
            <w:pPr>
              <w:widowControl/>
              <w:autoSpaceDE/>
              <w:autoSpaceDN/>
              <w:adjustRightInd/>
              <w:jc w:val="center"/>
              <w:rPr>
                <w:rFonts w:ascii="Times New Roman" w:hAnsi="Times New Roman"/>
                <w:color w:val="000000"/>
                <w:sz w:val="22"/>
                <w:szCs w:val="22"/>
              </w:rPr>
            </w:pPr>
            <w:r w:rsidRPr="008F4BDA">
              <w:rPr>
                <w:rFonts w:ascii="Times New Roman" w:hAnsi="Times New Roman"/>
                <w:color w:val="000000"/>
                <w:sz w:val="22"/>
                <w:szCs w:val="22"/>
              </w:rPr>
              <w:t xml:space="preserve">$83.40 </w:t>
            </w:r>
          </w:p>
        </w:tc>
      </w:tr>
      <w:tr w:rsidR="008F4BDA" w:rsidRPr="008F4BDA" w:rsidTr="00DA36E4">
        <w:trPr>
          <w:trHeight w:hRule="exact" w:val="315"/>
          <w:jc w:val="center"/>
        </w:trPr>
        <w:tc>
          <w:tcPr>
            <w:tcW w:w="1660" w:type="dxa"/>
            <w:tcBorders>
              <w:left w:val="single" w:sz="18" w:space="0" w:color="auto"/>
            </w:tcBorders>
            <w:shd w:val="clear" w:color="auto" w:fill="auto"/>
            <w:noWrap/>
            <w:vAlign w:val="center"/>
            <w:hideMark/>
          </w:tcPr>
          <w:p w:rsidR="008F4BDA" w:rsidRPr="008F4BDA" w:rsidRDefault="008F4BDA" w:rsidP="008F4BDA">
            <w:pPr>
              <w:widowControl/>
              <w:autoSpaceDE/>
              <w:autoSpaceDN/>
              <w:adjustRightInd/>
              <w:jc w:val="center"/>
              <w:rPr>
                <w:rFonts w:ascii="Times New Roman" w:hAnsi="Times New Roman"/>
                <w:b/>
                <w:bCs/>
                <w:color w:val="010101"/>
                <w:sz w:val="22"/>
                <w:szCs w:val="22"/>
              </w:rPr>
            </w:pPr>
            <w:r w:rsidRPr="008F4BDA">
              <w:rPr>
                <w:rFonts w:ascii="Times New Roman" w:hAnsi="Times New Roman"/>
                <w:b/>
                <w:bCs/>
                <w:color w:val="010101"/>
                <w:w w:val="102"/>
                <w:sz w:val="22"/>
                <w:szCs w:val="22"/>
              </w:rPr>
              <w:t>7-19</w:t>
            </w:r>
          </w:p>
        </w:tc>
        <w:tc>
          <w:tcPr>
            <w:tcW w:w="1660" w:type="dxa"/>
            <w:shd w:val="clear" w:color="auto" w:fill="auto"/>
            <w:noWrap/>
            <w:vAlign w:val="center"/>
            <w:hideMark/>
          </w:tcPr>
          <w:p w:rsidR="008F4BDA" w:rsidRPr="008F4BDA" w:rsidRDefault="008F4BDA" w:rsidP="008F4BDA">
            <w:pPr>
              <w:widowControl/>
              <w:autoSpaceDE/>
              <w:autoSpaceDN/>
              <w:adjustRightInd/>
              <w:jc w:val="center"/>
              <w:rPr>
                <w:rFonts w:ascii="Times New Roman" w:hAnsi="Times New Roman"/>
                <w:color w:val="010101"/>
                <w:sz w:val="22"/>
                <w:szCs w:val="22"/>
              </w:rPr>
            </w:pPr>
            <w:r w:rsidRPr="008F4BDA">
              <w:rPr>
                <w:rFonts w:ascii="Times New Roman" w:hAnsi="Times New Roman"/>
                <w:color w:val="010101"/>
                <w:sz w:val="22"/>
                <w:szCs w:val="22"/>
              </w:rPr>
              <w:t>11</w:t>
            </w:r>
          </w:p>
        </w:tc>
        <w:tc>
          <w:tcPr>
            <w:tcW w:w="1660" w:type="dxa"/>
            <w:shd w:val="clear" w:color="auto" w:fill="auto"/>
            <w:noWrap/>
            <w:vAlign w:val="center"/>
            <w:hideMark/>
          </w:tcPr>
          <w:p w:rsidR="008F4BDA" w:rsidRPr="008F4BDA" w:rsidRDefault="008F4BDA" w:rsidP="008F4BDA">
            <w:pPr>
              <w:widowControl/>
              <w:autoSpaceDE/>
              <w:autoSpaceDN/>
              <w:adjustRightInd/>
              <w:jc w:val="center"/>
              <w:rPr>
                <w:rFonts w:ascii="Times New Roman" w:hAnsi="Times New Roman"/>
                <w:color w:val="010101"/>
                <w:sz w:val="22"/>
                <w:szCs w:val="22"/>
              </w:rPr>
            </w:pPr>
            <w:r w:rsidRPr="008F4BDA">
              <w:rPr>
                <w:rFonts w:ascii="Times New Roman" w:hAnsi="Times New Roman"/>
                <w:color w:val="010101"/>
                <w:sz w:val="22"/>
                <w:szCs w:val="22"/>
              </w:rPr>
              <w:t xml:space="preserve">$20.80 </w:t>
            </w:r>
          </w:p>
        </w:tc>
        <w:tc>
          <w:tcPr>
            <w:tcW w:w="1660" w:type="dxa"/>
            <w:tcBorders>
              <w:right w:val="single" w:sz="18" w:space="0" w:color="auto"/>
            </w:tcBorders>
            <w:shd w:val="clear" w:color="auto" w:fill="auto"/>
            <w:noWrap/>
            <w:vAlign w:val="center"/>
            <w:hideMark/>
          </w:tcPr>
          <w:p w:rsidR="008F4BDA" w:rsidRPr="008F4BDA" w:rsidRDefault="008F4BDA" w:rsidP="008F4BDA">
            <w:pPr>
              <w:widowControl/>
              <w:autoSpaceDE/>
              <w:autoSpaceDN/>
              <w:adjustRightInd/>
              <w:jc w:val="center"/>
              <w:rPr>
                <w:rFonts w:ascii="Times New Roman" w:hAnsi="Times New Roman"/>
                <w:color w:val="000000"/>
                <w:sz w:val="22"/>
                <w:szCs w:val="22"/>
              </w:rPr>
            </w:pPr>
            <w:r w:rsidRPr="008F4BDA">
              <w:rPr>
                <w:rFonts w:ascii="Times New Roman" w:hAnsi="Times New Roman"/>
                <w:color w:val="000000"/>
                <w:sz w:val="22"/>
                <w:szCs w:val="22"/>
              </w:rPr>
              <w:t xml:space="preserve">$228.80 </w:t>
            </w:r>
          </w:p>
        </w:tc>
      </w:tr>
      <w:tr w:rsidR="008F4BDA" w:rsidRPr="008F4BDA" w:rsidTr="00DA36E4">
        <w:trPr>
          <w:trHeight w:hRule="exact" w:val="315"/>
          <w:jc w:val="center"/>
        </w:trPr>
        <w:tc>
          <w:tcPr>
            <w:tcW w:w="1660" w:type="dxa"/>
            <w:tcBorders>
              <w:left w:val="single" w:sz="18" w:space="0" w:color="auto"/>
            </w:tcBorders>
            <w:shd w:val="clear" w:color="auto" w:fill="auto"/>
            <w:noWrap/>
            <w:vAlign w:val="center"/>
            <w:hideMark/>
          </w:tcPr>
          <w:p w:rsidR="008F4BDA" w:rsidRPr="008F4BDA" w:rsidRDefault="008F4BDA" w:rsidP="008F4BDA">
            <w:pPr>
              <w:widowControl/>
              <w:autoSpaceDE/>
              <w:autoSpaceDN/>
              <w:adjustRightInd/>
              <w:jc w:val="center"/>
              <w:rPr>
                <w:rFonts w:ascii="Times New Roman" w:hAnsi="Times New Roman"/>
                <w:b/>
                <w:bCs/>
                <w:color w:val="010101"/>
                <w:sz w:val="22"/>
                <w:szCs w:val="22"/>
              </w:rPr>
            </w:pPr>
            <w:r w:rsidRPr="008F4BDA">
              <w:rPr>
                <w:rFonts w:ascii="Times New Roman" w:hAnsi="Times New Roman"/>
                <w:b/>
                <w:bCs/>
                <w:color w:val="010101"/>
                <w:w w:val="102"/>
                <w:sz w:val="22"/>
                <w:szCs w:val="22"/>
              </w:rPr>
              <w:t>21-100</w:t>
            </w:r>
          </w:p>
        </w:tc>
        <w:tc>
          <w:tcPr>
            <w:tcW w:w="1660" w:type="dxa"/>
            <w:shd w:val="clear" w:color="auto" w:fill="auto"/>
            <w:noWrap/>
            <w:vAlign w:val="center"/>
            <w:hideMark/>
          </w:tcPr>
          <w:p w:rsidR="008F4BDA" w:rsidRPr="008F4BDA" w:rsidRDefault="008F4BDA" w:rsidP="008F4BDA">
            <w:pPr>
              <w:widowControl/>
              <w:autoSpaceDE/>
              <w:autoSpaceDN/>
              <w:adjustRightInd/>
              <w:jc w:val="center"/>
              <w:rPr>
                <w:rFonts w:ascii="Times New Roman" w:hAnsi="Times New Roman"/>
                <w:color w:val="010101"/>
                <w:sz w:val="22"/>
                <w:szCs w:val="22"/>
              </w:rPr>
            </w:pPr>
            <w:r w:rsidRPr="008F4BDA">
              <w:rPr>
                <w:rFonts w:ascii="Times New Roman" w:hAnsi="Times New Roman"/>
                <w:color w:val="010101"/>
                <w:sz w:val="22"/>
                <w:szCs w:val="22"/>
              </w:rPr>
              <w:t>44</w:t>
            </w:r>
          </w:p>
        </w:tc>
        <w:tc>
          <w:tcPr>
            <w:tcW w:w="1660" w:type="dxa"/>
            <w:shd w:val="clear" w:color="auto" w:fill="auto"/>
            <w:noWrap/>
            <w:vAlign w:val="center"/>
            <w:hideMark/>
          </w:tcPr>
          <w:p w:rsidR="008F4BDA" w:rsidRPr="008F4BDA" w:rsidRDefault="008F4BDA" w:rsidP="008F4BDA">
            <w:pPr>
              <w:widowControl/>
              <w:autoSpaceDE/>
              <w:autoSpaceDN/>
              <w:adjustRightInd/>
              <w:jc w:val="center"/>
              <w:rPr>
                <w:rFonts w:ascii="Times New Roman" w:hAnsi="Times New Roman"/>
                <w:color w:val="010101"/>
                <w:sz w:val="22"/>
                <w:szCs w:val="22"/>
              </w:rPr>
            </w:pPr>
            <w:r w:rsidRPr="008F4BDA">
              <w:rPr>
                <w:rFonts w:ascii="Times New Roman" w:hAnsi="Times New Roman"/>
                <w:color w:val="010101"/>
                <w:sz w:val="22"/>
                <w:szCs w:val="22"/>
              </w:rPr>
              <w:t xml:space="preserve">$13.80 </w:t>
            </w:r>
          </w:p>
        </w:tc>
        <w:tc>
          <w:tcPr>
            <w:tcW w:w="1660" w:type="dxa"/>
            <w:tcBorders>
              <w:right w:val="single" w:sz="18" w:space="0" w:color="auto"/>
            </w:tcBorders>
            <w:shd w:val="clear" w:color="auto" w:fill="auto"/>
            <w:noWrap/>
            <w:vAlign w:val="center"/>
            <w:hideMark/>
          </w:tcPr>
          <w:p w:rsidR="008F4BDA" w:rsidRPr="008F4BDA" w:rsidRDefault="008F4BDA" w:rsidP="008F4BDA">
            <w:pPr>
              <w:widowControl/>
              <w:autoSpaceDE/>
              <w:autoSpaceDN/>
              <w:adjustRightInd/>
              <w:jc w:val="center"/>
              <w:rPr>
                <w:rFonts w:ascii="Times New Roman" w:hAnsi="Times New Roman"/>
                <w:color w:val="000000"/>
                <w:sz w:val="22"/>
                <w:szCs w:val="22"/>
              </w:rPr>
            </w:pPr>
            <w:r w:rsidRPr="008F4BDA">
              <w:rPr>
                <w:rFonts w:ascii="Times New Roman" w:hAnsi="Times New Roman"/>
                <w:color w:val="000000"/>
                <w:sz w:val="22"/>
                <w:szCs w:val="22"/>
              </w:rPr>
              <w:t>$607.20</w:t>
            </w:r>
          </w:p>
        </w:tc>
      </w:tr>
      <w:tr w:rsidR="008F4BDA" w:rsidRPr="008F4BDA" w:rsidTr="00DA36E4">
        <w:trPr>
          <w:trHeight w:hRule="exact" w:val="315"/>
          <w:jc w:val="center"/>
        </w:trPr>
        <w:tc>
          <w:tcPr>
            <w:tcW w:w="1660" w:type="dxa"/>
            <w:tcBorders>
              <w:left w:val="single" w:sz="18" w:space="0" w:color="auto"/>
              <w:bottom w:val="single" w:sz="18" w:space="0" w:color="auto"/>
            </w:tcBorders>
            <w:shd w:val="clear" w:color="auto" w:fill="auto"/>
            <w:noWrap/>
            <w:vAlign w:val="center"/>
            <w:hideMark/>
          </w:tcPr>
          <w:p w:rsidR="008F4BDA" w:rsidRPr="008F4BDA" w:rsidRDefault="008F4BDA" w:rsidP="008F4BDA">
            <w:pPr>
              <w:widowControl/>
              <w:autoSpaceDE/>
              <w:autoSpaceDN/>
              <w:adjustRightInd/>
              <w:jc w:val="center"/>
              <w:rPr>
                <w:rFonts w:ascii="Times New Roman" w:hAnsi="Times New Roman"/>
                <w:b/>
                <w:bCs/>
                <w:color w:val="010101"/>
                <w:sz w:val="22"/>
                <w:szCs w:val="22"/>
              </w:rPr>
            </w:pPr>
            <w:r w:rsidRPr="008F4BDA">
              <w:rPr>
                <w:rFonts w:ascii="Times New Roman" w:hAnsi="Times New Roman"/>
                <w:b/>
                <w:bCs/>
                <w:color w:val="010101"/>
                <w:w w:val="111"/>
                <w:sz w:val="22"/>
                <w:szCs w:val="22"/>
              </w:rPr>
              <w:t>101+</w:t>
            </w:r>
          </w:p>
        </w:tc>
        <w:tc>
          <w:tcPr>
            <w:tcW w:w="1660" w:type="dxa"/>
            <w:tcBorders>
              <w:bottom w:val="single" w:sz="18" w:space="0" w:color="auto"/>
            </w:tcBorders>
            <w:shd w:val="clear" w:color="auto" w:fill="auto"/>
            <w:noWrap/>
            <w:vAlign w:val="center"/>
            <w:hideMark/>
          </w:tcPr>
          <w:p w:rsidR="008F4BDA" w:rsidRPr="008F4BDA" w:rsidRDefault="008F4BDA" w:rsidP="008F4BDA">
            <w:pPr>
              <w:widowControl/>
              <w:autoSpaceDE/>
              <w:autoSpaceDN/>
              <w:adjustRightInd/>
              <w:jc w:val="center"/>
              <w:rPr>
                <w:rFonts w:ascii="Times New Roman" w:hAnsi="Times New Roman"/>
                <w:color w:val="010101"/>
                <w:sz w:val="22"/>
                <w:szCs w:val="22"/>
              </w:rPr>
            </w:pPr>
            <w:r w:rsidRPr="008F4BDA">
              <w:rPr>
                <w:rFonts w:ascii="Times New Roman" w:hAnsi="Times New Roman"/>
                <w:color w:val="010101"/>
                <w:sz w:val="22"/>
                <w:szCs w:val="22"/>
              </w:rPr>
              <w:t>300</w:t>
            </w:r>
          </w:p>
        </w:tc>
        <w:tc>
          <w:tcPr>
            <w:tcW w:w="1660" w:type="dxa"/>
            <w:tcBorders>
              <w:bottom w:val="single" w:sz="18" w:space="0" w:color="auto"/>
            </w:tcBorders>
            <w:shd w:val="clear" w:color="auto" w:fill="auto"/>
            <w:noWrap/>
            <w:vAlign w:val="center"/>
            <w:hideMark/>
          </w:tcPr>
          <w:p w:rsidR="008F4BDA" w:rsidRPr="008F4BDA" w:rsidRDefault="008F4BDA" w:rsidP="008F4BDA">
            <w:pPr>
              <w:widowControl/>
              <w:autoSpaceDE/>
              <w:autoSpaceDN/>
              <w:adjustRightInd/>
              <w:jc w:val="center"/>
              <w:rPr>
                <w:rFonts w:ascii="Times New Roman" w:hAnsi="Times New Roman"/>
                <w:color w:val="010101"/>
                <w:sz w:val="22"/>
                <w:szCs w:val="22"/>
              </w:rPr>
            </w:pPr>
            <w:r w:rsidRPr="008F4BDA">
              <w:rPr>
                <w:rFonts w:ascii="Times New Roman" w:hAnsi="Times New Roman"/>
                <w:color w:val="010101"/>
                <w:sz w:val="22"/>
                <w:szCs w:val="22"/>
              </w:rPr>
              <w:t xml:space="preserve">$6.90 </w:t>
            </w:r>
          </w:p>
        </w:tc>
        <w:tc>
          <w:tcPr>
            <w:tcW w:w="1660" w:type="dxa"/>
            <w:tcBorders>
              <w:bottom w:val="single" w:sz="18" w:space="0" w:color="auto"/>
              <w:right w:val="single" w:sz="18" w:space="0" w:color="auto"/>
            </w:tcBorders>
            <w:shd w:val="clear" w:color="auto" w:fill="auto"/>
            <w:noWrap/>
            <w:vAlign w:val="center"/>
            <w:hideMark/>
          </w:tcPr>
          <w:p w:rsidR="008F4BDA" w:rsidRPr="008F4BDA" w:rsidRDefault="008F4BDA" w:rsidP="008F4BDA">
            <w:pPr>
              <w:widowControl/>
              <w:autoSpaceDE/>
              <w:autoSpaceDN/>
              <w:adjustRightInd/>
              <w:jc w:val="center"/>
              <w:rPr>
                <w:rFonts w:ascii="Times New Roman" w:hAnsi="Times New Roman"/>
                <w:color w:val="000000"/>
                <w:sz w:val="22"/>
                <w:szCs w:val="22"/>
              </w:rPr>
            </w:pPr>
            <w:r w:rsidRPr="008F4BDA">
              <w:rPr>
                <w:rFonts w:ascii="Times New Roman" w:hAnsi="Times New Roman"/>
                <w:color w:val="000000"/>
                <w:sz w:val="22"/>
                <w:szCs w:val="22"/>
              </w:rPr>
              <w:t xml:space="preserve">$2,070 </w:t>
            </w:r>
          </w:p>
        </w:tc>
      </w:tr>
    </w:tbl>
    <w:p w:rsidR="008F4BDA" w:rsidRPr="008F4BDA" w:rsidRDefault="008F4BDA" w:rsidP="008F4BDA">
      <w:pPr>
        <w:widowControl/>
        <w:tabs>
          <w:tab w:val="left" w:pos="360"/>
        </w:tabs>
        <w:rPr>
          <w:rFonts w:ascii="Times New Roman" w:hAnsi="Times New Roman"/>
          <w:sz w:val="24"/>
        </w:rPr>
      </w:pPr>
    </w:p>
    <w:p w:rsidR="008F4BDA" w:rsidRPr="008F4BDA" w:rsidRDefault="008F4BDA" w:rsidP="008F4BDA">
      <w:pPr>
        <w:widowControl/>
        <w:tabs>
          <w:tab w:val="left" w:pos="360"/>
        </w:tabs>
        <w:ind w:left="360"/>
        <w:rPr>
          <w:rFonts w:ascii="Times New Roman" w:hAnsi="Times New Roman"/>
          <w:sz w:val="24"/>
        </w:rPr>
      </w:pPr>
      <w:r w:rsidRPr="008F4BDA">
        <w:rPr>
          <w:rFonts w:ascii="Times New Roman" w:hAnsi="Times New Roman"/>
          <w:sz w:val="24"/>
        </w:rPr>
        <w:t xml:space="preserve">The total cost for all freight-carrying motor carriers is estimated by applying the material cost per vehicle to the number of CMVs corresponding to its size category.  For example, the 1–6 carrier size category incurs a cost of $8,850,000 (318,360 CMVs × $27.80 per vehicle).  The total cost for all categories of freight-carrying motor carriers is </w:t>
      </w:r>
      <w:r w:rsidRPr="008F4BDA">
        <w:rPr>
          <w:rFonts w:ascii="Times New Roman" w:hAnsi="Times New Roman"/>
          <w:b/>
          <w:sz w:val="24"/>
        </w:rPr>
        <w:t>$21,945,000 per year</w:t>
      </w:r>
      <w:r w:rsidRPr="008F4BDA">
        <w:rPr>
          <w:rFonts w:ascii="Times New Roman" w:hAnsi="Times New Roman"/>
          <w:sz w:val="24"/>
        </w:rPr>
        <w:t>.  Table 6 presents this information.</w:t>
      </w:r>
    </w:p>
    <w:p w:rsidR="008F4BDA" w:rsidRDefault="008F4BDA" w:rsidP="008F4BDA">
      <w:pPr>
        <w:widowControl/>
        <w:tabs>
          <w:tab w:val="left" w:pos="360"/>
        </w:tabs>
        <w:ind w:left="360"/>
        <w:rPr>
          <w:rFonts w:ascii="Times New Roman" w:hAnsi="Times New Roman"/>
          <w:sz w:val="24"/>
        </w:rPr>
      </w:pPr>
    </w:p>
    <w:p w:rsidR="009C2D8C" w:rsidRDefault="009C2D8C" w:rsidP="008F4BDA">
      <w:pPr>
        <w:widowControl/>
        <w:tabs>
          <w:tab w:val="left" w:pos="360"/>
        </w:tabs>
        <w:ind w:left="360"/>
        <w:rPr>
          <w:rFonts w:ascii="Times New Roman" w:hAnsi="Times New Roman"/>
          <w:sz w:val="24"/>
        </w:rPr>
      </w:pPr>
    </w:p>
    <w:p w:rsidR="009C2D8C" w:rsidRDefault="009C2D8C" w:rsidP="008F4BDA">
      <w:pPr>
        <w:widowControl/>
        <w:tabs>
          <w:tab w:val="left" w:pos="360"/>
        </w:tabs>
        <w:ind w:left="360"/>
        <w:rPr>
          <w:rFonts w:ascii="Times New Roman" w:hAnsi="Times New Roman"/>
          <w:sz w:val="24"/>
        </w:rPr>
      </w:pPr>
    </w:p>
    <w:p w:rsidR="009C2D8C" w:rsidRDefault="009C2D8C" w:rsidP="008F4BDA">
      <w:pPr>
        <w:widowControl/>
        <w:tabs>
          <w:tab w:val="left" w:pos="360"/>
        </w:tabs>
        <w:ind w:left="360"/>
        <w:rPr>
          <w:rFonts w:ascii="Times New Roman" w:hAnsi="Times New Roman"/>
          <w:sz w:val="24"/>
        </w:rPr>
      </w:pPr>
    </w:p>
    <w:p w:rsidR="009C2D8C" w:rsidRDefault="009C2D8C" w:rsidP="008F4BDA">
      <w:pPr>
        <w:widowControl/>
        <w:tabs>
          <w:tab w:val="left" w:pos="360"/>
        </w:tabs>
        <w:ind w:left="360"/>
        <w:rPr>
          <w:rFonts w:ascii="Times New Roman" w:hAnsi="Times New Roman"/>
          <w:sz w:val="24"/>
        </w:rPr>
      </w:pPr>
    </w:p>
    <w:p w:rsidR="009C2D8C" w:rsidRDefault="009C2D8C" w:rsidP="008F4BDA">
      <w:pPr>
        <w:widowControl/>
        <w:tabs>
          <w:tab w:val="left" w:pos="360"/>
        </w:tabs>
        <w:ind w:left="360"/>
        <w:rPr>
          <w:rFonts w:ascii="Times New Roman" w:hAnsi="Times New Roman"/>
          <w:sz w:val="24"/>
        </w:rPr>
      </w:pPr>
    </w:p>
    <w:p w:rsidR="009C2D8C" w:rsidRPr="008F4BDA" w:rsidRDefault="009C2D8C" w:rsidP="008F4BDA">
      <w:pPr>
        <w:widowControl/>
        <w:tabs>
          <w:tab w:val="left" w:pos="360"/>
        </w:tabs>
        <w:ind w:left="360"/>
        <w:rPr>
          <w:rFonts w:ascii="Times New Roman" w:hAnsi="Times New Roman"/>
          <w:sz w:val="24"/>
        </w:rPr>
      </w:pPr>
    </w:p>
    <w:p w:rsidR="008F4BDA" w:rsidRPr="008F4BDA" w:rsidRDefault="008F4BDA" w:rsidP="008F4BDA">
      <w:pPr>
        <w:widowControl/>
        <w:tabs>
          <w:tab w:val="left" w:pos="360"/>
        </w:tabs>
        <w:spacing w:after="200"/>
        <w:ind w:left="360"/>
        <w:jc w:val="center"/>
        <w:rPr>
          <w:rFonts w:ascii="Arial" w:hAnsi="Arial" w:cs="Arial"/>
          <w:b/>
        </w:rPr>
      </w:pPr>
      <w:proofErr w:type="gramStart"/>
      <w:r w:rsidRPr="008F4BDA">
        <w:rPr>
          <w:rFonts w:ascii="Arial" w:hAnsi="Arial" w:cs="Arial"/>
          <w:b/>
        </w:rPr>
        <w:t>Table 6.</w:t>
      </w:r>
      <w:proofErr w:type="gramEnd"/>
      <w:r w:rsidRPr="008F4BDA">
        <w:rPr>
          <w:rFonts w:ascii="Arial" w:hAnsi="Arial" w:cs="Arial"/>
          <w:b/>
        </w:rPr>
        <w:t xml:space="preserve"> Total Material Cost to Freight Carriers</w:t>
      </w:r>
    </w:p>
    <w:tbl>
      <w:tblPr>
        <w:tblW w:w="6220" w:type="dxa"/>
        <w:jc w:val="center"/>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0"/>
        <w:gridCol w:w="1480"/>
        <w:gridCol w:w="1560"/>
        <w:gridCol w:w="1700"/>
      </w:tblGrid>
      <w:tr w:rsidR="008F4BDA" w:rsidRPr="008F4BDA" w:rsidTr="00DA36E4">
        <w:trPr>
          <w:cantSplit/>
          <w:trHeight w:hRule="exact" w:val="570"/>
          <w:jc w:val="center"/>
        </w:trPr>
        <w:tc>
          <w:tcPr>
            <w:tcW w:w="1480" w:type="dxa"/>
            <w:tcBorders>
              <w:top w:val="single" w:sz="18" w:space="0" w:color="auto"/>
              <w:left w:val="single" w:sz="18" w:space="0" w:color="auto"/>
            </w:tcBorders>
            <w:shd w:val="clear" w:color="auto" w:fill="D9D9D9"/>
            <w:vAlign w:val="center"/>
            <w:hideMark/>
          </w:tcPr>
          <w:p w:rsidR="008F4BDA" w:rsidRPr="008F4BDA" w:rsidRDefault="008F4BDA" w:rsidP="008F4BDA">
            <w:pPr>
              <w:widowControl/>
              <w:autoSpaceDE/>
              <w:autoSpaceDN/>
              <w:adjustRightInd/>
              <w:jc w:val="center"/>
              <w:rPr>
                <w:rFonts w:ascii="Times New Roman" w:hAnsi="Times New Roman"/>
                <w:b/>
                <w:bCs/>
                <w:color w:val="000000"/>
                <w:sz w:val="22"/>
                <w:szCs w:val="22"/>
              </w:rPr>
            </w:pPr>
            <w:r w:rsidRPr="008F4BDA">
              <w:rPr>
                <w:rFonts w:ascii="Times New Roman" w:hAnsi="Times New Roman"/>
                <w:b/>
                <w:bCs/>
                <w:color w:val="000000"/>
                <w:sz w:val="22"/>
                <w:szCs w:val="22"/>
              </w:rPr>
              <w:t xml:space="preserve">   Carrier Size</w:t>
            </w:r>
          </w:p>
        </w:tc>
        <w:tc>
          <w:tcPr>
            <w:tcW w:w="1480" w:type="dxa"/>
            <w:tcBorders>
              <w:top w:val="single" w:sz="18" w:space="0" w:color="auto"/>
            </w:tcBorders>
            <w:shd w:val="clear" w:color="auto" w:fill="D9D9D9"/>
            <w:vAlign w:val="center"/>
            <w:hideMark/>
          </w:tcPr>
          <w:p w:rsidR="008F4BDA" w:rsidRPr="008F4BDA" w:rsidRDefault="008F4BDA" w:rsidP="008F4BDA">
            <w:pPr>
              <w:widowControl/>
              <w:autoSpaceDE/>
              <w:autoSpaceDN/>
              <w:adjustRightInd/>
              <w:jc w:val="center"/>
              <w:rPr>
                <w:rFonts w:ascii="Times New Roman" w:hAnsi="Times New Roman"/>
                <w:b/>
                <w:bCs/>
                <w:color w:val="000000"/>
                <w:sz w:val="22"/>
                <w:szCs w:val="22"/>
              </w:rPr>
            </w:pPr>
            <w:r w:rsidRPr="008F4BDA">
              <w:rPr>
                <w:rFonts w:ascii="Times New Roman" w:hAnsi="Times New Roman"/>
                <w:b/>
                <w:bCs/>
                <w:color w:val="000000"/>
                <w:sz w:val="22"/>
                <w:szCs w:val="22"/>
              </w:rPr>
              <w:t>Number of CMVs</w:t>
            </w:r>
          </w:p>
        </w:tc>
        <w:tc>
          <w:tcPr>
            <w:tcW w:w="1560" w:type="dxa"/>
            <w:tcBorders>
              <w:top w:val="single" w:sz="18" w:space="0" w:color="auto"/>
            </w:tcBorders>
            <w:shd w:val="clear" w:color="auto" w:fill="D9D9D9"/>
            <w:vAlign w:val="center"/>
            <w:hideMark/>
          </w:tcPr>
          <w:p w:rsidR="008F4BDA" w:rsidRPr="008F4BDA" w:rsidRDefault="008F4BDA" w:rsidP="008F4BDA">
            <w:pPr>
              <w:widowControl/>
              <w:autoSpaceDE/>
              <w:autoSpaceDN/>
              <w:adjustRightInd/>
              <w:jc w:val="center"/>
              <w:rPr>
                <w:rFonts w:ascii="Times New Roman" w:hAnsi="Times New Roman"/>
                <w:b/>
                <w:bCs/>
                <w:color w:val="000000"/>
                <w:sz w:val="22"/>
                <w:szCs w:val="22"/>
              </w:rPr>
            </w:pPr>
            <w:r w:rsidRPr="008F4BDA">
              <w:rPr>
                <w:rFonts w:ascii="Times New Roman" w:hAnsi="Times New Roman"/>
                <w:b/>
                <w:bCs/>
                <w:color w:val="000000"/>
                <w:sz w:val="22"/>
                <w:szCs w:val="22"/>
              </w:rPr>
              <w:t>Material Cost per Vehicle</w:t>
            </w:r>
          </w:p>
        </w:tc>
        <w:tc>
          <w:tcPr>
            <w:tcW w:w="1700" w:type="dxa"/>
            <w:tcBorders>
              <w:top w:val="single" w:sz="18" w:space="0" w:color="auto"/>
              <w:bottom w:val="single" w:sz="18" w:space="0" w:color="auto"/>
              <w:right w:val="single" w:sz="18" w:space="0" w:color="auto"/>
            </w:tcBorders>
            <w:shd w:val="clear" w:color="auto" w:fill="D9D9D9"/>
            <w:vAlign w:val="center"/>
            <w:hideMark/>
          </w:tcPr>
          <w:p w:rsidR="008F4BDA" w:rsidRPr="008F4BDA" w:rsidRDefault="008F4BDA" w:rsidP="008F4BDA">
            <w:pPr>
              <w:widowControl/>
              <w:autoSpaceDE/>
              <w:autoSpaceDN/>
              <w:adjustRightInd/>
              <w:jc w:val="center"/>
              <w:rPr>
                <w:rFonts w:ascii="Times New Roman" w:hAnsi="Times New Roman"/>
                <w:b/>
                <w:bCs/>
                <w:color w:val="000000"/>
                <w:sz w:val="22"/>
                <w:szCs w:val="22"/>
              </w:rPr>
            </w:pPr>
            <w:r w:rsidRPr="008F4BDA">
              <w:rPr>
                <w:rFonts w:ascii="Times New Roman" w:hAnsi="Times New Roman"/>
                <w:b/>
                <w:bCs/>
                <w:color w:val="000000"/>
                <w:sz w:val="22"/>
                <w:szCs w:val="22"/>
              </w:rPr>
              <w:t>Total Cost</w:t>
            </w:r>
          </w:p>
        </w:tc>
      </w:tr>
      <w:tr w:rsidR="008F4BDA" w:rsidRPr="008F4BDA" w:rsidTr="00DA36E4">
        <w:trPr>
          <w:cantSplit/>
          <w:trHeight w:hRule="exact" w:val="300"/>
          <w:jc w:val="center"/>
        </w:trPr>
        <w:tc>
          <w:tcPr>
            <w:tcW w:w="1480" w:type="dxa"/>
            <w:tcBorders>
              <w:top w:val="single" w:sz="18" w:space="0" w:color="auto"/>
              <w:left w:val="single" w:sz="18" w:space="0" w:color="auto"/>
            </w:tcBorders>
            <w:shd w:val="clear" w:color="auto" w:fill="auto"/>
            <w:vAlign w:val="center"/>
            <w:hideMark/>
          </w:tcPr>
          <w:p w:rsidR="008F4BDA" w:rsidRPr="008F4BDA" w:rsidRDefault="008F4BDA" w:rsidP="008F4BDA">
            <w:pPr>
              <w:widowControl/>
              <w:autoSpaceDE/>
              <w:autoSpaceDN/>
              <w:adjustRightInd/>
              <w:jc w:val="center"/>
              <w:rPr>
                <w:rFonts w:ascii="Times New Roman" w:hAnsi="Times New Roman"/>
                <w:b/>
                <w:bCs/>
                <w:color w:val="000000"/>
                <w:sz w:val="22"/>
                <w:szCs w:val="22"/>
              </w:rPr>
            </w:pPr>
            <w:r w:rsidRPr="008F4BDA">
              <w:rPr>
                <w:rFonts w:ascii="Times New Roman" w:hAnsi="Times New Roman"/>
                <w:b/>
                <w:bCs/>
                <w:color w:val="000000"/>
                <w:sz w:val="22"/>
                <w:szCs w:val="22"/>
              </w:rPr>
              <w:t xml:space="preserve"> 1-6</w:t>
            </w:r>
          </w:p>
        </w:tc>
        <w:tc>
          <w:tcPr>
            <w:tcW w:w="1480" w:type="dxa"/>
            <w:tcBorders>
              <w:top w:val="single" w:sz="18" w:space="0" w:color="auto"/>
            </w:tcBorders>
            <w:shd w:val="clear" w:color="auto" w:fill="auto"/>
            <w:noWrap/>
            <w:vAlign w:val="center"/>
            <w:hideMark/>
          </w:tcPr>
          <w:p w:rsidR="008F4BDA" w:rsidRPr="008F4BDA" w:rsidRDefault="008F4BDA" w:rsidP="008F4BDA">
            <w:pPr>
              <w:widowControl/>
              <w:autoSpaceDE/>
              <w:autoSpaceDN/>
              <w:adjustRightInd/>
              <w:jc w:val="center"/>
              <w:rPr>
                <w:rFonts w:ascii="Times New Roman" w:hAnsi="Times New Roman"/>
                <w:color w:val="000000"/>
                <w:sz w:val="22"/>
                <w:szCs w:val="22"/>
              </w:rPr>
            </w:pPr>
            <w:r w:rsidRPr="008F4BDA">
              <w:rPr>
                <w:rFonts w:ascii="Times New Roman" w:hAnsi="Times New Roman"/>
                <w:color w:val="000000"/>
                <w:sz w:val="22"/>
                <w:szCs w:val="22"/>
              </w:rPr>
              <w:t>300,300</w:t>
            </w:r>
          </w:p>
        </w:tc>
        <w:tc>
          <w:tcPr>
            <w:tcW w:w="1560" w:type="dxa"/>
            <w:tcBorders>
              <w:top w:val="single" w:sz="18" w:space="0" w:color="auto"/>
            </w:tcBorders>
            <w:shd w:val="clear" w:color="auto" w:fill="auto"/>
            <w:vAlign w:val="center"/>
            <w:hideMark/>
          </w:tcPr>
          <w:p w:rsidR="008F4BDA" w:rsidRPr="008F4BDA" w:rsidRDefault="008F4BDA" w:rsidP="008F4BDA">
            <w:pPr>
              <w:widowControl/>
              <w:autoSpaceDE/>
              <w:autoSpaceDN/>
              <w:adjustRightInd/>
              <w:jc w:val="center"/>
              <w:rPr>
                <w:rFonts w:ascii="Times New Roman" w:hAnsi="Times New Roman"/>
                <w:color w:val="000000"/>
                <w:sz w:val="22"/>
                <w:szCs w:val="22"/>
              </w:rPr>
            </w:pPr>
            <w:r w:rsidRPr="008F4BDA">
              <w:rPr>
                <w:rFonts w:ascii="Times New Roman" w:hAnsi="Times New Roman"/>
                <w:color w:val="000000"/>
                <w:sz w:val="22"/>
                <w:szCs w:val="22"/>
              </w:rPr>
              <w:t xml:space="preserve">$27.80 </w:t>
            </w:r>
          </w:p>
        </w:tc>
        <w:tc>
          <w:tcPr>
            <w:tcW w:w="1700" w:type="dxa"/>
            <w:tcBorders>
              <w:top w:val="single" w:sz="18" w:space="0" w:color="auto"/>
              <w:right w:val="single" w:sz="18" w:space="0" w:color="auto"/>
            </w:tcBorders>
            <w:shd w:val="clear" w:color="auto" w:fill="auto"/>
            <w:noWrap/>
            <w:vAlign w:val="center"/>
            <w:hideMark/>
          </w:tcPr>
          <w:p w:rsidR="008F4BDA" w:rsidRPr="008F4BDA" w:rsidRDefault="008F4BDA" w:rsidP="008F4BDA">
            <w:pPr>
              <w:widowControl/>
              <w:autoSpaceDE/>
              <w:autoSpaceDN/>
              <w:adjustRightInd/>
              <w:jc w:val="center"/>
              <w:rPr>
                <w:rFonts w:ascii="Times New Roman" w:hAnsi="Times New Roman"/>
                <w:color w:val="000000"/>
                <w:sz w:val="22"/>
                <w:szCs w:val="22"/>
              </w:rPr>
            </w:pPr>
            <w:r w:rsidRPr="008F4BDA">
              <w:rPr>
                <w:rFonts w:ascii="Times New Roman" w:hAnsi="Times New Roman"/>
                <w:color w:val="000000"/>
                <w:sz w:val="22"/>
                <w:szCs w:val="22"/>
              </w:rPr>
              <w:t xml:space="preserve">$8,348,000 </w:t>
            </w:r>
          </w:p>
        </w:tc>
      </w:tr>
      <w:tr w:rsidR="008F4BDA" w:rsidRPr="008F4BDA" w:rsidTr="00DA36E4">
        <w:trPr>
          <w:cantSplit/>
          <w:trHeight w:hRule="exact" w:val="300"/>
          <w:jc w:val="center"/>
        </w:trPr>
        <w:tc>
          <w:tcPr>
            <w:tcW w:w="1480" w:type="dxa"/>
            <w:tcBorders>
              <w:left w:val="single" w:sz="18" w:space="0" w:color="auto"/>
            </w:tcBorders>
            <w:shd w:val="clear" w:color="auto" w:fill="auto"/>
            <w:vAlign w:val="center"/>
            <w:hideMark/>
          </w:tcPr>
          <w:p w:rsidR="008F4BDA" w:rsidRPr="008F4BDA" w:rsidRDefault="008F4BDA" w:rsidP="008F4BDA">
            <w:pPr>
              <w:widowControl/>
              <w:autoSpaceDE/>
              <w:autoSpaceDN/>
              <w:adjustRightInd/>
              <w:jc w:val="center"/>
              <w:rPr>
                <w:rFonts w:ascii="Times New Roman" w:hAnsi="Times New Roman"/>
                <w:b/>
                <w:bCs/>
                <w:color w:val="000000"/>
                <w:sz w:val="22"/>
                <w:szCs w:val="22"/>
              </w:rPr>
            </w:pPr>
            <w:r w:rsidRPr="008F4BDA">
              <w:rPr>
                <w:rFonts w:ascii="Times New Roman" w:hAnsi="Times New Roman"/>
                <w:b/>
                <w:bCs/>
                <w:color w:val="000000"/>
                <w:sz w:val="22"/>
                <w:szCs w:val="22"/>
              </w:rPr>
              <w:t>7-19</w:t>
            </w:r>
          </w:p>
        </w:tc>
        <w:tc>
          <w:tcPr>
            <w:tcW w:w="1480" w:type="dxa"/>
            <w:shd w:val="clear" w:color="auto" w:fill="auto"/>
            <w:noWrap/>
            <w:vAlign w:val="center"/>
            <w:hideMark/>
          </w:tcPr>
          <w:p w:rsidR="008F4BDA" w:rsidRPr="008F4BDA" w:rsidRDefault="008F4BDA" w:rsidP="008F4BDA">
            <w:pPr>
              <w:widowControl/>
              <w:autoSpaceDE/>
              <w:autoSpaceDN/>
              <w:adjustRightInd/>
              <w:jc w:val="center"/>
              <w:rPr>
                <w:rFonts w:ascii="Times New Roman" w:hAnsi="Times New Roman"/>
                <w:color w:val="000000"/>
                <w:sz w:val="22"/>
                <w:szCs w:val="22"/>
              </w:rPr>
            </w:pPr>
            <w:r w:rsidRPr="008F4BDA">
              <w:rPr>
                <w:rFonts w:ascii="Times New Roman" w:hAnsi="Times New Roman"/>
                <w:color w:val="000000"/>
                <w:sz w:val="22"/>
                <w:szCs w:val="22"/>
              </w:rPr>
              <w:t>185,900</w:t>
            </w:r>
          </w:p>
        </w:tc>
        <w:tc>
          <w:tcPr>
            <w:tcW w:w="1560" w:type="dxa"/>
            <w:shd w:val="clear" w:color="auto" w:fill="auto"/>
            <w:vAlign w:val="center"/>
            <w:hideMark/>
          </w:tcPr>
          <w:p w:rsidR="008F4BDA" w:rsidRPr="008F4BDA" w:rsidRDefault="008F4BDA" w:rsidP="008F4BDA">
            <w:pPr>
              <w:widowControl/>
              <w:autoSpaceDE/>
              <w:autoSpaceDN/>
              <w:adjustRightInd/>
              <w:jc w:val="center"/>
              <w:rPr>
                <w:rFonts w:ascii="Times New Roman" w:hAnsi="Times New Roman"/>
                <w:color w:val="000000"/>
                <w:sz w:val="22"/>
                <w:szCs w:val="22"/>
              </w:rPr>
            </w:pPr>
            <w:r w:rsidRPr="008F4BDA">
              <w:rPr>
                <w:rFonts w:ascii="Times New Roman" w:hAnsi="Times New Roman"/>
                <w:color w:val="000000"/>
                <w:sz w:val="22"/>
                <w:szCs w:val="22"/>
              </w:rPr>
              <w:t xml:space="preserve">$20.80 </w:t>
            </w:r>
          </w:p>
        </w:tc>
        <w:tc>
          <w:tcPr>
            <w:tcW w:w="1700" w:type="dxa"/>
            <w:tcBorders>
              <w:right w:val="single" w:sz="18" w:space="0" w:color="auto"/>
            </w:tcBorders>
            <w:shd w:val="clear" w:color="auto" w:fill="auto"/>
            <w:noWrap/>
            <w:vAlign w:val="center"/>
            <w:hideMark/>
          </w:tcPr>
          <w:p w:rsidR="008F4BDA" w:rsidRPr="008F4BDA" w:rsidRDefault="008F4BDA" w:rsidP="008F4BDA">
            <w:pPr>
              <w:widowControl/>
              <w:autoSpaceDE/>
              <w:autoSpaceDN/>
              <w:adjustRightInd/>
              <w:jc w:val="center"/>
              <w:rPr>
                <w:rFonts w:ascii="Times New Roman" w:hAnsi="Times New Roman"/>
                <w:color w:val="000000"/>
                <w:sz w:val="22"/>
                <w:szCs w:val="22"/>
              </w:rPr>
            </w:pPr>
            <w:r w:rsidRPr="008F4BDA">
              <w:rPr>
                <w:rFonts w:ascii="Times New Roman" w:hAnsi="Times New Roman"/>
                <w:color w:val="000000"/>
                <w:sz w:val="22"/>
                <w:szCs w:val="22"/>
              </w:rPr>
              <w:t xml:space="preserve">$3,867,000 </w:t>
            </w:r>
          </w:p>
        </w:tc>
      </w:tr>
      <w:tr w:rsidR="008F4BDA" w:rsidRPr="008F4BDA" w:rsidTr="00DA36E4">
        <w:trPr>
          <w:cantSplit/>
          <w:trHeight w:hRule="exact" w:val="300"/>
          <w:jc w:val="center"/>
        </w:trPr>
        <w:tc>
          <w:tcPr>
            <w:tcW w:w="1480" w:type="dxa"/>
            <w:tcBorders>
              <w:left w:val="single" w:sz="18" w:space="0" w:color="auto"/>
            </w:tcBorders>
            <w:shd w:val="clear" w:color="auto" w:fill="auto"/>
            <w:vAlign w:val="center"/>
            <w:hideMark/>
          </w:tcPr>
          <w:p w:rsidR="008F4BDA" w:rsidRPr="008F4BDA" w:rsidRDefault="008F4BDA" w:rsidP="008F4BDA">
            <w:pPr>
              <w:widowControl/>
              <w:autoSpaceDE/>
              <w:autoSpaceDN/>
              <w:adjustRightInd/>
              <w:jc w:val="center"/>
              <w:rPr>
                <w:rFonts w:ascii="Times New Roman" w:hAnsi="Times New Roman"/>
                <w:b/>
                <w:bCs/>
                <w:color w:val="000000"/>
                <w:sz w:val="22"/>
                <w:szCs w:val="22"/>
              </w:rPr>
            </w:pPr>
            <w:r w:rsidRPr="008F4BDA">
              <w:rPr>
                <w:rFonts w:ascii="Times New Roman" w:hAnsi="Times New Roman"/>
                <w:b/>
                <w:bCs/>
                <w:color w:val="000000"/>
                <w:sz w:val="22"/>
                <w:szCs w:val="22"/>
              </w:rPr>
              <w:t>20-99</w:t>
            </w:r>
          </w:p>
        </w:tc>
        <w:tc>
          <w:tcPr>
            <w:tcW w:w="1480" w:type="dxa"/>
            <w:shd w:val="clear" w:color="auto" w:fill="auto"/>
            <w:noWrap/>
            <w:vAlign w:val="center"/>
            <w:hideMark/>
          </w:tcPr>
          <w:p w:rsidR="008F4BDA" w:rsidRPr="008F4BDA" w:rsidRDefault="008F4BDA" w:rsidP="008F4BDA">
            <w:pPr>
              <w:widowControl/>
              <w:autoSpaceDE/>
              <w:autoSpaceDN/>
              <w:adjustRightInd/>
              <w:jc w:val="center"/>
              <w:rPr>
                <w:rFonts w:ascii="Times New Roman" w:hAnsi="Times New Roman"/>
                <w:color w:val="000000"/>
                <w:sz w:val="22"/>
                <w:szCs w:val="22"/>
              </w:rPr>
            </w:pPr>
            <w:r w:rsidRPr="008F4BDA">
              <w:rPr>
                <w:rFonts w:ascii="Times New Roman" w:hAnsi="Times New Roman"/>
                <w:color w:val="000000"/>
                <w:sz w:val="22"/>
                <w:szCs w:val="22"/>
              </w:rPr>
              <w:t>286,000</w:t>
            </w:r>
          </w:p>
        </w:tc>
        <w:tc>
          <w:tcPr>
            <w:tcW w:w="1560" w:type="dxa"/>
            <w:shd w:val="clear" w:color="auto" w:fill="auto"/>
            <w:vAlign w:val="center"/>
            <w:hideMark/>
          </w:tcPr>
          <w:p w:rsidR="008F4BDA" w:rsidRPr="008F4BDA" w:rsidRDefault="008F4BDA" w:rsidP="008F4BDA">
            <w:pPr>
              <w:widowControl/>
              <w:autoSpaceDE/>
              <w:autoSpaceDN/>
              <w:adjustRightInd/>
              <w:jc w:val="center"/>
              <w:rPr>
                <w:rFonts w:ascii="Times New Roman" w:hAnsi="Times New Roman"/>
                <w:color w:val="000000"/>
                <w:sz w:val="22"/>
                <w:szCs w:val="22"/>
              </w:rPr>
            </w:pPr>
            <w:r w:rsidRPr="008F4BDA">
              <w:rPr>
                <w:rFonts w:ascii="Times New Roman" w:hAnsi="Times New Roman"/>
                <w:color w:val="000000"/>
                <w:sz w:val="22"/>
                <w:szCs w:val="22"/>
              </w:rPr>
              <w:t xml:space="preserve">$13.80 </w:t>
            </w:r>
          </w:p>
        </w:tc>
        <w:tc>
          <w:tcPr>
            <w:tcW w:w="1700" w:type="dxa"/>
            <w:tcBorders>
              <w:right w:val="single" w:sz="18" w:space="0" w:color="auto"/>
            </w:tcBorders>
            <w:shd w:val="clear" w:color="auto" w:fill="auto"/>
            <w:noWrap/>
            <w:vAlign w:val="center"/>
            <w:hideMark/>
          </w:tcPr>
          <w:p w:rsidR="008F4BDA" w:rsidRPr="008F4BDA" w:rsidRDefault="008F4BDA" w:rsidP="008F4BDA">
            <w:pPr>
              <w:widowControl/>
              <w:autoSpaceDE/>
              <w:autoSpaceDN/>
              <w:adjustRightInd/>
              <w:jc w:val="center"/>
              <w:rPr>
                <w:rFonts w:ascii="Times New Roman" w:hAnsi="Times New Roman"/>
                <w:color w:val="000000"/>
                <w:sz w:val="22"/>
                <w:szCs w:val="22"/>
              </w:rPr>
            </w:pPr>
            <w:r w:rsidRPr="008F4BDA">
              <w:rPr>
                <w:rFonts w:ascii="Times New Roman" w:hAnsi="Times New Roman"/>
                <w:color w:val="000000"/>
                <w:sz w:val="22"/>
                <w:szCs w:val="22"/>
              </w:rPr>
              <w:t xml:space="preserve">$3,947,000 </w:t>
            </w:r>
          </w:p>
        </w:tc>
      </w:tr>
      <w:tr w:rsidR="008F4BDA" w:rsidRPr="008F4BDA" w:rsidTr="00DA36E4">
        <w:trPr>
          <w:cantSplit/>
          <w:trHeight w:hRule="exact" w:val="300"/>
          <w:jc w:val="center"/>
        </w:trPr>
        <w:tc>
          <w:tcPr>
            <w:tcW w:w="1480" w:type="dxa"/>
            <w:tcBorders>
              <w:left w:val="single" w:sz="18" w:space="0" w:color="auto"/>
            </w:tcBorders>
            <w:shd w:val="clear" w:color="auto" w:fill="auto"/>
            <w:vAlign w:val="center"/>
            <w:hideMark/>
          </w:tcPr>
          <w:p w:rsidR="008F4BDA" w:rsidRPr="008F4BDA" w:rsidRDefault="008F4BDA" w:rsidP="008F4BDA">
            <w:pPr>
              <w:widowControl/>
              <w:autoSpaceDE/>
              <w:autoSpaceDN/>
              <w:adjustRightInd/>
              <w:jc w:val="center"/>
              <w:rPr>
                <w:rFonts w:ascii="Times New Roman" w:hAnsi="Times New Roman"/>
                <w:b/>
                <w:bCs/>
                <w:color w:val="000000"/>
                <w:sz w:val="22"/>
                <w:szCs w:val="22"/>
              </w:rPr>
            </w:pPr>
            <w:r w:rsidRPr="008F4BDA">
              <w:rPr>
                <w:rFonts w:ascii="Times New Roman" w:hAnsi="Times New Roman"/>
                <w:b/>
                <w:bCs/>
                <w:color w:val="000000"/>
                <w:sz w:val="22"/>
                <w:szCs w:val="22"/>
              </w:rPr>
              <w:t>100+</w:t>
            </w:r>
          </w:p>
        </w:tc>
        <w:tc>
          <w:tcPr>
            <w:tcW w:w="1480" w:type="dxa"/>
            <w:shd w:val="clear" w:color="auto" w:fill="auto"/>
            <w:noWrap/>
            <w:vAlign w:val="center"/>
            <w:hideMark/>
          </w:tcPr>
          <w:p w:rsidR="008F4BDA" w:rsidRPr="008F4BDA" w:rsidRDefault="008F4BDA" w:rsidP="008F4BDA">
            <w:pPr>
              <w:widowControl/>
              <w:autoSpaceDE/>
              <w:autoSpaceDN/>
              <w:adjustRightInd/>
              <w:jc w:val="center"/>
              <w:rPr>
                <w:rFonts w:ascii="Times New Roman" w:hAnsi="Times New Roman"/>
                <w:color w:val="000000"/>
                <w:sz w:val="22"/>
                <w:szCs w:val="22"/>
              </w:rPr>
            </w:pPr>
            <w:r w:rsidRPr="008F4BDA">
              <w:rPr>
                <w:rFonts w:ascii="Times New Roman" w:hAnsi="Times New Roman"/>
                <w:color w:val="000000"/>
                <w:sz w:val="22"/>
                <w:szCs w:val="22"/>
              </w:rPr>
              <w:t>657,800</w:t>
            </w:r>
          </w:p>
        </w:tc>
        <w:tc>
          <w:tcPr>
            <w:tcW w:w="1560" w:type="dxa"/>
            <w:shd w:val="clear" w:color="auto" w:fill="auto"/>
            <w:vAlign w:val="center"/>
            <w:hideMark/>
          </w:tcPr>
          <w:p w:rsidR="008F4BDA" w:rsidRPr="008F4BDA" w:rsidRDefault="008F4BDA" w:rsidP="008F4BDA">
            <w:pPr>
              <w:widowControl/>
              <w:autoSpaceDE/>
              <w:autoSpaceDN/>
              <w:adjustRightInd/>
              <w:jc w:val="center"/>
              <w:rPr>
                <w:rFonts w:ascii="Times New Roman" w:hAnsi="Times New Roman"/>
                <w:color w:val="000000"/>
                <w:sz w:val="22"/>
                <w:szCs w:val="22"/>
              </w:rPr>
            </w:pPr>
            <w:r w:rsidRPr="008F4BDA">
              <w:rPr>
                <w:rFonts w:ascii="Times New Roman" w:hAnsi="Times New Roman"/>
                <w:color w:val="000000"/>
                <w:sz w:val="22"/>
                <w:szCs w:val="22"/>
              </w:rPr>
              <w:t xml:space="preserve">$6.90 </w:t>
            </w:r>
          </w:p>
        </w:tc>
        <w:tc>
          <w:tcPr>
            <w:tcW w:w="1700" w:type="dxa"/>
            <w:tcBorders>
              <w:right w:val="single" w:sz="18" w:space="0" w:color="auto"/>
            </w:tcBorders>
            <w:shd w:val="clear" w:color="auto" w:fill="auto"/>
            <w:noWrap/>
            <w:vAlign w:val="center"/>
            <w:hideMark/>
          </w:tcPr>
          <w:p w:rsidR="008F4BDA" w:rsidRPr="008F4BDA" w:rsidRDefault="008F4BDA" w:rsidP="008F4BDA">
            <w:pPr>
              <w:widowControl/>
              <w:autoSpaceDE/>
              <w:autoSpaceDN/>
              <w:adjustRightInd/>
              <w:jc w:val="center"/>
              <w:rPr>
                <w:rFonts w:ascii="Times New Roman" w:hAnsi="Times New Roman"/>
                <w:color w:val="000000"/>
                <w:sz w:val="22"/>
                <w:szCs w:val="22"/>
              </w:rPr>
            </w:pPr>
            <w:r w:rsidRPr="008F4BDA">
              <w:rPr>
                <w:rFonts w:ascii="Times New Roman" w:hAnsi="Times New Roman"/>
                <w:color w:val="000000"/>
                <w:sz w:val="22"/>
                <w:szCs w:val="22"/>
              </w:rPr>
              <w:t xml:space="preserve">$4,539,000 </w:t>
            </w:r>
          </w:p>
        </w:tc>
      </w:tr>
      <w:tr w:rsidR="008F4BDA" w:rsidRPr="008F4BDA" w:rsidTr="00DA36E4">
        <w:trPr>
          <w:cantSplit/>
          <w:trHeight w:hRule="exact" w:val="300"/>
          <w:jc w:val="center"/>
        </w:trPr>
        <w:tc>
          <w:tcPr>
            <w:tcW w:w="1480" w:type="dxa"/>
            <w:tcBorders>
              <w:left w:val="single" w:sz="18" w:space="0" w:color="auto"/>
              <w:bottom w:val="single" w:sz="18" w:space="0" w:color="auto"/>
            </w:tcBorders>
            <w:shd w:val="clear" w:color="auto" w:fill="auto"/>
            <w:vAlign w:val="center"/>
            <w:hideMark/>
          </w:tcPr>
          <w:p w:rsidR="008F4BDA" w:rsidRPr="008F4BDA" w:rsidRDefault="008F4BDA" w:rsidP="008F4BDA">
            <w:pPr>
              <w:widowControl/>
              <w:autoSpaceDE/>
              <w:autoSpaceDN/>
              <w:adjustRightInd/>
              <w:jc w:val="center"/>
              <w:rPr>
                <w:rFonts w:ascii="Times New Roman" w:hAnsi="Times New Roman"/>
                <w:b/>
                <w:bCs/>
                <w:color w:val="000000"/>
                <w:sz w:val="22"/>
                <w:szCs w:val="22"/>
              </w:rPr>
            </w:pPr>
            <w:r w:rsidRPr="008F4BDA">
              <w:rPr>
                <w:rFonts w:ascii="Times New Roman" w:hAnsi="Times New Roman"/>
                <w:b/>
                <w:bCs/>
                <w:color w:val="000000"/>
                <w:sz w:val="22"/>
                <w:szCs w:val="22"/>
              </w:rPr>
              <w:t xml:space="preserve">Total </w:t>
            </w:r>
          </w:p>
        </w:tc>
        <w:tc>
          <w:tcPr>
            <w:tcW w:w="1480" w:type="dxa"/>
            <w:tcBorders>
              <w:bottom w:val="single" w:sz="18" w:space="0" w:color="auto"/>
            </w:tcBorders>
            <w:shd w:val="clear" w:color="auto" w:fill="auto"/>
            <w:noWrap/>
            <w:vAlign w:val="center"/>
            <w:hideMark/>
          </w:tcPr>
          <w:p w:rsidR="008F4BDA" w:rsidRPr="008F4BDA" w:rsidRDefault="008F4BDA" w:rsidP="008F4BDA">
            <w:pPr>
              <w:widowControl/>
              <w:autoSpaceDE/>
              <w:autoSpaceDN/>
              <w:adjustRightInd/>
              <w:jc w:val="center"/>
              <w:rPr>
                <w:rFonts w:ascii="Times New Roman" w:hAnsi="Times New Roman"/>
                <w:b/>
                <w:bCs/>
                <w:color w:val="000000"/>
                <w:sz w:val="22"/>
                <w:szCs w:val="22"/>
              </w:rPr>
            </w:pPr>
            <w:r w:rsidRPr="008F4BDA">
              <w:rPr>
                <w:rFonts w:ascii="Times New Roman" w:hAnsi="Times New Roman"/>
                <w:b/>
                <w:bCs/>
                <w:color w:val="000000"/>
                <w:sz w:val="22"/>
                <w:szCs w:val="22"/>
              </w:rPr>
              <w:t>1,430,000</w:t>
            </w:r>
          </w:p>
        </w:tc>
        <w:tc>
          <w:tcPr>
            <w:tcW w:w="1560" w:type="dxa"/>
            <w:tcBorders>
              <w:bottom w:val="single" w:sz="18" w:space="0" w:color="auto"/>
            </w:tcBorders>
            <w:shd w:val="clear" w:color="auto" w:fill="auto"/>
            <w:noWrap/>
            <w:vAlign w:val="center"/>
            <w:hideMark/>
          </w:tcPr>
          <w:p w:rsidR="008F4BDA" w:rsidRPr="008F4BDA" w:rsidRDefault="008F4BDA" w:rsidP="008F4BDA">
            <w:pPr>
              <w:widowControl/>
              <w:autoSpaceDE/>
              <w:autoSpaceDN/>
              <w:adjustRightInd/>
              <w:jc w:val="center"/>
              <w:rPr>
                <w:rFonts w:ascii="Times New Roman" w:hAnsi="Times New Roman"/>
                <w:color w:val="000000"/>
                <w:sz w:val="22"/>
                <w:szCs w:val="22"/>
              </w:rPr>
            </w:pPr>
            <w:r w:rsidRPr="008F4BDA">
              <w:rPr>
                <w:rFonts w:ascii="Times New Roman" w:hAnsi="Times New Roman"/>
                <w:color w:val="000000"/>
                <w:sz w:val="22"/>
                <w:szCs w:val="22"/>
              </w:rPr>
              <w:t> </w:t>
            </w:r>
          </w:p>
        </w:tc>
        <w:tc>
          <w:tcPr>
            <w:tcW w:w="1700" w:type="dxa"/>
            <w:tcBorders>
              <w:bottom w:val="single" w:sz="18" w:space="0" w:color="auto"/>
              <w:right w:val="single" w:sz="18" w:space="0" w:color="auto"/>
            </w:tcBorders>
            <w:shd w:val="clear" w:color="auto" w:fill="auto"/>
            <w:noWrap/>
            <w:vAlign w:val="center"/>
            <w:hideMark/>
          </w:tcPr>
          <w:p w:rsidR="008F4BDA" w:rsidRPr="008F4BDA" w:rsidRDefault="008F4BDA" w:rsidP="008F4BDA">
            <w:pPr>
              <w:widowControl/>
              <w:autoSpaceDE/>
              <w:autoSpaceDN/>
              <w:adjustRightInd/>
              <w:jc w:val="center"/>
              <w:rPr>
                <w:rFonts w:ascii="Times New Roman" w:hAnsi="Times New Roman"/>
                <w:b/>
                <w:bCs/>
                <w:color w:val="000000"/>
                <w:sz w:val="22"/>
                <w:szCs w:val="22"/>
              </w:rPr>
            </w:pPr>
            <w:r w:rsidRPr="008F4BDA">
              <w:rPr>
                <w:rFonts w:ascii="Times New Roman" w:hAnsi="Times New Roman"/>
                <w:b/>
                <w:bCs/>
                <w:color w:val="000000"/>
                <w:sz w:val="22"/>
                <w:szCs w:val="22"/>
              </w:rPr>
              <w:t xml:space="preserve">$20,701,000 </w:t>
            </w:r>
          </w:p>
        </w:tc>
      </w:tr>
    </w:tbl>
    <w:p w:rsidR="008F4BDA" w:rsidRPr="008F4BDA" w:rsidRDefault="008F4BDA" w:rsidP="008F4BDA">
      <w:pPr>
        <w:widowControl/>
        <w:tabs>
          <w:tab w:val="left" w:pos="360"/>
        </w:tabs>
        <w:ind w:left="360"/>
        <w:rPr>
          <w:rFonts w:ascii="Times New Roman" w:hAnsi="Times New Roman"/>
          <w:sz w:val="24"/>
        </w:rPr>
      </w:pPr>
    </w:p>
    <w:p w:rsidR="008F4BDA" w:rsidRPr="008F4BDA" w:rsidRDefault="008F4BDA" w:rsidP="008F4BDA">
      <w:pPr>
        <w:widowControl/>
        <w:numPr>
          <w:ilvl w:val="0"/>
          <w:numId w:val="36"/>
        </w:numPr>
        <w:tabs>
          <w:tab w:val="left" w:pos="360"/>
        </w:tabs>
        <w:rPr>
          <w:rFonts w:ascii="Times New Roman" w:hAnsi="Times New Roman"/>
          <w:sz w:val="24"/>
        </w:rPr>
      </w:pPr>
      <w:r w:rsidRPr="008F4BDA">
        <w:rPr>
          <w:rFonts w:ascii="Times New Roman" w:hAnsi="Times New Roman"/>
          <w:sz w:val="24"/>
        </w:rPr>
        <w:t>Passenger-carrying commercial motor carriers.</w:t>
      </w:r>
    </w:p>
    <w:p w:rsidR="008F4BDA" w:rsidRPr="008F4BDA" w:rsidRDefault="008F4BDA" w:rsidP="008F4BDA">
      <w:pPr>
        <w:widowControl/>
        <w:ind w:left="720"/>
        <w:rPr>
          <w:rFonts w:ascii="Times New Roman" w:hAnsi="Times New Roman"/>
        </w:rPr>
      </w:pPr>
    </w:p>
    <w:p w:rsidR="008F4BDA" w:rsidRPr="008F4BDA" w:rsidRDefault="008F4BDA" w:rsidP="008F4BDA">
      <w:pPr>
        <w:widowControl/>
        <w:tabs>
          <w:tab w:val="left" w:pos="360"/>
        </w:tabs>
        <w:ind w:left="360"/>
        <w:rPr>
          <w:rFonts w:ascii="Times New Roman" w:hAnsi="Times New Roman"/>
          <w:sz w:val="24"/>
          <w:szCs w:val="24"/>
        </w:rPr>
      </w:pPr>
      <w:r w:rsidRPr="008F4BDA">
        <w:rPr>
          <w:rFonts w:ascii="Times New Roman" w:hAnsi="Times New Roman"/>
          <w:sz w:val="24"/>
          <w:szCs w:val="24"/>
        </w:rPr>
        <w:t xml:space="preserve">The majority of interstate passenger carriers are small entities with an average fleet of 10 CMVs. As stated above, the majority (90 percent) of CMVs of passenger carriers are owned by their operators.  Those CMVs are assumed to be permanently marked.  The estimated cost </w:t>
      </w:r>
      <w:r w:rsidRPr="008F4BDA">
        <w:rPr>
          <w:rFonts w:ascii="Times New Roman" w:hAnsi="Times New Roman"/>
          <w:sz w:val="24"/>
          <w:szCs w:val="24"/>
        </w:rPr>
        <w:lastRenderedPageBreak/>
        <w:t>per vehicle of such marking is stated in Table 7.  Consequently, the average cost of marking per passenger carrier is $278.</w:t>
      </w:r>
      <w:r w:rsidRPr="008F4BDA">
        <w:rPr>
          <w:rFonts w:ascii="Times New Roman" w:hAnsi="Times New Roman"/>
          <w:sz w:val="24"/>
          <w:szCs w:val="24"/>
          <w:vertAlign w:val="superscript"/>
        </w:rPr>
        <w:footnoteReference w:id="11"/>
      </w:r>
      <w:r w:rsidRPr="008F4BDA">
        <w:rPr>
          <w:rFonts w:ascii="Times New Roman" w:hAnsi="Times New Roman"/>
          <w:sz w:val="24"/>
          <w:szCs w:val="24"/>
        </w:rPr>
        <w:t xml:space="preserve">  </w:t>
      </w:r>
    </w:p>
    <w:p w:rsidR="008F4BDA" w:rsidRPr="008F4BDA" w:rsidRDefault="008F4BDA" w:rsidP="008F4BDA">
      <w:pPr>
        <w:widowControl/>
        <w:ind w:left="720" w:firstLine="720"/>
        <w:rPr>
          <w:rFonts w:ascii="Times New Roman" w:hAnsi="Times New Roman"/>
        </w:rPr>
      </w:pPr>
    </w:p>
    <w:p w:rsidR="008F4BDA" w:rsidRPr="008F4BDA" w:rsidRDefault="008F4BDA" w:rsidP="008F4BDA">
      <w:pPr>
        <w:widowControl/>
        <w:tabs>
          <w:tab w:val="left" w:pos="360"/>
        </w:tabs>
        <w:spacing w:after="200"/>
        <w:jc w:val="center"/>
        <w:rPr>
          <w:rFonts w:ascii="Arial" w:eastAsia="Arial Unicode MS" w:hAnsi="Arial" w:cs="Arial"/>
          <w:b/>
        </w:rPr>
      </w:pPr>
      <w:r w:rsidRPr="008F4BDA">
        <w:rPr>
          <w:rFonts w:ascii="Arial" w:hAnsi="Arial" w:cs="Arial"/>
          <w:b/>
        </w:rPr>
        <w:t>Table 7. Estimated Marking Cost per Passenger-Carrying Carrier</w:t>
      </w:r>
    </w:p>
    <w:tbl>
      <w:tblPr>
        <w:tblW w:w="83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0"/>
        <w:gridCol w:w="1660"/>
        <w:gridCol w:w="1660"/>
        <w:gridCol w:w="1660"/>
        <w:gridCol w:w="1660"/>
      </w:tblGrid>
      <w:tr w:rsidR="008F4BDA" w:rsidRPr="008F4BDA" w:rsidTr="00DA36E4">
        <w:trPr>
          <w:trHeight w:hRule="exact" w:val="315"/>
          <w:jc w:val="center"/>
        </w:trPr>
        <w:tc>
          <w:tcPr>
            <w:tcW w:w="3320" w:type="dxa"/>
            <w:gridSpan w:val="2"/>
            <w:tcBorders>
              <w:top w:val="single" w:sz="18" w:space="0" w:color="auto"/>
              <w:left w:val="single" w:sz="18" w:space="0" w:color="auto"/>
              <w:bottom w:val="single" w:sz="4" w:space="0" w:color="auto"/>
              <w:right w:val="single" w:sz="18" w:space="0" w:color="auto"/>
            </w:tcBorders>
            <w:shd w:val="clear" w:color="auto" w:fill="D9D9D9"/>
            <w:vAlign w:val="center"/>
            <w:hideMark/>
          </w:tcPr>
          <w:p w:rsidR="008F4BDA" w:rsidRPr="008F4BDA" w:rsidRDefault="008F4BDA" w:rsidP="008F4BDA">
            <w:pPr>
              <w:widowControl/>
              <w:autoSpaceDE/>
              <w:autoSpaceDN/>
              <w:adjustRightInd/>
              <w:jc w:val="center"/>
              <w:rPr>
                <w:rFonts w:ascii="Times New Roman" w:hAnsi="Times New Roman"/>
                <w:b/>
                <w:bCs/>
                <w:color w:val="030303"/>
                <w:sz w:val="22"/>
                <w:szCs w:val="22"/>
              </w:rPr>
            </w:pPr>
            <w:r w:rsidRPr="008F4BDA">
              <w:rPr>
                <w:rFonts w:ascii="Times New Roman" w:hAnsi="Times New Roman"/>
                <w:b/>
                <w:bCs/>
                <w:color w:val="030303"/>
                <w:sz w:val="22"/>
                <w:szCs w:val="22"/>
              </w:rPr>
              <w:t>Material Cost, per  Vehicle</w:t>
            </w:r>
          </w:p>
        </w:tc>
        <w:tc>
          <w:tcPr>
            <w:tcW w:w="1660" w:type="dxa"/>
            <w:vMerge w:val="restart"/>
            <w:tcBorders>
              <w:top w:val="single" w:sz="18" w:space="0" w:color="auto"/>
              <w:left w:val="single" w:sz="18" w:space="0" w:color="auto"/>
            </w:tcBorders>
            <w:shd w:val="clear" w:color="auto" w:fill="D9D9D9"/>
            <w:vAlign w:val="center"/>
            <w:hideMark/>
          </w:tcPr>
          <w:p w:rsidR="008F4BDA" w:rsidRPr="008F4BDA" w:rsidRDefault="008F4BDA" w:rsidP="008F4BDA">
            <w:pPr>
              <w:widowControl/>
              <w:autoSpaceDE/>
              <w:autoSpaceDN/>
              <w:adjustRightInd/>
              <w:jc w:val="center"/>
              <w:rPr>
                <w:rFonts w:ascii="Times New Roman" w:hAnsi="Times New Roman"/>
                <w:b/>
                <w:bCs/>
                <w:color w:val="000000"/>
                <w:sz w:val="22"/>
                <w:szCs w:val="22"/>
              </w:rPr>
            </w:pPr>
            <w:r w:rsidRPr="008F4BDA">
              <w:rPr>
                <w:rFonts w:ascii="Times New Roman" w:hAnsi="Times New Roman"/>
                <w:b/>
                <w:bCs/>
                <w:color w:val="000000"/>
                <w:sz w:val="22"/>
                <w:szCs w:val="22"/>
              </w:rPr>
              <w:t>Total Cost per Vehicle</w:t>
            </w:r>
          </w:p>
        </w:tc>
        <w:tc>
          <w:tcPr>
            <w:tcW w:w="1660" w:type="dxa"/>
            <w:vMerge w:val="restart"/>
            <w:tcBorders>
              <w:top w:val="single" w:sz="18" w:space="0" w:color="auto"/>
            </w:tcBorders>
            <w:shd w:val="clear" w:color="auto" w:fill="D9D9D9"/>
            <w:vAlign w:val="center"/>
          </w:tcPr>
          <w:p w:rsidR="008F4BDA" w:rsidRPr="008F4BDA" w:rsidRDefault="008F4BDA" w:rsidP="008F4BDA">
            <w:pPr>
              <w:widowControl/>
              <w:autoSpaceDE/>
              <w:autoSpaceDN/>
              <w:adjustRightInd/>
              <w:jc w:val="center"/>
              <w:rPr>
                <w:rFonts w:ascii="Times New Roman" w:hAnsi="Times New Roman"/>
                <w:b/>
                <w:bCs/>
                <w:color w:val="000000"/>
                <w:sz w:val="22"/>
                <w:szCs w:val="22"/>
              </w:rPr>
            </w:pPr>
            <w:r w:rsidRPr="008F4BDA">
              <w:rPr>
                <w:rFonts w:ascii="Times New Roman" w:hAnsi="Times New Roman"/>
                <w:b/>
                <w:bCs/>
                <w:color w:val="000000"/>
                <w:sz w:val="22"/>
                <w:szCs w:val="22"/>
              </w:rPr>
              <w:t>Average Fleet Size</w:t>
            </w:r>
          </w:p>
        </w:tc>
        <w:tc>
          <w:tcPr>
            <w:tcW w:w="1660" w:type="dxa"/>
            <w:vMerge w:val="restart"/>
            <w:tcBorders>
              <w:top w:val="single" w:sz="18" w:space="0" w:color="auto"/>
              <w:right w:val="single" w:sz="18" w:space="0" w:color="auto"/>
            </w:tcBorders>
            <w:shd w:val="clear" w:color="auto" w:fill="D9D9D9"/>
            <w:vAlign w:val="center"/>
          </w:tcPr>
          <w:p w:rsidR="008F4BDA" w:rsidRPr="008F4BDA" w:rsidRDefault="008F4BDA" w:rsidP="008F4BDA">
            <w:pPr>
              <w:widowControl/>
              <w:autoSpaceDE/>
              <w:autoSpaceDN/>
              <w:adjustRightInd/>
              <w:jc w:val="center"/>
              <w:rPr>
                <w:rFonts w:ascii="Times New Roman" w:hAnsi="Times New Roman"/>
                <w:b/>
                <w:bCs/>
                <w:color w:val="000000"/>
                <w:sz w:val="22"/>
                <w:szCs w:val="22"/>
              </w:rPr>
            </w:pPr>
            <w:r w:rsidRPr="008F4BDA">
              <w:rPr>
                <w:rFonts w:ascii="Times New Roman" w:hAnsi="Times New Roman"/>
                <w:b/>
                <w:bCs/>
                <w:color w:val="000000"/>
                <w:sz w:val="22"/>
                <w:szCs w:val="22"/>
              </w:rPr>
              <w:t>Cost per Average Size Carrier per year</w:t>
            </w:r>
          </w:p>
        </w:tc>
      </w:tr>
      <w:tr w:rsidR="008F4BDA" w:rsidRPr="008F4BDA" w:rsidTr="00DA36E4">
        <w:trPr>
          <w:trHeight w:val="630"/>
          <w:jc w:val="center"/>
        </w:trPr>
        <w:tc>
          <w:tcPr>
            <w:tcW w:w="1660" w:type="dxa"/>
            <w:tcBorders>
              <w:top w:val="single" w:sz="18" w:space="0" w:color="auto"/>
              <w:left w:val="single" w:sz="18" w:space="0" w:color="auto"/>
            </w:tcBorders>
            <w:shd w:val="clear" w:color="auto" w:fill="D9D9D9"/>
            <w:vAlign w:val="center"/>
            <w:hideMark/>
          </w:tcPr>
          <w:p w:rsidR="008F4BDA" w:rsidRPr="008F4BDA" w:rsidRDefault="008F4BDA" w:rsidP="008F4BDA">
            <w:pPr>
              <w:widowControl/>
              <w:autoSpaceDE/>
              <w:autoSpaceDN/>
              <w:adjustRightInd/>
              <w:jc w:val="center"/>
              <w:rPr>
                <w:rFonts w:ascii="Times New Roman" w:hAnsi="Times New Roman"/>
                <w:b/>
                <w:bCs/>
                <w:color w:val="030303"/>
                <w:sz w:val="22"/>
                <w:szCs w:val="22"/>
              </w:rPr>
            </w:pPr>
            <w:r w:rsidRPr="008F4BDA">
              <w:rPr>
                <w:rFonts w:ascii="Times New Roman" w:hAnsi="Times New Roman"/>
                <w:b/>
                <w:bCs/>
                <w:color w:val="030303"/>
                <w:w w:val="113"/>
                <w:sz w:val="22"/>
                <w:szCs w:val="22"/>
              </w:rPr>
              <w:t>Affixing Carrier DOT#</w:t>
            </w:r>
          </w:p>
        </w:tc>
        <w:tc>
          <w:tcPr>
            <w:tcW w:w="1660" w:type="dxa"/>
            <w:tcBorders>
              <w:top w:val="single" w:sz="18" w:space="0" w:color="auto"/>
              <w:right w:val="single" w:sz="18" w:space="0" w:color="auto"/>
            </w:tcBorders>
            <w:shd w:val="clear" w:color="auto" w:fill="D9D9D9"/>
            <w:vAlign w:val="center"/>
            <w:hideMark/>
          </w:tcPr>
          <w:p w:rsidR="008F4BDA" w:rsidRPr="008F4BDA" w:rsidRDefault="008F4BDA" w:rsidP="008F4BDA">
            <w:pPr>
              <w:widowControl/>
              <w:autoSpaceDE/>
              <w:autoSpaceDN/>
              <w:adjustRightInd/>
              <w:jc w:val="center"/>
              <w:rPr>
                <w:rFonts w:ascii="Times New Roman" w:hAnsi="Times New Roman"/>
                <w:b/>
                <w:bCs/>
                <w:color w:val="030303"/>
                <w:sz w:val="22"/>
                <w:szCs w:val="22"/>
              </w:rPr>
            </w:pPr>
            <w:r w:rsidRPr="008F4BDA">
              <w:rPr>
                <w:rFonts w:ascii="Times New Roman" w:hAnsi="Times New Roman"/>
                <w:b/>
                <w:bCs/>
                <w:color w:val="030303"/>
                <w:sz w:val="22"/>
                <w:szCs w:val="22"/>
              </w:rPr>
              <w:t>Affixing Carrier Name</w:t>
            </w:r>
          </w:p>
        </w:tc>
        <w:tc>
          <w:tcPr>
            <w:tcW w:w="1660" w:type="dxa"/>
            <w:vMerge/>
            <w:tcBorders>
              <w:left w:val="single" w:sz="18" w:space="0" w:color="auto"/>
              <w:bottom w:val="single" w:sz="18" w:space="0" w:color="auto"/>
            </w:tcBorders>
            <w:vAlign w:val="center"/>
            <w:hideMark/>
          </w:tcPr>
          <w:p w:rsidR="008F4BDA" w:rsidRPr="008F4BDA" w:rsidRDefault="008F4BDA" w:rsidP="008F4BDA">
            <w:pPr>
              <w:widowControl/>
              <w:autoSpaceDE/>
              <w:autoSpaceDN/>
              <w:adjustRightInd/>
              <w:rPr>
                <w:rFonts w:ascii="Times New Roman" w:hAnsi="Times New Roman"/>
                <w:b/>
                <w:bCs/>
                <w:color w:val="000000"/>
                <w:sz w:val="22"/>
                <w:szCs w:val="22"/>
              </w:rPr>
            </w:pPr>
          </w:p>
        </w:tc>
        <w:tc>
          <w:tcPr>
            <w:tcW w:w="1660" w:type="dxa"/>
            <w:vMerge/>
            <w:tcBorders>
              <w:bottom w:val="single" w:sz="18" w:space="0" w:color="auto"/>
            </w:tcBorders>
          </w:tcPr>
          <w:p w:rsidR="008F4BDA" w:rsidRPr="008F4BDA" w:rsidRDefault="008F4BDA" w:rsidP="008F4BDA">
            <w:pPr>
              <w:widowControl/>
              <w:autoSpaceDE/>
              <w:autoSpaceDN/>
              <w:adjustRightInd/>
              <w:rPr>
                <w:rFonts w:ascii="Times New Roman" w:hAnsi="Times New Roman"/>
                <w:b/>
                <w:bCs/>
                <w:color w:val="000000"/>
                <w:sz w:val="22"/>
                <w:szCs w:val="22"/>
              </w:rPr>
            </w:pPr>
          </w:p>
        </w:tc>
        <w:tc>
          <w:tcPr>
            <w:tcW w:w="1660" w:type="dxa"/>
            <w:vMerge/>
            <w:tcBorders>
              <w:bottom w:val="single" w:sz="18" w:space="0" w:color="auto"/>
              <w:right w:val="single" w:sz="18" w:space="0" w:color="auto"/>
            </w:tcBorders>
            <w:vAlign w:val="center"/>
          </w:tcPr>
          <w:p w:rsidR="008F4BDA" w:rsidRPr="008F4BDA" w:rsidRDefault="008F4BDA" w:rsidP="008F4BDA">
            <w:pPr>
              <w:widowControl/>
              <w:autoSpaceDE/>
              <w:autoSpaceDN/>
              <w:adjustRightInd/>
              <w:jc w:val="center"/>
              <w:rPr>
                <w:rFonts w:ascii="Times New Roman" w:hAnsi="Times New Roman"/>
                <w:b/>
                <w:bCs/>
                <w:color w:val="000000"/>
                <w:sz w:val="22"/>
                <w:szCs w:val="22"/>
              </w:rPr>
            </w:pPr>
          </w:p>
        </w:tc>
      </w:tr>
      <w:tr w:rsidR="008F4BDA" w:rsidRPr="008F4BDA" w:rsidTr="00DA36E4">
        <w:trPr>
          <w:trHeight w:val="315"/>
          <w:jc w:val="center"/>
        </w:trPr>
        <w:tc>
          <w:tcPr>
            <w:tcW w:w="1660" w:type="dxa"/>
            <w:tcBorders>
              <w:top w:val="single" w:sz="18" w:space="0" w:color="auto"/>
              <w:left w:val="single" w:sz="18" w:space="0" w:color="auto"/>
              <w:bottom w:val="single" w:sz="18" w:space="0" w:color="auto"/>
            </w:tcBorders>
            <w:shd w:val="clear" w:color="auto" w:fill="auto"/>
            <w:vAlign w:val="center"/>
            <w:hideMark/>
          </w:tcPr>
          <w:p w:rsidR="008F4BDA" w:rsidRPr="008F4BDA" w:rsidRDefault="008F4BDA" w:rsidP="008F4BDA">
            <w:pPr>
              <w:widowControl/>
              <w:autoSpaceDE/>
              <w:autoSpaceDN/>
              <w:adjustRightInd/>
              <w:jc w:val="center"/>
              <w:rPr>
                <w:rFonts w:ascii="Times New Roman" w:hAnsi="Times New Roman"/>
                <w:color w:val="030303"/>
                <w:sz w:val="22"/>
                <w:szCs w:val="22"/>
              </w:rPr>
            </w:pPr>
            <w:r w:rsidRPr="008F4BDA">
              <w:rPr>
                <w:rFonts w:ascii="Times New Roman" w:hAnsi="Times New Roman"/>
                <w:color w:val="030303"/>
                <w:w w:val="108"/>
                <w:sz w:val="22"/>
                <w:szCs w:val="22"/>
              </w:rPr>
              <w:t xml:space="preserve">$11.10 </w:t>
            </w:r>
          </w:p>
        </w:tc>
        <w:tc>
          <w:tcPr>
            <w:tcW w:w="1660" w:type="dxa"/>
            <w:tcBorders>
              <w:top w:val="single" w:sz="18" w:space="0" w:color="auto"/>
              <w:bottom w:val="single" w:sz="18" w:space="0" w:color="auto"/>
            </w:tcBorders>
            <w:shd w:val="clear" w:color="auto" w:fill="auto"/>
            <w:vAlign w:val="center"/>
            <w:hideMark/>
          </w:tcPr>
          <w:p w:rsidR="008F4BDA" w:rsidRPr="008F4BDA" w:rsidRDefault="008F4BDA" w:rsidP="008F4BDA">
            <w:pPr>
              <w:widowControl/>
              <w:autoSpaceDE/>
              <w:autoSpaceDN/>
              <w:adjustRightInd/>
              <w:jc w:val="center"/>
              <w:rPr>
                <w:rFonts w:ascii="Times New Roman" w:hAnsi="Times New Roman"/>
                <w:color w:val="000000"/>
                <w:sz w:val="22"/>
                <w:szCs w:val="22"/>
              </w:rPr>
            </w:pPr>
            <w:r w:rsidRPr="008F4BDA">
              <w:rPr>
                <w:rFonts w:ascii="Times New Roman" w:hAnsi="Times New Roman"/>
                <w:color w:val="000000"/>
                <w:sz w:val="22"/>
                <w:szCs w:val="22"/>
              </w:rPr>
              <w:t xml:space="preserve">$16.70 </w:t>
            </w:r>
          </w:p>
        </w:tc>
        <w:tc>
          <w:tcPr>
            <w:tcW w:w="1660" w:type="dxa"/>
            <w:tcBorders>
              <w:top w:val="single" w:sz="18" w:space="0" w:color="auto"/>
              <w:bottom w:val="single" w:sz="18" w:space="0" w:color="auto"/>
            </w:tcBorders>
            <w:shd w:val="clear" w:color="auto" w:fill="auto"/>
            <w:vAlign w:val="center"/>
            <w:hideMark/>
          </w:tcPr>
          <w:p w:rsidR="008F4BDA" w:rsidRPr="008F4BDA" w:rsidRDefault="008F4BDA" w:rsidP="008F4BDA">
            <w:pPr>
              <w:widowControl/>
              <w:autoSpaceDE/>
              <w:autoSpaceDN/>
              <w:adjustRightInd/>
              <w:jc w:val="center"/>
              <w:rPr>
                <w:rFonts w:ascii="Times New Roman" w:hAnsi="Times New Roman"/>
                <w:color w:val="000000"/>
                <w:sz w:val="22"/>
                <w:szCs w:val="22"/>
              </w:rPr>
            </w:pPr>
            <w:r w:rsidRPr="008F4BDA">
              <w:rPr>
                <w:rFonts w:ascii="Times New Roman" w:hAnsi="Times New Roman"/>
                <w:color w:val="000000"/>
                <w:sz w:val="22"/>
                <w:szCs w:val="22"/>
              </w:rPr>
              <w:t xml:space="preserve">$27.80 </w:t>
            </w:r>
          </w:p>
        </w:tc>
        <w:tc>
          <w:tcPr>
            <w:tcW w:w="1660" w:type="dxa"/>
            <w:tcBorders>
              <w:top w:val="single" w:sz="18" w:space="0" w:color="auto"/>
              <w:bottom w:val="single" w:sz="18" w:space="0" w:color="auto"/>
            </w:tcBorders>
          </w:tcPr>
          <w:p w:rsidR="008F4BDA" w:rsidRPr="008F4BDA" w:rsidRDefault="008F4BDA" w:rsidP="008F4BDA">
            <w:pPr>
              <w:widowControl/>
              <w:autoSpaceDE/>
              <w:autoSpaceDN/>
              <w:adjustRightInd/>
              <w:jc w:val="center"/>
              <w:rPr>
                <w:rFonts w:ascii="Times New Roman" w:hAnsi="Times New Roman"/>
                <w:color w:val="000000"/>
                <w:sz w:val="22"/>
                <w:szCs w:val="22"/>
              </w:rPr>
            </w:pPr>
            <w:r w:rsidRPr="008F4BDA">
              <w:rPr>
                <w:rFonts w:ascii="Times New Roman" w:hAnsi="Times New Roman"/>
                <w:color w:val="000000"/>
                <w:sz w:val="22"/>
                <w:szCs w:val="22"/>
              </w:rPr>
              <w:t>10</w:t>
            </w:r>
          </w:p>
        </w:tc>
        <w:tc>
          <w:tcPr>
            <w:tcW w:w="1660" w:type="dxa"/>
            <w:tcBorders>
              <w:top w:val="single" w:sz="18" w:space="0" w:color="auto"/>
              <w:bottom w:val="single" w:sz="18" w:space="0" w:color="auto"/>
              <w:right w:val="single" w:sz="18" w:space="0" w:color="auto"/>
            </w:tcBorders>
          </w:tcPr>
          <w:p w:rsidR="008F4BDA" w:rsidRPr="008F4BDA" w:rsidRDefault="008F4BDA" w:rsidP="008F4BDA">
            <w:pPr>
              <w:widowControl/>
              <w:autoSpaceDE/>
              <w:autoSpaceDN/>
              <w:adjustRightInd/>
              <w:jc w:val="center"/>
              <w:rPr>
                <w:rFonts w:ascii="Times New Roman" w:hAnsi="Times New Roman"/>
                <w:color w:val="000000"/>
                <w:sz w:val="22"/>
                <w:szCs w:val="22"/>
              </w:rPr>
            </w:pPr>
            <w:r w:rsidRPr="008F4BDA">
              <w:rPr>
                <w:rFonts w:ascii="Times New Roman" w:hAnsi="Times New Roman"/>
                <w:color w:val="000000"/>
                <w:sz w:val="22"/>
                <w:szCs w:val="22"/>
              </w:rPr>
              <w:t>$278</w:t>
            </w:r>
          </w:p>
        </w:tc>
      </w:tr>
    </w:tbl>
    <w:p w:rsidR="008F4BDA" w:rsidRPr="008F4BDA" w:rsidRDefault="008F4BDA" w:rsidP="008F4BDA">
      <w:pPr>
        <w:widowControl/>
        <w:ind w:left="720"/>
        <w:rPr>
          <w:rFonts w:ascii="Times New Roman" w:hAnsi="Times New Roman"/>
          <w:sz w:val="24"/>
          <w:szCs w:val="24"/>
        </w:rPr>
      </w:pPr>
    </w:p>
    <w:p w:rsidR="008F4BDA" w:rsidRPr="008F4BDA" w:rsidRDefault="008F4BDA" w:rsidP="008F4BDA">
      <w:pPr>
        <w:widowControl/>
        <w:tabs>
          <w:tab w:val="left" w:pos="360"/>
        </w:tabs>
        <w:ind w:left="360"/>
        <w:rPr>
          <w:rFonts w:ascii="Times New Roman" w:hAnsi="Times New Roman"/>
          <w:sz w:val="24"/>
          <w:szCs w:val="24"/>
        </w:rPr>
      </w:pPr>
      <w:r w:rsidRPr="008F4BDA">
        <w:rPr>
          <w:rFonts w:ascii="Times New Roman" w:hAnsi="Times New Roman"/>
          <w:sz w:val="24"/>
          <w:szCs w:val="24"/>
        </w:rPr>
        <w:t xml:space="preserve">There are an estimated 60,000 passenger-carrying CMVs that require marking with decals or stencil; therefore, the total cost for all passenger carriers impacted by the marking rule is </w:t>
      </w:r>
      <w:r w:rsidRPr="008F4BDA">
        <w:rPr>
          <w:rFonts w:ascii="Times New Roman" w:hAnsi="Times New Roman"/>
          <w:b/>
          <w:sz w:val="24"/>
          <w:szCs w:val="24"/>
        </w:rPr>
        <w:t>$1,668,000 per year</w:t>
      </w:r>
      <w:r w:rsidRPr="008F4BDA">
        <w:rPr>
          <w:rFonts w:ascii="Times New Roman" w:hAnsi="Times New Roman"/>
          <w:sz w:val="24"/>
          <w:szCs w:val="24"/>
        </w:rPr>
        <w:t xml:space="preserve"> (60,000 CMVs × $27.80 per vehicle) </w:t>
      </w:r>
    </w:p>
    <w:p w:rsidR="008F4BDA" w:rsidRPr="008F4BDA" w:rsidRDefault="008F4BDA" w:rsidP="008F4BDA">
      <w:pPr>
        <w:widowControl/>
        <w:ind w:left="720"/>
        <w:rPr>
          <w:rFonts w:ascii="Times New Roman" w:hAnsi="Times New Roman"/>
        </w:rPr>
      </w:pPr>
    </w:p>
    <w:p w:rsidR="008F4BDA" w:rsidRPr="008F4BDA" w:rsidRDefault="008F4BDA" w:rsidP="008F4BDA">
      <w:pPr>
        <w:keepNext/>
        <w:widowControl/>
        <w:numPr>
          <w:ilvl w:val="0"/>
          <w:numId w:val="36"/>
        </w:numPr>
        <w:tabs>
          <w:tab w:val="left" w:pos="360"/>
        </w:tabs>
        <w:rPr>
          <w:rFonts w:ascii="Times New Roman" w:hAnsi="Times New Roman"/>
          <w:sz w:val="24"/>
        </w:rPr>
      </w:pPr>
      <w:r w:rsidRPr="008F4BDA">
        <w:rPr>
          <w:rFonts w:ascii="Times New Roman" w:hAnsi="Times New Roman"/>
          <w:sz w:val="24"/>
        </w:rPr>
        <w:t>Intermodal equipment providers.</w:t>
      </w:r>
    </w:p>
    <w:p w:rsidR="008F4BDA" w:rsidRPr="008F4BDA" w:rsidRDefault="008F4BDA" w:rsidP="008F4BDA">
      <w:pPr>
        <w:keepNext/>
        <w:widowControl/>
        <w:ind w:left="720"/>
        <w:rPr>
          <w:rFonts w:ascii="Times New Roman" w:hAnsi="Times New Roman"/>
        </w:rPr>
      </w:pPr>
    </w:p>
    <w:p w:rsidR="008F4BDA" w:rsidRPr="008F4BDA" w:rsidRDefault="008F4BDA" w:rsidP="008F4BDA">
      <w:pPr>
        <w:widowControl/>
        <w:ind w:left="360"/>
        <w:rPr>
          <w:rFonts w:ascii="Times New Roman" w:hAnsi="Times New Roman"/>
          <w:bCs/>
          <w:sz w:val="24"/>
          <w:szCs w:val="24"/>
        </w:rPr>
      </w:pPr>
      <w:r w:rsidRPr="008F4BDA">
        <w:rPr>
          <w:rFonts w:ascii="Times New Roman" w:hAnsi="Times New Roman"/>
          <w:sz w:val="24"/>
          <w:szCs w:val="24"/>
        </w:rPr>
        <w:t xml:space="preserve">As stated above, the overwhelming majority (90 percent) of IEPs voluntarily </w:t>
      </w:r>
      <w:r w:rsidRPr="008F4BDA">
        <w:rPr>
          <w:rFonts w:ascii="Times New Roman" w:hAnsi="Times New Roman"/>
          <w:bCs/>
          <w:sz w:val="24"/>
          <w:szCs w:val="24"/>
        </w:rPr>
        <w:t xml:space="preserve">mark their vehicles and equipment electronically into the Intermodal Association of North America (IANA) database. Actual physical marking is assumed of the remaining 10 percent of those entities.  The total number of equipment owned, leased or rented by that segment of IEPs and that would require marking was estimated at 21,000.  The cost per entity depends on the quantity and combination of equipment which varies considerably.  For simplicity, the Agency applies the average number of units per fleet for all IEPs, i.e., 2,300 per year (21,000 impacted units ÷ 9 IEPs, rounded to nearest hundred).  Regarding the cost of marking per unit, the Agency applies the total cost (DOT# and name material costs) used above (in Table 3) for freight carriers, except that the cost estimate used here is for carriers with a 1,000+ units (not shown).  That cost estimate is $3.50 per unit, which is the inflation-adjusted estimate of the number submitted in the Final Regulatory Evaluation submitted in the original Final Rule.  </w:t>
      </w:r>
    </w:p>
    <w:p w:rsidR="008F4BDA" w:rsidRPr="008F4BDA" w:rsidRDefault="008F4BDA" w:rsidP="008F4BDA">
      <w:pPr>
        <w:widowControl/>
        <w:spacing w:after="200"/>
        <w:ind w:left="86"/>
        <w:jc w:val="center"/>
        <w:rPr>
          <w:rFonts w:ascii="Arial" w:hAnsi="Arial" w:cs="Arial"/>
          <w:b/>
          <w:bCs/>
        </w:rPr>
      </w:pPr>
      <w:proofErr w:type="gramStart"/>
      <w:r w:rsidRPr="008F4BDA">
        <w:rPr>
          <w:rFonts w:ascii="Arial" w:hAnsi="Arial" w:cs="Arial"/>
          <w:b/>
          <w:bCs/>
        </w:rPr>
        <w:t>Table 8.</w:t>
      </w:r>
      <w:proofErr w:type="gramEnd"/>
      <w:r w:rsidRPr="008F4BDA">
        <w:rPr>
          <w:rFonts w:ascii="Arial" w:hAnsi="Arial" w:cs="Arial"/>
          <w:b/>
          <w:bCs/>
        </w:rPr>
        <w:t xml:space="preserve"> Estimated Marking Cost per IEP</w:t>
      </w:r>
    </w:p>
    <w:tbl>
      <w:tblPr>
        <w:tblW w:w="83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0"/>
        <w:gridCol w:w="1660"/>
        <w:gridCol w:w="1660"/>
        <w:gridCol w:w="1660"/>
        <w:gridCol w:w="1660"/>
      </w:tblGrid>
      <w:tr w:rsidR="008F4BDA" w:rsidRPr="008F4BDA" w:rsidTr="00DA36E4">
        <w:trPr>
          <w:trHeight w:hRule="exact" w:val="315"/>
          <w:jc w:val="center"/>
        </w:trPr>
        <w:tc>
          <w:tcPr>
            <w:tcW w:w="3320" w:type="dxa"/>
            <w:gridSpan w:val="2"/>
            <w:tcBorders>
              <w:top w:val="single" w:sz="18" w:space="0" w:color="auto"/>
              <w:left w:val="single" w:sz="18" w:space="0" w:color="auto"/>
              <w:bottom w:val="single" w:sz="4" w:space="0" w:color="auto"/>
              <w:right w:val="single" w:sz="18" w:space="0" w:color="auto"/>
            </w:tcBorders>
            <w:shd w:val="clear" w:color="auto" w:fill="D9D9D9"/>
            <w:vAlign w:val="center"/>
            <w:hideMark/>
          </w:tcPr>
          <w:p w:rsidR="008F4BDA" w:rsidRPr="008F4BDA" w:rsidRDefault="008F4BDA" w:rsidP="008F4BDA">
            <w:pPr>
              <w:widowControl/>
              <w:autoSpaceDE/>
              <w:autoSpaceDN/>
              <w:adjustRightInd/>
              <w:jc w:val="center"/>
              <w:rPr>
                <w:rFonts w:ascii="Times New Roman" w:hAnsi="Times New Roman"/>
                <w:b/>
                <w:bCs/>
                <w:color w:val="030303"/>
                <w:sz w:val="22"/>
                <w:szCs w:val="22"/>
              </w:rPr>
            </w:pPr>
            <w:r w:rsidRPr="008F4BDA">
              <w:rPr>
                <w:rFonts w:ascii="Times New Roman" w:hAnsi="Times New Roman"/>
                <w:b/>
                <w:bCs/>
                <w:color w:val="030303"/>
                <w:sz w:val="22"/>
                <w:szCs w:val="22"/>
              </w:rPr>
              <w:t>Material Cost, per Vehicle</w:t>
            </w:r>
          </w:p>
        </w:tc>
        <w:tc>
          <w:tcPr>
            <w:tcW w:w="1660" w:type="dxa"/>
            <w:vMerge w:val="restart"/>
            <w:tcBorders>
              <w:top w:val="single" w:sz="18" w:space="0" w:color="auto"/>
              <w:left w:val="single" w:sz="18" w:space="0" w:color="auto"/>
            </w:tcBorders>
            <w:shd w:val="clear" w:color="auto" w:fill="D9D9D9"/>
            <w:vAlign w:val="center"/>
            <w:hideMark/>
          </w:tcPr>
          <w:p w:rsidR="008F4BDA" w:rsidRPr="008F4BDA" w:rsidRDefault="008F4BDA" w:rsidP="008F4BDA">
            <w:pPr>
              <w:widowControl/>
              <w:autoSpaceDE/>
              <w:autoSpaceDN/>
              <w:adjustRightInd/>
              <w:jc w:val="center"/>
              <w:rPr>
                <w:rFonts w:ascii="Times New Roman" w:hAnsi="Times New Roman"/>
                <w:b/>
                <w:bCs/>
                <w:color w:val="000000"/>
                <w:sz w:val="22"/>
                <w:szCs w:val="22"/>
              </w:rPr>
            </w:pPr>
            <w:r w:rsidRPr="008F4BDA">
              <w:rPr>
                <w:rFonts w:ascii="Times New Roman" w:hAnsi="Times New Roman"/>
                <w:b/>
                <w:bCs/>
                <w:color w:val="000000"/>
                <w:sz w:val="22"/>
                <w:szCs w:val="22"/>
              </w:rPr>
              <w:t>Total Cost per Unit</w:t>
            </w:r>
          </w:p>
        </w:tc>
        <w:tc>
          <w:tcPr>
            <w:tcW w:w="1660" w:type="dxa"/>
            <w:vMerge w:val="restart"/>
            <w:tcBorders>
              <w:top w:val="single" w:sz="18" w:space="0" w:color="auto"/>
            </w:tcBorders>
            <w:shd w:val="clear" w:color="auto" w:fill="D9D9D9"/>
            <w:vAlign w:val="center"/>
          </w:tcPr>
          <w:p w:rsidR="008F4BDA" w:rsidRPr="008F4BDA" w:rsidRDefault="008F4BDA" w:rsidP="008F4BDA">
            <w:pPr>
              <w:widowControl/>
              <w:autoSpaceDE/>
              <w:autoSpaceDN/>
              <w:adjustRightInd/>
              <w:jc w:val="center"/>
              <w:rPr>
                <w:rFonts w:ascii="Times New Roman" w:hAnsi="Times New Roman"/>
                <w:b/>
                <w:bCs/>
                <w:color w:val="000000"/>
                <w:sz w:val="22"/>
                <w:szCs w:val="22"/>
              </w:rPr>
            </w:pPr>
            <w:r w:rsidRPr="008F4BDA">
              <w:rPr>
                <w:rFonts w:ascii="Times New Roman" w:hAnsi="Times New Roman"/>
                <w:b/>
                <w:bCs/>
                <w:color w:val="000000"/>
                <w:sz w:val="22"/>
                <w:szCs w:val="22"/>
              </w:rPr>
              <w:t>Average Annual Impacted Units per IEP</w:t>
            </w:r>
          </w:p>
        </w:tc>
        <w:tc>
          <w:tcPr>
            <w:tcW w:w="1660" w:type="dxa"/>
            <w:vMerge w:val="restart"/>
            <w:tcBorders>
              <w:top w:val="single" w:sz="18" w:space="0" w:color="auto"/>
              <w:right w:val="single" w:sz="18" w:space="0" w:color="auto"/>
            </w:tcBorders>
            <w:shd w:val="clear" w:color="auto" w:fill="D9D9D9"/>
            <w:vAlign w:val="center"/>
          </w:tcPr>
          <w:p w:rsidR="008F4BDA" w:rsidRPr="008F4BDA" w:rsidRDefault="008F4BDA" w:rsidP="008F4BDA">
            <w:pPr>
              <w:widowControl/>
              <w:autoSpaceDE/>
              <w:autoSpaceDN/>
              <w:adjustRightInd/>
              <w:jc w:val="center"/>
              <w:rPr>
                <w:rFonts w:ascii="Times New Roman" w:hAnsi="Times New Roman"/>
                <w:b/>
                <w:bCs/>
                <w:color w:val="000000"/>
                <w:sz w:val="22"/>
                <w:szCs w:val="22"/>
              </w:rPr>
            </w:pPr>
            <w:r w:rsidRPr="008F4BDA">
              <w:rPr>
                <w:rFonts w:ascii="Times New Roman" w:hAnsi="Times New Roman"/>
                <w:b/>
                <w:bCs/>
                <w:color w:val="000000"/>
                <w:sz w:val="22"/>
                <w:szCs w:val="22"/>
              </w:rPr>
              <w:t>Cost per Average Size IEP per year</w:t>
            </w:r>
          </w:p>
        </w:tc>
      </w:tr>
      <w:tr w:rsidR="008F4BDA" w:rsidRPr="008F4BDA" w:rsidTr="00DA36E4">
        <w:trPr>
          <w:trHeight w:val="630"/>
          <w:jc w:val="center"/>
        </w:trPr>
        <w:tc>
          <w:tcPr>
            <w:tcW w:w="1660" w:type="dxa"/>
            <w:tcBorders>
              <w:top w:val="single" w:sz="18" w:space="0" w:color="auto"/>
              <w:left w:val="single" w:sz="18" w:space="0" w:color="auto"/>
              <w:bottom w:val="single" w:sz="18" w:space="0" w:color="auto"/>
            </w:tcBorders>
            <w:shd w:val="clear" w:color="auto" w:fill="D9D9D9"/>
            <w:vAlign w:val="center"/>
            <w:hideMark/>
          </w:tcPr>
          <w:p w:rsidR="008F4BDA" w:rsidRPr="008F4BDA" w:rsidRDefault="008F4BDA" w:rsidP="008F4BDA">
            <w:pPr>
              <w:widowControl/>
              <w:autoSpaceDE/>
              <w:autoSpaceDN/>
              <w:adjustRightInd/>
              <w:jc w:val="center"/>
              <w:rPr>
                <w:rFonts w:ascii="Times New Roman" w:hAnsi="Times New Roman"/>
                <w:b/>
                <w:bCs/>
                <w:color w:val="030303"/>
                <w:sz w:val="22"/>
                <w:szCs w:val="22"/>
              </w:rPr>
            </w:pPr>
            <w:r w:rsidRPr="008F4BDA">
              <w:rPr>
                <w:rFonts w:ascii="Times New Roman" w:hAnsi="Times New Roman"/>
                <w:b/>
                <w:bCs/>
                <w:color w:val="030303"/>
                <w:w w:val="113"/>
                <w:sz w:val="22"/>
                <w:szCs w:val="22"/>
              </w:rPr>
              <w:t>DOT#</w:t>
            </w:r>
          </w:p>
        </w:tc>
        <w:tc>
          <w:tcPr>
            <w:tcW w:w="1660" w:type="dxa"/>
            <w:tcBorders>
              <w:top w:val="single" w:sz="18" w:space="0" w:color="auto"/>
              <w:right w:val="single" w:sz="18" w:space="0" w:color="auto"/>
            </w:tcBorders>
            <w:shd w:val="clear" w:color="auto" w:fill="D9D9D9"/>
            <w:vAlign w:val="center"/>
            <w:hideMark/>
          </w:tcPr>
          <w:p w:rsidR="008F4BDA" w:rsidRPr="008F4BDA" w:rsidRDefault="008F4BDA" w:rsidP="008F4BDA">
            <w:pPr>
              <w:widowControl/>
              <w:autoSpaceDE/>
              <w:autoSpaceDN/>
              <w:adjustRightInd/>
              <w:jc w:val="center"/>
              <w:rPr>
                <w:rFonts w:ascii="Times New Roman" w:hAnsi="Times New Roman"/>
                <w:b/>
                <w:bCs/>
                <w:color w:val="030303"/>
                <w:sz w:val="22"/>
                <w:szCs w:val="22"/>
              </w:rPr>
            </w:pPr>
            <w:r w:rsidRPr="008F4BDA">
              <w:rPr>
                <w:rFonts w:ascii="Times New Roman" w:hAnsi="Times New Roman"/>
                <w:b/>
                <w:bCs/>
                <w:color w:val="030303"/>
                <w:sz w:val="22"/>
                <w:szCs w:val="22"/>
              </w:rPr>
              <w:t>Name</w:t>
            </w:r>
          </w:p>
        </w:tc>
        <w:tc>
          <w:tcPr>
            <w:tcW w:w="1660" w:type="dxa"/>
            <w:vMerge/>
            <w:tcBorders>
              <w:left w:val="single" w:sz="18" w:space="0" w:color="auto"/>
            </w:tcBorders>
            <w:vAlign w:val="center"/>
            <w:hideMark/>
          </w:tcPr>
          <w:p w:rsidR="008F4BDA" w:rsidRPr="008F4BDA" w:rsidRDefault="008F4BDA" w:rsidP="008F4BDA">
            <w:pPr>
              <w:widowControl/>
              <w:autoSpaceDE/>
              <w:autoSpaceDN/>
              <w:adjustRightInd/>
              <w:jc w:val="center"/>
              <w:rPr>
                <w:rFonts w:ascii="Times New Roman" w:hAnsi="Times New Roman"/>
                <w:b/>
                <w:bCs/>
                <w:color w:val="000000"/>
                <w:sz w:val="22"/>
                <w:szCs w:val="22"/>
              </w:rPr>
            </w:pPr>
          </w:p>
        </w:tc>
        <w:tc>
          <w:tcPr>
            <w:tcW w:w="1660" w:type="dxa"/>
            <w:vMerge/>
            <w:vAlign w:val="center"/>
          </w:tcPr>
          <w:p w:rsidR="008F4BDA" w:rsidRPr="008F4BDA" w:rsidRDefault="008F4BDA" w:rsidP="008F4BDA">
            <w:pPr>
              <w:widowControl/>
              <w:autoSpaceDE/>
              <w:autoSpaceDN/>
              <w:adjustRightInd/>
              <w:jc w:val="center"/>
              <w:rPr>
                <w:rFonts w:ascii="Times New Roman" w:hAnsi="Times New Roman"/>
                <w:b/>
                <w:bCs/>
                <w:color w:val="000000"/>
                <w:sz w:val="22"/>
                <w:szCs w:val="22"/>
              </w:rPr>
            </w:pPr>
          </w:p>
        </w:tc>
        <w:tc>
          <w:tcPr>
            <w:tcW w:w="1660" w:type="dxa"/>
            <w:vMerge/>
            <w:tcBorders>
              <w:right w:val="single" w:sz="18" w:space="0" w:color="auto"/>
            </w:tcBorders>
            <w:vAlign w:val="center"/>
          </w:tcPr>
          <w:p w:rsidR="008F4BDA" w:rsidRPr="008F4BDA" w:rsidRDefault="008F4BDA" w:rsidP="008F4BDA">
            <w:pPr>
              <w:widowControl/>
              <w:autoSpaceDE/>
              <w:autoSpaceDN/>
              <w:adjustRightInd/>
              <w:jc w:val="center"/>
              <w:rPr>
                <w:rFonts w:ascii="Times New Roman" w:hAnsi="Times New Roman"/>
                <w:b/>
                <w:bCs/>
                <w:color w:val="000000"/>
                <w:sz w:val="22"/>
                <w:szCs w:val="22"/>
              </w:rPr>
            </w:pPr>
          </w:p>
        </w:tc>
      </w:tr>
      <w:tr w:rsidR="008F4BDA" w:rsidRPr="008F4BDA" w:rsidTr="00DA36E4">
        <w:trPr>
          <w:trHeight w:val="315"/>
          <w:jc w:val="center"/>
        </w:trPr>
        <w:tc>
          <w:tcPr>
            <w:tcW w:w="1660" w:type="dxa"/>
            <w:tcBorders>
              <w:top w:val="single" w:sz="18" w:space="0" w:color="auto"/>
              <w:left w:val="single" w:sz="18" w:space="0" w:color="auto"/>
              <w:bottom w:val="single" w:sz="18" w:space="0" w:color="auto"/>
            </w:tcBorders>
            <w:shd w:val="clear" w:color="auto" w:fill="auto"/>
            <w:vAlign w:val="center"/>
            <w:hideMark/>
          </w:tcPr>
          <w:p w:rsidR="008F4BDA" w:rsidRPr="008F4BDA" w:rsidRDefault="008F4BDA" w:rsidP="008F4BDA">
            <w:pPr>
              <w:widowControl/>
              <w:autoSpaceDE/>
              <w:autoSpaceDN/>
              <w:adjustRightInd/>
              <w:jc w:val="center"/>
              <w:rPr>
                <w:rFonts w:ascii="Times New Roman" w:hAnsi="Times New Roman"/>
                <w:color w:val="030303"/>
                <w:sz w:val="22"/>
                <w:szCs w:val="22"/>
              </w:rPr>
            </w:pPr>
            <w:r w:rsidRPr="008F4BDA">
              <w:rPr>
                <w:rFonts w:ascii="Times New Roman" w:hAnsi="Times New Roman"/>
                <w:color w:val="030303"/>
                <w:w w:val="108"/>
                <w:sz w:val="22"/>
                <w:szCs w:val="22"/>
              </w:rPr>
              <w:t>$1.40</w:t>
            </w:r>
          </w:p>
        </w:tc>
        <w:tc>
          <w:tcPr>
            <w:tcW w:w="1660" w:type="dxa"/>
            <w:tcBorders>
              <w:top w:val="single" w:sz="18" w:space="0" w:color="auto"/>
              <w:bottom w:val="single" w:sz="18" w:space="0" w:color="auto"/>
              <w:right w:val="single" w:sz="18" w:space="0" w:color="auto"/>
            </w:tcBorders>
            <w:shd w:val="clear" w:color="auto" w:fill="auto"/>
            <w:vAlign w:val="center"/>
            <w:hideMark/>
          </w:tcPr>
          <w:p w:rsidR="008F4BDA" w:rsidRPr="008F4BDA" w:rsidRDefault="008F4BDA" w:rsidP="008F4BDA">
            <w:pPr>
              <w:widowControl/>
              <w:autoSpaceDE/>
              <w:autoSpaceDN/>
              <w:adjustRightInd/>
              <w:jc w:val="center"/>
              <w:rPr>
                <w:rFonts w:ascii="Times New Roman" w:hAnsi="Times New Roman"/>
                <w:color w:val="000000"/>
                <w:sz w:val="22"/>
                <w:szCs w:val="22"/>
              </w:rPr>
            </w:pPr>
            <w:r w:rsidRPr="008F4BDA">
              <w:rPr>
                <w:rFonts w:ascii="Times New Roman" w:hAnsi="Times New Roman"/>
                <w:color w:val="000000"/>
                <w:sz w:val="22"/>
                <w:szCs w:val="22"/>
              </w:rPr>
              <w:t>$2.10</w:t>
            </w:r>
          </w:p>
        </w:tc>
        <w:tc>
          <w:tcPr>
            <w:tcW w:w="1660" w:type="dxa"/>
            <w:tcBorders>
              <w:top w:val="single" w:sz="18" w:space="0" w:color="auto"/>
              <w:left w:val="single" w:sz="18" w:space="0" w:color="auto"/>
              <w:bottom w:val="single" w:sz="18" w:space="0" w:color="auto"/>
            </w:tcBorders>
            <w:shd w:val="clear" w:color="auto" w:fill="auto"/>
            <w:vAlign w:val="center"/>
            <w:hideMark/>
          </w:tcPr>
          <w:p w:rsidR="008F4BDA" w:rsidRPr="008F4BDA" w:rsidRDefault="008F4BDA" w:rsidP="008F4BDA">
            <w:pPr>
              <w:widowControl/>
              <w:autoSpaceDE/>
              <w:autoSpaceDN/>
              <w:adjustRightInd/>
              <w:jc w:val="center"/>
              <w:rPr>
                <w:rFonts w:ascii="Times New Roman" w:hAnsi="Times New Roman"/>
                <w:color w:val="000000"/>
                <w:sz w:val="22"/>
                <w:szCs w:val="22"/>
              </w:rPr>
            </w:pPr>
            <w:r w:rsidRPr="008F4BDA">
              <w:rPr>
                <w:rFonts w:ascii="Times New Roman" w:hAnsi="Times New Roman"/>
                <w:color w:val="000000"/>
                <w:sz w:val="22"/>
                <w:szCs w:val="22"/>
              </w:rPr>
              <w:t>$3.50</w:t>
            </w:r>
          </w:p>
        </w:tc>
        <w:tc>
          <w:tcPr>
            <w:tcW w:w="1660" w:type="dxa"/>
            <w:tcBorders>
              <w:top w:val="single" w:sz="18" w:space="0" w:color="auto"/>
              <w:bottom w:val="single" w:sz="18" w:space="0" w:color="auto"/>
            </w:tcBorders>
            <w:vAlign w:val="center"/>
          </w:tcPr>
          <w:p w:rsidR="008F4BDA" w:rsidRPr="008F4BDA" w:rsidRDefault="008F4BDA" w:rsidP="008F4BDA">
            <w:pPr>
              <w:widowControl/>
              <w:autoSpaceDE/>
              <w:autoSpaceDN/>
              <w:adjustRightInd/>
              <w:jc w:val="center"/>
              <w:rPr>
                <w:rFonts w:ascii="Times New Roman" w:hAnsi="Times New Roman"/>
                <w:color w:val="000000"/>
                <w:sz w:val="22"/>
                <w:szCs w:val="22"/>
              </w:rPr>
            </w:pPr>
            <w:r w:rsidRPr="008F4BDA">
              <w:rPr>
                <w:rFonts w:ascii="Times New Roman" w:hAnsi="Times New Roman"/>
                <w:color w:val="000000"/>
                <w:sz w:val="22"/>
                <w:szCs w:val="22"/>
              </w:rPr>
              <w:t>2,300</w:t>
            </w:r>
          </w:p>
        </w:tc>
        <w:tc>
          <w:tcPr>
            <w:tcW w:w="1660" w:type="dxa"/>
            <w:tcBorders>
              <w:top w:val="single" w:sz="18" w:space="0" w:color="auto"/>
              <w:bottom w:val="single" w:sz="18" w:space="0" w:color="auto"/>
              <w:right w:val="single" w:sz="18" w:space="0" w:color="auto"/>
            </w:tcBorders>
            <w:vAlign w:val="center"/>
          </w:tcPr>
          <w:p w:rsidR="008F4BDA" w:rsidRPr="008F4BDA" w:rsidRDefault="008F4BDA" w:rsidP="008F4BDA">
            <w:pPr>
              <w:widowControl/>
              <w:autoSpaceDE/>
              <w:autoSpaceDN/>
              <w:adjustRightInd/>
              <w:jc w:val="center"/>
              <w:rPr>
                <w:rFonts w:ascii="Times New Roman" w:hAnsi="Times New Roman"/>
                <w:color w:val="000000"/>
                <w:sz w:val="22"/>
                <w:szCs w:val="22"/>
              </w:rPr>
            </w:pPr>
            <w:r w:rsidRPr="008F4BDA">
              <w:rPr>
                <w:rFonts w:ascii="Times New Roman" w:hAnsi="Times New Roman"/>
                <w:color w:val="000000"/>
                <w:sz w:val="22"/>
                <w:szCs w:val="22"/>
              </w:rPr>
              <w:t>$8,050</w:t>
            </w:r>
          </w:p>
        </w:tc>
      </w:tr>
    </w:tbl>
    <w:p w:rsidR="008F4BDA" w:rsidRPr="008F4BDA" w:rsidRDefault="008F4BDA" w:rsidP="008F4BDA">
      <w:pPr>
        <w:widowControl/>
        <w:ind w:left="90"/>
        <w:rPr>
          <w:rFonts w:ascii="Times New Roman" w:hAnsi="Times New Roman"/>
          <w:sz w:val="24"/>
          <w:szCs w:val="24"/>
        </w:rPr>
      </w:pPr>
    </w:p>
    <w:p w:rsidR="008F4BDA" w:rsidRPr="008F4BDA" w:rsidRDefault="008F4BDA" w:rsidP="008F4BDA">
      <w:pPr>
        <w:widowControl/>
        <w:ind w:left="360"/>
        <w:rPr>
          <w:rFonts w:ascii="Times New Roman" w:hAnsi="Times New Roman"/>
          <w:bCs/>
          <w:sz w:val="24"/>
          <w:szCs w:val="24"/>
        </w:rPr>
      </w:pPr>
      <w:r w:rsidRPr="008F4BDA">
        <w:rPr>
          <w:rFonts w:ascii="Times New Roman" w:hAnsi="Times New Roman"/>
          <w:bCs/>
          <w:sz w:val="24"/>
          <w:szCs w:val="24"/>
        </w:rPr>
        <w:t xml:space="preserve">Table 8 presents the average marking cost per IEP is thus $8,050 ($3.50 × approximately 2,300 units per IEP).  The total material cost for all IEPs impacted by the marking rule is </w:t>
      </w:r>
      <w:r w:rsidRPr="008F4BDA">
        <w:rPr>
          <w:rFonts w:ascii="Times New Roman" w:hAnsi="Times New Roman"/>
          <w:b/>
          <w:bCs/>
          <w:sz w:val="24"/>
          <w:szCs w:val="24"/>
        </w:rPr>
        <w:t>$74,000</w:t>
      </w:r>
      <w:r w:rsidRPr="008F4BDA">
        <w:rPr>
          <w:rFonts w:ascii="Times New Roman" w:hAnsi="Times New Roman"/>
          <w:bCs/>
          <w:sz w:val="24"/>
          <w:szCs w:val="24"/>
        </w:rPr>
        <w:t xml:space="preserve"> ($3.50 per unit × approximately 21,000 units, rounded to the nearest thousand).    </w:t>
      </w:r>
    </w:p>
    <w:p w:rsidR="008F4BDA" w:rsidRPr="008F4BDA" w:rsidRDefault="008F4BDA" w:rsidP="008F4BDA">
      <w:pPr>
        <w:widowControl/>
        <w:rPr>
          <w:rFonts w:ascii="Times New Roman" w:hAnsi="Times New Roman"/>
        </w:rPr>
      </w:pPr>
    </w:p>
    <w:p w:rsidR="009C2D8C" w:rsidRPr="008F4BDA" w:rsidRDefault="009C2D8C" w:rsidP="009C2D8C">
      <w:pPr>
        <w:widowControl/>
        <w:tabs>
          <w:tab w:val="left" w:pos="360"/>
        </w:tabs>
        <w:ind w:firstLine="360"/>
        <w:rPr>
          <w:rFonts w:ascii="Times New Roman" w:hAnsi="Times New Roman"/>
          <w:b/>
          <w:sz w:val="24"/>
        </w:rPr>
      </w:pPr>
      <w:r w:rsidRPr="008F4BDA">
        <w:rPr>
          <w:rFonts w:ascii="Times New Roman" w:hAnsi="Times New Roman"/>
          <w:b/>
          <w:sz w:val="24"/>
        </w:rPr>
        <w:t>Summary</w:t>
      </w:r>
    </w:p>
    <w:p w:rsidR="009C2D8C" w:rsidRPr="008F4BDA" w:rsidRDefault="009C2D8C" w:rsidP="009C2D8C">
      <w:pPr>
        <w:widowControl/>
        <w:ind w:left="360"/>
        <w:rPr>
          <w:rFonts w:ascii="Times New Roman" w:hAnsi="Times New Roman"/>
          <w:b/>
          <w:sz w:val="24"/>
        </w:rPr>
      </w:pPr>
    </w:p>
    <w:p w:rsidR="009C2D8C" w:rsidRPr="008F4BDA" w:rsidRDefault="009C2D8C" w:rsidP="009C2D8C">
      <w:pPr>
        <w:widowControl/>
        <w:ind w:left="360"/>
        <w:rPr>
          <w:rFonts w:ascii="Times New Roman" w:hAnsi="Times New Roman"/>
          <w:sz w:val="24"/>
        </w:rPr>
      </w:pPr>
      <w:r w:rsidRPr="008F4BDA">
        <w:rPr>
          <w:rFonts w:ascii="Times New Roman" w:hAnsi="Times New Roman"/>
          <w:sz w:val="24"/>
        </w:rPr>
        <w:t>Table 9 presents the average cost incurred per carrier/IEP and total cost for all carriers/IEPs.  The average cost per freight-carrying carrier is estimated as a weighted average of the fleet size categories.</w:t>
      </w:r>
    </w:p>
    <w:p w:rsidR="009C2D8C" w:rsidRPr="008F4BDA" w:rsidRDefault="009C2D8C" w:rsidP="009C2D8C">
      <w:pPr>
        <w:widowControl/>
        <w:ind w:left="360"/>
        <w:rPr>
          <w:rFonts w:ascii="Times New Roman" w:hAnsi="Times New Roman"/>
          <w:sz w:val="24"/>
        </w:rPr>
      </w:pPr>
    </w:p>
    <w:p w:rsidR="009C2D8C" w:rsidRPr="008F4BDA" w:rsidRDefault="009C2D8C" w:rsidP="009C2D8C">
      <w:pPr>
        <w:widowControl/>
        <w:tabs>
          <w:tab w:val="left" w:pos="360"/>
        </w:tabs>
        <w:spacing w:after="200"/>
        <w:jc w:val="center"/>
        <w:rPr>
          <w:rFonts w:ascii="Arial" w:hAnsi="Arial" w:cs="Arial"/>
          <w:b/>
        </w:rPr>
      </w:pPr>
      <w:proofErr w:type="gramStart"/>
      <w:r w:rsidRPr="008F4BDA">
        <w:rPr>
          <w:rFonts w:ascii="Arial" w:hAnsi="Arial" w:cs="Arial"/>
          <w:b/>
        </w:rPr>
        <w:t>Table 9.</w:t>
      </w:r>
      <w:proofErr w:type="gramEnd"/>
      <w:r w:rsidRPr="008F4BDA">
        <w:rPr>
          <w:rFonts w:ascii="Arial" w:hAnsi="Arial" w:cs="Arial"/>
          <w:b/>
        </w:rPr>
        <w:t xml:space="preserve"> Total Annual Costs to Respondents</w:t>
      </w:r>
    </w:p>
    <w:tbl>
      <w:tblPr>
        <w:tblW w:w="6380" w:type="dxa"/>
        <w:jc w:val="center"/>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40"/>
        <w:gridCol w:w="1960"/>
        <w:gridCol w:w="2380"/>
      </w:tblGrid>
      <w:tr w:rsidR="009C2D8C" w:rsidRPr="008F4BDA" w:rsidTr="00D603C5">
        <w:trPr>
          <w:trHeight w:val="570"/>
          <w:jc w:val="center"/>
        </w:trPr>
        <w:tc>
          <w:tcPr>
            <w:tcW w:w="2040" w:type="dxa"/>
            <w:tcBorders>
              <w:top w:val="single" w:sz="18" w:space="0" w:color="auto"/>
              <w:left w:val="single" w:sz="18" w:space="0" w:color="auto"/>
              <w:bottom w:val="single" w:sz="12" w:space="0" w:color="auto"/>
              <w:right w:val="single" w:sz="12" w:space="0" w:color="auto"/>
            </w:tcBorders>
            <w:shd w:val="clear" w:color="auto" w:fill="D9D9D9"/>
            <w:noWrap/>
            <w:vAlign w:val="center"/>
            <w:hideMark/>
          </w:tcPr>
          <w:p w:rsidR="009C2D8C" w:rsidRPr="008F4BDA" w:rsidRDefault="009C2D8C" w:rsidP="00D603C5">
            <w:pPr>
              <w:widowControl/>
              <w:autoSpaceDE/>
              <w:autoSpaceDN/>
              <w:adjustRightInd/>
              <w:jc w:val="center"/>
              <w:rPr>
                <w:rFonts w:ascii="Times New Roman" w:hAnsi="Times New Roman"/>
                <w:b/>
                <w:bCs/>
                <w:color w:val="000000"/>
                <w:sz w:val="22"/>
                <w:szCs w:val="22"/>
              </w:rPr>
            </w:pPr>
            <w:r w:rsidRPr="008F4BDA">
              <w:rPr>
                <w:rFonts w:ascii="Times New Roman" w:hAnsi="Times New Roman"/>
                <w:b/>
                <w:bCs/>
                <w:color w:val="000000"/>
                <w:sz w:val="22"/>
                <w:szCs w:val="22"/>
              </w:rPr>
              <w:t> </w:t>
            </w:r>
          </w:p>
        </w:tc>
        <w:tc>
          <w:tcPr>
            <w:tcW w:w="1960" w:type="dxa"/>
            <w:tcBorders>
              <w:top w:val="single" w:sz="18" w:space="0" w:color="auto"/>
              <w:left w:val="single" w:sz="12" w:space="0" w:color="auto"/>
            </w:tcBorders>
            <w:shd w:val="clear" w:color="auto" w:fill="D9D9D9"/>
            <w:vAlign w:val="center"/>
            <w:hideMark/>
          </w:tcPr>
          <w:p w:rsidR="009C2D8C" w:rsidRPr="008F4BDA" w:rsidRDefault="009C2D8C" w:rsidP="00D603C5">
            <w:pPr>
              <w:widowControl/>
              <w:autoSpaceDE/>
              <w:autoSpaceDN/>
              <w:adjustRightInd/>
              <w:jc w:val="center"/>
              <w:rPr>
                <w:rFonts w:ascii="Times New Roman" w:hAnsi="Times New Roman"/>
                <w:b/>
                <w:bCs/>
                <w:color w:val="000000"/>
                <w:sz w:val="22"/>
                <w:szCs w:val="22"/>
              </w:rPr>
            </w:pPr>
            <w:r w:rsidRPr="008F4BDA">
              <w:rPr>
                <w:rFonts w:ascii="Times New Roman" w:hAnsi="Times New Roman"/>
                <w:b/>
                <w:bCs/>
                <w:color w:val="000000"/>
                <w:sz w:val="22"/>
                <w:szCs w:val="22"/>
              </w:rPr>
              <w:t>Average Cost per Carrier/IEP</w:t>
            </w:r>
          </w:p>
        </w:tc>
        <w:tc>
          <w:tcPr>
            <w:tcW w:w="2380" w:type="dxa"/>
            <w:tcBorders>
              <w:top w:val="single" w:sz="18" w:space="0" w:color="auto"/>
              <w:right w:val="single" w:sz="18" w:space="0" w:color="auto"/>
            </w:tcBorders>
            <w:shd w:val="clear" w:color="auto" w:fill="D9D9D9"/>
            <w:vAlign w:val="center"/>
            <w:hideMark/>
          </w:tcPr>
          <w:p w:rsidR="009C2D8C" w:rsidRPr="008F4BDA" w:rsidRDefault="009C2D8C" w:rsidP="00D603C5">
            <w:pPr>
              <w:widowControl/>
              <w:autoSpaceDE/>
              <w:autoSpaceDN/>
              <w:adjustRightInd/>
              <w:jc w:val="center"/>
              <w:rPr>
                <w:rFonts w:ascii="Times New Roman" w:hAnsi="Times New Roman"/>
                <w:b/>
                <w:bCs/>
                <w:color w:val="000000"/>
                <w:sz w:val="22"/>
                <w:szCs w:val="22"/>
              </w:rPr>
            </w:pPr>
            <w:r w:rsidRPr="008F4BDA">
              <w:rPr>
                <w:rFonts w:ascii="Times New Roman" w:hAnsi="Times New Roman"/>
                <w:b/>
                <w:bCs/>
                <w:color w:val="000000"/>
                <w:sz w:val="22"/>
                <w:szCs w:val="22"/>
              </w:rPr>
              <w:t>Cost for all Carriers/IEPs</w:t>
            </w:r>
          </w:p>
        </w:tc>
      </w:tr>
      <w:tr w:rsidR="009C2D8C" w:rsidRPr="008F4BDA" w:rsidTr="00D603C5">
        <w:trPr>
          <w:trHeight w:val="300"/>
          <w:jc w:val="center"/>
        </w:trPr>
        <w:tc>
          <w:tcPr>
            <w:tcW w:w="2040" w:type="dxa"/>
            <w:tcBorders>
              <w:top w:val="single" w:sz="18" w:space="0" w:color="auto"/>
              <w:left w:val="single" w:sz="18" w:space="0" w:color="auto"/>
            </w:tcBorders>
            <w:shd w:val="clear" w:color="auto" w:fill="auto"/>
            <w:noWrap/>
            <w:vAlign w:val="center"/>
            <w:hideMark/>
          </w:tcPr>
          <w:p w:rsidR="009C2D8C" w:rsidRPr="008F4BDA" w:rsidRDefault="009C2D8C" w:rsidP="00D603C5">
            <w:pPr>
              <w:widowControl/>
              <w:autoSpaceDE/>
              <w:autoSpaceDN/>
              <w:adjustRightInd/>
              <w:jc w:val="center"/>
              <w:rPr>
                <w:rFonts w:ascii="Times New Roman" w:hAnsi="Times New Roman"/>
                <w:b/>
                <w:bCs/>
                <w:color w:val="000000"/>
                <w:sz w:val="22"/>
                <w:szCs w:val="22"/>
              </w:rPr>
            </w:pPr>
            <w:r w:rsidRPr="008F4BDA">
              <w:rPr>
                <w:rFonts w:ascii="Times New Roman" w:hAnsi="Times New Roman"/>
                <w:b/>
                <w:bCs/>
                <w:color w:val="000000"/>
                <w:sz w:val="22"/>
                <w:szCs w:val="22"/>
              </w:rPr>
              <w:t>Freight Carriers</w:t>
            </w:r>
          </w:p>
        </w:tc>
        <w:tc>
          <w:tcPr>
            <w:tcW w:w="1960" w:type="dxa"/>
            <w:tcBorders>
              <w:top w:val="single" w:sz="18" w:space="0" w:color="auto"/>
            </w:tcBorders>
            <w:shd w:val="clear" w:color="auto" w:fill="auto"/>
            <w:noWrap/>
            <w:vAlign w:val="center"/>
            <w:hideMark/>
          </w:tcPr>
          <w:p w:rsidR="009C2D8C" w:rsidRPr="008F4BDA" w:rsidRDefault="009C2D8C" w:rsidP="00D603C5">
            <w:pPr>
              <w:widowControl/>
              <w:autoSpaceDE/>
              <w:autoSpaceDN/>
              <w:adjustRightInd/>
              <w:jc w:val="center"/>
              <w:rPr>
                <w:rFonts w:ascii="Times New Roman" w:hAnsi="Times New Roman"/>
                <w:color w:val="000000"/>
                <w:sz w:val="22"/>
                <w:szCs w:val="22"/>
              </w:rPr>
            </w:pPr>
            <w:r w:rsidRPr="008F4BDA">
              <w:rPr>
                <w:rFonts w:ascii="Times New Roman" w:hAnsi="Times New Roman"/>
                <w:color w:val="000000"/>
                <w:sz w:val="22"/>
                <w:szCs w:val="22"/>
              </w:rPr>
              <w:t>$131.32</w:t>
            </w:r>
          </w:p>
        </w:tc>
        <w:tc>
          <w:tcPr>
            <w:tcW w:w="2380" w:type="dxa"/>
            <w:tcBorders>
              <w:top w:val="single" w:sz="18" w:space="0" w:color="auto"/>
              <w:right w:val="single" w:sz="18" w:space="0" w:color="auto"/>
            </w:tcBorders>
            <w:shd w:val="clear" w:color="auto" w:fill="auto"/>
            <w:noWrap/>
            <w:vAlign w:val="center"/>
            <w:hideMark/>
          </w:tcPr>
          <w:p w:rsidR="009C2D8C" w:rsidRPr="008F4BDA" w:rsidRDefault="009C2D8C" w:rsidP="00D603C5">
            <w:pPr>
              <w:widowControl/>
              <w:autoSpaceDE/>
              <w:autoSpaceDN/>
              <w:adjustRightInd/>
              <w:jc w:val="center"/>
              <w:rPr>
                <w:rFonts w:ascii="Times New Roman" w:hAnsi="Times New Roman"/>
                <w:color w:val="000000"/>
                <w:sz w:val="22"/>
                <w:szCs w:val="22"/>
              </w:rPr>
            </w:pPr>
            <w:r w:rsidRPr="008F4BDA">
              <w:rPr>
                <w:rFonts w:ascii="Times New Roman" w:hAnsi="Times New Roman"/>
                <w:color w:val="000000"/>
                <w:sz w:val="22"/>
                <w:szCs w:val="22"/>
              </w:rPr>
              <w:t>$20,701,000</w:t>
            </w:r>
          </w:p>
        </w:tc>
      </w:tr>
      <w:tr w:rsidR="009C2D8C" w:rsidRPr="008F4BDA" w:rsidTr="00D603C5">
        <w:trPr>
          <w:trHeight w:val="300"/>
          <w:jc w:val="center"/>
        </w:trPr>
        <w:tc>
          <w:tcPr>
            <w:tcW w:w="2040" w:type="dxa"/>
            <w:tcBorders>
              <w:left w:val="single" w:sz="18" w:space="0" w:color="auto"/>
            </w:tcBorders>
            <w:shd w:val="clear" w:color="auto" w:fill="auto"/>
            <w:noWrap/>
            <w:vAlign w:val="center"/>
            <w:hideMark/>
          </w:tcPr>
          <w:p w:rsidR="009C2D8C" w:rsidRPr="008F4BDA" w:rsidRDefault="009C2D8C" w:rsidP="00D603C5">
            <w:pPr>
              <w:widowControl/>
              <w:autoSpaceDE/>
              <w:autoSpaceDN/>
              <w:adjustRightInd/>
              <w:jc w:val="center"/>
              <w:rPr>
                <w:rFonts w:ascii="Times New Roman" w:hAnsi="Times New Roman"/>
                <w:b/>
                <w:bCs/>
                <w:color w:val="000000"/>
                <w:sz w:val="22"/>
                <w:szCs w:val="22"/>
              </w:rPr>
            </w:pPr>
            <w:r w:rsidRPr="008F4BDA">
              <w:rPr>
                <w:rFonts w:ascii="Times New Roman" w:hAnsi="Times New Roman"/>
                <w:b/>
                <w:bCs/>
                <w:color w:val="000000"/>
                <w:sz w:val="22"/>
                <w:szCs w:val="22"/>
              </w:rPr>
              <w:t>Passenger Carriers</w:t>
            </w:r>
          </w:p>
        </w:tc>
        <w:tc>
          <w:tcPr>
            <w:tcW w:w="1960" w:type="dxa"/>
            <w:shd w:val="clear" w:color="auto" w:fill="auto"/>
            <w:noWrap/>
            <w:vAlign w:val="center"/>
            <w:hideMark/>
          </w:tcPr>
          <w:p w:rsidR="009C2D8C" w:rsidRPr="008F4BDA" w:rsidRDefault="009C2D8C" w:rsidP="00D603C5">
            <w:pPr>
              <w:widowControl/>
              <w:autoSpaceDE/>
              <w:autoSpaceDN/>
              <w:adjustRightInd/>
              <w:jc w:val="center"/>
              <w:rPr>
                <w:rFonts w:ascii="Times New Roman" w:hAnsi="Times New Roman"/>
                <w:color w:val="000000"/>
                <w:sz w:val="22"/>
                <w:szCs w:val="22"/>
              </w:rPr>
            </w:pPr>
            <w:r w:rsidRPr="008F4BDA">
              <w:rPr>
                <w:rFonts w:ascii="Times New Roman" w:hAnsi="Times New Roman"/>
                <w:color w:val="000000"/>
                <w:sz w:val="22"/>
                <w:szCs w:val="22"/>
              </w:rPr>
              <w:t>$378.50</w:t>
            </w:r>
          </w:p>
        </w:tc>
        <w:tc>
          <w:tcPr>
            <w:tcW w:w="2380" w:type="dxa"/>
            <w:tcBorders>
              <w:right w:val="single" w:sz="18" w:space="0" w:color="auto"/>
            </w:tcBorders>
            <w:shd w:val="clear" w:color="auto" w:fill="auto"/>
            <w:noWrap/>
            <w:vAlign w:val="center"/>
            <w:hideMark/>
          </w:tcPr>
          <w:p w:rsidR="009C2D8C" w:rsidRPr="008F4BDA" w:rsidRDefault="009C2D8C" w:rsidP="00D603C5">
            <w:pPr>
              <w:widowControl/>
              <w:autoSpaceDE/>
              <w:autoSpaceDN/>
              <w:adjustRightInd/>
              <w:jc w:val="center"/>
              <w:rPr>
                <w:rFonts w:ascii="Times New Roman" w:hAnsi="Times New Roman"/>
                <w:color w:val="000000"/>
                <w:sz w:val="22"/>
                <w:szCs w:val="22"/>
              </w:rPr>
            </w:pPr>
            <w:r w:rsidRPr="008F4BDA">
              <w:rPr>
                <w:rFonts w:ascii="Times New Roman" w:hAnsi="Times New Roman"/>
                <w:color w:val="000000"/>
                <w:sz w:val="22"/>
                <w:szCs w:val="22"/>
              </w:rPr>
              <w:t>$1,668,000</w:t>
            </w:r>
          </w:p>
        </w:tc>
      </w:tr>
      <w:tr w:rsidR="009C2D8C" w:rsidRPr="008F4BDA" w:rsidTr="00D603C5">
        <w:trPr>
          <w:trHeight w:val="300"/>
          <w:jc w:val="center"/>
        </w:trPr>
        <w:tc>
          <w:tcPr>
            <w:tcW w:w="2040" w:type="dxa"/>
            <w:tcBorders>
              <w:left w:val="single" w:sz="18" w:space="0" w:color="auto"/>
            </w:tcBorders>
            <w:shd w:val="clear" w:color="auto" w:fill="auto"/>
            <w:noWrap/>
            <w:vAlign w:val="center"/>
            <w:hideMark/>
          </w:tcPr>
          <w:p w:rsidR="009C2D8C" w:rsidRPr="008F4BDA" w:rsidRDefault="009C2D8C" w:rsidP="00D603C5">
            <w:pPr>
              <w:widowControl/>
              <w:autoSpaceDE/>
              <w:autoSpaceDN/>
              <w:adjustRightInd/>
              <w:jc w:val="center"/>
              <w:rPr>
                <w:rFonts w:ascii="Times New Roman" w:hAnsi="Times New Roman"/>
                <w:b/>
                <w:bCs/>
                <w:color w:val="000000"/>
                <w:sz w:val="22"/>
                <w:szCs w:val="22"/>
              </w:rPr>
            </w:pPr>
            <w:r w:rsidRPr="008F4BDA">
              <w:rPr>
                <w:rFonts w:ascii="Times New Roman" w:hAnsi="Times New Roman"/>
                <w:b/>
                <w:bCs/>
                <w:color w:val="000000"/>
                <w:sz w:val="22"/>
                <w:szCs w:val="22"/>
              </w:rPr>
              <w:t>IEPs</w:t>
            </w:r>
          </w:p>
        </w:tc>
        <w:tc>
          <w:tcPr>
            <w:tcW w:w="1960" w:type="dxa"/>
            <w:shd w:val="clear" w:color="auto" w:fill="auto"/>
            <w:noWrap/>
            <w:vAlign w:val="center"/>
            <w:hideMark/>
          </w:tcPr>
          <w:p w:rsidR="009C2D8C" w:rsidRPr="008F4BDA" w:rsidRDefault="009C2D8C" w:rsidP="00D603C5">
            <w:pPr>
              <w:widowControl/>
              <w:autoSpaceDE/>
              <w:autoSpaceDN/>
              <w:adjustRightInd/>
              <w:jc w:val="center"/>
              <w:rPr>
                <w:rFonts w:ascii="Times New Roman" w:hAnsi="Times New Roman"/>
                <w:color w:val="000000"/>
                <w:sz w:val="22"/>
                <w:szCs w:val="22"/>
              </w:rPr>
            </w:pPr>
            <w:r w:rsidRPr="008F4BDA">
              <w:rPr>
                <w:rFonts w:ascii="Times New Roman" w:hAnsi="Times New Roman"/>
                <w:color w:val="000000"/>
                <w:sz w:val="22"/>
                <w:szCs w:val="22"/>
              </w:rPr>
              <w:t>$3.50</w:t>
            </w:r>
          </w:p>
        </w:tc>
        <w:tc>
          <w:tcPr>
            <w:tcW w:w="2380" w:type="dxa"/>
            <w:tcBorders>
              <w:right w:val="single" w:sz="18" w:space="0" w:color="auto"/>
            </w:tcBorders>
            <w:shd w:val="clear" w:color="auto" w:fill="auto"/>
            <w:noWrap/>
            <w:vAlign w:val="center"/>
            <w:hideMark/>
          </w:tcPr>
          <w:p w:rsidR="009C2D8C" w:rsidRPr="008F4BDA" w:rsidRDefault="009C2D8C" w:rsidP="00D603C5">
            <w:pPr>
              <w:widowControl/>
              <w:autoSpaceDE/>
              <w:autoSpaceDN/>
              <w:adjustRightInd/>
              <w:jc w:val="center"/>
              <w:rPr>
                <w:rFonts w:ascii="Times New Roman" w:hAnsi="Times New Roman"/>
                <w:color w:val="000000"/>
                <w:sz w:val="22"/>
                <w:szCs w:val="22"/>
              </w:rPr>
            </w:pPr>
            <w:r w:rsidRPr="008F4BDA">
              <w:rPr>
                <w:rFonts w:ascii="Times New Roman" w:hAnsi="Times New Roman"/>
                <w:color w:val="000000"/>
                <w:sz w:val="22"/>
                <w:szCs w:val="22"/>
              </w:rPr>
              <w:t>$74,000</w:t>
            </w:r>
          </w:p>
        </w:tc>
      </w:tr>
      <w:tr w:rsidR="009C2D8C" w:rsidRPr="008F4BDA" w:rsidTr="00D603C5">
        <w:trPr>
          <w:trHeight w:val="300"/>
          <w:jc w:val="center"/>
        </w:trPr>
        <w:tc>
          <w:tcPr>
            <w:tcW w:w="2040" w:type="dxa"/>
            <w:tcBorders>
              <w:left w:val="single" w:sz="18" w:space="0" w:color="auto"/>
              <w:bottom w:val="single" w:sz="18" w:space="0" w:color="auto"/>
            </w:tcBorders>
            <w:shd w:val="clear" w:color="auto" w:fill="auto"/>
            <w:noWrap/>
            <w:vAlign w:val="center"/>
            <w:hideMark/>
          </w:tcPr>
          <w:p w:rsidR="009C2D8C" w:rsidRPr="008F4BDA" w:rsidRDefault="009C2D8C" w:rsidP="00D603C5">
            <w:pPr>
              <w:widowControl/>
              <w:autoSpaceDE/>
              <w:autoSpaceDN/>
              <w:adjustRightInd/>
              <w:jc w:val="center"/>
              <w:rPr>
                <w:rFonts w:ascii="Times New Roman" w:hAnsi="Times New Roman"/>
                <w:b/>
                <w:bCs/>
                <w:color w:val="000000"/>
                <w:sz w:val="22"/>
                <w:szCs w:val="22"/>
              </w:rPr>
            </w:pPr>
            <w:r w:rsidRPr="008F4BDA">
              <w:rPr>
                <w:rFonts w:ascii="Times New Roman" w:hAnsi="Times New Roman"/>
                <w:b/>
                <w:bCs/>
                <w:color w:val="000000"/>
                <w:sz w:val="22"/>
                <w:szCs w:val="22"/>
              </w:rPr>
              <w:t>Total Cost</w:t>
            </w:r>
          </w:p>
        </w:tc>
        <w:tc>
          <w:tcPr>
            <w:tcW w:w="1960" w:type="dxa"/>
            <w:tcBorders>
              <w:bottom w:val="single" w:sz="18" w:space="0" w:color="auto"/>
            </w:tcBorders>
            <w:shd w:val="clear" w:color="auto" w:fill="auto"/>
            <w:noWrap/>
            <w:vAlign w:val="center"/>
            <w:hideMark/>
          </w:tcPr>
          <w:p w:rsidR="009C2D8C" w:rsidRPr="008F4BDA" w:rsidRDefault="009C2D8C" w:rsidP="00D603C5">
            <w:pPr>
              <w:widowControl/>
              <w:autoSpaceDE/>
              <w:autoSpaceDN/>
              <w:adjustRightInd/>
              <w:jc w:val="center"/>
              <w:rPr>
                <w:rFonts w:ascii="Times New Roman" w:hAnsi="Times New Roman"/>
                <w:b/>
                <w:bCs/>
                <w:color w:val="000000"/>
                <w:sz w:val="22"/>
                <w:szCs w:val="22"/>
              </w:rPr>
            </w:pPr>
            <w:r w:rsidRPr="008F4BDA">
              <w:rPr>
                <w:rFonts w:ascii="Times New Roman" w:hAnsi="Times New Roman"/>
                <w:b/>
                <w:bCs/>
                <w:color w:val="000000"/>
                <w:sz w:val="22"/>
                <w:szCs w:val="22"/>
              </w:rPr>
              <w:t>$115.94</w:t>
            </w:r>
          </w:p>
        </w:tc>
        <w:tc>
          <w:tcPr>
            <w:tcW w:w="2380" w:type="dxa"/>
            <w:tcBorders>
              <w:bottom w:val="single" w:sz="18" w:space="0" w:color="auto"/>
              <w:right w:val="single" w:sz="18" w:space="0" w:color="auto"/>
            </w:tcBorders>
            <w:shd w:val="clear" w:color="auto" w:fill="auto"/>
            <w:noWrap/>
            <w:vAlign w:val="center"/>
            <w:hideMark/>
          </w:tcPr>
          <w:p w:rsidR="009C2D8C" w:rsidRPr="008F4BDA" w:rsidRDefault="009C2D8C" w:rsidP="00D603C5">
            <w:pPr>
              <w:widowControl/>
              <w:autoSpaceDE/>
              <w:autoSpaceDN/>
              <w:adjustRightInd/>
              <w:jc w:val="center"/>
              <w:rPr>
                <w:rFonts w:ascii="Times New Roman" w:hAnsi="Times New Roman"/>
                <w:b/>
                <w:bCs/>
                <w:color w:val="000000"/>
                <w:sz w:val="22"/>
                <w:szCs w:val="22"/>
              </w:rPr>
            </w:pPr>
            <w:r w:rsidRPr="008F4BDA">
              <w:rPr>
                <w:rFonts w:ascii="Times New Roman" w:hAnsi="Times New Roman"/>
                <w:b/>
                <w:bCs/>
                <w:color w:val="000000"/>
                <w:sz w:val="22"/>
                <w:szCs w:val="22"/>
              </w:rPr>
              <w:t>$22,443,000</w:t>
            </w:r>
          </w:p>
        </w:tc>
      </w:tr>
    </w:tbl>
    <w:p w:rsidR="009C2D8C" w:rsidRPr="008F4BDA" w:rsidRDefault="009C2D8C" w:rsidP="009C2D8C">
      <w:pPr>
        <w:widowControl/>
        <w:tabs>
          <w:tab w:val="left" w:pos="360"/>
        </w:tabs>
        <w:rPr>
          <w:rFonts w:ascii="Times New Roman" w:hAnsi="Times New Roman"/>
          <w:b/>
          <w:sz w:val="24"/>
        </w:rPr>
      </w:pPr>
      <w:r w:rsidRPr="008F4BDA">
        <w:rPr>
          <w:rFonts w:ascii="Times New Roman" w:hAnsi="Times New Roman"/>
          <w:b/>
          <w:sz w:val="24"/>
        </w:rPr>
        <w:tab/>
      </w:r>
      <w:r w:rsidRPr="008F4BDA">
        <w:rPr>
          <w:rFonts w:ascii="Times New Roman" w:hAnsi="Times New Roman"/>
          <w:b/>
          <w:sz w:val="24"/>
        </w:rPr>
        <w:tab/>
      </w:r>
    </w:p>
    <w:p w:rsidR="00150900" w:rsidRDefault="00150900" w:rsidP="00150900">
      <w:pPr>
        <w:widowControl/>
        <w:tabs>
          <w:tab w:val="left" w:pos="360"/>
        </w:tabs>
        <w:ind w:firstLine="360"/>
        <w:rPr>
          <w:rFonts w:ascii="Times New Roman" w:hAnsi="Times New Roman"/>
          <w:b/>
          <w:sz w:val="24"/>
        </w:rPr>
      </w:pPr>
    </w:p>
    <w:p w:rsidR="008F4BDA" w:rsidRPr="00150900" w:rsidRDefault="008F4BDA" w:rsidP="00150900">
      <w:pPr>
        <w:pStyle w:val="ListParagraph"/>
        <w:widowControl/>
        <w:numPr>
          <w:ilvl w:val="0"/>
          <w:numId w:val="31"/>
        </w:numPr>
        <w:tabs>
          <w:tab w:val="left" w:pos="360"/>
        </w:tabs>
        <w:rPr>
          <w:rFonts w:ascii="Times New Roman" w:hAnsi="Times New Roman"/>
          <w:b/>
          <w:sz w:val="24"/>
          <w:szCs w:val="24"/>
        </w:rPr>
      </w:pPr>
      <w:r w:rsidRPr="00150900">
        <w:rPr>
          <w:rFonts w:ascii="Times New Roman" w:hAnsi="Times New Roman"/>
          <w:b/>
          <w:bCs/>
          <w:sz w:val="24"/>
          <w:szCs w:val="24"/>
        </w:rPr>
        <w:t>ESTIMATE OF COST TO THE FEDERAL GOVERNMENT</w:t>
      </w:r>
    </w:p>
    <w:p w:rsidR="008F4BDA" w:rsidRPr="008F4BDA" w:rsidRDefault="008F4BDA" w:rsidP="008F4BDA">
      <w:pPr>
        <w:widowControl/>
        <w:ind w:left="360"/>
        <w:rPr>
          <w:rFonts w:ascii="Times New Roman" w:hAnsi="Times New Roman"/>
          <w:sz w:val="24"/>
          <w:szCs w:val="24"/>
        </w:rPr>
      </w:pPr>
      <w:r w:rsidRPr="008F4BDA">
        <w:rPr>
          <w:rFonts w:ascii="Times New Roman" w:hAnsi="Times New Roman"/>
          <w:b/>
          <w:sz w:val="24"/>
          <w:szCs w:val="24"/>
        </w:rPr>
        <w:br/>
      </w:r>
      <w:proofErr w:type="gramStart"/>
      <w:r w:rsidRPr="008F4BDA">
        <w:rPr>
          <w:rFonts w:ascii="Times New Roman" w:hAnsi="Times New Roman"/>
          <w:sz w:val="24"/>
          <w:szCs w:val="24"/>
        </w:rPr>
        <w:t>None.</w:t>
      </w:r>
      <w:proofErr w:type="gramEnd"/>
      <w:r w:rsidRPr="008F4BDA">
        <w:rPr>
          <w:rFonts w:ascii="Times New Roman" w:hAnsi="Times New Roman"/>
          <w:sz w:val="24"/>
          <w:szCs w:val="24"/>
        </w:rPr>
        <w:t xml:space="preserve"> The cost of educating the motor carriers and lessees of the marking requirements and the enforcement of those requirements at the roadside during crash and compliance investigations would be covered by existing personnel without further impact to the government.</w:t>
      </w:r>
    </w:p>
    <w:p w:rsidR="008F4BDA" w:rsidRPr="008F4BDA" w:rsidRDefault="008F4BDA" w:rsidP="008F4BDA">
      <w:pPr>
        <w:widowControl/>
        <w:ind w:left="360"/>
        <w:rPr>
          <w:rFonts w:ascii="Times New Roman" w:hAnsi="Times New Roman"/>
          <w:b/>
          <w:sz w:val="24"/>
          <w:szCs w:val="24"/>
        </w:rPr>
      </w:pPr>
    </w:p>
    <w:p w:rsidR="008F4BDA" w:rsidRPr="008F4BDA" w:rsidRDefault="008F4BDA" w:rsidP="008F4BDA">
      <w:pPr>
        <w:widowControl/>
        <w:numPr>
          <w:ilvl w:val="0"/>
          <w:numId w:val="31"/>
        </w:numPr>
        <w:rPr>
          <w:rFonts w:ascii="Times New Roman" w:hAnsi="Times New Roman"/>
          <w:bCs/>
          <w:sz w:val="24"/>
          <w:szCs w:val="24"/>
        </w:rPr>
      </w:pPr>
      <w:r w:rsidRPr="008F4BDA">
        <w:rPr>
          <w:rFonts w:ascii="Times New Roman" w:hAnsi="Times New Roman"/>
          <w:b/>
          <w:bCs/>
          <w:sz w:val="24"/>
          <w:szCs w:val="24"/>
        </w:rPr>
        <w:t>EXPLANATION OF PROGRAM CHANGES OR ADJUSTMENTS</w:t>
      </w:r>
      <w:r w:rsidRPr="008F4BDA">
        <w:rPr>
          <w:rFonts w:ascii="Times New Roman" w:hAnsi="Times New Roman"/>
          <w:bCs/>
          <w:sz w:val="24"/>
          <w:szCs w:val="24"/>
          <w:u w:val="single"/>
        </w:rPr>
        <w:br/>
      </w:r>
    </w:p>
    <w:p w:rsidR="008F4BDA" w:rsidRPr="008F4BDA" w:rsidRDefault="008F4BDA" w:rsidP="008F4BDA">
      <w:pPr>
        <w:widowControl/>
        <w:ind w:left="360"/>
        <w:rPr>
          <w:rFonts w:ascii="Times New Roman" w:hAnsi="Times New Roman"/>
          <w:bCs/>
          <w:sz w:val="24"/>
          <w:szCs w:val="24"/>
        </w:rPr>
      </w:pPr>
      <w:r w:rsidRPr="008F4BDA">
        <w:rPr>
          <w:rFonts w:ascii="Times New Roman" w:hAnsi="Times New Roman"/>
          <w:bCs/>
          <w:sz w:val="24"/>
          <w:szCs w:val="24"/>
        </w:rPr>
        <w:t xml:space="preserve">This is a new ICR for CMV marking requirements. </w:t>
      </w:r>
    </w:p>
    <w:p w:rsidR="008F4BDA" w:rsidRPr="008F4BDA" w:rsidRDefault="008F4BDA" w:rsidP="008F4BDA">
      <w:pPr>
        <w:widowControl/>
        <w:rPr>
          <w:rFonts w:ascii="Times New Roman" w:hAnsi="Times New Roman"/>
          <w:bCs/>
          <w:sz w:val="24"/>
          <w:szCs w:val="24"/>
        </w:rPr>
      </w:pPr>
    </w:p>
    <w:p w:rsidR="008F4BDA" w:rsidRPr="008F4BDA" w:rsidRDefault="008F4BDA" w:rsidP="008F4BDA">
      <w:pPr>
        <w:widowControl/>
        <w:numPr>
          <w:ilvl w:val="0"/>
          <w:numId w:val="31"/>
        </w:numPr>
        <w:rPr>
          <w:rFonts w:ascii="Times New Roman" w:hAnsi="Times New Roman"/>
          <w:b/>
          <w:sz w:val="24"/>
          <w:szCs w:val="24"/>
        </w:rPr>
      </w:pPr>
      <w:r w:rsidRPr="008F4BDA">
        <w:rPr>
          <w:rFonts w:ascii="Times New Roman" w:hAnsi="Times New Roman"/>
          <w:b/>
          <w:bCs/>
          <w:sz w:val="24"/>
          <w:szCs w:val="24"/>
        </w:rPr>
        <w:t>PUBLICATION OF RESULTS OF DATA COLLECTION</w:t>
      </w:r>
      <w:r w:rsidRPr="008F4BDA">
        <w:rPr>
          <w:rFonts w:ascii="Times New Roman" w:hAnsi="Times New Roman"/>
          <w:b/>
          <w:sz w:val="24"/>
          <w:szCs w:val="24"/>
        </w:rPr>
        <w:br/>
      </w:r>
    </w:p>
    <w:p w:rsidR="008F4BDA" w:rsidRPr="008F4BDA" w:rsidRDefault="008F4BDA" w:rsidP="008F4BDA">
      <w:pPr>
        <w:widowControl/>
        <w:rPr>
          <w:rFonts w:ascii="Times New Roman" w:hAnsi="Times New Roman"/>
          <w:sz w:val="24"/>
          <w:szCs w:val="24"/>
        </w:rPr>
      </w:pPr>
      <w:r w:rsidRPr="008F4BDA">
        <w:rPr>
          <w:rFonts w:ascii="Times New Roman" w:hAnsi="Times New Roman"/>
          <w:b/>
          <w:sz w:val="24"/>
          <w:szCs w:val="24"/>
        </w:rPr>
        <w:t xml:space="preserve">      </w:t>
      </w:r>
      <w:r w:rsidRPr="008F4BDA">
        <w:rPr>
          <w:rFonts w:ascii="Times New Roman" w:hAnsi="Times New Roman"/>
          <w:sz w:val="24"/>
          <w:szCs w:val="24"/>
        </w:rPr>
        <w:t>The results of this ICR will not be published.</w:t>
      </w:r>
    </w:p>
    <w:p w:rsidR="008F4BDA" w:rsidRDefault="008F4BDA" w:rsidP="008F4BDA">
      <w:pPr>
        <w:widowControl/>
        <w:rPr>
          <w:rFonts w:ascii="Times New Roman" w:hAnsi="Times New Roman"/>
          <w:sz w:val="24"/>
          <w:szCs w:val="24"/>
        </w:rPr>
      </w:pPr>
      <w:r w:rsidRPr="008F4BDA">
        <w:rPr>
          <w:rFonts w:ascii="Times New Roman" w:hAnsi="Times New Roman"/>
          <w:sz w:val="24"/>
          <w:szCs w:val="24"/>
        </w:rPr>
        <w:t xml:space="preserve"> </w:t>
      </w:r>
    </w:p>
    <w:p w:rsidR="008F4BDA" w:rsidRPr="008F4BDA" w:rsidRDefault="008F4BDA" w:rsidP="008F4BDA">
      <w:pPr>
        <w:keepNext/>
        <w:widowControl/>
        <w:numPr>
          <w:ilvl w:val="0"/>
          <w:numId w:val="31"/>
        </w:numPr>
        <w:rPr>
          <w:rFonts w:ascii="Times New Roman" w:hAnsi="Times New Roman"/>
          <w:bCs/>
          <w:sz w:val="24"/>
        </w:rPr>
      </w:pPr>
      <w:r w:rsidRPr="008F4BDA">
        <w:rPr>
          <w:rFonts w:ascii="Times New Roman" w:hAnsi="Times New Roman"/>
          <w:b/>
          <w:bCs/>
          <w:sz w:val="24"/>
        </w:rPr>
        <w:t>APPROVAL FOR NOT DISPLAYING THE EXPIRATION DATE OF OMB APPROVAL</w:t>
      </w:r>
    </w:p>
    <w:p w:rsidR="008F4BDA" w:rsidRPr="008F4BDA" w:rsidRDefault="008F4BDA" w:rsidP="008F4BDA">
      <w:pPr>
        <w:keepNext/>
        <w:widowControl/>
        <w:ind w:left="360"/>
        <w:rPr>
          <w:rFonts w:ascii="Times New Roman" w:hAnsi="Times New Roman"/>
          <w:bCs/>
          <w:sz w:val="24"/>
        </w:rPr>
      </w:pPr>
      <w:r w:rsidRPr="008F4BDA">
        <w:rPr>
          <w:rFonts w:ascii="Times New Roman" w:hAnsi="Times New Roman"/>
          <w:bCs/>
          <w:sz w:val="24"/>
          <w:u w:val="single"/>
        </w:rPr>
        <w:br/>
      </w:r>
      <w:r w:rsidRPr="008F4BDA">
        <w:rPr>
          <w:rFonts w:ascii="Times New Roman" w:hAnsi="Times New Roman"/>
          <w:sz w:val="24"/>
          <w:szCs w:val="24"/>
        </w:rPr>
        <w:t>Not applicable.</w:t>
      </w:r>
    </w:p>
    <w:p w:rsidR="008F4BDA" w:rsidRPr="008F4BDA" w:rsidRDefault="008F4BDA" w:rsidP="008F4BDA">
      <w:pPr>
        <w:widowControl/>
        <w:rPr>
          <w:rFonts w:ascii="Times New Roman" w:hAnsi="Times New Roman"/>
          <w:bCs/>
          <w:sz w:val="24"/>
          <w:szCs w:val="24"/>
          <w:u w:val="single"/>
        </w:rPr>
      </w:pPr>
    </w:p>
    <w:p w:rsidR="008F4BDA" w:rsidRPr="008F4BDA" w:rsidRDefault="008F4BDA" w:rsidP="008F4BDA">
      <w:pPr>
        <w:widowControl/>
        <w:numPr>
          <w:ilvl w:val="0"/>
          <w:numId w:val="31"/>
        </w:numPr>
        <w:rPr>
          <w:rFonts w:ascii="Times New Roman" w:hAnsi="Times New Roman"/>
        </w:rPr>
      </w:pPr>
      <w:r w:rsidRPr="008F4BDA">
        <w:rPr>
          <w:rFonts w:ascii="Times New Roman" w:hAnsi="Times New Roman"/>
          <w:b/>
          <w:bCs/>
          <w:sz w:val="24"/>
          <w:szCs w:val="24"/>
        </w:rPr>
        <w:t>EXCEPTIONS TO CERTIFICATION STATEMENT</w:t>
      </w:r>
      <w:r w:rsidRPr="008F4BDA">
        <w:rPr>
          <w:rFonts w:ascii="Times New Roman" w:hAnsi="Times New Roman"/>
          <w:b/>
          <w:bCs/>
        </w:rPr>
        <w:br/>
      </w:r>
    </w:p>
    <w:p w:rsidR="008F4BDA" w:rsidRPr="008F4BDA" w:rsidRDefault="008F4BDA" w:rsidP="008F4BDA">
      <w:pPr>
        <w:widowControl/>
        <w:ind w:left="360"/>
        <w:rPr>
          <w:rFonts w:ascii="Times New Roman" w:hAnsi="Times New Roman"/>
          <w:sz w:val="24"/>
          <w:szCs w:val="24"/>
        </w:rPr>
      </w:pPr>
      <w:r w:rsidRPr="008F4BDA">
        <w:rPr>
          <w:rFonts w:ascii="Times New Roman" w:hAnsi="Times New Roman"/>
          <w:sz w:val="24"/>
          <w:szCs w:val="24"/>
        </w:rPr>
        <w:t>None.</w:t>
      </w:r>
      <w:r w:rsidRPr="008F4BDA">
        <w:rPr>
          <w:rFonts w:ascii="Times New Roman" w:hAnsi="Times New Roman"/>
          <w:sz w:val="24"/>
          <w:szCs w:val="24"/>
        </w:rPr>
        <w:br/>
      </w:r>
    </w:p>
    <w:p w:rsidR="008F4BDA" w:rsidRDefault="008F4BDA" w:rsidP="00A5738E">
      <w:pPr>
        <w:widowControl/>
        <w:rPr>
          <w:rFonts w:ascii="Times New Roman" w:hAnsi="Times New Roman"/>
          <w:sz w:val="24"/>
          <w:szCs w:val="24"/>
        </w:rPr>
      </w:pPr>
    </w:p>
    <w:p w:rsidR="008F4BDA" w:rsidRDefault="008F4BDA" w:rsidP="00A5738E">
      <w:pPr>
        <w:widowControl/>
        <w:rPr>
          <w:rFonts w:ascii="Times New Roman" w:hAnsi="Times New Roman"/>
          <w:sz w:val="24"/>
          <w:szCs w:val="24"/>
        </w:rPr>
      </w:pPr>
      <w:r>
        <w:rPr>
          <w:rFonts w:ascii="Times New Roman" w:hAnsi="Times New Roman"/>
          <w:sz w:val="24"/>
          <w:szCs w:val="24"/>
        </w:rPr>
        <w:t>Attachments:</w:t>
      </w:r>
    </w:p>
    <w:p w:rsidR="008F4BDA" w:rsidRDefault="008F4BDA" w:rsidP="00A5738E">
      <w:pPr>
        <w:widowControl/>
        <w:rPr>
          <w:rFonts w:ascii="Times New Roman" w:hAnsi="Times New Roman"/>
          <w:sz w:val="24"/>
          <w:szCs w:val="24"/>
        </w:rPr>
      </w:pPr>
    </w:p>
    <w:p w:rsidR="00A5738E" w:rsidRDefault="00A5738E" w:rsidP="00A5738E">
      <w:pPr>
        <w:widowControl/>
        <w:numPr>
          <w:ilvl w:val="0"/>
          <w:numId w:val="37"/>
        </w:numPr>
        <w:rPr>
          <w:rFonts w:ascii="Times New Roman" w:hAnsi="Times New Roman"/>
          <w:sz w:val="24"/>
          <w:szCs w:val="24"/>
        </w:rPr>
      </w:pPr>
      <w:r w:rsidRPr="006B0DBD">
        <w:rPr>
          <w:rFonts w:ascii="Times New Roman" w:hAnsi="Times New Roman"/>
          <w:sz w:val="24"/>
          <w:szCs w:val="24"/>
        </w:rPr>
        <w:t>49 CFR 390.21, “Marking of self-propelled CMVs and intermodal equipment.”</w:t>
      </w:r>
    </w:p>
    <w:p w:rsidR="000F1704" w:rsidRDefault="00A5738E" w:rsidP="000F1704">
      <w:pPr>
        <w:widowControl/>
        <w:numPr>
          <w:ilvl w:val="0"/>
          <w:numId w:val="37"/>
        </w:numPr>
        <w:rPr>
          <w:rFonts w:ascii="Times New Roman" w:hAnsi="Times New Roman"/>
          <w:sz w:val="24"/>
          <w:szCs w:val="24"/>
        </w:rPr>
      </w:pPr>
      <w:r>
        <w:rPr>
          <w:rFonts w:ascii="Times New Roman" w:hAnsi="Times New Roman"/>
          <w:sz w:val="24"/>
          <w:szCs w:val="24"/>
        </w:rPr>
        <w:t>U.S.C. 3</w:t>
      </w:r>
      <w:r w:rsidR="00CF0E22">
        <w:rPr>
          <w:rFonts w:ascii="Times New Roman" w:hAnsi="Times New Roman"/>
          <w:sz w:val="24"/>
          <w:szCs w:val="24"/>
        </w:rPr>
        <w:t>1</w:t>
      </w:r>
      <w:r>
        <w:rPr>
          <w:rFonts w:ascii="Times New Roman" w:hAnsi="Times New Roman"/>
          <w:sz w:val="24"/>
          <w:szCs w:val="24"/>
        </w:rPr>
        <w:t xml:space="preserve">133(a)(8), “Prescribe recordkeeping requirements,” or 31133(a) (10), “Perform other acts the Secretary considers appropriate.” </w:t>
      </w:r>
    </w:p>
    <w:p w:rsidR="004D5515" w:rsidRPr="000F1704" w:rsidRDefault="004D5515" w:rsidP="000F1704">
      <w:pPr>
        <w:widowControl/>
        <w:numPr>
          <w:ilvl w:val="0"/>
          <w:numId w:val="37"/>
        </w:numPr>
        <w:rPr>
          <w:rFonts w:ascii="Times New Roman" w:hAnsi="Times New Roman"/>
          <w:sz w:val="24"/>
          <w:szCs w:val="24"/>
        </w:rPr>
      </w:pPr>
      <w:r w:rsidRPr="000F1704">
        <w:rPr>
          <w:rFonts w:ascii="Times New Roman" w:hAnsi="Times New Roman"/>
          <w:bCs/>
          <w:sz w:val="24"/>
          <w:szCs w:val="24"/>
        </w:rPr>
        <w:t>F</w:t>
      </w:r>
      <w:r w:rsidRPr="000F1704">
        <w:rPr>
          <w:rFonts w:ascii="Times New Roman" w:hAnsi="Times New Roman"/>
          <w:bCs/>
          <w:sz w:val="24"/>
          <w:szCs w:val="24"/>
        </w:rPr>
        <w:t>inal rule entitled, “Federal Motor Carrier Safety Regulations: General Commercial Motor Vehicle Marking,” (65 FR 35287), June 2, 2000</w:t>
      </w:r>
      <w:r w:rsidR="000F1704" w:rsidRPr="000F1704">
        <w:rPr>
          <w:rFonts w:ascii="Times New Roman" w:hAnsi="Times New Roman"/>
          <w:bCs/>
          <w:sz w:val="24"/>
          <w:szCs w:val="24"/>
        </w:rPr>
        <w:t>.</w:t>
      </w:r>
    </w:p>
    <w:p w:rsidR="000F1704" w:rsidRPr="000F1704" w:rsidRDefault="000F1704" w:rsidP="000F1704">
      <w:pPr>
        <w:widowControl/>
        <w:numPr>
          <w:ilvl w:val="0"/>
          <w:numId w:val="37"/>
        </w:numPr>
        <w:rPr>
          <w:rFonts w:ascii="Times New Roman" w:hAnsi="Times New Roman"/>
          <w:sz w:val="24"/>
          <w:szCs w:val="24"/>
        </w:rPr>
      </w:pPr>
      <w:r>
        <w:rPr>
          <w:rFonts w:ascii="Times New Roman" w:hAnsi="Times New Roman"/>
          <w:bCs/>
          <w:sz w:val="24"/>
          <w:szCs w:val="24"/>
        </w:rPr>
        <w:lastRenderedPageBreak/>
        <w:t xml:space="preserve">NPRM entitled, </w:t>
      </w:r>
      <w:r>
        <w:rPr>
          <w:rFonts w:ascii="Times New Roman" w:hAnsi="Times New Roman"/>
          <w:bCs/>
          <w:sz w:val="24"/>
          <w:szCs w:val="24"/>
        </w:rPr>
        <w:t>“Lease and Interchange of Vehicles; Motor Carriers of Passengers,” (78 FR 57822), September 20, 2013</w:t>
      </w:r>
      <w:r>
        <w:rPr>
          <w:rFonts w:ascii="Times New Roman" w:hAnsi="Times New Roman"/>
          <w:bCs/>
          <w:sz w:val="24"/>
          <w:szCs w:val="24"/>
        </w:rPr>
        <w:t>.</w:t>
      </w:r>
    </w:p>
    <w:p w:rsidR="000F1704" w:rsidRPr="000F1704" w:rsidRDefault="000F1704" w:rsidP="000F1704">
      <w:pPr>
        <w:widowControl/>
        <w:numPr>
          <w:ilvl w:val="0"/>
          <w:numId w:val="37"/>
        </w:numPr>
        <w:rPr>
          <w:rFonts w:ascii="Times New Roman" w:hAnsi="Times New Roman"/>
          <w:sz w:val="24"/>
          <w:szCs w:val="24"/>
        </w:rPr>
      </w:pPr>
      <w:r w:rsidRPr="000F1704">
        <w:rPr>
          <w:rFonts w:ascii="Times New Roman" w:hAnsi="Times New Roman"/>
          <w:bCs/>
          <w:sz w:val="24"/>
          <w:szCs w:val="24"/>
        </w:rPr>
        <w:t xml:space="preserve">60-day </w:t>
      </w:r>
      <w:r w:rsidRPr="000F1704">
        <w:rPr>
          <w:rFonts w:ascii="Times New Roman" w:hAnsi="Times New Roman"/>
          <w:sz w:val="24"/>
          <w:szCs w:val="24"/>
        </w:rPr>
        <w:t>comment request Federal Register notice (78 FR 21705), April 11, 2013.</w:t>
      </w:r>
    </w:p>
    <w:p w:rsidR="00CD7543" w:rsidRPr="000F1704" w:rsidRDefault="00937E4D" w:rsidP="000F1704">
      <w:pPr>
        <w:widowControl/>
        <w:numPr>
          <w:ilvl w:val="0"/>
          <w:numId w:val="37"/>
        </w:numPr>
        <w:rPr>
          <w:rFonts w:ascii="Times New Roman" w:hAnsi="Times New Roman"/>
          <w:sz w:val="24"/>
        </w:rPr>
      </w:pPr>
      <w:r>
        <w:rPr>
          <w:rFonts w:ascii="Times New Roman" w:hAnsi="Times New Roman"/>
          <w:sz w:val="24"/>
          <w:szCs w:val="24"/>
        </w:rPr>
        <w:t>30</w:t>
      </w:r>
      <w:r w:rsidR="00A5738E" w:rsidRPr="000F1704">
        <w:rPr>
          <w:rFonts w:ascii="Times New Roman" w:hAnsi="Times New Roman"/>
          <w:sz w:val="24"/>
          <w:szCs w:val="24"/>
        </w:rPr>
        <w:t xml:space="preserve">-day comment request Federal Register notice (78 FR </w:t>
      </w:r>
      <w:r w:rsidR="00FA13F0" w:rsidRPr="000F1704">
        <w:rPr>
          <w:rFonts w:ascii="Times New Roman" w:hAnsi="Times New Roman"/>
          <w:sz w:val="24"/>
          <w:szCs w:val="24"/>
        </w:rPr>
        <w:t>46677</w:t>
      </w:r>
      <w:r w:rsidR="00A5738E" w:rsidRPr="000F1704">
        <w:rPr>
          <w:rFonts w:ascii="Times New Roman" w:hAnsi="Times New Roman"/>
          <w:sz w:val="24"/>
          <w:szCs w:val="24"/>
        </w:rPr>
        <w:t xml:space="preserve">), </w:t>
      </w:r>
      <w:r w:rsidR="00FA13F0" w:rsidRPr="000F1704">
        <w:rPr>
          <w:rFonts w:ascii="Times New Roman" w:hAnsi="Times New Roman"/>
          <w:sz w:val="24"/>
          <w:szCs w:val="24"/>
        </w:rPr>
        <w:t>August 1</w:t>
      </w:r>
      <w:r w:rsidR="00A5738E" w:rsidRPr="000F1704">
        <w:rPr>
          <w:rFonts w:ascii="Times New Roman" w:hAnsi="Times New Roman"/>
          <w:sz w:val="24"/>
          <w:szCs w:val="24"/>
        </w:rPr>
        <w:t>, 2013.</w:t>
      </w:r>
      <w:r w:rsidR="00A5738E" w:rsidRPr="000F1704">
        <w:rPr>
          <w:rFonts w:ascii="Times New Roman" w:hAnsi="Times New Roman"/>
          <w:sz w:val="24"/>
        </w:rPr>
        <w:t xml:space="preserve"> </w:t>
      </w:r>
    </w:p>
    <w:sectPr w:rsidR="00CD7543" w:rsidRPr="000F1704">
      <w:footerReference w:type="default" r:id="rId9"/>
      <w:footnotePr>
        <w:numRestart w:val="eachSect"/>
      </w:footnotePr>
      <w:endnotePr>
        <w:numFmt w:val="decimal"/>
      </w:endnotePr>
      <w:pgSz w:w="12240" w:h="15840" w:code="1"/>
      <w:pgMar w:top="1296" w:right="1440" w:bottom="1296" w:left="144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D3DFE" w:rsidRDefault="009D3DFE">
      <w:r>
        <w:separator/>
      </w:r>
    </w:p>
  </w:endnote>
  <w:endnote w:type="continuationSeparator" w:id="0">
    <w:p w:rsidR="009D3DFE" w:rsidRDefault="009D3D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etter Gothic 12cpi">
    <w:panose1 w:val="00000000000000000000"/>
    <w:charset w:val="00"/>
    <w:family w:val="auto"/>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7957" w:rsidRDefault="00927957">
    <w:pPr>
      <w:pStyle w:val="Footer"/>
      <w:framePr w:w="576" w:wrap="auto" w:vAnchor="page" w:hAnchor="page" w:x="5545" w:y="15121"/>
      <w:jc w:val="right"/>
      <w:rPr>
        <w:rStyle w:val="PageNumber"/>
      </w:rPr>
    </w:pPr>
    <w:r>
      <w:rPr>
        <w:rStyle w:val="PageNumber"/>
      </w:rPr>
      <w:fldChar w:fldCharType="begin"/>
    </w:r>
    <w:r>
      <w:rPr>
        <w:rStyle w:val="PageNumber"/>
      </w:rPr>
      <w:instrText xml:space="preserve">PAGE  </w:instrText>
    </w:r>
    <w:r>
      <w:rPr>
        <w:rStyle w:val="PageNumber"/>
      </w:rPr>
      <w:fldChar w:fldCharType="separate"/>
    </w:r>
    <w:r w:rsidR="00A227BC">
      <w:rPr>
        <w:rStyle w:val="PageNumber"/>
        <w:noProof/>
      </w:rPr>
      <w:t>12</w:t>
    </w:r>
    <w:r>
      <w:rPr>
        <w:rStyle w:val="PageNumber"/>
      </w:rPr>
      <w:fldChar w:fldCharType="end"/>
    </w:r>
  </w:p>
  <w:p w:rsidR="00927957" w:rsidRDefault="0092795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D3DFE" w:rsidRDefault="009D3DFE">
      <w:r>
        <w:separator/>
      </w:r>
    </w:p>
  </w:footnote>
  <w:footnote w:type="continuationSeparator" w:id="0">
    <w:p w:rsidR="009D3DFE" w:rsidRDefault="009D3DFE">
      <w:r>
        <w:continuationSeparator/>
      </w:r>
    </w:p>
  </w:footnote>
  <w:footnote w:id="1">
    <w:p w:rsidR="008F4BDA" w:rsidRPr="00594F12" w:rsidRDefault="008F4BDA" w:rsidP="008F4BDA">
      <w:pPr>
        <w:pStyle w:val="FootnoteText"/>
        <w:rPr>
          <w:rFonts w:ascii="Times New Roman" w:hAnsi="Times New Roman"/>
        </w:rPr>
      </w:pPr>
      <w:r>
        <w:rPr>
          <w:rStyle w:val="FootnoteReference"/>
        </w:rPr>
        <w:footnoteRef/>
      </w:r>
      <w:r>
        <w:t xml:space="preserve"> </w:t>
      </w:r>
      <w:r w:rsidRPr="00FF7EA9">
        <w:rPr>
          <w:rFonts w:ascii="Times New Roman" w:hAnsi="Times New Roman"/>
          <w:i/>
        </w:rPr>
        <w:t>Motor Vehicle Marking Requirement Final Regulatory Evaluation and Regulatory Flexibility Analysis</w:t>
      </w:r>
      <w:r w:rsidRPr="00FF7EA9">
        <w:rPr>
          <w:rFonts w:ascii="Times New Roman" w:hAnsi="Times New Roman"/>
        </w:rPr>
        <w:t xml:space="preserve">, available at </w:t>
      </w:r>
      <w:hyperlink r:id="rId1" w:history="1">
        <w:r w:rsidRPr="001E6A4F">
          <w:rPr>
            <w:rStyle w:val="Hyperlink"/>
            <w:rFonts w:ascii="Times New Roman" w:hAnsi="Times New Roman"/>
          </w:rPr>
          <w:t>http://www.regulations.gov/#!documentDetail;D=FMCSA-1998-3947-0200</w:t>
        </w:r>
      </w:hyperlink>
      <w:r w:rsidRPr="001E6A4F">
        <w:rPr>
          <w:rFonts w:ascii="Times New Roman" w:hAnsi="Times New Roman"/>
        </w:rPr>
        <w:t>, accessed on March 1, 2013.</w:t>
      </w:r>
    </w:p>
  </w:footnote>
  <w:footnote w:id="2">
    <w:p w:rsidR="008F4BDA" w:rsidRPr="00766BFB" w:rsidRDefault="008F4BDA" w:rsidP="008F4BDA">
      <w:pPr>
        <w:pStyle w:val="FootnoteText"/>
        <w:rPr>
          <w:rFonts w:ascii="Times New Roman" w:hAnsi="Times New Roman"/>
        </w:rPr>
      </w:pPr>
      <w:r w:rsidRPr="00D4686C">
        <w:rPr>
          <w:rStyle w:val="FootnoteReference"/>
          <w:rFonts w:ascii="Times New Roman" w:hAnsi="Times New Roman"/>
        </w:rPr>
        <w:footnoteRef/>
      </w:r>
      <w:r w:rsidRPr="00D4686C">
        <w:rPr>
          <w:rFonts w:ascii="Times New Roman" w:hAnsi="Times New Roman"/>
        </w:rPr>
        <w:t xml:space="preserve"> 65 CFR 107, 35287-35297</w:t>
      </w:r>
      <w:r>
        <w:rPr>
          <w:rFonts w:ascii="Times New Roman" w:hAnsi="Times New Roman"/>
        </w:rPr>
        <w:t>.</w:t>
      </w:r>
    </w:p>
  </w:footnote>
  <w:footnote w:id="3">
    <w:p w:rsidR="008F4BDA" w:rsidRPr="00594F12" w:rsidRDefault="008F4BDA" w:rsidP="008F4BDA">
      <w:pPr>
        <w:widowControl/>
        <w:rPr>
          <w:rFonts w:ascii="Times New Roman" w:hAnsi="Times New Roman"/>
        </w:rPr>
      </w:pPr>
      <w:r w:rsidRPr="00594F12">
        <w:rPr>
          <w:rStyle w:val="FootnoteReference"/>
          <w:rFonts w:ascii="Times New Roman" w:hAnsi="Times New Roman"/>
        </w:rPr>
        <w:footnoteRef/>
      </w:r>
      <w:r w:rsidRPr="00594F12">
        <w:rPr>
          <w:rFonts w:ascii="Times New Roman" w:hAnsi="Times New Roman"/>
        </w:rPr>
        <w:t xml:space="preserve"> </w:t>
      </w:r>
      <w:r>
        <w:rPr>
          <w:rFonts w:ascii="Times New Roman" w:hAnsi="Times New Roman"/>
        </w:rPr>
        <w:t xml:space="preserve">DOT HS 808 080, </w:t>
      </w:r>
      <w:r w:rsidRPr="00594F12">
        <w:rPr>
          <w:rFonts w:ascii="Times New Roman" w:hAnsi="Times New Roman"/>
          <w:i/>
        </w:rPr>
        <w:t>Final Report: A Study of Commercial Motor Vehicle Electronics-Based Rear and Side Object Detection Systems</w:t>
      </w:r>
      <w:r>
        <w:rPr>
          <w:rFonts w:ascii="Times New Roman" w:hAnsi="Times New Roman"/>
        </w:rPr>
        <w:t>,</w:t>
      </w:r>
      <w:r w:rsidRPr="004B31F0">
        <w:rPr>
          <w:rFonts w:ascii="Times New Roman" w:hAnsi="Times New Roman"/>
        </w:rPr>
        <w:t xml:space="preserve"> </w:t>
      </w:r>
      <w:r>
        <w:rPr>
          <w:rFonts w:ascii="Times New Roman" w:hAnsi="Times New Roman"/>
        </w:rPr>
        <w:t>January 1994, a</w:t>
      </w:r>
      <w:r w:rsidRPr="00594F12">
        <w:rPr>
          <w:rFonts w:ascii="Times New Roman" w:hAnsi="Times New Roman"/>
        </w:rPr>
        <w:t xml:space="preserve">vailable at </w:t>
      </w:r>
      <w:hyperlink r:id="rId2" w:history="1">
        <w:r w:rsidRPr="00594F12">
          <w:rPr>
            <w:rStyle w:val="Hyperlink"/>
            <w:rFonts w:ascii="Times New Roman" w:hAnsi="Times New Roman"/>
          </w:rPr>
          <w:t>www.nhtsa.gov</w:t>
        </w:r>
      </w:hyperlink>
      <w:r w:rsidRPr="00594F12">
        <w:rPr>
          <w:rFonts w:ascii="Times New Roman" w:hAnsi="Times New Roman"/>
        </w:rPr>
        <w:t>, accessed on March 14, 2013.</w:t>
      </w:r>
    </w:p>
  </w:footnote>
  <w:footnote w:id="4">
    <w:p w:rsidR="008F4BDA" w:rsidRDefault="008F4BDA" w:rsidP="008F4BDA">
      <w:pPr>
        <w:pStyle w:val="FootnoteText"/>
      </w:pPr>
      <w:r w:rsidRPr="00594F12">
        <w:rPr>
          <w:rStyle w:val="FootnoteReference"/>
          <w:rFonts w:ascii="Times New Roman" w:hAnsi="Times New Roman"/>
        </w:rPr>
        <w:footnoteRef/>
      </w:r>
      <w:r w:rsidRPr="00594F12">
        <w:rPr>
          <w:rFonts w:ascii="Times New Roman" w:hAnsi="Times New Roman"/>
        </w:rPr>
        <w:t xml:space="preserve"> Available at </w:t>
      </w:r>
      <w:hyperlink r:id="rId3" w:history="1">
        <w:r w:rsidRPr="00594F12">
          <w:rPr>
            <w:rStyle w:val="Hyperlink"/>
            <w:rFonts w:ascii="Times New Roman" w:hAnsi="Times New Roman"/>
          </w:rPr>
          <w:t>http://www.regulations.gov/#!docketDetail;D=FMCSA-2011-0046</w:t>
        </w:r>
      </w:hyperlink>
      <w:r w:rsidRPr="00594F12">
        <w:rPr>
          <w:rFonts w:ascii="Times New Roman" w:hAnsi="Times New Roman"/>
        </w:rPr>
        <w:t>, accessed on March 14, 2013.</w:t>
      </w:r>
    </w:p>
  </w:footnote>
  <w:footnote w:id="5">
    <w:p w:rsidR="008F4BDA" w:rsidRDefault="008F4BDA" w:rsidP="008F4BDA">
      <w:pPr>
        <w:pStyle w:val="FootnoteText"/>
      </w:pPr>
      <w:r w:rsidRPr="00AC5141">
        <w:rPr>
          <w:rStyle w:val="FootnoteReference"/>
          <w:rFonts w:ascii="Times New Roman" w:hAnsi="Times New Roman"/>
        </w:rPr>
        <w:footnoteRef/>
      </w:r>
      <w:r w:rsidRPr="00AC5141">
        <w:rPr>
          <w:rFonts w:ascii="Times New Roman" w:hAnsi="Times New Roman"/>
        </w:rPr>
        <w:t xml:space="preserve"> </w:t>
      </w:r>
      <w:r>
        <w:rPr>
          <w:rFonts w:ascii="Times New Roman" w:hAnsi="Times New Roman"/>
        </w:rPr>
        <w:t xml:space="preserve">See footnote </w:t>
      </w:r>
      <w:r>
        <w:rPr>
          <w:rFonts w:ascii="Times New Roman" w:hAnsi="Times New Roman"/>
        </w:rPr>
        <w:fldChar w:fldCharType="begin"/>
      </w:r>
      <w:r>
        <w:rPr>
          <w:rFonts w:ascii="Times New Roman" w:hAnsi="Times New Roman"/>
        </w:rPr>
        <w:instrText xml:space="preserve"> NOTEREF _Ref351044505 \h </w:instrText>
      </w:r>
      <w:r>
        <w:rPr>
          <w:rFonts w:ascii="Times New Roman" w:hAnsi="Times New Roman"/>
        </w:rPr>
      </w:r>
      <w:r>
        <w:rPr>
          <w:rFonts w:ascii="Times New Roman" w:hAnsi="Times New Roman"/>
        </w:rPr>
        <w:fldChar w:fldCharType="separate"/>
      </w:r>
      <w:r w:rsidR="00B77AB0">
        <w:rPr>
          <w:rFonts w:ascii="Times New Roman" w:hAnsi="Times New Roman"/>
        </w:rPr>
        <w:t>4</w:t>
      </w:r>
      <w:r>
        <w:rPr>
          <w:rFonts w:ascii="Times New Roman" w:hAnsi="Times New Roman"/>
        </w:rPr>
        <w:fldChar w:fldCharType="end"/>
      </w:r>
      <w:r>
        <w:rPr>
          <w:rFonts w:ascii="Times New Roman" w:hAnsi="Times New Roman"/>
        </w:rPr>
        <w:t>.</w:t>
      </w:r>
    </w:p>
  </w:footnote>
  <w:footnote w:id="6">
    <w:p w:rsidR="008F4BDA" w:rsidRDefault="008F4BDA" w:rsidP="008F4BDA">
      <w:pPr>
        <w:pStyle w:val="FootnoteText"/>
      </w:pPr>
      <w:r>
        <w:rPr>
          <w:rStyle w:val="FootnoteReference"/>
        </w:rPr>
        <w:footnoteRef/>
      </w:r>
      <w:r>
        <w:t xml:space="preserve"> Ibid.</w:t>
      </w:r>
    </w:p>
  </w:footnote>
  <w:footnote w:id="7">
    <w:p w:rsidR="008F4BDA" w:rsidRPr="00FF7EA9" w:rsidRDefault="008F4BDA" w:rsidP="008F4BDA">
      <w:pPr>
        <w:pStyle w:val="FootnoteText"/>
        <w:rPr>
          <w:rFonts w:ascii="Times New Roman" w:hAnsi="Times New Roman"/>
        </w:rPr>
      </w:pPr>
      <w:r w:rsidRPr="00FF7EA9">
        <w:rPr>
          <w:rStyle w:val="FootnoteReference"/>
          <w:rFonts w:ascii="Times New Roman" w:hAnsi="Times New Roman"/>
        </w:rPr>
        <w:footnoteRef/>
      </w:r>
      <w:r w:rsidRPr="00FF7EA9">
        <w:rPr>
          <w:rFonts w:ascii="Times New Roman" w:hAnsi="Times New Roman"/>
        </w:rPr>
        <w:t xml:space="preserve"> </w:t>
      </w:r>
      <w:r>
        <w:rPr>
          <w:rFonts w:ascii="Times New Roman" w:hAnsi="Times New Roman"/>
        </w:rPr>
        <w:t xml:space="preserve">See Occupation 49-3031, Bus and Truck Mechanics and Diesel Engine Specialists, NAICS 484100, General Freight Trucking at </w:t>
      </w:r>
      <w:r w:rsidRPr="00084376">
        <w:rPr>
          <w:rFonts w:ascii="Times New Roman" w:hAnsi="Times New Roman"/>
        </w:rPr>
        <w:t>http://www.bls.gov/oes/current/naics4_484100.htm</w:t>
      </w:r>
      <w:r>
        <w:rPr>
          <w:rFonts w:ascii="Times New Roman" w:hAnsi="Times New Roman"/>
        </w:rPr>
        <w:t>, accessed on March 15, 2013.</w:t>
      </w:r>
    </w:p>
  </w:footnote>
  <w:footnote w:id="8">
    <w:p w:rsidR="008F4BDA" w:rsidRPr="001D3C09" w:rsidRDefault="008F4BDA" w:rsidP="008F4BDA">
      <w:pPr>
        <w:pStyle w:val="FootnoteText"/>
        <w:rPr>
          <w:rFonts w:ascii="Times New Roman" w:hAnsi="Times New Roman"/>
        </w:rPr>
      </w:pPr>
      <w:r w:rsidRPr="00FF7EA9">
        <w:rPr>
          <w:rStyle w:val="FootnoteReference"/>
          <w:rFonts w:ascii="Times New Roman" w:hAnsi="Times New Roman"/>
        </w:rPr>
        <w:footnoteRef/>
      </w:r>
      <w:r w:rsidRPr="00FF7EA9">
        <w:rPr>
          <w:rFonts w:ascii="Times New Roman" w:hAnsi="Times New Roman"/>
        </w:rPr>
        <w:t xml:space="preserve"> The ratio of total fringe benefits to wages and salaries for transportation and warehousing workers.  See http://www.bls.gov/news.release/archives/ecec_06072012.pdf. Table 10, Employer costs per hour worked for employee compensation and costs as a percent of total compensation: Private industry workers, by industry group, March 2012. Transportation and Warehousing. http://www.bls.gov/news.release/pdf/ecec.pdf. Accessed March 7, 2013</w:t>
      </w:r>
      <w:r>
        <w:rPr>
          <w:rFonts w:ascii="Times New Roman" w:hAnsi="Times New Roman"/>
        </w:rPr>
        <w:t>.</w:t>
      </w:r>
    </w:p>
  </w:footnote>
  <w:footnote w:id="9">
    <w:p w:rsidR="008F4BDA" w:rsidRPr="002A2C99" w:rsidRDefault="008F4BDA" w:rsidP="008F4BDA">
      <w:pPr>
        <w:pStyle w:val="FootnoteText"/>
        <w:rPr>
          <w:rFonts w:ascii="Times New Roman" w:hAnsi="Times New Roman"/>
        </w:rPr>
      </w:pPr>
      <w:r w:rsidRPr="00FF7EA9">
        <w:rPr>
          <w:rStyle w:val="FootnoteReference"/>
          <w:rFonts w:ascii="Times New Roman" w:hAnsi="Times New Roman"/>
        </w:rPr>
        <w:footnoteRef/>
      </w:r>
      <w:r w:rsidRPr="00FF7EA9">
        <w:rPr>
          <w:rFonts w:ascii="Times New Roman" w:hAnsi="Times New Roman"/>
        </w:rPr>
        <w:t xml:space="preserve"> Industry data gathered for the Truck Costing Model developed by the Upper Great Plains Transportation Institute Berwick </w:t>
      </w:r>
      <w:r>
        <w:rPr>
          <w:rFonts w:ascii="Times New Roman" w:hAnsi="Times New Roman"/>
        </w:rPr>
        <w:t xml:space="preserve">and Farooq </w:t>
      </w:r>
      <w:r w:rsidRPr="00FF7EA9">
        <w:rPr>
          <w:rFonts w:ascii="Times New Roman" w:hAnsi="Times New Roman"/>
        </w:rPr>
        <w:t xml:space="preserve">showed an average cost of $0.107 per mile of CMV operation for management and overhead, and $0.39 per mile for labor, indicating an overhead rate of 27 percent ($0.107 ÷ $0.39).  See </w:t>
      </w:r>
      <w:r>
        <w:rPr>
          <w:rFonts w:ascii="Times New Roman" w:hAnsi="Times New Roman"/>
        </w:rPr>
        <w:t xml:space="preserve">Berwick and </w:t>
      </w:r>
      <w:r w:rsidRPr="00FF7EA9">
        <w:rPr>
          <w:rFonts w:ascii="Times New Roman" w:hAnsi="Times New Roman"/>
        </w:rPr>
        <w:t>Farooq. “Truck Costing Mod</w:t>
      </w:r>
      <w:r>
        <w:rPr>
          <w:rFonts w:ascii="Times New Roman" w:hAnsi="Times New Roman"/>
        </w:rPr>
        <w:t>el for Transportation Managers.”</w:t>
      </w:r>
      <w:r w:rsidRPr="00FF7EA9">
        <w:rPr>
          <w:rFonts w:ascii="Times New Roman" w:hAnsi="Times New Roman"/>
        </w:rPr>
        <w:t xml:space="preserve"> Upper Great Plains Transportation Institute, North Dakota State University (2003) accessed on June 18, 2012 at http://ntl.bts.gov/lib/24000/24200/24223/24223.pdf. See Appendix A, pp. 42-47</w:t>
      </w:r>
      <w:r>
        <w:rPr>
          <w:rFonts w:ascii="Times New Roman" w:hAnsi="Times New Roman"/>
        </w:rPr>
        <w:t>.</w:t>
      </w:r>
    </w:p>
  </w:footnote>
  <w:footnote w:id="10">
    <w:p w:rsidR="008F4BDA" w:rsidRPr="002F4A28" w:rsidRDefault="008F4BDA" w:rsidP="008F4BDA">
      <w:pPr>
        <w:pStyle w:val="FootnoteText"/>
        <w:rPr>
          <w:rFonts w:ascii="Times New Roman" w:hAnsi="Times New Roman"/>
        </w:rPr>
      </w:pPr>
      <w:r w:rsidRPr="002F4A28">
        <w:rPr>
          <w:rStyle w:val="FootnoteReference"/>
          <w:rFonts w:ascii="Times New Roman" w:hAnsi="Times New Roman"/>
        </w:rPr>
        <w:footnoteRef/>
      </w:r>
      <w:r w:rsidRPr="002F4A28">
        <w:rPr>
          <w:rFonts w:ascii="Times New Roman" w:hAnsi="Times New Roman"/>
        </w:rPr>
        <w:t xml:space="preserve"> </w:t>
      </w:r>
      <w:r w:rsidRPr="002F4A28">
        <w:rPr>
          <w:rFonts w:ascii="Times New Roman" w:hAnsi="Times New Roman"/>
          <w:i/>
        </w:rPr>
        <w:t>Motor Vehicle Marking Requirement Final Regulatory Evaluation and Regulatory Flexibility Analysis</w:t>
      </w:r>
      <w:r w:rsidRPr="002F4A28">
        <w:rPr>
          <w:rFonts w:ascii="Times New Roman" w:hAnsi="Times New Roman"/>
        </w:rPr>
        <w:t xml:space="preserve">, available at </w:t>
      </w:r>
      <w:hyperlink r:id="rId4" w:history="1">
        <w:r w:rsidRPr="002F4A28">
          <w:rPr>
            <w:rStyle w:val="Hyperlink"/>
            <w:rFonts w:ascii="Times New Roman" w:hAnsi="Times New Roman"/>
          </w:rPr>
          <w:t>http://www.regulations.gov/#!documentDetail;D=FMCSA-1998-3947-0200</w:t>
        </w:r>
      </w:hyperlink>
      <w:r w:rsidRPr="002F4A28">
        <w:rPr>
          <w:rFonts w:ascii="Times New Roman" w:hAnsi="Times New Roman"/>
        </w:rPr>
        <w:t>, accessed on March 1, 2013.</w:t>
      </w:r>
    </w:p>
  </w:footnote>
  <w:footnote w:id="11">
    <w:p w:rsidR="008F4BDA" w:rsidRPr="009F4AEF" w:rsidRDefault="008F4BDA" w:rsidP="008F4BDA">
      <w:pPr>
        <w:pStyle w:val="FootnoteText"/>
        <w:rPr>
          <w:rFonts w:ascii="Times New Roman" w:hAnsi="Times New Roman"/>
        </w:rPr>
      </w:pPr>
      <w:r>
        <w:rPr>
          <w:rStyle w:val="FootnoteReference"/>
        </w:rPr>
        <w:footnoteRef/>
      </w:r>
      <w:r>
        <w:t xml:space="preserve"> </w:t>
      </w:r>
      <w:r>
        <w:rPr>
          <w:rFonts w:ascii="Times New Roman" w:hAnsi="Times New Roman"/>
        </w:rPr>
        <w:t xml:space="preserve">With regard to large passenger carriers, particularly those with fleets </w:t>
      </w:r>
      <w:r w:rsidRPr="00D6223D">
        <w:rPr>
          <w:rFonts w:ascii="Times New Roman" w:hAnsi="Times New Roman"/>
        </w:rPr>
        <w:t xml:space="preserve">exceeding 100 </w:t>
      </w:r>
      <w:r>
        <w:rPr>
          <w:rFonts w:ascii="Times New Roman" w:hAnsi="Times New Roman"/>
        </w:rPr>
        <w:t>CMV</w:t>
      </w:r>
      <w:r w:rsidRPr="00D6223D">
        <w:rPr>
          <w:rFonts w:ascii="Times New Roman" w:hAnsi="Times New Roman"/>
        </w:rPr>
        <w:t>s, FMCSA assumes the</w:t>
      </w:r>
      <w:r>
        <w:rPr>
          <w:rFonts w:ascii="Times New Roman" w:hAnsi="Times New Roman"/>
        </w:rPr>
        <w:t xml:space="preserve"> cost of marking per unit would be lower, considering economies of scale and volume discounting. However, the estimate is retained in the analysis to provide conservative estimates.</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BD4157"/>
    <w:multiLevelType w:val="hybridMultilevel"/>
    <w:tmpl w:val="F57E72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5E70D4F"/>
    <w:multiLevelType w:val="hybridMultilevel"/>
    <w:tmpl w:val="606C83A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7ED3225"/>
    <w:multiLevelType w:val="hybridMultilevel"/>
    <w:tmpl w:val="6406AF2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CC47289"/>
    <w:multiLevelType w:val="hybridMultilevel"/>
    <w:tmpl w:val="1CF64B70"/>
    <w:lvl w:ilvl="0" w:tplc="8A021462">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11757482"/>
    <w:multiLevelType w:val="hybridMultilevel"/>
    <w:tmpl w:val="C6C895C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143726DC"/>
    <w:multiLevelType w:val="hybridMultilevel"/>
    <w:tmpl w:val="EAE6296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15FD4007"/>
    <w:multiLevelType w:val="hybridMultilevel"/>
    <w:tmpl w:val="2D9AE9C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1A31770F"/>
    <w:multiLevelType w:val="multilevel"/>
    <w:tmpl w:val="1CF64B70"/>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8">
    <w:nsid w:val="1A962B56"/>
    <w:multiLevelType w:val="hybridMultilevel"/>
    <w:tmpl w:val="88CA429E"/>
    <w:lvl w:ilvl="0" w:tplc="8A021462">
      <w:start w:val="1"/>
      <w:numFmt w:val="bullet"/>
      <w:lvlText w:val=""/>
      <w:lvlJc w:val="left"/>
      <w:pPr>
        <w:tabs>
          <w:tab w:val="num" w:pos="720"/>
        </w:tabs>
        <w:ind w:left="720" w:hanging="360"/>
      </w:pPr>
      <w:rPr>
        <w:rFonts w:ascii="Wingdings" w:hAnsi="Wingdings" w:hint="default"/>
      </w:rPr>
    </w:lvl>
    <w:lvl w:ilvl="1" w:tplc="31C250D6">
      <w:numFmt w:val="bullet"/>
      <w:lvlText w:val="-"/>
      <w:lvlJc w:val="left"/>
      <w:pPr>
        <w:tabs>
          <w:tab w:val="num" w:pos="1440"/>
        </w:tabs>
        <w:ind w:left="1440" w:hanging="360"/>
      </w:pPr>
      <w:rPr>
        <w:rFonts w:ascii="Letter Gothic 12cpi" w:eastAsia="Times New Roman" w:hAnsi="Letter Gothic 12cpi" w:cs="Times New Roman" w:hint="default"/>
        <w:b/>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1CFD5469"/>
    <w:multiLevelType w:val="hybridMultilevel"/>
    <w:tmpl w:val="CEE60202"/>
    <w:lvl w:ilvl="0" w:tplc="BF469186">
      <w:start w:val="1"/>
      <w:numFmt w:val="decimal"/>
      <w:lvlText w:val="%1."/>
      <w:lvlJc w:val="left"/>
      <w:pPr>
        <w:tabs>
          <w:tab w:val="num" w:pos="360"/>
        </w:tabs>
        <w:ind w:left="360" w:hanging="360"/>
      </w:pPr>
      <w:rPr>
        <w:rFonts w:hint="default"/>
        <w:b/>
        <w:i w:val="0"/>
      </w:rPr>
    </w:lvl>
    <w:lvl w:ilvl="1" w:tplc="71BE0AD8">
      <w:start w:val="1"/>
      <w:numFmt w:val="lowerLetter"/>
      <w:lvlText w:val="%2."/>
      <w:lvlJc w:val="left"/>
      <w:pPr>
        <w:tabs>
          <w:tab w:val="num" w:pos="720"/>
        </w:tabs>
        <w:ind w:left="720" w:hanging="360"/>
      </w:pPr>
      <w:rPr>
        <w:rFonts w:hint="default"/>
        <w:b/>
        <w:i w:val="0"/>
      </w:rPr>
    </w:lvl>
    <w:lvl w:ilvl="2" w:tplc="04090001">
      <w:start w:val="1"/>
      <w:numFmt w:val="bullet"/>
      <w:lvlText w:val=""/>
      <w:lvlJc w:val="left"/>
      <w:pPr>
        <w:tabs>
          <w:tab w:val="num" w:pos="1980"/>
        </w:tabs>
        <w:ind w:left="1980" w:hanging="360"/>
      </w:pPr>
      <w:rPr>
        <w:rFonts w:ascii="Symbol" w:hAnsi="Symbol" w:hint="default"/>
      </w:rPr>
    </w:lvl>
    <w:lvl w:ilvl="3" w:tplc="0409000F">
      <w:start w:val="1"/>
      <w:numFmt w:val="decimal"/>
      <w:lvlText w:val="%4."/>
      <w:lvlJc w:val="left"/>
      <w:pPr>
        <w:tabs>
          <w:tab w:val="num" w:pos="2520"/>
        </w:tabs>
        <w:ind w:left="2520" w:hanging="360"/>
      </w:pPr>
      <w:rPr>
        <w:rFonts w:hint="default"/>
        <w:b/>
        <w:i w:val="0"/>
      </w:r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0">
    <w:nsid w:val="1E1962F0"/>
    <w:multiLevelType w:val="hybridMultilevel"/>
    <w:tmpl w:val="4A9A4354"/>
    <w:lvl w:ilvl="0" w:tplc="8A021462">
      <w:start w:val="1"/>
      <w:numFmt w:val="bullet"/>
      <w:lvlText w:val=""/>
      <w:lvlJc w:val="left"/>
      <w:pPr>
        <w:tabs>
          <w:tab w:val="num" w:pos="1440"/>
        </w:tabs>
        <w:ind w:left="1440" w:hanging="360"/>
      </w:pPr>
      <w:rPr>
        <w:rFonts w:ascii="Wingdings" w:hAnsi="Wingdings"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1">
    <w:nsid w:val="1FDB4EB5"/>
    <w:multiLevelType w:val="hybridMultilevel"/>
    <w:tmpl w:val="F8602EB2"/>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203C5446"/>
    <w:multiLevelType w:val="multilevel"/>
    <w:tmpl w:val="4A9A4354"/>
    <w:lvl w:ilvl="0">
      <w:start w:val="1"/>
      <w:numFmt w:val="bullet"/>
      <w:lvlText w:val=""/>
      <w:lvlJc w:val="left"/>
      <w:pPr>
        <w:tabs>
          <w:tab w:val="num" w:pos="1440"/>
        </w:tabs>
        <w:ind w:left="1440" w:hanging="360"/>
      </w:pPr>
      <w:rPr>
        <w:rFonts w:ascii="Wingdings" w:hAnsi="Wingdings" w:hint="default"/>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13">
    <w:nsid w:val="20CC6625"/>
    <w:multiLevelType w:val="hybridMultilevel"/>
    <w:tmpl w:val="3CAA956A"/>
    <w:lvl w:ilvl="0" w:tplc="B734F0D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272F7857"/>
    <w:multiLevelType w:val="hybridMultilevel"/>
    <w:tmpl w:val="04848C16"/>
    <w:lvl w:ilvl="0" w:tplc="B7501A32">
      <w:start w:val="1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8D9470C"/>
    <w:multiLevelType w:val="hybridMultilevel"/>
    <w:tmpl w:val="B19E7EB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2E233650"/>
    <w:multiLevelType w:val="hybridMultilevel"/>
    <w:tmpl w:val="AB9E6BEC"/>
    <w:lvl w:ilvl="0" w:tplc="C818BBF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6D26517"/>
    <w:multiLevelType w:val="hybridMultilevel"/>
    <w:tmpl w:val="8D905FF2"/>
    <w:lvl w:ilvl="0" w:tplc="260ADA24">
      <w:start w:val="1"/>
      <w:numFmt w:val="decimal"/>
      <w:lvlText w:val="%1."/>
      <w:lvlJc w:val="left"/>
      <w:pPr>
        <w:ind w:left="360" w:hanging="360"/>
      </w:pPr>
      <w:rPr>
        <w:rFonts w:hint="default"/>
        <w:b/>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7C37B75"/>
    <w:multiLevelType w:val="multilevel"/>
    <w:tmpl w:val="3476F3EC"/>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9">
    <w:nsid w:val="3C037486"/>
    <w:multiLevelType w:val="hybridMultilevel"/>
    <w:tmpl w:val="D422AC7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3CAD05CD"/>
    <w:multiLevelType w:val="hybridMultilevel"/>
    <w:tmpl w:val="AD787E6C"/>
    <w:lvl w:ilvl="0" w:tplc="679EAB90">
      <w:start w:val="1"/>
      <w:numFmt w:val="decimal"/>
      <w:lvlText w:val="%1."/>
      <w:lvlJc w:val="left"/>
      <w:pPr>
        <w:tabs>
          <w:tab w:val="num" w:pos="720"/>
        </w:tabs>
        <w:ind w:left="720" w:hanging="360"/>
      </w:pPr>
      <w:rPr>
        <w:rFonts w:hint="default"/>
        <w:b w:val="0"/>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3D32693A"/>
    <w:multiLevelType w:val="hybridMultilevel"/>
    <w:tmpl w:val="CCBCE9DC"/>
    <w:lvl w:ilvl="0" w:tplc="41C0D180">
      <w:start w:val="1"/>
      <w:numFmt w:val="decimal"/>
      <w:lvlText w:val="%1."/>
      <w:lvlJc w:val="left"/>
      <w:pPr>
        <w:tabs>
          <w:tab w:val="num" w:pos="720"/>
        </w:tabs>
        <w:ind w:left="720" w:hanging="360"/>
      </w:pPr>
      <w:rPr>
        <w:rFonts w:hint="default"/>
        <w:b w:val="0"/>
        <w:u w:val="singl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3EB8568A"/>
    <w:multiLevelType w:val="hybridMultilevel"/>
    <w:tmpl w:val="5E2E64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3EF3417F"/>
    <w:multiLevelType w:val="hybridMultilevel"/>
    <w:tmpl w:val="49A485E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4">
    <w:nsid w:val="43D0389B"/>
    <w:multiLevelType w:val="hybridMultilevel"/>
    <w:tmpl w:val="9FC006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AC815F2"/>
    <w:multiLevelType w:val="hybridMultilevel"/>
    <w:tmpl w:val="46106AC0"/>
    <w:lvl w:ilvl="0" w:tplc="D72EBA86">
      <w:start w:val="12"/>
      <w:numFmt w:val="decimal"/>
      <w:lvlText w:val="%1."/>
      <w:lvlJc w:val="left"/>
      <w:pPr>
        <w:tabs>
          <w:tab w:val="num" w:pos="810"/>
        </w:tabs>
        <w:ind w:left="810" w:hanging="45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4B390ECF"/>
    <w:multiLevelType w:val="hybridMultilevel"/>
    <w:tmpl w:val="B0F07BE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nsid w:val="4B3D3819"/>
    <w:multiLevelType w:val="hybridMultilevel"/>
    <w:tmpl w:val="7DE2B4A0"/>
    <w:lvl w:ilvl="0" w:tplc="FF364A86">
      <w:start w:val="1"/>
      <w:numFmt w:val="decimal"/>
      <w:lvlText w:val="%1."/>
      <w:lvlJc w:val="left"/>
      <w:pPr>
        <w:ind w:left="360" w:hanging="360"/>
      </w:pPr>
      <w:rPr>
        <w:rFonts w:hint="default"/>
        <w:b w:val="0"/>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nsid w:val="57133728"/>
    <w:multiLevelType w:val="hybridMultilevel"/>
    <w:tmpl w:val="4C8C0FF0"/>
    <w:lvl w:ilvl="0" w:tplc="40BAB57C">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nsid w:val="583B0F5D"/>
    <w:multiLevelType w:val="hybridMultilevel"/>
    <w:tmpl w:val="48B6DE5E"/>
    <w:lvl w:ilvl="0" w:tplc="8A021462">
      <w:start w:val="1"/>
      <w:numFmt w:val="bullet"/>
      <w:lvlText w:val=""/>
      <w:lvlJc w:val="left"/>
      <w:pPr>
        <w:tabs>
          <w:tab w:val="num" w:pos="1440"/>
        </w:tabs>
        <w:ind w:left="1440" w:hanging="360"/>
      </w:pPr>
      <w:rPr>
        <w:rFonts w:ascii="Wingdings" w:hAnsi="Wingdings"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0">
    <w:nsid w:val="5E75076E"/>
    <w:multiLevelType w:val="multilevel"/>
    <w:tmpl w:val="A38A5906"/>
    <w:lvl w:ilvl="0">
      <w:start w:val="1"/>
      <w:numFmt w:val="bullet"/>
      <w:lvlText w:val=""/>
      <w:lvlJc w:val="left"/>
      <w:pPr>
        <w:tabs>
          <w:tab w:val="num" w:pos="1440"/>
        </w:tabs>
        <w:ind w:left="1440" w:hanging="360"/>
      </w:pPr>
      <w:rPr>
        <w:rFonts w:ascii="Wingdings" w:hAnsi="Wingdings" w:hint="default"/>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31">
    <w:nsid w:val="625074B3"/>
    <w:multiLevelType w:val="hybridMultilevel"/>
    <w:tmpl w:val="AC26CC6C"/>
    <w:lvl w:ilvl="0" w:tplc="04090001">
      <w:start w:val="1"/>
      <w:numFmt w:val="bullet"/>
      <w:lvlText w:val=""/>
      <w:lvlJc w:val="left"/>
      <w:pPr>
        <w:ind w:left="360" w:hanging="360"/>
      </w:pPr>
      <w:rPr>
        <w:rFonts w:ascii="Symbol" w:hAnsi="Symbol" w:hint="default"/>
        <w:b w:val="0"/>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nsid w:val="687E78AA"/>
    <w:multiLevelType w:val="hybridMultilevel"/>
    <w:tmpl w:val="A386E2E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nsid w:val="68D03FC3"/>
    <w:multiLevelType w:val="multilevel"/>
    <w:tmpl w:val="CECE512C"/>
    <w:lvl w:ilvl="0">
      <w:start w:val="1"/>
      <w:numFmt w:val="bullet"/>
      <w:lvlText w:val=""/>
      <w:lvlJc w:val="left"/>
      <w:pPr>
        <w:tabs>
          <w:tab w:val="num" w:pos="1440"/>
        </w:tabs>
        <w:ind w:left="1440" w:hanging="360"/>
      </w:pPr>
      <w:rPr>
        <w:rFonts w:ascii="Wingdings" w:hAnsi="Wingdings" w:hint="default"/>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34">
    <w:nsid w:val="6AEE7588"/>
    <w:multiLevelType w:val="hybridMultilevel"/>
    <w:tmpl w:val="8280F3EC"/>
    <w:lvl w:ilvl="0" w:tplc="40BAB57C">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nsid w:val="6B4D2D6D"/>
    <w:multiLevelType w:val="hybridMultilevel"/>
    <w:tmpl w:val="C242F29C"/>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6DD43176"/>
    <w:multiLevelType w:val="hybridMultilevel"/>
    <w:tmpl w:val="DCDC6AA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7E060422"/>
    <w:multiLevelType w:val="hybridMultilevel"/>
    <w:tmpl w:val="2678147C"/>
    <w:lvl w:ilvl="0" w:tplc="04090019">
      <w:start w:val="1"/>
      <w:numFmt w:val="lowerLetter"/>
      <w:lvlText w:val="%1."/>
      <w:lvlJc w:val="left"/>
      <w:pPr>
        <w:tabs>
          <w:tab w:val="num" w:pos="720"/>
        </w:tabs>
        <w:ind w:left="720" w:hanging="360"/>
      </w:pPr>
      <w:rPr>
        <w:rFonts w:hint="default"/>
      </w:rPr>
    </w:lvl>
    <w:lvl w:ilvl="1" w:tplc="40BAB57C">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nsid w:val="7EB10FB0"/>
    <w:multiLevelType w:val="hybridMultilevel"/>
    <w:tmpl w:val="A082019C"/>
    <w:lvl w:ilvl="0" w:tplc="0A0481C6">
      <w:start w:val="1"/>
      <w:numFmt w:val="decimal"/>
      <w:lvlText w:val="%1."/>
      <w:lvlJc w:val="left"/>
      <w:pPr>
        <w:ind w:left="360" w:hanging="360"/>
      </w:pPr>
      <w:rPr>
        <w:b/>
        <w:i w:val="0"/>
        <w:color w:val="auto"/>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nsid w:val="7F512ADA"/>
    <w:multiLevelType w:val="hybridMultilevel"/>
    <w:tmpl w:val="31A4D470"/>
    <w:lvl w:ilvl="0" w:tplc="46104208">
      <w:start w:val="13"/>
      <w:numFmt w:val="decimal"/>
      <w:lvlText w:val="%1."/>
      <w:lvlJc w:val="left"/>
      <w:pPr>
        <w:ind w:left="360" w:hanging="360"/>
      </w:pPr>
      <w:rPr>
        <w:rFonts w:hint="default"/>
        <w:b/>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3"/>
  </w:num>
  <w:num w:numId="2">
    <w:abstractNumId w:val="8"/>
  </w:num>
  <w:num w:numId="3">
    <w:abstractNumId w:val="10"/>
  </w:num>
  <w:num w:numId="4">
    <w:abstractNumId w:val="33"/>
  </w:num>
  <w:num w:numId="5">
    <w:abstractNumId w:val="30"/>
  </w:num>
  <w:num w:numId="6">
    <w:abstractNumId w:val="12"/>
  </w:num>
  <w:num w:numId="7">
    <w:abstractNumId w:val="29"/>
  </w:num>
  <w:num w:numId="8">
    <w:abstractNumId w:val="18"/>
  </w:num>
  <w:num w:numId="9">
    <w:abstractNumId w:val="7"/>
  </w:num>
  <w:num w:numId="10">
    <w:abstractNumId w:val="9"/>
  </w:num>
  <w:num w:numId="11">
    <w:abstractNumId w:val="21"/>
  </w:num>
  <w:num w:numId="12">
    <w:abstractNumId w:val="11"/>
  </w:num>
  <w:num w:numId="13">
    <w:abstractNumId w:val="37"/>
  </w:num>
  <w:num w:numId="14">
    <w:abstractNumId w:val="36"/>
  </w:num>
  <w:num w:numId="15">
    <w:abstractNumId w:val="25"/>
  </w:num>
  <w:num w:numId="16">
    <w:abstractNumId w:val="19"/>
  </w:num>
  <w:num w:numId="17">
    <w:abstractNumId w:val="20"/>
  </w:num>
  <w:num w:numId="18">
    <w:abstractNumId w:val="38"/>
  </w:num>
  <w:num w:numId="19">
    <w:abstractNumId w:val="15"/>
  </w:num>
  <w:num w:numId="20">
    <w:abstractNumId w:val="0"/>
  </w:num>
  <w:num w:numId="21">
    <w:abstractNumId w:val="5"/>
  </w:num>
  <w:num w:numId="22">
    <w:abstractNumId w:val="27"/>
  </w:num>
  <w:num w:numId="23">
    <w:abstractNumId w:val="28"/>
  </w:num>
  <w:num w:numId="24">
    <w:abstractNumId w:val="34"/>
  </w:num>
  <w:num w:numId="25">
    <w:abstractNumId w:val="1"/>
  </w:num>
  <w:num w:numId="26">
    <w:abstractNumId w:val="22"/>
  </w:num>
  <w:num w:numId="27">
    <w:abstractNumId w:val="6"/>
  </w:num>
  <w:num w:numId="28">
    <w:abstractNumId w:val="31"/>
  </w:num>
  <w:num w:numId="29">
    <w:abstractNumId w:val="35"/>
  </w:num>
  <w:num w:numId="30">
    <w:abstractNumId w:val="14"/>
  </w:num>
  <w:num w:numId="31">
    <w:abstractNumId w:val="39"/>
  </w:num>
  <w:num w:numId="32">
    <w:abstractNumId w:val="24"/>
  </w:num>
  <w:num w:numId="33">
    <w:abstractNumId w:val="17"/>
  </w:num>
  <w:num w:numId="34">
    <w:abstractNumId w:val="13"/>
  </w:num>
  <w:num w:numId="35">
    <w:abstractNumId w:val="23"/>
  </w:num>
  <w:num w:numId="36">
    <w:abstractNumId w:val="16"/>
  </w:num>
  <w:num w:numId="37">
    <w:abstractNumId w:val="2"/>
  </w:num>
  <w:num w:numId="38">
    <w:abstractNumId w:val="32"/>
  </w:num>
  <w:num w:numId="39">
    <w:abstractNumId w:val="4"/>
  </w:num>
  <w:num w:numId="40">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oNotHyphenateCaps/>
  <w:drawingGridHorizontalSpacing w:val="100"/>
  <w:drawingGridVerticalSpacing w:val="120"/>
  <w:displayHorizontalDrawingGridEvery w:val="0"/>
  <w:displayVerticalDrawingGridEvery w:val="3"/>
  <w:doNotShadeFormData/>
  <w:characterSpacingControl w:val="compressPunctuation"/>
  <w:footnotePr>
    <w:numRestart w:val="eachSect"/>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0F5D"/>
    <w:rsid w:val="00003733"/>
    <w:rsid w:val="00010718"/>
    <w:rsid w:val="00010ACD"/>
    <w:rsid w:val="00011244"/>
    <w:rsid w:val="000164AE"/>
    <w:rsid w:val="0002097F"/>
    <w:rsid w:val="00024AF3"/>
    <w:rsid w:val="000256FD"/>
    <w:rsid w:val="00034865"/>
    <w:rsid w:val="00037246"/>
    <w:rsid w:val="00040C74"/>
    <w:rsid w:val="00043CA1"/>
    <w:rsid w:val="00044F42"/>
    <w:rsid w:val="0004595C"/>
    <w:rsid w:val="0004749E"/>
    <w:rsid w:val="000500A8"/>
    <w:rsid w:val="000513EF"/>
    <w:rsid w:val="000525A4"/>
    <w:rsid w:val="000609B1"/>
    <w:rsid w:val="00061CC5"/>
    <w:rsid w:val="00076444"/>
    <w:rsid w:val="0008270D"/>
    <w:rsid w:val="00084D0B"/>
    <w:rsid w:val="00086519"/>
    <w:rsid w:val="0009101C"/>
    <w:rsid w:val="00091D8E"/>
    <w:rsid w:val="00094B41"/>
    <w:rsid w:val="000A0748"/>
    <w:rsid w:val="000B0A70"/>
    <w:rsid w:val="000B3AF8"/>
    <w:rsid w:val="000B606A"/>
    <w:rsid w:val="000C0A94"/>
    <w:rsid w:val="000D1072"/>
    <w:rsid w:val="000D3241"/>
    <w:rsid w:val="000D7DAC"/>
    <w:rsid w:val="000F1704"/>
    <w:rsid w:val="00102134"/>
    <w:rsid w:val="00103851"/>
    <w:rsid w:val="00105F8E"/>
    <w:rsid w:val="0011172E"/>
    <w:rsid w:val="00114EF9"/>
    <w:rsid w:val="001154D9"/>
    <w:rsid w:val="00132347"/>
    <w:rsid w:val="00135257"/>
    <w:rsid w:val="00135CF1"/>
    <w:rsid w:val="00140D3B"/>
    <w:rsid w:val="00150900"/>
    <w:rsid w:val="00152C82"/>
    <w:rsid w:val="00156FD9"/>
    <w:rsid w:val="00163E25"/>
    <w:rsid w:val="00165690"/>
    <w:rsid w:val="00167679"/>
    <w:rsid w:val="001738FA"/>
    <w:rsid w:val="0017628C"/>
    <w:rsid w:val="001928A2"/>
    <w:rsid w:val="00195DEE"/>
    <w:rsid w:val="00197D3F"/>
    <w:rsid w:val="001A66DC"/>
    <w:rsid w:val="001B0C03"/>
    <w:rsid w:val="001B3C48"/>
    <w:rsid w:val="001B3EF1"/>
    <w:rsid w:val="001B44AE"/>
    <w:rsid w:val="001C170A"/>
    <w:rsid w:val="001C1B4B"/>
    <w:rsid w:val="001C2B34"/>
    <w:rsid w:val="001D1407"/>
    <w:rsid w:val="001D4111"/>
    <w:rsid w:val="001E404B"/>
    <w:rsid w:val="001F40F1"/>
    <w:rsid w:val="001F4CBC"/>
    <w:rsid w:val="00205264"/>
    <w:rsid w:val="002142BA"/>
    <w:rsid w:val="002153E5"/>
    <w:rsid w:val="0022097E"/>
    <w:rsid w:val="00221C4A"/>
    <w:rsid w:val="00232B8B"/>
    <w:rsid w:val="0023663A"/>
    <w:rsid w:val="002739BE"/>
    <w:rsid w:val="00276C1F"/>
    <w:rsid w:val="00291C15"/>
    <w:rsid w:val="0029422F"/>
    <w:rsid w:val="002B026F"/>
    <w:rsid w:val="002B2B23"/>
    <w:rsid w:val="002B2D4B"/>
    <w:rsid w:val="002C023F"/>
    <w:rsid w:val="002C02BD"/>
    <w:rsid w:val="002D2224"/>
    <w:rsid w:val="002D4B97"/>
    <w:rsid w:val="002D4BEF"/>
    <w:rsid w:val="002D7019"/>
    <w:rsid w:val="002E4F27"/>
    <w:rsid w:val="002F55E8"/>
    <w:rsid w:val="002F5BD0"/>
    <w:rsid w:val="003014B5"/>
    <w:rsid w:val="00315259"/>
    <w:rsid w:val="00322F48"/>
    <w:rsid w:val="00325189"/>
    <w:rsid w:val="00331556"/>
    <w:rsid w:val="00337613"/>
    <w:rsid w:val="00343B81"/>
    <w:rsid w:val="00344C64"/>
    <w:rsid w:val="00345CA7"/>
    <w:rsid w:val="00346352"/>
    <w:rsid w:val="00346884"/>
    <w:rsid w:val="00350388"/>
    <w:rsid w:val="00351A62"/>
    <w:rsid w:val="00352850"/>
    <w:rsid w:val="00353C80"/>
    <w:rsid w:val="003773C8"/>
    <w:rsid w:val="00377808"/>
    <w:rsid w:val="003A5394"/>
    <w:rsid w:val="003B3771"/>
    <w:rsid w:val="003C52E8"/>
    <w:rsid w:val="003C5D2F"/>
    <w:rsid w:val="003D3145"/>
    <w:rsid w:val="003D550F"/>
    <w:rsid w:val="003D5D1E"/>
    <w:rsid w:val="003E0C15"/>
    <w:rsid w:val="003E1BD3"/>
    <w:rsid w:val="00407E96"/>
    <w:rsid w:val="004238F4"/>
    <w:rsid w:val="00425F47"/>
    <w:rsid w:val="00427F10"/>
    <w:rsid w:val="004510BE"/>
    <w:rsid w:val="00454C1F"/>
    <w:rsid w:val="00470720"/>
    <w:rsid w:val="00480D9C"/>
    <w:rsid w:val="004829FC"/>
    <w:rsid w:val="004869AE"/>
    <w:rsid w:val="004A1EF3"/>
    <w:rsid w:val="004A5B11"/>
    <w:rsid w:val="004B4DA5"/>
    <w:rsid w:val="004B53C3"/>
    <w:rsid w:val="004C1E6F"/>
    <w:rsid w:val="004C4BD0"/>
    <w:rsid w:val="004C52F3"/>
    <w:rsid w:val="004C5648"/>
    <w:rsid w:val="004D2A59"/>
    <w:rsid w:val="004D5515"/>
    <w:rsid w:val="004E7DC7"/>
    <w:rsid w:val="004F1161"/>
    <w:rsid w:val="004F7267"/>
    <w:rsid w:val="005079DA"/>
    <w:rsid w:val="005114C1"/>
    <w:rsid w:val="00517A8F"/>
    <w:rsid w:val="00525732"/>
    <w:rsid w:val="005338BC"/>
    <w:rsid w:val="00540297"/>
    <w:rsid w:val="00541060"/>
    <w:rsid w:val="00543B23"/>
    <w:rsid w:val="00546B07"/>
    <w:rsid w:val="0055150A"/>
    <w:rsid w:val="00554C33"/>
    <w:rsid w:val="00557018"/>
    <w:rsid w:val="005612EB"/>
    <w:rsid w:val="0056492E"/>
    <w:rsid w:val="005743B2"/>
    <w:rsid w:val="00575C62"/>
    <w:rsid w:val="005813B2"/>
    <w:rsid w:val="005A2032"/>
    <w:rsid w:val="005B0BDF"/>
    <w:rsid w:val="005C0E2D"/>
    <w:rsid w:val="005C615B"/>
    <w:rsid w:val="005E0102"/>
    <w:rsid w:val="005E0914"/>
    <w:rsid w:val="005E329F"/>
    <w:rsid w:val="005E4946"/>
    <w:rsid w:val="006029B4"/>
    <w:rsid w:val="006068EC"/>
    <w:rsid w:val="006079B6"/>
    <w:rsid w:val="00626878"/>
    <w:rsid w:val="006345DA"/>
    <w:rsid w:val="00646A28"/>
    <w:rsid w:val="00656156"/>
    <w:rsid w:val="00656E8B"/>
    <w:rsid w:val="00662F43"/>
    <w:rsid w:val="00663B5D"/>
    <w:rsid w:val="006645D3"/>
    <w:rsid w:val="00675BA8"/>
    <w:rsid w:val="00686EE0"/>
    <w:rsid w:val="0068734C"/>
    <w:rsid w:val="00694CE2"/>
    <w:rsid w:val="006A2261"/>
    <w:rsid w:val="006A4D9B"/>
    <w:rsid w:val="006B025B"/>
    <w:rsid w:val="006B0DBD"/>
    <w:rsid w:val="006B3B9C"/>
    <w:rsid w:val="006B5C1D"/>
    <w:rsid w:val="006B6356"/>
    <w:rsid w:val="006C4617"/>
    <w:rsid w:val="006C714E"/>
    <w:rsid w:val="006D236E"/>
    <w:rsid w:val="006D2C45"/>
    <w:rsid w:val="006D661D"/>
    <w:rsid w:val="006E0380"/>
    <w:rsid w:val="006E17EF"/>
    <w:rsid w:val="006F08FB"/>
    <w:rsid w:val="0070342A"/>
    <w:rsid w:val="00704CEC"/>
    <w:rsid w:val="00707FD9"/>
    <w:rsid w:val="00722088"/>
    <w:rsid w:val="00727951"/>
    <w:rsid w:val="00733CCD"/>
    <w:rsid w:val="007362C5"/>
    <w:rsid w:val="00745D90"/>
    <w:rsid w:val="007540F8"/>
    <w:rsid w:val="00754FAD"/>
    <w:rsid w:val="00772471"/>
    <w:rsid w:val="00773427"/>
    <w:rsid w:val="00795FEE"/>
    <w:rsid w:val="007A1DF8"/>
    <w:rsid w:val="007B6458"/>
    <w:rsid w:val="007C3F36"/>
    <w:rsid w:val="007C7FD8"/>
    <w:rsid w:val="007D3DFE"/>
    <w:rsid w:val="007D626E"/>
    <w:rsid w:val="007D65EF"/>
    <w:rsid w:val="007D78DC"/>
    <w:rsid w:val="007E0F4F"/>
    <w:rsid w:val="00807C88"/>
    <w:rsid w:val="00811888"/>
    <w:rsid w:val="0081739B"/>
    <w:rsid w:val="00817764"/>
    <w:rsid w:val="00821168"/>
    <w:rsid w:val="008279A1"/>
    <w:rsid w:val="00830F5D"/>
    <w:rsid w:val="0083150C"/>
    <w:rsid w:val="00851434"/>
    <w:rsid w:val="008677BA"/>
    <w:rsid w:val="00884905"/>
    <w:rsid w:val="008864C0"/>
    <w:rsid w:val="00893D39"/>
    <w:rsid w:val="008941BD"/>
    <w:rsid w:val="00895892"/>
    <w:rsid w:val="00897896"/>
    <w:rsid w:val="00897B30"/>
    <w:rsid w:val="008A07D8"/>
    <w:rsid w:val="008A678E"/>
    <w:rsid w:val="008A720A"/>
    <w:rsid w:val="008B5870"/>
    <w:rsid w:val="008B7BC7"/>
    <w:rsid w:val="008C223C"/>
    <w:rsid w:val="008D34A3"/>
    <w:rsid w:val="008E2C0A"/>
    <w:rsid w:val="008E2DA8"/>
    <w:rsid w:val="008E4E78"/>
    <w:rsid w:val="008E5204"/>
    <w:rsid w:val="008E55C1"/>
    <w:rsid w:val="008E5B11"/>
    <w:rsid w:val="008F2CDB"/>
    <w:rsid w:val="008F3354"/>
    <w:rsid w:val="008F4BDA"/>
    <w:rsid w:val="00902DFA"/>
    <w:rsid w:val="00903B07"/>
    <w:rsid w:val="00905572"/>
    <w:rsid w:val="0090750C"/>
    <w:rsid w:val="00907B27"/>
    <w:rsid w:val="0091655D"/>
    <w:rsid w:val="00927957"/>
    <w:rsid w:val="00930435"/>
    <w:rsid w:val="00931713"/>
    <w:rsid w:val="00935560"/>
    <w:rsid w:val="00936B70"/>
    <w:rsid w:val="00937E4D"/>
    <w:rsid w:val="00942D52"/>
    <w:rsid w:val="00945BF7"/>
    <w:rsid w:val="00953CFD"/>
    <w:rsid w:val="00963C90"/>
    <w:rsid w:val="00965E53"/>
    <w:rsid w:val="00977479"/>
    <w:rsid w:val="0098453A"/>
    <w:rsid w:val="00987E8E"/>
    <w:rsid w:val="009A51F0"/>
    <w:rsid w:val="009B1C6C"/>
    <w:rsid w:val="009B4168"/>
    <w:rsid w:val="009B4625"/>
    <w:rsid w:val="009B7972"/>
    <w:rsid w:val="009C2D8C"/>
    <w:rsid w:val="009D3DFE"/>
    <w:rsid w:val="009D4484"/>
    <w:rsid w:val="009D4F72"/>
    <w:rsid w:val="009D63DF"/>
    <w:rsid w:val="009E0597"/>
    <w:rsid w:val="009E1512"/>
    <w:rsid w:val="009E2F2D"/>
    <w:rsid w:val="009E43F8"/>
    <w:rsid w:val="009E4A55"/>
    <w:rsid w:val="009F0DEB"/>
    <w:rsid w:val="009F1E33"/>
    <w:rsid w:val="009F2324"/>
    <w:rsid w:val="009F25D6"/>
    <w:rsid w:val="009F4AEF"/>
    <w:rsid w:val="009F5E71"/>
    <w:rsid w:val="00A0011B"/>
    <w:rsid w:val="00A01A32"/>
    <w:rsid w:val="00A07C37"/>
    <w:rsid w:val="00A227BC"/>
    <w:rsid w:val="00A24312"/>
    <w:rsid w:val="00A40EA2"/>
    <w:rsid w:val="00A415DD"/>
    <w:rsid w:val="00A43CC1"/>
    <w:rsid w:val="00A47427"/>
    <w:rsid w:val="00A5738E"/>
    <w:rsid w:val="00A57759"/>
    <w:rsid w:val="00A60F4E"/>
    <w:rsid w:val="00A613EE"/>
    <w:rsid w:val="00A666B0"/>
    <w:rsid w:val="00A72E59"/>
    <w:rsid w:val="00A87706"/>
    <w:rsid w:val="00A9125D"/>
    <w:rsid w:val="00A96936"/>
    <w:rsid w:val="00A97034"/>
    <w:rsid w:val="00AA6D90"/>
    <w:rsid w:val="00AA7B60"/>
    <w:rsid w:val="00AB249B"/>
    <w:rsid w:val="00AB49B2"/>
    <w:rsid w:val="00AC57C7"/>
    <w:rsid w:val="00AC7F26"/>
    <w:rsid w:val="00AD2A06"/>
    <w:rsid w:val="00AD6AD7"/>
    <w:rsid w:val="00AE13AD"/>
    <w:rsid w:val="00AF4B19"/>
    <w:rsid w:val="00AF60DF"/>
    <w:rsid w:val="00B003EB"/>
    <w:rsid w:val="00B2051C"/>
    <w:rsid w:val="00B22163"/>
    <w:rsid w:val="00B22478"/>
    <w:rsid w:val="00B32D5A"/>
    <w:rsid w:val="00B420B3"/>
    <w:rsid w:val="00B44DBE"/>
    <w:rsid w:val="00B45F1A"/>
    <w:rsid w:val="00B56244"/>
    <w:rsid w:val="00B5702F"/>
    <w:rsid w:val="00B75514"/>
    <w:rsid w:val="00B76167"/>
    <w:rsid w:val="00B77AB0"/>
    <w:rsid w:val="00B8451C"/>
    <w:rsid w:val="00B97360"/>
    <w:rsid w:val="00BA09BD"/>
    <w:rsid w:val="00BA3A23"/>
    <w:rsid w:val="00BA3A76"/>
    <w:rsid w:val="00BA6207"/>
    <w:rsid w:val="00BB03D2"/>
    <w:rsid w:val="00BB106F"/>
    <w:rsid w:val="00BE6F02"/>
    <w:rsid w:val="00C00298"/>
    <w:rsid w:val="00C1157F"/>
    <w:rsid w:val="00C14920"/>
    <w:rsid w:val="00C16F6D"/>
    <w:rsid w:val="00C22AA2"/>
    <w:rsid w:val="00C234EF"/>
    <w:rsid w:val="00C23F72"/>
    <w:rsid w:val="00C438D3"/>
    <w:rsid w:val="00C450BB"/>
    <w:rsid w:val="00C479D4"/>
    <w:rsid w:val="00C52247"/>
    <w:rsid w:val="00C52839"/>
    <w:rsid w:val="00C6014D"/>
    <w:rsid w:val="00C63CF5"/>
    <w:rsid w:val="00C66742"/>
    <w:rsid w:val="00C82BE5"/>
    <w:rsid w:val="00CA2C59"/>
    <w:rsid w:val="00CA5D05"/>
    <w:rsid w:val="00CB0188"/>
    <w:rsid w:val="00CB206B"/>
    <w:rsid w:val="00CB46D4"/>
    <w:rsid w:val="00CB6567"/>
    <w:rsid w:val="00CB7D67"/>
    <w:rsid w:val="00CC268A"/>
    <w:rsid w:val="00CD4CC4"/>
    <w:rsid w:val="00CD7543"/>
    <w:rsid w:val="00CE6DA2"/>
    <w:rsid w:val="00CF0E22"/>
    <w:rsid w:val="00CF7D91"/>
    <w:rsid w:val="00D224B2"/>
    <w:rsid w:val="00D25030"/>
    <w:rsid w:val="00D4216C"/>
    <w:rsid w:val="00D51094"/>
    <w:rsid w:val="00D52811"/>
    <w:rsid w:val="00D569DC"/>
    <w:rsid w:val="00D6223D"/>
    <w:rsid w:val="00D6726C"/>
    <w:rsid w:val="00D67B31"/>
    <w:rsid w:val="00D8039E"/>
    <w:rsid w:val="00D831CF"/>
    <w:rsid w:val="00D9046F"/>
    <w:rsid w:val="00D911A9"/>
    <w:rsid w:val="00DA1103"/>
    <w:rsid w:val="00DA1459"/>
    <w:rsid w:val="00DA36E4"/>
    <w:rsid w:val="00DB0FD8"/>
    <w:rsid w:val="00DB1F32"/>
    <w:rsid w:val="00DB4692"/>
    <w:rsid w:val="00DD213E"/>
    <w:rsid w:val="00DD2213"/>
    <w:rsid w:val="00DD5E98"/>
    <w:rsid w:val="00DE1364"/>
    <w:rsid w:val="00DE3A22"/>
    <w:rsid w:val="00DE7F1D"/>
    <w:rsid w:val="00DF4E1A"/>
    <w:rsid w:val="00E12337"/>
    <w:rsid w:val="00E204D5"/>
    <w:rsid w:val="00E24314"/>
    <w:rsid w:val="00E26246"/>
    <w:rsid w:val="00E31539"/>
    <w:rsid w:val="00E316A3"/>
    <w:rsid w:val="00E37325"/>
    <w:rsid w:val="00E41012"/>
    <w:rsid w:val="00E467B4"/>
    <w:rsid w:val="00E5022C"/>
    <w:rsid w:val="00E50384"/>
    <w:rsid w:val="00E56A9D"/>
    <w:rsid w:val="00E61A9A"/>
    <w:rsid w:val="00E674CF"/>
    <w:rsid w:val="00E744AC"/>
    <w:rsid w:val="00E8344C"/>
    <w:rsid w:val="00E914E1"/>
    <w:rsid w:val="00EA7683"/>
    <w:rsid w:val="00EB273F"/>
    <w:rsid w:val="00EB7DAD"/>
    <w:rsid w:val="00EC1AE8"/>
    <w:rsid w:val="00EC2355"/>
    <w:rsid w:val="00EC43A9"/>
    <w:rsid w:val="00ED3FEC"/>
    <w:rsid w:val="00ED64D0"/>
    <w:rsid w:val="00ED7C28"/>
    <w:rsid w:val="00EF438D"/>
    <w:rsid w:val="00EF4CDC"/>
    <w:rsid w:val="00EF52E4"/>
    <w:rsid w:val="00EF6D7E"/>
    <w:rsid w:val="00F1201C"/>
    <w:rsid w:val="00F229AC"/>
    <w:rsid w:val="00F25DE5"/>
    <w:rsid w:val="00F30FD0"/>
    <w:rsid w:val="00F358A1"/>
    <w:rsid w:val="00F528EE"/>
    <w:rsid w:val="00F52E30"/>
    <w:rsid w:val="00F53FB7"/>
    <w:rsid w:val="00F54F6E"/>
    <w:rsid w:val="00F56ED3"/>
    <w:rsid w:val="00F640AB"/>
    <w:rsid w:val="00F75415"/>
    <w:rsid w:val="00F77AAC"/>
    <w:rsid w:val="00F92057"/>
    <w:rsid w:val="00F94A46"/>
    <w:rsid w:val="00F97B3C"/>
    <w:rsid w:val="00FA13F0"/>
    <w:rsid w:val="00FA153C"/>
    <w:rsid w:val="00FC7BBF"/>
    <w:rsid w:val="00FD03AC"/>
    <w:rsid w:val="00FD2010"/>
    <w:rsid w:val="00FD7A1A"/>
    <w:rsid w:val="00FE5895"/>
    <w:rsid w:val="00FE7FAC"/>
    <w:rsid w:val="00FF11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HTML Cite"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autoSpaceDE w:val="0"/>
      <w:autoSpaceDN w:val="0"/>
      <w:adjustRightInd w:val="0"/>
    </w:pPr>
    <w:rPr>
      <w:rFonts w:ascii="Letter Gothic 12cpi" w:hAnsi="Letter Gothic 12cpi"/>
    </w:rPr>
  </w:style>
  <w:style w:type="paragraph" w:styleId="Heading1">
    <w:name w:val="heading 1"/>
    <w:basedOn w:val="Normal"/>
    <w:next w:val="Normal"/>
    <w:qFormat/>
    <w:pPr>
      <w:keepNext/>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outlineLvl w:val="0"/>
    </w:pPr>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Title">
    <w:name w:val="Title"/>
    <w:basedOn w:val="Normal"/>
    <w:qFormat/>
    <w:pPr>
      <w:jc w:val="center"/>
    </w:pPr>
    <w:rPr>
      <w:b/>
      <w:bCs/>
      <w:sz w:val="24"/>
      <w:szCs w:val="24"/>
      <w:u w:val="single"/>
    </w:rPr>
  </w:style>
  <w:style w:type="paragraph" w:styleId="Subtitle">
    <w:name w:val="Subtitle"/>
    <w:basedOn w:val="Normal"/>
    <w:qFormat/>
    <w:rPr>
      <w:b/>
      <w:bCs/>
      <w:sz w:val="24"/>
      <w:szCs w:val="24"/>
      <w:u w:val="single"/>
    </w:rPr>
  </w:style>
  <w:style w:type="paragraph" w:styleId="BodyText">
    <w:name w:val="Body Text"/>
    <w:basedOn w:val="Normal"/>
    <w:pPr>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pPr>
    <w:rPr>
      <w:color w:val="FF00FF"/>
      <w:sz w:val="24"/>
      <w:szCs w:val="24"/>
    </w:rPr>
  </w:style>
  <w:style w:type="paragraph" w:styleId="BodyTextIndent">
    <w:name w:val="Body Text Indent"/>
    <w:basedOn w:val="Normal"/>
    <w:pPr>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pPr>
    <w:rPr>
      <w:sz w:val="24"/>
      <w:szCs w:val="24"/>
    </w:rPr>
  </w:style>
  <w:style w:type="paragraph" w:styleId="BodyText3">
    <w:name w:val="Body Text 3"/>
    <w:basedOn w:val="Normal"/>
    <w:pPr>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pPr>
    <w:rPr>
      <w:color w:val="FF0000"/>
      <w:sz w:val="24"/>
      <w:szCs w:val="24"/>
    </w:rPr>
  </w:style>
  <w:style w:type="paragraph" w:styleId="NormalWeb">
    <w:name w:val="Normal (Web)"/>
    <w:basedOn w:val="Normal"/>
    <w:pPr>
      <w:widowControl/>
      <w:autoSpaceDE/>
      <w:autoSpaceDN/>
      <w:adjustRightInd/>
      <w:spacing w:before="100" w:beforeAutospacing="1" w:after="100" w:afterAutospacing="1"/>
    </w:pPr>
    <w:rPr>
      <w:rFonts w:ascii="Arial Unicode MS" w:eastAsia="Arial Unicode MS" w:hAnsi="Arial Unicode MS" w:cs="Arial Unicode MS"/>
      <w:sz w:val="24"/>
      <w:szCs w:val="24"/>
    </w:rPr>
  </w:style>
  <w:style w:type="character" w:styleId="Hyperlink">
    <w:name w:val="Hyperlink"/>
    <w:rPr>
      <w:color w:val="0000FF"/>
      <w:u w:val="single"/>
    </w:rPr>
  </w:style>
  <w:style w:type="character" w:styleId="Strong">
    <w:name w:val="Strong"/>
    <w:qFormat/>
    <w:rPr>
      <w:b/>
      <w:bCs/>
    </w:rPr>
  </w:style>
  <w:style w:type="paragraph" w:styleId="BodyText2">
    <w:name w:val="Body Text 2"/>
    <w:basedOn w:val="Normal"/>
    <w:pPr>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pPr>
    <w:rPr>
      <w:rFonts w:ascii="Times New Roman" w:hAnsi="Times New Roman"/>
      <w:b/>
      <w:bCs/>
      <w:sz w:val="24"/>
    </w:rPr>
  </w:style>
  <w:style w:type="paragraph" w:styleId="Header">
    <w:name w:val="header"/>
    <w:basedOn w:val="Normal"/>
    <w:rsid w:val="00F92057"/>
    <w:pPr>
      <w:tabs>
        <w:tab w:val="center" w:pos="4320"/>
        <w:tab w:val="right" w:pos="8640"/>
      </w:tabs>
    </w:pPr>
  </w:style>
  <w:style w:type="table" w:styleId="TableGrid">
    <w:name w:val="Table Grid"/>
    <w:basedOn w:val="TableNormal"/>
    <w:rsid w:val="00B97360"/>
    <w:pPr>
      <w:widowControl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ocumentMap">
    <w:name w:val="Document Map"/>
    <w:basedOn w:val="Normal"/>
    <w:semiHidden/>
    <w:rsid w:val="00407E96"/>
    <w:pPr>
      <w:shd w:val="clear" w:color="auto" w:fill="000080"/>
    </w:pPr>
    <w:rPr>
      <w:rFonts w:ascii="Tahoma" w:hAnsi="Tahoma" w:cs="Tahoma"/>
    </w:rPr>
  </w:style>
  <w:style w:type="paragraph" w:styleId="ListParagraph">
    <w:name w:val="List Paragraph"/>
    <w:basedOn w:val="Normal"/>
    <w:uiPriority w:val="34"/>
    <w:qFormat/>
    <w:rsid w:val="001C2B34"/>
    <w:pPr>
      <w:ind w:left="720"/>
    </w:pPr>
  </w:style>
  <w:style w:type="paragraph" w:styleId="FootnoteText">
    <w:name w:val="footnote text"/>
    <w:basedOn w:val="Normal"/>
    <w:link w:val="FootnoteTextChar"/>
    <w:rsid w:val="00A57759"/>
  </w:style>
  <w:style w:type="character" w:customStyle="1" w:styleId="FootnoteTextChar">
    <w:name w:val="Footnote Text Char"/>
    <w:link w:val="FootnoteText"/>
    <w:rsid w:val="00A57759"/>
    <w:rPr>
      <w:rFonts w:ascii="Letter Gothic 12cpi" w:hAnsi="Letter Gothic 12cpi"/>
    </w:rPr>
  </w:style>
  <w:style w:type="character" w:styleId="FootnoteReference">
    <w:name w:val="footnote reference"/>
    <w:uiPriority w:val="99"/>
    <w:rsid w:val="00A57759"/>
    <w:rPr>
      <w:vertAlign w:val="superscript"/>
    </w:rPr>
  </w:style>
  <w:style w:type="paragraph" w:styleId="BalloonText">
    <w:name w:val="Balloon Text"/>
    <w:basedOn w:val="Normal"/>
    <w:link w:val="BalloonTextChar"/>
    <w:rsid w:val="00040C74"/>
    <w:rPr>
      <w:rFonts w:ascii="Tahoma" w:hAnsi="Tahoma" w:cs="Tahoma"/>
      <w:sz w:val="16"/>
      <w:szCs w:val="16"/>
    </w:rPr>
  </w:style>
  <w:style w:type="character" w:customStyle="1" w:styleId="BalloonTextChar">
    <w:name w:val="Balloon Text Char"/>
    <w:link w:val="BalloonText"/>
    <w:rsid w:val="00040C74"/>
    <w:rPr>
      <w:rFonts w:ascii="Tahoma" w:hAnsi="Tahoma" w:cs="Tahoma"/>
      <w:sz w:val="16"/>
      <w:szCs w:val="16"/>
    </w:rPr>
  </w:style>
  <w:style w:type="paragraph" w:styleId="EndnoteText">
    <w:name w:val="endnote text"/>
    <w:basedOn w:val="Normal"/>
    <w:link w:val="EndnoteTextChar"/>
    <w:rsid w:val="009F4AEF"/>
  </w:style>
  <w:style w:type="character" w:customStyle="1" w:styleId="EndnoteTextChar">
    <w:name w:val="Endnote Text Char"/>
    <w:link w:val="EndnoteText"/>
    <w:rsid w:val="009F4AEF"/>
    <w:rPr>
      <w:rFonts w:ascii="Letter Gothic 12cpi" w:hAnsi="Letter Gothic 12cpi"/>
    </w:rPr>
  </w:style>
  <w:style w:type="character" w:styleId="EndnoteReference">
    <w:name w:val="endnote reference"/>
    <w:rsid w:val="009F4AEF"/>
    <w:rPr>
      <w:vertAlign w:val="superscript"/>
    </w:rPr>
  </w:style>
  <w:style w:type="character" w:styleId="CommentReference">
    <w:name w:val="annotation reference"/>
    <w:rsid w:val="00076444"/>
    <w:rPr>
      <w:sz w:val="16"/>
      <w:szCs w:val="16"/>
    </w:rPr>
  </w:style>
  <w:style w:type="paragraph" w:styleId="CommentText">
    <w:name w:val="annotation text"/>
    <w:basedOn w:val="Normal"/>
    <w:link w:val="CommentTextChar"/>
    <w:rsid w:val="00076444"/>
  </w:style>
  <w:style w:type="character" w:customStyle="1" w:styleId="CommentTextChar">
    <w:name w:val="Comment Text Char"/>
    <w:link w:val="CommentText"/>
    <w:rsid w:val="00076444"/>
    <w:rPr>
      <w:rFonts w:ascii="Letter Gothic 12cpi" w:hAnsi="Letter Gothic 12cpi"/>
    </w:rPr>
  </w:style>
  <w:style w:type="paragraph" w:styleId="CommentSubject">
    <w:name w:val="annotation subject"/>
    <w:basedOn w:val="CommentText"/>
    <w:next w:val="CommentText"/>
    <w:link w:val="CommentSubjectChar"/>
    <w:rsid w:val="00076444"/>
    <w:rPr>
      <w:b/>
      <w:bCs/>
    </w:rPr>
  </w:style>
  <w:style w:type="character" w:customStyle="1" w:styleId="CommentSubjectChar">
    <w:name w:val="Comment Subject Char"/>
    <w:link w:val="CommentSubject"/>
    <w:rsid w:val="00076444"/>
    <w:rPr>
      <w:rFonts w:ascii="Letter Gothic 12cpi" w:hAnsi="Letter Gothic 12cpi"/>
      <w:b/>
      <w:bCs/>
    </w:rPr>
  </w:style>
  <w:style w:type="paragraph" w:styleId="Revision">
    <w:name w:val="Revision"/>
    <w:hidden/>
    <w:uiPriority w:val="99"/>
    <w:semiHidden/>
    <w:rsid w:val="008F4BDA"/>
    <w:rPr>
      <w:rFonts w:ascii="Letter Gothic 12cpi" w:hAnsi="Letter Gothic 12cpi"/>
    </w:rPr>
  </w:style>
  <w:style w:type="character" w:styleId="FollowedHyperlink">
    <w:name w:val="FollowedHyperlink"/>
    <w:rsid w:val="008F4BDA"/>
    <w:rPr>
      <w:color w:val="800080"/>
      <w:u w:val="single"/>
    </w:rPr>
  </w:style>
  <w:style w:type="character" w:styleId="HTMLCite">
    <w:name w:val="HTML Cite"/>
    <w:uiPriority w:val="99"/>
    <w:unhideWhenUsed/>
    <w:rsid w:val="008F4BDA"/>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HTML Cite"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autoSpaceDE w:val="0"/>
      <w:autoSpaceDN w:val="0"/>
      <w:adjustRightInd w:val="0"/>
    </w:pPr>
    <w:rPr>
      <w:rFonts w:ascii="Letter Gothic 12cpi" w:hAnsi="Letter Gothic 12cpi"/>
    </w:rPr>
  </w:style>
  <w:style w:type="paragraph" w:styleId="Heading1">
    <w:name w:val="heading 1"/>
    <w:basedOn w:val="Normal"/>
    <w:next w:val="Normal"/>
    <w:qFormat/>
    <w:pPr>
      <w:keepNext/>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outlineLvl w:val="0"/>
    </w:pPr>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Title">
    <w:name w:val="Title"/>
    <w:basedOn w:val="Normal"/>
    <w:qFormat/>
    <w:pPr>
      <w:jc w:val="center"/>
    </w:pPr>
    <w:rPr>
      <w:b/>
      <w:bCs/>
      <w:sz w:val="24"/>
      <w:szCs w:val="24"/>
      <w:u w:val="single"/>
    </w:rPr>
  </w:style>
  <w:style w:type="paragraph" w:styleId="Subtitle">
    <w:name w:val="Subtitle"/>
    <w:basedOn w:val="Normal"/>
    <w:qFormat/>
    <w:rPr>
      <w:b/>
      <w:bCs/>
      <w:sz w:val="24"/>
      <w:szCs w:val="24"/>
      <w:u w:val="single"/>
    </w:rPr>
  </w:style>
  <w:style w:type="paragraph" w:styleId="BodyText">
    <w:name w:val="Body Text"/>
    <w:basedOn w:val="Normal"/>
    <w:pPr>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pPr>
    <w:rPr>
      <w:color w:val="FF00FF"/>
      <w:sz w:val="24"/>
      <w:szCs w:val="24"/>
    </w:rPr>
  </w:style>
  <w:style w:type="paragraph" w:styleId="BodyTextIndent">
    <w:name w:val="Body Text Indent"/>
    <w:basedOn w:val="Normal"/>
    <w:pPr>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pPr>
    <w:rPr>
      <w:sz w:val="24"/>
      <w:szCs w:val="24"/>
    </w:rPr>
  </w:style>
  <w:style w:type="paragraph" w:styleId="BodyText3">
    <w:name w:val="Body Text 3"/>
    <w:basedOn w:val="Normal"/>
    <w:pPr>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pPr>
    <w:rPr>
      <w:color w:val="FF0000"/>
      <w:sz w:val="24"/>
      <w:szCs w:val="24"/>
    </w:rPr>
  </w:style>
  <w:style w:type="paragraph" w:styleId="NormalWeb">
    <w:name w:val="Normal (Web)"/>
    <w:basedOn w:val="Normal"/>
    <w:pPr>
      <w:widowControl/>
      <w:autoSpaceDE/>
      <w:autoSpaceDN/>
      <w:adjustRightInd/>
      <w:spacing w:before="100" w:beforeAutospacing="1" w:after="100" w:afterAutospacing="1"/>
    </w:pPr>
    <w:rPr>
      <w:rFonts w:ascii="Arial Unicode MS" w:eastAsia="Arial Unicode MS" w:hAnsi="Arial Unicode MS" w:cs="Arial Unicode MS"/>
      <w:sz w:val="24"/>
      <w:szCs w:val="24"/>
    </w:rPr>
  </w:style>
  <w:style w:type="character" w:styleId="Hyperlink">
    <w:name w:val="Hyperlink"/>
    <w:rPr>
      <w:color w:val="0000FF"/>
      <w:u w:val="single"/>
    </w:rPr>
  </w:style>
  <w:style w:type="character" w:styleId="Strong">
    <w:name w:val="Strong"/>
    <w:qFormat/>
    <w:rPr>
      <w:b/>
      <w:bCs/>
    </w:rPr>
  </w:style>
  <w:style w:type="paragraph" w:styleId="BodyText2">
    <w:name w:val="Body Text 2"/>
    <w:basedOn w:val="Normal"/>
    <w:pPr>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pPr>
    <w:rPr>
      <w:rFonts w:ascii="Times New Roman" w:hAnsi="Times New Roman"/>
      <w:b/>
      <w:bCs/>
      <w:sz w:val="24"/>
    </w:rPr>
  </w:style>
  <w:style w:type="paragraph" w:styleId="Header">
    <w:name w:val="header"/>
    <w:basedOn w:val="Normal"/>
    <w:rsid w:val="00F92057"/>
    <w:pPr>
      <w:tabs>
        <w:tab w:val="center" w:pos="4320"/>
        <w:tab w:val="right" w:pos="8640"/>
      </w:tabs>
    </w:pPr>
  </w:style>
  <w:style w:type="table" w:styleId="TableGrid">
    <w:name w:val="Table Grid"/>
    <w:basedOn w:val="TableNormal"/>
    <w:rsid w:val="00B97360"/>
    <w:pPr>
      <w:widowControl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ocumentMap">
    <w:name w:val="Document Map"/>
    <w:basedOn w:val="Normal"/>
    <w:semiHidden/>
    <w:rsid w:val="00407E96"/>
    <w:pPr>
      <w:shd w:val="clear" w:color="auto" w:fill="000080"/>
    </w:pPr>
    <w:rPr>
      <w:rFonts w:ascii="Tahoma" w:hAnsi="Tahoma" w:cs="Tahoma"/>
    </w:rPr>
  </w:style>
  <w:style w:type="paragraph" w:styleId="ListParagraph">
    <w:name w:val="List Paragraph"/>
    <w:basedOn w:val="Normal"/>
    <w:uiPriority w:val="34"/>
    <w:qFormat/>
    <w:rsid w:val="001C2B34"/>
    <w:pPr>
      <w:ind w:left="720"/>
    </w:pPr>
  </w:style>
  <w:style w:type="paragraph" w:styleId="FootnoteText">
    <w:name w:val="footnote text"/>
    <w:basedOn w:val="Normal"/>
    <w:link w:val="FootnoteTextChar"/>
    <w:rsid w:val="00A57759"/>
  </w:style>
  <w:style w:type="character" w:customStyle="1" w:styleId="FootnoteTextChar">
    <w:name w:val="Footnote Text Char"/>
    <w:link w:val="FootnoteText"/>
    <w:rsid w:val="00A57759"/>
    <w:rPr>
      <w:rFonts w:ascii="Letter Gothic 12cpi" w:hAnsi="Letter Gothic 12cpi"/>
    </w:rPr>
  </w:style>
  <w:style w:type="character" w:styleId="FootnoteReference">
    <w:name w:val="footnote reference"/>
    <w:uiPriority w:val="99"/>
    <w:rsid w:val="00A57759"/>
    <w:rPr>
      <w:vertAlign w:val="superscript"/>
    </w:rPr>
  </w:style>
  <w:style w:type="paragraph" w:styleId="BalloonText">
    <w:name w:val="Balloon Text"/>
    <w:basedOn w:val="Normal"/>
    <w:link w:val="BalloonTextChar"/>
    <w:rsid w:val="00040C74"/>
    <w:rPr>
      <w:rFonts w:ascii="Tahoma" w:hAnsi="Tahoma" w:cs="Tahoma"/>
      <w:sz w:val="16"/>
      <w:szCs w:val="16"/>
    </w:rPr>
  </w:style>
  <w:style w:type="character" w:customStyle="1" w:styleId="BalloonTextChar">
    <w:name w:val="Balloon Text Char"/>
    <w:link w:val="BalloonText"/>
    <w:rsid w:val="00040C74"/>
    <w:rPr>
      <w:rFonts w:ascii="Tahoma" w:hAnsi="Tahoma" w:cs="Tahoma"/>
      <w:sz w:val="16"/>
      <w:szCs w:val="16"/>
    </w:rPr>
  </w:style>
  <w:style w:type="paragraph" w:styleId="EndnoteText">
    <w:name w:val="endnote text"/>
    <w:basedOn w:val="Normal"/>
    <w:link w:val="EndnoteTextChar"/>
    <w:rsid w:val="009F4AEF"/>
  </w:style>
  <w:style w:type="character" w:customStyle="1" w:styleId="EndnoteTextChar">
    <w:name w:val="Endnote Text Char"/>
    <w:link w:val="EndnoteText"/>
    <w:rsid w:val="009F4AEF"/>
    <w:rPr>
      <w:rFonts w:ascii="Letter Gothic 12cpi" w:hAnsi="Letter Gothic 12cpi"/>
    </w:rPr>
  </w:style>
  <w:style w:type="character" w:styleId="EndnoteReference">
    <w:name w:val="endnote reference"/>
    <w:rsid w:val="009F4AEF"/>
    <w:rPr>
      <w:vertAlign w:val="superscript"/>
    </w:rPr>
  </w:style>
  <w:style w:type="character" w:styleId="CommentReference">
    <w:name w:val="annotation reference"/>
    <w:rsid w:val="00076444"/>
    <w:rPr>
      <w:sz w:val="16"/>
      <w:szCs w:val="16"/>
    </w:rPr>
  </w:style>
  <w:style w:type="paragraph" w:styleId="CommentText">
    <w:name w:val="annotation text"/>
    <w:basedOn w:val="Normal"/>
    <w:link w:val="CommentTextChar"/>
    <w:rsid w:val="00076444"/>
  </w:style>
  <w:style w:type="character" w:customStyle="1" w:styleId="CommentTextChar">
    <w:name w:val="Comment Text Char"/>
    <w:link w:val="CommentText"/>
    <w:rsid w:val="00076444"/>
    <w:rPr>
      <w:rFonts w:ascii="Letter Gothic 12cpi" w:hAnsi="Letter Gothic 12cpi"/>
    </w:rPr>
  </w:style>
  <w:style w:type="paragraph" w:styleId="CommentSubject">
    <w:name w:val="annotation subject"/>
    <w:basedOn w:val="CommentText"/>
    <w:next w:val="CommentText"/>
    <w:link w:val="CommentSubjectChar"/>
    <w:rsid w:val="00076444"/>
    <w:rPr>
      <w:b/>
      <w:bCs/>
    </w:rPr>
  </w:style>
  <w:style w:type="character" w:customStyle="1" w:styleId="CommentSubjectChar">
    <w:name w:val="Comment Subject Char"/>
    <w:link w:val="CommentSubject"/>
    <w:rsid w:val="00076444"/>
    <w:rPr>
      <w:rFonts w:ascii="Letter Gothic 12cpi" w:hAnsi="Letter Gothic 12cpi"/>
      <w:b/>
      <w:bCs/>
    </w:rPr>
  </w:style>
  <w:style w:type="paragraph" w:styleId="Revision">
    <w:name w:val="Revision"/>
    <w:hidden/>
    <w:uiPriority w:val="99"/>
    <w:semiHidden/>
    <w:rsid w:val="008F4BDA"/>
    <w:rPr>
      <w:rFonts w:ascii="Letter Gothic 12cpi" w:hAnsi="Letter Gothic 12cpi"/>
    </w:rPr>
  </w:style>
  <w:style w:type="character" w:styleId="FollowedHyperlink">
    <w:name w:val="FollowedHyperlink"/>
    <w:rsid w:val="008F4BDA"/>
    <w:rPr>
      <w:color w:val="800080"/>
      <w:u w:val="single"/>
    </w:rPr>
  </w:style>
  <w:style w:type="character" w:styleId="HTMLCite">
    <w:name w:val="HTML Cite"/>
    <w:uiPriority w:val="99"/>
    <w:unhideWhenUsed/>
    <w:rsid w:val="008F4BD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1380745">
      <w:bodyDiv w:val="1"/>
      <w:marLeft w:val="0"/>
      <w:marRight w:val="0"/>
      <w:marTop w:val="0"/>
      <w:marBottom w:val="0"/>
      <w:divBdr>
        <w:top w:val="none" w:sz="0" w:space="0" w:color="auto"/>
        <w:left w:val="none" w:sz="0" w:space="0" w:color="auto"/>
        <w:bottom w:val="none" w:sz="0" w:space="0" w:color="auto"/>
        <w:right w:val="none" w:sz="0" w:space="0" w:color="auto"/>
      </w:divBdr>
    </w:div>
    <w:div w:id="788741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www.regulations.gov/#!docketDetail;D=FMCSA-2011-0046" TargetMode="External"/><Relationship Id="rId2" Type="http://schemas.openxmlformats.org/officeDocument/2006/relationships/hyperlink" Target="http://www.nhtsa.gov" TargetMode="External"/><Relationship Id="rId1" Type="http://schemas.openxmlformats.org/officeDocument/2006/relationships/hyperlink" Target="http://www.regulations.gov/#!documentDetail;D=FMCSA-1998-3947-0200" TargetMode="External"/><Relationship Id="rId4" Type="http://schemas.openxmlformats.org/officeDocument/2006/relationships/hyperlink" Target="http://www.regulations.gov/#!documentDetail;D=FMCSA-1998-3947-02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B32ADC-8AA3-4EA2-B0F0-297A43FDB9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4244</Words>
  <Characters>24154</Characters>
  <Application>Microsoft Office Word</Application>
  <DocSecurity>0</DocSecurity>
  <Lines>201</Lines>
  <Paragraphs>56</Paragraphs>
  <ScaleCrop>false</ScaleCrop>
  <HeadingPairs>
    <vt:vector size="2" baseType="variant">
      <vt:variant>
        <vt:lpstr>Title</vt:lpstr>
      </vt:variant>
      <vt:variant>
        <vt:i4>1</vt:i4>
      </vt:variant>
    </vt:vector>
  </HeadingPairs>
  <TitlesOfParts>
    <vt:vector size="1" baseType="lpstr">
      <vt:lpstr>SUPPORTING STATEMENT</vt:lpstr>
    </vt:vector>
  </TitlesOfParts>
  <Company>FHWA</Company>
  <LinksUpToDate>false</LinksUpToDate>
  <CharactersWithSpaces>28342</CharactersWithSpaces>
  <SharedDoc>false</SharedDoc>
  <HLinks>
    <vt:vector size="24" baseType="variant">
      <vt:variant>
        <vt:i4>4849678</vt:i4>
      </vt:variant>
      <vt:variant>
        <vt:i4>12</vt:i4>
      </vt:variant>
      <vt:variant>
        <vt:i4>0</vt:i4>
      </vt:variant>
      <vt:variant>
        <vt:i4>5</vt:i4>
      </vt:variant>
      <vt:variant>
        <vt:lpwstr>http://www.regulations.gov/</vt:lpwstr>
      </vt:variant>
      <vt:variant>
        <vt:lpwstr>!documentDetail;D=FMCSA-1998-3947-0200</vt:lpwstr>
      </vt:variant>
      <vt:variant>
        <vt:i4>64</vt:i4>
      </vt:variant>
      <vt:variant>
        <vt:i4>6</vt:i4>
      </vt:variant>
      <vt:variant>
        <vt:i4>0</vt:i4>
      </vt:variant>
      <vt:variant>
        <vt:i4>5</vt:i4>
      </vt:variant>
      <vt:variant>
        <vt:lpwstr>http://www.regulations.gov/</vt:lpwstr>
      </vt:variant>
      <vt:variant>
        <vt:lpwstr>!docketDetail;D=FMCSA-2011-0046</vt:lpwstr>
      </vt:variant>
      <vt:variant>
        <vt:i4>4259850</vt:i4>
      </vt:variant>
      <vt:variant>
        <vt:i4>3</vt:i4>
      </vt:variant>
      <vt:variant>
        <vt:i4>0</vt:i4>
      </vt:variant>
      <vt:variant>
        <vt:i4>5</vt:i4>
      </vt:variant>
      <vt:variant>
        <vt:lpwstr>http://www.nhtsa.gov/</vt:lpwstr>
      </vt:variant>
      <vt:variant>
        <vt:lpwstr/>
      </vt:variant>
      <vt:variant>
        <vt:i4>4849678</vt:i4>
      </vt:variant>
      <vt:variant>
        <vt:i4>0</vt:i4>
      </vt:variant>
      <vt:variant>
        <vt:i4>0</vt:i4>
      </vt:variant>
      <vt:variant>
        <vt:i4>5</vt:i4>
      </vt:variant>
      <vt:variant>
        <vt:lpwstr>http://www.regulations.gov/</vt:lpwstr>
      </vt:variant>
      <vt:variant>
        <vt:lpwstr>!documentDetail;D=FMCSA-1998-3947-0200</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AKENNEDY</dc:creator>
  <cp:lastModifiedBy>herman.dogan</cp:lastModifiedBy>
  <cp:revision>2</cp:revision>
  <cp:lastPrinted>2013-08-02T18:54:00Z</cp:lastPrinted>
  <dcterms:created xsi:type="dcterms:W3CDTF">2014-01-09T20:05:00Z</dcterms:created>
  <dcterms:modified xsi:type="dcterms:W3CDTF">2014-01-09T20:05:00Z</dcterms:modified>
</cp:coreProperties>
</file>