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DF57B2" w:rsidRPr="00DF57B2">
        <w:rPr>
          <w:sz w:val="28"/>
        </w:rPr>
        <w:t>3038-0107</w:t>
      </w:r>
      <w:r>
        <w:rPr>
          <w:sz w:val="28"/>
        </w:rPr>
        <w:t>)</w:t>
      </w:r>
    </w:p>
    <w:p w:rsidR="00E50293" w:rsidRPr="009239AA" w:rsidRDefault="000511E0" w:rsidP="00434E33">
      <w:pPr>
        <w:rPr>
          <w:b/>
        </w:rPr>
      </w:pPr>
      <w:r>
        <w:rPr>
          <w:b/>
          <w:noProof/>
        </w:rPr>
        <mc:AlternateContent>
          <mc:Choice Requires="wps">
            <w:drawing>
              <wp:anchor distT="4294967295" distB="4294967295" distL="114300" distR="114300" simplePos="0" relativeHeight="25165772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364E2C">
        <w:t xml:space="preserve"> Anti Financial Fraud Message Testing </w:t>
      </w:r>
    </w:p>
    <w:p w:rsidR="005E714A" w:rsidRDefault="005E714A"/>
    <w:p w:rsidR="001B0AAA" w:rsidRDefault="00F15956">
      <w:r>
        <w:rPr>
          <w:b/>
        </w:rPr>
        <w:t>PURPOSE</w:t>
      </w:r>
      <w:r w:rsidRPr="009239AA">
        <w:rPr>
          <w:b/>
        </w:rPr>
        <w:t>:</w:t>
      </w:r>
      <w:r w:rsidR="00C14CC4" w:rsidRPr="009239AA">
        <w:rPr>
          <w:b/>
        </w:rPr>
        <w:t xml:space="preserve">  </w:t>
      </w:r>
    </w:p>
    <w:p w:rsidR="001B0AAA" w:rsidRDefault="00DF57B2">
      <w:r>
        <w:t>The Commodity Futures Trading Commission’s Office of Consumer Outreach (OCO) (hereafter “OCO”) will undertake a variety of service delivery-focused activities over the next few years which include consumer outreach and information-sharing with stakeholders that are responsive to stakeholders’ needs and sensitive to changes in the consumer market.  The proposed information collection activity will use similar methods for information collection or otherwise share common elements, and provide a means to gather qualitative customer and stakeholder feedback in an efficient, timely manner.   The solicitation of information on delivery of consumer services will address such areas as appropriate messages, effective message delivery methods, and current consumer beliefs, psychographics and social norms that will assist the agency in developing an outreach and communications campaign designed to change consumer behavior.</w:t>
      </w:r>
    </w:p>
    <w:p w:rsidR="00C8488C" w:rsidRDefault="00C8488C"/>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DF57B2" w:rsidRDefault="00DF57B2">
      <w:r>
        <w:t>Our targ</w:t>
      </w:r>
      <w:r w:rsidR="003106A9">
        <w:t>et audiences for this effort</w:t>
      </w:r>
      <w:r>
        <w:t xml:space="preserve"> include the following:</w:t>
      </w:r>
    </w:p>
    <w:p w:rsidR="00DF57B2" w:rsidRDefault="00DF57B2"/>
    <w:p w:rsidR="00DF57B2" w:rsidRPr="00DF57B2" w:rsidRDefault="00DF57B2" w:rsidP="003106A9">
      <w:pPr>
        <w:ind w:left="360"/>
        <w:rPr>
          <w:b/>
        </w:rPr>
      </w:pPr>
      <w:r w:rsidRPr="00DF57B2">
        <w:rPr>
          <w:b/>
        </w:rPr>
        <w:t xml:space="preserve">Men </w:t>
      </w:r>
    </w:p>
    <w:p w:rsidR="00DF57B2" w:rsidRDefault="00DF57B2" w:rsidP="003106A9">
      <w:pPr>
        <w:pStyle w:val="ListParagraph"/>
        <w:numPr>
          <w:ilvl w:val="0"/>
          <w:numId w:val="19"/>
        </w:numPr>
        <w:ind w:left="1080"/>
      </w:pPr>
      <w:r>
        <w:t xml:space="preserve">Age 50-65 </w:t>
      </w:r>
    </w:p>
    <w:p w:rsidR="00DF57B2" w:rsidRDefault="00DF57B2" w:rsidP="003106A9">
      <w:pPr>
        <w:pStyle w:val="ListParagraph"/>
        <w:numPr>
          <w:ilvl w:val="0"/>
          <w:numId w:val="19"/>
        </w:numPr>
        <w:ind w:left="1080"/>
      </w:pPr>
      <w:r>
        <w:t>College-educated</w:t>
      </w:r>
    </w:p>
    <w:p w:rsidR="00DF57B2" w:rsidRDefault="00DF57B2" w:rsidP="003106A9">
      <w:pPr>
        <w:pStyle w:val="ListParagraph"/>
        <w:numPr>
          <w:ilvl w:val="0"/>
          <w:numId w:val="19"/>
        </w:numPr>
        <w:ind w:left="1080"/>
      </w:pPr>
      <w:r>
        <w:t xml:space="preserve">Financial decision-makers in their household </w:t>
      </w:r>
    </w:p>
    <w:p w:rsidR="00DF57B2" w:rsidRDefault="00DF57B2" w:rsidP="003106A9">
      <w:pPr>
        <w:pStyle w:val="ListParagraph"/>
        <w:numPr>
          <w:ilvl w:val="0"/>
          <w:numId w:val="19"/>
        </w:numPr>
        <w:ind w:left="1080"/>
      </w:pPr>
      <w:r>
        <w:t>$60K in HH income</w:t>
      </w:r>
    </w:p>
    <w:p w:rsidR="00DF57B2" w:rsidRDefault="00DF57B2" w:rsidP="003106A9">
      <w:pPr>
        <w:pStyle w:val="ListParagraph"/>
        <w:numPr>
          <w:ilvl w:val="0"/>
          <w:numId w:val="19"/>
        </w:numPr>
        <w:ind w:left="1080"/>
      </w:pPr>
      <w:r>
        <w:t>Financially literate</w:t>
      </w:r>
    </w:p>
    <w:p w:rsidR="00DF57B2" w:rsidRDefault="00DF57B2" w:rsidP="003106A9">
      <w:pPr>
        <w:pStyle w:val="ListParagraph"/>
        <w:numPr>
          <w:ilvl w:val="0"/>
          <w:numId w:val="19"/>
        </w:numPr>
        <w:ind w:left="1080"/>
      </w:pPr>
      <w:r>
        <w:t>Not risk-averse</w:t>
      </w:r>
    </w:p>
    <w:p w:rsidR="00DF57B2" w:rsidRDefault="00DF57B2" w:rsidP="003106A9">
      <w:pPr>
        <w:pStyle w:val="ListParagraph"/>
        <w:numPr>
          <w:ilvl w:val="0"/>
          <w:numId w:val="19"/>
        </w:numPr>
        <w:ind w:left="1080"/>
      </w:pPr>
      <w:r>
        <w:t xml:space="preserve">Married or partnered </w:t>
      </w:r>
    </w:p>
    <w:p w:rsidR="00DF57B2" w:rsidRDefault="00DF57B2"/>
    <w:p w:rsidR="00DF57B2" w:rsidRPr="00DF57B2" w:rsidRDefault="00DF57B2" w:rsidP="003106A9">
      <w:pPr>
        <w:ind w:left="360"/>
        <w:rPr>
          <w:b/>
        </w:rPr>
      </w:pPr>
      <w:r w:rsidRPr="00DF57B2">
        <w:rPr>
          <w:b/>
        </w:rPr>
        <w:t xml:space="preserve">Women </w:t>
      </w:r>
    </w:p>
    <w:p w:rsidR="00DF57B2" w:rsidRDefault="00DF57B2" w:rsidP="003106A9">
      <w:pPr>
        <w:pStyle w:val="ListParagraph"/>
        <w:numPr>
          <w:ilvl w:val="0"/>
          <w:numId w:val="19"/>
        </w:numPr>
        <w:ind w:left="1080"/>
      </w:pPr>
      <w:r>
        <w:t xml:space="preserve">Age 50-65 </w:t>
      </w:r>
    </w:p>
    <w:p w:rsidR="00DF57B2" w:rsidRDefault="00DF57B2" w:rsidP="003106A9">
      <w:pPr>
        <w:pStyle w:val="ListParagraph"/>
        <w:numPr>
          <w:ilvl w:val="0"/>
          <w:numId w:val="19"/>
        </w:numPr>
        <w:ind w:left="1080"/>
      </w:pPr>
      <w:r>
        <w:t>College-educated</w:t>
      </w:r>
    </w:p>
    <w:p w:rsidR="00DF57B2" w:rsidRDefault="00DF57B2" w:rsidP="003106A9">
      <w:pPr>
        <w:pStyle w:val="ListParagraph"/>
        <w:numPr>
          <w:ilvl w:val="0"/>
          <w:numId w:val="19"/>
        </w:numPr>
        <w:ind w:left="1080"/>
      </w:pPr>
      <w:r>
        <w:t xml:space="preserve">Financial decision-makers in their household </w:t>
      </w:r>
    </w:p>
    <w:p w:rsidR="00DF57B2" w:rsidRDefault="00DF57B2" w:rsidP="003106A9">
      <w:pPr>
        <w:pStyle w:val="ListParagraph"/>
        <w:numPr>
          <w:ilvl w:val="0"/>
          <w:numId w:val="19"/>
        </w:numPr>
        <w:ind w:left="1080"/>
      </w:pPr>
      <w:r>
        <w:t>$60K in HH income</w:t>
      </w:r>
    </w:p>
    <w:p w:rsidR="00DF57B2" w:rsidRDefault="00DF57B2" w:rsidP="003106A9">
      <w:pPr>
        <w:pStyle w:val="ListParagraph"/>
        <w:numPr>
          <w:ilvl w:val="0"/>
          <w:numId w:val="19"/>
        </w:numPr>
        <w:ind w:left="1080"/>
      </w:pPr>
      <w:r>
        <w:t>Financially literate</w:t>
      </w:r>
    </w:p>
    <w:p w:rsidR="00DF57B2" w:rsidRDefault="00DF57B2" w:rsidP="003106A9">
      <w:pPr>
        <w:pStyle w:val="ListParagraph"/>
        <w:numPr>
          <w:ilvl w:val="0"/>
          <w:numId w:val="19"/>
        </w:numPr>
        <w:ind w:left="1080"/>
      </w:pPr>
      <w:r>
        <w:t>Married, partnered, or single</w:t>
      </w:r>
    </w:p>
    <w:p w:rsidR="00DF57B2" w:rsidRDefault="00DF57B2"/>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DF57B2">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5C2F85" w:rsidRDefault="005C2F85">
      <w:pPr>
        <w:pStyle w:val="Header"/>
        <w:tabs>
          <w:tab w:val="clear" w:pos="4320"/>
          <w:tab w:val="clear" w:pos="8640"/>
        </w:tabs>
      </w:pPr>
    </w:p>
    <w:p w:rsidR="003106A9" w:rsidRDefault="003106A9">
      <w:pPr>
        <w:pStyle w:val="Header"/>
        <w:tabs>
          <w:tab w:val="clear" w:pos="4320"/>
          <w:tab w:val="clear" w:pos="8640"/>
        </w:tabs>
      </w:pPr>
    </w:p>
    <w:p w:rsidR="003106A9" w:rsidRDefault="003106A9">
      <w:pPr>
        <w:pStyle w:val="Header"/>
        <w:tabs>
          <w:tab w:val="clear" w:pos="4320"/>
          <w:tab w:val="clear" w:pos="8640"/>
        </w:tabs>
      </w:pPr>
    </w:p>
    <w:p w:rsidR="003106A9" w:rsidRDefault="003106A9">
      <w:pPr>
        <w:pStyle w:val="Header"/>
        <w:tabs>
          <w:tab w:val="clear" w:pos="4320"/>
          <w:tab w:val="clear" w:pos="8640"/>
        </w:tabs>
      </w:pPr>
    </w:p>
    <w:p w:rsidR="00CA2650" w:rsidRDefault="00441434">
      <w:pPr>
        <w:rPr>
          <w:b/>
        </w:rPr>
      </w:pPr>
      <w:r>
        <w:rPr>
          <w:b/>
        </w:rPr>
        <w:lastRenderedPageBreak/>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C641DB" w:rsidP="009C13B9">
      <w:r>
        <w:t>Name: Michael Herndon</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DF57B2">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w:t>
      </w:r>
      <w:r w:rsidR="00DF57B2">
        <w:t>X</w:t>
      </w:r>
      <w:r>
        <w:t xml:space="preserve"> ] Yes [  ] No  </w:t>
      </w:r>
    </w:p>
    <w:p w:rsidR="004D6E14" w:rsidRPr="005C2F85" w:rsidRDefault="004D6E14"/>
    <w:p w:rsidR="005C2F85" w:rsidRPr="005C2F85" w:rsidRDefault="005C2F85" w:rsidP="005C2F85">
      <w:r w:rsidRPr="005C2F85">
        <w:t xml:space="preserve">The screening criteria to recruit from our target audience calls for respondents with at least $60,000 in annual income, a bachelor’s degree, and a familiarity with multiple investment products. This is a wealthier target audience than is typically recruited for focus groups, and as a result they are more difficult to recruit. We contacted 18 professional focus group facilities and the lowest incentive rate suggested to recruit this audience was $75 per recruit.  In addition to their time, this incentive often covers travel costs as facilities recruit from a 45-mile radius and childcare costs since groups will not be conducted during school hours. </w:t>
      </w:r>
    </w:p>
    <w:p w:rsidR="005C2F85" w:rsidRPr="005C2F85" w:rsidRDefault="005C2F85" w:rsidP="005C2F85"/>
    <w:p w:rsidR="00C86E91" w:rsidRPr="005C2F85" w:rsidRDefault="005C2F85" w:rsidP="005C2F85">
      <w:r w:rsidRPr="005C2F85">
        <w:t>There are several factors that determine the amount offered to participants.  As background, amounts are driven by a facility’s ability to guarantee show rates.  These show rates, or the rates at which respondents will “show” for research events, are tracked over time.  Once show rates fall beneath the accepted industry average, facilities are forced to increase the incentive amount</w:t>
      </w:r>
      <w:r>
        <w:t>.</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364E2C" w:rsidTr="00AB1E61">
        <w:trPr>
          <w:trHeight w:val="274"/>
        </w:trPr>
        <w:tc>
          <w:tcPr>
            <w:tcW w:w="5418" w:type="dxa"/>
            <w:vAlign w:val="bottom"/>
          </w:tcPr>
          <w:p w:rsidR="00364E2C" w:rsidRPr="00364E2C" w:rsidRDefault="00364E2C" w:rsidP="00364E2C">
            <w:pPr>
              <w:rPr>
                <w:color w:val="000000"/>
              </w:rPr>
            </w:pPr>
            <w:r>
              <w:rPr>
                <w:color w:val="000000"/>
              </w:rPr>
              <w:t>Individuals (</w:t>
            </w:r>
            <w:r w:rsidRPr="00364E2C">
              <w:rPr>
                <w:color w:val="000000"/>
              </w:rPr>
              <w:t>screened for focus groups</w:t>
            </w:r>
            <w:r>
              <w:rPr>
                <w:color w:val="000000"/>
              </w:rPr>
              <w:t>)</w:t>
            </w:r>
          </w:p>
        </w:tc>
        <w:tc>
          <w:tcPr>
            <w:tcW w:w="1530" w:type="dxa"/>
            <w:vAlign w:val="center"/>
          </w:tcPr>
          <w:p w:rsidR="00364E2C" w:rsidRPr="00364E2C" w:rsidRDefault="00364E2C" w:rsidP="00D070F5">
            <w:pPr>
              <w:jc w:val="center"/>
              <w:rPr>
                <w:color w:val="000000"/>
              </w:rPr>
            </w:pPr>
            <w:r w:rsidRPr="00364E2C">
              <w:rPr>
                <w:color w:val="000000"/>
              </w:rPr>
              <w:t>2880</w:t>
            </w:r>
          </w:p>
        </w:tc>
        <w:tc>
          <w:tcPr>
            <w:tcW w:w="1710" w:type="dxa"/>
            <w:vAlign w:val="center"/>
          </w:tcPr>
          <w:p w:rsidR="00364E2C" w:rsidRPr="00364E2C" w:rsidRDefault="00364E2C" w:rsidP="00D070F5">
            <w:pPr>
              <w:jc w:val="center"/>
              <w:rPr>
                <w:color w:val="000000"/>
              </w:rPr>
            </w:pPr>
            <w:r w:rsidRPr="00364E2C">
              <w:rPr>
                <w:color w:val="000000"/>
              </w:rPr>
              <w:t>0.12</w:t>
            </w:r>
          </w:p>
        </w:tc>
        <w:tc>
          <w:tcPr>
            <w:tcW w:w="1003" w:type="dxa"/>
            <w:vAlign w:val="center"/>
          </w:tcPr>
          <w:p w:rsidR="00364E2C" w:rsidRPr="00364E2C" w:rsidRDefault="00364E2C" w:rsidP="00D070F5">
            <w:pPr>
              <w:jc w:val="center"/>
              <w:rPr>
                <w:color w:val="000000"/>
              </w:rPr>
            </w:pPr>
            <w:r w:rsidRPr="00364E2C">
              <w:rPr>
                <w:color w:val="000000"/>
              </w:rPr>
              <w:t>345.6</w:t>
            </w:r>
          </w:p>
        </w:tc>
      </w:tr>
      <w:tr w:rsidR="00364E2C" w:rsidTr="00AB1E61">
        <w:trPr>
          <w:trHeight w:val="274"/>
        </w:trPr>
        <w:tc>
          <w:tcPr>
            <w:tcW w:w="5418" w:type="dxa"/>
            <w:vAlign w:val="bottom"/>
          </w:tcPr>
          <w:p w:rsidR="00364E2C" w:rsidRPr="00364E2C" w:rsidRDefault="00364E2C" w:rsidP="00D070F5">
            <w:pPr>
              <w:rPr>
                <w:color w:val="000000"/>
              </w:rPr>
            </w:pPr>
            <w:r>
              <w:rPr>
                <w:color w:val="000000"/>
              </w:rPr>
              <w:t>Individuals (</w:t>
            </w:r>
            <w:r w:rsidRPr="00364E2C">
              <w:rPr>
                <w:color w:val="000000"/>
              </w:rPr>
              <w:t>who attend focus groups</w:t>
            </w:r>
            <w:r>
              <w:rPr>
                <w:color w:val="000000"/>
              </w:rPr>
              <w:t>)</w:t>
            </w:r>
          </w:p>
        </w:tc>
        <w:tc>
          <w:tcPr>
            <w:tcW w:w="1530" w:type="dxa"/>
            <w:vAlign w:val="center"/>
          </w:tcPr>
          <w:p w:rsidR="00364E2C" w:rsidRPr="00364E2C" w:rsidRDefault="00364E2C" w:rsidP="00D070F5">
            <w:pPr>
              <w:jc w:val="center"/>
              <w:rPr>
                <w:color w:val="000000"/>
              </w:rPr>
            </w:pPr>
            <w:r w:rsidRPr="00364E2C">
              <w:rPr>
                <w:color w:val="000000"/>
              </w:rPr>
              <w:t>54</w:t>
            </w:r>
          </w:p>
        </w:tc>
        <w:tc>
          <w:tcPr>
            <w:tcW w:w="1710" w:type="dxa"/>
            <w:vAlign w:val="center"/>
          </w:tcPr>
          <w:p w:rsidR="00364E2C" w:rsidRPr="00364E2C" w:rsidRDefault="00364E2C" w:rsidP="00D070F5">
            <w:pPr>
              <w:jc w:val="center"/>
              <w:rPr>
                <w:color w:val="000000"/>
              </w:rPr>
            </w:pPr>
            <w:r w:rsidRPr="00364E2C">
              <w:rPr>
                <w:color w:val="000000"/>
              </w:rPr>
              <w:t>1.5</w:t>
            </w:r>
          </w:p>
        </w:tc>
        <w:tc>
          <w:tcPr>
            <w:tcW w:w="1003" w:type="dxa"/>
            <w:vAlign w:val="center"/>
          </w:tcPr>
          <w:p w:rsidR="00364E2C" w:rsidRPr="00364E2C" w:rsidRDefault="00364E2C" w:rsidP="00D070F5">
            <w:pPr>
              <w:jc w:val="center"/>
              <w:rPr>
                <w:color w:val="000000"/>
              </w:rPr>
            </w:pPr>
            <w:r w:rsidRPr="00364E2C">
              <w:rPr>
                <w:color w:val="000000"/>
              </w:rPr>
              <w:t>81</w:t>
            </w:r>
          </w:p>
        </w:tc>
      </w:tr>
      <w:tr w:rsidR="00364E2C" w:rsidTr="00AB1E61">
        <w:trPr>
          <w:trHeight w:val="289"/>
        </w:trPr>
        <w:tc>
          <w:tcPr>
            <w:tcW w:w="5418" w:type="dxa"/>
          </w:tcPr>
          <w:p w:rsidR="00364E2C" w:rsidRPr="00364E2C" w:rsidRDefault="00364E2C" w:rsidP="00843796">
            <w:pPr>
              <w:rPr>
                <w:b/>
              </w:rPr>
            </w:pPr>
            <w:r w:rsidRPr="00364E2C">
              <w:rPr>
                <w:b/>
              </w:rPr>
              <w:t>Totals</w:t>
            </w:r>
          </w:p>
        </w:tc>
        <w:tc>
          <w:tcPr>
            <w:tcW w:w="1530" w:type="dxa"/>
          </w:tcPr>
          <w:p w:rsidR="00364E2C" w:rsidRPr="00364E2C" w:rsidRDefault="00364E2C" w:rsidP="00364E2C">
            <w:pPr>
              <w:jc w:val="center"/>
              <w:rPr>
                <w:b/>
              </w:rPr>
            </w:pPr>
            <w:r w:rsidRPr="00364E2C">
              <w:rPr>
                <w:color w:val="000000"/>
              </w:rPr>
              <w:t>2934</w:t>
            </w:r>
          </w:p>
        </w:tc>
        <w:tc>
          <w:tcPr>
            <w:tcW w:w="1710" w:type="dxa"/>
          </w:tcPr>
          <w:p w:rsidR="00364E2C" w:rsidRPr="00364E2C" w:rsidRDefault="00364E2C" w:rsidP="00843796"/>
        </w:tc>
        <w:tc>
          <w:tcPr>
            <w:tcW w:w="1003" w:type="dxa"/>
            <w:vAlign w:val="center"/>
          </w:tcPr>
          <w:p w:rsidR="00364E2C" w:rsidRPr="00364E2C" w:rsidRDefault="00364E2C" w:rsidP="00D070F5">
            <w:pPr>
              <w:jc w:val="center"/>
              <w:rPr>
                <w:color w:val="000000"/>
              </w:rPr>
            </w:pPr>
            <w:r w:rsidRPr="00364E2C">
              <w:rPr>
                <w:color w:val="000000"/>
              </w:rPr>
              <w:t>426.6</w:t>
            </w:r>
          </w:p>
        </w:tc>
      </w:tr>
    </w:tbl>
    <w:p w:rsidR="00F3170F" w:rsidRDefault="00F3170F" w:rsidP="00F3170F"/>
    <w:p w:rsidR="00441434" w:rsidRDefault="00441434" w:rsidP="00F3170F"/>
    <w:p w:rsidR="005E714A" w:rsidRDefault="001C39F7">
      <w:pPr>
        <w:rPr>
          <w:b/>
        </w:rPr>
      </w:pPr>
      <w:r>
        <w:rPr>
          <w:b/>
        </w:rPr>
        <w:lastRenderedPageBreak/>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364E2C">
        <w:t>$50,113.96</w:t>
      </w:r>
      <w:r w:rsidR="00C86E91">
        <w:t>___________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364E2C">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5C2F85" w:rsidRDefault="005C2F85" w:rsidP="001B0AAA"/>
    <w:p w:rsidR="00364E2C" w:rsidRDefault="005C2F85" w:rsidP="001B0AAA">
      <w:r w:rsidRPr="005C2F85">
        <w:t>Professional focus group recruitment facilities in each location will identify and screen potential participants for the testing using a random selection technique from their databases of area residents willing to participate in research.  These focus group facilities develop their databases by placing ads in local papers and using community events and local resources to recruit respondents.  Then, facilities will call individuals from their databases that are most likely to meet the criteria identified for participation for a specific project.  Facilities will obtain specific demographic information on the individuals who agree to participate to make the recruiting process more efficient.  For this effort, we are partnering with facilities who have a long track record of quality recruits (i.e., have quality databases). Moreover, the use of the focus group facilities’ databases of people interested in participating in focus groups minimizes the need to “cold-call” individuals for participation thereby reducing recruitment costs</w:t>
      </w:r>
      <w:r>
        <w:t xml:space="preserve">. </w:t>
      </w:r>
    </w:p>
    <w:p w:rsidR="005C2F85" w:rsidRDefault="005C2F85" w:rsidP="001B0AAA"/>
    <w:p w:rsidR="005C2F85" w:rsidRDefault="005C2F85" w:rsidP="001B0AAA">
      <w:r w:rsidRPr="005C2F85">
        <w:t xml:space="preserve">Screener Guides (Attachments A) will be used to ascertain that participants are representative of </w:t>
      </w:r>
      <w:r>
        <w:t xml:space="preserve">our target audience </w:t>
      </w:r>
      <w:r w:rsidRPr="005C2F85">
        <w:t>and to identify participants. These Screener Guides cover all questions to be used in the selection process</w:t>
      </w:r>
      <w:r>
        <w:t>.</w:t>
      </w:r>
    </w:p>
    <w:p w:rsidR="00A403BB" w:rsidRDefault="00A403BB" w:rsidP="00A403BB">
      <w:pPr>
        <w:pStyle w:val="ListParagraph"/>
      </w:pP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rsidR="00364E2C">
        <w:t>X</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  ] No</w:t>
      </w:r>
    </w:p>
    <w:p w:rsidR="00F24CFC" w:rsidRDefault="00F24CFC" w:rsidP="00F24CFC">
      <w:pPr>
        <w:pStyle w:val="ListParagraph"/>
        <w:ind w:left="360"/>
      </w:pPr>
      <w:r>
        <w:t xml:space="preserve"> </w:t>
      </w:r>
    </w:p>
    <w:p w:rsidR="003106A9" w:rsidRDefault="003106A9" w:rsidP="0024521E">
      <w:pPr>
        <w:rPr>
          <w:b/>
        </w:rPr>
      </w:pPr>
    </w:p>
    <w:p w:rsidR="003106A9" w:rsidRDefault="003106A9" w:rsidP="0024521E">
      <w:pPr>
        <w:rPr>
          <w:b/>
        </w:rPr>
      </w:pPr>
    </w:p>
    <w:p w:rsidR="003106A9" w:rsidRDefault="003106A9" w:rsidP="0024521E">
      <w:pPr>
        <w:rPr>
          <w:b/>
        </w:rPr>
      </w:pPr>
    </w:p>
    <w:p w:rsidR="003106A9" w:rsidRDefault="003106A9" w:rsidP="0024521E">
      <w:pPr>
        <w:rPr>
          <w:b/>
        </w:rPr>
      </w:pPr>
    </w:p>
    <w:p w:rsidR="003106A9" w:rsidRDefault="003106A9" w:rsidP="0024521E">
      <w:pPr>
        <w:rPr>
          <w:b/>
        </w:rPr>
      </w:pPr>
    </w:p>
    <w:p w:rsidR="003106A9" w:rsidRDefault="003106A9" w:rsidP="0024521E">
      <w:pPr>
        <w:rPr>
          <w:b/>
        </w:rPr>
      </w:pPr>
    </w:p>
    <w:p w:rsidR="003106A9" w:rsidRDefault="003106A9" w:rsidP="0024521E">
      <w:pPr>
        <w:rPr>
          <w:b/>
        </w:rPr>
      </w:pPr>
    </w:p>
    <w:p w:rsidR="0024521E" w:rsidRPr="00F24CFC" w:rsidRDefault="00F24CFC" w:rsidP="0024521E">
      <w:pPr>
        <w:rPr>
          <w:b/>
        </w:rPr>
      </w:pPr>
      <w:r w:rsidRPr="00F24CFC">
        <w:rPr>
          <w:b/>
        </w:rPr>
        <w:lastRenderedPageBreak/>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0511E0" w:rsidP="00F24CFC">
      <w:pPr>
        <w:rPr>
          <w:b/>
        </w:rPr>
      </w:pPr>
      <w:r>
        <w:rPr>
          <w:b/>
          <w:noProof/>
        </w:rPr>
        <mc:AlternateContent>
          <mc:Choice Requires="wps">
            <w:drawing>
              <wp:anchor distT="4294967295" distB="4294967295" distL="114300" distR="114300" simplePos="0" relativeHeight="25166028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lastRenderedPageBreak/>
        <w:t>Please make sure that 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09" w:rsidRDefault="00221809">
      <w:r>
        <w:separator/>
      </w:r>
    </w:p>
  </w:endnote>
  <w:endnote w:type="continuationSeparator" w:id="0">
    <w:p w:rsidR="00221809" w:rsidRDefault="0022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8F122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511E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09" w:rsidRDefault="00221809">
      <w:r>
        <w:separator/>
      </w:r>
    </w:p>
  </w:footnote>
  <w:footnote w:type="continuationSeparator" w:id="0">
    <w:p w:rsidR="00221809" w:rsidRDefault="00221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C355B7"/>
    <w:multiLevelType w:val="hybridMultilevel"/>
    <w:tmpl w:val="0662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47A64"/>
    <w:rsid w:val="000511E0"/>
    <w:rsid w:val="00067329"/>
    <w:rsid w:val="000B2838"/>
    <w:rsid w:val="000C3C86"/>
    <w:rsid w:val="000D44CA"/>
    <w:rsid w:val="000E200B"/>
    <w:rsid w:val="000F68BE"/>
    <w:rsid w:val="001927A4"/>
    <w:rsid w:val="00194AC6"/>
    <w:rsid w:val="001A23B0"/>
    <w:rsid w:val="001A25CC"/>
    <w:rsid w:val="001B0AAA"/>
    <w:rsid w:val="001C39F7"/>
    <w:rsid w:val="00221809"/>
    <w:rsid w:val="00237B48"/>
    <w:rsid w:val="0024521E"/>
    <w:rsid w:val="00263C3D"/>
    <w:rsid w:val="00274D0B"/>
    <w:rsid w:val="002B3C95"/>
    <w:rsid w:val="002D0B92"/>
    <w:rsid w:val="002F414A"/>
    <w:rsid w:val="003106A9"/>
    <w:rsid w:val="00364E2C"/>
    <w:rsid w:val="003D5BBE"/>
    <w:rsid w:val="003E3C61"/>
    <w:rsid w:val="003F1C5B"/>
    <w:rsid w:val="00434E33"/>
    <w:rsid w:val="00441434"/>
    <w:rsid w:val="0045264C"/>
    <w:rsid w:val="004876EC"/>
    <w:rsid w:val="004D6E14"/>
    <w:rsid w:val="005009B0"/>
    <w:rsid w:val="00505892"/>
    <w:rsid w:val="00514298"/>
    <w:rsid w:val="005A1006"/>
    <w:rsid w:val="005C2F85"/>
    <w:rsid w:val="005E714A"/>
    <w:rsid w:val="006140A0"/>
    <w:rsid w:val="00636621"/>
    <w:rsid w:val="00642B49"/>
    <w:rsid w:val="006832D9"/>
    <w:rsid w:val="0069403B"/>
    <w:rsid w:val="006F3DDE"/>
    <w:rsid w:val="00704678"/>
    <w:rsid w:val="007425E7"/>
    <w:rsid w:val="00802607"/>
    <w:rsid w:val="008101A5"/>
    <w:rsid w:val="00822664"/>
    <w:rsid w:val="00843796"/>
    <w:rsid w:val="00895229"/>
    <w:rsid w:val="008F0203"/>
    <w:rsid w:val="008F1222"/>
    <w:rsid w:val="008F50D4"/>
    <w:rsid w:val="009239AA"/>
    <w:rsid w:val="00935ADA"/>
    <w:rsid w:val="00946B6C"/>
    <w:rsid w:val="00955A71"/>
    <w:rsid w:val="009607A9"/>
    <w:rsid w:val="0096108F"/>
    <w:rsid w:val="009A68E6"/>
    <w:rsid w:val="009C13B9"/>
    <w:rsid w:val="009D01A2"/>
    <w:rsid w:val="009F5923"/>
    <w:rsid w:val="00A403BB"/>
    <w:rsid w:val="00A674DF"/>
    <w:rsid w:val="00A83AA6"/>
    <w:rsid w:val="00AE1809"/>
    <w:rsid w:val="00B040A0"/>
    <w:rsid w:val="00B80D76"/>
    <w:rsid w:val="00BA2105"/>
    <w:rsid w:val="00BA7E06"/>
    <w:rsid w:val="00BB43B5"/>
    <w:rsid w:val="00BB6219"/>
    <w:rsid w:val="00BD290F"/>
    <w:rsid w:val="00C14CC4"/>
    <w:rsid w:val="00C33C52"/>
    <w:rsid w:val="00C40D8B"/>
    <w:rsid w:val="00C56B41"/>
    <w:rsid w:val="00C641DB"/>
    <w:rsid w:val="00C8407A"/>
    <w:rsid w:val="00C8488C"/>
    <w:rsid w:val="00C86E91"/>
    <w:rsid w:val="00CA2650"/>
    <w:rsid w:val="00CB1078"/>
    <w:rsid w:val="00CC6FAF"/>
    <w:rsid w:val="00D24698"/>
    <w:rsid w:val="00D6383F"/>
    <w:rsid w:val="00DB59D0"/>
    <w:rsid w:val="00DC33D3"/>
    <w:rsid w:val="00DF57B2"/>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1379</Words>
  <Characters>7865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GScott</cp:lastModifiedBy>
  <cp:revision>2</cp:revision>
  <cp:lastPrinted>2010-10-04T16:59:00Z</cp:lastPrinted>
  <dcterms:created xsi:type="dcterms:W3CDTF">2013-08-01T18:22:00Z</dcterms:created>
  <dcterms:modified xsi:type="dcterms:W3CDTF">2013-08-01T18:22:00Z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