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1E87A6" w14:textId="77777777" w:rsidR="00F9405A" w:rsidRPr="00F9405A" w:rsidRDefault="00F9405A" w:rsidP="00F9405A">
      <w:pPr>
        <w:pStyle w:val="Heading1"/>
        <w:numPr>
          <w:ilvl w:val="0"/>
          <w:numId w:val="0"/>
        </w:numPr>
        <w:spacing w:before="0" w:after="0"/>
        <w:jc w:val="right"/>
        <w:rPr>
          <w:rFonts w:ascii="Arial" w:hAnsi="Arial" w:cs="Arial"/>
          <w:sz w:val="20"/>
          <w:szCs w:val="20"/>
        </w:rPr>
      </w:pPr>
      <w:bookmarkStart w:id="0" w:name="_Toc364236481"/>
      <w:bookmarkStart w:id="1" w:name="_GoBack"/>
      <w:bookmarkEnd w:id="1"/>
      <w:proofErr w:type="gramStart"/>
      <w:r w:rsidRPr="00F9405A">
        <w:rPr>
          <w:rFonts w:ascii="Arial" w:hAnsi="Arial" w:cs="Arial"/>
          <w:sz w:val="20"/>
          <w:szCs w:val="20"/>
        </w:rPr>
        <w:t>OMB No.</w:t>
      </w:r>
      <w:proofErr w:type="gramEnd"/>
      <w:r w:rsidRPr="00F9405A">
        <w:rPr>
          <w:rFonts w:ascii="Arial" w:hAnsi="Arial" w:cs="Arial"/>
          <w:sz w:val="20"/>
          <w:szCs w:val="20"/>
        </w:rPr>
        <w:t xml:space="preserve"> 0910-xxxx</w:t>
      </w:r>
    </w:p>
    <w:p w14:paraId="70459428" w14:textId="0346BE8E" w:rsidR="00F9405A" w:rsidRDefault="00F9405A" w:rsidP="00F9405A">
      <w:pPr>
        <w:pStyle w:val="Heading1"/>
        <w:numPr>
          <w:ilvl w:val="0"/>
          <w:numId w:val="0"/>
        </w:numPr>
        <w:spacing w:before="0" w:after="0"/>
        <w:ind w:left="360" w:hanging="360"/>
        <w:jc w:val="right"/>
        <w:rPr>
          <w:rFonts w:ascii="Arial" w:hAnsi="Arial" w:cs="Arial"/>
          <w:sz w:val="20"/>
          <w:szCs w:val="20"/>
        </w:rPr>
      </w:pPr>
      <w:r w:rsidRPr="00F9405A">
        <w:rPr>
          <w:rFonts w:ascii="Arial" w:hAnsi="Arial" w:cs="Arial"/>
          <w:sz w:val="20"/>
          <w:szCs w:val="20"/>
        </w:rPr>
        <w:t>Exp. Date xx/xx/xxxx</w:t>
      </w:r>
    </w:p>
    <w:p w14:paraId="2465B554" w14:textId="77777777" w:rsidR="00F9405A" w:rsidRPr="00F9405A" w:rsidRDefault="00F9405A" w:rsidP="00F9405A"/>
    <w:p w14:paraId="1AC9BD2B" w14:textId="557C39A6" w:rsidR="003D6A3E" w:rsidRPr="00BC6AB8" w:rsidRDefault="000A71F3" w:rsidP="00A51A35">
      <w:pPr>
        <w:pStyle w:val="Heading1"/>
        <w:numPr>
          <w:ilvl w:val="0"/>
          <w:numId w:val="0"/>
        </w:numPr>
        <w:ind w:left="360" w:hanging="360"/>
        <w:jc w:val="left"/>
        <w:rPr>
          <w:sz w:val="24"/>
          <w:szCs w:val="24"/>
        </w:rPr>
      </w:pPr>
      <w:r>
        <w:rPr>
          <w:sz w:val="24"/>
          <w:szCs w:val="24"/>
        </w:rPr>
        <w:t>ATTACHMENT 2</w:t>
      </w:r>
      <w:r w:rsidRPr="000A71F3">
        <w:rPr>
          <w:caps w:val="0"/>
          <w:sz w:val="24"/>
          <w:szCs w:val="24"/>
        </w:rPr>
        <w:t>a</w:t>
      </w:r>
      <w:r w:rsidR="00A51A35" w:rsidRPr="00BC6AB8">
        <w:rPr>
          <w:sz w:val="24"/>
          <w:szCs w:val="24"/>
        </w:rPr>
        <w:t xml:space="preserve">: </w:t>
      </w:r>
      <w:r w:rsidR="003D6A3E" w:rsidRPr="00BC6AB8">
        <w:rPr>
          <w:sz w:val="24"/>
          <w:szCs w:val="24"/>
        </w:rPr>
        <w:t>Rationale for Outcome Evaluation Measures</w:t>
      </w:r>
      <w:bookmarkEnd w:id="0"/>
    </w:p>
    <w:p w14:paraId="486ACF98" w14:textId="77777777" w:rsidR="003D6A3E" w:rsidRPr="00DA6D60" w:rsidRDefault="003D6A3E" w:rsidP="003D6A3E">
      <w:pPr>
        <w:pStyle w:val="BodyText"/>
        <w:spacing w:line="310" w:lineRule="exact"/>
      </w:pPr>
      <w:r w:rsidRPr="00DA6D60">
        <w:t>Measurable population-level behavior change—such as a change in youth smoking prevalence—is the product of a series of changes in interrelated, individual-level beliefs, attitudes and perceptions about norms, and environmental-level factors such as smoke-free laws (</w:t>
      </w:r>
      <w:proofErr w:type="spellStart"/>
      <w:r w:rsidRPr="00DA6D60">
        <w:t>Ajzen</w:t>
      </w:r>
      <w:proofErr w:type="spellEnd"/>
      <w:r w:rsidRPr="00DA6D60">
        <w:t xml:space="preserve"> &amp; </w:t>
      </w:r>
      <w:proofErr w:type="spellStart"/>
      <w:r w:rsidRPr="00DA6D60">
        <w:t>Fishbein</w:t>
      </w:r>
      <w:proofErr w:type="spellEnd"/>
      <w:r w:rsidRPr="00DA6D60">
        <w:t>, 1980</w:t>
      </w:r>
      <w:r>
        <w:fldChar w:fldCharType="begin"/>
      </w:r>
      <w:r>
        <w:instrText xml:space="preserve"> XE "</w:instrText>
      </w:r>
      <w:r w:rsidRPr="00B454FD">
        <w:instrText>Ajzen &amp; Fishbein, 1980</w:instrText>
      </w:r>
      <w:r>
        <w:instrText xml:space="preserve">" </w:instrText>
      </w:r>
      <w:r>
        <w:fldChar w:fldCharType="end"/>
      </w:r>
      <w:r w:rsidRPr="00DA6D60">
        <w:t>; Bandura, 1985</w:t>
      </w:r>
      <w:r>
        <w:fldChar w:fldCharType="begin"/>
      </w:r>
      <w:r>
        <w:instrText xml:space="preserve"> XE "</w:instrText>
      </w:r>
      <w:r w:rsidRPr="00D15AB5">
        <w:instrText>Bandura, 1985</w:instrText>
      </w:r>
      <w:r>
        <w:instrText xml:space="preserve">" </w:instrText>
      </w:r>
      <w:r>
        <w:fldChar w:fldCharType="end"/>
      </w:r>
      <w:r w:rsidRPr="00DA6D60">
        <w:t xml:space="preserve">; </w:t>
      </w:r>
      <w:proofErr w:type="spellStart"/>
      <w:r w:rsidRPr="00DA6D60">
        <w:t>Hornik</w:t>
      </w:r>
      <w:proofErr w:type="spellEnd"/>
      <w:r w:rsidRPr="00DA6D60">
        <w:t>, 2002</w:t>
      </w:r>
      <w:r>
        <w:fldChar w:fldCharType="begin"/>
      </w:r>
      <w:r>
        <w:instrText xml:space="preserve"> XE "</w:instrText>
      </w:r>
      <w:proofErr w:type="spellStart"/>
      <w:r w:rsidRPr="00974F2B">
        <w:instrText>Hornik</w:instrText>
      </w:r>
      <w:proofErr w:type="spellEnd"/>
      <w:r w:rsidRPr="00974F2B">
        <w:instrText>, 2002</w:instrText>
      </w:r>
      <w:r>
        <w:instrText xml:space="preserve">" </w:instrText>
      </w:r>
      <w:r>
        <w:fldChar w:fldCharType="end"/>
      </w:r>
      <w:r w:rsidRPr="00DA6D60">
        <w:t xml:space="preserve">; </w:t>
      </w:r>
      <w:proofErr w:type="spellStart"/>
      <w:r w:rsidRPr="00DA6D60">
        <w:t>Rosenstock</w:t>
      </w:r>
      <w:proofErr w:type="spellEnd"/>
      <w:r w:rsidRPr="00DA6D60">
        <w:t xml:space="preserve">, </w:t>
      </w:r>
      <w:proofErr w:type="spellStart"/>
      <w:r w:rsidRPr="00DA6D60">
        <w:t>Strecher</w:t>
      </w:r>
      <w:proofErr w:type="spellEnd"/>
      <w:r w:rsidRPr="00DA6D60">
        <w:t>, &amp; Becker, 1988</w:t>
      </w:r>
      <w:r>
        <w:fldChar w:fldCharType="begin"/>
      </w:r>
      <w:r>
        <w:instrText xml:space="preserve"> XE "</w:instrText>
      </w:r>
      <w:r w:rsidRPr="00FD6A06">
        <w:instrText>Rosenstock, Strecher, &amp; Becker, 1988</w:instrText>
      </w:r>
      <w:r>
        <w:instrText xml:space="preserve">" </w:instrText>
      </w:r>
      <w:r>
        <w:fldChar w:fldCharType="end"/>
      </w:r>
      <w:r w:rsidRPr="00DA6D60">
        <w:t xml:space="preserve">; </w:t>
      </w:r>
      <w:proofErr w:type="spellStart"/>
      <w:r w:rsidRPr="00DA6D60">
        <w:t>Trickett</w:t>
      </w:r>
      <w:proofErr w:type="spellEnd"/>
      <w:r w:rsidRPr="00DA6D60">
        <w:t xml:space="preserve"> et al., 2011</w:t>
      </w:r>
      <w:r>
        <w:fldChar w:fldCharType="begin"/>
      </w:r>
      <w:r>
        <w:instrText xml:space="preserve"> XE "</w:instrText>
      </w:r>
      <w:r w:rsidRPr="008C0D4C">
        <w:instrText>Trickett et al., 2011</w:instrText>
      </w:r>
      <w:r>
        <w:instrText xml:space="preserve">" </w:instrText>
      </w:r>
      <w:r>
        <w:fldChar w:fldCharType="end"/>
      </w:r>
      <w:r w:rsidRPr="00DA6D60">
        <w:t>). Behavior change theory guides our understanding of how campaigns function (</w:t>
      </w:r>
      <w:proofErr w:type="spellStart"/>
      <w:r w:rsidRPr="00DA6D60">
        <w:t>Ajzen</w:t>
      </w:r>
      <w:proofErr w:type="spellEnd"/>
      <w:r w:rsidRPr="00DA6D60">
        <w:t>, 1991</w:t>
      </w:r>
      <w:r>
        <w:fldChar w:fldCharType="begin"/>
      </w:r>
      <w:r>
        <w:instrText xml:space="preserve"> XE "</w:instrText>
      </w:r>
      <w:proofErr w:type="spellStart"/>
      <w:r w:rsidRPr="00FF0F5D">
        <w:instrText>Ajzen</w:instrText>
      </w:r>
      <w:proofErr w:type="spellEnd"/>
      <w:r w:rsidRPr="00FF0F5D">
        <w:instrText>, 1991</w:instrText>
      </w:r>
      <w:r>
        <w:instrText xml:space="preserve">" </w:instrText>
      </w:r>
      <w:r>
        <w:fldChar w:fldCharType="end"/>
      </w:r>
      <w:r w:rsidRPr="00DA6D60">
        <w:t>; Bandura, 1985</w:t>
      </w:r>
      <w:r>
        <w:fldChar w:fldCharType="begin"/>
      </w:r>
      <w:r>
        <w:instrText xml:space="preserve"> XE "</w:instrText>
      </w:r>
      <w:r w:rsidRPr="00DE329B">
        <w:instrText>Bandura, 1985</w:instrText>
      </w:r>
      <w:r>
        <w:instrText xml:space="preserve">" </w:instrText>
      </w:r>
      <w:r>
        <w:fldChar w:fldCharType="end"/>
      </w:r>
      <w:r w:rsidRPr="00DA6D60">
        <w:t xml:space="preserve">; </w:t>
      </w:r>
      <w:proofErr w:type="spellStart"/>
      <w:r w:rsidRPr="00DA6D60">
        <w:t>Rosenstock</w:t>
      </w:r>
      <w:proofErr w:type="spellEnd"/>
      <w:r w:rsidRPr="00DA6D60">
        <w:t xml:space="preserve"> et al., 1988</w:t>
      </w:r>
      <w:r>
        <w:fldChar w:fldCharType="begin"/>
      </w:r>
      <w:r>
        <w:instrText xml:space="preserve"> XE "</w:instrText>
      </w:r>
      <w:r w:rsidRPr="009C07A3">
        <w:instrText>Rosenstock et al., 1988</w:instrText>
      </w:r>
      <w:r>
        <w:instrText xml:space="preserve">" </w:instrText>
      </w:r>
      <w:r>
        <w:fldChar w:fldCharType="end"/>
      </w:r>
      <w:r w:rsidRPr="00DA6D60">
        <w:t xml:space="preserve">; </w:t>
      </w:r>
      <w:proofErr w:type="spellStart"/>
      <w:r w:rsidRPr="00DA6D60">
        <w:t>Trickett</w:t>
      </w:r>
      <w:proofErr w:type="spellEnd"/>
      <w:r w:rsidRPr="00DA6D60">
        <w:t xml:space="preserve"> et al., 2011</w:t>
      </w:r>
      <w:r>
        <w:fldChar w:fldCharType="begin"/>
      </w:r>
      <w:r>
        <w:instrText xml:space="preserve"> XE "</w:instrText>
      </w:r>
      <w:r w:rsidRPr="00723CB6">
        <w:instrText>Trickett et al., 2011</w:instrText>
      </w:r>
      <w:r>
        <w:instrText xml:space="preserve">" </w:instrText>
      </w:r>
      <w:r>
        <w:fldChar w:fldCharType="end"/>
      </w:r>
      <w:r w:rsidRPr="00DA6D60">
        <w:t>)</w:t>
      </w:r>
      <w:r>
        <w:t xml:space="preserve"> and</w:t>
      </w:r>
      <w:r w:rsidRPr="00DA6D60">
        <w:t xml:space="preserve"> defines our expectations about the order in which campaign effects should occur: belief change, attitude and social norm change, intention</w:t>
      </w:r>
      <w:r>
        <w:t>,</w:t>
      </w:r>
      <w:r w:rsidRPr="00DA6D60">
        <w:t xml:space="preserve"> and finally behavior change (Fishbein, 1967</w:t>
      </w:r>
      <w:r>
        <w:fldChar w:fldCharType="begin"/>
      </w:r>
      <w:r>
        <w:instrText xml:space="preserve"> XE "</w:instrText>
      </w:r>
      <w:r w:rsidRPr="0023541F">
        <w:instrText>Fishbein, 1967</w:instrText>
      </w:r>
      <w:r>
        <w:instrText xml:space="preserve">" </w:instrText>
      </w:r>
      <w:r>
        <w:fldChar w:fldCharType="end"/>
      </w:r>
      <w:r w:rsidRPr="00DA6D60">
        <w:t>). The Centers for Disease Control and Prevention</w:t>
      </w:r>
      <w:r>
        <w:t>’</w:t>
      </w:r>
      <w:r w:rsidRPr="00DA6D60">
        <w:t>s (CDC</w:t>
      </w:r>
      <w:r>
        <w:t>’</w:t>
      </w:r>
      <w:r w:rsidRPr="00DA6D60">
        <w:t>s) Best Practices for Comprehensive Tobacco Control Programs quantifies the timeline for these expectations, indicating that campaigns that deliver a sufficient amount of media will produce campaign awareness at 6 months, attitude change at 12 to 18 months, and behavior change at 18 to 24 months (CDC, 2007</w:t>
      </w:r>
      <w:r>
        <w:fldChar w:fldCharType="begin"/>
      </w:r>
      <w:r>
        <w:instrText xml:space="preserve"> XE "</w:instrText>
      </w:r>
      <w:r w:rsidRPr="001A3960">
        <w:instrText>CDC, 2007</w:instrText>
      </w:r>
      <w:r>
        <w:instrText xml:space="preserve">" </w:instrText>
      </w:r>
      <w:r>
        <w:fldChar w:fldCharType="end"/>
      </w:r>
      <w:r w:rsidRPr="00DA6D60">
        <w:t xml:space="preserve">). A </w:t>
      </w:r>
      <w:r>
        <w:t>National Cancer Institute (</w:t>
      </w:r>
      <w:r w:rsidRPr="00DA6D60">
        <w:t>NCI</w:t>
      </w:r>
      <w:r>
        <w:t>)</w:t>
      </w:r>
      <w:r w:rsidRPr="00DA6D60">
        <w:t xml:space="preserve"> study similarly concludes that campaigns </w:t>
      </w:r>
      <w:r>
        <w:t>“</w:t>
      </w:r>
      <w:r w:rsidRPr="00DA6D60">
        <w:t>influence attitudes toward tobacco within a short period, followed by longer-term effects on smoking behavior</w:t>
      </w:r>
      <w:r>
        <w:t>”</w:t>
      </w:r>
      <w:r w:rsidRPr="00DA6D60">
        <w:t xml:space="preserve"> (</w:t>
      </w:r>
      <w:r>
        <w:t>NCI, 2008</w:t>
      </w:r>
      <w:r>
        <w:fldChar w:fldCharType="begin"/>
      </w:r>
      <w:r>
        <w:instrText xml:space="preserve"> XE "</w:instrText>
      </w:r>
      <w:r w:rsidRPr="003B4069">
        <w:instrText>NCI, 2008</w:instrText>
      </w:r>
      <w:r>
        <w:instrText xml:space="preserve">" </w:instrText>
      </w:r>
      <w:r>
        <w:fldChar w:fldCharType="end"/>
      </w:r>
      <w:r>
        <w:t xml:space="preserve">, </w:t>
      </w:r>
      <w:r w:rsidRPr="00DA6D60">
        <w:t>p. 534). In practice, changes in beliefs, attitudes, and intention are often the first indicators of campaign effectiveness and</w:t>
      </w:r>
      <w:r>
        <w:t>,</w:t>
      </w:r>
      <w:r w:rsidRPr="00DA6D60">
        <w:t xml:space="preserve"> as a result, are among the first outcomes examined in the course of campaign evaluation (Cowell</w:t>
      </w:r>
      <w:r>
        <w:t xml:space="preserve"> et al.</w:t>
      </w:r>
      <w:r w:rsidRPr="00DA6D60">
        <w:t>, 2009</w:t>
      </w:r>
      <w:r>
        <w:fldChar w:fldCharType="begin"/>
      </w:r>
      <w:r>
        <w:instrText xml:space="preserve"> XE "</w:instrText>
      </w:r>
      <w:r w:rsidRPr="008414D7">
        <w:instrText>Cowell, Farrelly, Chou, &amp; Vallone, 2009</w:instrText>
      </w:r>
      <w:r>
        <w:instrText xml:space="preserve">" </w:instrText>
      </w:r>
      <w:r>
        <w:fldChar w:fldCharType="end"/>
      </w:r>
      <w:r w:rsidRPr="00DA6D60">
        <w:t>; Farrelly et al., 2005</w:t>
      </w:r>
      <w:r>
        <w:fldChar w:fldCharType="begin"/>
      </w:r>
      <w:r>
        <w:instrText xml:space="preserve"> XE "</w:instrText>
      </w:r>
      <w:r w:rsidRPr="00066298">
        <w:instrText>Farrelly et al., 2005</w:instrText>
      </w:r>
      <w:r>
        <w:instrText xml:space="preserve">" </w:instrText>
      </w:r>
      <w:r>
        <w:fldChar w:fldCharType="end"/>
      </w:r>
      <w:r w:rsidRPr="00DA6D60">
        <w:t xml:space="preserve">; Murray, Prokhorov, &amp; </w:t>
      </w:r>
      <w:proofErr w:type="spellStart"/>
      <w:r w:rsidRPr="00DA6D60">
        <w:t>Harty</w:t>
      </w:r>
      <w:proofErr w:type="spellEnd"/>
      <w:r w:rsidRPr="00DA6D60">
        <w:t>, 1994</w:t>
      </w:r>
      <w:r>
        <w:fldChar w:fldCharType="begin"/>
      </w:r>
      <w:r>
        <w:instrText xml:space="preserve"> XE "</w:instrText>
      </w:r>
      <w:r w:rsidRPr="00A178B6">
        <w:instrText>Murray, Prokhorov, &amp; Harty, 1994</w:instrText>
      </w:r>
      <w:r>
        <w:instrText xml:space="preserve">" </w:instrText>
      </w:r>
      <w:r>
        <w:fldChar w:fldCharType="end"/>
      </w:r>
      <w:r w:rsidRPr="00DA6D60">
        <w:t xml:space="preserve">; </w:t>
      </w:r>
      <w:proofErr w:type="spellStart"/>
      <w:r w:rsidRPr="00DA6D60">
        <w:t>Murukutla</w:t>
      </w:r>
      <w:proofErr w:type="spellEnd"/>
      <w:r w:rsidRPr="00DA6D60">
        <w:t xml:space="preserve"> et al., 2012</w:t>
      </w:r>
      <w:r>
        <w:fldChar w:fldCharType="begin"/>
      </w:r>
      <w:r>
        <w:instrText xml:space="preserve"> XE "</w:instrText>
      </w:r>
      <w:r w:rsidRPr="002E750D">
        <w:instrText>Murukutla et al., 2012</w:instrText>
      </w:r>
      <w:r>
        <w:instrText xml:space="preserve">" </w:instrText>
      </w:r>
      <w:r>
        <w:fldChar w:fldCharType="end"/>
      </w:r>
      <w:r w:rsidRPr="00DA6D60">
        <w:t>; Vallone</w:t>
      </w:r>
      <w:r>
        <w:t xml:space="preserve"> et al.</w:t>
      </w:r>
      <w:r w:rsidRPr="00DA6D60">
        <w:t>, 2011</w:t>
      </w:r>
      <w:r>
        <w:t>a, b</w:t>
      </w:r>
      <w:r>
        <w:fldChar w:fldCharType="begin"/>
      </w:r>
      <w:r>
        <w:instrText xml:space="preserve"> XE "</w:instrText>
      </w:r>
      <w:r w:rsidRPr="004E2E84">
        <w:instrText>Vallone, Duke, Cullen, McCausland, &amp; Allen, 2011</w:instrText>
      </w:r>
      <w:r>
        <w:instrText xml:space="preserve">a, b" </w:instrText>
      </w:r>
      <w:r>
        <w:fldChar w:fldCharType="end"/>
      </w:r>
      <w:r w:rsidRPr="00DA6D60">
        <w:t>).</w:t>
      </w:r>
    </w:p>
    <w:p w14:paraId="44AAE42B" w14:textId="77777777" w:rsidR="003D6A3E" w:rsidRPr="00DA6D60" w:rsidRDefault="003D6A3E" w:rsidP="00A51A35">
      <w:pPr>
        <w:pStyle w:val="Heading2"/>
        <w:numPr>
          <w:ilvl w:val="0"/>
          <w:numId w:val="0"/>
        </w:numPr>
        <w:ind w:left="720" w:hanging="720"/>
      </w:pPr>
      <w:bookmarkStart w:id="2" w:name="_Toc364236482"/>
      <w:r w:rsidRPr="00DA6D60">
        <w:t>Evaluation Logic Model</w:t>
      </w:r>
      <w:bookmarkEnd w:id="2"/>
    </w:p>
    <w:p w14:paraId="6B001950" w14:textId="77777777" w:rsidR="003D6A3E" w:rsidRPr="00DA6D60" w:rsidRDefault="003D6A3E" w:rsidP="003D6A3E">
      <w:pPr>
        <w:pStyle w:val="BodyText"/>
        <w:spacing w:line="310" w:lineRule="exact"/>
      </w:pPr>
      <w:r w:rsidRPr="00DA6D60">
        <w:t xml:space="preserve">Based on this evidence base and previous experience with tobacco prevention campaigns, </w:t>
      </w:r>
      <w:r>
        <w:t xml:space="preserve">we have </w:t>
      </w:r>
      <w:r w:rsidRPr="00DA6D60">
        <w:t>map</w:t>
      </w:r>
      <w:r>
        <w:t>ped</w:t>
      </w:r>
      <w:r w:rsidRPr="00DA6D60">
        <w:t xml:space="preserve"> the expected relationships between specific campaign activities and downstream outcome indicators (Figure </w:t>
      </w:r>
      <w:r w:rsidR="00E571F5">
        <w:t>1</w:t>
      </w:r>
      <w:r w:rsidRPr="00DA6D60">
        <w:t>-1). This model further outlines key variables and other contextual influences on tobacco-related outcomes that may moderate the effects of the campaigns and therefore must be accounted for in our assessment of the campaigns</w:t>
      </w:r>
      <w:r>
        <w:t>’</w:t>
      </w:r>
      <w:r w:rsidRPr="00DA6D60">
        <w:t xml:space="preserve"> impact</w:t>
      </w:r>
      <w:r>
        <w:t>s</w:t>
      </w:r>
      <w:r w:rsidRPr="00DA6D60">
        <w:t xml:space="preserve"> on key outcomes. Based on this model, we hypothesize that greater exposure to the campaigns will lead to greater </w:t>
      </w:r>
      <w:r w:rsidRPr="00DA6D60">
        <w:lastRenderedPageBreak/>
        <w:t>changes in all key outcomes at all stages of time (short-term, intermediate, and long-term).</w:t>
      </w:r>
    </w:p>
    <w:p w14:paraId="7DD80E24" w14:textId="77777777" w:rsidR="003D6A3E" w:rsidRPr="00DA6D60" w:rsidRDefault="003D6A3E" w:rsidP="003D6A3E">
      <w:pPr>
        <w:pStyle w:val="TableHeaders"/>
        <w:keepNext/>
        <w:jc w:val="left"/>
      </w:pPr>
      <w:r w:rsidRPr="00DA6D60">
        <w:t xml:space="preserve">Figure </w:t>
      </w:r>
      <w:r w:rsidR="006D0F9B">
        <w:t>1</w:t>
      </w:r>
      <w:r w:rsidRPr="00DA6D60">
        <w:t>-1</w:t>
      </w:r>
      <w:r>
        <w:t>.</w:t>
      </w:r>
      <w:r>
        <w:tab/>
      </w:r>
      <w:r w:rsidRPr="00DA6D60">
        <w:t>Evaluation Logic Model</w:t>
      </w:r>
    </w:p>
    <w:p w14:paraId="64A3737C" w14:textId="2FEF5A52" w:rsidR="003D6A3E" w:rsidRPr="00DA6D60" w:rsidRDefault="007F3E23" w:rsidP="003D6A3E">
      <w:pPr>
        <w:pStyle w:val="figurewbox"/>
      </w:pPr>
      <w:r>
        <w:object w:dxaOrig="15248" w:dyaOrig="8506" w14:anchorId="24F01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pt;height:240.4pt" o:ole="">
            <v:imagedata r:id="rId8" o:title=""/>
          </v:shape>
          <o:OLEObject Type="Embed" ProgID="Visio.Drawing.11" ShapeID="_x0000_i1025" DrawAspect="Content" ObjectID="_1444567917" r:id="rId9"/>
        </w:object>
      </w:r>
    </w:p>
    <w:p w14:paraId="6D92585A" w14:textId="77777777" w:rsidR="003D6A3E" w:rsidRPr="00DA6D60" w:rsidRDefault="003D6A3E" w:rsidP="003D6A3E">
      <w:pPr>
        <w:pStyle w:val="BodyText"/>
        <w:spacing w:line="310" w:lineRule="exact"/>
      </w:pPr>
    </w:p>
    <w:p w14:paraId="22545BA6" w14:textId="77777777" w:rsidR="003D6A3E" w:rsidRPr="00DA6D60" w:rsidRDefault="003D6A3E" w:rsidP="00A51A35">
      <w:pPr>
        <w:pStyle w:val="Heading2"/>
        <w:numPr>
          <w:ilvl w:val="0"/>
          <w:numId w:val="0"/>
        </w:numPr>
        <w:ind w:left="720" w:hanging="720"/>
      </w:pPr>
      <w:bookmarkStart w:id="3" w:name="_Toc364236483"/>
      <w:r w:rsidRPr="00DA6D60">
        <w:t>Evaluation Questions</w:t>
      </w:r>
      <w:bookmarkEnd w:id="3"/>
    </w:p>
    <w:p w14:paraId="550A7E69" w14:textId="45A3F094" w:rsidR="00AF625A" w:rsidRPr="00DA6D60" w:rsidRDefault="003D6A3E" w:rsidP="003D6A3E">
      <w:pPr>
        <w:pStyle w:val="BodyText"/>
      </w:pPr>
      <w:r w:rsidRPr="00DA6D60">
        <w:t xml:space="preserve">In this section, we present initial evaluation questions following the logic model described above and our current understanding of the creative direction of the general market and rural smokeless campaigns. The key evaluation questions we seek to answer fall under several broad domains, as outlined in </w:t>
      </w:r>
      <w:r w:rsidRPr="00DA6D60">
        <w:rPr>
          <w:bCs/>
        </w:rPr>
        <w:t>Table </w:t>
      </w:r>
      <w:r w:rsidR="007F3E23">
        <w:rPr>
          <w:bCs/>
        </w:rPr>
        <w:t>1</w:t>
      </w:r>
      <w:r w:rsidRPr="00DA6D60">
        <w:rPr>
          <w:bCs/>
        </w:rPr>
        <w:noBreakHyphen/>
        <w:t>1</w:t>
      </w:r>
      <w:r w:rsidRPr="00DA6D60">
        <w:t>: implementation, campaign awareness and receptivity, campaign Web sites and social media, short-term cognitive outcomes, intermediate-term cognitive outcomes, and long-term behavioral outcomes. Although this is not an exhaustive list of all possible evaluation questions that this evaluation will address, the enumeration of questions in Table </w:t>
      </w:r>
      <w:r w:rsidR="007F3E23">
        <w:t>1</w:t>
      </w:r>
      <w:r w:rsidRPr="00DA6D60">
        <w:noBreakHyphen/>
        <w:t xml:space="preserve">1 provides a detailed overview of the outcomes that are the focus of these campaigns and our evaluation. We present a combined set of evaluation questions for the general market and rural smokeless campaigns because of the significant overlap in the key questions. </w:t>
      </w:r>
      <w:r w:rsidR="00BC6AB8">
        <w:t xml:space="preserve">Table 1-2 provides the survey items enumerated by type and a </w:t>
      </w:r>
      <w:r w:rsidR="00AF625A">
        <w:t>description of how the various survey me</w:t>
      </w:r>
      <w:r w:rsidR="00BC6AB8">
        <w:t>asures will be used in analyses.</w:t>
      </w:r>
      <w:r w:rsidR="00AF625A">
        <w:t xml:space="preserve"> </w:t>
      </w:r>
    </w:p>
    <w:p w14:paraId="2F607E0D" w14:textId="4AD3FBF1" w:rsidR="003D6A3E" w:rsidRPr="00DA6D60" w:rsidRDefault="003D6A3E" w:rsidP="003D6A3E">
      <w:pPr>
        <w:pStyle w:val="TableTitle"/>
      </w:pPr>
      <w:bookmarkStart w:id="4" w:name="_Toc327362035"/>
      <w:bookmarkStart w:id="5" w:name="_Toc364236592"/>
      <w:bookmarkStart w:id="6" w:name="_Toc96761282"/>
      <w:r w:rsidRPr="00DA6D60">
        <w:lastRenderedPageBreak/>
        <w:t xml:space="preserve">Table </w:t>
      </w:r>
      <w:r w:rsidRPr="00DA6D60">
        <w:rPr>
          <w:noProof/>
          <w:cs/>
        </w:rPr>
        <w:t>‎</w:t>
      </w:r>
      <w:r w:rsidRPr="00DA6D60">
        <w:rPr>
          <w:noProof/>
        </w:rPr>
        <w:t>1</w:t>
      </w:r>
      <w:r w:rsidR="007F3E23">
        <w:rPr>
          <w:noProof/>
        </w:rPr>
        <w:t>-1</w:t>
      </w:r>
      <w:r w:rsidRPr="00DA6D60">
        <w:t>.</w:t>
      </w:r>
      <w:r w:rsidRPr="00DA6D60">
        <w:tab/>
        <w:t>Campaign Key Evaluation Questions</w:t>
      </w:r>
      <w:bookmarkEnd w:id="4"/>
      <w:bookmarkEnd w:id="5"/>
      <w:r w:rsidRPr="00DA6D60">
        <w:t xml:space="preserve"> </w:t>
      </w:r>
    </w:p>
    <w:tbl>
      <w:tblPr>
        <w:tblW w:w="9375" w:type="dxa"/>
        <w:tblInd w:w="93" w:type="dxa"/>
        <w:tblLayout w:type="fixed"/>
        <w:tblCellMar>
          <w:left w:w="115" w:type="dxa"/>
          <w:right w:w="115" w:type="dxa"/>
        </w:tblCellMar>
        <w:tblLook w:val="0000" w:firstRow="0" w:lastRow="0" w:firstColumn="0" w:lastColumn="0" w:noHBand="0" w:noVBand="0"/>
      </w:tblPr>
      <w:tblGrid>
        <w:gridCol w:w="9375"/>
      </w:tblGrid>
      <w:tr w:rsidR="00801387" w:rsidRPr="00DA6D60" w14:paraId="0EED6587" w14:textId="77777777" w:rsidTr="00E571F5">
        <w:trPr>
          <w:cantSplit/>
        </w:trPr>
        <w:tc>
          <w:tcPr>
            <w:tcW w:w="9375" w:type="dxa"/>
            <w:tcBorders>
              <w:top w:val="single" w:sz="12" w:space="0" w:color="auto"/>
              <w:left w:val="nil"/>
              <w:right w:val="nil"/>
            </w:tcBorders>
            <w:shd w:val="clear" w:color="auto" w:fill="auto"/>
            <w:noWrap/>
          </w:tcPr>
          <w:p w14:paraId="23D0738B" w14:textId="36C2831C" w:rsidR="00801387" w:rsidRPr="00DA6D60" w:rsidRDefault="00801387" w:rsidP="00E571F5">
            <w:pPr>
              <w:pStyle w:val="TableText"/>
              <w:keepNext/>
              <w:rPr>
                <w:b/>
              </w:rPr>
            </w:pPr>
            <w:r w:rsidRPr="00DA6D60">
              <w:rPr>
                <w:b/>
              </w:rPr>
              <w:t>Short-Term Cognitive Outcomes (illustrative)</w:t>
            </w:r>
          </w:p>
        </w:tc>
      </w:tr>
      <w:tr w:rsidR="003D6A3E" w:rsidRPr="00DA6D60" w14:paraId="37CB18B3" w14:textId="77777777" w:rsidTr="00E571F5">
        <w:trPr>
          <w:cantSplit/>
        </w:trPr>
        <w:tc>
          <w:tcPr>
            <w:tcW w:w="9375" w:type="dxa"/>
            <w:tcBorders>
              <w:top w:val="nil"/>
              <w:left w:val="nil"/>
              <w:bottom w:val="nil"/>
              <w:right w:val="nil"/>
            </w:tcBorders>
            <w:shd w:val="clear" w:color="auto" w:fill="auto"/>
            <w:noWrap/>
          </w:tcPr>
          <w:p w14:paraId="1C746172" w14:textId="5F2C8856" w:rsidR="003D6A3E" w:rsidRPr="00DA6D60" w:rsidRDefault="003D6A3E" w:rsidP="00E571F5">
            <w:pPr>
              <w:pStyle w:val="TableTextIndent1"/>
              <w:keepNext/>
            </w:pPr>
            <w:r w:rsidRPr="00DA6D60">
              <w:t xml:space="preserve">Is </w:t>
            </w:r>
            <w:r w:rsidR="00801387">
              <w:t xml:space="preserve">cumulative </w:t>
            </w:r>
            <w:r w:rsidRPr="00DA6D60">
              <w:t>exposure to the campaign associated with changes in tobacco-related knowledge, attitudes, and beliefs, including social normative beliefs, among youth overall and by sensation seeking and tobacco use status?</w:t>
            </w:r>
          </w:p>
        </w:tc>
      </w:tr>
      <w:tr w:rsidR="003D6A3E" w:rsidRPr="00DA6D60" w14:paraId="7FBB5371" w14:textId="77777777" w:rsidTr="00E571F5">
        <w:trPr>
          <w:cantSplit/>
        </w:trPr>
        <w:tc>
          <w:tcPr>
            <w:tcW w:w="9375" w:type="dxa"/>
            <w:tcBorders>
              <w:top w:val="nil"/>
              <w:left w:val="nil"/>
              <w:bottom w:val="nil"/>
              <w:right w:val="nil"/>
            </w:tcBorders>
            <w:shd w:val="clear" w:color="auto" w:fill="auto"/>
            <w:noWrap/>
          </w:tcPr>
          <w:p w14:paraId="057F4D0B" w14:textId="4A7729CD" w:rsidR="003D6A3E" w:rsidRPr="00DA6D60" w:rsidRDefault="003D6A3E" w:rsidP="00E571F5">
            <w:pPr>
              <w:spacing w:before="60" w:after="60" w:line="276" w:lineRule="auto"/>
              <w:ind w:left="245"/>
            </w:pPr>
            <w:r w:rsidRPr="00DA6D60">
              <w:rPr>
                <w:rFonts w:eastAsia="Times New Roman"/>
                <w:sz w:val="18"/>
                <w:szCs w:val="18"/>
              </w:rPr>
              <w:t xml:space="preserve">Is </w:t>
            </w:r>
            <w:r w:rsidR="00801387">
              <w:rPr>
                <w:rFonts w:eastAsia="Times New Roman"/>
                <w:sz w:val="18"/>
                <w:szCs w:val="18"/>
              </w:rPr>
              <w:t xml:space="preserve">cumulative </w:t>
            </w:r>
            <w:r w:rsidRPr="00DA6D60">
              <w:rPr>
                <w:rFonts w:eastAsia="Times New Roman"/>
                <w:sz w:val="18"/>
                <w:szCs w:val="18"/>
              </w:rPr>
              <w:t xml:space="preserve">exposure to the campaign associated with an increase in awareness of the harmful ingredients in every cigarette? </w:t>
            </w:r>
          </w:p>
        </w:tc>
      </w:tr>
      <w:tr w:rsidR="003D6A3E" w:rsidRPr="00DA6D60" w14:paraId="6AA60387" w14:textId="77777777" w:rsidTr="00E571F5">
        <w:trPr>
          <w:cantSplit/>
        </w:trPr>
        <w:tc>
          <w:tcPr>
            <w:tcW w:w="9375" w:type="dxa"/>
            <w:tcBorders>
              <w:top w:val="nil"/>
              <w:left w:val="nil"/>
              <w:bottom w:val="nil"/>
              <w:right w:val="nil"/>
            </w:tcBorders>
            <w:shd w:val="clear" w:color="auto" w:fill="auto"/>
            <w:noWrap/>
          </w:tcPr>
          <w:p w14:paraId="507D1BF2" w14:textId="588B8027" w:rsidR="003D6A3E" w:rsidRPr="00DA6D60" w:rsidRDefault="003D6A3E" w:rsidP="00E571F5">
            <w:pPr>
              <w:spacing w:before="60" w:after="60" w:line="276" w:lineRule="auto"/>
              <w:ind w:left="245"/>
              <w:rPr>
                <w:highlight w:val="yellow"/>
              </w:rPr>
            </w:pPr>
            <w:r w:rsidRPr="00DA6D60">
              <w:rPr>
                <w:rFonts w:eastAsia="Times New Roman"/>
                <w:sz w:val="18"/>
                <w:szCs w:val="18"/>
              </w:rPr>
              <w:t xml:space="preserve">Is </w:t>
            </w:r>
            <w:r w:rsidR="00801387">
              <w:rPr>
                <w:rFonts w:eastAsia="Times New Roman"/>
                <w:sz w:val="18"/>
                <w:szCs w:val="18"/>
              </w:rPr>
              <w:t xml:space="preserve">cumulative </w:t>
            </w:r>
            <w:r w:rsidRPr="00DA6D60">
              <w:rPr>
                <w:rFonts w:eastAsia="Times New Roman"/>
                <w:sz w:val="18"/>
                <w:szCs w:val="18"/>
              </w:rPr>
              <w:t xml:space="preserve">exposure to the campaign associated with an increase in awareness of the risk of addiction from each cigarette? </w:t>
            </w:r>
          </w:p>
        </w:tc>
      </w:tr>
      <w:tr w:rsidR="003D6A3E" w:rsidRPr="00DA6D60" w14:paraId="6E82AC2B" w14:textId="77777777" w:rsidTr="00E571F5">
        <w:trPr>
          <w:cantSplit/>
        </w:trPr>
        <w:tc>
          <w:tcPr>
            <w:tcW w:w="9375" w:type="dxa"/>
            <w:tcBorders>
              <w:top w:val="nil"/>
              <w:left w:val="nil"/>
              <w:right w:val="nil"/>
            </w:tcBorders>
            <w:shd w:val="clear" w:color="auto" w:fill="auto"/>
            <w:noWrap/>
          </w:tcPr>
          <w:p w14:paraId="7DE25277" w14:textId="7AC03A78" w:rsidR="003D6A3E" w:rsidRPr="00DA6D60" w:rsidRDefault="003D6A3E" w:rsidP="00E571F5">
            <w:pPr>
              <w:pStyle w:val="TableTextIndent1"/>
              <w:keepNext/>
              <w:rPr>
                <w:iCs/>
                <w:highlight w:val="yellow"/>
              </w:rPr>
            </w:pPr>
            <w:r w:rsidRPr="00DA6D60">
              <w:rPr>
                <w:iCs/>
              </w:rPr>
              <w:t xml:space="preserve">Is </w:t>
            </w:r>
            <w:r w:rsidR="00801387">
              <w:rPr>
                <w:iCs/>
              </w:rPr>
              <w:t xml:space="preserve">cumulative </w:t>
            </w:r>
            <w:r w:rsidRPr="00DA6D60">
              <w:rPr>
                <w:iCs/>
              </w:rPr>
              <w:t>exposure to the campaign associated with increases in the perceived risks of menthol cigarette use?</w:t>
            </w:r>
          </w:p>
        </w:tc>
      </w:tr>
      <w:tr w:rsidR="003D6A3E" w:rsidRPr="00DA6D60" w14:paraId="63AEDF62" w14:textId="77777777" w:rsidTr="00E571F5">
        <w:trPr>
          <w:cantSplit/>
        </w:trPr>
        <w:tc>
          <w:tcPr>
            <w:tcW w:w="9375" w:type="dxa"/>
            <w:tcBorders>
              <w:top w:val="nil"/>
              <w:left w:val="nil"/>
              <w:right w:val="nil"/>
            </w:tcBorders>
            <w:shd w:val="clear" w:color="auto" w:fill="auto"/>
            <w:noWrap/>
          </w:tcPr>
          <w:p w14:paraId="2613E116" w14:textId="3B9019C9" w:rsidR="003D6A3E" w:rsidRPr="00DA6D60" w:rsidRDefault="003D6A3E" w:rsidP="00E571F5">
            <w:pPr>
              <w:pStyle w:val="TableTextIndent1"/>
              <w:keepNext/>
            </w:pPr>
            <w:r w:rsidRPr="00DA6D60">
              <w:t xml:space="preserve">Is </w:t>
            </w:r>
            <w:r w:rsidR="00801387">
              <w:t xml:space="preserve">cumulative </w:t>
            </w:r>
            <w:r w:rsidRPr="00DA6D60">
              <w:t>exposure to the campaign associated with an increase in the perceived risks of smokeless tobacco?</w:t>
            </w:r>
          </w:p>
        </w:tc>
      </w:tr>
      <w:tr w:rsidR="003D6A3E" w:rsidRPr="00DA6D60" w14:paraId="4CDFE024" w14:textId="77777777" w:rsidTr="00E571F5">
        <w:trPr>
          <w:cantSplit/>
        </w:trPr>
        <w:tc>
          <w:tcPr>
            <w:tcW w:w="9375" w:type="dxa"/>
            <w:tcBorders>
              <w:top w:val="nil"/>
              <w:left w:val="nil"/>
              <w:bottom w:val="nil"/>
              <w:right w:val="nil"/>
            </w:tcBorders>
            <w:shd w:val="clear" w:color="auto" w:fill="auto"/>
            <w:noWrap/>
          </w:tcPr>
          <w:p w14:paraId="46BC9D00" w14:textId="77777777" w:rsidR="003D6A3E" w:rsidRPr="00DA6D60" w:rsidRDefault="003D6A3E" w:rsidP="00E571F5">
            <w:pPr>
              <w:pStyle w:val="TableText"/>
              <w:keepNext/>
              <w:rPr>
                <w:b/>
              </w:rPr>
            </w:pPr>
            <w:r w:rsidRPr="00DA6D60">
              <w:rPr>
                <w:b/>
              </w:rPr>
              <w:t xml:space="preserve">Intermediate-Term Cognitive Outcomes </w:t>
            </w:r>
          </w:p>
        </w:tc>
      </w:tr>
      <w:tr w:rsidR="003D6A3E" w:rsidRPr="00DA6D60" w14:paraId="6B987E9E" w14:textId="77777777" w:rsidTr="00E571F5">
        <w:trPr>
          <w:cantSplit/>
        </w:trPr>
        <w:tc>
          <w:tcPr>
            <w:tcW w:w="9375" w:type="dxa"/>
            <w:tcBorders>
              <w:top w:val="nil"/>
              <w:left w:val="nil"/>
              <w:right w:val="nil"/>
            </w:tcBorders>
            <w:shd w:val="clear" w:color="auto" w:fill="auto"/>
            <w:noWrap/>
          </w:tcPr>
          <w:p w14:paraId="43A6A86F" w14:textId="27580C6D" w:rsidR="003D6A3E" w:rsidRPr="00DA6D60" w:rsidRDefault="003D6A3E" w:rsidP="00E571F5">
            <w:pPr>
              <w:pStyle w:val="TableTextIndent1"/>
            </w:pPr>
            <w:r w:rsidRPr="00DA6D60">
              <w:t xml:space="preserve">Is </w:t>
            </w:r>
            <w:r w:rsidR="00801387">
              <w:t xml:space="preserve">cumulative </w:t>
            </w:r>
            <w:r w:rsidRPr="00DA6D60">
              <w:t xml:space="preserve">exposure to the campaign associated with decreases in tobacco use susceptibility? </w:t>
            </w:r>
          </w:p>
        </w:tc>
      </w:tr>
      <w:tr w:rsidR="003D6A3E" w:rsidRPr="00DA6D60" w14:paraId="7722B7F0" w14:textId="77777777" w:rsidTr="003D6A3E">
        <w:trPr>
          <w:cantSplit/>
        </w:trPr>
        <w:tc>
          <w:tcPr>
            <w:tcW w:w="9375" w:type="dxa"/>
            <w:tcBorders>
              <w:top w:val="nil"/>
              <w:left w:val="nil"/>
              <w:right w:val="nil"/>
            </w:tcBorders>
            <w:shd w:val="clear" w:color="auto" w:fill="auto"/>
            <w:noWrap/>
          </w:tcPr>
          <w:p w14:paraId="543E5A80" w14:textId="77E16AEA" w:rsidR="003D6A3E" w:rsidRPr="00DA6D60" w:rsidRDefault="003D6A3E" w:rsidP="00E571F5">
            <w:pPr>
              <w:pStyle w:val="TableTextIndent1"/>
            </w:pPr>
            <w:r w:rsidRPr="00DA6D60">
              <w:t xml:space="preserve">Is </w:t>
            </w:r>
            <w:r w:rsidR="00801387">
              <w:t xml:space="preserve">cumulative </w:t>
            </w:r>
            <w:r w:rsidRPr="00DA6D60">
              <w:t xml:space="preserve">exposure to the campaign associated with increases in intentions to stop smoking and/or reduce daily consumption? </w:t>
            </w:r>
          </w:p>
        </w:tc>
      </w:tr>
      <w:tr w:rsidR="003D6A3E" w:rsidRPr="00DA6D60" w14:paraId="74C6D9D4" w14:textId="77777777" w:rsidTr="003D6A3E">
        <w:trPr>
          <w:cantSplit/>
        </w:trPr>
        <w:tc>
          <w:tcPr>
            <w:tcW w:w="9375" w:type="dxa"/>
            <w:tcBorders>
              <w:left w:val="nil"/>
              <w:bottom w:val="nil"/>
              <w:right w:val="nil"/>
            </w:tcBorders>
            <w:shd w:val="clear" w:color="auto" w:fill="auto"/>
            <w:noWrap/>
          </w:tcPr>
          <w:p w14:paraId="09F7716B" w14:textId="77777777" w:rsidR="003D6A3E" w:rsidRPr="00DA6D60" w:rsidRDefault="003D6A3E" w:rsidP="00E571F5">
            <w:pPr>
              <w:pStyle w:val="TableText"/>
              <w:keepNext/>
              <w:rPr>
                <w:b/>
              </w:rPr>
            </w:pPr>
            <w:r w:rsidRPr="00DA6D60">
              <w:rPr>
                <w:b/>
              </w:rPr>
              <w:t xml:space="preserve">Long-Term Behavioral Outcomes </w:t>
            </w:r>
          </w:p>
        </w:tc>
      </w:tr>
      <w:tr w:rsidR="003D6A3E" w:rsidRPr="00DA6D60" w14:paraId="037958DA" w14:textId="77777777" w:rsidTr="00E571F5">
        <w:trPr>
          <w:cantSplit/>
        </w:trPr>
        <w:tc>
          <w:tcPr>
            <w:tcW w:w="9375" w:type="dxa"/>
            <w:tcBorders>
              <w:top w:val="nil"/>
              <w:left w:val="nil"/>
              <w:bottom w:val="nil"/>
              <w:right w:val="nil"/>
            </w:tcBorders>
            <w:shd w:val="clear" w:color="auto" w:fill="auto"/>
            <w:noWrap/>
          </w:tcPr>
          <w:p w14:paraId="0B9F908E" w14:textId="1DCF917D" w:rsidR="003D6A3E" w:rsidRPr="00DA6D60" w:rsidRDefault="003D6A3E" w:rsidP="00E571F5">
            <w:pPr>
              <w:pStyle w:val="TableTextIndent1"/>
              <w:keepNext/>
            </w:pPr>
            <w:r w:rsidRPr="00DA6D60">
              <w:t xml:space="preserve">Is </w:t>
            </w:r>
            <w:r w:rsidR="00801387">
              <w:t xml:space="preserve">cumulative </w:t>
            </w:r>
            <w:r w:rsidRPr="00DA6D60">
              <w:t xml:space="preserve">exposure to the campaign associated with a decrease in tobacco use initiation? </w:t>
            </w:r>
          </w:p>
        </w:tc>
      </w:tr>
      <w:tr w:rsidR="003D6A3E" w:rsidRPr="00DA6D60" w14:paraId="30076852" w14:textId="77777777" w:rsidTr="00E571F5">
        <w:trPr>
          <w:cantSplit/>
        </w:trPr>
        <w:tc>
          <w:tcPr>
            <w:tcW w:w="9375" w:type="dxa"/>
            <w:tcBorders>
              <w:top w:val="nil"/>
              <w:left w:val="nil"/>
              <w:right w:val="nil"/>
            </w:tcBorders>
            <w:shd w:val="clear" w:color="auto" w:fill="auto"/>
            <w:noWrap/>
          </w:tcPr>
          <w:p w14:paraId="61525EB0" w14:textId="3F0D3344" w:rsidR="003D6A3E" w:rsidRPr="00DA6D60" w:rsidRDefault="003D6A3E" w:rsidP="00E571F5">
            <w:pPr>
              <w:pStyle w:val="TableTextIndent1"/>
              <w:keepNext/>
            </w:pPr>
            <w:r w:rsidRPr="00DA6D60">
              <w:t xml:space="preserve">Is </w:t>
            </w:r>
            <w:r w:rsidR="00801387">
              <w:t xml:space="preserve">cumulative </w:t>
            </w:r>
            <w:r w:rsidRPr="00DA6D60">
              <w:t>exposure to the campaign associated with a decreased prevalence of 30-day smoking and 30-day smokeless tobacco use?</w:t>
            </w:r>
          </w:p>
        </w:tc>
      </w:tr>
      <w:tr w:rsidR="003D6A3E" w:rsidRPr="00DA6D60" w14:paraId="7128D2A7" w14:textId="77777777" w:rsidTr="00E571F5">
        <w:trPr>
          <w:cantSplit/>
        </w:trPr>
        <w:tc>
          <w:tcPr>
            <w:tcW w:w="9375" w:type="dxa"/>
            <w:tcBorders>
              <w:top w:val="nil"/>
              <w:left w:val="nil"/>
              <w:right w:val="nil"/>
            </w:tcBorders>
            <w:shd w:val="clear" w:color="auto" w:fill="auto"/>
            <w:noWrap/>
          </w:tcPr>
          <w:p w14:paraId="2739D839" w14:textId="78747CC9" w:rsidR="003D6A3E" w:rsidRPr="00DA6D60" w:rsidRDefault="003D6A3E" w:rsidP="00E571F5">
            <w:pPr>
              <w:pStyle w:val="TableTextIndent1"/>
              <w:keepNext/>
            </w:pPr>
            <w:r w:rsidRPr="00DA6D60">
              <w:t xml:space="preserve">Is </w:t>
            </w:r>
            <w:r w:rsidR="00801387">
              <w:t xml:space="preserve">cumulative </w:t>
            </w:r>
            <w:r w:rsidRPr="00DA6D60">
              <w:t>exposure to the campaign associated with a decreased prevalence of established smoking and frequent smokeless tobacco use (20 or more days</w:t>
            </w:r>
            <w:r>
              <w:t xml:space="preserve"> per </w:t>
            </w:r>
            <w:r w:rsidRPr="00DA6D60">
              <w:t>month)?</w:t>
            </w:r>
          </w:p>
        </w:tc>
      </w:tr>
      <w:tr w:rsidR="003D6A3E" w:rsidRPr="00DA6D60" w14:paraId="45E27961" w14:textId="77777777" w:rsidTr="00E571F5">
        <w:trPr>
          <w:cantSplit/>
        </w:trPr>
        <w:tc>
          <w:tcPr>
            <w:tcW w:w="9375" w:type="dxa"/>
            <w:tcBorders>
              <w:top w:val="nil"/>
              <w:left w:val="nil"/>
              <w:right w:val="nil"/>
            </w:tcBorders>
            <w:shd w:val="clear" w:color="auto" w:fill="auto"/>
            <w:noWrap/>
          </w:tcPr>
          <w:p w14:paraId="4626499A" w14:textId="27E416FE" w:rsidR="003D6A3E" w:rsidRPr="00DA6D60" w:rsidRDefault="003D6A3E" w:rsidP="00E571F5">
            <w:pPr>
              <w:pStyle w:val="TableTextIndent1"/>
              <w:keepNext/>
            </w:pPr>
            <w:r w:rsidRPr="00DA6D60">
              <w:t xml:space="preserve">Is </w:t>
            </w:r>
            <w:r w:rsidR="00801387">
              <w:t xml:space="preserve">cumulative </w:t>
            </w:r>
            <w:r w:rsidRPr="00DA6D60">
              <w:t>exposure to the campaign associated with decreases in the number of days of tobacco use among current smokers and smokeless tobacco users?</w:t>
            </w:r>
          </w:p>
        </w:tc>
      </w:tr>
      <w:tr w:rsidR="003D6A3E" w:rsidRPr="00DA6D60" w14:paraId="5C8A7811" w14:textId="77777777" w:rsidTr="00E571F5">
        <w:trPr>
          <w:cantSplit/>
        </w:trPr>
        <w:tc>
          <w:tcPr>
            <w:tcW w:w="9375" w:type="dxa"/>
            <w:tcBorders>
              <w:left w:val="nil"/>
              <w:bottom w:val="single" w:sz="12" w:space="0" w:color="auto"/>
              <w:right w:val="nil"/>
            </w:tcBorders>
            <w:shd w:val="clear" w:color="auto" w:fill="auto"/>
            <w:noWrap/>
          </w:tcPr>
          <w:p w14:paraId="1C574F50" w14:textId="7452DE5E" w:rsidR="003D6A3E" w:rsidRPr="00DA6D60" w:rsidRDefault="003D6A3E" w:rsidP="00E571F5">
            <w:pPr>
              <w:pStyle w:val="TableTextIndent1"/>
              <w:keepNext/>
            </w:pPr>
            <w:r w:rsidRPr="00DA6D60">
              <w:t xml:space="preserve">Is </w:t>
            </w:r>
            <w:r w:rsidR="00801387">
              <w:t xml:space="preserve">cumulative </w:t>
            </w:r>
            <w:r w:rsidRPr="00DA6D60">
              <w:t>exposure to the campaign associated with decreases in the average number of cigarettes smoked per day among current smokers?</w:t>
            </w:r>
          </w:p>
        </w:tc>
      </w:tr>
      <w:bookmarkEnd w:id="6"/>
    </w:tbl>
    <w:p w14:paraId="722A63B7" w14:textId="77777777" w:rsidR="00BC6AB8" w:rsidRDefault="00BC6AB8" w:rsidP="00BC6AB8"/>
    <w:p w14:paraId="42403923" w14:textId="77777777" w:rsidR="00BC6AB8" w:rsidRDefault="00BC6AB8">
      <w:r>
        <w:br w:type="page"/>
      </w:r>
    </w:p>
    <w:p w14:paraId="738C2CC5" w14:textId="766A7F93" w:rsidR="00BC6AB8" w:rsidRDefault="00BC6AB8" w:rsidP="00BC6AB8">
      <w:pPr>
        <w:rPr>
          <w:b/>
        </w:rPr>
      </w:pPr>
      <w:r>
        <w:rPr>
          <w:b/>
        </w:rPr>
        <w:lastRenderedPageBreak/>
        <w:t>Table 1-2</w:t>
      </w:r>
      <w:r w:rsidRPr="00BC6AB8">
        <w:rPr>
          <w:b/>
        </w:rPr>
        <w:t>.  Survey Items by Type and Intended in Analysis, Outcome Evaluation Survey</w:t>
      </w:r>
    </w:p>
    <w:p w14:paraId="34DCCDA1" w14:textId="77777777" w:rsidR="00BC6AB8" w:rsidRPr="00BC6AB8" w:rsidRDefault="00BC6AB8" w:rsidP="00BC6AB8">
      <w:pPr>
        <w:rPr>
          <w:b/>
        </w:rPr>
      </w:pPr>
    </w:p>
    <w:tbl>
      <w:tblPr>
        <w:tblStyle w:val="TableGrid"/>
        <w:tblW w:w="0" w:type="auto"/>
        <w:tblLook w:val="04A0" w:firstRow="1" w:lastRow="0" w:firstColumn="1" w:lastColumn="0" w:noHBand="0" w:noVBand="1"/>
      </w:tblPr>
      <w:tblGrid>
        <w:gridCol w:w="3324"/>
        <w:gridCol w:w="2834"/>
        <w:gridCol w:w="2698"/>
      </w:tblGrid>
      <w:tr w:rsidR="00BC6AB8" w14:paraId="4B20E8D0" w14:textId="77777777" w:rsidTr="00452D7D">
        <w:tc>
          <w:tcPr>
            <w:tcW w:w="3324" w:type="dxa"/>
          </w:tcPr>
          <w:p w14:paraId="639E7A80" w14:textId="77777777" w:rsidR="00BC6AB8" w:rsidRPr="0061498B" w:rsidRDefault="00BC6AB8" w:rsidP="009C5C03">
            <w:pPr>
              <w:jc w:val="center"/>
              <w:rPr>
                <w:b/>
              </w:rPr>
            </w:pPr>
            <w:r w:rsidRPr="0061498B">
              <w:rPr>
                <w:b/>
              </w:rPr>
              <w:t>Type of Item</w:t>
            </w:r>
          </w:p>
        </w:tc>
        <w:tc>
          <w:tcPr>
            <w:tcW w:w="2834" w:type="dxa"/>
          </w:tcPr>
          <w:p w14:paraId="51CE60C8" w14:textId="77777777" w:rsidR="00BC6AB8" w:rsidRDefault="00BC6AB8" w:rsidP="009C5C03">
            <w:pPr>
              <w:jc w:val="center"/>
              <w:rPr>
                <w:b/>
              </w:rPr>
            </w:pPr>
            <w:r>
              <w:rPr>
                <w:b/>
              </w:rPr>
              <w:t xml:space="preserve">Survey </w:t>
            </w:r>
            <w:r w:rsidRPr="0061498B">
              <w:rPr>
                <w:b/>
              </w:rPr>
              <w:t>Item</w:t>
            </w:r>
          </w:p>
          <w:p w14:paraId="7563C227" w14:textId="77777777" w:rsidR="00BC6AB8" w:rsidRPr="0061498B" w:rsidRDefault="00BC6AB8" w:rsidP="009C5C03">
            <w:pPr>
              <w:jc w:val="center"/>
              <w:rPr>
                <w:b/>
              </w:rPr>
            </w:pPr>
          </w:p>
        </w:tc>
        <w:tc>
          <w:tcPr>
            <w:tcW w:w="2698" w:type="dxa"/>
          </w:tcPr>
          <w:p w14:paraId="0F1C48C8" w14:textId="77777777" w:rsidR="00BC6AB8" w:rsidRPr="0061498B" w:rsidRDefault="00BC6AB8" w:rsidP="009C5C03">
            <w:pPr>
              <w:jc w:val="center"/>
              <w:rPr>
                <w:b/>
              </w:rPr>
            </w:pPr>
            <w:r>
              <w:rPr>
                <w:b/>
              </w:rPr>
              <w:t>Intended Use in Analysis of</w:t>
            </w:r>
            <w:r w:rsidRPr="0061498B">
              <w:rPr>
                <w:b/>
              </w:rPr>
              <w:t xml:space="preserve"> </w:t>
            </w:r>
            <w:r>
              <w:rPr>
                <w:b/>
              </w:rPr>
              <w:t>Outcome Evaluation Data</w:t>
            </w:r>
          </w:p>
        </w:tc>
      </w:tr>
      <w:tr w:rsidR="00BC6AB8" w14:paraId="16235E4D" w14:textId="77777777" w:rsidTr="00452D7D">
        <w:tc>
          <w:tcPr>
            <w:tcW w:w="3324" w:type="dxa"/>
          </w:tcPr>
          <w:p w14:paraId="48904A54" w14:textId="1DFE103B" w:rsidR="00BC6AB8" w:rsidRPr="002C2EDA" w:rsidRDefault="00BC6AB8" w:rsidP="008E09ED">
            <w:pPr>
              <w:rPr>
                <w:b/>
              </w:rPr>
            </w:pPr>
            <w:r>
              <w:rPr>
                <w:b/>
              </w:rPr>
              <w:t xml:space="preserve">Youth </w:t>
            </w:r>
          </w:p>
        </w:tc>
        <w:tc>
          <w:tcPr>
            <w:tcW w:w="2834" w:type="dxa"/>
          </w:tcPr>
          <w:p w14:paraId="62805F64" w14:textId="77777777" w:rsidR="00BC6AB8" w:rsidRDefault="00BC6AB8" w:rsidP="009C5C03"/>
        </w:tc>
        <w:tc>
          <w:tcPr>
            <w:tcW w:w="2698" w:type="dxa"/>
          </w:tcPr>
          <w:p w14:paraId="71D8683A" w14:textId="77777777" w:rsidR="00BC6AB8" w:rsidRDefault="00BC6AB8" w:rsidP="009C5C03"/>
        </w:tc>
      </w:tr>
      <w:tr w:rsidR="00BC6AB8" w14:paraId="05F2EE37" w14:textId="77777777" w:rsidTr="00452D7D">
        <w:tc>
          <w:tcPr>
            <w:tcW w:w="3324" w:type="dxa"/>
          </w:tcPr>
          <w:p w14:paraId="65E572BB" w14:textId="77777777" w:rsidR="00BC6AB8" w:rsidRDefault="00BC6AB8" w:rsidP="009C5C03">
            <w:r>
              <w:t>Demographics</w:t>
            </w:r>
          </w:p>
        </w:tc>
        <w:tc>
          <w:tcPr>
            <w:tcW w:w="2834" w:type="dxa"/>
          </w:tcPr>
          <w:p w14:paraId="2E6F6A11" w14:textId="0C2A56F2" w:rsidR="00BC6AB8" w:rsidRDefault="00BC6AB8" w:rsidP="008E09ED">
            <w:r>
              <w:t>A1</w:t>
            </w:r>
            <w:r w:rsidR="008E09ED">
              <w:t xml:space="preserve"> </w:t>
            </w:r>
            <w:r>
              <w:t>-</w:t>
            </w:r>
            <w:r w:rsidR="008E09ED">
              <w:t xml:space="preserve"> </w:t>
            </w:r>
            <w:r>
              <w:t>A8</w:t>
            </w:r>
          </w:p>
        </w:tc>
        <w:tc>
          <w:tcPr>
            <w:tcW w:w="2698" w:type="dxa"/>
          </w:tcPr>
          <w:p w14:paraId="0344EADE" w14:textId="77777777" w:rsidR="00BC6AB8" w:rsidRPr="0036032E" w:rsidRDefault="00BC6AB8" w:rsidP="009C5C03">
            <w:r w:rsidRPr="0036032E">
              <w:t>control variable</w:t>
            </w:r>
          </w:p>
        </w:tc>
      </w:tr>
      <w:tr w:rsidR="00BC6AB8" w14:paraId="2BFBAAFE" w14:textId="77777777" w:rsidTr="00452D7D">
        <w:tc>
          <w:tcPr>
            <w:tcW w:w="3324" w:type="dxa"/>
          </w:tcPr>
          <w:p w14:paraId="53A963DC" w14:textId="77777777" w:rsidR="00BC6AB8" w:rsidRDefault="00BC6AB8" w:rsidP="009C5C03">
            <w:r>
              <w:t>Campaign Awareness and Receptivity</w:t>
            </w:r>
          </w:p>
        </w:tc>
        <w:tc>
          <w:tcPr>
            <w:tcW w:w="2834" w:type="dxa"/>
          </w:tcPr>
          <w:p w14:paraId="2468E262" w14:textId="12F70DBE" w:rsidR="00BC6AB8" w:rsidRDefault="00987ED3" w:rsidP="009C5C03">
            <w:r>
              <w:t>F3</w:t>
            </w:r>
            <w:r w:rsidR="008E09ED">
              <w:t xml:space="preserve"> - 15</w:t>
            </w:r>
          </w:p>
        </w:tc>
        <w:tc>
          <w:tcPr>
            <w:tcW w:w="2698" w:type="dxa"/>
          </w:tcPr>
          <w:p w14:paraId="66C19846" w14:textId="77777777" w:rsidR="00BC6AB8" w:rsidRPr="0036032E" w:rsidRDefault="00BC6AB8" w:rsidP="009C5C03">
            <w:r w:rsidRPr="0036032E">
              <w:t>independent variable</w:t>
            </w:r>
          </w:p>
        </w:tc>
      </w:tr>
      <w:tr w:rsidR="00BC6AB8" w14:paraId="56F32F6E" w14:textId="77777777" w:rsidTr="00452D7D">
        <w:tc>
          <w:tcPr>
            <w:tcW w:w="3324" w:type="dxa"/>
          </w:tcPr>
          <w:p w14:paraId="70DBABE3" w14:textId="77777777" w:rsidR="00BC6AB8" w:rsidRDefault="00BC6AB8" w:rsidP="009C5C03">
            <w:r>
              <w:t>Tobacco-related Attitudes, Beliefs, Risk Perceptions, and Social Norms</w:t>
            </w:r>
          </w:p>
        </w:tc>
        <w:tc>
          <w:tcPr>
            <w:tcW w:w="2834" w:type="dxa"/>
          </w:tcPr>
          <w:p w14:paraId="365E0699" w14:textId="11DD08E8" w:rsidR="00BC6AB8" w:rsidRDefault="00BC6AB8" w:rsidP="009C5C03">
            <w:r>
              <w:t>E1</w:t>
            </w:r>
            <w:r w:rsidR="008E09ED">
              <w:t xml:space="preserve"> </w:t>
            </w:r>
            <w:r>
              <w:t>-</w:t>
            </w:r>
            <w:r w:rsidR="008E09ED">
              <w:t xml:space="preserve"> E</w:t>
            </w:r>
            <w:r>
              <w:t>12</w:t>
            </w:r>
          </w:p>
        </w:tc>
        <w:tc>
          <w:tcPr>
            <w:tcW w:w="2698" w:type="dxa"/>
          </w:tcPr>
          <w:p w14:paraId="502FDB0C" w14:textId="77777777" w:rsidR="00BC6AB8" w:rsidRPr="0036032E" w:rsidRDefault="00BC6AB8" w:rsidP="009C5C03">
            <w:r>
              <w:t>outcome variable</w:t>
            </w:r>
          </w:p>
        </w:tc>
      </w:tr>
      <w:tr w:rsidR="00BC6AB8" w14:paraId="00C97AED" w14:textId="77777777" w:rsidTr="00452D7D">
        <w:tc>
          <w:tcPr>
            <w:tcW w:w="3324" w:type="dxa"/>
          </w:tcPr>
          <w:p w14:paraId="4A6F6128" w14:textId="77777777" w:rsidR="00BC6AB8" w:rsidRDefault="00BC6AB8" w:rsidP="009C5C03">
            <w:r>
              <w:t>Intentions to Use Tobacco and Self-Efficacy</w:t>
            </w:r>
          </w:p>
        </w:tc>
        <w:tc>
          <w:tcPr>
            <w:tcW w:w="2834" w:type="dxa"/>
          </w:tcPr>
          <w:p w14:paraId="2DEF1F56" w14:textId="61B9550B" w:rsidR="00BC6AB8" w:rsidRDefault="00BC6AB8" w:rsidP="009C5C03">
            <w:r>
              <w:t>C1</w:t>
            </w:r>
            <w:r w:rsidR="008E09ED">
              <w:t xml:space="preserve"> </w:t>
            </w:r>
            <w:r>
              <w:t>-</w:t>
            </w:r>
            <w:r w:rsidR="008E09ED">
              <w:t xml:space="preserve"> </w:t>
            </w:r>
            <w:r>
              <w:t>C3</w:t>
            </w:r>
          </w:p>
        </w:tc>
        <w:tc>
          <w:tcPr>
            <w:tcW w:w="2698" w:type="dxa"/>
          </w:tcPr>
          <w:p w14:paraId="4991FDFC" w14:textId="77777777" w:rsidR="00BC6AB8" w:rsidRPr="0036032E" w:rsidRDefault="00BC6AB8" w:rsidP="009C5C03">
            <w:r>
              <w:t>o</w:t>
            </w:r>
            <w:r w:rsidRPr="0036032E">
              <w:t>utcome</w:t>
            </w:r>
            <w:r>
              <w:t xml:space="preserve"> variable</w:t>
            </w:r>
          </w:p>
        </w:tc>
      </w:tr>
      <w:tr w:rsidR="00987ED3" w14:paraId="692C14B7" w14:textId="77777777" w:rsidTr="00452D7D">
        <w:tc>
          <w:tcPr>
            <w:tcW w:w="3324" w:type="dxa"/>
          </w:tcPr>
          <w:p w14:paraId="507AC658" w14:textId="79D6781A" w:rsidR="00987ED3" w:rsidRDefault="00987ED3" w:rsidP="009C5C03">
            <w:r>
              <w:t>Cessation Intention, Behavior, and Motivation</w:t>
            </w:r>
          </w:p>
        </w:tc>
        <w:tc>
          <w:tcPr>
            <w:tcW w:w="2834" w:type="dxa"/>
          </w:tcPr>
          <w:p w14:paraId="11180214" w14:textId="438E69FD" w:rsidR="00987ED3" w:rsidRDefault="00987ED3" w:rsidP="009C5C03">
            <w:r>
              <w:t>D1 – D6</w:t>
            </w:r>
          </w:p>
        </w:tc>
        <w:tc>
          <w:tcPr>
            <w:tcW w:w="2698" w:type="dxa"/>
          </w:tcPr>
          <w:p w14:paraId="61147728" w14:textId="63327A1F" w:rsidR="00987ED3" w:rsidRDefault="00987ED3" w:rsidP="009C5C03">
            <w:r>
              <w:t>outcome variable</w:t>
            </w:r>
          </w:p>
        </w:tc>
      </w:tr>
      <w:tr w:rsidR="00BC6AB8" w14:paraId="2B63EF48" w14:textId="77777777" w:rsidTr="00452D7D">
        <w:tc>
          <w:tcPr>
            <w:tcW w:w="3324" w:type="dxa"/>
          </w:tcPr>
          <w:p w14:paraId="4C7D896C" w14:textId="77777777" w:rsidR="00BC6AB8" w:rsidRDefault="00BC6AB8" w:rsidP="009C5C03">
            <w:r>
              <w:t>Tobacco-related Behaviors</w:t>
            </w:r>
          </w:p>
        </w:tc>
        <w:tc>
          <w:tcPr>
            <w:tcW w:w="2834" w:type="dxa"/>
          </w:tcPr>
          <w:p w14:paraId="070DDE56" w14:textId="15072E99" w:rsidR="00BC6AB8" w:rsidRDefault="008E09ED" w:rsidP="009C5C03">
            <w:r>
              <w:t>B1 - B10</w:t>
            </w:r>
            <w:r w:rsidR="00BC6AB8">
              <w:t>, D1 – D6</w:t>
            </w:r>
          </w:p>
        </w:tc>
        <w:tc>
          <w:tcPr>
            <w:tcW w:w="2698" w:type="dxa"/>
          </w:tcPr>
          <w:p w14:paraId="3A174FFA" w14:textId="59B0DDB5" w:rsidR="00BC6AB8" w:rsidRPr="0036032E" w:rsidRDefault="00987ED3" w:rsidP="009C5C03">
            <w:r>
              <w:t>o</w:t>
            </w:r>
            <w:r w:rsidR="00BC6AB8" w:rsidRPr="0036032E">
              <w:t>utcome</w:t>
            </w:r>
            <w:r>
              <w:t xml:space="preserve"> variable</w:t>
            </w:r>
          </w:p>
        </w:tc>
      </w:tr>
      <w:tr w:rsidR="008E09ED" w14:paraId="2907370E" w14:textId="77777777" w:rsidTr="00452D7D">
        <w:tc>
          <w:tcPr>
            <w:tcW w:w="3324" w:type="dxa"/>
          </w:tcPr>
          <w:p w14:paraId="00CB020E" w14:textId="14D7ECC4" w:rsidR="008E09ED" w:rsidRDefault="008E09ED" w:rsidP="009C5C03">
            <w:r>
              <w:t>Other Tobacco Topics</w:t>
            </w:r>
          </w:p>
        </w:tc>
        <w:tc>
          <w:tcPr>
            <w:tcW w:w="2834" w:type="dxa"/>
          </w:tcPr>
          <w:p w14:paraId="071A7662" w14:textId="3A67A233" w:rsidR="008E09ED" w:rsidRDefault="008E09ED" w:rsidP="009C5C03">
            <w:r>
              <w:t>B11 - B17</w:t>
            </w:r>
          </w:p>
        </w:tc>
        <w:tc>
          <w:tcPr>
            <w:tcW w:w="2698" w:type="dxa"/>
          </w:tcPr>
          <w:p w14:paraId="1D3C2FEC" w14:textId="3A28B508" w:rsidR="008E09ED" w:rsidRPr="0036032E" w:rsidRDefault="008E09ED" w:rsidP="009C5C03">
            <w:r>
              <w:t xml:space="preserve">control </w:t>
            </w:r>
            <w:proofErr w:type="spellStart"/>
            <w:r>
              <w:t>variable</w:t>
            </w:r>
            <w:r w:rsidR="00EC32AD" w:rsidRPr="00EC32AD">
              <w:rPr>
                <w:vertAlign w:val="superscript"/>
              </w:rPr>
              <w:t>a</w:t>
            </w:r>
            <w:proofErr w:type="spellEnd"/>
          </w:p>
        </w:tc>
      </w:tr>
      <w:tr w:rsidR="00BC6AB8" w14:paraId="36B6E600" w14:textId="77777777" w:rsidTr="00452D7D">
        <w:tc>
          <w:tcPr>
            <w:tcW w:w="3324" w:type="dxa"/>
          </w:tcPr>
          <w:p w14:paraId="1CE37EB9" w14:textId="142F139A" w:rsidR="00BC6AB8" w:rsidRDefault="00987ED3" w:rsidP="009C5C03">
            <w:r>
              <w:t>Media Use</w:t>
            </w:r>
          </w:p>
        </w:tc>
        <w:tc>
          <w:tcPr>
            <w:tcW w:w="2834" w:type="dxa"/>
          </w:tcPr>
          <w:p w14:paraId="5E813E85" w14:textId="52B7F04D" w:rsidR="00BC6AB8" w:rsidRDefault="00987ED3" w:rsidP="009C5C03">
            <w:r>
              <w:t xml:space="preserve">F1 – F2, F16 – F19 </w:t>
            </w:r>
          </w:p>
        </w:tc>
        <w:tc>
          <w:tcPr>
            <w:tcW w:w="2698" w:type="dxa"/>
          </w:tcPr>
          <w:p w14:paraId="1F4860D1" w14:textId="77777777" w:rsidR="00BC6AB8" w:rsidRPr="0036032E" w:rsidRDefault="00BC6AB8" w:rsidP="009C5C03">
            <w:r w:rsidRPr="0036032E">
              <w:t>control variable</w:t>
            </w:r>
          </w:p>
        </w:tc>
      </w:tr>
      <w:tr w:rsidR="00987ED3" w14:paraId="05FE0CCA" w14:textId="77777777" w:rsidTr="00452D7D">
        <w:tc>
          <w:tcPr>
            <w:tcW w:w="3324" w:type="dxa"/>
          </w:tcPr>
          <w:p w14:paraId="062676AA" w14:textId="4CE00D60" w:rsidR="00987ED3" w:rsidRDefault="00987ED3" w:rsidP="009C5C03">
            <w:r>
              <w:t>Youth Environment</w:t>
            </w:r>
          </w:p>
        </w:tc>
        <w:tc>
          <w:tcPr>
            <w:tcW w:w="2834" w:type="dxa"/>
          </w:tcPr>
          <w:p w14:paraId="0CA2F98E" w14:textId="15A0F928" w:rsidR="00987ED3" w:rsidRDefault="00987ED3" w:rsidP="009C5C03">
            <w:r>
              <w:t xml:space="preserve">G1 - </w:t>
            </w:r>
            <w:r w:rsidR="009B10A3">
              <w:t>G20</w:t>
            </w:r>
          </w:p>
        </w:tc>
        <w:tc>
          <w:tcPr>
            <w:tcW w:w="2698" w:type="dxa"/>
          </w:tcPr>
          <w:p w14:paraId="634C6CFD" w14:textId="2D219078" w:rsidR="00987ED3" w:rsidRPr="0036032E" w:rsidRDefault="00987ED3" w:rsidP="009C5C03">
            <w:r w:rsidRPr="0036032E">
              <w:t>control variable</w:t>
            </w:r>
          </w:p>
        </w:tc>
      </w:tr>
      <w:tr w:rsidR="00BC6AB8" w14:paraId="1F58C3BE" w14:textId="77777777" w:rsidTr="00452D7D">
        <w:tc>
          <w:tcPr>
            <w:tcW w:w="3324" w:type="dxa"/>
          </w:tcPr>
          <w:p w14:paraId="21A2710F" w14:textId="00FDC301" w:rsidR="00BC6AB8" w:rsidRPr="002C2EDA" w:rsidRDefault="00BC6AB8" w:rsidP="008E09ED">
            <w:pPr>
              <w:rPr>
                <w:b/>
              </w:rPr>
            </w:pPr>
            <w:r w:rsidRPr="002C2EDA">
              <w:rPr>
                <w:b/>
              </w:rPr>
              <w:t xml:space="preserve">Parent </w:t>
            </w:r>
          </w:p>
        </w:tc>
        <w:tc>
          <w:tcPr>
            <w:tcW w:w="2834" w:type="dxa"/>
          </w:tcPr>
          <w:p w14:paraId="6FD804DE" w14:textId="77777777" w:rsidR="00BC6AB8" w:rsidRDefault="00BC6AB8" w:rsidP="009C5C03"/>
        </w:tc>
        <w:tc>
          <w:tcPr>
            <w:tcW w:w="2698" w:type="dxa"/>
          </w:tcPr>
          <w:p w14:paraId="4D3FB03C" w14:textId="77777777" w:rsidR="00BC6AB8" w:rsidRPr="0036032E" w:rsidRDefault="00BC6AB8" w:rsidP="009C5C03"/>
        </w:tc>
      </w:tr>
      <w:tr w:rsidR="00BC6AB8" w14:paraId="3F210C65" w14:textId="77777777" w:rsidTr="00452D7D">
        <w:tc>
          <w:tcPr>
            <w:tcW w:w="3324" w:type="dxa"/>
          </w:tcPr>
          <w:p w14:paraId="742CE3C5" w14:textId="208F85A8" w:rsidR="00BC6AB8" w:rsidRDefault="00BC6AB8" w:rsidP="009C5C03">
            <w:r>
              <w:t>Demographics</w:t>
            </w:r>
            <w:r w:rsidR="00452D7D">
              <w:t xml:space="preserve"> and Household Characteristics</w:t>
            </w:r>
          </w:p>
        </w:tc>
        <w:tc>
          <w:tcPr>
            <w:tcW w:w="2834" w:type="dxa"/>
          </w:tcPr>
          <w:p w14:paraId="792AEF21" w14:textId="4CE4B252" w:rsidR="00BC6AB8" w:rsidRDefault="00452D7D" w:rsidP="009C5C03">
            <w:r>
              <w:t>B1</w:t>
            </w:r>
            <w:r w:rsidR="008E09ED">
              <w:t xml:space="preserve"> </w:t>
            </w:r>
            <w:r>
              <w:t>-</w:t>
            </w:r>
            <w:r w:rsidR="008E09ED">
              <w:t xml:space="preserve"> </w:t>
            </w:r>
            <w:r>
              <w:t>B9</w:t>
            </w:r>
          </w:p>
        </w:tc>
        <w:tc>
          <w:tcPr>
            <w:tcW w:w="2698" w:type="dxa"/>
          </w:tcPr>
          <w:p w14:paraId="7F24BAD9" w14:textId="77777777" w:rsidR="00BC6AB8" w:rsidRPr="0036032E" w:rsidRDefault="00BC6AB8" w:rsidP="009C5C03">
            <w:r w:rsidRPr="0036032E">
              <w:t>control variable</w:t>
            </w:r>
          </w:p>
        </w:tc>
      </w:tr>
      <w:tr w:rsidR="00BC6AB8" w14:paraId="0E5195DB" w14:textId="77777777" w:rsidTr="00452D7D">
        <w:tc>
          <w:tcPr>
            <w:tcW w:w="3324" w:type="dxa"/>
          </w:tcPr>
          <w:p w14:paraId="71E55861" w14:textId="53DC75CA" w:rsidR="00BC6AB8" w:rsidRDefault="00452D7D" w:rsidP="009C5C03">
            <w:r>
              <w:t>Tobacco Use and Cessation</w:t>
            </w:r>
          </w:p>
        </w:tc>
        <w:tc>
          <w:tcPr>
            <w:tcW w:w="2834" w:type="dxa"/>
          </w:tcPr>
          <w:p w14:paraId="067C6B57" w14:textId="338C49FF" w:rsidR="00BC6AB8" w:rsidRDefault="00452D7D" w:rsidP="009C5C03">
            <w:r>
              <w:t>C1</w:t>
            </w:r>
            <w:r w:rsidR="008E09ED">
              <w:t xml:space="preserve"> </w:t>
            </w:r>
            <w:r>
              <w:t>-</w:t>
            </w:r>
            <w:r w:rsidR="008E09ED">
              <w:t xml:space="preserve"> </w:t>
            </w:r>
            <w:r>
              <w:t>14</w:t>
            </w:r>
          </w:p>
        </w:tc>
        <w:tc>
          <w:tcPr>
            <w:tcW w:w="2698" w:type="dxa"/>
          </w:tcPr>
          <w:p w14:paraId="6E2EA3DF" w14:textId="77777777" w:rsidR="00BC6AB8" w:rsidRPr="0036032E" w:rsidRDefault="00BC6AB8" w:rsidP="009C5C03">
            <w:r w:rsidRPr="0036032E">
              <w:t>control variable</w:t>
            </w:r>
          </w:p>
        </w:tc>
      </w:tr>
      <w:tr w:rsidR="00BC6AB8" w14:paraId="6DF30EB7" w14:textId="77777777" w:rsidTr="00452D7D">
        <w:tc>
          <w:tcPr>
            <w:tcW w:w="3324" w:type="dxa"/>
          </w:tcPr>
          <w:p w14:paraId="6AEE9EFD" w14:textId="3473DB78" w:rsidR="00BC6AB8" w:rsidRDefault="00452D7D" w:rsidP="009C5C03">
            <w:r>
              <w:t>Home Media Environment</w:t>
            </w:r>
          </w:p>
        </w:tc>
        <w:tc>
          <w:tcPr>
            <w:tcW w:w="2834" w:type="dxa"/>
          </w:tcPr>
          <w:p w14:paraId="5F564519" w14:textId="022EF25B" w:rsidR="00BC6AB8" w:rsidRDefault="00452D7D" w:rsidP="009C5C03">
            <w:r>
              <w:t>A1</w:t>
            </w:r>
            <w:r w:rsidR="008E09ED">
              <w:t xml:space="preserve"> </w:t>
            </w:r>
            <w:r>
              <w:t>-</w:t>
            </w:r>
            <w:r w:rsidR="008E09ED">
              <w:t xml:space="preserve"> </w:t>
            </w:r>
            <w:r>
              <w:t>A4, D1-</w:t>
            </w:r>
            <w:r w:rsidR="008E09ED">
              <w:t xml:space="preserve"> </w:t>
            </w:r>
            <w:r>
              <w:t>D4</w:t>
            </w:r>
          </w:p>
        </w:tc>
        <w:tc>
          <w:tcPr>
            <w:tcW w:w="2698" w:type="dxa"/>
          </w:tcPr>
          <w:p w14:paraId="0BA5AD39" w14:textId="77777777" w:rsidR="00BC6AB8" w:rsidRPr="0036032E" w:rsidRDefault="00BC6AB8" w:rsidP="009C5C03">
            <w:r w:rsidRPr="0036032E">
              <w:t>control variable</w:t>
            </w:r>
          </w:p>
        </w:tc>
      </w:tr>
      <w:tr w:rsidR="00BC6AB8" w14:paraId="29E931DB" w14:textId="77777777" w:rsidTr="00452D7D">
        <w:tc>
          <w:tcPr>
            <w:tcW w:w="3324" w:type="dxa"/>
          </w:tcPr>
          <w:p w14:paraId="6B89B74A" w14:textId="3ADB99AA" w:rsidR="00BC6AB8" w:rsidRDefault="00BC6AB8" w:rsidP="00452D7D">
            <w:r>
              <w:t xml:space="preserve">Parent Child </w:t>
            </w:r>
            <w:r w:rsidR="00452D7D">
              <w:t>Topics</w:t>
            </w:r>
          </w:p>
        </w:tc>
        <w:tc>
          <w:tcPr>
            <w:tcW w:w="2834" w:type="dxa"/>
          </w:tcPr>
          <w:p w14:paraId="1D4981C1" w14:textId="368571FC" w:rsidR="00BC6AB8" w:rsidRDefault="00452D7D" w:rsidP="009C5C03">
            <w:r>
              <w:t>D5 – D8</w:t>
            </w:r>
          </w:p>
        </w:tc>
        <w:tc>
          <w:tcPr>
            <w:tcW w:w="2698" w:type="dxa"/>
          </w:tcPr>
          <w:p w14:paraId="280383EF" w14:textId="77777777" w:rsidR="00BC6AB8" w:rsidRPr="0036032E" w:rsidRDefault="00BC6AB8" w:rsidP="009C5C03">
            <w:r w:rsidRPr="0036032E">
              <w:t>control variable</w:t>
            </w:r>
          </w:p>
        </w:tc>
      </w:tr>
    </w:tbl>
    <w:p w14:paraId="472D135F" w14:textId="1E377E8F" w:rsidR="002B5E9B" w:rsidRDefault="00EC32AD" w:rsidP="003D6A3E">
      <w:pPr>
        <w:pStyle w:val="Source1"/>
      </w:pPr>
      <w:proofErr w:type="gramStart"/>
      <w:r w:rsidRPr="00EC32AD">
        <w:rPr>
          <w:vertAlign w:val="superscript"/>
        </w:rPr>
        <w:t>a</w:t>
      </w:r>
      <w:proofErr w:type="gramEnd"/>
      <w:r>
        <w:t xml:space="preserve"> Other tobacco products (e.g., cigars) and marijuana use are included to enable monitoring of potentially related outcomes not targeted by current media campaigns.  </w:t>
      </w:r>
    </w:p>
    <w:p w14:paraId="51FF0060" w14:textId="77777777" w:rsidR="002B5E9B" w:rsidRDefault="002B5E9B">
      <w:pPr>
        <w:rPr>
          <w:sz w:val="18"/>
        </w:rPr>
      </w:pPr>
      <w:r>
        <w:br w:type="page"/>
      </w:r>
    </w:p>
    <w:p w14:paraId="28429AC0" w14:textId="24BE780C" w:rsidR="003D6A3E" w:rsidRDefault="002B5E9B" w:rsidP="002B5E9B">
      <w:pPr>
        <w:pStyle w:val="Heading1"/>
        <w:numPr>
          <w:ilvl w:val="0"/>
          <w:numId w:val="0"/>
        </w:numPr>
      </w:pPr>
      <w:r>
        <w:lastRenderedPageBreak/>
        <w:t>References</w:t>
      </w:r>
    </w:p>
    <w:p w14:paraId="3A103C40" w14:textId="77777777" w:rsidR="002B5E9B" w:rsidRDefault="002B5E9B" w:rsidP="002B5E9B">
      <w:pPr>
        <w:pStyle w:val="biblio"/>
        <w:rPr>
          <w:lang w:eastAsia="zh-CN"/>
        </w:rPr>
      </w:pPr>
      <w:proofErr w:type="spellStart"/>
      <w:r>
        <w:rPr>
          <w:lang w:eastAsia="zh-CN"/>
        </w:rPr>
        <w:t>Ajzen</w:t>
      </w:r>
      <w:proofErr w:type="spellEnd"/>
      <w:r>
        <w:rPr>
          <w:lang w:eastAsia="zh-CN"/>
        </w:rPr>
        <w:t xml:space="preserve"> I. The theory of planned behavior. OBHDP 1991</w:t>
      </w:r>
      <w:proofErr w:type="gramStart"/>
      <w:r>
        <w:rPr>
          <w:lang w:eastAsia="zh-CN"/>
        </w:rPr>
        <w:t>;50:179</w:t>
      </w:r>
      <w:proofErr w:type="gramEnd"/>
      <w:r>
        <w:rPr>
          <w:lang w:eastAsia="zh-CN"/>
        </w:rPr>
        <w:t>-211.</w:t>
      </w:r>
    </w:p>
    <w:p w14:paraId="1BE43F90" w14:textId="77777777" w:rsidR="002B5E9B" w:rsidRDefault="002B5E9B" w:rsidP="002B5E9B">
      <w:pPr>
        <w:pStyle w:val="biblio"/>
        <w:rPr>
          <w:lang w:eastAsia="zh-CN"/>
        </w:rPr>
      </w:pPr>
      <w:proofErr w:type="spellStart"/>
      <w:proofErr w:type="gramStart"/>
      <w:r>
        <w:rPr>
          <w:lang w:eastAsia="zh-CN"/>
        </w:rPr>
        <w:t>Ajzen</w:t>
      </w:r>
      <w:proofErr w:type="spellEnd"/>
      <w:r>
        <w:rPr>
          <w:lang w:eastAsia="zh-CN"/>
        </w:rPr>
        <w:t xml:space="preserve"> I, </w:t>
      </w:r>
      <w:proofErr w:type="spellStart"/>
      <w:r>
        <w:rPr>
          <w:lang w:eastAsia="zh-CN"/>
        </w:rPr>
        <w:t>Fishbein</w:t>
      </w:r>
      <w:proofErr w:type="spellEnd"/>
      <w:r>
        <w:rPr>
          <w:lang w:eastAsia="zh-CN"/>
        </w:rPr>
        <w:t xml:space="preserve"> M. </w:t>
      </w:r>
      <w:r w:rsidRPr="0065221A">
        <w:rPr>
          <w:i/>
          <w:iCs/>
          <w:lang w:eastAsia="zh-CN"/>
        </w:rPr>
        <w:t>Understanding attitudes and predicting social behavior</w:t>
      </w:r>
      <w:r>
        <w:rPr>
          <w:lang w:eastAsia="zh-CN"/>
        </w:rPr>
        <w:t>.</w:t>
      </w:r>
      <w:proofErr w:type="gramEnd"/>
      <w:r>
        <w:rPr>
          <w:lang w:eastAsia="zh-CN"/>
        </w:rPr>
        <w:t xml:space="preserve"> London, England: Pearson; 1980.</w:t>
      </w:r>
    </w:p>
    <w:p w14:paraId="1E6748C3" w14:textId="77777777" w:rsidR="002B5E9B" w:rsidRDefault="002B5E9B" w:rsidP="002B5E9B">
      <w:pPr>
        <w:pStyle w:val="biblio"/>
        <w:rPr>
          <w:lang w:eastAsia="zh-CN"/>
        </w:rPr>
      </w:pPr>
      <w:r>
        <w:rPr>
          <w:lang w:eastAsia="zh-CN"/>
        </w:rPr>
        <w:t xml:space="preserve">Albano JD, Ward E, </w:t>
      </w:r>
      <w:proofErr w:type="spellStart"/>
      <w:r>
        <w:rPr>
          <w:lang w:eastAsia="zh-CN"/>
        </w:rPr>
        <w:t>Jemal</w:t>
      </w:r>
      <w:proofErr w:type="spellEnd"/>
      <w:r>
        <w:rPr>
          <w:lang w:eastAsia="zh-CN"/>
        </w:rPr>
        <w:t xml:space="preserve"> A, et al. Cancer mortality in the United States by education level and race. J </w:t>
      </w:r>
      <w:proofErr w:type="spellStart"/>
      <w:r>
        <w:rPr>
          <w:lang w:eastAsia="zh-CN"/>
        </w:rPr>
        <w:t>Natl</w:t>
      </w:r>
      <w:proofErr w:type="spellEnd"/>
      <w:r>
        <w:rPr>
          <w:lang w:eastAsia="zh-CN"/>
        </w:rPr>
        <w:t xml:space="preserve"> Cancer Inst. Sep 19 2007</w:t>
      </w:r>
      <w:proofErr w:type="gramStart"/>
      <w:r>
        <w:rPr>
          <w:lang w:eastAsia="zh-CN"/>
        </w:rPr>
        <w:t>;99</w:t>
      </w:r>
      <w:proofErr w:type="gramEnd"/>
      <w:r>
        <w:rPr>
          <w:lang w:eastAsia="zh-CN"/>
        </w:rPr>
        <w:t>(18):1384-1394.</w:t>
      </w:r>
    </w:p>
    <w:p w14:paraId="7B5F2552" w14:textId="77777777" w:rsidR="002B5E9B" w:rsidRDefault="002B5E9B" w:rsidP="002B5E9B">
      <w:pPr>
        <w:pStyle w:val="biblio"/>
        <w:rPr>
          <w:lang w:eastAsia="zh-CN"/>
        </w:rPr>
      </w:pPr>
      <w:r>
        <w:rPr>
          <w:lang w:eastAsia="zh-CN"/>
        </w:rPr>
        <w:t xml:space="preserve">Bandura A. </w:t>
      </w:r>
      <w:r w:rsidRPr="0065221A">
        <w:rPr>
          <w:i/>
          <w:iCs/>
          <w:lang w:eastAsia="zh-CN"/>
        </w:rPr>
        <w:t>Social foundations of thought and action: a social cognitive theory</w:t>
      </w:r>
      <w:r>
        <w:rPr>
          <w:lang w:eastAsia="zh-CN"/>
        </w:rPr>
        <w:t>. London, England: Pearson; 1985.</w:t>
      </w:r>
    </w:p>
    <w:p w14:paraId="0C27BBBF" w14:textId="77777777" w:rsidR="002B5E9B" w:rsidRDefault="002B5E9B" w:rsidP="002B5E9B">
      <w:pPr>
        <w:pStyle w:val="biblio"/>
        <w:rPr>
          <w:lang w:eastAsia="zh-CN"/>
        </w:rPr>
      </w:pPr>
      <w:proofErr w:type="gramStart"/>
      <w:r>
        <w:rPr>
          <w:lang w:eastAsia="zh-CN"/>
        </w:rPr>
        <w:t>Centers for Disease Control and Prevention.</w:t>
      </w:r>
      <w:proofErr w:type="gramEnd"/>
      <w:r>
        <w:rPr>
          <w:lang w:eastAsia="zh-CN"/>
        </w:rPr>
        <w:t xml:space="preserve"> Best Practices for Comprehensive Tobacco Control Programs—2007. Atlanta, GA: U.S. Department of Health and Human Services, Centers for Disease Control and Prevention, National Center for Chronic Disease Prevention and Health Promotion, Office on Smoking and Health; 2007.</w:t>
      </w:r>
    </w:p>
    <w:p w14:paraId="6B5A32BA" w14:textId="77777777" w:rsidR="002B5E9B" w:rsidRDefault="002B5E9B" w:rsidP="002B5E9B">
      <w:pPr>
        <w:pStyle w:val="biblio"/>
        <w:rPr>
          <w:lang w:eastAsia="zh-CN"/>
        </w:rPr>
      </w:pPr>
      <w:proofErr w:type="gramStart"/>
      <w:r>
        <w:rPr>
          <w:lang w:eastAsia="zh-CN"/>
        </w:rPr>
        <w:t>Centers for Disease Control and Prevention (CDC).</w:t>
      </w:r>
      <w:proofErr w:type="gramEnd"/>
      <w:r>
        <w:rPr>
          <w:lang w:eastAsia="zh-CN"/>
        </w:rPr>
        <w:t xml:space="preserve"> </w:t>
      </w:r>
      <w:proofErr w:type="gramStart"/>
      <w:r>
        <w:rPr>
          <w:lang w:eastAsia="zh-CN"/>
        </w:rPr>
        <w:t>Framework for program evaluation in public health.</w:t>
      </w:r>
      <w:proofErr w:type="gramEnd"/>
      <w:r>
        <w:rPr>
          <w:lang w:eastAsia="zh-CN"/>
        </w:rPr>
        <w:t xml:space="preserve"> (1999). MMWR </w:t>
      </w:r>
      <w:proofErr w:type="spellStart"/>
      <w:r>
        <w:rPr>
          <w:lang w:eastAsia="zh-CN"/>
        </w:rPr>
        <w:t>Recomm</w:t>
      </w:r>
      <w:proofErr w:type="spellEnd"/>
      <w:r>
        <w:rPr>
          <w:lang w:eastAsia="zh-CN"/>
        </w:rPr>
        <w:t xml:space="preserve"> Rep, 1999</w:t>
      </w:r>
      <w:proofErr w:type="gramStart"/>
      <w:r>
        <w:rPr>
          <w:lang w:eastAsia="zh-CN"/>
        </w:rPr>
        <w:t>;48</w:t>
      </w:r>
      <w:proofErr w:type="gramEnd"/>
      <w:r>
        <w:rPr>
          <w:lang w:eastAsia="zh-CN"/>
        </w:rPr>
        <w:t xml:space="preserve">(RR-11), 1-40. </w:t>
      </w:r>
    </w:p>
    <w:p w14:paraId="7E58E714" w14:textId="77777777" w:rsidR="002B5E9B" w:rsidRDefault="002B5E9B" w:rsidP="002B5E9B">
      <w:pPr>
        <w:pStyle w:val="biblio"/>
        <w:rPr>
          <w:lang w:eastAsia="zh-CN"/>
        </w:rPr>
      </w:pPr>
      <w:r>
        <w:rPr>
          <w:lang w:eastAsia="zh-CN"/>
        </w:rPr>
        <w:t xml:space="preserve">Cowell AJ, Farrelly MC, Chou R, Vallone DM. Assessing the impact of the national ‘truth’ antismoking campaign on beliefs, attitudes, and intent to smoke by race/ethnicity. </w:t>
      </w:r>
      <w:proofErr w:type="spellStart"/>
      <w:r>
        <w:rPr>
          <w:lang w:eastAsia="zh-CN"/>
        </w:rPr>
        <w:t>Ethn</w:t>
      </w:r>
      <w:proofErr w:type="spellEnd"/>
      <w:r>
        <w:rPr>
          <w:lang w:eastAsia="zh-CN"/>
        </w:rPr>
        <w:t xml:space="preserve"> Health. Feb 2009</w:t>
      </w:r>
      <w:proofErr w:type="gramStart"/>
      <w:r>
        <w:rPr>
          <w:lang w:eastAsia="zh-CN"/>
        </w:rPr>
        <w:t>;14</w:t>
      </w:r>
      <w:proofErr w:type="gramEnd"/>
      <w:r>
        <w:rPr>
          <w:lang w:eastAsia="zh-CN"/>
        </w:rPr>
        <w:t>(1):75-91.</w:t>
      </w:r>
    </w:p>
    <w:p w14:paraId="33A5DE7B" w14:textId="77777777" w:rsidR="002B5E9B" w:rsidRDefault="002B5E9B" w:rsidP="002B5E9B">
      <w:pPr>
        <w:pStyle w:val="biblio"/>
        <w:rPr>
          <w:lang w:eastAsia="zh-CN"/>
        </w:rPr>
      </w:pPr>
      <w:proofErr w:type="gramStart"/>
      <w:r>
        <w:rPr>
          <w:lang w:eastAsia="zh-CN"/>
        </w:rPr>
        <w:t xml:space="preserve">Farrelly MC, Davis KC, </w:t>
      </w:r>
      <w:proofErr w:type="spellStart"/>
      <w:r>
        <w:rPr>
          <w:lang w:eastAsia="zh-CN"/>
        </w:rPr>
        <w:t>Haviland</w:t>
      </w:r>
      <w:proofErr w:type="spellEnd"/>
      <w:r>
        <w:rPr>
          <w:lang w:eastAsia="zh-CN"/>
        </w:rPr>
        <w:t xml:space="preserve"> ML, </w:t>
      </w:r>
      <w:proofErr w:type="spellStart"/>
      <w:r>
        <w:rPr>
          <w:lang w:eastAsia="zh-CN"/>
        </w:rPr>
        <w:t>Messeri</w:t>
      </w:r>
      <w:proofErr w:type="spellEnd"/>
      <w:r>
        <w:rPr>
          <w:lang w:eastAsia="zh-CN"/>
        </w:rPr>
        <w:t xml:space="preserve"> P, </w:t>
      </w:r>
      <w:proofErr w:type="spellStart"/>
      <w:r>
        <w:rPr>
          <w:lang w:eastAsia="zh-CN"/>
        </w:rPr>
        <w:t>Healton</w:t>
      </w:r>
      <w:proofErr w:type="spellEnd"/>
      <w:r>
        <w:rPr>
          <w:lang w:eastAsia="zh-CN"/>
        </w:rPr>
        <w:t xml:space="preserve"> CG.</w:t>
      </w:r>
      <w:proofErr w:type="gramEnd"/>
      <w:r>
        <w:rPr>
          <w:lang w:eastAsia="zh-CN"/>
        </w:rPr>
        <w:t xml:space="preserve"> </w:t>
      </w:r>
      <w:proofErr w:type="gramStart"/>
      <w:r>
        <w:rPr>
          <w:lang w:eastAsia="zh-CN"/>
        </w:rPr>
        <w:t>Evidence of a dose-response relationship between “truth” antismoking ads and youth smoking prevalence.</w:t>
      </w:r>
      <w:proofErr w:type="gramEnd"/>
      <w:r>
        <w:rPr>
          <w:lang w:eastAsia="zh-CN"/>
        </w:rPr>
        <w:t xml:space="preserve"> </w:t>
      </w:r>
      <w:proofErr w:type="gramStart"/>
      <w:r>
        <w:rPr>
          <w:lang w:eastAsia="zh-CN"/>
        </w:rPr>
        <w:t>Am J Public Health.</w:t>
      </w:r>
      <w:proofErr w:type="gramEnd"/>
      <w:r>
        <w:rPr>
          <w:lang w:eastAsia="zh-CN"/>
        </w:rPr>
        <w:t xml:space="preserve"> Mar 2005</w:t>
      </w:r>
      <w:proofErr w:type="gramStart"/>
      <w:r>
        <w:rPr>
          <w:lang w:eastAsia="zh-CN"/>
        </w:rPr>
        <w:t>;95</w:t>
      </w:r>
      <w:proofErr w:type="gramEnd"/>
      <w:r>
        <w:rPr>
          <w:lang w:eastAsia="zh-CN"/>
        </w:rPr>
        <w:t>(3):425-431.</w:t>
      </w:r>
    </w:p>
    <w:p w14:paraId="7D54E407" w14:textId="77777777" w:rsidR="002B5E9B" w:rsidRDefault="002B5E9B" w:rsidP="002B5E9B">
      <w:pPr>
        <w:pStyle w:val="biblio"/>
        <w:rPr>
          <w:lang w:eastAsia="zh-CN"/>
        </w:rPr>
      </w:pPr>
      <w:proofErr w:type="spellStart"/>
      <w:r>
        <w:rPr>
          <w:lang w:eastAsia="zh-CN"/>
        </w:rPr>
        <w:t>Fishbein</w:t>
      </w:r>
      <w:proofErr w:type="spellEnd"/>
      <w:r>
        <w:rPr>
          <w:lang w:eastAsia="zh-CN"/>
        </w:rPr>
        <w:t xml:space="preserve"> M. </w:t>
      </w:r>
      <w:proofErr w:type="gramStart"/>
      <w:r>
        <w:rPr>
          <w:lang w:eastAsia="zh-CN"/>
        </w:rPr>
        <w:t>A consideration of beliefs and their role in attitude measurement.</w:t>
      </w:r>
      <w:proofErr w:type="gramEnd"/>
      <w:r>
        <w:rPr>
          <w:lang w:eastAsia="zh-CN"/>
        </w:rPr>
        <w:t xml:space="preserve"> In: </w:t>
      </w:r>
      <w:proofErr w:type="spellStart"/>
      <w:r>
        <w:rPr>
          <w:lang w:eastAsia="zh-CN"/>
        </w:rPr>
        <w:t>Fishbein</w:t>
      </w:r>
      <w:proofErr w:type="spellEnd"/>
      <w:r>
        <w:rPr>
          <w:lang w:eastAsia="zh-CN"/>
        </w:rPr>
        <w:t xml:space="preserve"> M, ed. Readings in attitude theory and measurement. New York, NY: Wiley; 1967:257–266.</w:t>
      </w:r>
    </w:p>
    <w:p w14:paraId="3CBCEE75" w14:textId="77777777" w:rsidR="002B5E9B" w:rsidRDefault="002B5E9B" w:rsidP="002B5E9B">
      <w:pPr>
        <w:pStyle w:val="biblio"/>
        <w:rPr>
          <w:lang w:eastAsia="zh-CN"/>
        </w:rPr>
      </w:pPr>
      <w:proofErr w:type="spellStart"/>
      <w:r>
        <w:rPr>
          <w:lang w:eastAsia="zh-CN"/>
        </w:rPr>
        <w:t>Hornik</w:t>
      </w:r>
      <w:proofErr w:type="spellEnd"/>
      <w:r>
        <w:rPr>
          <w:lang w:eastAsia="zh-CN"/>
        </w:rPr>
        <w:t xml:space="preserve"> R. Public health communication: Evidence for behavior change. London, NJ: Lawrence Erlbaum Associates; 2002.</w:t>
      </w:r>
    </w:p>
    <w:p w14:paraId="3714D98B" w14:textId="77777777" w:rsidR="002B5E9B" w:rsidRDefault="002B5E9B" w:rsidP="002B5E9B">
      <w:pPr>
        <w:pStyle w:val="biblio"/>
        <w:rPr>
          <w:lang w:eastAsia="zh-CN"/>
        </w:rPr>
      </w:pPr>
      <w:r>
        <w:rPr>
          <w:lang w:eastAsia="zh-CN"/>
        </w:rPr>
        <w:t xml:space="preserve">Murray DM, Prokhorov AV, </w:t>
      </w:r>
      <w:proofErr w:type="spellStart"/>
      <w:r>
        <w:rPr>
          <w:lang w:eastAsia="zh-CN"/>
        </w:rPr>
        <w:t>Harty</w:t>
      </w:r>
      <w:proofErr w:type="spellEnd"/>
      <w:r>
        <w:rPr>
          <w:lang w:eastAsia="zh-CN"/>
        </w:rPr>
        <w:t xml:space="preserve"> KC. Effects of a statewide antismoking campaign on mass media messages and smoking beliefs. </w:t>
      </w:r>
      <w:proofErr w:type="spellStart"/>
      <w:r>
        <w:rPr>
          <w:lang w:eastAsia="zh-CN"/>
        </w:rPr>
        <w:t>Prev</w:t>
      </w:r>
      <w:proofErr w:type="spellEnd"/>
      <w:r>
        <w:rPr>
          <w:lang w:eastAsia="zh-CN"/>
        </w:rPr>
        <w:t xml:space="preserve"> Med. Jan 1994</w:t>
      </w:r>
      <w:proofErr w:type="gramStart"/>
      <w:r>
        <w:rPr>
          <w:lang w:eastAsia="zh-CN"/>
        </w:rPr>
        <w:t>;23</w:t>
      </w:r>
      <w:proofErr w:type="gramEnd"/>
      <w:r>
        <w:rPr>
          <w:lang w:eastAsia="zh-CN"/>
        </w:rPr>
        <w:t>(1):54-60.</w:t>
      </w:r>
    </w:p>
    <w:p w14:paraId="35EA7793" w14:textId="77777777" w:rsidR="002B5E9B" w:rsidRDefault="002B5E9B" w:rsidP="002B5E9B">
      <w:pPr>
        <w:pStyle w:val="biblio"/>
        <w:rPr>
          <w:lang w:eastAsia="zh-CN"/>
        </w:rPr>
      </w:pPr>
      <w:proofErr w:type="spellStart"/>
      <w:r>
        <w:rPr>
          <w:lang w:eastAsia="zh-CN"/>
        </w:rPr>
        <w:t>Murukutla</w:t>
      </w:r>
      <w:proofErr w:type="spellEnd"/>
      <w:r>
        <w:rPr>
          <w:lang w:eastAsia="zh-CN"/>
        </w:rPr>
        <w:t xml:space="preserve"> N, Turk T, Prasad CV, et al. Results of a national mass media campaign in India to warn against the dangers of smokeless tobacco consumption. </w:t>
      </w:r>
      <w:proofErr w:type="spellStart"/>
      <w:r>
        <w:rPr>
          <w:lang w:eastAsia="zh-CN"/>
        </w:rPr>
        <w:t>Tob</w:t>
      </w:r>
      <w:proofErr w:type="spellEnd"/>
      <w:r>
        <w:rPr>
          <w:lang w:eastAsia="zh-CN"/>
        </w:rPr>
        <w:t xml:space="preserve"> Control. Jan 2012</w:t>
      </w:r>
      <w:proofErr w:type="gramStart"/>
      <w:r>
        <w:rPr>
          <w:lang w:eastAsia="zh-CN"/>
        </w:rPr>
        <w:t>;21</w:t>
      </w:r>
      <w:proofErr w:type="gramEnd"/>
      <w:r>
        <w:rPr>
          <w:lang w:eastAsia="zh-CN"/>
        </w:rPr>
        <w:t>(1):12-17.</w:t>
      </w:r>
    </w:p>
    <w:p w14:paraId="7EFA0037" w14:textId="77777777" w:rsidR="002B5E9B" w:rsidRDefault="002B5E9B" w:rsidP="002B5E9B">
      <w:pPr>
        <w:pStyle w:val="biblio"/>
        <w:rPr>
          <w:lang w:eastAsia="zh-CN"/>
        </w:rPr>
      </w:pPr>
      <w:r>
        <w:rPr>
          <w:lang w:eastAsia="zh-CN"/>
        </w:rPr>
        <w:t xml:space="preserve">National Cancer Institute (NCI). </w:t>
      </w:r>
      <w:proofErr w:type="gramStart"/>
      <w:r>
        <w:rPr>
          <w:lang w:eastAsia="zh-CN"/>
        </w:rPr>
        <w:t>The role of the media in promoting and reducing tobacco use.</w:t>
      </w:r>
      <w:proofErr w:type="gramEnd"/>
      <w:r>
        <w:rPr>
          <w:lang w:eastAsia="zh-CN"/>
        </w:rPr>
        <w:t xml:space="preserve"> Tobacco Control Monograph No. 19. Bethesda, MD: U.S. Department of Health and Human Services, National Institutes of Health, National Cancer Institute 2008.</w:t>
      </w:r>
    </w:p>
    <w:p w14:paraId="57E73890" w14:textId="77777777" w:rsidR="002B5E9B" w:rsidRDefault="002B5E9B" w:rsidP="002B5E9B">
      <w:pPr>
        <w:pStyle w:val="biblio"/>
        <w:rPr>
          <w:lang w:eastAsia="zh-CN"/>
        </w:rPr>
      </w:pPr>
      <w:proofErr w:type="spellStart"/>
      <w:r>
        <w:rPr>
          <w:lang w:eastAsia="zh-CN"/>
        </w:rPr>
        <w:t>Rosenstock</w:t>
      </w:r>
      <w:proofErr w:type="spellEnd"/>
      <w:r>
        <w:rPr>
          <w:lang w:eastAsia="zh-CN"/>
        </w:rPr>
        <w:t xml:space="preserve"> IM, </w:t>
      </w:r>
      <w:proofErr w:type="spellStart"/>
      <w:r>
        <w:rPr>
          <w:lang w:eastAsia="zh-CN"/>
        </w:rPr>
        <w:t>Strecher</w:t>
      </w:r>
      <w:proofErr w:type="spellEnd"/>
      <w:r>
        <w:rPr>
          <w:lang w:eastAsia="zh-CN"/>
        </w:rPr>
        <w:t xml:space="preserve"> VJ, Becker MH. </w:t>
      </w:r>
      <w:proofErr w:type="gramStart"/>
      <w:r>
        <w:rPr>
          <w:lang w:eastAsia="zh-CN"/>
        </w:rPr>
        <w:t>Social learning theory and the Health Belief Model.</w:t>
      </w:r>
      <w:proofErr w:type="gramEnd"/>
      <w:r>
        <w:rPr>
          <w:lang w:eastAsia="zh-CN"/>
        </w:rPr>
        <w:t xml:space="preserve"> Health </w:t>
      </w:r>
      <w:proofErr w:type="spellStart"/>
      <w:r>
        <w:rPr>
          <w:lang w:eastAsia="zh-CN"/>
        </w:rPr>
        <w:t>Educ</w:t>
      </w:r>
      <w:proofErr w:type="spellEnd"/>
      <w:r>
        <w:rPr>
          <w:lang w:eastAsia="zh-CN"/>
        </w:rPr>
        <w:t xml:space="preserve"> Q. Summer 1988</w:t>
      </w:r>
      <w:proofErr w:type="gramStart"/>
      <w:r>
        <w:rPr>
          <w:lang w:eastAsia="zh-CN"/>
        </w:rPr>
        <w:t>;15</w:t>
      </w:r>
      <w:proofErr w:type="gramEnd"/>
      <w:r>
        <w:rPr>
          <w:lang w:eastAsia="zh-CN"/>
        </w:rPr>
        <w:t>(2):175-183.</w:t>
      </w:r>
    </w:p>
    <w:p w14:paraId="5C71CC72" w14:textId="77777777" w:rsidR="002B5E9B" w:rsidRDefault="002B5E9B" w:rsidP="002B5E9B">
      <w:pPr>
        <w:pStyle w:val="biblio"/>
        <w:rPr>
          <w:lang w:eastAsia="zh-CN"/>
        </w:rPr>
      </w:pPr>
      <w:proofErr w:type="spellStart"/>
      <w:r>
        <w:rPr>
          <w:lang w:eastAsia="zh-CN"/>
        </w:rPr>
        <w:lastRenderedPageBreak/>
        <w:t>Trickett</w:t>
      </w:r>
      <w:proofErr w:type="spellEnd"/>
      <w:r>
        <w:rPr>
          <w:lang w:eastAsia="zh-CN"/>
        </w:rPr>
        <w:t xml:space="preserve"> EJ, </w:t>
      </w:r>
      <w:proofErr w:type="spellStart"/>
      <w:r>
        <w:rPr>
          <w:lang w:eastAsia="zh-CN"/>
        </w:rPr>
        <w:t>Beehler</w:t>
      </w:r>
      <w:proofErr w:type="spellEnd"/>
      <w:r>
        <w:rPr>
          <w:lang w:eastAsia="zh-CN"/>
        </w:rPr>
        <w:t xml:space="preserve"> S, Deutsch C, et al. </w:t>
      </w:r>
      <w:proofErr w:type="gramStart"/>
      <w:r>
        <w:rPr>
          <w:lang w:eastAsia="zh-CN"/>
        </w:rPr>
        <w:t>Advancing</w:t>
      </w:r>
      <w:proofErr w:type="gramEnd"/>
      <w:r>
        <w:rPr>
          <w:lang w:eastAsia="zh-CN"/>
        </w:rPr>
        <w:t xml:space="preserve"> the science of community-level interventions. </w:t>
      </w:r>
      <w:proofErr w:type="gramStart"/>
      <w:r>
        <w:rPr>
          <w:lang w:eastAsia="zh-CN"/>
        </w:rPr>
        <w:t>Am J Public Health.</w:t>
      </w:r>
      <w:proofErr w:type="gramEnd"/>
      <w:r>
        <w:rPr>
          <w:lang w:eastAsia="zh-CN"/>
        </w:rPr>
        <w:t xml:space="preserve"> Aug 2011</w:t>
      </w:r>
      <w:proofErr w:type="gramStart"/>
      <w:r>
        <w:rPr>
          <w:lang w:eastAsia="zh-CN"/>
        </w:rPr>
        <w:t>;101</w:t>
      </w:r>
      <w:proofErr w:type="gramEnd"/>
      <w:r>
        <w:rPr>
          <w:lang w:eastAsia="zh-CN"/>
        </w:rPr>
        <w:t>(8):1410-1419.</w:t>
      </w:r>
    </w:p>
    <w:p w14:paraId="14BD0CFB" w14:textId="77777777" w:rsidR="002B5E9B" w:rsidRDefault="002B5E9B" w:rsidP="002B5E9B">
      <w:pPr>
        <w:pStyle w:val="biblio"/>
        <w:rPr>
          <w:lang w:eastAsia="zh-CN"/>
        </w:rPr>
      </w:pPr>
      <w:r>
        <w:rPr>
          <w:lang w:eastAsia="zh-CN"/>
        </w:rPr>
        <w:t xml:space="preserve">Vallone DM, Duke JC, Cullen J, McCausland KL, Allen JA. Evaluation of EX: a national mass media smoking cessation campaign. </w:t>
      </w:r>
      <w:proofErr w:type="gramStart"/>
      <w:r>
        <w:rPr>
          <w:lang w:eastAsia="zh-CN"/>
        </w:rPr>
        <w:t>Am J Public Health.</w:t>
      </w:r>
      <w:proofErr w:type="gramEnd"/>
      <w:r>
        <w:rPr>
          <w:lang w:eastAsia="zh-CN"/>
        </w:rPr>
        <w:t xml:space="preserve"> Feb 2011</w:t>
      </w:r>
      <w:proofErr w:type="gramStart"/>
      <w:r>
        <w:rPr>
          <w:lang w:eastAsia="zh-CN"/>
        </w:rPr>
        <w:t>;101</w:t>
      </w:r>
      <w:proofErr w:type="gramEnd"/>
      <w:r>
        <w:rPr>
          <w:lang w:eastAsia="zh-CN"/>
        </w:rPr>
        <w:t>(2):302-309.</w:t>
      </w:r>
    </w:p>
    <w:p w14:paraId="33A7AB50" w14:textId="77777777" w:rsidR="002B5E9B" w:rsidRDefault="002B5E9B" w:rsidP="002B5E9B">
      <w:pPr>
        <w:pStyle w:val="biblio"/>
        <w:rPr>
          <w:lang w:eastAsia="zh-CN"/>
        </w:rPr>
      </w:pPr>
      <w:r>
        <w:rPr>
          <w:lang w:eastAsia="zh-CN"/>
        </w:rPr>
        <w:t xml:space="preserve">Vallone DM, Niederdeppe J, Richardson AK, </w:t>
      </w:r>
      <w:proofErr w:type="spellStart"/>
      <w:r>
        <w:rPr>
          <w:lang w:eastAsia="zh-CN"/>
        </w:rPr>
        <w:t>Patwardhan</w:t>
      </w:r>
      <w:proofErr w:type="spellEnd"/>
      <w:r>
        <w:rPr>
          <w:lang w:eastAsia="zh-CN"/>
        </w:rPr>
        <w:t xml:space="preserve"> P, </w:t>
      </w:r>
      <w:proofErr w:type="spellStart"/>
      <w:r>
        <w:rPr>
          <w:lang w:eastAsia="zh-CN"/>
        </w:rPr>
        <w:t>Niaura</w:t>
      </w:r>
      <w:proofErr w:type="spellEnd"/>
      <w:r>
        <w:rPr>
          <w:lang w:eastAsia="zh-CN"/>
        </w:rPr>
        <w:t xml:space="preserve"> R, Cullen J. A national mass media smoking cessation campaign: effects by race/ethnicity and education. Am J Health </w:t>
      </w:r>
      <w:proofErr w:type="spellStart"/>
      <w:r>
        <w:rPr>
          <w:lang w:eastAsia="zh-CN"/>
        </w:rPr>
        <w:t>Promot</w:t>
      </w:r>
      <w:proofErr w:type="spellEnd"/>
      <w:r>
        <w:rPr>
          <w:lang w:eastAsia="zh-CN"/>
        </w:rPr>
        <w:t>. May-Jun 2011</w:t>
      </w:r>
      <w:proofErr w:type="gramStart"/>
      <w:r>
        <w:rPr>
          <w:lang w:eastAsia="zh-CN"/>
        </w:rPr>
        <w:t>;25</w:t>
      </w:r>
      <w:proofErr w:type="gramEnd"/>
      <w:r>
        <w:rPr>
          <w:lang w:eastAsia="zh-CN"/>
        </w:rPr>
        <w:t xml:space="preserve">(5 </w:t>
      </w:r>
      <w:proofErr w:type="spellStart"/>
      <w:r>
        <w:rPr>
          <w:lang w:eastAsia="zh-CN"/>
        </w:rPr>
        <w:t>Suppl</w:t>
      </w:r>
      <w:proofErr w:type="spellEnd"/>
      <w:r>
        <w:rPr>
          <w:lang w:eastAsia="zh-CN"/>
        </w:rPr>
        <w:t>):S38-50.</w:t>
      </w:r>
    </w:p>
    <w:p w14:paraId="3EBE4734" w14:textId="77777777" w:rsidR="002B5E9B" w:rsidRDefault="002B5E9B" w:rsidP="003D6A3E">
      <w:pPr>
        <w:pStyle w:val="Source1"/>
      </w:pPr>
    </w:p>
    <w:sectPr w:rsidR="002B5E9B" w:rsidSect="00D53820">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796A64" w14:textId="77777777" w:rsidR="00524A7E" w:rsidRDefault="00524A7E" w:rsidP="00B53013">
      <w:r>
        <w:separator/>
      </w:r>
    </w:p>
  </w:endnote>
  <w:endnote w:type="continuationSeparator" w:id="0">
    <w:p w14:paraId="6A27A623" w14:textId="77777777" w:rsidR="00524A7E" w:rsidRDefault="00524A7E" w:rsidP="00B53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C1EEE" w14:textId="77777777" w:rsidR="00B53013" w:rsidRDefault="00B530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BE5DE" w14:textId="77777777" w:rsidR="00B53013" w:rsidRDefault="00B53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28A263" w14:textId="77777777" w:rsidR="00B53013" w:rsidRDefault="00B530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1E2A65" w14:textId="77777777" w:rsidR="00524A7E" w:rsidRDefault="00524A7E" w:rsidP="00B53013">
      <w:r>
        <w:separator/>
      </w:r>
    </w:p>
  </w:footnote>
  <w:footnote w:type="continuationSeparator" w:id="0">
    <w:p w14:paraId="32A526CE" w14:textId="77777777" w:rsidR="00524A7E" w:rsidRDefault="00524A7E" w:rsidP="00B53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12B54F" w14:textId="77777777" w:rsidR="00B53013" w:rsidRDefault="00B530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ABC90" w14:textId="77777777" w:rsidR="00B53013" w:rsidRDefault="00B530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4080C" w14:textId="77777777" w:rsidR="00B53013" w:rsidRDefault="00B5301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6039"/>
    <w:multiLevelType w:val="multilevel"/>
    <w:tmpl w:val="154ED458"/>
    <w:numStyleLink w:val="Format4"/>
  </w:abstractNum>
  <w:abstractNum w:abstractNumId="1">
    <w:nsid w:val="199B0AED"/>
    <w:multiLevelType w:val="multilevel"/>
    <w:tmpl w:val="154ED458"/>
    <w:styleLink w:val="Format4"/>
    <w:lvl w:ilvl="0">
      <w:start w:val="1"/>
      <w:numFmt w:val="decimal"/>
      <w:pStyle w:val="Heading1"/>
      <w:lvlText w:val="%1."/>
      <w:lvlJc w:val="left"/>
      <w:pPr>
        <w:ind w:left="360" w:hanging="360"/>
      </w:pPr>
      <w:rPr>
        <w:rFonts w:ascii="Verdana" w:hAnsi="Verdana" w:hint="default"/>
        <w:b/>
        <w:i w:val="0"/>
        <w:sz w:val="26"/>
      </w:rPr>
    </w:lvl>
    <w:lvl w:ilvl="1">
      <w:start w:val="1"/>
      <w:numFmt w:val="decimal"/>
      <w:pStyle w:val="Heading2"/>
      <w:lvlText w:val="%1.%2"/>
      <w:lvlJc w:val="left"/>
      <w:pPr>
        <w:ind w:left="720" w:hanging="720"/>
      </w:pPr>
      <w:rPr>
        <w:rFonts w:ascii="Verdana" w:hAnsi="Verdana" w:hint="default"/>
        <w:b/>
        <w:i w:val="0"/>
        <w:sz w:val="24"/>
      </w:rPr>
    </w:lvl>
    <w:lvl w:ilvl="2">
      <w:start w:val="1"/>
      <w:numFmt w:val="decimal"/>
      <w:pStyle w:val="Heading3"/>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A3E"/>
    <w:rsid w:val="000A71F3"/>
    <w:rsid w:val="000C6F8E"/>
    <w:rsid w:val="0023356F"/>
    <w:rsid w:val="00285B65"/>
    <w:rsid w:val="002B5E9B"/>
    <w:rsid w:val="003D6A3E"/>
    <w:rsid w:val="00452D7D"/>
    <w:rsid w:val="00524A7E"/>
    <w:rsid w:val="006D0F9B"/>
    <w:rsid w:val="007F3E23"/>
    <w:rsid w:val="00801387"/>
    <w:rsid w:val="008D1E07"/>
    <w:rsid w:val="008E09ED"/>
    <w:rsid w:val="00987ED3"/>
    <w:rsid w:val="009B10A3"/>
    <w:rsid w:val="00A51A35"/>
    <w:rsid w:val="00A802E2"/>
    <w:rsid w:val="00AF625A"/>
    <w:rsid w:val="00B53013"/>
    <w:rsid w:val="00BC6AB8"/>
    <w:rsid w:val="00D53820"/>
    <w:rsid w:val="00E571F5"/>
    <w:rsid w:val="00EC32AD"/>
    <w:rsid w:val="00F9405A"/>
    <w:rsid w:val="00FE5AB3"/>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9C2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3E"/>
    <w:rPr>
      <w:rFonts w:ascii="Verdana" w:eastAsia="MS Mincho" w:hAnsi="Verdana" w:cs="Times New Roman"/>
      <w:sz w:val="20"/>
      <w:szCs w:val="20"/>
    </w:rPr>
  </w:style>
  <w:style w:type="paragraph" w:styleId="Heading1">
    <w:name w:val="heading 1"/>
    <w:basedOn w:val="Normal"/>
    <w:next w:val="Normal"/>
    <w:link w:val="Heading1Char"/>
    <w:uiPriority w:val="99"/>
    <w:qFormat/>
    <w:rsid w:val="003D6A3E"/>
    <w:pPr>
      <w:keepNext/>
      <w:numPr>
        <w:numId w:val="2"/>
      </w:numPr>
      <w:spacing w:before="240" w:after="240"/>
      <w:jc w:val="center"/>
      <w:outlineLvl w:val="0"/>
    </w:pPr>
    <w:rPr>
      <w:b/>
      <w:caps/>
      <w:kern w:val="28"/>
      <w:sz w:val="26"/>
      <w:szCs w:val="28"/>
    </w:rPr>
  </w:style>
  <w:style w:type="paragraph" w:styleId="Heading2">
    <w:name w:val="heading 2"/>
    <w:next w:val="Normal"/>
    <w:link w:val="Heading2Char"/>
    <w:uiPriority w:val="99"/>
    <w:qFormat/>
    <w:rsid w:val="003D6A3E"/>
    <w:pPr>
      <w:keepNext/>
      <w:keepLines/>
      <w:numPr>
        <w:ilvl w:val="1"/>
        <w:numId w:val="2"/>
      </w:numPr>
      <w:spacing w:before="240" w:after="120"/>
      <w:outlineLvl w:val="1"/>
    </w:pPr>
    <w:rPr>
      <w:rFonts w:ascii="Verdana" w:eastAsia="MS Mincho" w:hAnsi="Verdana" w:cs="Times New Roman"/>
      <w:b/>
    </w:rPr>
  </w:style>
  <w:style w:type="paragraph" w:styleId="Heading3">
    <w:name w:val="heading 3"/>
    <w:next w:val="Normal"/>
    <w:link w:val="Heading3Char"/>
    <w:uiPriority w:val="99"/>
    <w:qFormat/>
    <w:rsid w:val="003D6A3E"/>
    <w:pPr>
      <w:keepNext/>
      <w:keepLines/>
      <w:numPr>
        <w:ilvl w:val="2"/>
        <w:numId w:val="2"/>
      </w:numPr>
      <w:tabs>
        <w:tab w:val="left" w:pos="873"/>
      </w:tabs>
      <w:spacing w:before="240" w:after="120"/>
      <w:outlineLvl w:val="2"/>
    </w:pPr>
    <w:rPr>
      <w:rFonts w:ascii="Verdana" w:eastAsia="MS Mincho" w:hAnsi="Verdana"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character" w:customStyle="1" w:styleId="Heading1Char">
    <w:name w:val="Heading 1 Char"/>
    <w:basedOn w:val="DefaultParagraphFont"/>
    <w:link w:val="Heading1"/>
    <w:uiPriority w:val="99"/>
    <w:rsid w:val="003D6A3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9"/>
    <w:rsid w:val="003D6A3E"/>
    <w:rPr>
      <w:rFonts w:ascii="Verdana" w:eastAsia="MS Mincho" w:hAnsi="Verdana" w:cs="Times New Roman"/>
      <w:b/>
    </w:rPr>
  </w:style>
  <w:style w:type="character" w:customStyle="1" w:styleId="Heading3Char">
    <w:name w:val="Heading 3 Char"/>
    <w:basedOn w:val="DefaultParagraphFont"/>
    <w:link w:val="Heading3"/>
    <w:uiPriority w:val="99"/>
    <w:rsid w:val="003D6A3E"/>
    <w:rPr>
      <w:rFonts w:ascii="Verdana" w:eastAsia="MS Mincho" w:hAnsi="Verdana" w:cs="Times New Roman"/>
      <w:b/>
      <w:i/>
      <w:sz w:val="22"/>
      <w:szCs w:val="20"/>
    </w:rPr>
  </w:style>
  <w:style w:type="paragraph" w:customStyle="1" w:styleId="Source1">
    <w:name w:val="Source1"/>
    <w:basedOn w:val="Normal"/>
    <w:rsid w:val="003D6A3E"/>
    <w:pPr>
      <w:keepLines/>
      <w:spacing w:before="120" w:after="400"/>
      <w:ind w:left="187" w:hanging="187"/>
    </w:pPr>
    <w:rPr>
      <w:sz w:val="18"/>
    </w:rPr>
  </w:style>
  <w:style w:type="paragraph" w:customStyle="1" w:styleId="TableHeaders">
    <w:name w:val="Table Headers"/>
    <w:qFormat/>
    <w:rsid w:val="003D6A3E"/>
    <w:pPr>
      <w:spacing w:before="80" w:after="80"/>
      <w:jc w:val="center"/>
    </w:pPr>
    <w:rPr>
      <w:rFonts w:ascii="Verdana" w:eastAsia="Times New Roman" w:hAnsi="Verdana" w:cs="Times New Roman"/>
      <w:b/>
      <w:sz w:val="18"/>
      <w:szCs w:val="20"/>
    </w:rPr>
  </w:style>
  <w:style w:type="paragraph" w:customStyle="1" w:styleId="TableTitle">
    <w:name w:val="Table Title"/>
    <w:basedOn w:val="Normal"/>
    <w:rsid w:val="003D6A3E"/>
    <w:pPr>
      <w:keepNext/>
      <w:keepLines/>
      <w:spacing w:before="320" w:after="120"/>
      <w:ind w:left="1440" w:hanging="1440"/>
    </w:pPr>
    <w:rPr>
      <w:b/>
    </w:rPr>
  </w:style>
  <w:style w:type="paragraph" w:customStyle="1" w:styleId="figurewbox">
    <w:name w:val="figure w/box"/>
    <w:basedOn w:val="Normal"/>
    <w:uiPriority w:val="99"/>
    <w:rsid w:val="003D6A3E"/>
    <w:pPr>
      <w:keepNext/>
      <w:pBdr>
        <w:top w:val="single" w:sz="12" w:space="9" w:color="auto"/>
        <w:left w:val="single" w:sz="12" w:space="6" w:color="auto"/>
        <w:bottom w:val="single" w:sz="12" w:space="9" w:color="auto"/>
        <w:right w:val="single" w:sz="12" w:space="4" w:color="auto"/>
      </w:pBdr>
      <w:ind w:left="187" w:right="187"/>
      <w:jc w:val="center"/>
    </w:pPr>
  </w:style>
  <w:style w:type="paragraph" w:styleId="BodyText">
    <w:name w:val="Body Text"/>
    <w:basedOn w:val="Normal"/>
    <w:link w:val="BodyTextChar"/>
    <w:rsid w:val="003D6A3E"/>
    <w:pPr>
      <w:spacing w:after="240" w:line="320" w:lineRule="exact"/>
    </w:pPr>
    <w:rPr>
      <w:snapToGrid w:val="0"/>
    </w:rPr>
  </w:style>
  <w:style w:type="character" w:customStyle="1" w:styleId="BodyTextChar">
    <w:name w:val="Body Text Char"/>
    <w:basedOn w:val="DefaultParagraphFont"/>
    <w:link w:val="BodyText"/>
    <w:rsid w:val="003D6A3E"/>
    <w:rPr>
      <w:rFonts w:ascii="Verdana" w:eastAsia="MS Mincho" w:hAnsi="Verdana" w:cs="Times New Roman"/>
      <w:snapToGrid w:val="0"/>
      <w:sz w:val="20"/>
      <w:szCs w:val="20"/>
    </w:rPr>
  </w:style>
  <w:style w:type="paragraph" w:customStyle="1" w:styleId="TableTitlecont">
    <w:name w:val="Table Title (cont)"/>
    <w:basedOn w:val="TableTitle"/>
    <w:rsid w:val="003D6A3E"/>
  </w:style>
  <w:style w:type="paragraph" w:customStyle="1" w:styleId="TableTextIndent1">
    <w:name w:val="Table Text Indent1"/>
    <w:basedOn w:val="Normal"/>
    <w:qFormat/>
    <w:rsid w:val="003D6A3E"/>
    <w:pPr>
      <w:spacing w:before="60" w:after="60"/>
      <w:ind w:left="245"/>
    </w:pPr>
    <w:rPr>
      <w:sz w:val="18"/>
    </w:rPr>
  </w:style>
  <w:style w:type="numbering" w:customStyle="1" w:styleId="Format4">
    <w:name w:val="Format4"/>
    <w:rsid w:val="003D6A3E"/>
    <w:pPr>
      <w:numPr>
        <w:numId w:val="1"/>
      </w:numPr>
    </w:pPr>
  </w:style>
  <w:style w:type="paragraph" w:customStyle="1" w:styleId="TableText">
    <w:name w:val="Table Text"/>
    <w:basedOn w:val="Normal"/>
    <w:qFormat/>
    <w:rsid w:val="003D6A3E"/>
    <w:pPr>
      <w:spacing w:before="60" w:after="60"/>
    </w:pPr>
    <w:rPr>
      <w:color w:val="000000"/>
      <w:sz w:val="18"/>
      <w:szCs w:val="26"/>
    </w:rPr>
  </w:style>
  <w:style w:type="table" w:styleId="TableGrid">
    <w:name w:val="Table Grid"/>
    <w:basedOn w:val="TableNormal"/>
    <w:uiPriority w:val="59"/>
    <w:rsid w:val="00BC6AB8"/>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7ED3"/>
    <w:rPr>
      <w:sz w:val="16"/>
      <w:szCs w:val="16"/>
    </w:rPr>
  </w:style>
  <w:style w:type="paragraph" w:styleId="CommentText">
    <w:name w:val="annotation text"/>
    <w:basedOn w:val="Normal"/>
    <w:link w:val="CommentTextChar"/>
    <w:uiPriority w:val="99"/>
    <w:semiHidden/>
    <w:unhideWhenUsed/>
    <w:rsid w:val="00987ED3"/>
  </w:style>
  <w:style w:type="character" w:customStyle="1" w:styleId="CommentTextChar">
    <w:name w:val="Comment Text Char"/>
    <w:basedOn w:val="DefaultParagraphFont"/>
    <w:link w:val="CommentText"/>
    <w:uiPriority w:val="99"/>
    <w:semiHidden/>
    <w:rsid w:val="00987ED3"/>
    <w:rPr>
      <w:rFonts w:ascii="Verdana" w:eastAsia="MS Mincho" w:hAnsi="Verdana" w:cs="Times New Roman"/>
      <w:sz w:val="20"/>
      <w:szCs w:val="20"/>
    </w:rPr>
  </w:style>
  <w:style w:type="paragraph" w:styleId="CommentSubject">
    <w:name w:val="annotation subject"/>
    <w:basedOn w:val="CommentText"/>
    <w:next w:val="CommentText"/>
    <w:link w:val="CommentSubjectChar"/>
    <w:uiPriority w:val="99"/>
    <w:semiHidden/>
    <w:unhideWhenUsed/>
    <w:rsid w:val="00987ED3"/>
    <w:rPr>
      <w:b/>
      <w:bCs/>
    </w:rPr>
  </w:style>
  <w:style w:type="character" w:customStyle="1" w:styleId="CommentSubjectChar">
    <w:name w:val="Comment Subject Char"/>
    <w:basedOn w:val="CommentTextChar"/>
    <w:link w:val="CommentSubject"/>
    <w:uiPriority w:val="99"/>
    <w:semiHidden/>
    <w:rsid w:val="00987ED3"/>
    <w:rPr>
      <w:rFonts w:ascii="Verdana" w:eastAsia="MS Mincho" w:hAnsi="Verdana" w:cs="Times New Roman"/>
      <w:b/>
      <w:bCs/>
      <w:sz w:val="20"/>
      <w:szCs w:val="20"/>
    </w:rPr>
  </w:style>
  <w:style w:type="paragraph" w:customStyle="1" w:styleId="biblio">
    <w:name w:val="biblio"/>
    <w:basedOn w:val="Normal"/>
    <w:rsid w:val="002B5E9B"/>
    <w:pPr>
      <w:keepLines/>
      <w:spacing w:after="240"/>
      <w:ind w:left="720" w:hanging="720"/>
    </w:pPr>
  </w:style>
  <w:style w:type="paragraph" w:styleId="Header">
    <w:name w:val="header"/>
    <w:basedOn w:val="Normal"/>
    <w:link w:val="HeaderChar"/>
    <w:uiPriority w:val="99"/>
    <w:unhideWhenUsed/>
    <w:rsid w:val="00B53013"/>
    <w:pPr>
      <w:tabs>
        <w:tab w:val="center" w:pos="4680"/>
        <w:tab w:val="right" w:pos="9360"/>
      </w:tabs>
    </w:pPr>
  </w:style>
  <w:style w:type="character" w:customStyle="1" w:styleId="HeaderChar">
    <w:name w:val="Header Char"/>
    <w:basedOn w:val="DefaultParagraphFont"/>
    <w:link w:val="Header"/>
    <w:uiPriority w:val="99"/>
    <w:rsid w:val="00B53013"/>
    <w:rPr>
      <w:rFonts w:ascii="Verdana" w:eastAsia="MS Mincho" w:hAnsi="Verdana" w:cs="Times New Roman"/>
      <w:sz w:val="20"/>
      <w:szCs w:val="20"/>
    </w:rPr>
  </w:style>
  <w:style w:type="paragraph" w:styleId="Footer">
    <w:name w:val="footer"/>
    <w:basedOn w:val="Normal"/>
    <w:link w:val="FooterChar"/>
    <w:uiPriority w:val="99"/>
    <w:unhideWhenUsed/>
    <w:rsid w:val="00B53013"/>
    <w:pPr>
      <w:tabs>
        <w:tab w:val="center" w:pos="4680"/>
        <w:tab w:val="right" w:pos="9360"/>
      </w:tabs>
    </w:pPr>
  </w:style>
  <w:style w:type="character" w:customStyle="1" w:styleId="FooterChar">
    <w:name w:val="Footer Char"/>
    <w:basedOn w:val="DefaultParagraphFont"/>
    <w:link w:val="Footer"/>
    <w:uiPriority w:val="99"/>
    <w:rsid w:val="00B53013"/>
    <w:rPr>
      <w:rFonts w:ascii="Verdana" w:eastAsia="MS Mincho"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A3E"/>
    <w:rPr>
      <w:rFonts w:ascii="Verdana" w:eastAsia="MS Mincho" w:hAnsi="Verdana" w:cs="Times New Roman"/>
      <w:sz w:val="20"/>
      <w:szCs w:val="20"/>
    </w:rPr>
  </w:style>
  <w:style w:type="paragraph" w:styleId="Heading1">
    <w:name w:val="heading 1"/>
    <w:basedOn w:val="Normal"/>
    <w:next w:val="Normal"/>
    <w:link w:val="Heading1Char"/>
    <w:uiPriority w:val="99"/>
    <w:qFormat/>
    <w:rsid w:val="003D6A3E"/>
    <w:pPr>
      <w:keepNext/>
      <w:numPr>
        <w:numId w:val="2"/>
      </w:numPr>
      <w:spacing w:before="240" w:after="240"/>
      <w:jc w:val="center"/>
      <w:outlineLvl w:val="0"/>
    </w:pPr>
    <w:rPr>
      <w:b/>
      <w:caps/>
      <w:kern w:val="28"/>
      <w:sz w:val="26"/>
      <w:szCs w:val="28"/>
    </w:rPr>
  </w:style>
  <w:style w:type="paragraph" w:styleId="Heading2">
    <w:name w:val="heading 2"/>
    <w:next w:val="Normal"/>
    <w:link w:val="Heading2Char"/>
    <w:uiPriority w:val="99"/>
    <w:qFormat/>
    <w:rsid w:val="003D6A3E"/>
    <w:pPr>
      <w:keepNext/>
      <w:keepLines/>
      <w:numPr>
        <w:ilvl w:val="1"/>
        <w:numId w:val="2"/>
      </w:numPr>
      <w:spacing w:before="240" w:after="120"/>
      <w:outlineLvl w:val="1"/>
    </w:pPr>
    <w:rPr>
      <w:rFonts w:ascii="Verdana" w:eastAsia="MS Mincho" w:hAnsi="Verdana" w:cs="Times New Roman"/>
      <w:b/>
    </w:rPr>
  </w:style>
  <w:style w:type="paragraph" w:styleId="Heading3">
    <w:name w:val="heading 3"/>
    <w:next w:val="Normal"/>
    <w:link w:val="Heading3Char"/>
    <w:uiPriority w:val="99"/>
    <w:qFormat/>
    <w:rsid w:val="003D6A3E"/>
    <w:pPr>
      <w:keepNext/>
      <w:keepLines/>
      <w:numPr>
        <w:ilvl w:val="2"/>
        <w:numId w:val="2"/>
      </w:numPr>
      <w:tabs>
        <w:tab w:val="left" w:pos="873"/>
      </w:tabs>
      <w:spacing w:before="240" w:after="120"/>
      <w:outlineLvl w:val="2"/>
    </w:pPr>
    <w:rPr>
      <w:rFonts w:ascii="Verdana" w:eastAsia="MS Mincho" w:hAnsi="Verdana" w:cs="Times New Roman"/>
      <w:b/>
      <w:i/>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35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56F"/>
    <w:rPr>
      <w:rFonts w:ascii="Lucida Grande" w:hAnsi="Lucida Grande" w:cs="Lucida Grande"/>
      <w:sz w:val="18"/>
      <w:szCs w:val="18"/>
    </w:rPr>
  </w:style>
  <w:style w:type="character" w:customStyle="1" w:styleId="Heading1Char">
    <w:name w:val="Heading 1 Char"/>
    <w:basedOn w:val="DefaultParagraphFont"/>
    <w:link w:val="Heading1"/>
    <w:uiPriority w:val="99"/>
    <w:rsid w:val="003D6A3E"/>
    <w:rPr>
      <w:rFonts w:ascii="Verdana" w:eastAsia="MS Mincho" w:hAnsi="Verdana" w:cs="Times New Roman"/>
      <w:b/>
      <w:caps/>
      <w:kern w:val="28"/>
      <w:sz w:val="26"/>
      <w:szCs w:val="28"/>
    </w:rPr>
  </w:style>
  <w:style w:type="character" w:customStyle="1" w:styleId="Heading2Char">
    <w:name w:val="Heading 2 Char"/>
    <w:basedOn w:val="DefaultParagraphFont"/>
    <w:link w:val="Heading2"/>
    <w:uiPriority w:val="99"/>
    <w:rsid w:val="003D6A3E"/>
    <w:rPr>
      <w:rFonts w:ascii="Verdana" w:eastAsia="MS Mincho" w:hAnsi="Verdana" w:cs="Times New Roman"/>
      <w:b/>
    </w:rPr>
  </w:style>
  <w:style w:type="character" w:customStyle="1" w:styleId="Heading3Char">
    <w:name w:val="Heading 3 Char"/>
    <w:basedOn w:val="DefaultParagraphFont"/>
    <w:link w:val="Heading3"/>
    <w:uiPriority w:val="99"/>
    <w:rsid w:val="003D6A3E"/>
    <w:rPr>
      <w:rFonts w:ascii="Verdana" w:eastAsia="MS Mincho" w:hAnsi="Verdana" w:cs="Times New Roman"/>
      <w:b/>
      <w:i/>
      <w:sz w:val="22"/>
      <w:szCs w:val="20"/>
    </w:rPr>
  </w:style>
  <w:style w:type="paragraph" w:customStyle="1" w:styleId="Source1">
    <w:name w:val="Source1"/>
    <w:basedOn w:val="Normal"/>
    <w:rsid w:val="003D6A3E"/>
    <w:pPr>
      <w:keepLines/>
      <w:spacing w:before="120" w:after="400"/>
      <w:ind w:left="187" w:hanging="187"/>
    </w:pPr>
    <w:rPr>
      <w:sz w:val="18"/>
    </w:rPr>
  </w:style>
  <w:style w:type="paragraph" w:customStyle="1" w:styleId="TableHeaders">
    <w:name w:val="Table Headers"/>
    <w:qFormat/>
    <w:rsid w:val="003D6A3E"/>
    <w:pPr>
      <w:spacing w:before="80" w:after="80"/>
      <w:jc w:val="center"/>
    </w:pPr>
    <w:rPr>
      <w:rFonts w:ascii="Verdana" w:eastAsia="Times New Roman" w:hAnsi="Verdana" w:cs="Times New Roman"/>
      <w:b/>
      <w:sz w:val="18"/>
      <w:szCs w:val="20"/>
    </w:rPr>
  </w:style>
  <w:style w:type="paragraph" w:customStyle="1" w:styleId="TableTitle">
    <w:name w:val="Table Title"/>
    <w:basedOn w:val="Normal"/>
    <w:rsid w:val="003D6A3E"/>
    <w:pPr>
      <w:keepNext/>
      <w:keepLines/>
      <w:spacing w:before="320" w:after="120"/>
      <w:ind w:left="1440" w:hanging="1440"/>
    </w:pPr>
    <w:rPr>
      <w:b/>
    </w:rPr>
  </w:style>
  <w:style w:type="paragraph" w:customStyle="1" w:styleId="figurewbox">
    <w:name w:val="figure w/box"/>
    <w:basedOn w:val="Normal"/>
    <w:uiPriority w:val="99"/>
    <w:rsid w:val="003D6A3E"/>
    <w:pPr>
      <w:keepNext/>
      <w:pBdr>
        <w:top w:val="single" w:sz="12" w:space="9" w:color="auto"/>
        <w:left w:val="single" w:sz="12" w:space="6" w:color="auto"/>
        <w:bottom w:val="single" w:sz="12" w:space="9" w:color="auto"/>
        <w:right w:val="single" w:sz="12" w:space="4" w:color="auto"/>
      </w:pBdr>
      <w:ind w:left="187" w:right="187"/>
      <w:jc w:val="center"/>
    </w:pPr>
  </w:style>
  <w:style w:type="paragraph" w:styleId="BodyText">
    <w:name w:val="Body Text"/>
    <w:basedOn w:val="Normal"/>
    <w:link w:val="BodyTextChar"/>
    <w:rsid w:val="003D6A3E"/>
    <w:pPr>
      <w:spacing w:after="240" w:line="320" w:lineRule="exact"/>
    </w:pPr>
    <w:rPr>
      <w:snapToGrid w:val="0"/>
    </w:rPr>
  </w:style>
  <w:style w:type="character" w:customStyle="1" w:styleId="BodyTextChar">
    <w:name w:val="Body Text Char"/>
    <w:basedOn w:val="DefaultParagraphFont"/>
    <w:link w:val="BodyText"/>
    <w:rsid w:val="003D6A3E"/>
    <w:rPr>
      <w:rFonts w:ascii="Verdana" w:eastAsia="MS Mincho" w:hAnsi="Verdana" w:cs="Times New Roman"/>
      <w:snapToGrid w:val="0"/>
      <w:sz w:val="20"/>
      <w:szCs w:val="20"/>
    </w:rPr>
  </w:style>
  <w:style w:type="paragraph" w:customStyle="1" w:styleId="TableTitlecont">
    <w:name w:val="Table Title (cont)"/>
    <w:basedOn w:val="TableTitle"/>
    <w:rsid w:val="003D6A3E"/>
  </w:style>
  <w:style w:type="paragraph" w:customStyle="1" w:styleId="TableTextIndent1">
    <w:name w:val="Table Text Indent1"/>
    <w:basedOn w:val="Normal"/>
    <w:qFormat/>
    <w:rsid w:val="003D6A3E"/>
    <w:pPr>
      <w:spacing w:before="60" w:after="60"/>
      <w:ind w:left="245"/>
    </w:pPr>
    <w:rPr>
      <w:sz w:val="18"/>
    </w:rPr>
  </w:style>
  <w:style w:type="numbering" w:customStyle="1" w:styleId="Format4">
    <w:name w:val="Format4"/>
    <w:rsid w:val="003D6A3E"/>
    <w:pPr>
      <w:numPr>
        <w:numId w:val="1"/>
      </w:numPr>
    </w:pPr>
  </w:style>
  <w:style w:type="paragraph" w:customStyle="1" w:styleId="TableText">
    <w:name w:val="Table Text"/>
    <w:basedOn w:val="Normal"/>
    <w:qFormat/>
    <w:rsid w:val="003D6A3E"/>
    <w:pPr>
      <w:spacing w:before="60" w:after="60"/>
    </w:pPr>
    <w:rPr>
      <w:color w:val="000000"/>
      <w:sz w:val="18"/>
      <w:szCs w:val="26"/>
    </w:rPr>
  </w:style>
  <w:style w:type="table" w:styleId="TableGrid">
    <w:name w:val="Table Grid"/>
    <w:basedOn w:val="TableNormal"/>
    <w:uiPriority w:val="59"/>
    <w:rsid w:val="00BC6AB8"/>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87ED3"/>
    <w:rPr>
      <w:sz w:val="16"/>
      <w:szCs w:val="16"/>
    </w:rPr>
  </w:style>
  <w:style w:type="paragraph" w:styleId="CommentText">
    <w:name w:val="annotation text"/>
    <w:basedOn w:val="Normal"/>
    <w:link w:val="CommentTextChar"/>
    <w:uiPriority w:val="99"/>
    <w:semiHidden/>
    <w:unhideWhenUsed/>
    <w:rsid w:val="00987ED3"/>
  </w:style>
  <w:style w:type="character" w:customStyle="1" w:styleId="CommentTextChar">
    <w:name w:val="Comment Text Char"/>
    <w:basedOn w:val="DefaultParagraphFont"/>
    <w:link w:val="CommentText"/>
    <w:uiPriority w:val="99"/>
    <w:semiHidden/>
    <w:rsid w:val="00987ED3"/>
    <w:rPr>
      <w:rFonts w:ascii="Verdana" w:eastAsia="MS Mincho" w:hAnsi="Verdana" w:cs="Times New Roman"/>
      <w:sz w:val="20"/>
      <w:szCs w:val="20"/>
    </w:rPr>
  </w:style>
  <w:style w:type="paragraph" w:styleId="CommentSubject">
    <w:name w:val="annotation subject"/>
    <w:basedOn w:val="CommentText"/>
    <w:next w:val="CommentText"/>
    <w:link w:val="CommentSubjectChar"/>
    <w:uiPriority w:val="99"/>
    <w:semiHidden/>
    <w:unhideWhenUsed/>
    <w:rsid w:val="00987ED3"/>
    <w:rPr>
      <w:b/>
      <w:bCs/>
    </w:rPr>
  </w:style>
  <w:style w:type="character" w:customStyle="1" w:styleId="CommentSubjectChar">
    <w:name w:val="Comment Subject Char"/>
    <w:basedOn w:val="CommentTextChar"/>
    <w:link w:val="CommentSubject"/>
    <w:uiPriority w:val="99"/>
    <w:semiHidden/>
    <w:rsid w:val="00987ED3"/>
    <w:rPr>
      <w:rFonts w:ascii="Verdana" w:eastAsia="MS Mincho" w:hAnsi="Verdana" w:cs="Times New Roman"/>
      <w:b/>
      <w:bCs/>
      <w:sz w:val="20"/>
      <w:szCs w:val="20"/>
    </w:rPr>
  </w:style>
  <w:style w:type="paragraph" w:customStyle="1" w:styleId="biblio">
    <w:name w:val="biblio"/>
    <w:basedOn w:val="Normal"/>
    <w:rsid w:val="002B5E9B"/>
    <w:pPr>
      <w:keepLines/>
      <w:spacing w:after="240"/>
      <w:ind w:left="720" w:hanging="720"/>
    </w:pPr>
  </w:style>
  <w:style w:type="paragraph" w:styleId="Header">
    <w:name w:val="header"/>
    <w:basedOn w:val="Normal"/>
    <w:link w:val="HeaderChar"/>
    <w:uiPriority w:val="99"/>
    <w:unhideWhenUsed/>
    <w:rsid w:val="00B53013"/>
    <w:pPr>
      <w:tabs>
        <w:tab w:val="center" w:pos="4680"/>
        <w:tab w:val="right" w:pos="9360"/>
      </w:tabs>
    </w:pPr>
  </w:style>
  <w:style w:type="character" w:customStyle="1" w:styleId="HeaderChar">
    <w:name w:val="Header Char"/>
    <w:basedOn w:val="DefaultParagraphFont"/>
    <w:link w:val="Header"/>
    <w:uiPriority w:val="99"/>
    <w:rsid w:val="00B53013"/>
    <w:rPr>
      <w:rFonts w:ascii="Verdana" w:eastAsia="MS Mincho" w:hAnsi="Verdana" w:cs="Times New Roman"/>
      <w:sz w:val="20"/>
      <w:szCs w:val="20"/>
    </w:rPr>
  </w:style>
  <w:style w:type="paragraph" w:styleId="Footer">
    <w:name w:val="footer"/>
    <w:basedOn w:val="Normal"/>
    <w:link w:val="FooterChar"/>
    <w:uiPriority w:val="99"/>
    <w:unhideWhenUsed/>
    <w:rsid w:val="00B53013"/>
    <w:pPr>
      <w:tabs>
        <w:tab w:val="center" w:pos="4680"/>
        <w:tab w:val="right" w:pos="9360"/>
      </w:tabs>
    </w:pPr>
  </w:style>
  <w:style w:type="character" w:customStyle="1" w:styleId="FooterChar">
    <w:name w:val="Footer Char"/>
    <w:basedOn w:val="DefaultParagraphFont"/>
    <w:link w:val="Footer"/>
    <w:uiPriority w:val="99"/>
    <w:rsid w:val="00B53013"/>
    <w:rPr>
      <w:rFonts w:ascii="Verdana" w:eastAsia="MS Mincho"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15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1472</Words>
  <Characters>8397</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2013-10-28T20:40:00Z</dcterms:created>
  <dcterms:modified xsi:type="dcterms:W3CDTF">2013-10-29T20:06:00Z</dcterms:modified>
</cp:coreProperties>
</file>