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E8" w:rsidRPr="00CD044D" w:rsidRDefault="00C2720E" w:rsidP="00394621">
      <w:pPr>
        <w:jc w:val="center"/>
        <w:rPr>
          <w:rFonts w:eastAsia="Times New Roman"/>
          <w:b/>
          <w:sz w:val="28"/>
          <w:lang w:eastAsia="en-US"/>
        </w:rPr>
      </w:pPr>
      <w:r w:rsidRPr="00CD044D">
        <w:rPr>
          <w:rFonts w:eastAsia="Times New Roman"/>
          <w:b/>
          <w:sz w:val="28"/>
          <w:lang w:eastAsia="en-US"/>
        </w:rPr>
        <w:t xml:space="preserve">Supporting Statement </w:t>
      </w:r>
      <w:r w:rsidR="00CD044D" w:rsidRPr="00CD044D">
        <w:rPr>
          <w:rFonts w:eastAsia="Times New Roman"/>
          <w:b/>
          <w:sz w:val="28"/>
          <w:lang w:eastAsia="en-US"/>
        </w:rPr>
        <w:t>A</w:t>
      </w:r>
    </w:p>
    <w:p w:rsidR="004439E8" w:rsidRPr="00CD044D" w:rsidRDefault="004439E8" w:rsidP="00394621">
      <w:pPr>
        <w:jc w:val="center"/>
        <w:rPr>
          <w:rFonts w:eastAsia="Times New Roman"/>
          <w:b/>
          <w:sz w:val="28"/>
          <w:lang w:eastAsia="en-US"/>
        </w:rPr>
      </w:pPr>
    </w:p>
    <w:p w:rsidR="00C2720E" w:rsidRPr="00CD044D" w:rsidRDefault="00CD60FC" w:rsidP="00394621">
      <w:pPr>
        <w:spacing w:line="360" w:lineRule="auto"/>
        <w:jc w:val="center"/>
        <w:rPr>
          <w:rFonts w:eastAsia="Times New Roman"/>
          <w:b/>
          <w:sz w:val="28"/>
          <w:lang w:eastAsia="en-US"/>
        </w:rPr>
      </w:pPr>
      <w:r w:rsidRPr="00996DFA">
        <w:rPr>
          <w:rFonts w:eastAsia="Times New Roman"/>
          <w:b/>
          <w:i/>
          <w:sz w:val="28"/>
          <w:lang w:eastAsia="en-US"/>
        </w:rPr>
        <w:t>Palliative Care</w:t>
      </w:r>
      <w:r w:rsidR="00CB6435" w:rsidRPr="00996DFA">
        <w:rPr>
          <w:rFonts w:eastAsia="Times New Roman"/>
          <w:b/>
          <w:i/>
          <w:sz w:val="28"/>
          <w:lang w:eastAsia="en-US"/>
        </w:rPr>
        <w:t xml:space="preserve">: Conversations Matter </w:t>
      </w:r>
      <w:r w:rsidR="00851A88">
        <w:rPr>
          <w:rFonts w:eastAsia="Times New Roman"/>
          <w:b/>
          <w:sz w:val="28"/>
          <w:lang w:eastAsia="en-US"/>
        </w:rPr>
        <w:t>Evaluation</w:t>
      </w:r>
      <w:r w:rsidR="00A02F8B">
        <w:rPr>
          <w:rFonts w:eastAsia="Times New Roman"/>
          <w:b/>
          <w:sz w:val="28"/>
          <w:lang w:eastAsia="en-US"/>
        </w:rPr>
        <w:t xml:space="preserve"> </w:t>
      </w:r>
      <w:r w:rsidR="004439E8" w:rsidRPr="00CD044D">
        <w:rPr>
          <w:rFonts w:eastAsia="Times New Roman"/>
          <w:b/>
          <w:sz w:val="28"/>
          <w:lang w:eastAsia="en-US"/>
        </w:rPr>
        <w:t>(NINR)</w:t>
      </w:r>
    </w:p>
    <w:p w:rsidR="00C2720E" w:rsidRPr="00CD044D" w:rsidRDefault="00C2720E" w:rsidP="00394621">
      <w:pPr>
        <w:rPr>
          <w:rFonts w:eastAsia="Times New Roman"/>
          <w:sz w:val="28"/>
          <w:lang w:eastAsia="en-US"/>
        </w:rPr>
      </w:pPr>
      <w:r w:rsidRPr="00CD044D">
        <w:rPr>
          <w:rFonts w:eastAsia="Times New Roman"/>
          <w:sz w:val="28"/>
          <w:lang w:eastAsia="en-US"/>
        </w:rPr>
        <w:t xml:space="preserve">                   </w:t>
      </w:r>
    </w:p>
    <w:p w:rsidR="00C2720E" w:rsidRPr="00FF3A01" w:rsidRDefault="00C2720E" w:rsidP="00394621">
      <w:pPr>
        <w:rPr>
          <w:rFonts w:eastAsia="Times New Roman"/>
          <w:lang w:eastAsia="en-US"/>
        </w:rPr>
      </w:pPr>
    </w:p>
    <w:p w:rsidR="00C2720E" w:rsidRPr="00FF3A01" w:rsidRDefault="00C2720E" w:rsidP="00394621">
      <w:pPr>
        <w:rPr>
          <w:rFonts w:eastAsia="Times New Roman"/>
          <w:lang w:eastAsia="en-US"/>
        </w:rPr>
      </w:pPr>
    </w:p>
    <w:p w:rsidR="00C2720E" w:rsidRPr="00FF3A01" w:rsidRDefault="00CD383D" w:rsidP="00394621">
      <w:pPr>
        <w:tabs>
          <w:tab w:val="left" w:pos="0"/>
        </w:tabs>
        <w:jc w:val="center"/>
        <w:rPr>
          <w:rFonts w:eastAsia="Times New Roman"/>
          <w:lang w:eastAsia="en-US"/>
        </w:rPr>
      </w:pPr>
      <w:r>
        <w:rPr>
          <w:rFonts w:eastAsia="Times New Roman"/>
          <w:lang w:eastAsia="en-US"/>
        </w:rPr>
        <w:t>8/13/2013</w:t>
      </w:r>
    </w:p>
    <w:p w:rsidR="00C2720E" w:rsidRPr="00FF3A01" w:rsidRDefault="00C2720E" w:rsidP="00394621">
      <w:pPr>
        <w:ind w:left="90"/>
        <w:rPr>
          <w:rFonts w:eastAsia="Times New Roman"/>
          <w:lang w:eastAsia="en-US"/>
        </w:rPr>
      </w:pPr>
    </w:p>
    <w:p w:rsidR="00C2720E" w:rsidRPr="00FF3A01" w:rsidRDefault="00C2720E" w:rsidP="00053ACA">
      <w:pPr>
        <w:rPr>
          <w:rFonts w:eastAsia="Times New Roman"/>
          <w:lang w:eastAsia="en-US"/>
        </w:rPr>
      </w:pPr>
      <w:r w:rsidRPr="00FF3A01">
        <w:rPr>
          <w:rFonts w:eastAsia="Times New Roman"/>
          <w:lang w:eastAsia="en-US"/>
        </w:rPr>
        <w:t xml:space="preserve">                        </w:t>
      </w:r>
    </w:p>
    <w:p w:rsidR="00C2720E" w:rsidRPr="00FF3A01" w:rsidRDefault="00C2720E" w:rsidP="00053ACA">
      <w:pPr>
        <w:rPr>
          <w:rFonts w:eastAsia="Times New Roman"/>
          <w:lang w:eastAsia="en-US"/>
        </w:rPr>
      </w:pPr>
    </w:p>
    <w:p w:rsidR="00C2720E" w:rsidRPr="00FF3A01" w:rsidRDefault="00C2720E" w:rsidP="00053ACA">
      <w:pPr>
        <w:rPr>
          <w:rFonts w:eastAsia="Times New Roman"/>
          <w:lang w:eastAsia="en-US"/>
        </w:rPr>
      </w:pPr>
    </w:p>
    <w:p w:rsidR="00C2720E" w:rsidRPr="00FF3A01" w:rsidRDefault="00C2720E" w:rsidP="00053ACA">
      <w:pPr>
        <w:rPr>
          <w:rFonts w:eastAsia="Times New Roman"/>
          <w:lang w:eastAsia="en-US"/>
        </w:rPr>
      </w:pPr>
    </w:p>
    <w:p w:rsidR="00C2720E" w:rsidRPr="00FF3A01" w:rsidRDefault="00C2720E" w:rsidP="00053ACA">
      <w:pPr>
        <w:rPr>
          <w:rFonts w:eastAsia="Times New Roman"/>
          <w:lang w:eastAsia="en-US"/>
        </w:rPr>
      </w:pPr>
    </w:p>
    <w:p w:rsidR="00C2720E" w:rsidRPr="00FF3A01" w:rsidRDefault="00C2720E" w:rsidP="00053ACA">
      <w:pPr>
        <w:rPr>
          <w:rFonts w:eastAsia="Times New Roman"/>
          <w:lang w:eastAsia="en-US"/>
        </w:rPr>
      </w:pPr>
    </w:p>
    <w:p w:rsidR="00C2720E" w:rsidRDefault="00C2720E" w:rsidP="00053ACA">
      <w:pPr>
        <w:rPr>
          <w:rFonts w:eastAsia="Times New Roman"/>
          <w:lang w:eastAsia="en-US"/>
        </w:rPr>
      </w:pPr>
    </w:p>
    <w:p w:rsidR="000130E5" w:rsidRDefault="000130E5" w:rsidP="00053ACA">
      <w:pPr>
        <w:rPr>
          <w:rFonts w:eastAsia="Times New Roman"/>
          <w:lang w:eastAsia="en-US"/>
        </w:rPr>
      </w:pPr>
    </w:p>
    <w:p w:rsidR="000130E5" w:rsidRDefault="000130E5" w:rsidP="00053ACA">
      <w:pPr>
        <w:rPr>
          <w:rFonts w:eastAsia="Times New Roman"/>
          <w:lang w:eastAsia="en-US"/>
        </w:rPr>
      </w:pPr>
    </w:p>
    <w:p w:rsidR="000130E5" w:rsidRDefault="000130E5" w:rsidP="00053ACA">
      <w:pPr>
        <w:rPr>
          <w:rFonts w:eastAsia="Times New Roman"/>
          <w:lang w:eastAsia="en-US"/>
        </w:rPr>
      </w:pPr>
    </w:p>
    <w:p w:rsidR="000130E5" w:rsidRDefault="000130E5" w:rsidP="00053ACA">
      <w:pPr>
        <w:rPr>
          <w:rFonts w:eastAsia="Times New Roman"/>
          <w:lang w:eastAsia="en-US"/>
        </w:rPr>
      </w:pPr>
    </w:p>
    <w:p w:rsidR="000130E5" w:rsidRPr="00FF3A01" w:rsidRDefault="000130E5" w:rsidP="00053ACA">
      <w:pPr>
        <w:rPr>
          <w:rFonts w:eastAsia="Times New Roman"/>
          <w:lang w:eastAsia="en-US"/>
        </w:rPr>
      </w:pPr>
    </w:p>
    <w:p w:rsidR="00C2720E" w:rsidRPr="00FF3A01" w:rsidRDefault="00C2720E" w:rsidP="00053ACA">
      <w:pPr>
        <w:rPr>
          <w:rFonts w:eastAsia="Times New Roman"/>
          <w:lang w:eastAsia="en-US"/>
        </w:rPr>
      </w:pPr>
    </w:p>
    <w:p w:rsidR="00C2720E" w:rsidRPr="00FF3A01" w:rsidRDefault="00C2720E" w:rsidP="00053ACA">
      <w:pPr>
        <w:rPr>
          <w:rFonts w:eastAsia="Times New Roman"/>
          <w:lang w:eastAsia="en-US"/>
        </w:rPr>
      </w:pPr>
      <w:r w:rsidRPr="00FF3A01">
        <w:rPr>
          <w:rFonts w:eastAsia="Times New Roman"/>
          <w:lang w:eastAsia="en-US"/>
        </w:rPr>
        <w:t>Name:</w:t>
      </w:r>
      <w:r w:rsidR="004439E8" w:rsidRPr="00FF3A01">
        <w:rPr>
          <w:rFonts w:eastAsia="Times New Roman"/>
          <w:lang w:eastAsia="en-US"/>
        </w:rPr>
        <w:t xml:space="preserve"> </w:t>
      </w:r>
      <w:r w:rsidR="0020100A">
        <w:rPr>
          <w:rFonts w:eastAsia="Times New Roman"/>
          <w:lang w:eastAsia="en-US"/>
        </w:rPr>
        <w:tab/>
      </w:r>
      <w:r w:rsidR="0020100A">
        <w:rPr>
          <w:rFonts w:eastAsia="Times New Roman"/>
          <w:lang w:eastAsia="en-US"/>
        </w:rPr>
        <w:tab/>
      </w:r>
      <w:r w:rsidR="004439E8" w:rsidRPr="00FF3A01">
        <w:rPr>
          <w:rFonts w:eastAsia="Times New Roman"/>
          <w:lang w:eastAsia="en-US"/>
        </w:rPr>
        <w:t>Adrienne Burroughs</w:t>
      </w:r>
    </w:p>
    <w:p w:rsidR="009471E7" w:rsidRDefault="00C2720E" w:rsidP="00053ACA">
      <w:pPr>
        <w:rPr>
          <w:rFonts w:eastAsia="Times New Roman"/>
          <w:lang w:eastAsia="en-US"/>
        </w:rPr>
      </w:pPr>
      <w:r w:rsidRPr="00FF3A01">
        <w:rPr>
          <w:rFonts w:eastAsia="Times New Roman"/>
          <w:lang w:eastAsia="en-US"/>
        </w:rPr>
        <w:t>Address:</w:t>
      </w:r>
      <w:r w:rsidR="004439E8" w:rsidRPr="00FF3A01">
        <w:rPr>
          <w:rFonts w:eastAsia="Times New Roman"/>
          <w:lang w:eastAsia="en-US"/>
        </w:rPr>
        <w:t xml:space="preserve">  </w:t>
      </w:r>
      <w:r w:rsidR="009471E7">
        <w:rPr>
          <w:rFonts w:eastAsia="Times New Roman"/>
          <w:lang w:eastAsia="en-US"/>
        </w:rPr>
        <w:tab/>
        <w:t>National Institute of Nursing Research</w:t>
      </w:r>
    </w:p>
    <w:p w:rsidR="009471E7" w:rsidRDefault="009471E7" w:rsidP="009471E7">
      <w:pPr>
        <w:ind w:left="1440"/>
        <w:rPr>
          <w:rFonts w:eastAsia="Times New Roman"/>
          <w:lang w:eastAsia="en-US"/>
        </w:rPr>
      </w:pPr>
      <w:r>
        <w:rPr>
          <w:rFonts w:eastAsia="Times New Roman"/>
          <w:lang w:eastAsia="en-US"/>
        </w:rPr>
        <w:t>National Institute</w:t>
      </w:r>
      <w:r w:rsidR="00367D2C">
        <w:rPr>
          <w:rFonts w:eastAsia="Times New Roman"/>
          <w:lang w:eastAsia="en-US"/>
        </w:rPr>
        <w:t>s</w:t>
      </w:r>
      <w:r>
        <w:rPr>
          <w:rFonts w:eastAsia="Times New Roman"/>
          <w:lang w:eastAsia="en-US"/>
        </w:rPr>
        <w:t xml:space="preserve"> of Health</w:t>
      </w:r>
    </w:p>
    <w:p w:rsidR="00C2720E" w:rsidRPr="00FF3A01" w:rsidRDefault="00084F33" w:rsidP="009471E7">
      <w:pPr>
        <w:ind w:left="1350"/>
        <w:rPr>
          <w:rFonts w:eastAsia="Times New Roman"/>
          <w:lang w:eastAsia="en-US"/>
        </w:rPr>
      </w:pPr>
      <w:r>
        <w:rPr>
          <w:rFonts w:eastAsia="Times New Roman"/>
          <w:lang w:eastAsia="en-US"/>
        </w:rPr>
        <w:t xml:space="preserve"> </w:t>
      </w:r>
      <w:r w:rsidR="009471E7">
        <w:rPr>
          <w:rFonts w:eastAsia="Times New Roman"/>
          <w:lang w:eastAsia="en-US"/>
        </w:rPr>
        <w:t xml:space="preserve"> </w:t>
      </w:r>
      <w:r w:rsidR="004439E8" w:rsidRPr="00FF3A01">
        <w:rPr>
          <w:rFonts w:eastAsia="Times New Roman"/>
          <w:lang w:eastAsia="en-US"/>
        </w:rPr>
        <w:t>31 Center Drive</w:t>
      </w:r>
    </w:p>
    <w:p w:rsidR="004439E8" w:rsidRPr="00FF3A01" w:rsidRDefault="004439E8" w:rsidP="0020100A">
      <w:pPr>
        <w:ind w:left="1350" w:firstLine="90"/>
        <w:rPr>
          <w:rFonts w:eastAsia="Times New Roman"/>
          <w:lang w:eastAsia="en-US"/>
        </w:rPr>
      </w:pPr>
      <w:r w:rsidRPr="00FF3A01">
        <w:rPr>
          <w:rFonts w:eastAsia="Times New Roman"/>
          <w:lang w:eastAsia="en-US"/>
        </w:rPr>
        <w:t>Building 31, Room 5B10</w:t>
      </w:r>
    </w:p>
    <w:p w:rsidR="004439E8" w:rsidRPr="00FF3A01" w:rsidRDefault="004439E8" w:rsidP="0020100A">
      <w:pPr>
        <w:ind w:left="1350" w:firstLine="90"/>
        <w:rPr>
          <w:rFonts w:eastAsia="Times New Roman"/>
          <w:lang w:eastAsia="en-US"/>
        </w:rPr>
      </w:pPr>
      <w:r w:rsidRPr="00FF3A01">
        <w:rPr>
          <w:rFonts w:eastAsia="Times New Roman"/>
          <w:lang w:eastAsia="en-US"/>
        </w:rPr>
        <w:t>Bethesda, MD 20892</w:t>
      </w:r>
    </w:p>
    <w:p w:rsidR="00C2720E" w:rsidRPr="00FF3A01" w:rsidRDefault="00C2720E" w:rsidP="00053ACA">
      <w:pPr>
        <w:rPr>
          <w:rFonts w:eastAsia="Times New Roman"/>
          <w:lang w:eastAsia="en-US"/>
        </w:rPr>
      </w:pPr>
      <w:r w:rsidRPr="00FF3A01">
        <w:rPr>
          <w:rFonts w:eastAsia="Times New Roman"/>
          <w:lang w:eastAsia="en-US"/>
        </w:rPr>
        <w:t>Telephone:</w:t>
      </w:r>
      <w:r w:rsidR="004439E8" w:rsidRPr="00FF3A01">
        <w:rPr>
          <w:rFonts w:eastAsia="Times New Roman"/>
          <w:lang w:eastAsia="en-US"/>
        </w:rPr>
        <w:t xml:space="preserve"> </w:t>
      </w:r>
      <w:r w:rsidR="0020100A">
        <w:rPr>
          <w:rFonts w:eastAsia="Times New Roman"/>
          <w:lang w:eastAsia="en-US"/>
        </w:rPr>
        <w:tab/>
      </w:r>
      <w:r w:rsidR="004439E8" w:rsidRPr="00FF3A01">
        <w:rPr>
          <w:rFonts w:eastAsia="Times New Roman"/>
          <w:lang w:eastAsia="en-US"/>
        </w:rPr>
        <w:t>(301) 496-0256</w:t>
      </w:r>
    </w:p>
    <w:p w:rsidR="00C2720E" w:rsidRPr="00FF3A01" w:rsidRDefault="00C2720E" w:rsidP="00053ACA">
      <w:pPr>
        <w:rPr>
          <w:rFonts w:eastAsia="Times New Roman"/>
          <w:lang w:eastAsia="en-US"/>
        </w:rPr>
      </w:pPr>
      <w:r w:rsidRPr="00FF3A01">
        <w:rPr>
          <w:rFonts w:eastAsia="Times New Roman"/>
          <w:lang w:eastAsia="en-US"/>
        </w:rPr>
        <w:t>Fax:</w:t>
      </w:r>
      <w:r w:rsidR="004439E8" w:rsidRPr="00FF3A01">
        <w:rPr>
          <w:rFonts w:eastAsia="Times New Roman"/>
          <w:lang w:eastAsia="en-US"/>
        </w:rPr>
        <w:t xml:space="preserve"> </w:t>
      </w:r>
      <w:r w:rsidR="0020100A">
        <w:rPr>
          <w:rFonts w:eastAsia="Times New Roman"/>
          <w:lang w:eastAsia="en-US"/>
        </w:rPr>
        <w:tab/>
      </w:r>
      <w:r w:rsidR="0020100A">
        <w:rPr>
          <w:rFonts w:eastAsia="Times New Roman"/>
          <w:lang w:eastAsia="en-US"/>
        </w:rPr>
        <w:tab/>
      </w:r>
      <w:r w:rsidR="004439E8" w:rsidRPr="00FF3A01">
        <w:rPr>
          <w:rFonts w:eastAsia="Times New Roman"/>
          <w:lang w:eastAsia="en-US"/>
        </w:rPr>
        <w:t>(301) 480-8845</w:t>
      </w:r>
    </w:p>
    <w:p w:rsidR="00C2720E" w:rsidRPr="00FF3A01" w:rsidRDefault="00C2720E" w:rsidP="00053ACA">
      <w:pPr>
        <w:rPr>
          <w:rFonts w:eastAsia="Times New Roman"/>
          <w:lang w:eastAsia="en-US"/>
        </w:rPr>
      </w:pPr>
      <w:r w:rsidRPr="00FF3A01">
        <w:rPr>
          <w:rFonts w:eastAsia="Times New Roman"/>
          <w:lang w:eastAsia="en-US"/>
        </w:rPr>
        <w:t>Email:</w:t>
      </w:r>
      <w:r w:rsidR="004439E8" w:rsidRPr="00FF3A01">
        <w:rPr>
          <w:rFonts w:eastAsia="Times New Roman"/>
          <w:lang w:eastAsia="en-US"/>
        </w:rPr>
        <w:t xml:space="preserve"> </w:t>
      </w:r>
      <w:r w:rsidR="0020100A">
        <w:rPr>
          <w:rFonts w:eastAsia="Times New Roman"/>
          <w:lang w:eastAsia="en-US"/>
        </w:rPr>
        <w:tab/>
      </w:r>
      <w:r w:rsidR="0020100A">
        <w:rPr>
          <w:rFonts w:eastAsia="Times New Roman"/>
          <w:lang w:eastAsia="en-US"/>
        </w:rPr>
        <w:tab/>
      </w:r>
      <w:hyperlink r:id="rId8" w:history="1">
        <w:r w:rsidR="009471E7" w:rsidRPr="00754599">
          <w:rPr>
            <w:rStyle w:val="Hyperlink"/>
            <w:rFonts w:eastAsia="Times New Roman"/>
            <w:lang w:eastAsia="en-US"/>
          </w:rPr>
          <w:t>adrienne.burroughs@nih.gov</w:t>
        </w:r>
      </w:hyperlink>
      <w:r w:rsidR="009471E7">
        <w:rPr>
          <w:rFonts w:eastAsia="Times New Roman"/>
          <w:lang w:eastAsia="en-US"/>
        </w:rPr>
        <w:t xml:space="preserve"> </w:t>
      </w:r>
    </w:p>
    <w:p w:rsidR="002946CA" w:rsidRPr="00FF3A01" w:rsidRDefault="00C2720E" w:rsidP="00053ACA">
      <w:pPr>
        <w:tabs>
          <w:tab w:val="left" w:pos="3510"/>
        </w:tabs>
        <w:jc w:val="center"/>
        <w:rPr>
          <w:rFonts w:eastAsia="Times New Roman"/>
          <w:lang w:eastAsia="en-US"/>
        </w:rPr>
      </w:pPr>
      <w:r w:rsidRPr="00FF3A01">
        <w:br w:type="page"/>
      </w:r>
      <w:r w:rsidR="002946CA" w:rsidRPr="00FF3A01">
        <w:rPr>
          <w:rFonts w:eastAsia="Times New Roman"/>
          <w:lang w:eastAsia="en-US"/>
        </w:rPr>
        <w:lastRenderedPageBreak/>
        <w:t>Table of contents</w:t>
      </w:r>
    </w:p>
    <w:p w:rsidR="002946CA" w:rsidRPr="00B774CF" w:rsidRDefault="002946CA" w:rsidP="00053ACA">
      <w:pPr>
        <w:tabs>
          <w:tab w:val="left" w:pos="0"/>
          <w:tab w:val="left" w:pos="720"/>
          <w:tab w:val="right" w:leader="dot" w:pos="9494"/>
        </w:tabs>
        <w:spacing w:before="120" w:after="120"/>
        <w:jc w:val="both"/>
        <w:rPr>
          <w:rFonts w:eastAsia="Times New Roman"/>
          <w:caps/>
          <w:noProof/>
          <w:lang w:eastAsia="en-US"/>
        </w:rPr>
      </w:pPr>
      <w:r w:rsidRPr="00FF3A01">
        <w:rPr>
          <w:rFonts w:eastAsia="Times New Roman"/>
          <w:b/>
          <w:caps/>
          <w:noProof/>
          <w:lang w:eastAsia="en-US"/>
        </w:rPr>
        <w:fldChar w:fldCharType="begin"/>
      </w:r>
      <w:r w:rsidRPr="00FF3A01">
        <w:rPr>
          <w:rFonts w:eastAsia="Times New Roman"/>
          <w:b/>
          <w:caps/>
          <w:noProof/>
          <w:lang w:eastAsia="en-US"/>
        </w:rPr>
        <w:instrText xml:space="preserve"> TOC \o "1-2" \u </w:instrText>
      </w:r>
      <w:r w:rsidRPr="00FF3A01">
        <w:rPr>
          <w:rFonts w:eastAsia="Times New Roman"/>
          <w:b/>
          <w:caps/>
          <w:noProof/>
          <w:lang w:eastAsia="en-US"/>
        </w:rPr>
        <w:fldChar w:fldCharType="separate"/>
      </w:r>
      <w:r w:rsidRPr="00B774CF">
        <w:rPr>
          <w:rFonts w:eastAsia="Times New Roman"/>
          <w:caps/>
          <w:noProof/>
          <w:lang w:eastAsia="en-US"/>
        </w:rPr>
        <w:t>A.</w:t>
      </w:r>
      <w:r w:rsidRPr="00B774CF">
        <w:rPr>
          <w:rFonts w:eastAsia="Times New Roman"/>
          <w:caps/>
          <w:noProof/>
          <w:lang w:eastAsia="en-US"/>
        </w:rPr>
        <w:tab/>
        <w:t>JUSTIFICATION</w:t>
      </w:r>
      <w:r w:rsidRPr="00B774CF">
        <w:rPr>
          <w:rFonts w:eastAsia="Times New Roman"/>
          <w:caps/>
          <w:noProof/>
          <w:lang w:eastAsia="en-US"/>
        </w:rPr>
        <w:tab/>
      </w:r>
      <w:r w:rsidR="006265F7">
        <w:rPr>
          <w:rFonts w:eastAsia="Times New Roman"/>
          <w:caps/>
          <w:noProof/>
          <w:lang w:eastAsia="en-US"/>
        </w:rPr>
        <w:t>4-13</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w:t>
      </w:r>
      <w:r w:rsidRPr="00FF3A01">
        <w:rPr>
          <w:rFonts w:eastAsia="Times New Roman"/>
          <w:smallCaps/>
          <w:noProof/>
          <w:lang w:eastAsia="en-US"/>
        </w:rPr>
        <w:tab/>
        <w:t>Circumstances Making the Coll</w:t>
      </w:r>
      <w:r w:rsidR="00076319">
        <w:rPr>
          <w:rFonts w:eastAsia="Times New Roman"/>
          <w:smallCaps/>
          <w:noProof/>
          <w:lang w:eastAsia="en-US"/>
        </w:rPr>
        <w:t>e</w:t>
      </w:r>
      <w:r w:rsidR="006265F7">
        <w:rPr>
          <w:rFonts w:eastAsia="Times New Roman"/>
          <w:smallCaps/>
          <w:noProof/>
          <w:lang w:eastAsia="en-US"/>
        </w:rPr>
        <w:t>ction of Information Necessary</w:t>
      </w:r>
      <w:r w:rsidR="006265F7">
        <w:rPr>
          <w:rFonts w:eastAsia="Times New Roman"/>
          <w:smallCaps/>
          <w:noProof/>
          <w:lang w:eastAsia="en-US"/>
        </w:rPr>
        <w:tab/>
        <w:t>4</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A.2.</w:t>
      </w:r>
      <w:r w:rsidRPr="00FF3A01">
        <w:rPr>
          <w:rFonts w:eastAsia="Times New Roman"/>
          <w:smallCaps/>
          <w:noProof/>
          <w:lang w:eastAsia="en-US"/>
        </w:rPr>
        <w:tab/>
        <w:t>Purpose and U</w:t>
      </w:r>
      <w:r w:rsidR="00AF28B5">
        <w:rPr>
          <w:rFonts w:eastAsia="Times New Roman"/>
          <w:smallCaps/>
          <w:noProof/>
          <w:lang w:eastAsia="en-US"/>
        </w:rPr>
        <w:t>se of the Information Collection</w:t>
      </w:r>
      <w:r w:rsidRPr="00FF3A01">
        <w:rPr>
          <w:rFonts w:eastAsia="Times New Roman"/>
          <w:smallCaps/>
          <w:noProof/>
          <w:lang w:eastAsia="en-US"/>
        </w:rPr>
        <w:tab/>
      </w:r>
      <w:r w:rsidR="006265F7">
        <w:rPr>
          <w:rFonts w:eastAsia="Times New Roman"/>
          <w:smallCaps/>
          <w:noProof/>
          <w:lang w:eastAsia="en-US"/>
        </w:rPr>
        <w:t>5</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A.3</w:t>
      </w:r>
      <w:r w:rsidRPr="00FF3A01">
        <w:rPr>
          <w:rFonts w:eastAsia="Times New Roman"/>
          <w:smallCaps/>
          <w:noProof/>
          <w:lang w:eastAsia="en-US"/>
        </w:rPr>
        <w:tab/>
        <w:t>Use of Information Technology and Burden Reduction</w:t>
      </w:r>
      <w:r w:rsidRPr="00FF3A01">
        <w:rPr>
          <w:rFonts w:eastAsia="Times New Roman"/>
          <w:smallCaps/>
          <w:noProof/>
          <w:lang w:eastAsia="en-US"/>
        </w:rPr>
        <w:tab/>
      </w:r>
      <w:r w:rsidR="00AA7915">
        <w:rPr>
          <w:rFonts w:eastAsia="Times New Roman"/>
          <w:smallCaps/>
          <w:noProof/>
          <w:lang w:eastAsia="en-US"/>
        </w:rPr>
        <w:t>6</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A.4</w:t>
      </w:r>
      <w:r w:rsidRPr="00FF3A01">
        <w:rPr>
          <w:rFonts w:eastAsia="Times New Roman"/>
          <w:smallCaps/>
          <w:noProof/>
          <w:lang w:eastAsia="en-US"/>
        </w:rPr>
        <w:tab/>
        <w:t>Efforts to Identify Duplication and Use of Similar Information</w:t>
      </w:r>
      <w:r w:rsidRPr="00FF3A01">
        <w:rPr>
          <w:rFonts w:eastAsia="Times New Roman"/>
          <w:smallCaps/>
          <w:noProof/>
          <w:lang w:eastAsia="en-US"/>
        </w:rPr>
        <w:tab/>
      </w:r>
      <w:r w:rsidR="006265F7">
        <w:rPr>
          <w:rFonts w:eastAsia="Times New Roman"/>
          <w:smallCaps/>
          <w:noProof/>
          <w:lang w:eastAsia="en-US"/>
        </w:rPr>
        <w:t>7</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A.5</w:t>
      </w:r>
      <w:r w:rsidRPr="00FF3A01">
        <w:rPr>
          <w:rFonts w:eastAsia="Times New Roman"/>
          <w:smallCaps/>
          <w:noProof/>
          <w:lang w:eastAsia="en-US"/>
        </w:rPr>
        <w:tab/>
        <w:t>Impact on Small Businesses or Other Small Entities</w:t>
      </w:r>
      <w:r w:rsidRPr="00FF3A01">
        <w:rPr>
          <w:rFonts w:eastAsia="Times New Roman"/>
          <w:smallCaps/>
          <w:noProof/>
          <w:lang w:eastAsia="en-US"/>
        </w:rPr>
        <w:tab/>
      </w:r>
      <w:r w:rsidR="006265F7">
        <w:rPr>
          <w:rFonts w:eastAsia="Times New Roman"/>
          <w:smallCaps/>
          <w:noProof/>
          <w:lang w:eastAsia="en-US"/>
        </w:rPr>
        <w:t>8</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A.6</w:t>
      </w:r>
      <w:r w:rsidRPr="00FF3A01">
        <w:rPr>
          <w:rFonts w:eastAsia="Times New Roman"/>
          <w:smallCaps/>
          <w:noProof/>
          <w:lang w:eastAsia="en-US"/>
        </w:rPr>
        <w:tab/>
        <w:t>Consequences of Collecting the Information Less Frequently</w:t>
      </w:r>
      <w:r w:rsidRPr="00FF3A01">
        <w:rPr>
          <w:rFonts w:eastAsia="Times New Roman"/>
          <w:smallCaps/>
          <w:noProof/>
          <w:lang w:eastAsia="en-US"/>
        </w:rPr>
        <w:tab/>
      </w:r>
      <w:r w:rsidR="006265F7">
        <w:rPr>
          <w:rFonts w:eastAsia="Times New Roman"/>
          <w:smallCaps/>
          <w:noProof/>
          <w:lang w:eastAsia="en-US"/>
        </w:rPr>
        <w:t>8</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A.7</w:t>
      </w:r>
      <w:r w:rsidRPr="00FF3A01">
        <w:rPr>
          <w:rFonts w:eastAsia="Times New Roman"/>
          <w:smallCaps/>
          <w:noProof/>
          <w:lang w:eastAsia="en-US"/>
        </w:rPr>
        <w:tab/>
        <w:t>Special Circumstances Relating to the Guidelines of 5 CFR 1320.5</w:t>
      </w:r>
      <w:r w:rsidRPr="00FF3A01">
        <w:rPr>
          <w:rFonts w:eastAsia="Times New Roman"/>
          <w:smallCaps/>
          <w:noProof/>
          <w:lang w:eastAsia="en-US"/>
        </w:rPr>
        <w:tab/>
      </w:r>
      <w:r w:rsidR="006265F7">
        <w:rPr>
          <w:rFonts w:eastAsia="Times New Roman"/>
          <w:smallCaps/>
          <w:noProof/>
          <w:lang w:eastAsia="en-US"/>
        </w:rPr>
        <w:t>8</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A.8</w:t>
      </w:r>
      <w:r w:rsidRPr="00FF3A01">
        <w:rPr>
          <w:rFonts w:eastAsia="Times New Roman"/>
          <w:smallCaps/>
          <w:noProof/>
          <w:lang w:eastAsia="en-US"/>
        </w:rPr>
        <w:tab/>
        <w:t>Comments in Response to the Federal Register Notice and Efforts to Consult Outside Agency</w:t>
      </w:r>
      <w:r w:rsidRPr="00FF3A01">
        <w:rPr>
          <w:rFonts w:eastAsia="Times New Roman"/>
          <w:smallCaps/>
          <w:noProof/>
          <w:lang w:eastAsia="en-US"/>
        </w:rPr>
        <w:tab/>
      </w:r>
      <w:r w:rsidR="006265F7">
        <w:rPr>
          <w:rFonts w:eastAsia="Times New Roman"/>
          <w:smallCaps/>
          <w:noProof/>
          <w:lang w:eastAsia="en-US"/>
        </w:rPr>
        <w:t>8</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A.9</w:t>
      </w:r>
      <w:r w:rsidRPr="00FF3A01">
        <w:rPr>
          <w:rFonts w:eastAsia="Times New Roman"/>
          <w:smallCaps/>
          <w:noProof/>
          <w:lang w:eastAsia="en-US"/>
        </w:rPr>
        <w:tab/>
        <w:t>Explanation of Any Payment of Gift to Respondents</w:t>
      </w:r>
      <w:r w:rsidRPr="00FF3A01">
        <w:rPr>
          <w:rFonts w:eastAsia="Times New Roman"/>
          <w:smallCaps/>
          <w:noProof/>
          <w:lang w:eastAsia="en-US"/>
        </w:rPr>
        <w:tab/>
      </w:r>
      <w:r w:rsidR="006265F7">
        <w:rPr>
          <w:rFonts w:eastAsia="Times New Roman"/>
          <w:smallCaps/>
          <w:noProof/>
          <w:lang w:eastAsia="en-US"/>
        </w:rPr>
        <w:t>9</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A.10</w:t>
      </w:r>
      <w:r w:rsidRPr="00FF3A01">
        <w:rPr>
          <w:rFonts w:eastAsia="Times New Roman"/>
          <w:smallCaps/>
          <w:noProof/>
          <w:lang w:eastAsia="en-US"/>
        </w:rPr>
        <w:tab/>
        <w:t>Assurance of Confidentiality Provided to Respondents</w:t>
      </w:r>
      <w:r w:rsidRPr="00FF3A01">
        <w:rPr>
          <w:rFonts w:eastAsia="Times New Roman"/>
          <w:smallCaps/>
          <w:noProof/>
          <w:lang w:eastAsia="en-US"/>
        </w:rPr>
        <w:tab/>
      </w:r>
      <w:r w:rsidR="006265F7">
        <w:rPr>
          <w:rFonts w:eastAsia="Times New Roman"/>
          <w:smallCaps/>
          <w:noProof/>
          <w:lang w:eastAsia="en-US"/>
        </w:rPr>
        <w:t>9</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A.11</w:t>
      </w:r>
      <w:r w:rsidRPr="00FF3A01">
        <w:rPr>
          <w:rFonts w:eastAsia="Times New Roman"/>
          <w:smallCaps/>
          <w:noProof/>
          <w:lang w:eastAsia="en-US"/>
        </w:rPr>
        <w:tab/>
        <w:t>Justification for Sensitive Questions</w:t>
      </w:r>
      <w:r w:rsidRPr="00FF3A01">
        <w:rPr>
          <w:rFonts w:eastAsia="Times New Roman"/>
          <w:smallCaps/>
          <w:noProof/>
          <w:lang w:eastAsia="en-US"/>
        </w:rPr>
        <w:tab/>
      </w:r>
      <w:r w:rsidR="006265F7">
        <w:rPr>
          <w:rFonts w:eastAsia="Times New Roman"/>
          <w:smallCaps/>
          <w:noProof/>
          <w:lang w:eastAsia="en-US"/>
        </w:rPr>
        <w:t>10</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A.12</w:t>
      </w:r>
      <w:r w:rsidRPr="00FF3A01">
        <w:rPr>
          <w:rFonts w:eastAsia="Times New Roman"/>
          <w:smallCaps/>
          <w:noProof/>
          <w:lang w:eastAsia="en-US"/>
        </w:rPr>
        <w:tab/>
        <w:t>Estimates of Hour Burden Including Annualized Hourly Costs</w:t>
      </w:r>
      <w:r w:rsidRPr="00FF3A01">
        <w:rPr>
          <w:rFonts w:eastAsia="Times New Roman"/>
          <w:smallCaps/>
          <w:noProof/>
          <w:lang w:eastAsia="en-US"/>
        </w:rPr>
        <w:tab/>
      </w:r>
      <w:r w:rsidR="006265F7">
        <w:rPr>
          <w:rFonts w:eastAsia="Times New Roman"/>
          <w:smallCaps/>
          <w:noProof/>
          <w:lang w:eastAsia="en-US"/>
        </w:rPr>
        <w:t>10</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A.13</w:t>
      </w:r>
      <w:r w:rsidRPr="00FF3A01">
        <w:rPr>
          <w:rFonts w:eastAsia="Times New Roman"/>
          <w:smallCaps/>
          <w:noProof/>
          <w:lang w:eastAsia="en-US"/>
        </w:rPr>
        <w:tab/>
        <w:t>Estimate of Other Total Annual Cost Burden to Respondents or Record</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b/>
        <w:t xml:space="preserve"> keepers</w:t>
      </w:r>
      <w:r w:rsidRPr="00FF3A01">
        <w:rPr>
          <w:rFonts w:eastAsia="Times New Roman"/>
          <w:smallCaps/>
          <w:noProof/>
          <w:lang w:eastAsia="en-US"/>
        </w:rPr>
        <w:tab/>
      </w:r>
      <w:r w:rsidR="00823891">
        <w:rPr>
          <w:rFonts w:eastAsia="Times New Roman"/>
          <w:smallCaps/>
          <w:noProof/>
          <w:lang w:eastAsia="en-US"/>
        </w:rPr>
        <w:t>11</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A.14</w:t>
      </w:r>
      <w:r w:rsidRPr="00FF3A01">
        <w:rPr>
          <w:rFonts w:eastAsia="Times New Roman"/>
          <w:smallCaps/>
          <w:noProof/>
          <w:lang w:eastAsia="en-US"/>
        </w:rPr>
        <w:tab/>
        <w:t>Annualized Cost to the Federal Government</w:t>
      </w:r>
      <w:r w:rsidRPr="00FF3A01">
        <w:rPr>
          <w:rFonts w:eastAsia="Times New Roman"/>
          <w:smallCaps/>
          <w:noProof/>
          <w:lang w:eastAsia="en-US"/>
        </w:rPr>
        <w:tab/>
      </w:r>
      <w:r w:rsidR="00DA36D7">
        <w:rPr>
          <w:rFonts w:eastAsia="Times New Roman"/>
          <w:smallCaps/>
          <w:noProof/>
          <w:lang w:eastAsia="en-US"/>
        </w:rPr>
        <w:t>11</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A.15</w:t>
      </w:r>
      <w:r w:rsidRPr="00FF3A01">
        <w:rPr>
          <w:rFonts w:eastAsia="Times New Roman"/>
          <w:smallCaps/>
          <w:noProof/>
          <w:lang w:eastAsia="en-US"/>
        </w:rPr>
        <w:tab/>
        <w:t>Explanation for Program Changes or Adjustments</w:t>
      </w:r>
      <w:r w:rsidRPr="00FF3A01">
        <w:rPr>
          <w:rFonts w:eastAsia="Times New Roman"/>
          <w:smallCaps/>
          <w:noProof/>
          <w:lang w:eastAsia="en-US"/>
        </w:rPr>
        <w:tab/>
      </w:r>
      <w:r w:rsidR="00823891">
        <w:rPr>
          <w:rFonts w:eastAsia="Times New Roman"/>
          <w:smallCaps/>
          <w:noProof/>
          <w:lang w:eastAsia="en-US"/>
        </w:rPr>
        <w:t>12</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A.16</w:t>
      </w:r>
      <w:r w:rsidRPr="00FF3A01">
        <w:rPr>
          <w:rFonts w:eastAsia="Times New Roman"/>
          <w:smallCaps/>
          <w:noProof/>
          <w:lang w:eastAsia="en-US"/>
        </w:rPr>
        <w:tab/>
        <w:t>Plans for Tabulation and Publication and Project Time Schedule</w:t>
      </w:r>
      <w:r w:rsidRPr="00FF3A01">
        <w:rPr>
          <w:rFonts w:eastAsia="Times New Roman"/>
          <w:smallCaps/>
          <w:noProof/>
          <w:lang w:eastAsia="en-US"/>
        </w:rPr>
        <w:tab/>
      </w:r>
      <w:r w:rsidR="00823891">
        <w:rPr>
          <w:rFonts w:eastAsia="Times New Roman"/>
          <w:smallCaps/>
          <w:noProof/>
          <w:lang w:eastAsia="en-US"/>
        </w:rPr>
        <w:t>12</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A.17</w:t>
      </w:r>
      <w:r w:rsidRPr="00FF3A01">
        <w:rPr>
          <w:rFonts w:eastAsia="Times New Roman"/>
          <w:smallCaps/>
          <w:noProof/>
          <w:lang w:eastAsia="en-US"/>
        </w:rPr>
        <w:tab/>
        <w:t>Reason(s) Display of OMB Expiration Date is Inappropriate</w:t>
      </w:r>
      <w:r w:rsidRPr="00FF3A01">
        <w:rPr>
          <w:rFonts w:eastAsia="Times New Roman"/>
          <w:smallCaps/>
          <w:noProof/>
          <w:lang w:eastAsia="en-US"/>
        </w:rPr>
        <w:tab/>
      </w:r>
      <w:r w:rsidR="00823891">
        <w:rPr>
          <w:rFonts w:eastAsia="Times New Roman"/>
          <w:smallCaps/>
          <w:noProof/>
          <w:lang w:eastAsia="en-US"/>
        </w:rPr>
        <w:t>13</w:t>
      </w:r>
    </w:p>
    <w:p w:rsidR="002946CA" w:rsidRPr="00FF3A01" w:rsidRDefault="002946CA" w:rsidP="00053ACA">
      <w:pPr>
        <w:tabs>
          <w:tab w:val="left" w:pos="720"/>
          <w:tab w:val="right" w:leader="dot" w:pos="9494"/>
        </w:tabs>
        <w:spacing w:before="120" w:after="120"/>
        <w:ind w:left="720" w:hanging="720"/>
        <w:rPr>
          <w:rFonts w:eastAsia="Times New Roman"/>
          <w:smallCaps/>
          <w:noProof/>
          <w:lang w:eastAsia="en-US"/>
        </w:rPr>
      </w:pPr>
      <w:r w:rsidRPr="00FF3A01">
        <w:rPr>
          <w:rFonts w:eastAsia="Times New Roman"/>
          <w:smallCaps/>
          <w:noProof/>
          <w:lang w:eastAsia="en-US"/>
        </w:rPr>
        <w:t>A.18</w:t>
      </w:r>
      <w:r w:rsidRPr="00FF3A01">
        <w:rPr>
          <w:rFonts w:eastAsia="Times New Roman"/>
          <w:smallCaps/>
          <w:noProof/>
          <w:lang w:eastAsia="en-US"/>
        </w:rPr>
        <w:tab/>
        <w:t>Exceptions to Certification for Paperwork Reduction Act Submissions</w:t>
      </w:r>
      <w:r w:rsidRPr="00FF3A01">
        <w:rPr>
          <w:rFonts w:eastAsia="Times New Roman"/>
          <w:smallCaps/>
          <w:noProof/>
          <w:lang w:eastAsia="en-US"/>
        </w:rPr>
        <w:tab/>
      </w:r>
      <w:r w:rsidR="00823891">
        <w:rPr>
          <w:rFonts w:eastAsia="Times New Roman"/>
          <w:smallCaps/>
          <w:noProof/>
          <w:lang w:eastAsia="en-US"/>
        </w:rPr>
        <w:t>13</w:t>
      </w:r>
    </w:p>
    <w:p w:rsidR="00A03191" w:rsidRDefault="002946CA" w:rsidP="00053ACA">
      <w:pPr>
        <w:rPr>
          <w:rFonts w:eastAsia="Times New Roman"/>
          <w:caps/>
          <w:noProof/>
          <w:lang w:eastAsia="en-US"/>
        </w:rPr>
      </w:pPr>
      <w:r w:rsidRPr="00FF3A01">
        <w:rPr>
          <w:rFonts w:eastAsia="Times New Roman"/>
          <w:caps/>
          <w:noProof/>
          <w:lang w:eastAsia="en-US"/>
        </w:rPr>
        <w:fldChar w:fldCharType="end"/>
      </w:r>
    </w:p>
    <w:p w:rsidR="00A03191" w:rsidRDefault="00A03191" w:rsidP="00053ACA">
      <w:pPr>
        <w:rPr>
          <w:rFonts w:eastAsia="Times New Roman"/>
          <w:caps/>
          <w:noProof/>
          <w:lang w:eastAsia="en-US"/>
        </w:rPr>
      </w:pPr>
    </w:p>
    <w:p w:rsidR="009A53E1" w:rsidRDefault="009471E7" w:rsidP="00053ACA">
      <w:pPr>
        <w:rPr>
          <w:rFonts w:eastAsia="Times New Roman"/>
          <w:b/>
          <w:caps/>
          <w:noProof/>
          <w:lang w:eastAsia="en-US"/>
        </w:rPr>
      </w:pPr>
      <w:r>
        <w:rPr>
          <w:rFonts w:eastAsia="Times New Roman"/>
          <w:b/>
          <w:caps/>
          <w:noProof/>
          <w:lang w:eastAsia="en-US"/>
        </w:rPr>
        <w:br w:type="page"/>
      </w:r>
      <w:r>
        <w:rPr>
          <w:rFonts w:eastAsia="Times New Roman"/>
          <w:b/>
          <w:caps/>
          <w:noProof/>
          <w:lang w:eastAsia="en-US"/>
        </w:rPr>
        <w:lastRenderedPageBreak/>
        <w:t>List of Attachments</w:t>
      </w:r>
      <w:r w:rsidRPr="009A53E1">
        <w:rPr>
          <w:rFonts w:eastAsia="Times New Roman"/>
          <w:b/>
          <w:caps/>
          <w:noProof/>
          <w:lang w:eastAsia="en-US"/>
        </w:rPr>
        <w:t xml:space="preserve"> </w:t>
      </w:r>
    </w:p>
    <w:p w:rsidR="009A53E1" w:rsidRDefault="009A53E1" w:rsidP="00053ACA">
      <w:pPr>
        <w:rPr>
          <w:rFonts w:eastAsia="Times New Roman"/>
          <w:caps/>
          <w:noProof/>
          <w:lang w:eastAsia="en-US"/>
        </w:rPr>
      </w:pPr>
    </w:p>
    <w:p w:rsidR="009A53E1" w:rsidRDefault="009A53E1" w:rsidP="00053ACA">
      <w:pPr>
        <w:rPr>
          <w:rFonts w:eastAsia="Times New Roman"/>
          <w:caps/>
          <w:noProof/>
          <w:lang w:eastAsia="en-US"/>
        </w:rPr>
      </w:pPr>
      <w:r>
        <w:rPr>
          <w:rFonts w:eastAsia="Times New Roman"/>
          <w:caps/>
          <w:noProof/>
          <w:lang w:eastAsia="en-US"/>
        </w:rPr>
        <w:t xml:space="preserve">Attachment 1: </w:t>
      </w:r>
      <w:r w:rsidR="00AA7915">
        <w:rPr>
          <w:rFonts w:eastAsia="Times New Roman"/>
          <w:caps/>
          <w:noProof/>
          <w:lang w:eastAsia="en-US"/>
        </w:rPr>
        <w:t xml:space="preserve">Pre and POST </w:t>
      </w:r>
      <w:r>
        <w:rPr>
          <w:rFonts w:eastAsia="Times New Roman"/>
          <w:caps/>
          <w:noProof/>
          <w:lang w:eastAsia="en-US"/>
        </w:rPr>
        <w:t>Survey</w:t>
      </w:r>
      <w:r w:rsidR="001E49E6">
        <w:rPr>
          <w:rFonts w:eastAsia="Times New Roman"/>
          <w:caps/>
          <w:noProof/>
          <w:lang w:eastAsia="en-US"/>
        </w:rPr>
        <w:t>s</w:t>
      </w:r>
      <w:r w:rsidR="00A20CB1">
        <w:rPr>
          <w:rFonts w:eastAsia="Times New Roman"/>
          <w:caps/>
          <w:noProof/>
          <w:lang w:eastAsia="en-US"/>
        </w:rPr>
        <w:t xml:space="preserve"> – </w:t>
      </w:r>
      <w:r w:rsidR="00B774CF">
        <w:rPr>
          <w:rFonts w:eastAsia="Times New Roman"/>
          <w:caps/>
          <w:noProof/>
          <w:lang w:eastAsia="en-US"/>
        </w:rPr>
        <w:t xml:space="preserve">Microsoft </w:t>
      </w:r>
      <w:r w:rsidR="00A20CB1">
        <w:rPr>
          <w:rFonts w:eastAsia="Times New Roman"/>
          <w:caps/>
          <w:noProof/>
          <w:lang w:eastAsia="en-US"/>
        </w:rPr>
        <w:t>WORD VERSION</w:t>
      </w:r>
    </w:p>
    <w:p w:rsidR="009A53E1" w:rsidRDefault="009A53E1" w:rsidP="00053ACA">
      <w:pPr>
        <w:rPr>
          <w:rFonts w:eastAsia="Times New Roman"/>
          <w:caps/>
          <w:noProof/>
          <w:lang w:eastAsia="en-US"/>
        </w:rPr>
      </w:pPr>
    </w:p>
    <w:p w:rsidR="00A20CB1" w:rsidRDefault="00A20CB1" w:rsidP="00053ACA">
      <w:pPr>
        <w:rPr>
          <w:rFonts w:eastAsia="Times New Roman"/>
          <w:caps/>
          <w:noProof/>
          <w:lang w:eastAsia="en-US"/>
        </w:rPr>
      </w:pPr>
      <w:r>
        <w:rPr>
          <w:rFonts w:eastAsia="Times New Roman"/>
          <w:caps/>
          <w:noProof/>
          <w:lang w:eastAsia="en-US"/>
        </w:rPr>
        <w:t xml:space="preserve">Attachment 2: </w:t>
      </w:r>
      <w:r w:rsidR="00AA7915">
        <w:rPr>
          <w:rFonts w:eastAsia="Times New Roman"/>
          <w:caps/>
          <w:noProof/>
          <w:lang w:eastAsia="en-US"/>
        </w:rPr>
        <w:t xml:space="preserve">Pre and post </w:t>
      </w:r>
      <w:r>
        <w:rPr>
          <w:rFonts w:eastAsia="Times New Roman"/>
          <w:caps/>
          <w:noProof/>
          <w:lang w:eastAsia="en-US"/>
        </w:rPr>
        <w:t>SURVEY</w:t>
      </w:r>
      <w:r w:rsidR="001E49E6">
        <w:rPr>
          <w:rFonts w:eastAsia="Times New Roman"/>
          <w:caps/>
          <w:noProof/>
          <w:lang w:eastAsia="en-US"/>
        </w:rPr>
        <w:t>s</w:t>
      </w:r>
      <w:r>
        <w:rPr>
          <w:rFonts w:eastAsia="Times New Roman"/>
          <w:caps/>
          <w:noProof/>
          <w:lang w:eastAsia="en-US"/>
        </w:rPr>
        <w:t xml:space="preserve"> - SCREENSHOTS</w:t>
      </w:r>
    </w:p>
    <w:p w:rsidR="00A20CB1" w:rsidRDefault="00A20CB1" w:rsidP="00053ACA">
      <w:pPr>
        <w:rPr>
          <w:rFonts w:eastAsia="Times New Roman"/>
          <w:caps/>
          <w:noProof/>
          <w:lang w:eastAsia="en-US"/>
        </w:rPr>
      </w:pPr>
    </w:p>
    <w:p w:rsidR="009A53E1" w:rsidRDefault="00A20CB1" w:rsidP="00053ACA">
      <w:pPr>
        <w:rPr>
          <w:rFonts w:eastAsia="Times New Roman"/>
          <w:caps/>
          <w:noProof/>
          <w:lang w:eastAsia="en-US"/>
        </w:rPr>
      </w:pPr>
      <w:r>
        <w:rPr>
          <w:rFonts w:eastAsia="Times New Roman"/>
          <w:caps/>
          <w:noProof/>
          <w:lang w:eastAsia="en-US"/>
        </w:rPr>
        <w:t>Attachment 3</w:t>
      </w:r>
      <w:r w:rsidR="009A53E1">
        <w:rPr>
          <w:rFonts w:eastAsia="Times New Roman"/>
          <w:caps/>
          <w:noProof/>
          <w:lang w:eastAsia="en-US"/>
        </w:rPr>
        <w:t xml:space="preserve">: correspondence </w:t>
      </w:r>
      <w:r w:rsidR="00AA7915">
        <w:rPr>
          <w:rFonts w:eastAsia="Times New Roman"/>
          <w:caps/>
          <w:noProof/>
          <w:lang w:eastAsia="en-US"/>
        </w:rPr>
        <w:t xml:space="preserve">for pre and post surveys </w:t>
      </w:r>
      <w:r w:rsidR="009A53E1">
        <w:rPr>
          <w:rFonts w:eastAsia="Times New Roman"/>
          <w:caps/>
          <w:noProof/>
          <w:lang w:eastAsia="en-US"/>
        </w:rPr>
        <w:t>(eMAIL INVITATION, EMAIL with SURVEY LINK, AND REMINDER EMAIL)</w:t>
      </w:r>
    </w:p>
    <w:p w:rsidR="00170228" w:rsidRDefault="00170228" w:rsidP="00053ACA">
      <w:pPr>
        <w:rPr>
          <w:rFonts w:eastAsia="Times New Roman"/>
          <w:caps/>
          <w:noProof/>
          <w:lang w:eastAsia="en-US"/>
        </w:rPr>
      </w:pPr>
    </w:p>
    <w:p w:rsidR="00170228" w:rsidRDefault="00FB1F6D" w:rsidP="00170228">
      <w:pPr>
        <w:rPr>
          <w:rFonts w:eastAsia="Times New Roman"/>
          <w:caps/>
          <w:noProof/>
          <w:lang w:eastAsia="en-US"/>
        </w:rPr>
      </w:pPr>
      <w:r>
        <w:rPr>
          <w:rFonts w:eastAsia="Times New Roman"/>
          <w:caps/>
          <w:noProof/>
          <w:lang w:eastAsia="en-US"/>
        </w:rPr>
        <w:t>aTTACH</w:t>
      </w:r>
      <w:r w:rsidR="00170228">
        <w:rPr>
          <w:rFonts w:eastAsia="Times New Roman"/>
          <w:caps/>
          <w:noProof/>
          <w:lang w:eastAsia="en-US"/>
        </w:rPr>
        <w:t>MENT 4: E</w:t>
      </w:r>
      <w:r w:rsidR="00DE128D">
        <w:rPr>
          <w:rFonts w:eastAsia="Times New Roman"/>
          <w:caps/>
          <w:noProof/>
          <w:lang w:eastAsia="en-US"/>
        </w:rPr>
        <w:t xml:space="preserve">xample of campaign materials – </w:t>
      </w:r>
      <w:r w:rsidR="00170228">
        <w:rPr>
          <w:rFonts w:eastAsia="Times New Roman"/>
          <w:caps/>
          <w:noProof/>
          <w:lang w:eastAsia="en-US"/>
        </w:rPr>
        <w:t xml:space="preserve">tear-off pad </w:t>
      </w:r>
    </w:p>
    <w:p w:rsidR="00170228" w:rsidRPr="00170228" w:rsidRDefault="00170228" w:rsidP="00170228">
      <w:pPr>
        <w:rPr>
          <w:rFonts w:eastAsia="Times New Roman"/>
          <w:caps/>
          <w:noProof/>
          <w:lang w:eastAsia="en-US"/>
        </w:rPr>
      </w:pPr>
    </w:p>
    <w:p w:rsidR="00170228" w:rsidRPr="00170228" w:rsidRDefault="00FB1F6D" w:rsidP="00170228">
      <w:pPr>
        <w:rPr>
          <w:rFonts w:eastAsia="Times New Roman"/>
          <w:caps/>
          <w:noProof/>
          <w:lang w:eastAsia="en-US"/>
        </w:rPr>
      </w:pPr>
      <w:r>
        <w:rPr>
          <w:rFonts w:eastAsia="Times New Roman"/>
          <w:caps/>
          <w:noProof/>
          <w:lang w:eastAsia="en-US"/>
        </w:rPr>
        <w:t>aTTACH</w:t>
      </w:r>
      <w:r w:rsidR="009A53E1" w:rsidRPr="00170228">
        <w:rPr>
          <w:rFonts w:eastAsia="Times New Roman"/>
          <w:caps/>
          <w:noProof/>
          <w:lang w:eastAsia="en-US"/>
        </w:rPr>
        <w:t xml:space="preserve">MENT </w:t>
      </w:r>
      <w:r w:rsidR="00170228" w:rsidRPr="00170228">
        <w:rPr>
          <w:rFonts w:eastAsia="Times New Roman"/>
          <w:caps/>
          <w:noProof/>
          <w:lang w:eastAsia="en-US"/>
        </w:rPr>
        <w:t>5</w:t>
      </w:r>
      <w:r w:rsidR="009A53E1" w:rsidRPr="00170228">
        <w:rPr>
          <w:rFonts w:eastAsia="Times New Roman"/>
          <w:caps/>
          <w:noProof/>
          <w:lang w:eastAsia="en-US"/>
        </w:rPr>
        <w:t>: DOCUMENTATION FROM THE nIH OFFICE OF HUMAN SUBJECTS RESEARCH PROTECTIONS</w:t>
      </w:r>
    </w:p>
    <w:p w:rsidR="00170228" w:rsidRPr="00170228" w:rsidRDefault="00170228" w:rsidP="00170228">
      <w:pPr>
        <w:rPr>
          <w:rFonts w:eastAsia="Times New Roman"/>
          <w:caps/>
          <w:noProof/>
          <w:lang w:eastAsia="en-US"/>
        </w:rPr>
      </w:pPr>
    </w:p>
    <w:p w:rsidR="00FB1F6D" w:rsidRDefault="00FB1F6D" w:rsidP="00170228">
      <w:pPr>
        <w:rPr>
          <w:rFonts w:eastAsia="Times New Roman"/>
          <w:caps/>
          <w:noProof/>
          <w:lang w:eastAsia="en-US"/>
        </w:rPr>
      </w:pPr>
      <w:r>
        <w:rPr>
          <w:rFonts w:eastAsia="Times New Roman"/>
          <w:caps/>
          <w:noProof/>
          <w:lang w:eastAsia="en-US"/>
        </w:rPr>
        <w:t>aTTACH</w:t>
      </w:r>
      <w:r w:rsidR="00170228" w:rsidRPr="00170228">
        <w:rPr>
          <w:rFonts w:eastAsia="Times New Roman"/>
          <w:caps/>
          <w:noProof/>
          <w:lang w:eastAsia="en-US"/>
        </w:rPr>
        <w:t xml:space="preserve">MENT 6: NIH Privacy </w:t>
      </w:r>
      <w:r w:rsidR="00A22B6C">
        <w:rPr>
          <w:rFonts w:eastAsia="Times New Roman"/>
          <w:caps/>
          <w:noProof/>
          <w:lang w:eastAsia="en-US"/>
        </w:rPr>
        <w:t>Officer MEMO</w:t>
      </w:r>
    </w:p>
    <w:p w:rsidR="00FB1F6D" w:rsidRDefault="00FB1F6D" w:rsidP="00170228">
      <w:pPr>
        <w:rPr>
          <w:rFonts w:eastAsia="Times New Roman"/>
          <w:caps/>
          <w:noProof/>
          <w:lang w:eastAsia="en-US"/>
        </w:rPr>
      </w:pPr>
    </w:p>
    <w:p w:rsidR="009471E7" w:rsidRDefault="00FB1F6D" w:rsidP="00170228">
      <w:r>
        <w:rPr>
          <w:rFonts w:eastAsia="Times New Roman"/>
          <w:caps/>
          <w:noProof/>
          <w:lang w:eastAsia="en-US"/>
        </w:rPr>
        <w:t>Attachment 7: informed consent</w:t>
      </w:r>
      <w:r w:rsidR="001D2F8C" w:rsidRPr="00FF3A01">
        <w:br w:type="page"/>
      </w:r>
      <w:r w:rsidR="009471E7">
        <w:lastRenderedPageBreak/>
        <w:t>A. Justification</w:t>
      </w:r>
    </w:p>
    <w:p w:rsidR="00B27BD3" w:rsidRPr="00FF3A01" w:rsidRDefault="00126F3A" w:rsidP="00053ACA">
      <w:pPr>
        <w:rPr>
          <w:b/>
        </w:rPr>
      </w:pPr>
      <w:r w:rsidRPr="00FF3A01">
        <w:rPr>
          <w:b/>
        </w:rPr>
        <w:t>A.1</w:t>
      </w:r>
      <w:r w:rsidRPr="00FF3A01">
        <w:rPr>
          <w:b/>
        </w:rPr>
        <w:tab/>
        <w:t>Circumstances Making the Collection of Information Necessary</w:t>
      </w:r>
    </w:p>
    <w:p w:rsidR="00B27BD3" w:rsidRPr="00FF3A01" w:rsidRDefault="00B27BD3" w:rsidP="00053ACA"/>
    <w:p w:rsidR="00B774CF" w:rsidRPr="000A4765" w:rsidRDefault="00B774CF" w:rsidP="00B774CF">
      <w:pPr>
        <w:pStyle w:val="BodyText"/>
      </w:pPr>
      <w:r w:rsidRPr="000A4765">
        <w:t>The National Institute of Nursing Research (NINR) supports and conducts clinical and basic research and research training on health and illness across the lifespan. The research focus encompasses health promotion and disease prevention, quality of li</w:t>
      </w:r>
      <w:r>
        <w:t xml:space="preserve">fe, health disparities, end of </w:t>
      </w:r>
      <w:r w:rsidRPr="000A4765">
        <w:t>life</w:t>
      </w:r>
      <w:r>
        <w:t xml:space="preserve"> care, and research training</w:t>
      </w:r>
      <w:r w:rsidRPr="000A4765">
        <w:t>. NINR’s activities are authorized under 42</w:t>
      </w:r>
      <w:r>
        <w:t xml:space="preserve"> USC 285q, wherein it is stated:</w:t>
      </w:r>
    </w:p>
    <w:p w:rsidR="00B774CF" w:rsidRPr="003643CC" w:rsidRDefault="00B774CF" w:rsidP="00B774CF">
      <w:pPr>
        <w:pStyle w:val="BodyText"/>
        <w:ind w:left="720"/>
      </w:pPr>
      <w:r w:rsidRPr="003643CC">
        <w:t>“The general purpose of the National Ins</w:t>
      </w:r>
      <w:r>
        <w:t xml:space="preserve">titute of Nursing Research (in </w:t>
      </w:r>
      <w:r w:rsidRPr="003643CC">
        <w:t>this subpart referred to as the "In</w:t>
      </w:r>
      <w:r>
        <w:t xml:space="preserve">stitute") is the conduct and </w:t>
      </w:r>
      <w:r w:rsidRPr="003643CC">
        <w:t xml:space="preserve">support of, and dissemination of information respecting, basic and clinical nursing research, training, and other programs in patient care research.” </w:t>
      </w:r>
    </w:p>
    <w:p w:rsidR="00E8344E" w:rsidRDefault="00E8344E" w:rsidP="00E8344E">
      <w:pPr>
        <w:pStyle w:val="BodyText"/>
      </w:pPr>
      <w:r>
        <w:t xml:space="preserve">In 2012, </w:t>
      </w:r>
      <w:r w:rsidR="00650998" w:rsidRPr="00E8344E">
        <w:t xml:space="preserve">NINR </w:t>
      </w:r>
      <w:r w:rsidR="00AB741A" w:rsidRPr="00E8344E">
        <w:t xml:space="preserve">developed </w:t>
      </w:r>
      <w:r w:rsidR="00CB6435" w:rsidRPr="00CB6435">
        <w:rPr>
          <w:i/>
          <w:lang w:val="en-US"/>
        </w:rPr>
        <w:t>Palliative Care: Conversations Matter</w:t>
      </w:r>
      <w:r w:rsidR="00CB6435">
        <w:rPr>
          <w:lang w:val="en-US"/>
        </w:rPr>
        <w:t>, a</w:t>
      </w:r>
      <w:r w:rsidR="00AB741A" w:rsidRPr="00E8344E">
        <w:t xml:space="preserve"> </w:t>
      </w:r>
      <w:r w:rsidR="00CB6435">
        <w:rPr>
          <w:lang w:val="en-US"/>
        </w:rPr>
        <w:t>p</w:t>
      </w:r>
      <w:proofErr w:type="spellStart"/>
      <w:r w:rsidR="00B774CF" w:rsidRPr="00E8344E">
        <w:t>ediatric</w:t>
      </w:r>
      <w:proofErr w:type="spellEnd"/>
      <w:r w:rsidR="00B774CF" w:rsidRPr="00E8344E">
        <w:t xml:space="preserve"> </w:t>
      </w:r>
      <w:r w:rsidR="00CB6435">
        <w:rPr>
          <w:lang w:val="en-US"/>
        </w:rPr>
        <w:t>p</w:t>
      </w:r>
      <w:proofErr w:type="spellStart"/>
      <w:r w:rsidR="00B774CF" w:rsidRPr="00E8344E">
        <w:t>alliative</w:t>
      </w:r>
      <w:proofErr w:type="spellEnd"/>
      <w:r w:rsidR="00B774CF" w:rsidRPr="00E8344E">
        <w:t xml:space="preserve"> </w:t>
      </w:r>
      <w:r w:rsidR="00CB6435">
        <w:rPr>
          <w:lang w:val="en-US"/>
        </w:rPr>
        <w:t>c</w:t>
      </w:r>
      <w:r w:rsidR="00B774CF" w:rsidRPr="00E8344E">
        <w:t xml:space="preserve">are </w:t>
      </w:r>
      <w:r w:rsidR="00CB6435">
        <w:rPr>
          <w:lang w:val="en-US"/>
        </w:rPr>
        <w:t>c</w:t>
      </w:r>
      <w:proofErr w:type="spellStart"/>
      <w:r w:rsidRPr="00E8344E">
        <w:t>ampaign</w:t>
      </w:r>
      <w:proofErr w:type="spellEnd"/>
      <w:r w:rsidRPr="00E8344E">
        <w:t xml:space="preserve"> </w:t>
      </w:r>
      <w:r w:rsidR="00B42752" w:rsidRPr="00E8344E">
        <w:t xml:space="preserve">to address the communication challenges </w:t>
      </w:r>
      <w:r w:rsidR="00DA619E" w:rsidRPr="00E8344E">
        <w:t xml:space="preserve">faced by </w:t>
      </w:r>
      <w:r w:rsidR="00367D2C">
        <w:rPr>
          <w:lang w:val="en-US"/>
        </w:rPr>
        <w:t>h</w:t>
      </w:r>
      <w:proofErr w:type="spellStart"/>
      <w:r w:rsidR="002E2BE6">
        <w:t>ealth</w:t>
      </w:r>
      <w:proofErr w:type="spellEnd"/>
      <w:r w:rsidR="002E2BE6">
        <w:t xml:space="preserve"> care providers</w:t>
      </w:r>
      <w:r w:rsidR="00B774CF" w:rsidRPr="00E8344E">
        <w:t xml:space="preserve"> </w:t>
      </w:r>
      <w:r w:rsidR="00B42752" w:rsidRPr="00E8344E">
        <w:t xml:space="preserve">who recommend and provide </w:t>
      </w:r>
      <w:r>
        <w:t>palliative care to pediatric populations</w:t>
      </w:r>
      <w:r w:rsidR="00B42752" w:rsidRPr="00E8344E">
        <w:t>.</w:t>
      </w:r>
      <w:r w:rsidR="00AB741A" w:rsidRPr="00E8344E">
        <w:t xml:space="preserve"> </w:t>
      </w:r>
      <w:r w:rsidR="00013D8F" w:rsidRPr="00E8344E">
        <w:t xml:space="preserve">To inform the development of the campaign, </w:t>
      </w:r>
      <w:r w:rsidR="00053ACA" w:rsidRPr="00E8344E">
        <w:t>NINR</w:t>
      </w:r>
      <w:r w:rsidR="00013D8F" w:rsidRPr="00E8344E">
        <w:t xml:space="preserve"> conducted </w:t>
      </w:r>
      <w:r w:rsidR="00441244" w:rsidRPr="00E8344E">
        <w:t>planning activities</w:t>
      </w:r>
      <w:r w:rsidR="00013D8F" w:rsidRPr="00E8344E">
        <w:t xml:space="preserve"> including a roundtable discussion with </w:t>
      </w:r>
      <w:r w:rsidR="007D6636" w:rsidRPr="00E8344E">
        <w:t>leading palliative care and end-of-life experts,</w:t>
      </w:r>
      <w:r w:rsidR="00013D8F" w:rsidRPr="00E8344E">
        <w:t xml:space="preserve"> a strategy planning workshop with leaders in the field</w:t>
      </w:r>
      <w:r w:rsidR="007D6636" w:rsidRPr="00E8344E">
        <w:t xml:space="preserve">, an environmental scan of existing programs and campaigns, </w:t>
      </w:r>
      <w:r w:rsidR="00A02F8B">
        <w:rPr>
          <w:lang w:val="en-US"/>
        </w:rPr>
        <w:t xml:space="preserve">a focus group, a pilot of the materials </w:t>
      </w:r>
      <w:r w:rsidR="007D6636" w:rsidRPr="00E8344E">
        <w:t>and a review of the literature</w:t>
      </w:r>
      <w:r w:rsidR="00013D8F" w:rsidRPr="00E8344E">
        <w:t>.</w:t>
      </w:r>
    </w:p>
    <w:p w:rsidR="00D84CEF" w:rsidRDefault="00E8344E" w:rsidP="0016225F">
      <w:pPr>
        <w:spacing w:after="60"/>
      </w:pPr>
      <w:r>
        <w:t xml:space="preserve">The purpose </w:t>
      </w:r>
      <w:r w:rsidR="00AF28B5">
        <w:t xml:space="preserve">and overall goal </w:t>
      </w:r>
      <w:r>
        <w:t xml:space="preserve">of </w:t>
      </w:r>
      <w:r w:rsidR="001E49E6" w:rsidRPr="00CB6435">
        <w:rPr>
          <w:i/>
        </w:rPr>
        <w:t>Palliative Care: Conversations Matter</w:t>
      </w:r>
      <w:r>
        <w:t xml:space="preserve"> is</w:t>
      </w:r>
      <w:r w:rsidR="007D6636" w:rsidRPr="00E8344E">
        <w:t xml:space="preserve"> to increase the use of palliati</w:t>
      </w:r>
      <w:r w:rsidR="007D6636" w:rsidRPr="00D84CEF">
        <w:t xml:space="preserve">ve care for children living with serious illness or life-limiting conditions. </w:t>
      </w:r>
      <w:r w:rsidRPr="00D84CEF">
        <w:t xml:space="preserve">Campaign </w:t>
      </w:r>
      <w:r w:rsidR="007D6636" w:rsidRPr="00D84CEF">
        <w:t>materials</w:t>
      </w:r>
      <w:r w:rsidR="00727544" w:rsidRPr="00D84CEF">
        <w:t xml:space="preserve"> and messages such as</w:t>
      </w:r>
      <w:r w:rsidR="00D84CEF" w:rsidRPr="00D84CEF">
        <w:t>:</w:t>
      </w:r>
      <w:r w:rsidR="00D84CEF">
        <w:t xml:space="preserve"> </w:t>
      </w:r>
    </w:p>
    <w:p w:rsidR="00D84CEF" w:rsidRDefault="00D84CEF" w:rsidP="0016225F">
      <w:pPr>
        <w:numPr>
          <w:ilvl w:val="0"/>
          <w:numId w:val="15"/>
        </w:numPr>
        <w:spacing w:after="60"/>
        <w:rPr>
          <w:rFonts w:eastAsia="Times New Roman"/>
        </w:rPr>
      </w:pPr>
      <w:r w:rsidRPr="00D84CEF">
        <w:rPr>
          <w:rFonts w:eastAsia="Times New Roman"/>
          <w:i/>
        </w:rPr>
        <w:t>Palliative care is an integral part of treatment for pediatric patients and their families living with a serious ill</w:t>
      </w:r>
      <w:r>
        <w:rPr>
          <w:rFonts w:eastAsia="Times New Roman"/>
          <w:i/>
        </w:rPr>
        <w:t>ness or life-limiting condition</w:t>
      </w:r>
      <w:r w:rsidR="00170228">
        <w:rPr>
          <w:rFonts w:eastAsia="Times New Roman"/>
          <w:i/>
        </w:rPr>
        <w:t>;</w:t>
      </w:r>
      <w:r>
        <w:rPr>
          <w:rFonts w:eastAsia="Times New Roman"/>
        </w:rPr>
        <w:t xml:space="preserve"> </w:t>
      </w:r>
    </w:p>
    <w:p w:rsidR="00D84CEF" w:rsidRPr="00170228" w:rsidRDefault="00D84CEF" w:rsidP="00D84CEF">
      <w:pPr>
        <w:numPr>
          <w:ilvl w:val="0"/>
          <w:numId w:val="15"/>
        </w:numPr>
        <w:rPr>
          <w:i/>
        </w:rPr>
      </w:pPr>
      <w:r w:rsidRPr="00D84CEF">
        <w:rPr>
          <w:i/>
        </w:rPr>
        <w:t xml:space="preserve">Palliative care can be delivered in tandem with curative or life-prolonging care </w:t>
      </w:r>
      <w:r w:rsidRPr="00170228">
        <w:rPr>
          <w:i/>
        </w:rPr>
        <w:t>and is not only</w:t>
      </w:r>
      <w:r w:rsidR="00170228">
        <w:rPr>
          <w:i/>
        </w:rPr>
        <w:t xml:space="preserve"> appropriate at the end of life;</w:t>
      </w:r>
      <w:r w:rsidR="00170228">
        <w:t xml:space="preserve"> and</w:t>
      </w:r>
      <w:r w:rsidR="00727544" w:rsidRPr="00170228">
        <w:rPr>
          <w:i/>
        </w:rPr>
        <w:t xml:space="preserve"> </w:t>
      </w:r>
    </w:p>
    <w:p w:rsidR="00170228" w:rsidRPr="00170228" w:rsidRDefault="00170228" w:rsidP="0016225F">
      <w:pPr>
        <w:numPr>
          <w:ilvl w:val="0"/>
          <w:numId w:val="15"/>
        </w:numPr>
        <w:spacing w:after="60"/>
        <w:rPr>
          <w:i/>
        </w:rPr>
      </w:pPr>
      <w:r w:rsidRPr="00170228">
        <w:rPr>
          <w:rFonts w:eastAsia="Times New Roman"/>
          <w:i/>
        </w:rPr>
        <w:t>Referring patients, families and caregivers for palliative care services can improve patient outcomes and increase</w:t>
      </w:r>
      <w:r>
        <w:rPr>
          <w:rFonts w:eastAsia="Times New Roman"/>
          <w:i/>
        </w:rPr>
        <w:t xml:space="preserve"> overall satisfaction with care;</w:t>
      </w:r>
    </w:p>
    <w:p w:rsidR="00E8344E" w:rsidRDefault="007D6636" w:rsidP="0016225F">
      <w:pPr>
        <w:spacing w:after="60"/>
      </w:pPr>
      <w:proofErr w:type="gramStart"/>
      <w:r w:rsidRPr="00D84CEF">
        <w:t>are</w:t>
      </w:r>
      <w:proofErr w:type="gramEnd"/>
      <w:r w:rsidRPr="00E8344E">
        <w:t xml:space="preserve"> designed to </w:t>
      </w:r>
      <w:r w:rsidR="00240839" w:rsidRPr="00E8344E">
        <w:t xml:space="preserve">assist </w:t>
      </w:r>
      <w:r w:rsidR="00E8344E">
        <w:t>health care providers</w:t>
      </w:r>
      <w:r w:rsidR="00E8344E" w:rsidRPr="00E8344E">
        <w:t xml:space="preserve"> </w:t>
      </w:r>
      <w:r w:rsidR="00240839" w:rsidRPr="00E8344E">
        <w:t>in initiating and facilitating ongoing conversations about</w:t>
      </w:r>
      <w:r w:rsidR="00E8344E">
        <w:t xml:space="preserve"> palliative care</w:t>
      </w:r>
      <w:r w:rsidR="00E8344E" w:rsidRPr="00E8344E">
        <w:t xml:space="preserve"> </w:t>
      </w:r>
      <w:r w:rsidR="00240839" w:rsidRPr="00E8344E">
        <w:t xml:space="preserve">with pediatric </w:t>
      </w:r>
      <w:r w:rsidR="00E207BE" w:rsidRPr="00E8344E">
        <w:t>patients and their families</w:t>
      </w:r>
      <w:r w:rsidR="00240839" w:rsidRPr="00E8344E">
        <w:t xml:space="preserve">. </w:t>
      </w:r>
    </w:p>
    <w:p w:rsidR="001D3187" w:rsidRDefault="00E8344E" w:rsidP="00B774CF">
      <w:pPr>
        <w:pStyle w:val="BodyText"/>
      </w:pPr>
      <w:r>
        <w:t xml:space="preserve">The purpose of the </w:t>
      </w:r>
      <w:r w:rsidR="001E49E6" w:rsidRPr="00CB6435">
        <w:rPr>
          <w:i/>
          <w:lang w:val="en-US"/>
        </w:rPr>
        <w:t>Palliative Care: Conversations Matter</w:t>
      </w:r>
      <w:r w:rsidR="001E49E6">
        <w:rPr>
          <w:lang w:val="en-US"/>
        </w:rPr>
        <w:t xml:space="preserve"> </w:t>
      </w:r>
      <w:r w:rsidR="00A02F8B">
        <w:rPr>
          <w:lang w:val="en-US"/>
        </w:rPr>
        <w:t>Assessment</w:t>
      </w:r>
      <w:r w:rsidR="00996DFA">
        <w:rPr>
          <w:lang w:val="en-US"/>
        </w:rPr>
        <w:t xml:space="preserve"> </w:t>
      </w:r>
      <w:r w:rsidR="00042AC6">
        <w:t>(see Attachment</w:t>
      </w:r>
      <w:r w:rsidR="00823891">
        <w:rPr>
          <w:lang w:val="en-US"/>
        </w:rPr>
        <w:t>s</w:t>
      </w:r>
      <w:r w:rsidR="00042AC6">
        <w:t xml:space="preserve"> 1</w:t>
      </w:r>
      <w:r w:rsidR="00823891">
        <w:rPr>
          <w:lang w:val="en-US"/>
        </w:rPr>
        <w:t xml:space="preserve"> and 2</w:t>
      </w:r>
      <w:r w:rsidR="00042AC6">
        <w:t xml:space="preserve">) </w:t>
      </w:r>
      <w:r w:rsidR="00727544">
        <w:t xml:space="preserve">is to </w:t>
      </w:r>
      <w:r w:rsidR="00A02F8B">
        <w:rPr>
          <w:lang w:val="en-US"/>
        </w:rPr>
        <w:t xml:space="preserve">measure the effectiveness of the campaign. Because no comparison group exists, a baseline survey will be conducted, followed by a post-survey 12 months later. </w:t>
      </w:r>
      <w:r w:rsidR="0073033C">
        <w:t>A kick-off workshop w</w:t>
      </w:r>
      <w:r w:rsidR="0073033C">
        <w:rPr>
          <w:lang w:val="en-US"/>
        </w:rPr>
        <w:t>ill be</w:t>
      </w:r>
      <w:r w:rsidR="0073033C">
        <w:t xml:space="preserve"> done at each site to introduce the </w:t>
      </w:r>
      <w:r w:rsidR="00A02F8B">
        <w:rPr>
          <w:lang w:val="en-US"/>
        </w:rPr>
        <w:t>campaign and its materials</w:t>
      </w:r>
      <w:r w:rsidR="0073033C">
        <w:t>.</w:t>
      </w:r>
      <w:r w:rsidR="0073033C" w:rsidRPr="002C4006">
        <w:t xml:space="preserve"> </w:t>
      </w:r>
    </w:p>
    <w:p w:rsidR="000972A6" w:rsidRPr="00FF3A01" w:rsidRDefault="00042AC6" w:rsidP="002E2BE6">
      <w:pPr>
        <w:pStyle w:val="BodyText"/>
        <w:rPr>
          <w:i/>
        </w:rPr>
      </w:pPr>
      <w:r>
        <w:t xml:space="preserve">Campaign </w:t>
      </w:r>
      <w:r w:rsidR="00727544">
        <w:t xml:space="preserve">materials </w:t>
      </w:r>
      <w:r w:rsidR="002E2BE6">
        <w:t xml:space="preserve">were </w:t>
      </w:r>
      <w:r w:rsidR="000D630B">
        <w:rPr>
          <w:lang w:val="en-US"/>
        </w:rPr>
        <w:t xml:space="preserve">initially </w:t>
      </w:r>
      <w:r w:rsidR="002E2BE6">
        <w:t xml:space="preserve">reviewed and discussed by </w:t>
      </w:r>
      <w:r w:rsidR="00367D2C">
        <w:rPr>
          <w:lang w:val="en-US"/>
        </w:rPr>
        <w:t xml:space="preserve">a </w:t>
      </w:r>
      <w:r w:rsidR="00727544">
        <w:t>focus group</w:t>
      </w:r>
      <w:r w:rsidR="002E2BE6">
        <w:t xml:space="preserve"> rep</w:t>
      </w:r>
      <w:r w:rsidR="00367D2C">
        <w:t xml:space="preserve">resenting the target audience. </w:t>
      </w:r>
      <w:r w:rsidR="00367D2C">
        <w:rPr>
          <w:lang w:val="en-US"/>
        </w:rPr>
        <w:t>The f</w:t>
      </w:r>
      <w:proofErr w:type="spellStart"/>
      <w:r w:rsidR="00367D2C">
        <w:t>ocus</w:t>
      </w:r>
      <w:proofErr w:type="spellEnd"/>
      <w:r w:rsidR="00367D2C">
        <w:t xml:space="preserve"> group w</w:t>
      </w:r>
      <w:r w:rsidR="00367D2C">
        <w:rPr>
          <w:lang w:val="en-US"/>
        </w:rPr>
        <w:t>as</w:t>
      </w:r>
      <w:r w:rsidR="002E2BE6">
        <w:t xml:space="preserve"> approved under the </w:t>
      </w:r>
      <w:r w:rsidR="002E2BE6" w:rsidRPr="00F1568E">
        <w:t>0925-0653 - Generic Clearance for the Collection of Qualitative Feedback on Agency Service Delivery</w:t>
      </w:r>
      <w:r w:rsidR="002E2BE6">
        <w:t xml:space="preserve"> </w:t>
      </w:r>
      <w:r w:rsidR="002E2BE6" w:rsidRPr="00F1568E">
        <w:t>(NINR)</w:t>
      </w:r>
      <w:r w:rsidR="002E2BE6">
        <w:t>.</w:t>
      </w:r>
      <w:r w:rsidR="00367D2C">
        <w:rPr>
          <w:lang w:val="en-US"/>
        </w:rPr>
        <w:t xml:space="preserve"> </w:t>
      </w:r>
      <w:r w:rsidR="00AD6E78" w:rsidRPr="00FF3A01">
        <w:t xml:space="preserve">Focus </w:t>
      </w:r>
      <w:r w:rsidR="002E2BE6" w:rsidRPr="00FF3A01">
        <w:t>group</w:t>
      </w:r>
      <w:r w:rsidR="002E2BE6">
        <w:t xml:space="preserve"> members </w:t>
      </w:r>
      <w:r w:rsidR="00367D2C" w:rsidRPr="00FF3A01">
        <w:t>assessed the draft campaign materials</w:t>
      </w:r>
      <w:r w:rsidR="00367D2C">
        <w:t xml:space="preserve"> </w:t>
      </w:r>
      <w:r w:rsidR="00367D2C">
        <w:rPr>
          <w:lang w:val="en-US"/>
        </w:rPr>
        <w:t xml:space="preserve">and </w:t>
      </w:r>
      <w:r w:rsidR="002E2BE6">
        <w:t>included</w:t>
      </w:r>
      <w:r w:rsidR="009C5CD6" w:rsidRPr="00FF3A01">
        <w:t xml:space="preserve"> physicians, nurses, and social workers who spend some of their workday in a hospital consulting with children living with a serious illness or life-limiting condition and their families</w:t>
      </w:r>
      <w:r w:rsidR="00AD6E78" w:rsidRPr="00FF3A01">
        <w:t>. Thi</w:t>
      </w:r>
      <w:r w:rsidR="00F1568E">
        <w:t xml:space="preserve">s assessment was completed on June 21, </w:t>
      </w:r>
      <w:r w:rsidR="00AD6E78" w:rsidRPr="00FF3A01">
        <w:t>2012. The recommendations from the focus group centered o</w:t>
      </w:r>
      <w:r w:rsidR="00F1568E">
        <w:t xml:space="preserve">n selection of a campaign name, tagline, and logo and reactions </w:t>
      </w:r>
      <w:r w:rsidR="00F1568E">
        <w:lastRenderedPageBreak/>
        <w:t>to rough drafts of the campaign materials.</w:t>
      </w:r>
      <w:r w:rsidR="009C5CD6" w:rsidRPr="00FF3A01">
        <w:t xml:space="preserve"> Recommendations from the focus group </w:t>
      </w:r>
      <w:r w:rsidR="002E2BE6">
        <w:t>were</w:t>
      </w:r>
      <w:r w:rsidR="009C5CD6" w:rsidRPr="00FF3A01">
        <w:t xml:space="preserve"> incorporated into the materials</w:t>
      </w:r>
      <w:r w:rsidR="002E2BE6">
        <w:t>.</w:t>
      </w:r>
      <w:r w:rsidR="001D3187">
        <w:t xml:space="preserve"> </w:t>
      </w:r>
    </w:p>
    <w:p w:rsidR="00BC2DB3" w:rsidRPr="00A02F8B" w:rsidRDefault="0073033C" w:rsidP="00B774CF">
      <w:pPr>
        <w:pStyle w:val="BodyText"/>
        <w:rPr>
          <w:lang w:val="en-US"/>
        </w:rPr>
      </w:pPr>
      <w:r>
        <w:rPr>
          <w:lang w:val="en-US"/>
        </w:rPr>
        <w:t>T</w:t>
      </w:r>
      <w:proofErr w:type="spellStart"/>
      <w:r w:rsidR="00BC2DB3" w:rsidRPr="00FF3A01">
        <w:t>wo</w:t>
      </w:r>
      <w:proofErr w:type="spellEnd"/>
      <w:r w:rsidR="00BC2DB3" w:rsidRPr="00FF3A01">
        <w:t xml:space="preserve"> communications tools – </w:t>
      </w:r>
      <w:r w:rsidR="00996DFA">
        <w:rPr>
          <w:lang w:val="en-US"/>
        </w:rPr>
        <w:t xml:space="preserve">a </w:t>
      </w:r>
      <w:r w:rsidR="00BC2DB3" w:rsidRPr="00FF3A01">
        <w:t>tear-off pad and video modules –</w:t>
      </w:r>
      <w:r w:rsidR="002E2BE6">
        <w:t xml:space="preserve"> will be </w:t>
      </w:r>
      <w:r w:rsidR="00042AC6">
        <w:t xml:space="preserve">provided to </w:t>
      </w:r>
      <w:r w:rsidR="002E2BE6">
        <w:t>health care providers</w:t>
      </w:r>
      <w:r>
        <w:rPr>
          <w:lang w:val="en-US"/>
        </w:rPr>
        <w:t xml:space="preserve"> in up to ten select sites,</w:t>
      </w:r>
      <w:r w:rsidR="00AA61A2">
        <w:t xml:space="preserve"> </w:t>
      </w:r>
      <w:r w:rsidR="00042AC6">
        <w:t xml:space="preserve">to assist </w:t>
      </w:r>
      <w:r w:rsidR="00AA61A2">
        <w:t>with</w:t>
      </w:r>
      <w:r w:rsidR="00BC2DB3" w:rsidRPr="00FF3A01">
        <w:t xml:space="preserve"> </w:t>
      </w:r>
      <w:r w:rsidR="00AA61A2">
        <w:t xml:space="preserve">palliative care </w:t>
      </w:r>
      <w:r w:rsidR="00BC2DB3" w:rsidRPr="00FF3A01">
        <w:t>conversation</w:t>
      </w:r>
      <w:r w:rsidR="00AA61A2">
        <w:t>s</w:t>
      </w:r>
      <w:r w:rsidR="00BC2DB3" w:rsidRPr="00FF3A01">
        <w:t xml:space="preserve"> with pediatric patients </w:t>
      </w:r>
      <w:r w:rsidR="0048504F">
        <w:t>and</w:t>
      </w:r>
      <w:r w:rsidR="00BC2DB3" w:rsidRPr="00FF3A01">
        <w:t xml:space="preserve"> their family members.</w:t>
      </w:r>
      <w:r w:rsidR="00A02F8B">
        <w:rPr>
          <w:lang w:val="en-US"/>
        </w:rPr>
        <w:t xml:space="preserve"> The materials were piloted in two hospital systems starting in fall 2012. </w:t>
      </w:r>
      <w:r w:rsidR="00AA7915">
        <w:rPr>
          <w:lang w:val="en-US"/>
        </w:rPr>
        <w:t>S</w:t>
      </w:r>
      <w:r w:rsidR="00A02F8B">
        <w:rPr>
          <w:lang w:val="en-US"/>
        </w:rPr>
        <w:t>even h</w:t>
      </w:r>
      <w:r w:rsidR="00AA7915">
        <w:rPr>
          <w:lang w:val="en-US"/>
        </w:rPr>
        <w:t xml:space="preserve">ealth care providers gave </w:t>
      </w:r>
      <w:r w:rsidR="00A02F8B">
        <w:rPr>
          <w:lang w:val="en-US"/>
        </w:rPr>
        <w:t>feedback on the materials</w:t>
      </w:r>
      <w:r w:rsidR="00AA7915">
        <w:rPr>
          <w:lang w:val="en-US"/>
        </w:rPr>
        <w:t>. This</w:t>
      </w:r>
      <w:r w:rsidR="00A02F8B">
        <w:rPr>
          <w:lang w:val="en-US"/>
        </w:rPr>
        <w:t xml:space="preserve"> information was used to refine the campaign materials. </w:t>
      </w:r>
    </w:p>
    <w:p w:rsidR="00BC2DB3" w:rsidRPr="008D17F3" w:rsidRDefault="00BC2DB3" w:rsidP="00B774CF">
      <w:pPr>
        <w:pStyle w:val="BodyText"/>
        <w:rPr>
          <w:lang w:val="en-US"/>
        </w:rPr>
      </w:pPr>
      <w:r w:rsidRPr="00FF3A01">
        <w:t xml:space="preserve">The </w:t>
      </w:r>
      <w:r w:rsidRPr="00FF3A01">
        <w:rPr>
          <w:i/>
        </w:rPr>
        <w:t>tear-off pad</w:t>
      </w:r>
      <w:r w:rsidRPr="00FF3A01">
        <w:t xml:space="preserve"> </w:t>
      </w:r>
      <w:r w:rsidR="00170228">
        <w:rPr>
          <w:lang w:val="en-US"/>
        </w:rPr>
        <w:t xml:space="preserve">(see Attachment 4) </w:t>
      </w:r>
      <w:r w:rsidRPr="00FF3A01">
        <w:t>is a one page communications tool that includes static talking points that appear on the cardboard backing of a</w:t>
      </w:r>
      <w:r w:rsidR="00495B08">
        <w:t>n</w:t>
      </w:r>
      <w:r w:rsidR="00AA61A2">
        <w:t xml:space="preserve"> 8.5”x11”</w:t>
      </w:r>
      <w:r w:rsidRPr="00FF3A01">
        <w:t xml:space="preserve"> size note pad that </w:t>
      </w:r>
      <w:r w:rsidR="002E2BE6">
        <w:t>health care providers</w:t>
      </w:r>
      <w:r w:rsidRPr="00FF3A01">
        <w:t xml:space="preserve"> can reference when approaching a patient and/or a family member about palliative care. The worksheet component that “tears off” </w:t>
      </w:r>
      <w:r w:rsidR="00AA61A2">
        <w:t>is</w:t>
      </w:r>
      <w:r w:rsidRPr="00FF3A01">
        <w:t xml:space="preserve"> a customizable document that the provider can complete during</w:t>
      </w:r>
      <w:r w:rsidR="0088566C">
        <w:t xml:space="preserve"> a </w:t>
      </w:r>
      <w:r w:rsidRPr="00FF3A01">
        <w:t>conversation with the patient and/or family member and include</w:t>
      </w:r>
      <w:r w:rsidR="00AA61A2">
        <w:t>s</w:t>
      </w:r>
      <w:r w:rsidRPr="00FF3A01">
        <w:t xml:space="preserve"> static information about palliative care in lay terms as well as customizable fields that the provider can update with appropriate palliative care information about available services and/or treatment related to the patient’s needs. The back of the tear-off worksheet </w:t>
      </w:r>
      <w:r w:rsidR="00AA61A2">
        <w:t>is</w:t>
      </w:r>
      <w:r w:rsidRPr="00FF3A01">
        <w:t xml:space="preserve"> a form that patients or families can use to track or log important information related to treatment and care, which can be used to help facilitate subsequent palliative care-focused conversations. </w:t>
      </w:r>
      <w:r w:rsidR="008D17F3">
        <w:rPr>
          <w:lang w:val="en-US"/>
        </w:rPr>
        <w:t>The tear-off pad is available in English and Spanish.</w:t>
      </w:r>
    </w:p>
    <w:p w:rsidR="00244AA2" w:rsidRPr="00FF3A01" w:rsidRDefault="00BC2DB3" w:rsidP="00B774CF">
      <w:pPr>
        <w:pStyle w:val="BodyText"/>
      </w:pPr>
      <w:r w:rsidRPr="00FF3A01">
        <w:t xml:space="preserve">The </w:t>
      </w:r>
      <w:r w:rsidRPr="00FF3A01">
        <w:rPr>
          <w:i/>
        </w:rPr>
        <w:t>video modules</w:t>
      </w:r>
      <w:r w:rsidRPr="00FF3A01">
        <w:t xml:space="preserve"> </w:t>
      </w:r>
      <w:r w:rsidR="00AA61A2">
        <w:t>are</w:t>
      </w:r>
      <w:r w:rsidRPr="00FF3A01">
        <w:t xml:space="preserve"> a series of</w:t>
      </w:r>
      <w:r w:rsidR="001D3187">
        <w:t xml:space="preserve"> three</w:t>
      </w:r>
      <w:r w:rsidRPr="00FF3A01">
        <w:t xml:space="preserve"> vignettes that </w:t>
      </w:r>
      <w:r w:rsidR="00244AA2" w:rsidRPr="00FF3A01">
        <w:t xml:space="preserve">focus on a range of topics related to starting and managing a </w:t>
      </w:r>
      <w:r w:rsidR="0088566C">
        <w:t xml:space="preserve">palliative care </w:t>
      </w:r>
      <w:r w:rsidR="00244AA2" w:rsidRPr="00FF3A01">
        <w:t>conversation between a provider, pediatric patient, and his/h</w:t>
      </w:r>
      <w:r w:rsidR="0088566C">
        <w:t>er family</w:t>
      </w:r>
      <w:r w:rsidR="00244AA2" w:rsidRPr="00FF3A01">
        <w:t xml:space="preserve">. </w:t>
      </w:r>
      <w:r w:rsidR="00170228">
        <w:rPr>
          <w:lang w:val="en-US"/>
        </w:rPr>
        <w:t>The m</w:t>
      </w:r>
      <w:proofErr w:type="spellStart"/>
      <w:r w:rsidR="00244AA2" w:rsidRPr="00FF3A01">
        <w:t>odules</w:t>
      </w:r>
      <w:proofErr w:type="spellEnd"/>
      <w:r w:rsidR="00170228">
        <w:rPr>
          <w:lang w:val="en-US"/>
        </w:rPr>
        <w:t>, which are directed towards the health care provider audience,</w:t>
      </w:r>
      <w:r w:rsidR="00244AA2" w:rsidRPr="00FF3A01">
        <w:t xml:space="preserve"> convey the benefits of palliative care and provide </w:t>
      </w:r>
      <w:r w:rsidR="005A35FA">
        <w:t>tips</w:t>
      </w:r>
      <w:r w:rsidR="00244AA2" w:rsidRPr="00FF3A01">
        <w:t xml:space="preserve"> that providers can incorporat</w:t>
      </w:r>
      <w:r w:rsidR="005A35FA">
        <w:t>e</w:t>
      </w:r>
      <w:r w:rsidR="00244AA2" w:rsidRPr="00FF3A01">
        <w:t xml:space="preserve"> into practice.</w:t>
      </w:r>
    </w:p>
    <w:p w:rsidR="00D763AE" w:rsidRPr="00534E51" w:rsidRDefault="00D763AE" w:rsidP="00D763AE">
      <w:pPr>
        <w:pStyle w:val="BodyText"/>
      </w:pPr>
      <w:r w:rsidRPr="00534E51">
        <w:t xml:space="preserve">In accordance with the Paperwork Reduction Act of 1995 (44 U.S.C. 3501 et seq.), NINR is requesting clearance from the Office of Management and Budget (OMB) to conduct a data collection procedure </w:t>
      </w:r>
      <w:r w:rsidR="00996DFA">
        <w:rPr>
          <w:lang w:val="en-US"/>
        </w:rPr>
        <w:t xml:space="preserve">for </w:t>
      </w:r>
      <w:r>
        <w:t xml:space="preserve">the </w:t>
      </w:r>
      <w:r w:rsidR="00AA791D">
        <w:rPr>
          <w:i/>
          <w:lang w:val="en-US"/>
        </w:rPr>
        <w:t xml:space="preserve">Palliative Care: Conversations Matter </w:t>
      </w:r>
      <w:r>
        <w:t xml:space="preserve">Campaign. </w:t>
      </w:r>
      <w:r w:rsidRPr="00534E51">
        <w:t>Specifically, clearance is requested for</w:t>
      </w:r>
      <w:r w:rsidR="00617287">
        <w:rPr>
          <w:lang w:val="en-US"/>
        </w:rPr>
        <w:t xml:space="preserve"> two 15</w:t>
      </w:r>
      <w:r w:rsidR="00AA791D">
        <w:rPr>
          <w:lang w:val="en-US"/>
        </w:rPr>
        <w:t>-20 item web-based surveys</w:t>
      </w:r>
      <w:r>
        <w:t xml:space="preserve"> of </w:t>
      </w:r>
      <w:r w:rsidR="001D3187">
        <w:t>health care providers</w:t>
      </w:r>
      <w:r>
        <w:t xml:space="preserve"> to be administered </w:t>
      </w:r>
      <w:r w:rsidR="000D630B">
        <w:rPr>
          <w:lang w:val="en-US"/>
        </w:rPr>
        <w:t xml:space="preserve">at </w:t>
      </w:r>
      <w:r w:rsidR="00AA791D">
        <w:rPr>
          <w:lang w:val="en-US"/>
        </w:rPr>
        <w:t>two</w:t>
      </w:r>
      <w:r w:rsidR="001D3187">
        <w:t xml:space="preserve"> </w:t>
      </w:r>
      <w:r w:rsidR="000D630B">
        <w:rPr>
          <w:lang w:val="en-US"/>
        </w:rPr>
        <w:t xml:space="preserve">different </w:t>
      </w:r>
      <w:r w:rsidR="001D3187">
        <w:t>time</w:t>
      </w:r>
      <w:r w:rsidR="00617287">
        <w:rPr>
          <w:lang w:val="en-US"/>
        </w:rPr>
        <w:t xml:space="preserve"> points – baseline (15</w:t>
      </w:r>
      <w:r w:rsidR="000D630B">
        <w:rPr>
          <w:lang w:val="en-US"/>
        </w:rPr>
        <w:t xml:space="preserve"> items) and post (20 items)</w:t>
      </w:r>
      <w:r>
        <w:t xml:space="preserve">. </w:t>
      </w:r>
    </w:p>
    <w:p w:rsidR="009D6838" w:rsidRPr="00FF3A01" w:rsidRDefault="009D6838" w:rsidP="00B774CF">
      <w:pPr>
        <w:pStyle w:val="BodyText"/>
        <w:rPr>
          <w:b/>
        </w:rPr>
      </w:pPr>
    </w:p>
    <w:p w:rsidR="00570268" w:rsidRPr="00237058" w:rsidRDefault="00C4216D" w:rsidP="00B774CF">
      <w:pPr>
        <w:pStyle w:val="BodyText"/>
        <w:rPr>
          <w:b/>
        </w:rPr>
      </w:pPr>
      <w:bookmarkStart w:id="0" w:name="_Toc443881743"/>
      <w:bookmarkStart w:id="1" w:name="_Toc451592232"/>
      <w:bookmarkStart w:id="2" w:name="_Toc5610273"/>
      <w:bookmarkStart w:id="3" w:name="_Toc99178779"/>
      <w:r w:rsidRPr="00237058">
        <w:rPr>
          <w:b/>
        </w:rPr>
        <w:t>A.2    Purpose and Use of the Information</w:t>
      </w:r>
      <w:bookmarkEnd w:id="0"/>
      <w:bookmarkEnd w:id="1"/>
      <w:bookmarkEnd w:id="2"/>
      <w:bookmarkEnd w:id="3"/>
      <w:r w:rsidRPr="00237058">
        <w:rPr>
          <w:b/>
        </w:rPr>
        <w:t xml:space="preserve"> Collection</w:t>
      </w:r>
    </w:p>
    <w:p w:rsidR="00DD25F9" w:rsidRPr="00237058" w:rsidRDefault="00DD25F9" w:rsidP="00B774CF">
      <w:pPr>
        <w:pStyle w:val="BodyText"/>
      </w:pPr>
    </w:p>
    <w:p w:rsidR="00DE3CBA" w:rsidRPr="00237058" w:rsidRDefault="00D763AE" w:rsidP="00B774CF">
      <w:pPr>
        <w:pStyle w:val="BodyText"/>
      </w:pPr>
      <w:r w:rsidRPr="00237058">
        <w:t xml:space="preserve">The purpose of the </w:t>
      </w:r>
      <w:r w:rsidR="00106848" w:rsidRPr="00CB6435">
        <w:rPr>
          <w:i/>
          <w:lang w:val="en-US"/>
        </w:rPr>
        <w:t>Palliative Care: Conversations Matter</w:t>
      </w:r>
      <w:r w:rsidR="00106848">
        <w:rPr>
          <w:lang w:val="en-US"/>
        </w:rPr>
        <w:t xml:space="preserve"> </w:t>
      </w:r>
      <w:r w:rsidR="00851A88">
        <w:rPr>
          <w:lang w:val="en-US"/>
        </w:rPr>
        <w:t>Evaluation</w:t>
      </w:r>
      <w:r w:rsidR="00642596" w:rsidRPr="00237058">
        <w:t xml:space="preserve"> </w:t>
      </w:r>
      <w:r w:rsidRPr="00237058">
        <w:t>is to</w:t>
      </w:r>
      <w:r w:rsidR="00DE3CBA" w:rsidRPr="00237058">
        <w:t xml:space="preserve"> collect feedback from </w:t>
      </w:r>
      <w:r w:rsidRPr="00237058">
        <w:t xml:space="preserve">health </w:t>
      </w:r>
      <w:r w:rsidR="002E2BE6" w:rsidRPr="00237058">
        <w:t>care providers</w:t>
      </w:r>
      <w:r w:rsidR="00DE3CBA" w:rsidRPr="00237058">
        <w:t xml:space="preserve"> </w:t>
      </w:r>
      <w:r w:rsidR="005A35FA" w:rsidRPr="00237058">
        <w:t xml:space="preserve">to </w:t>
      </w:r>
      <w:r w:rsidR="00FA652C" w:rsidRPr="00237058">
        <w:t>ensur</w:t>
      </w:r>
      <w:r w:rsidR="00FA652C" w:rsidRPr="00B73E97">
        <w:t xml:space="preserve">e that the </w:t>
      </w:r>
      <w:r w:rsidR="00106848" w:rsidRPr="00B73E97">
        <w:rPr>
          <w:lang w:val="en-US"/>
        </w:rPr>
        <w:t xml:space="preserve">campaign </w:t>
      </w:r>
      <w:r w:rsidR="00FA652C" w:rsidRPr="00B73E97">
        <w:t xml:space="preserve">is effective, relevant, and useful to target </w:t>
      </w:r>
      <w:r w:rsidRPr="00B73E97">
        <w:t>health care providers</w:t>
      </w:r>
      <w:r w:rsidR="00DE3CBA" w:rsidRPr="00B73E97">
        <w:t xml:space="preserve">. Data collected </w:t>
      </w:r>
      <w:r w:rsidR="000D630B" w:rsidRPr="00B73E97">
        <w:rPr>
          <w:lang w:val="en-US"/>
        </w:rPr>
        <w:t xml:space="preserve">is intended to </w:t>
      </w:r>
      <w:r w:rsidRPr="00B73E97">
        <w:t xml:space="preserve">indicate </w:t>
      </w:r>
      <w:r w:rsidR="000D630B" w:rsidRPr="00B73E97">
        <w:rPr>
          <w:lang w:val="en-US"/>
        </w:rPr>
        <w:t>how</w:t>
      </w:r>
      <w:r w:rsidR="00D64421" w:rsidRPr="00B73E97">
        <w:t xml:space="preserve"> </w:t>
      </w:r>
      <w:r w:rsidR="00DE3CBA" w:rsidRPr="00B73E97">
        <w:t xml:space="preserve">effective the campaign </w:t>
      </w:r>
      <w:r w:rsidR="00642596">
        <w:rPr>
          <w:lang w:val="en-US"/>
        </w:rPr>
        <w:t>is</w:t>
      </w:r>
      <w:r w:rsidR="000D630B" w:rsidRPr="00B73E97">
        <w:rPr>
          <w:lang w:val="en-US"/>
        </w:rPr>
        <w:t xml:space="preserve"> </w:t>
      </w:r>
      <w:r w:rsidR="00DE3CBA" w:rsidRPr="00B73E97">
        <w:t xml:space="preserve">in </w:t>
      </w:r>
      <w:r w:rsidR="001913C9" w:rsidRPr="00B73E97">
        <w:t xml:space="preserve">initiating </w:t>
      </w:r>
      <w:r w:rsidR="00546BD7" w:rsidRPr="00B73E97">
        <w:t xml:space="preserve">and continuing </w:t>
      </w:r>
      <w:r w:rsidR="00D64421" w:rsidRPr="00B73E97">
        <w:t>a palliative care</w:t>
      </w:r>
      <w:r w:rsidR="00DE3CBA" w:rsidRPr="00B73E97">
        <w:t xml:space="preserve"> </w:t>
      </w:r>
      <w:r w:rsidR="00546BD7" w:rsidRPr="00B73E97">
        <w:t xml:space="preserve">conversation </w:t>
      </w:r>
      <w:r w:rsidR="00DE3CBA" w:rsidRPr="00B73E97">
        <w:t>and addressing the co</w:t>
      </w:r>
      <w:r w:rsidR="00367D2C" w:rsidRPr="00B73E97">
        <w:t>mmunication</w:t>
      </w:r>
      <w:r w:rsidR="00441244" w:rsidRPr="00B73E97">
        <w:t xml:space="preserve"> needs of providers</w:t>
      </w:r>
      <w:r w:rsidR="00DE3CBA" w:rsidRPr="00B73E97">
        <w:t>.</w:t>
      </w:r>
      <w:r w:rsidR="00DE3CBA" w:rsidRPr="00237058">
        <w:t xml:space="preserve"> </w:t>
      </w:r>
    </w:p>
    <w:p w:rsidR="009C5CD6" w:rsidRPr="00237058" w:rsidRDefault="009C5CD6" w:rsidP="00B774CF">
      <w:pPr>
        <w:pStyle w:val="BodyText"/>
      </w:pPr>
      <w:r w:rsidRPr="00237058">
        <w:t xml:space="preserve">Information obtained through this assessment </w:t>
      </w:r>
      <w:r w:rsidR="00DE3CBA" w:rsidRPr="00237058">
        <w:t xml:space="preserve">will </w:t>
      </w:r>
      <w:r w:rsidR="00AD12C4" w:rsidRPr="00237058">
        <w:t xml:space="preserve">provide </w:t>
      </w:r>
      <w:r w:rsidR="00DE3CBA" w:rsidRPr="00237058">
        <w:t>strategic guidance for</w:t>
      </w:r>
      <w:r w:rsidR="00106848">
        <w:rPr>
          <w:lang w:val="en-US"/>
        </w:rPr>
        <w:t xml:space="preserve"> future</w:t>
      </w:r>
      <w:r w:rsidR="00DE3CBA" w:rsidRPr="00237058">
        <w:t xml:space="preserve"> campaign</w:t>
      </w:r>
      <w:r w:rsidR="00394621" w:rsidRPr="00237058">
        <w:t xml:space="preserve"> </w:t>
      </w:r>
      <w:r w:rsidR="00106848">
        <w:rPr>
          <w:lang w:val="en-US"/>
        </w:rPr>
        <w:t>efforts</w:t>
      </w:r>
      <w:r w:rsidR="00DE3CBA" w:rsidRPr="00237058">
        <w:t xml:space="preserve">. </w:t>
      </w:r>
      <w:r w:rsidR="00537FF6" w:rsidRPr="00237058">
        <w:t>Without this information</w:t>
      </w:r>
      <w:r w:rsidR="00106848">
        <w:rPr>
          <w:lang w:val="en-US"/>
        </w:rPr>
        <w:t>,</w:t>
      </w:r>
      <w:r w:rsidR="00537FF6" w:rsidRPr="00237058">
        <w:t xml:space="preserve"> NINR risks the possibility of inefficiently and ineffectively expanding the campaign</w:t>
      </w:r>
      <w:r w:rsidR="000D630B">
        <w:rPr>
          <w:lang w:val="en-US"/>
        </w:rPr>
        <w:t xml:space="preserve"> </w:t>
      </w:r>
      <w:r w:rsidR="00106848">
        <w:rPr>
          <w:lang w:val="en-US"/>
        </w:rPr>
        <w:t>in the future</w:t>
      </w:r>
      <w:r w:rsidR="00537FF6" w:rsidRPr="00237058">
        <w:t>.</w:t>
      </w:r>
    </w:p>
    <w:p w:rsidR="00170228" w:rsidRPr="00237058" w:rsidRDefault="00170228" w:rsidP="00B774CF">
      <w:pPr>
        <w:pStyle w:val="BodyText"/>
        <w:rPr>
          <w:lang w:val="en-US"/>
        </w:rPr>
      </w:pPr>
    </w:p>
    <w:p w:rsidR="00537FF6" w:rsidRPr="00237058" w:rsidRDefault="00537FF6" w:rsidP="00B774CF">
      <w:pPr>
        <w:pStyle w:val="BodyText"/>
      </w:pPr>
      <w:r w:rsidRPr="00237058">
        <w:t>This data collection is designed to answer the following questions:</w:t>
      </w:r>
      <w:r w:rsidRPr="00237058">
        <w:tab/>
      </w:r>
    </w:p>
    <w:p w:rsidR="00537FF6" w:rsidRPr="00237058" w:rsidRDefault="00537FF6" w:rsidP="00537FF6">
      <w:pPr>
        <w:numPr>
          <w:ilvl w:val="0"/>
          <w:numId w:val="4"/>
        </w:numPr>
      </w:pPr>
      <w:r w:rsidRPr="00237058">
        <w:t>Has the campaign (including its</w:t>
      </w:r>
      <w:r w:rsidR="00180E62" w:rsidRPr="00237058">
        <w:t xml:space="preserve"> messages and materials</w:t>
      </w:r>
      <w:r w:rsidRPr="00237058">
        <w:t>) been effective in shift</w:t>
      </w:r>
      <w:r w:rsidR="0016225F" w:rsidRPr="00237058">
        <w:t>ing attitudes, perceptions, and</w:t>
      </w:r>
      <w:r w:rsidRPr="00237058">
        <w:t xml:space="preserve"> behaviors related to </w:t>
      </w:r>
      <w:r w:rsidR="00AD12C4" w:rsidRPr="00237058">
        <w:t xml:space="preserve">pediatric palliative care </w:t>
      </w:r>
      <w:r w:rsidRPr="00237058">
        <w:t>practices?</w:t>
      </w:r>
    </w:p>
    <w:p w:rsidR="00537FF6" w:rsidRPr="00237058" w:rsidRDefault="00537FF6" w:rsidP="00537FF6">
      <w:pPr>
        <w:numPr>
          <w:ilvl w:val="0"/>
          <w:numId w:val="4"/>
        </w:numPr>
      </w:pPr>
      <w:r w:rsidRPr="00237058">
        <w:t xml:space="preserve">Were the materials useful in </w:t>
      </w:r>
      <w:r w:rsidR="001913C9" w:rsidRPr="00237058">
        <w:t xml:space="preserve">initiating </w:t>
      </w:r>
      <w:r w:rsidRPr="00237058">
        <w:t>and guiding a conversation</w:t>
      </w:r>
      <w:r w:rsidR="001913C9" w:rsidRPr="00237058">
        <w:t xml:space="preserve"> about</w:t>
      </w:r>
      <w:r w:rsidRPr="00237058">
        <w:t xml:space="preserve"> </w:t>
      </w:r>
      <w:r w:rsidR="00AD12C4" w:rsidRPr="00237058">
        <w:t>pediatric palliative care</w:t>
      </w:r>
      <w:r w:rsidRPr="00237058">
        <w:t>?</w:t>
      </w:r>
    </w:p>
    <w:p w:rsidR="000D630B" w:rsidRPr="00237058" w:rsidRDefault="000D630B" w:rsidP="00537FF6">
      <w:pPr>
        <w:numPr>
          <w:ilvl w:val="0"/>
          <w:numId w:val="4"/>
        </w:numPr>
      </w:pPr>
      <w:r>
        <w:t>What types of additional communications materials would be helpful for NINR to develop?</w:t>
      </w:r>
    </w:p>
    <w:p w:rsidR="00180E62" w:rsidRPr="00237058" w:rsidRDefault="00180E62" w:rsidP="00180E62">
      <w:pPr>
        <w:ind w:left="720"/>
      </w:pPr>
    </w:p>
    <w:p w:rsidR="002C098D" w:rsidRPr="000D630B" w:rsidRDefault="000D630B" w:rsidP="00AD12C4">
      <w:pPr>
        <w:pStyle w:val="BodyText"/>
        <w:rPr>
          <w:lang w:val="en-US"/>
        </w:rPr>
      </w:pPr>
      <w:r>
        <w:rPr>
          <w:lang w:val="en-US"/>
        </w:rPr>
        <w:t>NINR will invite up to 10 hospitals to utilize the materials and provide their feedback through the evaluation surveys</w:t>
      </w:r>
      <w:r w:rsidR="00570268" w:rsidRPr="00237058">
        <w:t xml:space="preserve">. </w:t>
      </w:r>
      <w:r>
        <w:rPr>
          <w:lang w:val="en-US"/>
        </w:rPr>
        <w:t>Selected site</w:t>
      </w:r>
      <w:r w:rsidR="00996DFA">
        <w:rPr>
          <w:lang w:val="en-US"/>
        </w:rPr>
        <w:t>s</w:t>
      </w:r>
      <w:r>
        <w:rPr>
          <w:lang w:val="en-US"/>
        </w:rPr>
        <w:t xml:space="preserve"> will </w:t>
      </w:r>
      <w:r w:rsidR="00570268" w:rsidRPr="00237058">
        <w:t xml:space="preserve">have </w:t>
      </w:r>
      <w:r w:rsidR="00AD12C4" w:rsidRPr="00237058">
        <w:t>neonatal intensive care units</w:t>
      </w:r>
      <w:r w:rsidR="00570268" w:rsidRPr="00237058">
        <w:t xml:space="preserve"> and</w:t>
      </w:r>
      <w:r w:rsidR="00036EA6" w:rsidRPr="00237058">
        <w:t>/or</w:t>
      </w:r>
      <w:r w:rsidR="00570268" w:rsidRPr="00237058">
        <w:t xml:space="preserve"> </w:t>
      </w:r>
      <w:r w:rsidR="00AD12C4" w:rsidRPr="00237058">
        <w:t xml:space="preserve">pediatric intensive care units </w:t>
      </w:r>
      <w:r w:rsidR="00570268" w:rsidRPr="00237058">
        <w:t>that</w:t>
      </w:r>
      <w:r w:rsidR="004D538C" w:rsidRPr="00237058">
        <w:t xml:space="preserve"> serve the targe</w:t>
      </w:r>
      <w:r w:rsidR="00367D2C" w:rsidRPr="00237058">
        <w:t>t populations of interest to</w:t>
      </w:r>
      <w:r w:rsidR="004D538C" w:rsidRPr="00237058">
        <w:t xml:space="preserve"> </w:t>
      </w:r>
      <w:r w:rsidR="000F4A9E" w:rsidRPr="00237058">
        <w:t>NINR</w:t>
      </w:r>
      <w:r w:rsidR="004D538C" w:rsidRPr="00237058">
        <w:t xml:space="preserve">. Sites </w:t>
      </w:r>
      <w:r>
        <w:rPr>
          <w:lang w:val="en-US"/>
        </w:rPr>
        <w:t xml:space="preserve">will </w:t>
      </w:r>
      <w:r w:rsidR="004D538C" w:rsidRPr="00237058">
        <w:t>have the capability and willingness to be an active</w:t>
      </w:r>
      <w:r w:rsidR="00441244" w:rsidRPr="00237058">
        <w:t xml:space="preserve"> collaborator</w:t>
      </w:r>
      <w:r w:rsidR="004D538C" w:rsidRPr="00237058">
        <w:t xml:space="preserve"> in the assessment activities. </w:t>
      </w:r>
    </w:p>
    <w:p w:rsidR="00E50EAF" w:rsidRPr="00237058" w:rsidRDefault="00A45668" w:rsidP="00AD12C4">
      <w:pPr>
        <w:pStyle w:val="BodyText"/>
      </w:pPr>
      <w:r w:rsidRPr="00237058">
        <w:t xml:space="preserve">At </w:t>
      </w:r>
      <w:r w:rsidR="00106848">
        <w:rPr>
          <w:lang w:val="en-US"/>
        </w:rPr>
        <w:t>each hospital</w:t>
      </w:r>
      <w:r w:rsidRPr="00237058">
        <w:t xml:space="preserve">, data will be collected </w:t>
      </w:r>
      <w:r w:rsidR="00106848">
        <w:rPr>
          <w:lang w:val="en-US"/>
        </w:rPr>
        <w:t xml:space="preserve">twice - </w:t>
      </w:r>
      <w:r w:rsidR="00441244" w:rsidRPr="00237058">
        <w:t>one time</w:t>
      </w:r>
      <w:r w:rsidRPr="00237058">
        <w:t xml:space="preserve"> </w:t>
      </w:r>
      <w:r w:rsidR="00106848">
        <w:rPr>
          <w:lang w:val="en-US"/>
        </w:rPr>
        <w:t xml:space="preserve">at baseline and one time </w:t>
      </w:r>
      <w:r w:rsidR="00AD12C4" w:rsidRPr="00237058">
        <w:t>in a</w:t>
      </w:r>
      <w:r w:rsidR="000A4298" w:rsidRPr="00237058">
        <w:t xml:space="preserve"> post-</w:t>
      </w:r>
      <w:r w:rsidR="00437B67" w:rsidRPr="00237058">
        <w:t>survey</w:t>
      </w:r>
      <w:r w:rsidR="000A4298" w:rsidRPr="00237058">
        <w:t xml:space="preserve">. </w:t>
      </w:r>
      <w:r w:rsidR="00E50EAF" w:rsidRPr="00237058">
        <w:t>The survey</w:t>
      </w:r>
      <w:r w:rsidR="00106848">
        <w:rPr>
          <w:lang w:val="en-US"/>
        </w:rPr>
        <w:t>s</w:t>
      </w:r>
      <w:r w:rsidR="000A4298" w:rsidRPr="00237058">
        <w:t xml:space="preserve"> will be v</w:t>
      </w:r>
      <w:r w:rsidRPr="00237058">
        <w:t xml:space="preserve">oluntary </w:t>
      </w:r>
      <w:r w:rsidR="000A4298" w:rsidRPr="00237058">
        <w:t xml:space="preserve">and </w:t>
      </w:r>
      <w:r w:rsidRPr="00237058">
        <w:t>will be conducted online</w:t>
      </w:r>
      <w:r w:rsidR="00C57427" w:rsidRPr="00237058">
        <w:t>.</w:t>
      </w:r>
      <w:r w:rsidR="00C57427" w:rsidRPr="00237058" w:rsidDel="00C57427">
        <w:t xml:space="preserve"> </w:t>
      </w:r>
    </w:p>
    <w:p w:rsidR="00A45668" w:rsidRPr="00237058" w:rsidRDefault="002E2BE6" w:rsidP="00AD12C4">
      <w:pPr>
        <w:pStyle w:val="BodyText"/>
      </w:pPr>
      <w:r w:rsidRPr="00237058">
        <w:t>Health care providers</w:t>
      </w:r>
      <w:r w:rsidR="00131C04" w:rsidRPr="00237058">
        <w:t>, including physicians and nurses,</w:t>
      </w:r>
      <w:r w:rsidR="00A45668" w:rsidRPr="00237058">
        <w:t xml:space="preserve"> at the participating sites will be asked to </w:t>
      </w:r>
      <w:r w:rsidR="00437B67" w:rsidRPr="00237058">
        <w:t>complete</w:t>
      </w:r>
      <w:r w:rsidR="00E50EAF" w:rsidRPr="00237058">
        <w:t xml:space="preserve"> the</w:t>
      </w:r>
      <w:r w:rsidR="00A45668" w:rsidRPr="00237058">
        <w:t xml:space="preserve"> assessment</w:t>
      </w:r>
      <w:r w:rsidR="00E50EAF" w:rsidRPr="00237058">
        <w:t xml:space="preserve"> survey</w:t>
      </w:r>
      <w:r w:rsidR="00106848">
        <w:rPr>
          <w:lang w:val="en-US"/>
        </w:rPr>
        <w:t>s</w:t>
      </w:r>
      <w:r w:rsidR="00EB1F3C" w:rsidRPr="00237058">
        <w:t xml:space="preserve">. </w:t>
      </w:r>
      <w:r w:rsidR="00E50EAF" w:rsidRPr="00237058">
        <w:t>The survey</w:t>
      </w:r>
      <w:r w:rsidR="00106848">
        <w:rPr>
          <w:lang w:val="en-US"/>
        </w:rPr>
        <w:t>s</w:t>
      </w:r>
      <w:r w:rsidR="00A45668" w:rsidRPr="00237058">
        <w:t xml:space="preserve"> (</w:t>
      </w:r>
      <w:r w:rsidR="00E50EAF" w:rsidRPr="00237058">
        <w:t>see Attachment</w:t>
      </w:r>
      <w:r w:rsidR="00AF28B5" w:rsidRPr="00237058">
        <w:rPr>
          <w:lang w:val="en-US"/>
        </w:rPr>
        <w:t>s</w:t>
      </w:r>
      <w:r w:rsidR="00E50EAF" w:rsidRPr="00237058">
        <w:t xml:space="preserve"> 1</w:t>
      </w:r>
      <w:r w:rsidR="00367D2C" w:rsidRPr="00237058">
        <w:rPr>
          <w:lang w:val="en-US"/>
        </w:rPr>
        <w:t xml:space="preserve"> and 2</w:t>
      </w:r>
      <w:r w:rsidR="00A45668" w:rsidRPr="00237058">
        <w:t xml:space="preserve">) take approximately </w:t>
      </w:r>
      <w:r w:rsidR="00106848">
        <w:rPr>
          <w:lang w:val="en-US"/>
        </w:rPr>
        <w:t>2</w:t>
      </w:r>
      <w:r w:rsidR="000F4A9E" w:rsidRPr="00237058">
        <w:t>0</w:t>
      </w:r>
      <w:r w:rsidR="00A45668" w:rsidRPr="00237058">
        <w:t xml:space="preserve"> </w:t>
      </w:r>
      <w:r w:rsidR="00C72B85" w:rsidRPr="00237058">
        <w:t xml:space="preserve">minutes </w:t>
      </w:r>
      <w:r w:rsidR="000D630B">
        <w:rPr>
          <w:lang w:val="en-US"/>
        </w:rPr>
        <w:t xml:space="preserve">each </w:t>
      </w:r>
      <w:r w:rsidR="00A45668" w:rsidRPr="00237058">
        <w:t>to complete</w:t>
      </w:r>
      <w:r w:rsidR="00344672" w:rsidRPr="00237058">
        <w:t xml:space="preserve"> and contain </w:t>
      </w:r>
      <w:r w:rsidR="00617287">
        <w:rPr>
          <w:lang w:val="en-US"/>
        </w:rPr>
        <w:t>15</w:t>
      </w:r>
      <w:r w:rsidR="000D630B">
        <w:rPr>
          <w:lang w:val="en-US"/>
        </w:rPr>
        <w:t xml:space="preserve"> and 20</w:t>
      </w:r>
      <w:r w:rsidR="009C5CD6" w:rsidRPr="00237058">
        <w:t xml:space="preserve"> </w:t>
      </w:r>
      <w:r w:rsidR="00E50EAF" w:rsidRPr="00237058">
        <w:t>questions</w:t>
      </w:r>
      <w:r w:rsidR="00106848">
        <w:rPr>
          <w:lang w:val="en-US"/>
        </w:rPr>
        <w:t>, respectively</w:t>
      </w:r>
      <w:r w:rsidR="00EB1F3C" w:rsidRPr="00237058">
        <w:t xml:space="preserve">. </w:t>
      </w:r>
      <w:r w:rsidR="00A45668" w:rsidRPr="00237058">
        <w:t>The survey</w:t>
      </w:r>
      <w:r w:rsidR="00106848">
        <w:rPr>
          <w:lang w:val="en-US"/>
        </w:rPr>
        <w:t>s</w:t>
      </w:r>
      <w:r w:rsidR="00E50EAF" w:rsidRPr="00237058">
        <w:t xml:space="preserve"> </w:t>
      </w:r>
      <w:r w:rsidR="00A45668" w:rsidRPr="00237058">
        <w:t>include the following components.</w:t>
      </w:r>
    </w:p>
    <w:p w:rsidR="00CC13AC" w:rsidRPr="00237058" w:rsidRDefault="00CC13AC" w:rsidP="00053ACA">
      <w:pPr>
        <w:pStyle w:val="ListParagraph"/>
        <w:spacing w:after="0" w:line="240" w:lineRule="auto"/>
        <w:ind w:left="0"/>
        <w:rPr>
          <w:rFonts w:ascii="Times New Roman" w:hAnsi="Times New Roman" w:cs="Times New Roman"/>
          <w:bCs/>
          <w:sz w:val="24"/>
          <w:szCs w:val="24"/>
          <w:lang w:val="en-GB"/>
        </w:rPr>
      </w:pPr>
    </w:p>
    <w:p w:rsidR="00A43D1B" w:rsidRPr="00237058" w:rsidRDefault="001950A4" w:rsidP="00FA652C">
      <w:pPr>
        <w:pStyle w:val="ListParagraph"/>
        <w:numPr>
          <w:ilvl w:val="1"/>
          <w:numId w:val="13"/>
        </w:numPr>
        <w:spacing w:after="0" w:line="240" w:lineRule="auto"/>
        <w:rPr>
          <w:rFonts w:ascii="Times New Roman" w:hAnsi="Times New Roman" w:cs="Times New Roman"/>
          <w:sz w:val="24"/>
          <w:szCs w:val="24"/>
        </w:rPr>
      </w:pPr>
      <w:r w:rsidRPr="00237058">
        <w:rPr>
          <w:rFonts w:ascii="Times New Roman" w:hAnsi="Times New Roman" w:cs="Times New Roman"/>
          <w:bCs/>
          <w:sz w:val="24"/>
          <w:szCs w:val="24"/>
          <w:lang w:val="en-GB"/>
        </w:rPr>
        <w:t>PERCEPTIONS OF PEDIATRIC PALLIATIVE CARE</w:t>
      </w:r>
      <w:r w:rsidR="00325D9C" w:rsidRPr="00237058">
        <w:rPr>
          <w:rFonts w:ascii="Times New Roman" w:hAnsi="Times New Roman" w:cs="Times New Roman"/>
          <w:bCs/>
          <w:sz w:val="24"/>
          <w:szCs w:val="24"/>
          <w:lang w:val="en-GB"/>
        </w:rPr>
        <w:t xml:space="preserve"> </w:t>
      </w:r>
      <w:r w:rsidR="00C57427" w:rsidRPr="00237058">
        <w:rPr>
          <w:rFonts w:ascii="Times New Roman" w:hAnsi="Times New Roman" w:cs="Times New Roman"/>
          <w:bCs/>
          <w:sz w:val="24"/>
          <w:szCs w:val="24"/>
          <w:lang w:val="en-GB"/>
        </w:rPr>
        <w:t>-</w:t>
      </w:r>
      <w:r w:rsidRPr="00237058">
        <w:rPr>
          <w:rFonts w:ascii="Times New Roman" w:hAnsi="Times New Roman" w:cs="Times New Roman"/>
          <w:bCs/>
          <w:sz w:val="24"/>
          <w:szCs w:val="24"/>
          <w:lang w:val="en-GB"/>
        </w:rPr>
        <w:t>-</w:t>
      </w:r>
      <w:r w:rsidR="00325D9C" w:rsidRPr="00237058">
        <w:rPr>
          <w:rFonts w:ascii="Times New Roman" w:hAnsi="Times New Roman" w:cs="Times New Roman"/>
          <w:bCs/>
          <w:sz w:val="24"/>
          <w:szCs w:val="24"/>
          <w:lang w:val="en-GB"/>
        </w:rPr>
        <w:t xml:space="preserve"> </w:t>
      </w:r>
      <w:r w:rsidR="00CB4BF6" w:rsidRPr="00237058">
        <w:rPr>
          <w:rFonts w:ascii="Times New Roman" w:hAnsi="Times New Roman" w:cs="Times New Roman"/>
          <w:bCs/>
          <w:sz w:val="24"/>
          <w:szCs w:val="24"/>
          <w:lang w:val="en-GB"/>
        </w:rPr>
        <w:t xml:space="preserve">a </w:t>
      </w:r>
      <w:r w:rsidRPr="00237058">
        <w:rPr>
          <w:rFonts w:ascii="Times New Roman" w:hAnsi="Times New Roman" w:cs="Times New Roman"/>
          <w:bCs/>
          <w:sz w:val="24"/>
          <w:szCs w:val="24"/>
          <w:lang w:val="en-GB"/>
        </w:rPr>
        <w:t>section</w:t>
      </w:r>
      <w:r w:rsidR="00CB4BF6" w:rsidRPr="00237058">
        <w:rPr>
          <w:rFonts w:ascii="Times New Roman" w:hAnsi="Times New Roman" w:cs="Times New Roman"/>
          <w:bCs/>
          <w:sz w:val="24"/>
          <w:szCs w:val="24"/>
          <w:lang w:val="en-GB"/>
        </w:rPr>
        <w:t xml:space="preserve"> in which </w:t>
      </w:r>
      <w:r w:rsidR="00C57427" w:rsidRPr="00237058">
        <w:rPr>
          <w:rFonts w:ascii="Times New Roman" w:hAnsi="Times New Roman" w:cs="Times New Roman"/>
          <w:bCs/>
          <w:sz w:val="24"/>
          <w:szCs w:val="24"/>
          <w:lang w:val="en-GB"/>
        </w:rPr>
        <w:t xml:space="preserve">health </w:t>
      </w:r>
      <w:r w:rsidR="002E2BE6" w:rsidRPr="00237058">
        <w:rPr>
          <w:rFonts w:ascii="Times New Roman" w:hAnsi="Times New Roman" w:cs="Times New Roman"/>
          <w:bCs/>
          <w:sz w:val="24"/>
          <w:szCs w:val="24"/>
          <w:lang w:val="en-GB"/>
        </w:rPr>
        <w:t>care providers</w:t>
      </w:r>
      <w:r w:rsidRPr="00237058">
        <w:rPr>
          <w:rFonts w:ascii="Times New Roman" w:hAnsi="Times New Roman" w:cs="Times New Roman"/>
          <w:bCs/>
          <w:sz w:val="24"/>
          <w:szCs w:val="24"/>
          <w:lang w:val="en-GB"/>
        </w:rPr>
        <w:t xml:space="preserve"> are asked to define </w:t>
      </w:r>
      <w:r w:rsidR="00C57427" w:rsidRPr="00237058">
        <w:rPr>
          <w:rFonts w:ascii="Times New Roman" w:hAnsi="Times New Roman" w:cs="Times New Roman"/>
          <w:bCs/>
          <w:sz w:val="24"/>
          <w:szCs w:val="24"/>
          <w:lang w:val="en-GB"/>
        </w:rPr>
        <w:t xml:space="preserve">pediatric palliative care </w:t>
      </w:r>
      <w:r w:rsidRPr="00237058">
        <w:rPr>
          <w:rFonts w:ascii="Times New Roman" w:hAnsi="Times New Roman" w:cs="Times New Roman"/>
          <w:bCs/>
          <w:sz w:val="24"/>
          <w:szCs w:val="24"/>
          <w:lang w:val="en-GB"/>
        </w:rPr>
        <w:t xml:space="preserve">and answer </w:t>
      </w:r>
      <w:r w:rsidR="00A43D1B" w:rsidRPr="00237058">
        <w:rPr>
          <w:rFonts w:ascii="Times New Roman" w:hAnsi="Times New Roman" w:cs="Times New Roman"/>
          <w:bCs/>
          <w:sz w:val="24"/>
          <w:szCs w:val="24"/>
          <w:lang w:val="en-GB"/>
        </w:rPr>
        <w:t xml:space="preserve">questions related to their </w:t>
      </w:r>
      <w:r w:rsidR="00C57427" w:rsidRPr="00237058">
        <w:rPr>
          <w:rFonts w:ascii="Times New Roman" w:hAnsi="Times New Roman" w:cs="Times New Roman"/>
          <w:bCs/>
          <w:sz w:val="24"/>
          <w:szCs w:val="24"/>
          <w:lang w:val="en-GB"/>
        </w:rPr>
        <w:t xml:space="preserve">palliative care </w:t>
      </w:r>
      <w:r w:rsidR="002957FE" w:rsidRPr="00237058">
        <w:rPr>
          <w:rFonts w:ascii="Times New Roman" w:hAnsi="Times New Roman" w:cs="Times New Roman"/>
          <w:sz w:val="24"/>
          <w:szCs w:val="24"/>
        </w:rPr>
        <w:t>experiences</w:t>
      </w:r>
      <w:r w:rsidR="00A43D1B" w:rsidRPr="00237058">
        <w:rPr>
          <w:rFonts w:ascii="Times New Roman" w:hAnsi="Times New Roman" w:cs="Times New Roman"/>
          <w:sz w:val="24"/>
          <w:szCs w:val="24"/>
        </w:rPr>
        <w:t>.</w:t>
      </w:r>
    </w:p>
    <w:p w:rsidR="00A43D1B" w:rsidRPr="00237058" w:rsidRDefault="00A43D1B" w:rsidP="00FA652C">
      <w:pPr>
        <w:pStyle w:val="ListParagraph"/>
        <w:autoSpaceDE w:val="0"/>
        <w:autoSpaceDN w:val="0"/>
        <w:adjustRightInd w:val="0"/>
        <w:spacing w:after="0" w:line="240" w:lineRule="auto"/>
        <w:ind w:left="0"/>
        <w:outlineLvl w:val="0"/>
        <w:rPr>
          <w:rFonts w:ascii="Times New Roman" w:hAnsi="Times New Roman" w:cs="Times New Roman"/>
          <w:bCs/>
          <w:sz w:val="24"/>
          <w:szCs w:val="24"/>
          <w:lang w:val="en-GB"/>
        </w:rPr>
      </w:pPr>
    </w:p>
    <w:p w:rsidR="001950A4" w:rsidRPr="00237058" w:rsidRDefault="001950A4" w:rsidP="00FA652C">
      <w:pPr>
        <w:pStyle w:val="ListParagraph"/>
        <w:numPr>
          <w:ilvl w:val="1"/>
          <w:numId w:val="13"/>
        </w:numPr>
        <w:autoSpaceDE w:val="0"/>
        <w:autoSpaceDN w:val="0"/>
        <w:adjustRightInd w:val="0"/>
        <w:spacing w:after="0" w:line="240" w:lineRule="auto"/>
        <w:outlineLvl w:val="0"/>
        <w:rPr>
          <w:rFonts w:ascii="Times New Roman" w:hAnsi="Times New Roman" w:cs="Times New Roman"/>
          <w:bCs/>
          <w:sz w:val="24"/>
          <w:szCs w:val="24"/>
          <w:lang w:val="en-GB"/>
        </w:rPr>
      </w:pPr>
      <w:r w:rsidRPr="00237058">
        <w:rPr>
          <w:rFonts w:ascii="Times New Roman" w:hAnsi="Times New Roman" w:cs="Times New Roman"/>
          <w:bCs/>
          <w:sz w:val="24"/>
          <w:szCs w:val="24"/>
          <w:lang w:val="en-GB"/>
        </w:rPr>
        <w:t>INFORMATION NEEDS</w:t>
      </w:r>
      <w:r w:rsidR="002957FE" w:rsidRPr="00237058">
        <w:rPr>
          <w:rFonts w:ascii="Times New Roman" w:hAnsi="Times New Roman" w:cs="Times New Roman"/>
          <w:bCs/>
          <w:sz w:val="24"/>
          <w:szCs w:val="24"/>
          <w:lang w:val="en-GB"/>
        </w:rPr>
        <w:t xml:space="preserve"> </w:t>
      </w:r>
      <w:r w:rsidR="00C57427" w:rsidRPr="00237058">
        <w:rPr>
          <w:rFonts w:ascii="Times New Roman" w:hAnsi="Times New Roman" w:cs="Times New Roman"/>
          <w:bCs/>
          <w:sz w:val="24"/>
          <w:szCs w:val="24"/>
          <w:lang w:val="en-GB"/>
        </w:rPr>
        <w:t>-</w:t>
      </w:r>
      <w:r w:rsidR="002957FE" w:rsidRPr="00237058">
        <w:rPr>
          <w:rFonts w:ascii="Times New Roman" w:hAnsi="Times New Roman" w:cs="Times New Roman"/>
          <w:bCs/>
          <w:sz w:val="24"/>
          <w:szCs w:val="24"/>
          <w:lang w:val="en-GB"/>
        </w:rPr>
        <w:t>-</w:t>
      </w:r>
      <w:r w:rsidR="00CB4BF6" w:rsidRPr="00237058">
        <w:rPr>
          <w:rFonts w:ascii="Times New Roman" w:hAnsi="Times New Roman" w:cs="Times New Roman"/>
          <w:bCs/>
          <w:sz w:val="24"/>
          <w:szCs w:val="24"/>
          <w:lang w:val="en-GB"/>
        </w:rPr>
        <w:t xml:space="preserve"> e</w:t>
      </w:r>
      <w:r w:rsidR="00A43D1B" w:rsidRPr="00237058">
        <w:rPr>
          <w:rFonts w:ascii="Times New Roman" w:hAnsi="Times New Roman" w:cs="Times New Roman"/>
          <w:bCs/>
          <w:sz w:val="24"/>
          <w:szCs w:val="24"/>
          <w:lang w:val="en-GB"/>
        </w:rPr>
        <w:t>xplores resource needs</w:t>
      </w:r>
      <w:r w:rsidR="00CB4BF6" w:rsidRPr="00237058">
        <w:rPr>
          <w:rFonts w:ascii="Times New Roman" w:hAnsi="Times New Roman" w:cs="Times New Roman"/>
          <w:bCs/>
          <w:sz w:val="24"/>
          <w:szCs w:val="24"/>
          <w:lang w:val="en-GB"/>
        </w:rPr>
        <w:t xml:space="preserve">. </w:t>
      </w:r>
    </w:p>
    <w:p w:rsidR="00A43D1B" w:rsidRPr="00237058" w:rsidRDefault="00A43D1B" w:rsidP="00FA652C">
      <w:pPr>
        <w:pStyle w:val="ListParagraph"/>
        <w:autoSpaceDE w:val="0"/>
        <w:autoSpaceDN w:val="0"/>
        <w:adjustRightInd w:val="0"/>
        <w:spacing w:after="0" w:line="240" w:lineRule="auto"/>
        <w:ind w:left="0"/>
        <w:outlineLvl w:val="0"/>
        <w:rPr>
          <w:rFonts w:ascii="Times New Roman" w:hAnsi="Times New Roman" w:cs="Times New Roman"/>
          <w:bCs/>
          <w:sz w:val="24"/>
          <w:szCs w:val="24"/>
          <w:lang w:val="en-GB"/>
        </w:rPr>
      </w:pPr>
    </w:p>
    <w:p w:rsidR="001950A4" w:rsidRPr="00237058" w:rsidRDefault="00325D9C" w:rsidP="00FA652C">
      <w:pPr>
        <w:pStyle w:val="ListParagraph"/>
        <w:numPr>
          <w:ilvl w:val="1"/>
          <w:numId w:val="13"/>
        </w:numPr>
        <w:autoSpaceDE w:val="0"/>
        <w:autoSpaceDN w:val="0"/>
        <w:adjustRightInd w:val="0"/>
        <w:spacing w:after="0" w:line="240" w:lineRule="auto"/>
        <w:outlineLvl w:val="0"/>
        <w:rPr>
          <w:rFonts w:ascii="Times New Roman" w:hAnsi="Times New Roman" w:cs="Times New Roman"/>
          <w:sz w:val="24"/>
          <w:szCs w:val="24"/>
          <w:lang w:val="en-GB"/>
        </w:rPr>
      </w:pPr>
      <w:r w:rsidRPr="00237058">
        <w:rPr>
          <w:rFonts w:ascii="Times New Roman" w:hAnsi="Times New Roman" w:cs="Times New Roman"/>
          <w:sz w:val="24"/>
          <w:szCs w:val="24"/>
          <w:lang w:val="en-GB"/>
        </w:rPr>
        <w:t>PERCEPTIONS OF THE CAMPAIGN</w:t>
      </w:r>
      <w:r w:rsidR="00106848">
        <w:rPr>
          <w:rFonts w:ascii="Times New Roman" w:hAnsi="Times New Roman" w:cs="Times New Roman"/>
          <w:sz w:val="24"/>
          <w:szCs w:val="24"/>
          <w:lang w:val="en-GB"/>
        </w:rPr>
        <w:t xml:space="preserve"> and</w:t>
      </w:r>
      <w:r w:rsidRPr="00237058">
        <w:rPr>
          <w:rFonts w:ascii="Times New Roman" w:hAnsi="Times New Roman" w:cs="Times New Roman"/>
          <w:sz w:val="24"/>
          <w:szCs w:val="24"/>
          <w:lang w:val="en-GB"/>
        </w:rPr>
        <w:t xml:space="preserve"> MATERIALS</w:t>
      </w:r>
      <w:r w:rsidR="003A68D4" w:rsidRPr="00237058">
        <w:rPr>
          <w:rFonts w:ascii="Times New Roman" w:hAnsi="Times New Roman" w:cs="Times New Roman"/>
          <w:sz w:val="24"/>
          <w:szCs w:val="24"/>
          <w:lang w:val="en-GB"/>
        </w:rPr>
        <w:t xml:space="preserve"> </w:t>
      </w:r>
      <w:r w:rsidR="00C57427" w:rsidRPr="00237058">
        <w:rPr>
          <w:rFonts w:ascii="Times New Roman" w:hAnsi="Times New Roman" w:cs="Times New Roman"/>
          <w:sz w:val="24"/>
          <w:szCs w:val="24"/>
          <w:lang w:val="en-GB"/>
        </w:rPr>
        <w:t>-</w:t>
      </w:r>
      <w:r w:rsidR="002957FE" w:rsidRPr="00237058">
        <w:rPr>
          <w:rFonts w:ascii="Times New Roman" w:hAnsi="Times New Roman" w:cs="Times New Roman"/>
          <w:sz w:val="24"/>
          <w:szCs w:val="24"/>
          <w:lang w:val="en-GB"/>
        </w:rPr>
        <w:t>-</w:t>
      </w:r>
      <w:r w:rsidR="00CB4BF6" w:rsidRPr="00237058">
        <w:rPr>
          <w:rFonts w:ascii="Times New Roman" w:hAnsi="Times New Roman" w:cs="Times New Roman"/>
          <w:sz w:val="24"/>
          <w:szCs w:val="24"/>
          <w:lang w:val="en-GB"/>
        </w:rPr>
        <w:t xml:space="preserve"> i</w:t>
      </w:r>
      <w:r w:rsidR="00CC13AC" w:rsidRPr="00237058">
        <w:rPr>
          <w:rFonts w:ascii="Times New Roman" w:hAnsi="Times New Roman" w:cs="Times New Roman"/>
          <w:sz w:val="24"/>
          <w:szCs w:val="24"/>
          <w:lang w:val="en-GB"/>
        </w:rPr>
        <w:t xml:space="preserve">ncludes </w:t>
      </w:r>
      <w:r w:rsidR="00CB4BF6" w:rsidRPr="00237058">
        <w:rPr>
          <w:rFonts w:ascii="Times New Roman" w:hAnsi="Times New Roman" w:cs="Times New Roman"/>
          <w:sz w:val="24"/>
          <w:szCs w:val="24"/>
          <w:lang w:val="en-GB"/>
        </w:rPr>
        <w:t>q</w:t>
      </w:r>
      <w:r w:rsidR="00180E62" w:rsidRPr="00237058">
        <w:rPr>
          <w:rFonts w:ascii="Times New Roman" w:hAnsi="Times New Roman" w:cs="Times New Roman"/>
          <w:sz w:val="24"/>
          <w:szCs w:val="24"/>
          <w:lang w:val="en-GB"/>
        </w:rPr>
        <w:t>uestions for providers to evaluate the campaign</w:t>
      </w:r>
      <w:r w:rsidRPr="00237058">
        <w:rPr>
          <w:rFonts w:ascii="Times New Roman" w:hAnsi="Times New Roman" w:cs="Times New Roman"/>
          <w:sz w:val="24"/>
          <w:szCs w:val="24"/>
          <w:lang w:val="en-GB"/>
        </w:rPr>
        <w:t xml:space="preserve"> materials</w:t>
      </w:r>
      <w:r w:rsidR="00CC13AC" w:rsidRPr="00237058">
        <w:rPr>
          <w:rFonts w:ascii="Times New Roman" w:hAnsi="Times New Roman" w:cs="Times New Roman"/>
          <w:sz w:val="24"/>
          <w:szCs w:val="24"/>
          <w:lang w:val="en-GB"/>
        </w:rPr>
        <w:t>.</w:t>
      </w:r>
    </w:p>
    <w:p w:rsidR="00325D9C" w:rsidRPr="00237058" w:rsidRDefault="00325D9C" w:rsidP="00325D9C">
      <w:pPr>
        <w:pStyle w:val="ListParagraph"/>
        <w:autoSpaceDE w:val="0"/>
        <w:autoSpaceDN w:val="0"/>
        <w:adjustRightInd w:val="0"/>
        <w:spacing w:after="0" w:line="240" w:lineRule="auto"/>
        <w:ind w:left="0"/>
        <w:outlineLvl w:val="0"/>
        <w:rPr>
          <w:rFonts w:ascii="Times New Roman" w:hAnsi="Times New Roman" w:cs="Times New Roman"/>
          <w:sz w:val="24"/>
          <w:szCs w:val="24"/>
          <w:lang w:val="en-GB"/>
        </w:rPr>
      </w:pPr>
    </w:p>
    <w:p w:rsidR="00325D9C" w:rsidRPr="00237058" w:rsidRDefault="00325D9C" w:rsidP="00325D9C">
      <w:pPr>
        <w:pStyle w:val="ListParagraph"/>
        <w:numPr>
          <w:ilvl w:val="1"/>
          <w:numId w:val="13"/>
        </w:numPr>
        <w:spacing w:after="0" w:line="240" w:lineRule="auto"/>
        <w:rPr>
          <w:rFonts w:ascii="Times New Roman" w:hAnsi="Times New Roman" w:cs="Times New Roman"/>
          <w:sz w:val="24"/>
          <w:szCs w:val="24"/>
        </w:rPr>
      </w:pPr>
      <w:r w:rsidRPr="00237058">
        <w:rPr>
          <w:rFonts w:ascii="Times New Roman" w:hAnsi="Times New Roman" w:cs="Times New Roman"/>
          <w:sz w:val="24"/>
          <w:szCs w:val="24"/>
        </w:rPr>
        <w:t xml:space="preserve">BACKGROUND INFORMATION- includes questions related to the </w:t>
      </w:r>
      <w:r w:rsidR="00C57427" w:rsidRPr="00237058">
        <w:rPr>
          <w:rFonts w:ascii="Times New Roman" w:hAnsi="Times New Roman" w:cs="Times New Roman"/>
          <w:sz w:val="24"/>
          <w:szCs w:val="24"/>
        </w:rPr>
        <w:t xml:space="preserve">health care provider’s </w:t>
      </w:r>
      <w:r w:rsidRPr="00237058">
        <w:rPr>
          <w:rFonts w:ascii="Times New Roman" w:hAnsi="Times New Roman" w:cs="Times New Roman"/>
          <w:sz w:val="24"/>
          <w:szCs w:val="24"/>
        </w:rPr>
        <w:t xml:space="preserve">discipline, area of specialty, and whether they have received </w:t>
      </w:r>
      <w:r w:rsidR="00C57427" w:rsidRPr="00237058">
        <w:rPr>
          <w:rFonts w:ascii="Times New Roman" w:hAnsi="Times New Roman" w:cs="Times New Roman"/>
          <w:sz w:val="24"/>
          <w:szCs w:val="24"/>
        </w:rPr>
        <w:t xml:space="preserve">pediatric palliative care </w:t>
      </w:r>
      <w:r w:rsidRPr="00237058">
        <w:rPr>
          <w:rFonts w:ascii="Times New Roman" w:hAnsi="Times New Roman" w:cs="Times New Roman"/>
          <w:sz w:val="24"/>
          <w:szCs w:val="24"/>
        </w:rPr>
        <w:t>training.</w:t>
      </w:r>
    </w:p>
    <w:p w:rsidR="00CC13AC" w:rsidRPr="00237058" w:rsidRDefault="00CC13AC" w:rsidP="00053ACA">
      <w:pPr>
        <w:autoSpaceDE w:val="0"/>
        <w:autoSpaceDN w:val="0"/>
        <w:adjustRightInd w:val="0"/>
        <w:outlineLvl w:val="0"/>
        <w:rPr>
          <w:bCs/>
          <w:lang w:val="en-GB"/>
        </w:rPr>
      </w:pPr>
    </w:p>
    <w:p w:rsidR="003A68D4" w:rsidRPr="00237058" w:rsidRDefault="003A68D4" w:rsidP="00053ACA">
      <w:r w:rsidRPr="00237058">
        <w:t>The data collection period is estimated t</w:t>
      </w:r>
      <w:r w:rsidRPr="00642596">
        <w:t xml:space="preserve">o last </w:t>
      </w:r>
      <w:r w:rsidR="00325D9C" w:rsidRPr="00642596">
        <w:t xml:space="preserve">no more than </w:t>
      </w:r>
      <w:r w:rsidR="00DB6031">
        <w:t>two</w:t>
      </w:r>
      <w:r w:rsidR="002957FE" w:rsidRPr="00642596">
        <w:t xml:space="preserve"> month</w:t>
      </w:r>
      <w:r w:rsidR="00DB6031">
        <w:t>s</w:t>
      </w:r>
      <w:r w:rsidRPr="00642596">
        <w:t xml:space="preserve"> at </w:t>
      </w:r>
      <w:r w:rsidR="009D6838" w:rsidRPr="00642596">
        <w:t>each</w:t>
      </w:r>
      <w:r w:rsidRPr="00642596">
        <w:t xml:space="preserve"> site. There has been no previous</w:t>
      </w:r>
      <w:r w:rsidR="009C7C47" w:rsidRPr="00642596">
        <w:t xml:space="preserve"> collection of this information.</w:t>
      </w:r>
      <w:r w:rsidR="009C7C47" w:rsidRPr="00237058">
        <w:t xml:space="preserve"> </w:t>
      </w:r>
    </w:p>
    <w:p w:rsidR="009C7C47" w:rsidRPr="00237058" w:rsidRDefault="009C7C47" w:rsidP="00053ACA">
      <w:pPr>
        <w:rPr>
          <w:b/>
        </w:rPr>
      </w:pPr>
    </w:p>
    <w:p w:rsidR="00DD25F9" w:rsidRPr="00237058" w:rsidRDefault="00C4216D" w:rsidP="00367D2C">
      <w:pPr>
        <w:rPr>
          <w:b/>
        </w:rPr>
      </w:pPr>
      <w:r w:rsidRPr="00237058">
        <w:rPr>
          <w:b/>
        </w:rPr>
        <w:t>A.3     Use of Information Technology and Burden Reduction</w:t>
      </w:r>
    </w:p>
    <w:p w:rsidR="00170228" w:rsidRPr="00237058" w:rsidRDefault="00170228" w:rsidP="00367D2C">
      <w:pPr>
        <w:pStyle w:val="BodyText"/>
        <w:rPr>
          <w:lang w:val="en-US"/>
        </w:rPr>
      </w:pPr>
    </w:p>
    <w:p w:rsidR="00992F5F" w:rsidRPr="00237058" w:rsidRDefault="00AA0EEF" w:rsidP="00367D2C">
      <w:pPr>
        <w:pStyle w:val="BodyText"/>
      </w:pPr>
      <w:r w:rsidRPr="00237058">
        <w:t xml:space="preserve">To reduce respondent burden, </w:t>
      </w:r>
      <w:r w:rsidR="009C7C47" w:rsidRPr="00237058">
        <w:t>the survey</w:t>
      </w:r>
      <w:r w:rsidR="00106848">
        <w:rPr>
          <w:lang w:val="en-US"/>
        </w:rPr>
        <w:t>s</w:t>
      </w:r>
      <w:r w:rsidR="007335EF" w:rsidRPr="00237058">
        <w:t xml:space="preserve"> will be</w:t>
      </w:r>
      <w:r w:rsidR="00043ED7" w:rsidRPr="00237058">
        <w:t xml:space="preserve"> deployed and submitted using a</w:t>
      </w:r>
      <w:r w:rsidR="007335EF" w:rsidRPr="00237058">
        <w:t xml:space="preserve"> </w:t>
      </w:r>
      <w:r w:rsidR="00043ED7" w:rsidRPr="00237058">
        <w:t>w</w:t>
      </w:r>
      <w:r w:rsidR="00C57427" w:rsidRPr="00237058">
        <w:t xml:space="preserve">eb-based </w:t>
      </w:r>
      <w:r w:rsidR="007335EF" w:rsidRPr="00237058">
        <w:t xml:space="preserve">electronic </w:t>
      </w:r>
      <w:r w:rsidR="009C7C47" w:rsidRPr="00237058">
        <w:t xml:space="preserve">tool. </w:t>
      </w:r>
      <w:r w:rsidR="00C57427" w:rsidRPr="00237058">
        <w:t xml:space="preserve">Since respondents have known email addresses through their hospitals, they </w:t>
      </w:r>
      <w:r w:rsidR="009C7C47" w:rsidRPr="00237058">
        <w:t xml:space="preserve">will be sent an active </w:t>
      </w:r>
      <w:r w:rsidR="00C57427" w:rsidRPr="00237058">
        <w:t xml:space="preserve">URL </w:t>
      </w:r>
      <w:r w:rsidR="009C7C47" w:rsidRPr="00237058">
        <w:t>link</w:t>
      </w:r>
      <w:r w:rsidR="00C57427" w:rsidRPr="00237058">
        <w:t xml:space="preserve"> via email</w:t>
      </w:r>
      <w:r w:rsidR="009C7C47" w:rsidRPr="00237058">
        <w:t xml:space="preserve"> </w:t>
      </w:r>
      <w:r w:rsidR="007335EF" w:rsidRPr="00237058">
        <w:t>to access the survey</w:t>
      </w:r>
      <w:r w:rsidR="00CD422E">
        <w:rPr>
          <w:lang w:val="en-US"/>
        </w:rPr>
        <w:t>s</w:t>
      </w:r>
      <w:r w:rsidR="007335EF" w:rsidRPr="00237058">
        <w:t xml:space="preserve">. Given the </w:t>
      </w:r>
      <w:r w:rsidR="007335EF" w:rsidRPr="00237058">
        <w:lastRenderedPageBreak/>
        <w:t>busy schedules of this audience, this methodology will allow survey respondents to provide information at their convenience. In addition, use of online survey</w:t>
      </w:r>
      <w:r w:rsidR="00106848">
        <w:rPr>
          <w:lang w:val="en-US"/>
        </w:rPr>
        <w:t>s</w:t>
      </w:r>
      <w:r w:rsidR="007335EF" w:rsidRPr="00237058">
        <w:t xml:space="preserve"> will ensure quality and accurate collection of data, while also providing the greatest privacy to respondents and the least b</w:t>
      </w:r>
      <w:r w:rsidR="00992F5F" w:rsidRPr="00237058">
        <w:t>urden of time.</w:t>
      </w:r>
    </w:p>
    <w:p w:rsidR="00C57427" w:rsidRPr="00237058" w:rsidRDefault="00C57427" w:rsidP="00C57427">
      <w:pPr>
        <w:pStyle w:val="BodyText"/>
      </w:pPr>
      <w:r w:rsidRPr="00237058">
        <w:t>Online administration of the questionnaire</w:t>
      </w:r>
      <w:r w:rsidR="00106848">
        <w:rPr>
          <w:lang w:val="en-US"/>
        </w:rPr>
        <w:t>s</w:t>
      </w:r>
      <w:r w:rsidRPr="00237058">
        <w:t xml:space="preserve"> is efficient because the respondent will enter the data directly into the database, avoiding the separate step of key entry of paper questionnaire data into a database. The cleaning of the data will also be facilitated through online administration.</w:t>
      </w:r>
    </w:p>
    <w:p w:rsidR="00A43D1B" w:rsidRPr="00237058" w:rsidRDefault="00EB1F3C" w:rsidP="00C57427">
      <w:pPr>
        <w:pStyle w:val="BodyText"/>
      </w:pPr>
      <w:r w:rsidRPr="00237058">
        <w:t>The NIH</w:t>
      </w:r>
      <w:r w:rsidR="00A73262" w:rsidRPr="00237058">
        <w:t xml:space="preserve"> </w:t>
      </w:r>
      <w:r w:rsidRPr="00237058">
        <w:t xml:space="preserve">Center for Information Technology </w:t>
      </w:r>
      <w:r w:rsidR="00A73262" w:rsidRPr="00237058">
        <w:t>will</w:t>
      </w:r>
      <w:r w:rsidR="00A47AA4" w:rsidRPr="00237058">
        <w:t xml:space="preserve"> </w:t>
      </w:r>
      <w:r w:rsidR="001B7E95" w:rsidRPr="00237058">
        <w:t xml:space="preserve">program </w:t>
      </w:r>
      <w:r w:rsidR="009D7DED" w:rsidRPr="00237058">
        <w:rPr>
          <w:lang w:val="en-US"/>
        </w:rPr>
        <w:t xml:space="preserve">and deploy </w:t>
      </w:r>
      <w:r w:rsidRPr="00237058">
        <w:t>the online survey</w:t>
      </w:r>
      <w:r w:rsidR="00106848">
        <w:rPr>
          <w:lang w:val="en-US"/>
        </w:rPr>
        <w:t>s</w:t>
      </w:r>
      <w:r w:rsidRPr="00237058">
        <w:t xml:space="preserve"> and</w:t>
      </w:r>
      <w:r w:rsidR="00AA0EEF" w:rsidRPr="00237058">
        <w:t xml:space="preserve"> host a </w:t>
      </w:r>
      <w:r w:rsidR="00A47AA4" w:rsidRPr="00237058">
        <w:t xml:space="preserve">secure </w:t>
      </w:r>
      <w:r w:rsidRPr="00237058">
        <w:t xml:space="preserve">website for the survey </w:t>
      </w:r>
      <w:r w:rsidR="001B7E95" w:rsidRPr="00237058">
        <w:t>administration</w:t>
      </w:r>
      <w:r w:rsidR="00AA0EEF" w:rsidRPr="00237058">
        <w:t>.</w:t>
      </w:r>
      <w:r w:rsidR="00A47AA4" w:rsidRPr="00237058">
        <w:t xml:space="preserve"> </w:t>
      </w:r>
    </w:p>
    <w:p w:rsidR="00394621" w:rsidRPr="00237058" w:rsidRDefault="00EC428C" w:rsidP="00C57427">
      <w:pPr>
        <w:pStyle w:val="BodyText"/>
        <w:rPr>
          <w:lang w:val="en-US"/>
        </w:rPr>
      </w:pPr>
      <w:r w:rsidRPr="00237058">
        <w:t>An email notification</w:t>
      </w:r>
      <w:r w:rsidRPr="00237058">
        <w:rPr>
          <w:lang w:val="en-US"/>
        </w:rPr>
        <w:t>/</w:t>
      </w:r>
      <w:r w:rsidR="00B234ED" w:rsidRPr="00237058">
        <w:t xml:space="preserve">invitation letter (see Attachment </w:t>
      </w:r>
      <w:r w:rsidRPr="00237058">
        <w:rPr>
          <w:lang w:val="en-US"/>
        </w:rPr>
        <w:t>3</w:t>
      </w:r>
      <w:r w:rsidR="00B234ED" w:rsidRPr="00237058">
        <w:t xml:space="preserve">) will be sent </w:t>
      </w:r>
      <w:r w:rsidR="00485E1C" w:rsidRPr="00237058">
        <w:rPr>
          <w:lang w:val="en-US"/>
        </w:rPr>
        <w:t xml:space="preserve">by the NIH Center for Information Technology </w:t>
      </w:r>
      <w:r w:rsidR="00B234ED" w:rsidRPr="00237058">
        <w:t xml:space="preserve">to health care providers </w:t>
      </w:r>
      <w:r w:rsidR="00CD422E">
        <w:rPr>
          <w:lang w:val="en-US"/>
        </w:rPr>
        <w:t xml:space="preserve">at </w:t>
      </w:r>
      <w:r w:rsidR="00B234ED" w:rsidRPr="00237058">
        <w:t>participating campaign</w:t>
      </w:r>
      <w:r w:rsidR="00CD422E">
        <w:rPr>
          <w:lang w:val="en-US"/>
        </w:rPr>
        <w:t xml:space="preserve"> sites</w:t>
      </w:r>
      <w:r w:rsidR="00B234ED" w:rsidRPr="00237058">
        <w:t>. The letter will inform the providers about the survey</w:t>
      </w:r>
      <w:r w:rsidR="00106848">
        <w:rPr>
          <w:lang w:val="en-US"/>
        </w:rPr>
        <w:t>s</w:t>
      </w:r>
      <w:r w:rsidRPr="00237058">
        <w:rPr>
          <w:lang w:val="en-US"/>
        </w:rPr>
        <w:t xml:space="preserve"> and</w:t>
      </w:r>
      <w:r w:rsidR="00B234ED" w:rsidRPr="00237058">
        <w:t xml:space="preserve"> about the importance of their</w:t>
      </w:r>
      <w:r w:rsidRPr="00237058">
        <w:t xml:space="preserve"> participation</w:t>
      </w:r>
      <w:r w:rsidR="00B234ED" w:rsidRPr="00237058">
        <w:t>. In addition, the</w:t>
      </w:r>
      <w:r w:rsidRPr="00237058">
        <w:t xml:space="preserve"> </w:t>
      </w:r>
      <w:r w:rsidRPr="00237058">
        <w:rPr>
          <w:lang w:val="en-US"/>
        </w:rPr>
        <w:t xml:space="preserve">letter </w:t>
      </w:r>
      <w:r w:rsidR="00B234ED" w:rsidRPr="00237058">
        <w:t xml:space="preserve">will </w:t>
      </w:r>
      <w:r w:rsidRPr="00237058">
        <w:rPr>
          <w:lang w:val="en-US"/>
        </w:rPr>
        <w:t>state</w:t>
      </w:r>
      <w:r w:rsidRPr="00237058">
        <w:t xml:space="preserve"> that the s</w:t>
      </w:r>
      <w:r w:rsidRPr="00237058">
        <w:rPr>
          <w:lang w:val="en-US"/>
        </w:rPr>
        <w:t>urvey</w:t>
      </w:r>
      <w:r w:rsidR="00106848">
        <w:rPr>
          <w:lang w:val="en-US"/>
        </w:rPr>
        <w:t>s</w:t>
      </w:r>
      <w:r w:rsidR="00B234ED" w:rsidRPr="00237058">
        <w:t xml:space="preserve"> </w:t>
      </w:r>
      <w:r w:rsidR="00106848">
        <w:rPr>
          <w:lang w:val="en-US"/>
        </w:rPr>
        <w:t>are</w:t>
      </w:r>
      <w:r w:rsidR="00106848" w:rsidRPr="00237058">
        <w:t xml:space="preserve"> </w:t>
      </w:r>
      <w:r w:rsidRPr="00237058">
        <w:rPr>
          <w:lang w:val="en-US"/>
        </w:rPr>
        <w:t xml:space="preserve">being </w:t>
      </w:r>
      <w:r w:rsidR="00B234ED" w:rsidRPr="00237058">
        <w:t>conducted by</w:t>
      </w:r>
      <w:r w:rsidR="00D87F96" w:rsidRPr="00237058">
        <w:rPr>
          <w:lang w:val="en-US"/>
        </w:rPr>
        <w:t xml:space="preserve"> NINR</w:t>
      </w:r>
      <w:r w:rsidR="00B234ED" w:rsidRPr="00237058">
        <w:t xml:space="preserve"> and will succinctly inform readers of the purpose and importance of the questionnaire</w:t>
      </w:r>
      <w:r w:rsidR="00106848">
        <w:rPr>
          <w:lang w:val="en-US"/>
        </w:rPr>
        <w:t>s</w:t>
      </w:r>
      <w:r w:rsidR="00B234ED" w:rsidRPr="00237058">
        <w:t>, the confidentiality of the data, the procedures for maintaining the privacy of respondents, and that response</w:t>
      </w:r>
      <w:r w:rsidR="00106848">
        <w:rPr>
          <w:lang w:val="en-US"/>
        </w:rPr>
        <w:t>s are</w:t>
      </w:r>
      <w:r w:rsidR="00B234ED" w:rsidRPr="00237058">
        <w:t xml:space="preserve"> voluntary. </w:t>
      </w:r>
      <w:r w:rsidRPr="00237058">
        <w:rPr>
          <w:lang w:val="en-US"/>
        </w:rPr>
        <w:t>A separate</w:t>
      </w:r>
      <w:r w:rsidR="00B234ED" w:rsidRPr="00237058">
        <w:t xml:space="preserve"> email</w:t>
      </w:r>
      <w:r w:rsidRPr="00237058">
        <w:rPr>
          <w:lang w:val="en-US"/>
        </w:rPr>
        <w:t xml:space="preserve"> </w:t>
      </w:r>
      <w:r w:rsidRPr="00237058">
        <w:t xml:space="preserve">(see Attachment </w:t>
      </w:r>
      <w:r w:rsidRPr="00237058">
        <w:rPr>
          <w:lang w:val="en-US"/>
        </w:rPr>
        <w:t>3</w:t>
      </w:r>
      <w:r w:rsidRPr="00237058">
        <w:t xml:space="preserve">) </w:t>
      </w:r>
      <w:r w:rsidR="00B234ED" w:rsidRPr="00237058">
        <w:t>will include a URL link to a secure website</w:t>
      </w:r>
      <w:r w:rsidRPr="00237058">
        <w:rPr>
          <w:lang w:val="en-US"/>
        </w:rPr>
        <w:t xml:space="preserve"> and a unique login code</w:t>
      </w:r>
      <w:r w:rsidR="00B234ED" w:rsidRPr="00237058">
        <w:t xml:space="preserve"> wh</w:t>
      </w:r>
      <w:r w:rsidRPr="00237058">
        <w:rPr>
          <w:lang w:val="en-US"/>
        </w:rPr>
        <w:t>ich</w:t>
      </w:r>
      <w:r w:rsidR="00B234ED" w:rsidRPr="00237058">
        <w:t xml:space="preserve"> provider</w:t>
      </w:r>
      <w:r w:rsidRPr="00237058">
        <w:rPr>
          <w:lang w:val="en-US"/>
        </w:rPr>
        <w:t>s</w:t>
      </w:r>
      <w:r w:rsidR="00B234ED" w:rsidRPr="00237058">
        <w:t xml:space="preserve"> can </w:t>
      </w:r>
      <w:r w:rsidRPr="00237058">
        <w:rPr>
          <w:lang w:val="en-US"/>
        </w:rPr>
        <w:t xml:space="preserve">use to </w:t>
      </w:r>
      <w:r w:rsidR="00B234ED" w:rsidRPr="00237058">
        <w:t>complete the survey</w:t>
      </w:r>
      <w:r w:rsidR="00106848">
        <w:rPr>
          <w:lang w:val="en-US"/>
        </w:rPr>
        <w:t>s</w:t>
      </w:r>
      <w:r w:rsidRPr="00237058">
        <w:rPr>
          <w:lang w:val="en-US"/>
        </w:rPr>
        <w:t xml:space="preserve"> anonymously.</w:t>
      </w:r>
    </w:p>
    <w:p w:rsidR="00394621" w:rsidRPr="00617287" w:rsidRDefault="00394621" w:rsidP="00C57427">
      <w:pPr>
        <w:pStyle w:val="BodyText"/>
        <w:rPr>
          <w:lang w:val="en-US"/>
        </w:rPr>
      </w:pPr>
      <w:r w:rsidRPr="00237058">
        <w:t>NINR has submitted a Privacy Impact Assessment</w:t>
      </w:r>
      <w:r w:rsidR="00617287">
        <w:rPr>
          <w:lang w:val="en-US"/>
        </w:rPr>
        <w:t xml:space="preserve"> (PIA)</w:t>
      </w:r>
      <w:r w:rsidRPr="00237058">
        <w:t xml:space="preserve"> </w:t>
      </w:r>
      <w:r w:rsidR="002F3608" w:rsidRPr="00237058">
        <w:rPr>
          <w:lang w:val="en-US"/>
        </w:rPr>
        <w:t xml:space="preserve">(see Attachment 6) </w:t>
      </w:r>
      <w:r w:rsidRPr="00237058">
        <w:t>for this IT system using the HHS Security and Privacy Online Reporting Tool</w:t>
      </w:r>
      <w:r w:rsidR="00170228" w:rsidRPr="00237058">
        <w:rPr>
          <w:lang w:val="en-US"/>
        </w:rPr>
        <w:t xml:space="preserve"> </w:t>
      </w:r>
      <w:r w:rsidRPr="00237058">
        <w:t>even though personally identifiable information</w:t>
      </w:r>
      <w:r w:rsidR="001C5615" w:rsidRPr="00237058">
        <w:t xml:space="preserve"> will not be collected</w:t>
      </w:r>
      <w:r w:rsidR="00617287">
        <w:t>. It was determined that the existing PIA for the pilot surveys can be amended for this new collection.</w:t>
      </w:r>
      <w:r w:rsidR="00617287">
        <w:rPr>
          <w:lang w:val="en-US"/>
        </w:rPr>
        <w:t xml:space="preserve"> Attachment 6 includes the email correspondence regarding this determination.</w:t>
      </w:r>
    </w:p>
    <w:p w:rsidR="00996DFA" w:rsidRPr="00996DFA" w:rsidRDefault="00996DFA" w:rsidP="00C57427">
      <w:pPr>
        <w:pStyle w:val="BodyText"/>
        <w:rPr>
          <w:lang w:val="en-US"/>
        </w:rPr>
      </w:pPr>
    </w:p>
    <w:p w:rsidR="00AA0EEF" w:rsidRPr="00237058" w:rsidRDefault="00C4216D" w:rsidP="00053ACA">
      <w:pPr>
        <w:rPr>
          <w:b/>
        </w:rPr>
      </w:pPr>
      <w:bookmarkStart w:id="4" w:name="_Toc443881745"/>
      <w:bookmarkStart w:id="5" w:name="_Toc451592234"/>
      <w:bookmarkStart w:id="6" w:name="_Toc5610275"/>
      <w:bookmarkStart w:id="7" w:name="_Toc99178781"/>
      <w:r w:rsidRPr="00237058">
        <w:rPr>
          <w:b/>
        </w:rPr>
        <w:t>A.4</w:t>
      </w:r>
      <w:r w:rsidRPr="00237058">
        <w:rPr>
          <w:b/>
        </w:rPr>
        <w:tab/>
        <w:t>Efforts to Identify Duplication and Use of Similar Information</w:t>
      </w:r>
      <w:bookmarkEnd w:id="4"/>
      <w:bookmarkEnd w:id="5"/>
      <w:bookmarkEnd w:id="6"/>
      <w:bookmarkEnd w:id="7"/>
    </w:p>
    <w:p w:rsidR="00693D80" w:rsidRPr="00237058" w:rsidRDefault="00693D80" w:rsidP="00053ACA">
      <w:pPr>
        <w:rPr>
          <w:b/>
        </w:rPr>
      </w:pPr>
    </w:p>
    <w:p w:rsidR="00AF28B5" w:rsidRPr="00237058" w:rsidRDefault="00AF28B5" w:rsidP="00053ACA">
      <w:pPr>
        <w:rPr>
          <w:b/>
        </w:rPr>
      </w:pPr>
    </w:p>
    <w:p w:rsidR="00B234ED" w:rsidRPr="00237058" w:rsidRDefault="00B234ED" w:rsidP="00053ACA">
      <w:r w:rsidRPr="00237058">
        <w:t xml:space="preserve">The </w:t>
      </w:r>
      <w:r w:rsidR="00106848" w:rsidRPr="00CB6435">
        <w:rPr>
          <w:i/>
        </w:rPr>
        <w:t>Palliative Care: Conversations Matter</w:t>
      </w:r>
      <w:r w:rsidR="00106848">
        <w:t xml:space="preserve"> </w:t>
      </w:r>
      <w:r w:rsidR="00851A88">
        <w:t>Evaluation</w:t>
      </w:r>
      <w:r w:rsidR="00642596" w:rsidRPr="00237058">
        <w:t xml:space="preserve"> </w:t>
      </w:r>
      <w:r w:rsidRPr="00237058">
        <w:t>has not previously been used in this population</w:t>
      </w:r>
      <w:r w:rsidR="00992F5F" w:rsidRPr="00237058">
        <w:t>.</w:t>
      </w:r>
      <w:r w:rsidRPr="00237058">
        <w:t xml:space="preserve"> </w:t>
      </w:r>
      <w:r w:rsidR="00CD422E">
        <w:t xml:space="preserve">The only similar information available for use is data from the pilot campaign, which was limited in scope and </w:t>
      </w:r>
      <w:r w:rsidR="00642596">
        <w:t xml:space="preserve">assessed the </w:t>
      </w:r>
      <w:r w:rsidR="00CD422E">
        <w:t>materials</w:t>
      </w:r>
      <w:r w:rsidR="00642596">
        <w:t>, not the overall campaign</w:t>
      </w:r>
      <w:r w:rsidR="00CD422E">
        <w:t>.</w:t>
      </w:r>
      <w:r w:rsidRPr="00237058">
        <w:t xml:space="preserve"> No other questionnaire or data could provide the information required for the proposed study.  </w:t>
      </w:r>
    </w:p>
    <w:p w:rsidR="00233917" w:rsidRPr="00237058" w:rsidRDefault="00233917" w:rsidP="00053ACA"/>
    <w:p w:rsidR="00AA0EEF" w:rsidRDefault="005C2D3C" w:rsidP="00053ACA">
      <w:r w:rsidRPr="00237058">
        <w:rPr>
          <w:rStyle w:val="BodyTextChar"/>
        </w:rPr>
        <w:t>In addition,</w:t>
      </w:r>
      <w:r w:rsidR="00AF0389" w:rsidRPr="00237058">
        <w:rPr>
          <w:rStyle w:val="BodyTextChar"/>
        </w:rPr>
        <w:t xml:space="preserve"> NINR </w:t>
      </w:r>
      <w:r w:rsidR="009C5CD6" w:rsidRPr="00237058">
        <w:rPr>
          <w:rStyle w:val="BodyTextChar"/>
        </w:rPr>
        <w:t xml:space="preserve">conducted </w:t>
      </w:r>
      <w:r w:rsidR="00EE355D" w:rsidRPr="00237058">
        <w:rPr>
          <w:rStyle w:val="BodyTextChar"/>
        </w:rPr>
        <w:t xml:space="preserve">online </w:t>
      </w:r>
      <w:r w:rsidR="00EB1F3C" w:rsidRPr="00237058">
        <w:rPr>
          <w:rStyle w:val="BodyTextChar"/>
        </w:rPr>
        <w:t>exploratory</w:t>
      </w:r>
      <w:r w:rsidR="00EE355D" w:rsidRPr="00237058">
        <w:rPr>
          <w:rStyle w:val="BodyTextChar"/>
        </w:rPr>
        <w:t xml:space="preserve"> research</w:t>
      </w:r>
      <w:r w:rsidR="00B508F7" w:rsidRPr="00237058">
        <w:rPr>
          <w:rStyle w:val="BodyTextChar"/>
        </w:rPr>
        <w:t xml:space="preserve"> on several Internet search engines </w:t>
      </w:r>
      <w:r w:rsidR="00EE355D" w:rsidRPr="00237058">
        <w:rPr>
          <w:rStyle w:val="BodyTextChar"/>
        </w:rPr>
        <w:t>to identify existing campaigns</w:t>
      </w:r>
      <w:r w:rsidR="009C5CD6" w:rsidRPr="00237058">
        <w:rPr>
          <w:rStyle w:val="BodyTextChar"/>
        </w:rPr>
        <w:t xml:space="preserve"> and programs </w:t>
      </w:r>
      <w:r w:rsidR="00AE603A" w:rsidRPr="00237058">
        <w:rPr>
          <w:rStyle w:val="BodyTextChar"/>
        </w:rPr>
        <w:t xml:space="preserve">and </w:t>
      </w:r>
      <w:r w:rsidRPr="00237058">
        <w:rPr>
          <w:rStyle w:val="BodyTextChar"/>
        </w:rPr>
        <w:t xml:space="preserve">their </w:t>
      </w:r>
      <w:r w:rsidR="00AE603A" w:rsidRPr="00237058">
        <w:rPr>
          <w:rStyle w:val="BodyTextChar"/>
        </w:rPr>
        <w:t xml:space="preserve">corresponding evaluation programs. </w:t>
      </w:r>
      <w:r w:rsidR="00EC4A11" w:rsidRPr="00237058">
        <w:rPr>
          <w:rStyle w:val="BodyTextChar"/>
        </w:rPr>
        <w:t>It was concluded that t</w:t>
      </w:r>
      <w:r w:rsidR="00AA0EEF" w:rsidRPr="00237058">
        <w:rPr>
          <w:rStyle w:val="BodyTextChar"/>
        </w:rPr>
        <w:t xml:space="preserve">his </w:t>
      </w:r>
      <w:r w:rsidRPr="00237058">
        <w:rPr>
          <w:rStyle w:val="BodyTextChar"/>
        </w:rPr>
        <w:t xml:space="preserve">type of campaign and </w:t>
      </w:r>
      <w:r w:rsidR="00AA0EEF" w:rsidRPr="00237058">
        <w:rPr>
          <w:rStyle w:val="BodyTextChar"/>
        </w:rPr>
        <w:t>data collection effort has not taken</w:t>
      </w:r>
      <w:r w:rsidR="00AA0EEF" w:rsidRPr="00237058">
        <w:t xml:space="preserve"> place previously. </w:t>
      </w:r>
    </w:p>
    <w:p w:rsidR="00AA7915" w:rsidRDefault="00AA7915" w:rsidP="00053ACA"/>
    <w:p w:rsidR="006265F7" w:rsidRPr="00237058" w:rsidRDefault="006265F7" w:rsidP="00053ACA"/>
    <w:p w:rsidR="00851A88" w:rsidRDefault="00851A88" w:rsidP="00053ACA">
      <w:pPr>
        <w:rPr>
          <w:b/>
        </w:rPr>
      </w:pPr>
      <w:bookmarkStart w:id="8" w:name="_Toc443881746"/>
      <w:bookmarkStart w:id="9" w:name="_Toc451592235"/>
      <w:bookmarkStart w:id="10" w:name="_Toc5610276"/>
      <w:bookmarkStart w:id="11" w:name="_Toc99178782"/>
    </w:p>
    <w:p w:rsidR="00851A88" w:rsidRDefault="00851A88" w:rsidP="00053ACA">
      <w:pPr>
        <w:rPr>
          <w:b/>
        </w:rPr>
      </w:pPr>
    </w:p>
    <w:p w:rsidR="00851A88" w:rsidRDefault="00851A88" w:rsidP="00053ACA">
      <w:pPr>
        <w:rPr>
          <w:b/>
        </w:rPr>
      </w:pPr>
    </w:p>
    <w:p w:rsidR="00AA0EEF" w:rsidRPr="00237058" w:rsidRDefault="00C4216D" w:rsidP="00053ACA">
      <w:pPr>
        <w:rPr>
          <w:b/>
        </w:rPr>
      </w:pPr>
      <w:r w:rsidRPr="00237058">
        <w:rPr>
          <w:b/>
        </w:rPr>
        <w:lastRenderedPageBreak/>
        <w:t>A.5</w:t>
      </w:r>
      <w:r w:rsidRPr="00237058">
        <w:rPr>
          <w:b/>
        </w:rPr>
        <w:tab/>
        <w:t>Impact on Small Businesses or Other Small Entities</w:t>
      </w:r>
      <w:bookmarkEnd w:id="8"/>
      <w:bookmarkEnd w:id="9"/>
      <w:bookmarkEnd w:id="10"/>
      <w:bookmarkEnd w:id="11"/>
    </w:p>
    <w:p w:rsidR="00AA0EEF" w:rsidRPr="00237058" w:rsidRDefault="00AA0EEF" w:rsidP="00053ACA"/>
    <w:p w:rsidR="00AA0EEF" w:rsidRPr="00237058" w:rsidRDefault="00B234ED" w:rsidP="00053ACA">
      <w:r w:rsidRPr="00237058">
        <w:t>No small businesses or other small entities will be involved in this study.</w:t>
      </w:r>
      <w:r w:rsidR="00992F5F" w:rsidRPr="00237058">
        <w:t xml:space="preserve"> The health care </w:t>
      </w:r>
      <w:r w:rsidRPr="00237058">
        <w:t>providers</w:t>
      </w:r>
      <w:r w:rsidR="007C31B0" w:rsidRPr="00237058">
        <w:t xml:space="preserve"> involved in the campaign are hos</w:t>
      </w:r>
      <w:r w:rsidR="005A35FA" w:rsidRPr="00237058">
        <w:t>pital-based and part of a large</w:t>
      </w:r>
      <w:r w:rsidR="007C31B0" w:rsidRPr="00237058">
        <w:t xml:space="preserve"> health network.</w:t>
      </w:r>
    </w:p>
    <w:p w:rsidR="00AA0EEF" w:rsidRPr="00237058" w:rsidRDefault="00AA0EEF" w:rsidP="00053ACA"/>
    <w:p w:rsidR="00AA0EEF" w:rsidRPr="00237058" w:rsidRDefault="00C4216D" w:rsidP="00053ACA">
      <w:pPr>
        <w:rPr>
          <w:b/>
        </w:rPr>
      </w:pPr>
      <w:bookmarkStart w:id="12" w:name="_Toc443881747"/>
      <w:bookmarkStart w:id="13" w:name="_Toc451592236"/>
      <w:bookmarkStart w:id="14" w:name="_Toc5610277"/>
      <w:bookmarkStart w:id="15" w:name="_Toc99178783"/>
      <w:r w:rsidRPr="00237058">
        <w:rPr>
          <w:b/>
        </w:rPr>
        <w:t>A.6</w:t>
      </w:r>
      <w:r w:rsidRPr="00237058">
        <w:rPr>
          <w:b/>
        </w:rPr>
        <w:tab/>
        <w:t>Consequences of Collecting the Information Less Frequently</w:t>
      </w:r>
      <w:bookmarkEnd w:id="12"/>
      <w:bookmarkEnd w:id="13"/>
      <w:bookmarkEnd w:id="14"/>
      <w:bookmarkEnd w:id="15"/>
    </w:p>
    <w:p w:rsidR="00AA0EEF" w:rsidRPr="00237058" w:rsidRDefault="00AA0EEF" w:rsidP="00053ACA">
      <w:pPr>
        <w:rPr>
          <w:b/>
        </w:rPr>
      </w:pPr>
    </w:p>
    <w:p w:rsidR="007A203E" w:rsidRPr="00237058" w:rsidRDefault="00B234ED" w:rsidP="00EB1F3C">
      <w:r w:rsidRPr="00237058">
        <w:rPr>
          <w:rStyle w:val="BodyTextChar"/>
        </w:rPr>
        <w:t>Currently there is a</w:t>
      </w:r>
      <w:r w:rsidR="00504F95" w:rsidRPr="00237058">
        <w:rPr>
          <w:rStyle w:val="BodyTextChar"/>
        </w:rPr>
        <w:t xml:space="preserve"> lack of </w:t>
      </w:r>
      <w:r w:rsidR="00EC4A11" w:rsidRPr="00237058">
        <w:rPr>
          <w:rStyle w:val="BodyTextChar"/>
        </w:rPr>
        <w:t xml:space="preserve">research and data to </w:t>
      </w:r>
      <w:r w:rsidR="00504F95" w:rsidRPr="00237058">
        <w:rPr>
          <w:rStyle w:val="BodyTextChar"/>
        </w:rPr>
        <w:t xml:space="preserve">understand the delivery of </w:t>
      </w:r>
      <w:r w:rsidRPr="00237058">
        <w:rPr>
          <w:rStyle w:val="BodyTextChar"/>
        </w:rPr>
        <w:t>pediatric palliative care.</w:t>
      </w:r>
      <w:r w:rsidR="00504F95" w:rsidRPr="00237058">
        <w:rPr>
          <w:rStyle w:val="BodyTextChar"/>
        </w:rPr>
        <w:t xml:space="preserve"> </w:t>
      </w:r>
      <w:r w:rsidRPr="00237058">
        <w:rPr>
          <w:rStyle w:val="BodyTextChar"/>
        </w:rPr>
        <w:t>Assessment of this</w:t>
      </w:r>
      <w:r w:rsidR="00106848">
        <w:rPr>
          <w:rStyle w:val="BodyTextChar"/>
        </w:rPr>
        <w:t xml:space="preserve"> campaign</w:t>
      </w:r>
      <w:r w:rsidR="00504F95" w:rsidRPr="00237058">
        <w:rPr>
          <w:rStyle w:val="BodyTextChar"/>
        </w:rPr>
        <w:t xml:space="preserve"> </w:t>
      </w:r>
      <w:r w:rsidRPr="00237058">
        <w:rPr>
          <w:rStyle w:val="BodyTextChar"/>
        </w:rPr>
        <w:t xml:space="preserve">will be </w:t>
      </w:r>
      <w:r w:rsidR="00504F95" w:rsidRPr="00237058">
        <w:rPr>
          <w:rStyle w:val="BodyTextChar"/>
        </w:rPr>
        <w:t xml:space="preserve">used to help the </w:t>
      </w:r>
      <w:r w:rsidRPr="00237058">
        <w:rPr>
          <w:rStyle w:val="BodyTextChar"/>
        </w:rPr>
        <w:t xml:space="preserve">National Institutes of Health </w:t>
      </w:r>
      <w:r w:rsidR="00504F95" w:rsidRPr="00237058">
        <w:rPr>
          <w:rStyle w:val="BodyTextChar"/>
        </w:rPr>
        <w:t>with future communications efforts. The vi</w:t>
      </w:r>
      <w:r w:rsidR="00437B67" w:rsidRPr="00237058">
        <w:rPr>
          <w:rStyle w:val="BodyTextChar"/>
        </w:rPr>
        <w:t>ability and utility of the</w:t>
      </w:r>
      <w:r w:rsidR="00EB1F3C" w:rsidRPr="00237058">
        <w:rPr>
          <w:rStyle w:val="BodyTextChar"/>
        </w:rPr>
        <w:t xml:space="preserve"> </w:t>
      </w:r>
      <w:r w:rsidR="00106848" w:rsidRPr="00CB6435">
        <w:rPr>
          <w:i/>
        </w:rPr>
        <w:t>Palliative Care: Conversations Matter</w:t>
      </w:r>
      <w:r w:rsidR="00106848">
        <w:t xml:space="preserve"> campaign</w:t>
      </w:r>
      <w:r w:rsidR="00EB1F3C" w:rsidRPr="00237058">
        <w:rPr>
          <w:rStyle w:val="BodyTextChar"/>
        </w:rPr>
        <w:t xml:space="preserve"> </w:t>
      </w:r>
      <w:r w:rsidR="00504F95" w:rsidRPr="00237058">
        <w:rPr>
          <w:rStyle w:val="BodyTextChar"/>
        </w:rPr>
        <w:t>may be adversely</w:t>
      </w:r>
      <w:r w:rsidR="00504F95" w:rsidRPr="00237058">
        <w:t xml:space="preserve"> affected if the information is not collected.</w:t>
      </w:r>
    </w:p>
    <w:p w:rsidR="007A203E" w:rsidRPr="00237058" w:rsidRDefault="007A203E" w:rsidP="00053ACA"/>
    <w:p w:rsidR="00AA0EEF" w:rsidRPr="00237058" w:rsidRDefault="00C4216D" w:rsidP="00053ACA">
      <w:pPr>
        <w:rPr>
          <w:b/>
        </w:rPr>
      </w:pPr>
      <w:r w:rsidRPr="00237058">
        <w:rPr>
          <w:b/>
        </w:rPr>
        <w:t>A.7</w:t>
      </w:r>
      <w:r w:rsidRPr="00237058">
        <w:rPr>
          <w:b/>
        </w:rPr>
        <w:tab/>
        <w:t xml:space="preserve">Special Circumstances Relating to the Guidelines of 5 </w:t>
      </w:r>
      <w:smartTag w:uri="urn:schemas-microsoft-com:office:smarttags" w:element="stockticker">
        <w:r w:rsidRPr="00237058">
          <w:rPr>
            <w:b/>
          </w:rPr>
          <w:t>CFR</w:t>
        </w:r>
      </w:smartTag>
      <w:r w:rsidRPr="00237058">
        <w:rPr>
          <w:b/>
        </w:rPr>
        <w:t xml:space="preserve"> 1320.5</w:t>
      </w:r>
    </w:p>
    <w:p w:rsidR="00AA0EEF" w:rsidRPr="00237058" w:rsidRDefault="00AA0EEF" w:rsidP="00053ACA">
      <w:pPr>
        <w:rPr>
          <w:b/>
        </w:rPr>
      </w:pPr>
    </w:p>
    <w:p w:rsidR="001F7074" w:rsidRPr="00237058" w:rsidRDefault="002735A0" w:rsidP="002735A0">
      <w:pPr>
        <w:pStyle w:val="BodyText"/>
      </w:pPr>
      <w:r w:rsidRPr="00237058">
        <w:t>No special circumstances are anticipated. This information collection fully complies with 5 CFR 1320.5(d) (2).</w:t>
      </w:r>
      <w:r w:rsidR="007C31B0" w:rsidRPr="00237058">
        <w:t xml:space="preserve"> Due to the small sample size, this data collection will not provide the statistical rigor necessary to generalize the results.</w:t>
      </w:r>
    </w:p>
    <w:p w:rsidR="00180E62" w:rsidRPr="00237058" w:rsidRDefault="00180E62" w:rsidP="00053ACA">
      <w:pPr>
        <w:rPr>
          <w:b/>
        </w:rPr>
      </w:pPr>
      <w:bookmarkStart w:id="16" w:name="_Toc443881749"/>
      <w:bookmarkStart w:id="17" w:name="_Toc451592238"/>
      <w:bookmarkStart w:id="18" w:name="_Toc5610279"/>
      <w:bookmarkStart w:id="19" w:name="_Toc99178785"/>
    </w:p>
    <w:p w:rsidR="00AA0EEF" w:rsidRPr="00237058" w:rsidRDefault="00C4216D" w:rsidP="00053ACA">
      <w:pPr>
        <w:rPr>
          <w:b/>
        </w:rPr>
      </w:pPr>
      <w:r w:rsidRPr="00237058">
        <w:rPr>
          <w:b/>
        </w:rPr>
        <w:t>A.8</w:t>
      </w:r>
      <w:r w:rsidRPr="00237058">
        <w:rPr>
          <w:b/>
        </w:rPr>
        <w:tab/>
        <w:t>Comments in Response to the Federal Register Notice and Efforts to Consult Outside Agency</w:t>
      </w:r>
      <w:bookmarkEnd w:id="16"/>
      <w:bookmarkEnd w:id="17"/>
      <w:bookmarkEnd w:id="18"/>
      <w:bookmarkEnd w:id="19"/>
    </w:p>
    <w:p w:rsidR="00AA0EEF" w:rsidRPr="00237058" w:rsidRDefault="00AA0EEF" w:rsidP="00053ACA"/>
    <w:p w:rsidR="002735A0" w:rsidRPr="00237058" w:rsidRDefault="002735A0" w:rsidP="002735A0">
      <w:pPr>
        <w:pStyle w:val="BodyText"/>
      </w:pPr>
      <w:r w:rsidRPr="00237058">
        <w:t>As required by 5 CFR 1320, a 60-day notice o</w:t>
      </w:r>
      <w:r w:rsidR="00367D2C" w:rsidRPr="00237058">
        <w:t>f this proposed data collection</w:t>
      </w:r>
      <w:r w:rsidRPr="00237058">
        <w:t xml:space="preserve"> was pu</w:t>
      </w:r>
      <w:r w:rsidRPr="00DB6031">
        <w:t xml:space="preserve">blished in the </w:t>
      </w:r>
      <w:r w:rsidRPr="00DB6031">
        <w:rPr>
          <w:u w:val="single"/>
        </w:rPr>
        <w:t>Federal Register</w:t>
      </w:r>
      <w:r w:rsidRPr="00DB6031">
        <w:t xml:space="preserve">, </w:t>
      </w:r>
      <w:r w:rsidR="00DB6031" w:rsidRPr="00DB6031">
        <w:t xml:space="preserve">Volume </w:t>
      </w:r>
      <w:r w:rsidR="00DB6031" w:rsidRPr="00DB6031">
        <w:rPr>
          <w:lang w:val="en-US"/>
        </w:rPr>
        <w:t>78</w:t>
      </w:r>
      <w:r w:rsidR="00DB6031" w:rsidRPr="00DB6031">
        <w:t xml:space="preserve">, Number </w:t>
      </w:r>
      <w:r w:rsidR="00DB6031" w:rsidRPr="00DB6031">
        <w:rPr>
          <w:lang w:val="en-US"/>
        </w:rPr>
        <w:t>115</w:t>
      </w:r>
      <w:r w:rsidR="00DB6031" w:rsidRPr="00DB6031">
        <w:t xml:space="preserve">, Page </w:t>
      </w:r>
      <w:r w:rsidR="00DB6031" w:rsidRPr="00DB6031">
        <w:rPr>
          <w:lang w:val="en-US"/>
        </w:rPr>
        <w:t>35942</w:t>
      </w:r>
      <w:r w:rsidRPr="00DB6031">
        <w:t xml:space="preserve"> on </w:t>
      </w:r>
      <w:r w:rsidR="00DB6031" w:rsidRPr="00DB6031">
        <w:rPr>
          <w:lang w:val="en-US"/>
        </w:rPr>
        <w:t>June 14</w:t>
      </w:r>
      <w:r w:rsidRPr="00DB6031">
        <w:t>, 201</w:t>
      </w:r>
      <w:r w:rsidR="00CD422E" w:rsidRPr="00DB6031">
        <w:rPr>
          <w:lang w:val="en-US"/>
        </w:rPr>
        <w:t>3</w:t>
      </w:r>
      <w:r w:rsidRPr="00DB6031">
        <w:t>, and allowed 60-days for public comment. No public comments were received.</w:t>
      </w:r>
      <w:r w:rsidRPr="00237058">
        <w:rPr>
          <w:i/>
        </w:rPr>
        <w:t xml:space="preserve"> </w:t>
      </w:r>
    </w:p>
    <w:p w:rsidR="00AB2686" w:rsidRPr="00237058" w:rsidRDefault="00AB2686" w:rsidP="00053ACA"/>
    <w:p w:rsidR="00AB2686" w:rsidRPr="00237058" w:rsidRDefault="00920596" w:rsidP="00053ACA">
      <w:pPr>
        <w:rPr>
          <w:bCs/>
        </w:rPr>
      </w:pPr>
      <w:r w:rsidRPr="00237058">
        <w:rPr>
          <w:bCs/>
        </w:rPr>
        <w:t>In 201</w:t>
      </w:r>
      <w:r w:rsidR="00F27C87">
        <w:rPr>
          <w:bCs/>
        </w:rPr>
        <w:t>3</w:t>
      </w:r>
      <w:r w:rsidRPr="00237058">
        <w:rPr>
          <w:bCs/>
        </w:rPr>
        <w:t xml:space="preserve">, </w:t>
      </w:r>
      <w:r w:rsidR="00C4216D" w:rsidRPr="00237058">
        <w:rPr>
          <w:bCs/>
        </w:rPr>
        <w:t>NINR consulted with several individuals outside the agency regarding the proposed information collection</w:t>
      </w:r>
      <w:r w:rsidR="00B331D5" w:rsidRPr="00237058">
        <w:rPr>
          <w:bCs/>
        </w:rPr>
        <w:t xml:space="preserve"> including Ogilvy Washington, a communications consultancy</w:t>
      </w:r>
      <w:r w:rsidR="002735A0" w:rsidRPr="00237058">
        <w:rPr>
          <w:bCs/>
        </w:rPr>
        <w:t xml:space="preserve"> with expertise in communication campaigns</w:t>
      </w:r>
      <w:r w:rsidR="007C3156" w:rsidRPr="00237058">
        <w:rPr>
          <w:bCs/>
        </w:rPr>
        <w:t>,</w:t>
      </w:r>
      <w:r w:rsidR="00B331D5" w:rsidRPr="00237058">
        <w:rPr>
          <w:bCs/>
        </w:rPr>
        <w:t xml:space="preserve"> and </w:t>
      </w:r>
      <w:r w:rsidR="00EB1F3C" w:rsidRPr="00237058">
        <w:rPr>
          <w:bCs/>
        </w:rPr>
        <w:t>the NIH Center for Information Technology</w:t>
      </w:r>
      <w:r w:rsidR="002735A0" w:rsidRPr="00237058">
        <w:rPr>
          <w:bCs/>
        </w:rPr>
        <w:t>, an office with expertise in online surveys. They provided comments and suggestions on availability of data, data collection, clarity of instructions and recordkeeping, disclosure, reporting format, and data elements to be recorded disclosed, or reported</w:t>
      </w:r>
      <w:r w:rsidR="00C4216D" w:rsidRPr="00237058">
        <w:rPr>
          <w:bCs/>
        </w:rPr>
        <w:t xml:space="preserve">. </w:t>
      </w:r>
      <w:r w:rsidR="002735A0" w:rsidRPr="00237058">
        <w:rPr>
          <w:bCs/>
        </w:rPr>
        <w:t xml:space="preserve">These consultants </w:t>
      </w:r>
      <w:r w:rsidR="00C4216D" w:rsidRPr="00237058">
        <w:rPr>
          <w:bCs/>
        </w:rPr>
        <w:t>include the following ca</w:t>
      </w:r>
      <w:r w:rsidR="00EB1F3C" w:rsidRPr="00237058">
        <w:rPr>
          <w:bCs/>
        </w:rPr>
        <w:t>mpaign staff</w:t>
      </w:r>
      <w:r w:rsidR="00C4216D" w:rsidRPr="00237058">
        <w:rPr>
          <w:bCs/>
        </w:rPr>
        <w:t xml:space="preserve"> and </w:t>
      </w:r>
      <w:r w:rsidR="00B331D5" w:rsidRPr="00237058">
        <w:rPr>
          <w:bCs/>
        </w:rPr>
        <w:t>subject matter</w:t>
      </w:r>
      <w:r w:rsidR="00C4216D" w:rsidRPr="00237058">
        <w:rPr>
          <w:bCs/>
        </w:rPr>
        <w:t xml:space="preserve"> experts:</w:t>
      </w:r>
    </w:p>
    <w:p w:rsidR="002F3608" w:rsidRPr="00237058" w:rsidRDefault="002F3608" w:rsidP="00053ACA">
      <w:pPr>
        <w:rPr>
          <w:bCs/>
        </w:rPr>
      </w:pPr>
    </w:p>
    <w:p w:rsidR="007C3156" w:rsidRPr="00237058" w:rsidRDefault="007C3156" w:rsidP="007C3156">
      <w:pPr>
        <w:numPr>
          <w:ilvl w:val="0"/>
          <w:numId w:val="6"/>
        </w:numPr>
      </w:pPr>
      <w:r w:rsidRPr="00237058">
        <w:t xml:space="preserve">Raquel </w:t>
      </w:r>
      <w:proofErr w:type="spellStart"/>
      <w:r w:rsidRPr="00237058">
        <w:t>García-Pertusa</w:t>
      </w:r>
      <w:proofErr w:type="spellEnd"/>
      <w:r w:rsidRPr="00237058">
        <w:t xml:space="preserve">, </w:t>
      </w:r>
      <w:r w:rsidR="00920596" w:rsidRPr="00237058">
        <w:t xml:space="preserve">Vice President, </w:t>
      </w:r>
      <w:r w:rsidRPr="00237058">
        <w:t>Ogilvy Washington</w:t>
      </w:r>
    </w:p>
    <w:p w:rsidR="007C3156" w:rsidRPr="00237058" w:rsidRDefault="007C3156" w:rsidP="007C3156">
      <w:pPr>
        <w:ind w:left="720"/>
      </w:pPr>
      <w:r w:rsidRPr="00237058">
        <w:t>202-729-4269, raquel.garciapertusa@ogilvy.com</w:t>
      </w:r>
    </w:p>
    <w:p w:rsidR="002E391F" w:rsidRPr="00237058" w:rsidRDefault="005A35FA" w:rsidP="007C3156">
      <w:pPr>
        <w:numPr>
          <w:ilvl w:val="0"/>
          <w:numId w:val="6"/>
        </w:numPr>
      </w:pPr>
      <w:r w:rsidRPr="00237058">
        <w:t>Jenna Norton, MPH</w:t>
      </w:r>
      <w:r w:rsidR="002E391F" w:rsidRPr="00237058">
        <w:t xml:space="preserve">, </w:t>
      </w:r>
      <w:r w:rsidR="00920596" w:rsidRPr="00237058">
        <w:t xml:space="preserve">Senior Account Executive, </w:t>
      </w:r>
      <w:r w:rsidR="002E391F" w:rsidRPr="00237058">
        <w:t>Ogilvy Washington</w:t>
      </w:r>
    </w:p>
    <w:p w:rsidR="002E391F" w:rsidRPr="00237058" w:rsidRDefault="007C3156" w:rsidP="002E391F">
      <w:pPr>
        <w:ind w:left="720"/>
      </w:pPr>
      <w:r w:rsidRPr="00237058">
        <w:t>202-729-4043</w:t>
      </w:r>
      <w:r w:rsidR="002E391F" w:rsidRPr="00237058">
        <w:t xml:space="preserve">, </w:t>
      </w:r>
      <w:r w:rsidRPr="00237058">
        <w:t>jenna.norton</w:t>
      </w:r>
      <w:r w:rsidR="002E391F" w:rsidRPr="00237058">
        <w:t>@ogilvy.com</w:t>
      </w:r>
    </w:p>
    <w:p w:rsidR="005E6528" w:rsidRPr="00237058" w:rsidRDefault="00EB1F3C" w:rsidP="00996DFA">
      <w:pPr>
        <w:numPr>
          <w:ilvl w:val="0"/>
          <w:numId w:val="6"/>
        </w:numPr>
      </w:pPr>
      <w:r w:rsidRPr="00237058">
        <w:t xml:space="preserve">Aileen Kelly, </w:t>
      </w:r>
      <w:r w:rsidR="00367D2C" w:rsidRPr="00237058">
        <w:t>S</w:t>
      </w:r>
      <w:r w:rsidR="00420B97" w:rsidRPr="00237058">
        <w:t>ta</w:t>
      </w:r>
      <w:r w:rsidR="00367D2C" w:rsidRPr="00237058">
        <w:t>ff M</w:t>
      </w:r>
      <w:r w:rsidR="00420B97" w:rsidRPr="00237058">
        <w:t xml:space="preserve">ember, </w:t>
      </w:r>
      <w:r w:rsidRPr="00237058">
        <w:t>NIH Center for Information Technology</w:t>
      </w:r>
    </w:p>
    <w:p w:rsidR="005E6528" w:rsidRPr="00237058" w:rsidRDefault="007C3156" w:rsidP="005E6528">
      <w:pPr>
        <w:ind w:left="720"/>
      </w:pPr>
      <w:r w:rsidRPr="00237058">
        <w:t>301-496-6674, kellya@mail.nih.gov</w:t>
      </w:r>
    </w:p>
    <w:p w:rsidR="002E391F" w:rsidRPr="00237058" w:rsidRDefault="00EB1F3C" w:rsidP="00EB1F3C">
      <w:pPr>
        <w:numPr>
          <w:ilvl w:val="0"/>
          <w:numId w:val="9"/>
        </w:numPr>
      </w:pPr>
      <w:r w:rsidRPr="00237058">
        <w:t xml:space="preserve">Rick Rowland, </w:t>
      </w:r>
      <w:r w:rsidR="00920596" w:rsidRPr="00237058">
        <w:t xml:space="preserve">Consultant, </w:t>
      </w:r>
      <w:r w:rsidRPr="00237058">
        <w:t>NIH Center for Information Technology</w:t>
      </w:r>
      <w:r w:rsidR="005043E5" w:rsidRPr="00237058">
        <w:br/>
      </w:r>
      <w:r w:rsidR="007C3156" w:rsidRPr="00237058">
        <w:t>301</w:t>
      </w:r>
      <w:r w:rsidR="005A35FA" w:rsidRPr="00237058">
        <w:t>-402-</w:t>
      </w:r>
      <w:r w:rsidR="007C3156" w:rsidRPr="00237058">
        <w:t>8767, rowlandr@mail.nih.gov</w:t>
      </w:r>
    </w:p>
    <w:p w:rsidR="00C4216D" w:rsidRDefault="00C4216D" w:rsidP="00053ACA"/>
    <w:p w:rsidR="00AB2686" w:rsidRPr="00237058" w:rsidRDefault="00C4216D" w:rsidP="00053ACA">
      <w:pPr>
        <w:rPr>
          <w:b/>
        </w:rPr>
      </w:pPr>
      <w:bookmarkStart w:id="20" w:name="_Toc443881750"/>
      <w:bookmarkStart w:id="21" w:name="_Toc451592239"/>
      <w:bookmarkStart w:id="22" w:name="_Toc5610280"/>
      <w:bookmarkStart w:id="23" w:name="_Toc99178786"/>
      <w:r w:rsidRPr="00237058">
        <w:rPr>
          <w:b/>
        </w:rPr>
        <w:lastRenderedPageBreak/>
        <w:t>A.9</w:t>
      </w:r>
      <w:r w:rsidRPr="00237058">
        <w:rPr>
          <w:b/>
        </w:rPr>
        <w:tab/>
        <w:t>Explanation of Any Payment of Gift to Respondents</w:t>
      </w:r>
      <w:bookmarkEnd w:id="20"/>
      <w:bookmarkEnd w:id="21"/>
      <w:bookmarkEnd w:id="22"/>
      <w:bookmarkEnd w:id="23"/>
    </w:p>
    <w:p w:rsidR="00C106B0" w:rsidRPr="008527F6" w:rsidRDefault="00C106B0" w:rsidP="00C106B0">
      <w:pPr>
        <w:pStyle w:val="BodyText"/>
        <w:rPr>
          <w:szCs w:val="22"/>
        </w:rPr>
      </w:pPr>
      <w:r w:rsidRPr="008527F6">
        <w:rPr>
          <w:szCs w:val="22"/>
        </w:rPr>
        <w:t>Payment for participating in an interview or survey is standard practice when seeking participation of health care providers such as physicians, nurses, and social workers. The incentive payment is an effective method of drawing health care providers’ attention to the study and gaining cooperation in completing the survey. It is not intended to be a payment for their time, but an incentive to increase response rate.  Historically, health care providers are one of the most difficult populations to survey, partly because of the demands on their professional time. Consequently, incentives assume an even greater importance with this group.</w:t>
      </w:r>
    </w:p>
    <w:p w:rsidR="00C106B0" w:rsidRPr="008527F6" w:rsidRDefault="00C106B0" w:rsidP="00C106B0">
      <w:pPr>
        <w:rPr>
          <w:color w:val="000000"/>
          <w:szCs w:val="22"/>
        </w:rPr>
      </w:pPr>
      <w:r w:rsidRPr="008527F6">
        <w:rPr>
          <w:bCs/>
          <w:color w:val="000000"/>
          <w:szCs w:val="22"/>
        </w:rPr>
        <w:t xml:space="preserve">The use of an incentive is consistent with OMB standards for incentive use because the incentive will help improve coverage of specialized respondents (i.e., health care professionals).  </w:t>
      </w:r>
      <w:r w:rsidRPr="008527F6">
        <w:rPr>
          <w:color w:val="000000"/>
          <w:szCs w:val="22"/>
        </w:rPr>
        <w:t>Two recently approved Federal surveys involved providing incentives to health care professionals at a rate of $50-$75 for a 20 minutes survey: “Health Care Professional Survey of Prescription Drug Promotion” (OMB No. 0910-0730, Expiration Date 2/29/2016) and “Survey of Primary Care Physicians on Oral Health” (OMB No. 0990-0403, Expiration Date 11/30/2015).</w:t>
      </w:r>
    </w:p>
    <w:p w:rsidR="00C106B0" w:rsidRPr="008527F6" w:rsidRDefault="00C106B0" w:rsidP="00C106B0">
      <w:pPr>
        <w:rPr>
          <w:szCs w:val="22"/>
        </w:rPr>
      </w:pPr>
    </w:p>
    <w:p w:rsidR="00C106B0" w:rsidRPr="008527F6" w:rsidRDefault="00C106B0" w:rsidP="00C106B0">
      <w:pPr>
        <w:rPr>
          <w:szCs w:val="22"/>
        </w:rPr>
      </w:pPr>
      <w:r w:rsidRPr="008527F6">
        <w:rPr>
          <w:szCs w:val="22"/>
        </w:rPr>
        <w:t>NINR believes that in order to achieve an adequate response rate for this survey, it is essential to offer a modest incentive of a $25 gift card</w:t>
      </w:r>
      <w:r w:rsidRPr="008527F6">
        <w:rPr>
          <w:szCs w:val="22"/>
          <w:lang w:val="x-none"/>
        </w:rPr>
        <w:t xml:space="preserve"> for </w:t>
      </w:r>
      <w:r w:rsidRPr="008527F6">
        <w:rPr>
          <w:szCs w:val="22"/>
        </w:rPr>
        <w:t>completing each survey</w:t>
      </w:r>
      <w:r w:rsidRPr="008527F6">
        <w:rPr>
          <w:szCs w:val="22"/>
          <w:lang w:val="x-none"/>
        </w:rPr>
        <w:t xml:space="preserve">.  </w:t>
      </w:r>
      <w:r w:rsidRPr="008527F6">
        <w:rPr>
          <w:szCs w:val="22"/>
        </w:rPr>
        <w:t>There is considerable evidence in the literature showing that the most effective way to increase response rates among health care professionals is by offering a monetary incentive.  The following studies have examined the influence of incentives on health care professional participation in research:</w:t>
      </w:r>
    </w:p>
    <w:p w:rsidR="00C106B0" w:rsidRPr="008527F6" w:rsidRDefault="00C106B0" w:rsidP="00FE738F">
      <w:pPr>
        <w:pStyle w:val="ListParagraph"/>
        <w:numPr>
          <w:ilvl w:val="0"/>
          <w:numId w:val="17"/>
        </w:numPr>
        <w:spacing w:before="120" w:after="120" w:line="240" w:lineRule="auto"/>
        <w:ind w:left="360"/>
        <w:rPr>
          <w:rFonts w:ascii="Times New Roman" w:hAnsi="Times New Roman" w:cs="Times New Roman"/>
          <w:sz w:val="24"/>
        </w:rPr>
      </w:pPr>
      <w:r w:rsidRPr="008527F6">
        <w:rPr>
          <w:rFonts w:ascii="Times New Roman" w:hAnsi="Times New Roman" w:cs="Times New Roman"/>
          <w:sz w:val="24"/>
        </w:rPr>
        <w:t xml:space="preserve">VanGeest et al. (2007) conducted a meta-analysis on methodologies for improving response rates in physician surveys. They examined 21 studies published between 1981 and 2006 that investigated the effect of monetary incentives on response rates in surveys of physicians.  Looking at the results from all studies, the odds of responding to a survey with an incentive were 2.13 times greater than responding to a survey without incentives. (VanGeest, J., T. Johnson, and V. Welch. Methodologies for Improving Response Rates in Surveys of Physicians: A Systematic Review, </w:t>
      </w:r>
      <w:r w:rsidRPr="008527F6">
        <w:rPr>
          <w:rFonts w:ascii="Times New Roman" w:hAnsi="Times New Roman" w:cs="Times New Roman"/>
          <w:i/>
          <w:iCs/>
          <w:sz w:val="24"/>
        </w:rPr>
        <w:t>Evaluation and the Health Professions</w:t>
      </w:r>
      <w:r w:rsidRPr="008527F6">
        <w:rPr>
          <w:rFonts w:ascii="Times New Roman" w:hAnsi="Times New Roman" w:cs="Times New Roman"/>
          <w:sz w:val="24"/>
        </w:rPr>
        <w:t>, vol. 30, pp. 303-321, 2007.)</w:t>
      </w:r>
    </w:p>
    <w:p w:rsidR="00C106B0" w:rsidRPr="008527F6" w:rsidRDefault="00C106B0" w:rsidP="00FE738F">
      <w:pPr>
        <w:pStyle w:val="ListParagraph"/>
        <w:numPr>
          <w:ilvl w:val="0"/>
          <w:numId w:val="17"/>
        </w:numPr>
        <w:spacing w:before="120" w:after="120" w:line="240" w:lineRule="auto"/>
        <w:ind w:left="360"/>
        <w:rPr>
          <w:rFonts w:ascii="Times New Roman" w:hAnsi="Times New Roman" w:cs="Times New Roman"/>
          <w:sz w:val="24"/>
        </w:rPr>
      </w:pPr>
      <w:r w:rsidRPr="008527F6">
        <w:rPr>
          <w:rFonts w:ascii="Times New Roman" w:hAnsi="Times New Roman" w:cs="Times New Roman"/>
          <w:sz w:val="24"/>
        </w:rPr>
        <w:t xml:space="preserve">Thorpe et al. (2008) conducted several studies with physicians in Canada. They found that when they applied the Dillman tailored design approach and used monetary incentives (gift certificates), their response rates increased from 48% to 74–76%. (Thorpe, C., B. Ryan, S. McLean, et al. How to Obtain Excellent Response Rates When Surveying Physicians, </w:t>
      </w:r>
      <w:r w:rsidRPr="008527F6">
        <w:rPr>
          <w:rFonts w:ascii="Times New Roman" w:hAnsi="Times New Roman" w:cs="Times New Roman"/>
          <w:i/>
          <w:iCs/>
          <w:sz w:val="24"/>
        </w:rPr>
        <w:t>Family Practice</w:t>
      </w:r>
      <w:r w:rsidRPr="008527F6">
        <w:rPr>
          <w:rFonts w:ascii="Times New Roman" w:hAnsi="Times New Roman" w:cs="Times New Roman"/>
          <w:sz w:val="24"/>
        </w:rPr>
        <w:t>, vol. 26(1), pp. 65-68, 2008.)</w:t>
      </w:r>
    </w:p>
    <w:p w:rsidR="00C106B0" w:rsidRPr="008527F6" w:rsidRDefault="00C106B0" w:rsidP="00FE738F">
      <w:pPr>
        <w:pStyle w:val="ListParagraph"/>
        <w:numPr>
          <w:ilvl w:val="0"/>
          <w:numId w:val="17"/>
        </w:numPr>
        <w:spacing w:before="120" w:after="120" w:line="240" w:lineRule="auto"/>
        <w:ind w:left="360"/>
        <w:rPr>
          <w:rFonts w:ascii="Times New Roman" w:hAnsi="Times New Roman" w:cs="Times New Roman"/>
          <w:sz w:val="24"/>
        </w:rPr>
      </w:pPr>
      <w:r w:rsidRPr="008527F6">
        <w:rPr>
          <w:rFonts w:ascii="Times New Roman" w:hAnsi="Times New Roman" w:cs="Times New Roman"/>
          <w:sz w:val="24"/>
        </w:rPr>
        <w:t xml:space="preserve">VanGeest and Johnson (2011).   Similar to the meta-analysis conducted with physicians, the authors examined 22 published reports on strategies for increasing response rates with nurses. The authors found that monetary incentives were </w:t>
      </w:r>
      <w:bookmarkStart w:id="24" w:name="_GoBack"/>
      <w:bookmarkEnd w:id="24"/>
      <w:r w:rsidRPr="008527F6">
        <w:rPr>
          <w:rFonts w:ascii="Times New Roman" w:hAnsi="Times New Roman" w:cs="Times New Roman"/>
          <w:sz w:val="24"/>
        </w:rPr>
        <w:t xml:space="preserve">beneficial in boosting response rates. (VanGeest, J. and T. Johnson. Surveying Nurses: Identifying Strategies to Improve Participation, </w:t>
      </w:r>
      <w:r w:rsidRPr="008527F6">
        <w:rPr>
          <w:rFonts w:ascii="Times New Roman" w:hAnsi="Times New Roman" w:cs="Times New Roman"/>
          <w:i/>
          <w:iCs/>
          <w:sz w:val="24"/>
        </w:rPr>
        <w:t>Evaluation and the Health Professions</w:t>
      </w:r>
      <w:r w:rsidRPr="008527F6">
        <w:rPr>
          <w:rFonts w:ascii="Times New Roman" w:hAnsi="Times New Roman" w:cs="Times New Roman"/>
          <w:sz w:val="24"/>
        </w:rPr>
        <w:t>, vol. 34(4), pp. 487-511, 2011.)</w:t>
      </w:r>
    </w:p>
    <w:p w:rsidR="00C106B0" w:rsidRPr="008527F6" w:rsidRDefault="00C106B0" w:rsidP="00FE738F">
      <w:pPr>
        <w:pStyle w:val="ListParagraph"/>
        <w:numPr>
          <w:ilvl w:val="0"/>
          <w:numId w:val="17"/>
        </w:numPr>
        <w:spacing w:before="120" w:after="120" w:line="240" w:lineRule="auto"/>
        <w:ind w:left="360"/>
        <w:rPr>
          <w:rFonts w:ascii="Times New Roman" w:hAnsi="Times New Roman" w:cs="Times New Roman"/>
          <w:sz w:val="24"/>
        </w:rPr>
      </w:pPr>
      <w:r w:rsidRPr="008527F6">
        <w:rPr>
          <w:rFonts w:ascii="Times New Roman" w:hAnsi="Times New Roman" w:cs="Times New Roman"/>
          <w:sz w:val="24"/>
        </w:rPr>
        <w:lastRenderedPageBreak/>
        <w:t xml:space="preserve">Dykema, J. et al. (2011) conducted an incentive experiment on a survey of physicians selected from the American Medical Association’s Physician Masterfile.  Physicians were randomly assigned to one of four treatment groups: no incentive (6.2% response rate), $200 lottery (8.6% response rate), $50 incentive (15.4% response rate), or $100 incentive (25.4% response rate). As shown, response rates were highest in the groups with $50 and $100 incentives. (Dykema, J., J. Stevenson, B. Day, et al. </w:t>
      </w:r>
      <w:r w:rsidRPr="008527F6">
        <w:rPr>
          <w:rStyle w:val="cit-title"/>
          <w:sz w:val="24"/>
          <w:bdr w:val="none" w:sz="0" w:space="0" w:color="auto" w:frame="1"/>
          <w:shd w:val="clear" w:color="auto" w:fill="FFFFFF"/>
        </w:rPr>
        <w:t>Effects of Incentives and Prenotification on Response Rates and Costs in a National Web Survey of Physicians,</w:t>
      </w:r>
      <w:r w:rsidRPr="008527F6">
        <w:rPr>
          <w:rStyle w:val="HTMLCite"/>
          <w:i w:val="0"/>
          <w:iCs w:val="0"/>
          <w:sz w:val="24"/>
          <w:bdr w:val="none" w:sz="0" w:space="0" w:color="auto" w:frame="1"/>
          <w:shd w:val="clear" w:color="auto" w:fill="FFFFFF"/>
        </w:rPr>
        <w:t xml:space="preserve"> </w:t>
      </w:r>
      <w:r w:rsidRPr="008527F6">
        <w:rPr>
          <w:rStyle w:val="HTMLCite"/>
          <w:sz w:val="24"/>
          <w:bdr w:val="none" w:sz="0" w:space="0" w:color="auto" w:frame="1"/>
          <w:shd w:val="clear" w:color="auto" w:fill="FFFFFF"/>
        </w:rPr>
        <w:t>Evaluation and the Health Professions</w:t>
      </w:r>
      <w:r w:rsidRPr="008527F6">
        <w:rPr>
          <w:rStyle w:val="apple-converted-space"/>
          <w:rFonts w:ascii="Times New Roman" w:hAnsi="Times New Roman" w:cs="Times New Roman"/>
          <w:sz w:val="24"/>
          <w:bdr w:val="none" w:sz="0" w:space="0" w:color="auto" w:frame="1"/>
          <w:shd w:val="clear" w:color="auto" w:fill="FFFFFF"/>
        </w:rPr>
        <w:t>, vol. </w:t>
      </w:r>
      <w:r w:rsidRPr="008527F6">
        <w:rPr>
          <w:rStyle w:val="cit-vol"/>
          <w:sz w:val="24"/>
          <w:bdr w:val="none" w:sz="0" w:space="0" w:color="auto" w:frame="1"/>
          <w:shd w:val="clear" w:color="auto" w:fill="FFFFFF"/>
        </w:rPr>
        <w:t>34</w:t>
      </w:r>
      <w:r w:rsidRPr="008527F6">
        <w:rPr>
          <w:rStyle w:val="cit-sep"/>
          <w:sz w:val="24"/>
          <w:bdr w:val="none" w:sz="0" w:space="0" w:color="auto" w:frame="1"/>
          <w:shd w:val="clear" w:color="auto" w:fill="FFFFFF"/>
        </w:rPr>
        <w:t>, pp. </w:t>
      </w:r>
      <w:r w:rsidRPr="008527F6">
        <w:rPr>
          <w:rStyle w:val="cit-first-page"/>
          <w:sz w:val="24"/>
          <w:bdr w:val="none" w:sz="0" w:space="0" w:color="auto" w:frame="1"/>
          <w:shd w:val="clear" w:color="auto" w:fill="FFFFFF"/>
        </w:rPr>
        <w:t>434</w:t>
      </w:r>
      <w:r w:rsidRPr="008527F6">
        <w:rPr>
          <w:rStyle w:val="cit-sep"/>
          <w:sz w:val="24"/>
          <w:bdr w:val="none" w:sz="0" w:space="0" w:color="auto" w:frame="1"/>
          <w:shd w:val="clear" w:color="auto" w:fill="FFFFFF"/>
        </w:rPr>
        <w:t>-</w:t>
      </w:r>
      <w:r w:rsidRPr="008527F6">
        <w:rPr>
          <w:rStyle w:val="cit-last-page"/>
          <w:sz w:val="24"/>
          <w:bdr w:val="none" w:sz="0" w:space="0" w:color="auto" w:frame="1"/>
          <w:shd w:val="clear" w:color="auto" w:fill="FFFFFF"/>
        </w:rPr>
        <w:t>447, 2011.</w:t>
      </w:r>
      <w:r w:rsidRPr="008527F6">
        <w:rPr>
          <w:rFonts w:ascii="Times New Roman" w:hAnsi="Times New Roman" w:cs="Times New Roman"/>
          <w:sz w:val="24"/>
        </w:rPr>
        <w:t>)</w:t>
      </w:r>
    </w:p>
    <w:p w:rsidR="00C106B0" w:rsidRPr="008527F6" w:rsidRDefault="00C106B0" w:rsidP="00FE738F">
      <w:pPr>
        <w:pStyle w:val="ListParagraph"/>
        <w:numPr>
          <w:ilvl w:val="0"/>
          <w:numId w:val="17"/>
        </w:numPr>
        <w:spacing w:before="120" w:after="120" w:line="240" w:lineRule="auto"/>
        <w:ind w:left="360"/>
        <w:rPr>
          <w:rFonts w:ascii="Times New Roman" w:hAnsi="Times New Roman" w:cs="Times New Roman"/>
          <w:sz w:val="24"/>
        </w:rPr>
      </w:pPr>
      <w:r w:rsidRPr="008527F6">
        <w:rPr>
          <w:rFonts w:ascii="Times New Roman" w:hAnsi="Times New Roman" w:cs="Times New Roman"/>
          <w:sz w:val="24"/>
        </w:rPr>
        <w:t>Martins et al. (2012) conducted a review of published oncology-focused studies to investigate methods for improving response rates. The meta-analysis showed that monetary incentives were effective at increasing response rates. (</w:t>
      </w:r>
      <w:r w:rsidRPr="008527F6">
        <w:rPr>
          <w:rStyle w:val="cit-last-page"/>
          <w:sz w:val="24"/>
          <w:bdr w:val="none" w:sz="0" w:space="0" w:color="auto" w:frame="1"/>
          <w:shd w:val="clear" w:color="auto" w:fill="FFFFFF"/>
        </w:rPr>
        <w:t xml:space="preserve">Martins, Y., R. Lederman, C. Lowenstein, et al. Increasing Response Rates From Physicians in Oncology Research: A Structured Literature Review and Data From a Recent Physician Survey, </w:t>
      </w:r>
      <w:r w:rsidRPr="008527F6">
        <w:rPr>
          <w:rStyle w:val="cit-last-page"/>
          <w:i/>
          <w:iCs/>
          <w:sz w:val="24"/>
          <w:bdr w:val="none" w:sz="0" w:space="0" w:color="auto" w:frame="1"/>
          <w:shd w:val="clear" w:color="auto" w:fill="FFFFFF"/>
        </w:rPr>
        <w:t>British Journal of Cancer</w:t>
      </w:r>
      <w:r w:rsidRPr="008527F6">
        <w:rPr>
          <w:rStyle w:val="cit-last-page"/>
          <w:sz w:val="24"/>
          <w:bdr w:val="none" w:sz="0" w:space="0" w:color="auto" w:frame="1"/>
          <w:shd w:val="clear" w:color="auto" w:fill="FFFFFF"/>
        </w:rPr>
        <w:t>, vol. 106(6), pp. 1021-6, 2012.)</w:t>
      </w:r>
    </w:p>
    <w:p w:rsidR="00E8598E" w:rsidRPr="00237058" w:rsidRDefault="00E8598E" w:rsidP="00053ACA"/>
    <w:p w:rsidR="00E8598E" w:rsidRPr="00237058" w:rsidRDefault="00C4216D" w:rsidP="00053ACA">
      <w:pPr>
        <w:rPr>
          <w:b/>
        </w:rPr>
      </w:pPr>
      <w:bookmarkStart w:id="25" w:name="_Toc443881751"/>
      <w:bookmarkStart w:id="26" w:name="_Toc451592240"/>
      <w:bookmarkStart w:id="27" w:name="_Toc5610281"/>
      <w:bookmarkStart w:id="28" w:name="_Toc99178787"/>
      <w:r w:rsidRPr="00237058">
        <w:rPr>
          <w:b/>
        </w:rPr>
        <w:t>A.10</w:t>
      </w:r>
      <w:r w:rsidRPr="00237058">
        <w:rPr>
          <w:b/>
        </w:rPr>
        <w:tab/>
        <w:t>Assurance of Confidentiality Provided to Respondents</w:t>
      </w:r>
      <w:bookmarkEnd w:id="25"/>
      <w:bookmarkEnd w:id="26"/>
      <w:bookmarkEnd w:id="27"/>
      <w:bookmarkEnd w:id="28"/>
    </w:p>
    <w:p w:rsidR="007335EF" w:rsidRPr="00237058" w:rsidRDefault="007335EF" w:rsidP="00053ACA"/>
    <w:p w:rsidR="002735A0" w:rsidRPr="00237058" w:rsidRDefault="002735A0" w:rsidP="002735A0">
      <w:pPr>
        <w:pStyle w:val="BodyText"/>
        <w:tabs>
          <w:tab w:val="left" w:pos="6300"/>
        </w:tabs>
      </w:pPr>
      <w:r w:rsidRPr="00237058">
        <w:t>Information provided by the respondents will be kept private to the extent permitted by law. This information will be communicated to respondents by means of an email invitation and reminder email</w:t>
      </w:r>
      <w:r w:rsidR="007D57BB" w:rsidRPr="00237058">
        <w:t>, if necessary,</w:t>
      </w:r>
      <w:r w:rsidRPr="00237058">
        <w:t xml:space="preserve"> </w:t>
      </w:r>
      <w:r w:rsidR="00367D2C" w:rsidRPr="00237058">
        <w:rPr>
          <w:lang w:val="en-US"/>
        </w:rPr>
        <w:t xml:space="preserve">which </w:t>
      </w:r>
      <w:r w:rsidRPr="00237058">
        <w:t>includes information about the questionnaire</w:t>
      </w:r>
      <w:r w:rsidR="00F27C87">
        <w:rPr>
          <w:lang w:val="en-US"/>
        </w:rPr>
        <w:t>s</w:t>
      </w:r>
      <w:r w:rsidRPr="00237058">
        <w:t xml:space="preserve"> (Attachment </w:t>
      </w:r>
      <w:r w:rsidR="007D57BB" w:rsidRPr="00237058">
        <w:t>3</w:t>
      </w:r>
      <w:r w:rsidRPr="00237058">
        <w:t>).</w:t>
      </w:r>
      <w:r w:rsidR="0063712C" w:rsidRPr="00237058">
        <w:t xml:space="preserve"> </w:t>
      </w:r>
      <w:r w:rsidRPr="00237058">
        <w:t>The beginning of the web-based survey</w:t>
      </w:r>
      <w:r w:rsidR="00F27C87">
        <w:rPr>
          <w:lang w:val="en-US"/>
        </w:rPr>
        <w:t>s</w:t>
      </w:r>
      <w:r w:rsidRPr="00237058">
        <w:t xml:space="preserve"> include information about privacy (Attachments 1 and 2). NINR</w:t>
      </w:r>
      <w:r w:rsidR="00F27C87">
        <w:rPr>
          <w:lang w:val="en-US"/>
        </w:rPr>
        <w:t xml:space="preserve"> and</w:t>
      </w:r>
      <w:r w:rsidR="001B7E95" w:rsidRPr="00237058">
        <w:t xml:space="preserve"> the NIH Center for Information Technology</w:t>
      </w:r>
      <w:r w:rsidR="00F27C87">
        <w:rPr>
          <w:lang w:val="en-US"/>
        </w:rPr>
        <w:t xml:space="preserve"> </w:t>
      </w:r>
      <w:r w:rsidRPr="00237058">
        <w:t xml:space="preserve">will follow best practices to maximize privacy and security of all data. </w:t>
      </w:r>
    </w:p>
    <w:p w:rsidR="00E8598E" w:rsidRPr="00237058" w:rsidRDefault="00E8598E" w:rsidP="00053ACA"/>
    <w:p w:rsidR="00F51D6C" w:rsidRPr="00237058" w:rsidRDefault="00E8598E" w:rsidP="00053ACA">
      <w:r w:rsidRPr="00237058">
        <w:t xml:space="preserve">The </w:t>
      </w:r>
      <w:r w:rsidR="0063712C" w:rsidRPr="00237058">
        <w:t>h</w:t>
      </w:r>
      <w:r w:rsidR="002E2BE6" w:rsidRPr="00237058">
        <w:t>ealth care provider</w:t>
      </w:r>
      <w:r w:rsidRPr="00237058">
        <w:t xml:space="preserve"> </w:t>
      </w:r>
      <w:r w:rsidR="001C48A3" w:rsidRPr="00237058">
        <w:t xml:space="preserve">surveys </w:t>
      </w:r>
      <w:r w:rsidRPr="00237058">
        <w:t>will be anonymous.</w:t>
      </w:r>
      <w:r w:rsidR="009F77ED" w:rsidRPr="00237058">
        <w:t xml:space="preserve"> </w:t>
      </w:r>
      <w:r w:rsidR="00C60B6E" w:rsidRPr="00237058">
        <w:t xml:space="preserve">The NIH Center for Information Technology will assign respondents </w:t>
      </w:r>
      <w:r w:rsidR="0063712C" w:rsidRPr="00237058">
        <w:t xml:space="preserve">a </w:t>
      </w:r>
      <w:r w:rsidR="00AF28B5" w:rsidRPr="00237058">
        <w:t>confidential login code (i.e.</w:t>
      </w:r>
      <w:r w:rsidR="0063712C" w:rsidRPr="00237058">
        <w:t xml:space="preserve"> ID number</w:t>
      </w:r>
      <w:r w:rsidR="00AF28B5" w:rsidRPr="00237058">
        <w:t>)</w:t>
      </w:r>
      <w:r w:rsidR="0063712C" w:rsidRPr="00237058">
        <w:t xml:space="preserve">.  Files will be kept in a secure environment and no one outside of this study will have access to them. NINR and </w:t>
      </w:r>
      <w:r w:rsidR="00CD422E">
        <w:t xml:space="preserve">NIH Center for Information Technology </w:t>
      </w:r>
      <w:r w:rsidR="0063712C" w:rsidRPr="00237058">
        <w:t xml:space="preserve">will use contact information (i.e. </w:t>
      </w:r>
      <w:r w:rsidR="00AF28B5" w:rsidRPr="00237058">
        <w:t xml:space="preserve">business </w:t>
      </w:r>
      <w:r w:rsidR="0063712C" w:rsidRPr="00237058">
        <w:t xml:space="preserve">email addresses) for requesting subject participation and for subsequent follow-up in the case of non-response. </w:t>
      </w:r>
      <w:r w:rsidR="00F51D6C" w:rsidRPr="00237058">
        <w:t xml:space="preserve">  </w:t>
      </w:r>
    </w:p>
    <w:p w:rsidR="00E8598E" w:rsidRPr="00237058" w:rsidRDefault="00E8598E" w:rsidP="00053ACA"/>
    <w:p w:rsidR="00EC428C" w:rsidRPr="00237058" w:rsidRDefault="001B7E95" w:rsidP="00090DDB">
      <w:pPr>
        <w:pStyle w:val="BodyText"/>
        <w:rPr>
          <w:lang w:val="en-US"/>
        </w:rPr>
      </w:pPr>
      <w:r w:rsidRPr="00237058">
        <w:t>An informed consent</w:t>
      </w:r>
      <w:r w:rsidR="0063712C" w:rsidRPr="00237058">
        <w:t xml:space="preserve"> form</w:t>
      </w:r>
      <w:r w:rsidR="008A46E6" w:rsidRPr="00237058">
        <w:rPr>
          <w:lang w:val="en-US"/>
        </w:rPr>
        <w:t xml:space="preserve"> (Attachment 7)</w:t>
      </w:r>
      <w:r w:rsidRPr="00237058">
        <w:t xml:space="preserve"> will be shown to all potential participants before they start the survey</w:t>
      </w:r>
      <w:r w:rsidR="00F27C87">
        <w:rPr>
          <w:lang w:val="en-US"/>
        </w:rPr>
        <w:t>s</w:t>
      </w:r>
      <w:r w:rsidRPr="00237058">
        <w:t>.  The form describes the purpose of the survey</w:t>
      </w:r>
      <w:r w:rsidR="00F27C87">
        <w:rPr>
          <w:lang w:val="en-US"/>
        </w:rPr>
        <w:t>s</w:t>
      </w:r>
      <w:r w:rsidRPr="00237058">
        <w:t xml:space="preserve"> and the confidentiality of the data.  Participants will be prompted to accept or decline participation by selecting the appropriate button at the bottom of the electronic form.  By giving consent, participants indicate that they have read the form, understand what they are consenting to, and are aware of their rights as participants.  The consent form will state the following:</w:t>
      </w:r>
    </w:p>
    <w:p w:rsidR="001B7E95" w:rsidRPr="00237058" w:rsidRDefault="001B7E95" w:rsidP="001B7E95">
      <w:pPr>
        <w:pStyle w:val="ListParagraph"/>
        <w:numPr>
          <w:ilvl w:val="0"/>
          <w:numId w:val="14"/>
        </w:numPr>
        <w:spacing w:after="60" w:line="240" w:lineRule="auto"/>
        <w:ind w:left="720"/>
        <w:rPr>
          <w:rFonts w:ascii="Times New Roman" w:hAnsi="Times New Roman" w:cs="Times New Roman"/>
          <w:sz w:val="24"/>
          <w:szCs w:val="24"/>
        </w:rPr>
      </w:pPr>
      <w:r w:rsidRPr="00237058">
        <w:rPr>
          <w:rFonts w:ascii="Times New Roman" w:hAnsi="Times New Roman" w:cs="Times New Roman"/>
          <w:sz w:val="24"/>
          <w:szCs w:val="24"/>
        </w:rPr>
        <w:t>Information provided by respondents will be kept private</w:t>
      </w:r>
      <w:r w:rsidR="00EC428C" w:rsidRPr="00237058">
        <w:rPr>
          <w:rFonts w:ascii="Times New Roman" w:hAnsi="Times New Roman" w:cs="Times New Roman"/>
          <w:sz w:val="24"/>
          <w:szCs w:val="24"/>
        </w:rPr>
        <w:t xml:space="preserve"> and secure to the extent permitted by law</w:t>
      </w:r>
      <w:r w:rsidRPr="00237058">
        <w:rPr>
          <w:rFonts w:ascii="Times New Roman" w:hAnsi="Times New Roman" w:cs="Times New Roman"/>
          <w:sz w:val="24"/>
          <w:szCs w:val="24"/>
        </w:rPr>
        <w:t xml:space="preserve">. </w:t>
      </w:r>
      <w:r w:rsidR="00EC428C" w:rsidRPr="00237058">
        <w:rPr>
          <w:rFonts w:ascii="Times New Roman" w:hAnsi="Times New Roman" w:cs="Times New Roman"/>
          <w:sz w:val="24"/>
          <w:szCs w:val="24"/>
        </w:rPr>
        <w:t>The</w:t>
      </w:r>
      <w:r w:rsidRPr="00237058">
        <w:rPr>
          <w:rFonts w:ascii="Times New Roman" w:hAnsi="Times New Roman" w:cs="Times New Roman"/>
          <w:sz w:val="24"/>
          <w:szCs w:val="24"/>
        </w:rPr>
        <w:t xml:space="preserve"> information will be used only by </w:t>
      </w:r>
      <w:r w:rsidR="00090DDB" w:rsidRPr="00237058">
        <w:rPr>
          <w:rFonts w:ascii="Times New Roman" w:hAnsi="Times New Roman" w:cs="Times New Roman"/>
          <w:sz w:val="24"/>
          <w:szCs w:val="24"/>
        </w:rPr>
        <w:t xml:space="preserve">the </w:t>
      </w:r>
      <w:r w:rsidRPr="00237058">
        <w:rPr>
          <w:rFonts w:ascii="Times New Roman" w:hAnsi="Times New Roman" w:cs="Times New Roman"/>
          <w:sz w:val="24"/>
          <w:szCs w:val="24"/>
        </w:rPr>
        <w:t xml:space="preserve">researchers </w:t>
      </w:r>
      <w:r w:rsidR="00090DDB" w:rsidRPr="00237058">
        <w:rPr>
          <w:rFonts w:ascii="Times New Roman" w:hAnsi="Times New Roman" w:cs="Times New Roman"/>
          <w:sz w:val="24"/>
          <w:szCs w:val="24"/>
        </w:rPr>
        <w:t>conducting this study and</w:t>
      </w:r>
      <w:r w:rsidRPr="00237058">
        <w:rPr>
          <w:rFonts w:ascii="Times New Roman" w:hAnsi="Times New Roman" w:cs="Times New Roman"/>
          <w:sz w:val="24"/>
          <w:szCs w:val="24"/>
        </w:rPr>
        <w:t xml:space="preserve"> will not be disclosed except as required by law.</w:t>
      </w:r>
    </w:p>
    <w:p w:rsidR="00090DDB" w:rsidRPr="00237058" w:rsidRDefault="00090DDB" w:rsidP="00090DDB">
      <w:pPr>
        <w:pStyle w:val="ListParagraph"/>
        <w:numPr>
          <w:ilvl w:val="0"/>
          <w:numId w:val="14"/>
        </w:numPr>
        <w:spacing w:after="60" w:line="240" w:lineRule="auto"/>
        <w:ind w:left="720"/>
        <w:rPr>
          <w:rFonts w:ascii="Times New Roman" w:hAnsi="Times New Roman" w:cs="Times New Roman"/>
          <w:sz w:val="24"/>
          <w:szCs w:val="24"/>
        </w:rPr>
      </w:pPr>
      <w:r w:rsidRPr="00237058">
        <w:rPr>
          <w:rFonts w:ascii="Times New Roman" w:hAnsi="Times New Roman" w:cs="Times New Roman"/>
          <w:sz w:val="24"/>
          <w:szCs w:val="24"/>
        </w:rPr>
        <w:lastRenderedPageBreak/>
        <w:t>A transcript of the questionnaire</w:t>
      </w:r>
      <w:r w:rsidR="00CD422E">
        <w:rPr>
          <w:rFonts w:ascii="Times New Roman" w:hAnsi="Times New Roman" w:cs="Times New Roman"/>
          <w:sz w:val="24"/>
          <w:szCs w:val="24"/>
        </w:rPr>
        <w:t>s</w:t>
      </w:r>
      <w:r w:rsidRPr="00237058">
        <w:rPr>
          <w:rFonts w:ascii="Times New Roman" w:hAnsi="Times New Roman" w:cs="Times New Roman"/>
          <w:sz w:val="24"/>
          <w:szCs w:val="24"/>
        </w:rPr>
        <w:t xml:space="preserve"> will be stored securely and will only be accessible to the research team.</w:t>
      </w:r>
    </w:p>
    <w:p w:rsidR="00090DDB" w:rsidRPr="00237058" w:rsidRDefault="00090DDB" w:rsidP="00090DDB">
      <w:pPr>
        <w:pStyle w:val="ListParagraph"/>
        <w:numPr>
          <w:ilvl w:val="0"/>
          <w:numId w:val="14"/>
        </w:numPr>
        <w:spacing w:after="60" w:line="240" w:lineRule="auto"/>
        <w:ind w:left="720"/>
        <w:rPr>
          <w:rFonts w:ascii="Times New Roman" w:hAnsi="Times New Roman" w:cs="Times New Roman"/>
          <w:sz w:val="24"/>
          <w:szCs w:val="24"/>
        </w:rPr>
      </w:pPr>
      <w:r w:rsidRPr="00237058">
        <w:rPr>
          <w:rFonts w:ascii="Times New Roman" w:hAnsi="Times New Roman" w:cs="Times New Roman"/>
          <w:sz w:val="24"/>
          <w:szCs w:val="24"/>
        </w:rPr>
        <w:t>Respondents will not be asked any personally identifying information when responding to the questionnaire</w:t>
      </w:r>
      <w:r w:rsidR="00CD422E">
        <w:rPr>
          <w:rFonts w:ascii="Times New Roman" w:hAnsi="Times New Roman" w:cs="Times New Roman"/>
          <w:sz w:val="24"/>
          <w:szCs w:val="24"/>
        </w:rPr>
        <w:t>s</w:t>
      </w:r>
      <w:r w:rsidRPr="00237058">
        <w:rPr>
          <w:rFonts w:ascii="Times New Roman" w:hAnsi="Times New Roman" w:cs="Times New Roman"/>
          <w:sz w:val="24"/>
          <w:szCs w:val="24"/>
        </w:rPr>
        <w:t>.</w:t>
      </w:r>
    </w:p>
    <w:p w:rsidR="00EC428C" w:rsidRPr="00237058" w:rsidRDefault="001B7E95" w:rsidP="001B7E95">
      <w:pPr>
        <w:pStyle w:val="ListParagraph"/>
        <w:numPr>
          <w:ilvl w:val="0"/>
          <w:numId w:val="14"/>
        </w:numPr>
        <w:spacing w:after="60" w:line="240" w:lineRule="auto"/>
        <w:ind w:left="720"/>
        <w:rPr>
          <w:rFonts w:ascii="Times New Roman" w:hAnsi="Times New Roman" w:cs="Times New Roman"/>
          <w:sz w:val="24"/>
          <w:szCs w:val="24"/>
        </w:rPr>
      </w:pPr>
      <w:r w:rsidRPr="00237058">
        <w:rPr>
          <w:rFonts w:ascii="Times New Roman" w:hAnsi="Times New Roman" w:cs="Times New Roman"/>
          <w:sz w:val="24"/>
          <w:szCs w:val="24"/>
        </w:rPr>
        <w:t>Response</w:t>
      </w:r>
      <w:r w:rsidR="00CD422E">
        <w:rPr>
          <w:rFonts w:ascii="Times New Roman" w:hAnsi="Times New Roman" w:cs="Times New Roman"/>
          <w:sz w:val="24"/>
          <w:szCs w:val="24"/>
        </w:rPr>
        <w:t>s</w:t>
      </w:r>
      <w:r w:rsidRPr="00237058">
        <w:rPr>
          <w:rFonts w:ascii="Times New Roman" w:hAnsi="Times New Roman" w:cs="Times New Roman"/>
          <w:sz w:val="24"/>
          <w:szCs w:val="24"/>
        </w:rPr>
        <w:t xml:space="preserve"> to the survey</w:t>
      </w:r>
      <w:r w:rsidR="00CD422E">
        <w:rPr>
          <w:rFonts w:ascii="Times New Roman" w:hAnsi="Times New Roman" w:cs="Times New Roman"/>
          <w:sz w:val="24"/>
          <w:szCs w:val="24"/>
        </w:rPr>
        <w:t>s</w:t>
      </w:r>
      <w:r w:rsidRPr="00237058">
        <w:rPr>
          <w:rFonts w:ascii="Times New Roman" w:hAnsi="Times New Roman" w:cs="Times New Roman"/>
          <w:sz w:val="24"/>
          <w:szCs w:val="24"/>
        </w:rPr>
        <w:t xml:space="preserve"> </w:t>
      </w:r>
      <w:r w:rsidR="00CD422E">
        <w:rPr>
          <w:rFonts w:ascii="Times New Roman" w:hAnsi="Times New Roman" w:cs="Times New Roman"/>
          <w:sz w:val="24"/>
          <w:szCs w:val="24"/>
        </w:rPr>
        <w:t>are</w:t>
      </w:r>
      <w:r w:rsidRPr="00237058">
        <w:rPr>
          <w:rFonts w:ascii="Times New Roman" w:hAnsi="Times New Roman" w:cs="Times New Roman"/>
          <w:sz w:val="24"/>
          <w:szCs w:val="24"/>
        </w:rPr>
        <w:t xml:space="preserve"> voluntary, and </w:t>
      </w:r>
      <w:r w:rsidR="00EC428C" w:rsidRPr="00237058">
        <w:rPr>
          <w:rFonts w:ascii="Times New Roman" w:hAnsi="Times New Roman" w:cs="Times New Roman"/>
          <w:sz w:val="24"/>
          <w:szCs w:val="24"/>
        </w:rPr>
        <w:t xml:space="preserve">the respondent can choose not to answer </w:t>
      </w:r>
      <w:r w:rsidR="00090DDB" w:rsidRPr="00237058">
        <w:rPr>
          <w:rFonts w:ascii="Times New Roman" w:hAnsi="Times New Roman" w:cs="Times New Roman"/>
          <w:sz w:val="24"/>
          <w:szCs w:val="24"/>
        </w:rPr>
        <w:t>q</w:t>
      </w:r>
      <w:r w:rsidR="00EC428C" w:rsidRPr="00237058">
        <w:rPr>
          <w:rFonts w:ascii="Times New Roman" w:hAnsi="Times New Roman" w:cs="Times New Roman"/>
          <w:sz w:val="24"/>
          <w:szCs w:val="24"/>
        </w:rPr>
        <w:t>uestions or can withdraw from the questionnaire</w:t>
      </w:r>
      <w:r w:rsidR="00CD422E">
        <w:rPr>
          <w:rFonts w:ascii="Times New Roman" w:hAnsi="Times New Roman" w:cs="Times New Roman"/>
          <w:sz w:val="24"/>
          <w:szCs w:val="24"/>
        </w:rPr>
        <w:t>s</w:t>
      </w:r>
      <w:r w:rsidR="00EC428C" w:rsidRPr="00237058">
        <w:rPr>
          <w:rFonts w:ascii="Times New Roman" w:hAnsi="Times New Roman" w:cs="Times New Roman"/>
          <w:sz w:val="24"/>
          <w:szCs w:val="24"/>
        </w:rPr>
        <w:t xml:space="preserve"> at any time. </w:t>
      </w:r>
    </w:p>
    <w:p w:rsidR="00EC428C" w:rsidRPr="00237058" w:rsidRDefault="00EC428C" w:rsidP="001B7E95">
      <w:pPr>
        <w:pStyle w:val="ListParagraph"/>
        <w:numPr>
          <w:ilvl w:val="0"/>
          <w:numId w:val="14"/>
        </w:numPr>
        <w:spacing w:after="60" w:line="240" w:lineRule="auto"/>
        <w:ind w:left="720"/>
        <w:rPr>
          <w:rFonts w:ascii="Times New Roman" w:hAnsi="Times New Roman" w:cs="Times New Roman"/>
          <w:sz w:val="24"/>
          <w:szCs w:val="24"/>
        </w:rPr>
      </w:pPr>
      <w:r w:rsidRPr="00237058">
        <w:rPr>
          <w:rFonts w:ascii="Times New Roman" w:hAnsi="Times New Roman" w:cs="Times New Roman"/>
          <w:sz w:val="24"/>
          <w:szCs w:val="24"/>
        </w:rPr>
        <w:t>NINR is authorized to conduct the questionnaire</w:t>
      </w:r>
      <w:r w:rsidR="00CD422E">
        <w:rPr>
          <w:rFonts w:ascii="Times New Roman" w:hAnsi="Times New Roman" w:cs="Times New Roman"/>
          <w:sz w:val="24"/>
          <w:szCs w:val="24"/>
        </w:rPr>
        <w:t>s</w:t>
      </w:r>
      <w:r w:rsidRPr="00237058">
        <w:rPr>
          <w:rFonts w:ascii="Times New Roman" w:hAnsi="Times New Roman" w:cs="Times New Roman"/>
          <w:sz w:val="24"/>
          <w:szCs w:val="24"/>
        </w:rPr>
        <w:t xml:space="preserve"> under section 42USC 285q of U.S. Law.</w:t>
      </w:r>
    </w:p>
    <w:p w:rsidR="001B7E95" w:rsidRPr="00237058" w:rsidRDefault="001B7E95" w:rsidP="001B7E95">
      <w:pPr>
        <w:pStyle w:val="ListParagraph"/>
        <w:numPr>
          <w:ilvl w:val="0"/>
          <w:numId w:val="14"/>
        </w:numPr>
        <w:spacing w:after="60" w:line="240" w:lineRule="auto"/>
        <w:ind w:left="720"/>
        <w:rPr>
          <w:rFonts w:ascii="Times New Roman" w:hAnsi="Times New Roman" w:cs="Times New Roman"/>
          <w:sz w:val="24"/>
          <w:szCs w:val="24"/>
        </w:rPr>
      </w:pPr>
      <w:r w:rsidRPr="00237058">
        <w:rPr>
          <w:rFonts w:ascii="Times New Roman" w:hAnsi="Times New Roman" w:cs="Times New Roman"/>
          <w:sz w:val="24"/>
          <w:szCs w:val="24"/>
        </w:rPr>
        <w:t>In order to protect respondents’ privacy, all presentation of data in reports will be in aggregate form, with n</w:t>
      </w:r>
      <w:r w:rsidR="00367D2C" w:rsidRPr="00237058">
        <w:rPr>
          <w:rFonts w:ascii="Times New Roman" w:hAnsi="Times New Roman" w:cs="Times New Roman"/>
          <w:sz w:val="24"/>
          <w:szCs w:val="24"/>
        </w:rPr>
        <w:t>o links to individuals</w:t>
      </w:r>
      <w:r w:rsidRPr="00237058">
        <w:rPr>
          <w:rFonts w:ascii="Times New Roman" w:hAnsi="Times New Roman" w:cs="Times New Roman"/>
          <w:sz w:val="24"/>
          <w:szCs w:val="24"/>
        </w:rPr>
        <w:t xml:space="preserve">. </w:t>
      </w:r>
    </w:p>
    <w:p w:rsidR="00CA567E" w:rsidRPr="00237058" w:rsidRDefault="00CA567E" w:rsidP="00053ACA"/>
    <w:p w:rsidR="00A76B04" w:rsidRPr="00237058" w:rsidRDefault="00DF5D52" w:rsidP="00053ACA">
      <w:r>
        <w:t>As mentioned</w:t>
      </w:r>
      <w:r w:rsidR="00984F49">
        <w:t xml:space="preserve"> i</w:t>
      </w:r>
      <w:r w:rsidR="00984F49" w:rsidRPr="00617287">
        <w:t>n section A.3</w:t>
      </w:r>
      <w:r w:rsidRPr="00617287">
        <w:t>, NINR has submitted a Privacy Impact Assessment (see Attachment 6</w:t>
      </w:r>
      <w:r w:rsidRPr="00AA7915">
        <w:t xml:space="preserve">) for this IT system even though personally identifiable information will not be collected. </w:t>
      </w:r>
      <w:r w:rsidR="00A76B04" w:rsidRPr="00AA7915">
        <w:t>With regards to the Institutional Review Board, this data collection is exe</w:t>
      </w:r>
      <w:r w:rsidR="00DB2AE0" w:rsidRPr="00AA7915">
        <w:t xml:space="preserve">mpt from the regulations. </w:t>
      </w:r>
      <w:r w:rsidR="00A76B04" w:rsidRPr="00AA7915">
        <w:t>NINR received the following guidance from the Office of Human Subjects Research Protections</w:t>
      </w:r>
      <w:r w:rsidR="006002B3" w:rsidRPr="00AA7915">
        <w:t xml:space="preserve"> regarding what is considered exempt</w:t>
      </w:r>
      <w:r w:rsidR="00A76B04" w:rsidRPr="00AA7915">
        <w:t>:</w:t>
      </w:r>
      <w:r w:rsidR="00DB2AE0" w:rsidRPr="00AA7915">
        <w:t xml:space="preserve"> “</w:t>
      </w:r>
      <w:r w:rsidR="00A76B04" w:rsidRPr="00AA7915">
        <w:t>Program evaluations in which the results of the evaluation are shared only wit</w:t>
      </w:r>
      <w:r w:rsidR="00A76B04" w:rsidRPr="00237058">
        <w:t>hin the program or entity in which the program operates, i.e., the data from the activity are produced by the progr</w:t>
      </w:r>
      <w:r w:rsidR="003921BC" w:rsidRPr="00237058">
        <w:t>am and returned to the program</w:t>
      </w:r>
      <w:r w:rsidR="00DB2AE0" w:rsidRPr="00237058">
        <w:t>”</w:t>
      </w:r>
      <w:r w:rsidR="00823891" w:rsidRPr="00237058">
        <w:t xml:space="preserve"> (see Attachment 5</w:t>
      </w:r>
      <w:r w:rsidR="003921BC" w:rsidRPr="00237058">
        <w:t>).</w:t>
      </w:r>
    </w:p>
    <w:p w:rsidR="00A76B04" w:rsidRPr="00237058" w:rsidRDefault="00A76B04" w:rsidP="00053ACA"/>
    <w:p w:rsidR="00E8598E" w:rsidRPr="00237058" w:rsidRDefault="00C4216D" w:rsidP="00053ACA">
      <w:pPr>
        <w:rPr>
          <w:b/>
        </w:rPr>
      </w:pPr>
      <w:bookmarkStart w:id="29" w:name="_Toc443881752"/>
      <w:bookmarkStart w:id="30" w:name="_Toc451592241"/>
      <w:bookmarkStart w:id="31" w:name="_Toc5610282"/>
      <w:bookmarkStart w:id="32" w:name="_Toc99178788"/>
      <w:r w:rsidRPr="00237058">
        <w:rPr>
          <w:b/>
        </w:rPr>
        <w:t>A.11</w:t>
      </w:r>
      <w:r w:rsidRPr="00237058">
        <w:rPr>
          <w:b/>
        </w:rPr>
        <w:tab/>
        <w:t>Justification for Sensitive Questions</w:t>
      </w:r>
      <w:bookmarkEnd w:id="29"/>
      <w:bookmarkEnd w:id="30"/>
      <w:bookmarkEnd w:id="31"/>
      <w:bookmarkEnd w:id="32"/>
    </w:p>
    <w:p w:rsidR="00E8598E" w:rsidRPr="00237058" w:rsidRDefault="00E8598E" w:rsidP="00053ACA"/>
    <w:p w:rsidR="00CA567E" w:rsidRPr="00237058" w:rsidRDefault="00CA567E" w:rsidP="00CA567E">
      <w:pPr>
        <w:pStyle w:val="BodyText"/>
      </w:pPr>
      <w:r w:rsidRPr="00237058">
        <w:t>No questions of a sensitive nature will be asked. Questions are of a general nature and disclosure would not create harm to individua</w:t>
      </w:r>
      <w:r w:rsidR="0016225F" w:rsidRPr="00237058">
        <w:t>ls. Neverthe</w:t>
      </w:r>
      <w:r w:rsidRPr="00237058">
        <w:t>less</w:t>
      </w:r>
      <w:r w:rsidR="00367D2C" w:rsidRPr="00237058">
        <w:rPr>
          <w:lang w:val="en-US"/>
        </w:rPr>
        <w:t>,</w:t>
      </w:r>
      <w:r w:rsidRPr="00237058">
        <w:t xml:space="preserve"> data will be kept private and information will be reported in the aggregate rather than attributed to specific individuals. All respondents have the right not to answer a particular question or to stop their participation at any time without any consequence.</w:t>
      </w:r>
    </w:p>
    <w:p w:rsidR="007A203E" w:rsidRPr="00237058" w:rsidRDefault="007A203E" w:rsidP="00053ACA"/>
    <w:p w:rsidR="00CA567E" w:rsidRPr="00237058" w:rsidRDefault="00C4216D" w:rsidP="00CA567E">
      <w:pPr>
        <w:pStyle w:val="Heading2"/>
        <w:ind w:left="720" w:hanging="720"/>
        <w:rPr>
          <w:sz w:val="24"/>
          <w:szCs w:val="24"/>
        </w:rPr>
      </w:pPr>
      <w:r w:rsidRPr="00237058">
        <w:rPr>
          <w:sz w:val="24"/>
          <w:szCs w:val="24"/>
        </w:rPr>
        <w:t>A.12</w:t>
      </w:r>
      <w:r w:rsidRPr="00237058">
        <w:rPr>
          <w:sz w:val="24"/>
          <w:szCs w:val="24"/>
        </w:rPr>
        <w:tab/>
      </w:r>
      <w:r w:rsidR="00CA567E" w:rsidRPr="00237058">
        <w:rPr>
          <w:sz w:val="24"/>
          <w:szCs w:val="24"/>
        </w:rPr>
        <w:t xml:space="preserve">Estimates of Annualized Burden Hours and Costs </w:t>
      </w:r>
    </w:p>
    <w:p w:rsidR="007A203E" w:rsidRPr="00237058" w:rsidRDefault="007A203E" w:rsidP="00053ACA">
      <w:pPr>
        <w:rPr>
          <w:b/>
        </w:rPr>
      </w:pPr>
    </w:p>
    <w:p w:rsidR="005043E5" w:rsidRPr="00FE6C1C" w:rsidRDefault="002E2BE6" w:rsidP="00D90C6E">
      <w:pPr>
        <w:pStyle w:val="BodyText"/>
        <w:rPr>
          <w:lang w:val="en-US"/>
        </w:rPr>
      </w:pPr>
      <w:r w:rsidRPr="00237058">
        <w:t>Health care providers</w:t>
      </w:r>
      <w:r w:rsidR="00D84D14" w:rsidRPr="00237058">
        <w:t xml:space="preserve"> will par</w:t>
      </w:r>
      <w:r w:rsidR="003921BC" w:rsidRPr="00237058">
        <w:t xml:space="preserve">ticipate in </w:t>
      </w:r>
      <w:r w:rsidR="00F27C87">
        <w:rPr>
          <w:lang w:val="en-US"/>
        </w:rPr>
        <w:t>two</w:t>
      </w:r>
      <w:r w:rsidR="00F27C87" w:rsidRPr="00237058">
        <w:t xml:space="preserve"> </w:t>
      </w:r>
      <w:r w:rsidR="003921BC" w:rsidRPr="00237058">
        <w:t>survey</w:t>
      </w:r>
      <w:r w:rsidR="00F27C87">
        <w:rPr>
          <w:lang w:val="en-US"/>
        </w:rPr>
        <w:t>s</w:t>
      </w:r>
      <w:r w:rsidR="005043E5" w:rsidRPr="00237058">
        <w:t xml:space="preserve">. </w:t>
      </w:r>
      <w:r w:rsidR="00CA567E" w:rsidRPr="00237058">
        <w:t xml:space="preserve">Response burden estimates are shown in Table A-12-1. The average time for completing </w:t>
      </w:r>
      <w:r w:rsidR="00F27C87">
        <w:rPr>
          <w:lang w:val="en-US"/>
        </w:rPr>
        <w:t>one of the surveys</w:t>
      </w:r>
      <w:r w:rsidR="00CA567E" w:rsidRPr="00237058">
        <w:t xml:space="preserve"> is </w:t>
      </w:r>
      <w:r w:rsidR="00F27C87">
        <w:rPr>
          <w:lang w:val="en-US"/>
        </w:rPr>
        <w:t>2</w:t>
      </w:r>
      <w:r w:rsidR="00D84D14" w:rsidRPr="00237058">
        <w:t>0</w:t>
      </w:r>
      <w:r w:rsidR="005043E5" w:rsidRPr="00237058">
        <w:t xml:space="preserve"> minutes</w:t>
      </w:r>
      <w:r w:rsidR="00CA567E" w:rsidRPr="00237058">
        <w:t>. The</w:t>
      </w:r>
      <w:r w:rsidR="005043E5" w:rsidRPr="00237058">
        <w:t xml:space="preserve"> </w:t>
      </w:r>
      <w:r w:rsidR="00CA567E" w:rsidRPr="00237058">
        <w:t xml:space="preserve">campaign is expected </w:t>
      </w:r>
      <w:r w:rsidR="00CA567E" w:rsidRPr="009C766E">
        <w:t xml:space="preserve">to involve </w:t>
      </w:r>
      <w:r w:rsidR="00007542" w:rsidRPr="009C766E">
        <w:rPr>
          <w:lang w:val="en-US"/>
        </w:rPr>
        <w:t>up to 300</w:t>
      </w:r>
      <w:r w:rsidR="00007542" w:rsidRPr="009C766E">
        <w:t xml:space="preserve"> </w:t>
      </w:r>
      <w:r w:rsidR="00CA567E" w:rsidRPr="009C766E">
        <w:t>health care</w:t>
      </w:r>
      <w:r w:rsidR="00823891" w:rsidRPr="009C766E">
        <w:t xml:space="preserve"> providers</w:t>
      </w:r>
      <w:r w:rsidR="00970DFB" w:rsidRPr="009C766E">
        <w:rPr>
          <w:lang w:val="en-US"/>
        </w:rPr>
        <w:t xml:space="preserve"> (approximately 30 health care providers at each of the 10 potential sites)</w:t>
      </w:r>
      <w:r w:rsidR="00823891" w:rsidRPr="009C766E">
        <w:t xml:space="preserve">. A response rate of </w:t>
      </w:r>
      <w:r w:rsidR="00007542" w:rsidRPr="009C766E">
        <w:rPr>
          <w:lang w:val="en-US"/>
        </w:rPr>
        <w:t>60%</w:t>
      </w:r>
      <w:r w:rsidR="00CA567E" w:rsidRPr="009C766E">
        <w:t xml:space="preserve"> is expected. This response rate is expected because these health care providers </w:t>
      </w:r>
      <w:r w:rsidR="00007542" w:rsidRPr="009C766E">
        <w:rPr>
          <w:lang w:val="en-US"/>
        </w:rPr>
        <w:t xml:space="preserve">will </w:t>
      </w:r>
      <w:r w:rsidR="00CA567E" w:rsidRPr="009C766E">
        <w:t xml:space="preserve">have </w:t>
      </w:r>
      <w:r w:rsidR="00996DFA">
        <w:rPr>
          <w:lang w:val="en-US"/>
        </w:rPr>
        <w:t xml:space="preserve">an introduction to NINR and the campaign in the workshop. </w:t>
      </w:r>
      <w:r w:rsidR="00CA567E" w:rsidRPr="009C766E">
        <w:t xml:space="preserve">The total annual burden is estimated to be </w:t>
      </w:r>
      <w:r w:rsidR="00970DFB" w:rsidRPr="009C766E">
        <w:rPr>
          <w:lang w:val="en-US"/>
        </w:rPr>
        <w:t>200</w:t>
      </w:r>
      <w:r w:rsidR="00970DFB" w:rsidRPr="009C766E">
        <w:t xml:space="preserve"> </w:t>
      </w:r>
      <w:r w:rsidR="00090DDB" w:rsidRPr="009C766E">
        <w:t>hours (see Table A-12-</w:t>
      </w:r>
      <w:r w:rsidR="00090DDB" w:rsidRPr="009C766E">
        <w:rPr>
          <w:lang w:val="en-US"/>
        </w:rPr>
        <w:t>1</w:t>
      </w:r>
      <w:r w:rsidR="00D90C6E" w:rsidRPr="009C766E">
        <w:t>).</w:t>
      </w:r>
      <w:r w:rsidR="00FE6C1C">
        <w:rPr>
          <w:lang w:val="en-US"/>
        </w:rPr>
        <w:t xml:space="preserve"> </w:t>
      </w:r>
    </w:p>
    <w:p w:rsidR="00090DDB" w:rsidRPr="009C766E" w:rsidRDefault="00090DDB" w:rsidP="00D90C6E">
      <w:pPr>
        <w:pStyle w:val="BodyText"/>
        <w:rPr>
          <w:lang w:val="en-US"/>
        </w:rPr>
      </w:pPr>
    </w:p>
    <w:tbl>
      <w:tblPr>
        <w:tblW w:w="8892" w:type="dxa"/>
        <w:jc w:val="center"/>
        <w:tblInd w:w="3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416"/>
        <w:gridCol w:w="1603"/>
        <w:gridCol w:w="1511"/>
        <w:gridCol w:w="2527"/>
        <w:gridCol w:w="1835"/>
      </w:tblGrid>
      <w:tr w:rsidR="00D90C6E" w:rsidRPr="009C766E" w:rsidTr="00DA36D7">
        <w:trPr>
          <w:trHeight w:val="303"/>
          <w:jc w:val="center"/>
        </w:trPr>
        <w:tc>
          <w:tcPr>
            <w:tcW w:w="8892" w:type="dxa"/>
            <w:gridSpan w:val="5"/>
            <w:tcBorders>
              <w:top w:val="single" w:sz="12" w:space="0" w:color="auto"/>
            </w:tcBorders>
            <w:shd w:val="clear" w:color="auto" w:fill="D9D9D9"/>
          </w:tcPr>
          <w:p w:rsidR="00D90C6E" w:rsidRPr="009C766E" w:rsidRDefault="00D90C6E" w:rsidP="00090DDB">
            <w:pPr>
              <w:keepNext/>
              <w:rPr>
                <w:rFonts w:cs="Arial"/>
                <w:b/>
                <w:sz w:val="22"/>
              </w:rPr>
            </w:pPr>
            <w:r w:rsidRPr="009C766E">
              <w:rPr>
                <w:rFonts w:cs="Arial"/>
                <w:b/>
                <w:sz w:val="22"/>
              </w:rPr>
              <w:lastRenderedPageBreak/>
              <w:t>Table A-12-1   Estimates of Annual Burden Hours</w:t>
            </w:r>
          </w:p>
        </w:tc>
      </w:tr>
      <w:tr w:rsidR="00D90C6E" w:rsidRPr="009C766E" w:rsidTr="00090DDB">
        <w:trPr>
          <w:trHeight w:val="637"/>
          <w:jc w:val="center"/>
        </w:trPr>
        <w:tc>
          <w:tcPr>
            <w:tcW w:w="1416" w:type="dxa"/>
            <w:shd w:val="clear" w:color="auto" w:fill="D9D9D9"/>
          </w:tcPr>
          <w:p w:rsidR="00D90C6E" w:rsidRPr="009C766E" w:rsidRDefault="00D90C6E" w:rsidP="00090DDB">
            <w:pPr>
              <w:keepNext/>
              <w:rPr>
                <w:rFonts w:cs="Arial"/>
                <w:b/>
                <w:sz w:val="22"/>
              </w:rPr>
            </w:pPr>
            <w:r w:rsidRPr="009C766E">
              <w:rPr>
                <w:rFonts w:cs="Arial"/>
                <w:b/>
                <w:sz w:val="22"/>
              </w:rPr>
              <w:t>Type of Respondents</w:t>
            </w:r>
          </w:p>
        </w:tc>
        <w:tc>
          <w:tcPr>
            <w:tcW w:w="1603" w:type="dxa"/>
            <w:shd w:val="clear" w:color="auto" w:fill="D9D9D9"/>
          </w:tcPr>
          <w:p w:rsidR="00D90C6E" w:rsidRPr="009C766E" w:rsidRDefault="00D90C6E" w:rsidP="00090DDB">
            <w:pPr>
              <w:keepNext/>
              <w:rPr>
                <w:rFonts w:cs="Arial"/>
                <w:b/>
                <w:sz w:val="22"/>
              </w:rPr>
            </w:pPr>
            <w:r w:rsidRPr="009C766E">
              <w:rPr>
                <w:rFonts w:cs="Arial"/>
                <w:b/>
                <w:sz w:val="22"/>
              </w:rPr>
              <w:t>Number of Respondents</w:t>
            </w:r>
          </w:p>
        </w:tc>
        <w:tc>
          <w:tcPr>
            <w:tcW w:w="1511" w:type="dxa"/>
            <w:shd w:val="clear" w:color="auto" w:fill="D9D9D9"/>
          </w:tcPr>
          <w:p w:rsidR="00D90C6E" w:rsidRPr="009C766E" w:rsidRDefault="00D90C6E" w:rsidP="00090DDB">
            <w:pPr>
              <w:keepNext/>
              <w:rPr>
                <w:rFonts w:cs="Arial"/>
                <w:b/>
                <w:sz w:val="22"/>
              </w:rPr>
            </w:pPr>
            <w:r w:rsidRPr="009C766E">
              <w:rPr>
                <w:rFonts w:cs="Arial"/>
                <w:b/>
                <w:sz w:val="22"/>
              </w:rPr>
              <w:t>Frequency of Response</w:t>
            </w:r>
          </w:p>
        </w:tc>
        <w:tc>
          <w:tcPr>
            <w:tcW w:w="2527" w:type="dxa"/>
            <w:shd w:val="clear" w:color="auto" w:fill="D9D9D9"/>
          </w:tcPr>
          <w:p w:rsidR="00D90C6E" w:rsidRPr="009C766E" w:rsidRDefault="00D90C6E" w:rsidP="00090DDB">
            <w:pPr>
              <w:keepNext/>
              <w:rPr>
                <w:rFonts w:cs="Arial"/>
                <w:b/>
                <w:sz w:val="22"/>
              </w:rPr>
            </w:pPr>
            <w:r w:rsidRPr="009C766E">
              <w:rPr>
                <w:rFonts w:cs="Arial"/>
                <w:b/>
                <w:sz w:val="22"/>
              </w:rPr>
              <w:t xml:space="preserve">Average Time per Response </w:t>
            </w:r>
          </w:p>
          <w:p w:rsidR="00D90C6E" w:rsidRPr="009C766E" w:rsidRDefault="00D90C6E" w:rsidP="00090DDB">
            <w:pPr>
              <w:keepNext/>
              <w:rPr>
                <w:rFonts w:cs="Arial"/>
                <w:b/>
                <w:sz w:val="22"/>
              </w:rPr>
            </w:pPr>
            <w:r w:rsidRPr="009C766E">
              <w:rPr>
                <w:rFonts w:cs="Arial"/>
                <w:b/>
                <w:sz w:val="22"/>
              </w:rPr>
              <w:t>(in hours )</w:t>
            </w:r>
            <w:r w:rsidR="00FE6C1C">
              <w:rPr>
                <w:rFonts w:cs="Arial"/>
                <w:b/>
                <w:sz w:val="22"/>
              </w:rPr>
              <w:t>*</w:t>
            </w:r>
          </w:p>
        </w:tc>
        <w:tc>
          <w:tcPr>
            <w:tcW w:w="1835" w:type="dxa"/>
            <w:shd w:val="clear" w:color="auto" w:fill="D9D9D9"/>
          </w:tcPr>
          <w:p w:rsidR="00D90C6E" w:rsidRPr="009C766E" w:rsidRDefault="00D90C6E" w:rsidP="00090DDB">
            <w:pPr>
              <w:keepNext/>
              <w:rPr>
                <w:rFonts w:cs="Arial"/>
                <w:b/>
                <w:sz w:val="22"/>
              </w:rPr>
            </w:pPr>
            <w:r w:rsidRPr="009C766E">
              <w:rPr>
                <w:rFonts w:cs="Arial"/>
                <w:b/>
                <w:sz w:val="22"/>
              </w:rPr>
              <w:t>Total  Burden Hours</w:t>
            </w:r>
          </w:p>
        </w:tc>
      </w:tr>
      <w:tr w:rsidR="00D90C6E" w:rsidRPr="009C766E" w:rsidTr="00DA36D7">
        <w:trPr>
          <w:trHeight w:val="358"/>
          <w:jc w:val="center"/>
        </w:trPr>
        <w:tc>
          <w:tcPr>
            <w:tcW w:w="1416" w:type="dxa"/>
          </w:tcPr>
          <w:p w:rsidR="00D90C6E" w:rsidRPr="009C766E" w:rsidRDefault="00D90C6E" w:rsidP="00090DDB">
            <w:pPr>
              <w:rPr>
                <w:rFonts w:cs="Arial"/>
                <w:sz w:val="22"/>
              </w:rPr>
            </w:pPr>
            <w:r w:rsidRPr="009C766E">
              <w:rPr>
                <w:rFonts w:cs="Arial"/>
                <w:sz w:val="22"/>
              </w:rPr>
              <w:t>Physicians</w:t>
            </w:r>
          </w:p>
        </w:tc>
        <w:tc>
          <w:tcPr>
            <w:tcW w:w="1603" w:type="dxa"/>
          </w:tcPr>
          <w:p w:rsidR="00D90C6E" w:rsidRPr="009C766E" w:rsidRDefault="00007542" w:rsidP="00090DDB">
            <w:pPr>
              <w:rPr>
                <w:rFonts w:cs="Arial"/>
                <w:sz w:val="22"/>
              </w:rPr>
            </w:pPr>
            <w:r w:rsidRPr="009C766E">
              <w:rPr>
                <w:rFonts w:cs="Arial"/>
                <w:sz w:val="22"/>
              </w:rPr>
              <w:t>150</w:t>
            </w:r>
          </w:p>
        </w:tc>
        <w:tc>
          <w:tcPr>
            <w:tcW w:w="1511" w:type="dxa"/>
          </w:tcPr>
          <w:p w:rsidR="00D90C6E" w:rsidRPr="009C766E" w:rsidRDefault="00007542" w:rsidP="00090DDB">
            <w:pPr>
              <w:rPr>
                <w:rFonts w:cs="Arial"/>
                <w:sz w:val="22"/>
              </w:rPr>
            </w:pPr>
            <w:r w:rsidRPr="009C766E">
              <w:rPr>
                <w:rFonts w:cs="Arial"/>
                <w:sz w:val="22"/>
              </w:rPr>
              <w:t>2</w:t>
            </w:r>
          </w:p>
        </w:tc>
        <w:tc>
          <w:tcPr>
            <w:tcW w:w="2527" w:type="dxa"/>
          </w:tcPr>
          <w:p w:rsidR="00D90C6E" w:rsidRPr="009C766E" w:rsidRDefault="00970DFB" w:rsidP="00090DDB">
            <w:pPr>
              <w:rPr>
                <w:rFonts w:cs="Arial"/>
                <w:sz w:val="22"/>
              </w:rPr>
            </w:pPr>
            <w:r w:rsidRPr="009C766E">
              <w:rPr>
                <w:rFonts w:cs="Arial"/>
                <w:sz w:val="22"/>
              </w:rPr>
              <w:t>20</w:t>
            </w:r>
            <w:r w:rsidR="00D90C6E" w:rsidRPr="009C766E">
              <w:rPr>
                <w:rFonts w:cs="Arial"/>
                <w:sz w:val="22"/>
              </w:rPr>
              <w:t>/60</w:t>
            </w:r>
          </w:p>
        </w:tc>
        <w:tc>
          <w:tcPr>
            <w:tcW w:w="1835" w:type="dxa"/>
          </w:tcPr>
          <w:p w:rsidR="00D90C6E" w:rsidRPr="009C766E" w:rsidRDefault="00970DFB" w:rsidP="00090DDB">
            <w:pPr>
              <w:rPr>
                <w:rFonts w:cs="Arial"/>
                <w:sz w:val="22"/>
              </w:rPr>
            </w:pPr>
            <w:r w:rsidRPr="009C766E">
              <w:rPr>
                <w:rFonts w:cs="Arial"/>
                <w:sz w:val="22"/>
              </w:rPr>
              <w:t>100</w:t>
            </w:r>
          </w:p>
        </w:tc>
      </w:tr>
      <w:tr w:rsidR="00D90C6E" w:rsidRPr="009C766E" w:rsidTr="00DA36D7">
        <w:trPr>
          <w:trHeight w:val="340"/>
          <w:jc w:val="center"/>
        </w:trPr>
        <w:tc>
          <w:tcPr>
            <w:tcW w:w="1416" w:type="dxa"/>
          </w:tcPr>
          <w:p w:rsidR="00D90C6E" w:rsidRPr="009C766E" w:rsidRDefault="00D90C6E" w:rsidP="00090DDB">
            <w:pPr>
              <w:rPr>
                <w:rFonts w:cs="Arial"/>
                <w:sz w:val="22"/>
              </w:rPr>
            </w:pPr>
            <w:r w:rsidRPr="009C766E">
              <w:rPr>
                <w:rFonts w:cs="Arial"/>
                <w:sz w:val="22"/>
              </w:rPr>
              <w:t>Nurses</w:t>
            </w:r>
          </w:p>
        </w:tc>
        <w:tc>
          <w:tcPr>
            <w:tcW w:w="1603" w:type="dxa"/>
          </w:tcPr>
          <w:p w:rsidR="00D90C6E" w:rsidRPr="009C766E" w:rsidRDefault="00007542" w:rsidP="00090DDB">
            <w:pPr>
              <w:rPr>
                <w:rFonts w:cs="Arial"/>
                <w:sz w:val="22"/>
              </w:rPr>
            </w:pPr>
            <w:r w:rsidRPr="009C766E">
              <w:rPr>
                <w:rFonts w:cs="Arial"/>
                <w:sz w:val="22"/>
              </w:rPr>
              <w:t>150</w:t>
            </w:r>
          </w:p>
        </w:tc>
        <w:tc>
          <w:tcPr>
            <w:tcW w:w="1511" w:type="dxa"/>
          </w:tcPr>
          <w:p w:rsidR="00D90C6E" w:rsidRPr="009C766E" w:rsidRDefault="00007542" w:rsidP="00090DDB">
            <w:pPr>
              <w:rPr>
                <w:rFonts w:cs="Arial"/>
                <w:sz w:val="22"/>
              </w:rPr>
            </w:pPr>
            <w:r w:rsidRPr="009C766E">
              <w:rPr>
                <w:rFonts w:cs="Arial"/>
                <w:sz w:val="22"/>
              </w:rPr>
              <w:t>2</w:t>
            </w:r>
          </w:p>
        </w:tc>
        <w:tc>
          <w:tcPr>
            <w:tcW w:w="2527" w:type="dxa"/>
          </w:tcPr>
          <w:p w:rsidR="00D90C6E" w:rsidRPr="009C766E" w:rsidRDefault="00970DFB" w:rsidP="00090DDB">
            <w:pPr>
              <w:rPr>
                <w:rFonts w:cs="Arial"/>
                <w:sz w:val="22"/>
              </w:rPr>
            </w:pPr>
            <w:r w:rsidRPr="009C766E">
              <w:rPr>
                <w:rFonts w:cs="Arial"/>
                <w:sz w:val="22"/>
              </w:rPr>
              <w:t>20</w:t>
            </w:r>
            <w:r w:rsidR="00D90C6E" w:rsidRPr="009C766E">
              <w:rPr>
                <w:rFonts w:cs="Arial"/>
                <w:sz w:val="22"/>
              </w:rPr>
              <w:t>/60</w:t>
            </w:r>
          </w:p>
        </w:tc>
        <w:tc>
          <w:tcPr>
            <w:tcW w:w="1835" w:type="dxa"/>
          </w:tcPr>
          <w:p w:rsidR="00D90C6E" w:rsidRPr="009C766E" w:rsidRDefault="00970DFB" w:rsidP="00090DDB">
            <w:pPr>
              <w:rPr>
                <w:rFonts w:cs="Arial"/>
                <w:sz w:val="22"/>
              </w:rPr>
            </w:pPr>
            <w:r w:rsidRPr="009C766E">
              <w:rPr>
                <w:rFonts w:cs="Arial"/>
                <w:sz w:val="22"/>
              </w:rPr>
              <w:t>100</w:t>
            </w:r>
          </w:p>
        </w:tc>
      </w:tr>
      <w:tr w:rsidR="00D90C6E" w:rsidRPr="00091061" w:rsidTr="00DA36D7">
        <w:trPr>
          <w:trHeight w:val="340"/>
          <w:jc w:val="center"/>
        </w:trPr>
        <w:tc>
          <w:tcPr>
            <w:tcW w:w="1416" w:type="dxa"/>
            <w:tcBorders>
              <w:bottom w:val="single" w:sz="12" w:space="0" w:color="auto"/>
            </w:tcBorders>
          </w:tcPr>
          <w:p w:rsidR="00D90C6E" w:rsidRPr="009C766E" w:rsidRDefault="00D90C6E" w:rsidP="00090DDB">
            <w:pPr>
              <w:rPr>
                <w:rFonts w:cs="Arial"/>
                <w:sz w:val="22"/>
              </w:rPr>
            </w:pPr>
            <w:r w:rsidRPr="009C766E">
              <w:rPr>
                <w:rFonts w:cs="Arial"/>
                <w:sz w:val="22"/>
              </w:rPr>
              <w:t>Total</w:t>
            </w:r>
          </w:p>
        </w:tc>
        <w:tc>
          <w:tcPr>
            <w:tcW w:w="1603" w:type="dxa"/>
            <w:tcBorders>
              <w:bottom w:val="single" w:sz="12" w:space="0" w:color="auto"/>
            </w:tcBorders>
          </w:tcPr>
          <w:p w:rsidR="00D90C6E" w:rsidRPr="009C766E" w:rsidRDefault="00007542" w:rsidP="00090DDB">
            <w:pPr>
              <w:rPr>
                <w:rFonts w:cs="Arial"/>
                <w:sz w:val="22"/>
              </w:rPr>
            </w:pPr>
            <w:r w:rsidRPr="009C766E">
              <w:rPr>
                <w:rFonts w:cs="Arial"/>
                <w:sz w:val="22"/>
              </w:rPr>
              <w:t>300</w:t>
            </w:r>
          </w:p>
        </w:tc>
        <w:tc>
          <w:tcPr>
            <w:tcW w:w="1511" w:type="dxa"/>
            <w:tcBorders>
              <w:bottom w:val="single" w:sz="12" w:space="0" w:color="auto"/>
            </w:tcBorders>
          </w:tcPr>
          <w:p w:rsidR="00D90C6E" w:rsidRPr="009C766E" w:rsidRDefault="00D90C6E" w:rsidP="00090DDB">
            <w:pPr>
              <w:rPr>
                <w:rFonts w:cs="Arial"/>
                <w:sz w:val="22"/>
              </w:rPr>
            </w:pPr>
          </w:p>
        </w:tc>
        <w:tc>
          <w:tcPr>
            <w:tcW w:w="2527" w:type="dxa"/>
            <w:tcBorders>
              <w:bottom w:val="single" w:sz="12" w:space="0" w:color="auto"/>
            </w:tcBorders>
          </w:tcPr>
          <w:p w:rsidR="00D90C6E" w:rsidRPr="009C766E" w:rsidRDefault="00D90C6E" w:rsidP="00090DDB">
            <w:pPr>
              <w:rPr>
                <w:rFonts w:cs="Arial"/>
                <w:sz w:val="22"/>
              </w:rPr>
            </w:pPr>
          </w:p>
        </w:tc>
        <w:tc>
          <w:tcPr>
            <w:tcW w:w="1835" w:type="dxa"/>
            <w:tcBorders>
              <w:bottom w:val="single" w:sz="12" w:space="0" w:color="auto"/>
            </w:tcBorders>
          </w:tcPr>
          <w:p w:rsidR="00D90C6E" w:rsidRPr="009C766E" w:rsidRDefault="00970DFB" w:rsidP="00090DDB">
            <w:pPr>
              <w:rPr>
                <w:rFonts w:cs="Arial"/>
                <w:sz w:val="22"/>
              </w:rPr>
            </w:pPr>
            <w:r w:rsidRPr="009C766E">
              <w:rPr>
                <w:rFonts w:cs="Arial"/>
                <w:sz w:val="22"/>
              </w:rPr>
              <w:t>200</w:t>
            </w:r>
          </w:p>
        </w:tc>
      </w:tr>
    </w:tbl>
    <w:p w:rsidR="00FE6C1C" w:rsidRDefault="00FE6C1C" w:rsidP="00D90C6E">
      <w:pPr>
        <w:pStyle w:val="BodyText"/>
        <w:rPr>
          <w:lang w:val="en-US"/>
        </w:rPr>
      </w:pPr>
      <w:r w:rsidRPr="00CD383D">
        <w:rPr>
          <w:iCs/>
          <w:lang w:val="en-US"/>
        </w:rPr>
        <w:t>*</w:t>
      </w:r>
      <w:r w:rsidRPr="00CD383D">
        <w:rPr>
          <w:iCs/>
        </w:rPr>
        <w:t>The average time for completing one of the surveys is 20 minutes; this includes reading the consent form on page 1 of the surve</w:t>
      </w:r>
      <w:r w:rsidRPr="00CD383D">
        <w:rPr>
          <w:iCs/>
          <w:lang w:val="en-US"/>
        </w:rPr>
        <w:t>y.</w:t>
      </w:r>
    </w:p>
    <w:p w:rsidR="00FE6C1C" w:rsidRDefault="00FE6C1C" w:rsidP="00D90C6E">
      <w:pPr>
        <w:pStyle w:val="BodyText"/>
        <w:rPr>
          <w:lang w:val="en-US"/>
        </w:rPr>
      </w:pPr>
    </w:p>
    <w:p w:rsidR="00D90C6E" w:rsidRPr="00CE21D9" w:rsidRDefault="00D90C6E" w:rsidP="00D90C6E">
      <w:pPr>
        <w:pStyle w:val="BodyText"/>
      </w:pPr>
      <w:r w:rsidRPr="00B76778">
        <w:t xml:space="preserve">The total annual cost to </w:t>
      </w:r>
      <w:r>
        <w:t xml:space="preserve">respondents is estimated </w:t>
      </w:r>
      <w:r w:rsidRPr="002D41C9">
        <w:t xml:space="preserve">at </w:t>
      </w:r>
      <w:r w:rsidRPr="002D41C9">
        <w:rPr>
          <w:rFonts w:cs="Arial"/>
        </w:rPr>
        <w:t>$</w:t>
      </w:r>
      <w:r w:rsidR="00B73E97">
        <w:rPr>
          <w:rFonts w:cs="Arial"/>
          <w:lang w:val="en-US"/>
        </w:rPr>
        <w:t>9</w:t>
      </w:r>
      <w:r w:rsidR="00617287">
        <w:rPr>
          <w:rFonts w:cs="Arial"/>
          <w:lang w:val="en-US"/>
        </w:rPr>
        <w:t>,</w:t>
      </w:r>
      <w:r w:rsidR="00B73E97">
        <w:rPr>
          <w:rFonts w:cs="Arial"/>
          <w:lang w:val="en-US"/>
        </w:rPr>
        <w:t>796.00</w:t>
      </w:r>
      <w:r w:rsidRPr="002D41C9">
        <w:t xml:space="preserve"> as shown in Table A-12-2. Annualized costs were calculated using the mean hourly wage provided by U.S. Department of Labor, Bureau of Labor Statistics, Occupation Employment and Wages, May 2011, Medical Scientists, Except Epidemiologists</w:t>
      </w:r>
      <w:r w:rsidR="0069003E">
        <w:rPr>
          <w:lang w:val="en-US"/>
        </w:rPr>
        <w:t xml:space="preserve">, </w:t>
      </w:r>
      <w:r w:rsidR="0069003E">
        <w:rPr>
          <w:rStyle w:val="tabletitle"/>
        </w:rPr>
        <w:t>(NAICS code 541900)</w:t>
      </w:r>
      <w:r w:rsidRPr="002D41C9">
        <w:t xml:space="preserve"> (available at</w:t>
      </w:r>
      <w:r w:rsidRPr="00D90C6E">
        <w:t xml:space="preserve"> </w:t>
      </w:r>
      <w:r w:rsidR="00970DFB" w:rsidRPr="00970DFB">
        <w:t>http://data.bls.gov/oes/industry.do</w:t>
      </w:r>
      <w:r w:rsidRPr="00FF3A01">
        <w:t xml:space="preserve">. Accessed </w:t>
      </w:r>
      <w:r w:rsidR="0069003E">
        <w:rPr>
          <w:lang w:val="en-US"/>
        </w:rPr>
        <w:t>3/22/13</w:t>
      </w:r>
      <w:r w:rsidRPr="00FF3A01">
        <w:t>)</w:t>
      </w:r>
      <w:r w:rsidRPr="002D41C9">
        <w:rPr>
          <w:rStyle w:val="FootnoteReference"/>
          <w:rFonts w:ascii="Verdana" w:hAnsi="Verdana"/>
          <w:bCs/>
          <w:sz w:val="20"/>
        </w:rPr>
        <w:t xml:space="preserve"> </w:t>
      </w:r>
      <w:r w:rsidRPr="00CE21D9">
        <w:t xml:space="preserve">hourly </w:t>
      </w:r>
      <w:r w:rsidR="0069003E">
        <w:rPr>
          <w:lang w:val="en-US"/>
        </w:rPr>
        <w:t xml:space="preserve">mean </w:t>
      </w:r>
      <w:r w:rsidRPr="00CE21D9">
        <w:t xml:space="preserve">wage. Respondents to this questionnaire are </w:t>
      </w:r>
      <w:r>
        <w:t>nurse</w:t>
      </w:r>
      <w:r w:rsidR="0063712C">
        <w:t>s and physicians</w:t>
      </w:r>
      <w:r w:rsidR="006A0BEE">
        <w:t>.</w:t>
      </w:r>
    </w:p>
    <w:p w:rsidR="005043E5" w:rsidRPr="00FF3A01" w:rsidRDefault="005043E5" w:rsidP="005043E5"/>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5"/>
        <w:gridCol w:w="1415"/>
        <w:gridCol w:w="1390"/>
        <w:gridCol w:w="2114"/>
        <w:gridCol w:w="1177"/>
        <w:gridCol w:w="1345"/>
      </w:tblGrid>
      <w:tr w:rsidR="00E84114" w:rsidRPr="00091061" w:rsidTr="00AF0507">
        <w:trPr>
          <w:trHeight w:val="593"/>
          <w:jc w:val="center"/>
        </w:trPr>
        <w:tc>
          <w:tcPr>
            <w:tcW w:w="5000" w:type="pct"/>
            <w:gridSpan w:val="6"/>
            <w:tcBorders>
              <w:top w:val="single" w:sz="12" w:space="0" w:color="auto"/>
            </w:tcBorders>
            <w:shd w:val="clear" w:color="auto" w:fill="D9D9D9"/>
            <w:vAlign w:val="center"/>
          </w:tcPr>
          <w:p w:rsidR="00E84114" w:rsidRPr="00091061" w:rsidRDefault="00E84114" w:rsidP="00AF0507">
            <w:pPr>
              <w:keepNext/>
              <w:rPr>
                <w:rFonts w:cs="Arial"/>
                <w:b/>
                <w:sz w:val="22"/>
              </w:rPr>
            </w:pPr>
            <w:r w:rsidRPr="009C766E">
              <w:rPr>
                <w:rFonts w:cs="Arial"/>
                <w:b/>
                <w:sz w:val="22"/>
              </w:rPr>
              <w:t>Table A-12-2: Annualized Cost to Respondents</w:t>
            </w:r>
          </w:p>
        </w:tc>
      </w:tr>
      <w:tr w:rsidR="00E84114" w:rsidRPr="00091061" w:rsidTr="00AF0507">
        <w:trPr>
          <w:jc w:val="center"/>
        </w:trPr>
        <w:tc>
          <w:tcPr>
            <w:tcW w:w="782" w:type="pct"/>
            <w:shd w:val="clear" w:color="auto" w:fill="D9D9D9"/>
            <w:vAlign w:val="center"/>
          </w:tcPr>
          <w:p w:rsidR="00E84114" w:rsidRPr="00091061" w:rsidRDefault="00E84114" w:rsidP="00AF0507">
            <w:pPr>
              <w:keepNext/>
              <w:jc w:val="center"/>
              <w:rPr>
                <w:rFonts w:cs="Arial"/>
                <w:b/>
                <w:sz w:val="22"/>
              </w:rPr>
            </w:pPr>
            <w:r w:rsidRPr="00091061">
              <w:rPr>
                <w:rFonts w:cs="Arial"/>
                <w:b/>
                <w:sz w:val="22"/>
              </w:rPr>
              <w:t>Type  of Respondents</w:t>
            </w:r>
          </w:p>
        </w:tc>
        <w:tc>
          <w:tcPr>
            <w:tcW w:w="782" w:type="pct"/>
            <w:shd w:val="clear" w:color="auto" w:fill="D9D9D9"/>
            <w:vAlign w:val="center"/>
          </w:tcPr>
          <w:p w:rsidR="00E84114" w:rsidRPr="00091061" w:rsidRDefault="00E84114" w:rsidP="00AF0507">
            <w:pPr>
              <w:keepNext/>
              <w:jc w:val="center"/>
              <w:rPr>
                <w:rFonts w:cs="Arial"/>
                <w:b/>
                <w:sz w:val="22"/>
              </w:rPr>
            </w:pPr>
            <w:r w:rsidRPr="00091061">
              <w:rPr>
                <w:rFonts w:cs="Arial"/>
                <w:b/>
                <w:sz w:val="22"/>
              </w:rPr>
              <w:t>Number of Respondents</w:t>
            </w:r>
          </w:p>
        </w:tc>
        <w:tc>
          <w:tcPr>
            <w:tcW w:w="793" w:type="pct"/>
            <w:shd w:val="clear" w:color="auto" w:fill="D9D9D9"/>
            <w:vAlign w:val="center"/>
          </w:tcPr>
          <w:p w:rsidR="00E84114" w:rsidRPr="00091061" w:rsidRDefault="00E84114" w:rsidP="00AF0507">
            <w:pPr>
              <w:keepNext/>
              <w:jc w:val="center"/>
              <w:rPr>
                <w:rFonts w:cs="Arial"/>
                <w:b/>
                <w:sz w:val="22"/>
              </w:rPr>
            </w:pPr>
            <w:r w:rsidRPr="00091061">
              <w:rPr>
                <w:rFonts w:cs="Arial"/>
                <w:b/>
                <w:sz w:val="22"/>
              </w:rPr>
              <w:t>Frequency of Response</w:t>
            </w:r>
          </w:p>
        </w:tc>
        <w:tc>
          <w:tcPr>
            <w:tcW w:w="1202" w:type="pct"/>
            <w:shd w:val="clear" w:color="auto" w:fill="D9D9D9"/>
            <w:vAlign w:val="center"/>
          </w:tcPr>
          <w:p w:rsidR="00E84114" w:rsidRDefault="00E84114" w:rsidP="00AF0507">
            <w:pPr>
              <w:keepNext/>
              <w:jc w:val="center"/>
              <w:rPr>
                <w:rFonts w:cs="Arial"/>
                <w:b/>
                <w:sz w:val="22"/>
              </w:rPr>
            </w:pPr>
            <w:r w:rsidRPr="00091061">
              <w:rPr>
                <w:rFonts w:cs="Arial"/>
                <w:b/>
                <w:sz w:val="22"/>
              </w:rPr>
              <w:t xml:space="preserve">Average Time per Response  </w:t>
            </w:r>
          </w:p>
          <w:p w:rsidR="00E84114" w:rsidRPr="00091061" w:rsidRDefault="00E84114" w:rsidP="00AF0507">
            <w:pPr>
              <w:keepNext/>
              <w:jc w:val="center"/>
              <w:rPr>
                <w:rFonts w:cs="Arial"/>
                <w:b/>
                <w:sz w:val="22"/>
              </w:rPr>
            </w:pPr>
            <w:r w:rsidRPr="00091061">
              <w:rPr>
                <w:rFonts w:cs="Arial"/>
                <w:b/>
                <w:sz w:val="22"/>
              </w:rPr>
              <w:t>(</w:t>
            </w:r>
            <w:r>
              <w:rPr>
                <w:rFonts w:cs="Arial"/>
                <w:b/>
                <w:sz w:val="22"/>
              </w:rPr>
              <w:t>in hours</w:t>
            </w:r>
            <w:r w:rsidRPr="00091061">
              <w:rPr>
                <w:rFonts w:cs="Arial"/>
                <w:b/>
                <w:sz w:val="22"/>
              </w:rPr>
              <w:t>)</w:t>
            </w:r>
          </w:p>
        </w:tc>
        <w:tc>
          <w:tcPr>
            <w:tcW w:w="673" w:type="pct"/>
            <w:shd w:val="clear" w:color="auto" w:fill="D9D9D9"/>
            <w:vAlign w:val="center"/>
          </w:tcPr>
          <w:p w:rsidR="00E84114" w:rsidRPr="00091061" w:rsidRDefault="00E84114" w:rsidP="0069003E">
            <w:pPr>
              <w:keepNext/>
              <w:jc w:val="center"/>
              <w:rPr>
                <w:rFonts w:cs="Arial"/>
                <w:b/>
                <w:sz w:val="22"/>
              </w:rPr>
            </w:pPr>
            <w:r w:rsidRPr="00091061">
              <w:rPr>
                <w:rFonts w:cs="Arial"/>
                <w:b/>
                <w:sz w:val="22"/>
              </w:rPr>
              <w:t xml:space="preserve">Hourly </w:t>
            </w:r>
            <w:r w:rsidR="0069003E">
              <w:rPr>
                <w:rFonts w:cs="Arial"/>
                <w:b/>
                <w:sz w:val="22"/>
              </w:rPr>
              <w:t xml:space="preserve">Mean </w:t>
            </w:r>
            <w:r w:rsidRPr="00091061">
              <w:rPr>
                <w:rFonts w:cs="Arial"/>
                <w:b/>
                <w:sz w:val="22"/>
              </w:rPr>
              <w:t xml:space="preserve">Wage </w:t>
            </w:r>
          </w:p>
        </w:tc>
        <w:tc>
          <w:tcPr>
            <w:tcW w:w="769" w:type="pct"/>
            <w:shd w:val="clear" w:color="auto" w:fill="D9D9D9"/>
            <w:vAlign w:val="center"/>
          </w:tcPr>
          <w:p w:rsidR="00E84114" w:rsidRPr="00091061" w:rsidRDefault="00E84114" w:rsidP="00AF0507">
            <w:pPr>
              <w:keepNext/>
              <w:jc w:val="center"/>
              <w:rPr>
                <w:rFonts w:cs="Arial"/>
                <w:b/>
                <w:sz w:val="22"/>
              </w:rPr>
            </w:pPr>
            <w:r w:rsidRPr="00091061">
              <w:rPr>
                <w:rFonts w:cs="Arial"/>
                <w:b/>
                <w:sz w:val="22"/>
              </w:rPr>
              <w:t>Total Respondent Cost</w:t>
            </w:r>
          </w:p>
        </w:tc>
      </w:tr>
      <w:tr w:rsidR="00E84114" w:rsidRPr="00091061" w:rsidTr="00DA36D7">
        <w:trPr>
          <w:trHeight w:val="503"/>
          <w:jc w:val="center"/>
        </w:trPr>
        <w:tc>
          <w:tcPr>
            <w:tcW w:w="782" w:type="pct"/>
            <w:vAlign w:val="center"/>
          </w:tcPr>
          <w:p w:rsidR="00E84114" w:rsidRPr="00091061" w:rsidRDefault="00E84114" w:rsidP="00AF0507">
            <w:pPr>
              <w:rPr>
                <w:rFonts w:cs="Arial"/>
                <w:sz w:val="22"/>
              </w:rPr>
            </w:pPr>
            <w:r>
              <w:rPr>
                <w:rFonts w:cs="Arial"/>
                <w:sz w:val="22"/>
              </w:rPr>
              <w:t>Physicians</w:t>
            </w:r>
          </w:p>
        </w:tc>
        <w:tc>
          <w:tcPr>
            <w:tcW w:w="782" w:type="pct"/>
            <w:vAlign w:val="center"/>
          </w:tcPr>
          <w:p w:rsidR="00E84114" w:rsidRPr="00091061" w:rsidRDefault="00970DFB" w:rsidP="00AF0507">
            <w:pPr>
              <w:jc w:val="center"/>
              <w:rPr>
                <w:rFonts w:cs="Arial"/>
                <w:sz w:val="22"/>
              </w:rPr>
            </w:pPr>
            <w:r>
              <w:rPr>
                <w:rFonts w:cs="Arial"/>
                <w:sz w:val="22"/>
              </w:rPr>
              <w:t>150</w:t>
            </w:r>
          </w:p>
        </w:tc>
        <w:tc>
          <w:tcPr>
            <w:tcW w:w="793" w:type="pct"/>
            <w:vAlign w:val="center"/>
          </w:tcPr>
          <w:p w:rsidR="00E84114" w:rsidRPr="00091061" w:rsidRDefault="00970DFB" w:rsidP="00AF0507">
            <w:pPr>
              <w:jc w:val="center"/>
              <w:rPr>
                <w:rFonts w:cs="Arial"/>
                <w:sz w:val="22"/>
              </w:rPr>
            </w:pPr>
            <w:r>
              <w:rPr>
                <w:rFonts w:cs="Arial"/>
                <w:sz w:val="22"/>
              </w:rPr>
              <w:t>2</w:t>
            </w:r>
          </w:p>
        </w:tc>
        <w:tc>
          <w:tcPr>
            <w:tcW w:w="1202" w:type="pct"/>
            <w:vAlign w:val="center"/>
          </w:tcPr>
          <w:p w:rsidR="00E84114" w:rsidRPr="00091061" w:rsidRDefault="00970DFB" w:rsidP="00AF0507">
            <w:pPr>
              <w:jc w:val="center"/>
              <w:rPr>
                <w:rFonts w:cs="Arial"/>
                <w:sz w:val="22"/>
              </w:rPr>
            </w:pPr>
            <w:r>
              <w:rPr>
                <w:rFonts w:cs="Arial"/>
                <w:sz w:val="22"/>
              </w:rPr>
              <w:t>20</w:t>
            </w:r>
            <w:r w:rsidR="00E84114">
              <w:rPr>
                <w:rFonts w:cs="Arial"/>
                <w:sz w:val="22"/>
              </w:rPr>
              <w:t>/60</w:t>
            </w:r>
          </w:p>
        </w:tc>
        <w:tc>
          <w:tcPr>
            <w:tcW w:w="673" w:type="pct"/>
            <w:vAlign w:val="center"/>
          </w:tcPr>
          <w:p w:rsidR="00E84114" w:rsidRPr="00ED5C64" w:rsidRDefault="00E84114" w:rsidP="0069003E">
            <w:pPr>
              <w:jc w:val="center"/>
              <w:rPr>
                <w:rFonts w:cs="Arial"/>
                <w:sz w:val="22"/>
              </w:rPr>
            </w:pPr>
            <w:r w:rsidRPr="00FF3A01">
              <w:t>$</w:t>
            </w:r>
            <w:r w:rsidR="0069003E">
              <w:t>65.85</w:t>
            </w:r>
          </w:p>
        </w:tc>
        <w:tc>
          <w:tcPr>
            <w:tcW w:w="769" w:type="pct"/>
            <w:vAlign w:val="center"/>
          </w:tcPr>
          <w:p w:rsidR="00E84114" w:rsidRPr="00ED5C64" w:rsidRDefault="00E84114" w:rsidP="00B73E97">
            <w:pPr>
              <w:jc w:val="center"/>
              <w:rPr>
                <w:rFonts w:cs="Arial"/>
                <w:sz w:val="22"/>
              </w:rPr>
            </w:pPr>
            <w:r>
              <w:rPr>
                <w:rFonts w:cs="Arial"/>
                <w:sz w:val="22"/>
              </w:rPr>
              <w:t>$</w:t>
            </w:r>
            <w:r w:rsidR="00B73E97">
              <w:rPr>
                <w:rFonts w:cs="Arial"/>
                <w:sz w:val="22"/>
              </w:rPr>
              <w:t>6585.00</w:t>
            </w:r>
          </w:p>
        </w:tc>
      </w:tr>
      <w:tr w:rsidR="00E84114" w:rsidRPr="00091061" w:rsidTr="00DA36D7">
        <w:trPr>
          <w:trHeight w:val="440"/>
          <w:jc w:val="center"/>
        </w:trPr>
        <w:tc>
          <w:tcPr>
            <w:tcW w:w="782" w:type="pct"/>
            <w:vAlign w:val="center"/>
          </w:tcPr>
          <w:p w:rsidR="00E84114" w:rsidRDefault="00E84114" w:rsidP="00AF0507">
            <w:pPr>
              <w:rPr>
                <w:rFonts w:cs="Arial"/>
                <w:sz w:val="22"/>
              </w:rPr>
            </w:pPr>
            <w:r>
              <w:rPr>
                <w:rFonts w:cs="Arial"/>
                <w:sz w:val="22"/>
              </w:rPr>
              <w:t>Nurses</w:t>
            </w:r>
          </w:p>
        </w:tc>
        <w:tc>
          <w:tcPr>
            <w:tcW w:w="782" w:type="pct"/>
            <w:vAlign w:val="center"/>
          </w:tcPr>
          <w:p w:rsidR="00E84114" w:rsidRDefault="00970DFB" w:rsidP="00AF0507">
            <w:pPr>
              <w:jc w:val="center"/>
              <w:rPr>
                <w:rFonts w:cs="Arial"/>
                <w:sz w:val="22"/>
              </w:rPr>
            </w:pPr>
            <w:r>
              <w:rPr>
                <w:rFonts w:cs="Arial"/>
                <w:sz w:val="22"/>
              </w:rPr>
              <w:t>150</w:t>
            </w:r>
          </w:p>
        </w:tc>
        <w:tc>
          <w:tcPr>
            <w:tcW w:w="793" w:type="pct"/>
            <w:vAlign w:val="center"/>
          </w:tcPr>
          <w:p w:rsidR="00E84114" w:rsidRPr="00091061" w:rsidRDefault="00970DFB" w:rsidP="00AF0507">
            <w:pPr>
              <w:jc w:val="center"/>
              <w:rPr>
                <w:rFonts w:cs="Arial"/>
                <w:sz w:val="22"/>
              </w:rPr>
            </w:pPr>
            <w:r>
              <w:rPr>
                <w:rFonts w:cs="Arial"/>
                <w:sz w:val="22"/>
              </w:rPr>
              <w:t>2</w:t>
            </w:r>
          </w:p>
        </w:tc>
        <w:tc>
          <w:tcPr>
            <w:tcW w:w="1202" w:type="pct"/>
            <w:vAlign w:val="center"/>
          </w:tcPr>
          <w:p w:rsidR="00E84114" w:rsidRDefault="00970DFB" w:rsidP="00AF0507">
            <w:pPr>
              <w:jc w:val="center"/>
              <w:rPr>
                <w:rFonts w:cs="Arial"/>
                <w:sz w:val="22"/>
              </w:rPr>
            </w:pPr>
            <w:r>
              <w:rPr>
                <w:rFonts w:cs="Arial"/>
                <w:sz w:val="22"/>
              </w:rPr>
              <w:t>20</w:t>
            </w:r>
            <w:r w:rsidR="00E84114">
              <w:rPr>
                <w:rFonts w:cs="Arial"/>
                <w:sz w:val="22"/>
              </w:rPr>
              <w:t>/60</w:t>
            </w:r>
          </w:p>
        </w:tc>
        <w:tc>
          <w:tcPr>
            <w:tcW w:w="673" w:type="pct"/>
            <w:vAlign w:val="center"/>
          </w:tcPr>
          <w:p w:rsidR="00E84114" w:rsidRPr="00FF3A01" w:rsidRDefault="00E84114" w:rsidP="0069003E">
            <w:pPr>
              <w:jc w:val="center"/>
            </w:pPr>
            <w:r>
              <w:t>$</w:t>
            </w:r>
            <w:r w:rsidR="0069003E">
              <w:t>32.11</w:t>
            </w:r>
          </w:p>
        </w:tc>
        <w:tc>
          <w:tcPr>
            <w:tcW w:w="769" w:type="pct"/>
            <w:vAlign w:val="center"/>
          </w:tcPr>
          <w:p w:rsidR="00E84114" w:rsidRDefault="00E84114" w:rsidP="00B73E97">
            <w:pPr>
              <w:jc w:val="center"/>
              <w:rPr>
                <w:rFonts w:cs="Arial"/>
                <w:sz w:val="22"/>
              </w:rPr>
            </w:pPr>
            <w:r>
              <w:rPr>
                <w:rFonts w:cs="Arial"/>
                <w:sz w:val="22"/>
              </w:rPr>
              <w:t>$</w:t>
            </w:r>
            <w:r w:rsidR="00B73E97">
              <w:rPr>
                <w:rFonts w:cs="Arial"/>
                <w:sz w:val="22"/>
              </w:rPr>
              <w:t>3211.00</w:t>
            </w:r>
          </w:p>
        </w:tc>
      </w:tr>
      <w:tr w:rsidR="00E84114" w:rsidRPr="00091061" w:rsidTr="00DA36D7">
        <w:trPr>
          <w:trHeight w:val="440"/>
          <w:jc w:val="center"/>
        </w:trPr>
        <w:tc>
          <w:tcPr>
            <w:tcW w:w="782" w:type="pct"/>
            <w:tcBorders>
              <w:bottom w:val="single" w:sz="12" w:space="0" w:color="auto"/>
            </w:tcBorders>
            <w:vAlign w:val="center"/>
          </w:tcPr>
          <w:p w:rsidR="00E84114" w:rsidRDefault="00E84114" w:rsidP="00AF0507">
            <w:pPr>
              <w:rPr>
                <w:rFonts w:cs="Arial"/>
                <w:sz w:val="22"/>
              </w:rPr>
            </w:pPr>
            <w:r>
              <w:rPr>
                <w:rFonts w:cs="Arial"/>
                <w:sz w:val="22"/>
              </w:rPr>
              <w:t>Total</w:t>
            </w:r>
          </w:p>
        </w:tc>
        <w:tc>
          <w:tcPr>
            <w:tcW w:w="782" w:type="pct"/>
            <w:tcBorders>
              <w:bottom w:val="single" w:sz="12" w:space="0" w:color="auto"/>
            </w:tcBorders>
            <w:vAlign w:val="center"/>
          </w:tcPr>
          <w:p w:rsidR="00E84114" w:rsidRDefault="00970DFB" w:rsidP="00AF0507">
            <w:pPr>
              <w:jc w:val="center"/>
              <w:rPr>
                <w:rFonts w:cs="Arial"/>
                <w:sz w:val="22"/>
              </w:rPr>
            </w:pPr>
            <w:r>
              <w:rPr>
                <w:rFonts w:cs="Arial"/>
                <w:sz w:val="22"/>
              </w:rPr>
              <w:t>300</w:t>
            </w:r>
          </w:p>
        </w:tc>
        <w:tc>
          <w:tcPr>
            <w:tcW w:w="793" w:type="pct"/>
            <w:tcBorders>
              <w:bottom w:val="single" w:sz="12" w:space="0" w:color="auto"/>
            </w:tcBorders>
            <w:vAlign w:val="center"/>
          </w:tcPr>
          <w:p w:rsidR="00E84114" w:rsidRDefault="00E84114" w:rsidP="00AF0507">
            <w:pPr>
              <w:jc w:val="center"/>
              <w:rPr>
                <w:rFonts w:cs="Arial"/>
                <w:sz w:val="22"/>
              </w:rPr>
            </w:pPr>
          </w:p>
        </w:tc>
        <w:tc>
          <w:tcPr>
            <w:tcW w:w="1202" w:type="pct"/>
            <w:tcBorders>
              <w:bottom w:val="single" w:sz="12" w:space="0" w:color="auto"/>
            </w:tcBorders>
            <w:vAlign w:val="center"/>
          </w:tcPr>
          <w:p w:rsidR="00E84114" w:rsidRDefault="00E84114" w:rsidP="00AF0507">
            <w:pPr>
              <w:jc w:val="center"/>
              <w:rPr>
                <w:rFonts w:cs="Arial"/>
                <w:sz w:val="22"/>
              </w:rPr>
            </w:pPr>
          </w:p>
        </w:tc>
        <w:tc>
          <w:tcPr>
            <w:tcW w:w="673" w:type="pct"/>
            <w:tcBorders>
              <w:bottom w:val="single" w:sz="12" w:space="0" w:color="auto"/>
            </w:tcBorders>
            <w:vAlign w:val="center"/>
          </w:tcPr>
          <w:p w:rsidR="00E84114" w:rsidRDefault="00E84114" w:rsidP="00AF0507">
            <w:pPr>
              <w:jc w:val="center"/>
            </w:pPr>
          </w:p>
        </w:tc>
        <w:tc>
          <w:tcPr>
            <w:tcW w:w="769" w:type="pct"/>
            <w:tcBorders>
              <w:bottom w:val="single" w:sz="12" w:space="0" w:color="auto"/>
            </w:tcBorders>
            <w:vAlign w:val="center"/>
          </w:tcPr>
          <w:p w:rsidR="00E84114" w:rsidRDefault="00E84114" w:rsidP="00B73E97">
            <w:pPr>
              <w:jc w:val="center"/>
              <w:rPr>
                <w:rFonts w:cs="Arial"/>
                <w:sz w:val="22"/>
              </w:rPr>
            </w:pPr>
            <w:r>
              <w:rPr>
                <w:rFonts w:cs="Arial"/>
                <w:sz w:val="22"/>
              </w:rPr>
              <w:t>$</w:t>
            </w:r>
            <w:r w:rsidR="00B73E97">
              <w:rPr>
                <w:rFonts w:cs="Arial"/>
                <w:sz w:val="22"/>
              </w:rPr>
              <w:t>9796</w:t>
            </w:r>
            <w:r>
              <w:rPr>
                <w:rFonts w:cs="Arial"/>
                <w:sz w:val="22"/>
              </w:rPr>
              <w:t>.00</w:t>
            </w:r>
          </w:p>
        </w:tc>
      </w:tr>
    </w:tbl>
    <w:p w:rsidR="00DE3CBA" w:rsidRPr="00FF3A01" w:rsidRDefault="00DE3CBA" w:rsidP="00240BF0"/>
    <w:p w:rsidR="00823891" w:rsidRDefault="00823891" w:rsidP="00053ACA">
      <w:pPr>
        <w:rPr>
          <w:b/>
        </w:rPr>
      </w:pPr>
      <w:bookmarkStart w:id="33" w:name="_Toc443881756"/>
      <w:bookmarkStart w:id="34" w:name="_Toc451592243"/>
      <w:bookmarkStart w:id="35" w:name="_Toc5610284"/>
      <w:bookmarkStart w:id="36" w:name="_Toc99178790"/>
    </w:p>
    <w:p w:rsidR="007A203E" w:rsidRPr="00FF3A01" w:rsidRDefault="00C4216D" w:rsidP="00053ACA">
      <w:pPr>
        <w:rPr>
          <w:b/>
        </w:rPr>
      </w:pPr>
      <w:r w:rsidRPr="00FF3A01">
        <w:rPr>
          <w:b/>
        </w:rPr>
        <w:t>A.13</w:t>
      </w:r>
      <w:r w:rsidRPr="00FF3A01">
        <w:rPr>
          <w:b/>
        </w:rPr>
        <w:tab/>
        <w:t>Estimate of Other Total Annual Cost Burden to Respondents or Record Keepers</w:t>
      </w:r>
      <w:bookmarkEnd w:id="33"/>
      <w:bookmarkEnd w:id="34"/>
      <w:bookmarkEnd w:id="35"/>
      <w:bookmarkEnd w:id="36"/>
    </w:p>
    <w:p w:rsidR="00693D80" w:rsidRPr="00FF3A01" w:rsidRDefault="00693D80" w:rsidP="00053ACA"/>
    <w:p w:rsidR="00E70A3F" w:rsidRDefault="00E84114" w:rsidP="006A0BEE">
      <w:pPr>
        <w:pStyle w:val="BodyText"/>
      </w:pPr>
      <w:r w:rsidRPr="000A4765">
        <w:t xml:space="preserve">There </w:t>
      </w:r>
      <w:r>
        <w:t>are</w:t>
      </w:r>
      <w:r w:rsidRPr="000A4765">
        <w:t xml:space="preserve"> no capital or startup costs </w:t>
      </w:r>
      <w:r>
        <w:t>for</w:t>
      </w:r>
      <w:r w:rsidRPr="000A4765">
        <w:t xml:space="preserve"> the data collection e</w:t>
      </w:r>
      <w:r w:rsidR="006A0BEE">
        <w:t xml:space="preserve">fforts requested; nor are there </w:t>
      </w:r>
      <w:r w:rsidRPr="000A4765">
        <w:t>any costs associated with operation, maintenance</w:t>
      </w:r>
      <w:r>
        <w:t>,</w:t>
      </w:r>
      <w:r w:rsidRPr="000A4765">
        <w:t xml:space="preserve"> or purchase of services.</w:t>
      </w:r>
    </w:p>
    <w:p w:rsidR="00823891" w:rsidRDefault="00823891" w:rsidP="00053ACA">
      <w:pPr>
        <w:rPr>
          <w:b/>
        </w:rPr>
      </w:pPr>
    </w:p>
    <w:p w:rsidR="007A203E" w:rsidRPr="00FF3A01" w:rsidRDefault="00D6510D" w:rsidP="00053ACA">
      <w:pPr>
        <w:rPr>
          <w:b/>
        </w:rPr>
      </w:pPr>
      <w:r w:rsidRPr="00FF3A01">
        <w:rPr>
          <w:b/>
        </w:rPr>
        <w:t>A.14</w:t>
      </w:r>
      <w:r w:rsidRPr="00FF3A01">
        <w:rPr>
          <w:b/>
        </w:rPr>
        <w:tab/>
        <w:t>Annualized Cost to the Federal Government</w:t>
      </w:r>
    </w:p>
    <w:p w:rsidR="007A203E" w:rsidRPr="00FF3A01" w:rsidRDefault="007A203E" w:rsidP="00053ACA"/>
    <w:p w:rsidR="00F44479" w:rsidRPr="00FF3A01" w:rsidRDefault="00AB2849" w:rsidP="00053ACA">
      <w:r w:rsidRPr="00FF3A01">
        <w:t xml:space="preserve">The annualized cost to the government for conducting </w:t>
      </w:r>
      <w:r w:rsidR="00BA4062" w:rsidRPr="00FF3A01">
        <w:t>the evaluati</w:t>
      </w:r>
      <w:r w:rsidR="00BA4062" w:rsidRPr="00E70A3F">
        <w:t xml:space="preserve">on </w:t>
      </w:r>
      <w:r w:rsidR="00E70A3F">
        <w:t>is estimated at</w:t>
      </w:r>
      <w:r w:rsidR="00BA4062" w:rsidRPr="00E70A3F">
        <w:t xml:space="preserve"> </w:t>
      </w:r>
      <w:r w:rsidR="00E70A3F">
        <w:t>$</w:t>
      </w:r>
      <w:r w:rsidR="009C6C4C">
        <w:t>2</w:t>
      </w:r>
      <w:r w:rsidR="00637293">
        <w:t>7,6</w:t>
      </w:r>
      <w:r w:rsidR="00996DFA">
        <w:t>33</w:t>
      </w:r>
      <w:r w:rsidR="00B73E97">
        <w:t>.</w:t>
      </w:r>
      <w:r w:rsidR="00D6510D" w:rsidRPr="00E70A3F">
        <w:t xml:space="preserve"> Cost estimates cover the development, deployment, data collection, and analysis of the</w:t>
      </w:r>
      <w:r w:rsidR="00D6510D" w:rsidRPr="00FF3A01">
        <w:t xml:space="preserve"> </w:t>
      </w:r>
      <w:r w:rsidR="00DA4ED0">
        <w:t>s</w:t>
      </w:r>
      <w:r w:rsidR="00D6510D" w:rsidRPr="00FF3A01">
        <w:t>urvey, including:</w:t>
      </w:r>
    </w:p>
    <w:p w:rsidR="00D6510D" w:rsidRPr="00FF3A01" w:rsidRDefault="00D6510D" w:rsidP="00DA4ED0">
      <w:pPr>
        <w:numPr>
          <w:ilvl w:val="0"/>
          <w:numId w:val="8"/>
        </w:numPr>
      </w:pPr>
      <w:r w:rsidRPr="00FF3A01">
        <w:t xml:space="preserve">Development of the survey instrument </w:t>
      </w:r>
    </w:p>
    <w:p w:rsidR="00D6510D" w:rsidRDefault="00DA4ED0" w:rsidP="00053ACA">
      <w:pPr>
        <w:numPr>
          <w:ilvl w:val="0"/>
          <w:numId w:val="8"/>
        </w:numPr>
      </w:pPr>
      <w:r>
        <w:lastRenderedPageBreak/>
        <w:t>Programming and d</w:t>
      </w:r>
      <w:r w:rsidR="00D6510D" w:rsidRPr="00FF3A01">
        <w:t>eplo</w:t>
      </w:r>
      <w:r>
        <w:t>yment of the survey</w:t>
      </w:r>
      <w:r w:rsidR="00F27C87">
        <w:t>s</w:t>
      </w:r>
      <w:r>
        <w:t xml:space="preserve"> using the NIH Center for Information Technology</w:t>
      </w:r>
      <w:r w:rsidR="00D6510D" w:rsidRPr="00FF3A01">
        <w:t>, and management of survey implementation</w:t>
      </w:r>
    </w:p>
    <w:p w:rsidR="00996DFA" w:rsidRPr="00FF3A01" w:rsidRDefault="00996DFA" w:rsidP="00053ACA">
      <w:pPr>
        <w:numPr>
          <w:ilvl w:val="0"/>
          <w:numId w:val="8"/>
        </w:numPr>
      </w:pPr>
      <w:r>
        <w:t>Producing materials and conducting the workshops</w:t>
      </w:r>
    </w:p>
    <w:p w:rsidR="00DA4ED0" w:rsidRDefault="00DA4ED0" w:rsidP="006A0BEE">
      <w:pPr>
        <w:numPr>
          <w:ilvl w:val="0"/>
          <w:numId w:val="8"/>
        </w:numPr>
      </w:pPr>
      <w:r>
        <w:t xml:space="preserve">Staff time for </w:t>
      </w:r>
      <w:r w:rsidR="00F27C87">
        <w:t>campaign</w:t>
      </w:r>
      <w:r w:rsidR="00B73E97">
        <w:t xml:space="preserve"> </w:t>
      </w:r>
      <w:r>
        <w:t>site relationship management</w:t>
      </w:r>
    </w:p>
    <w:p w:rsidR="00E84114" w:rsidRPr="009C766E" w:rsidRDefault="00DA36D7" w:rsidP="00E84114">
      <w:pPr>
        <w:pStyle w:val="BodyText"/>
      </w:pPr>
      <w:r>
        <w:br w:type="page"/>
      </w:r>
      <w:r w:rsidR="00E84114" w:rsidRPr="003B6795">
        <w:lastRenderedPageBreak/>
        <w:t xml:space="preserve">The </w:t>
      </w:r>
      <w:r w:rsidR="00E84114">
        <w:t>annualized</w:t>
      </w:r>
      <w:r w:rsidR="00E84114" w:rsidRPr="003B6795">
        <w:t xml:space="preserve"> govern</w:t>
      </w:r>
      <w:r w:rsidR="00E84114" w:rsidRPr="009C766E">
        <w:t>ment cost distribution is summarized in the Table A-14-1.</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797"/>
      </w:tblGrid>
      <w:tr w:rsidR="00B73E97" w:rsidRPr="00BA35C8" w:rsidTr="00B73E97">
        <w:tc>
          <w:tcPr>
            <w:tcW w:w="7830" w:type="dxa"/>
            <w:gridSpan w:val="2"/>
          </w:tcPr>
          <w:p w:rsidR="00B73E97" w:rsidRPr="00BA35C8" w:rsidRDefault="00B73E97" w:rsidP="00B73E97">
            <w:pPr>
              <w:autoSpaceDE w:val="0"/>
              <w:autoSpaceDN w:val="0"/>
              <w:adjustRightInd w:val="0"/>
              <w:rPr>
                <w:rFonts w:cs="Arial"/>
                <w:b/>
                <w:bCs/>
              </w:rPr>
            </w:pPr>
            <w:r w:rsidRPr="009C766E">
              <w:rPr>
                <w:rFonts w:cs="Arial"/>
                <w:b/>
                <w:sz w:val="22"/>
              </w:rPr>
              <w:t>Table A-14-1 Annualized Government Cost Distribution</w:t>
            </w:r>
          </w:p>
        </w:tc>
      </w:tr>
      <w:tr w:rsidR="00B73E97" w:rsidRPr="00BA35C8" w:rsidTr="009C6C4C">
        <w:tc>
          <w:tcPr>
            <w:tcW w:w="6033" w:type="dxa"/>
          </w:tcPr>
          <w:p w:rsidR="00B73E97" w:rsidRPr="00BA35C8" w:rsidRDefault="00B73E97" w:rsidP="00B73E97">
            <w:pPr>
              <w:autoSpaceDE w:val="0"/>
              <w:autoSpaceDN w:val="0"/>
              <w:adjustRightInd w:val="0"/>
              <w:rPr>
                <w:rFonts w:cs="Arial"/>
                <w:b/>
                <w:bCs/>
              </w:rPr>
            </w:pPr>
            <w:r w:rsidRPr="00BA35C8">
              <w:rPr>
                <w:rFonts w:cs="Arial"/>
                <w:b/>
                <w:bCs/>
              </w:rPr>
              <w:t>Item</w:t>
            </w:r>
          </w:p>
        </w:tc>
        <w:tc>
          <w:tcPr>
            <w:tcW w:w="1797" w:type="dxa"/>
          </w:tcPr>
          <w:p w:rsidR="00B73E97" w:rsidRPr="00BA35C8" w:rsidRDefault="00B73E97" w:rsidP="00B73E97">
            <w:pPr>
              <w:autoSpaceDE w:val="0"/>
              <w:autoSpaceDN w:val="0"/>
              <w:adjustRightInd w:val="0"/>
              <w:rPr>
                <w:rFonts w:cs="Arial"/>
                <w:b/>
                <w:bCs/>
              </w:rPr>
            </w:pPr>
            <w:r w:rsidRPr="00BA35C8">
              <w:rPr>
                <w:rFonts w:cs="Arial"/>
                <w:b/>
                <w:bCs/>
              </w:rPr>
              <w:t>Estimated cost</w:t>
            </w:r>
          </w:p>
        </w:tc>
      </w:tr>
      <w:tr w:rsidR="00B73E97" w:rsidRPr="00BA35C8" w:rsidTr="009C6C4C">
        <w:tc>
          <w:tcPr>
            <w:tcW w:w="6033" w:type="dxa"/>
          </w:tcPr>
          <w:p w:rsidR="00B73E97" w:rsidRPr="00BA35C8" w:rsidRDefault="00B73E97" w:rsidP="00B73E97">
            <w:pPr>
              <w:autoSpaceDE w:val="0"/>
              <w:autoSpaceDN w:val="0"/>
              <w:adjustRightInd w:val="0"/>
            </w:pPr>
            <w:r>
              <w:t>Survey development – this will be done by NINR staff</w:t>
            </w:r>
          </w:p>
        </w:tc>
        <w:tc>
          <w:tcPr>
            <w:tcW w:w="1797" w:type="dxa"/>
          </w:tcPr>
          <w:p w:rsidR="00B73E97" w:rsidRPr="00BA35C8" w:rsidRDefault="00B73E97" w:rsidP="00B73E97">
            <w:pPr>
              <w:autoSpaceDE w:val="0"/>
              <w:autoSpaceDN w:val="0"/>
              <w:adjustRightInd w:val="0"/>
              <w:rPr>
                <w:rFonts w:cs="Arial"/>
                <w:bCs/>
              </w:rPr>
            </w:pPr>
            <w:r>
              <w:rPr>
                <w:rFonts w:cs="Arial"/>
                <w:bCs/>
              </w:rPr>
              <w:t>N/A</w:t>
            </w:r>
          </w:p>
        </w:tc>
      </w:tr>
      <w:tr w:rsidR="00B73E97" w:rsidRPr="00BA35C8" w:rsidTr="009C6C4C">
        <w:tc>
          <w:tcPr>
            <w:tcW w:w="6033" w:type="dxa"/>
          </w:tcPr>
          <w:p w:rsidR="00B73E97" w:rsidRPr="00BA35C8" w:rsidRDefault="00B73E97" w:rsidP="00996DFA">
            <w:pPr>
              <w:autoSpaceDE w:val="0"/>
              <w:autoSpaceDN w:val="0"/>
              <w:adjustRightInd w:val="0"/>
              <w:rPr>
                <w:rFonts w:cs="Arial"/>
                <w:b/>
                <w:bCs/>
              </w:rPr>
            </w:pPr>
            <w:r w:rsidRPr="00BA35C8">
              <w:t>Production of hard copy materials (</w:t>
            </w:r>
            <w:r w:rsidR="00996DFA">
              <w:t xml:space="preserve">300 </w:t>
            </w:r>
            <w:r w:rsidRPr="00BA35C8">
              <w:t xml:space="preserve">DVDs and </w:t>
            </w:r>
            <w:r w:rsidR="00996DFA">
              <w:t>3</w:t>
            </w:r>
            <w:r>
              <w:t xml:space="preserve">00 </w:t>
            </w:r>
            <w:r w:rsidRPr="00BA35C8">
              <w:t>tear-off pads)</w:t>
            </w:r>
          </w:p>
        </w:tc>
        <w:tc>
          <w:tcPr>
            <w:tcW w:w="1797" w:type="dxa"/>
          </w:tcPr>
          <w:p w:rsidR="00B73E97" w:rsidRPr="00BA35C8" w:rsidRDefault="00B73E97" w:rsidP="00996DFA">
            <w:pPr>
              <w:autoSpaceDE w:val="0"/>
              <w:autoSpaceDN w:val="0"/>
              <w:adjustRightInd w:val="0"/>
              <w:rPr>
                <w:rFonts w:cs="Arial"/>
                <w:bCs/>
              </w:rPr>
            </w:pPr>
            <w:r w:rsidRPr="00BA35C8">
              <w:rPr>
                <w:rFonts w:cs="Arial"/>
                <w:bCs/>
              </w:rPr>
              <w:t>$</w:t>
            </w:r>
            <w:r w:rsidR="00996DFA">
              <w:rPr>
                <w:rFonts w:cs="Arial"/>
                <w:bCs/>
              </w:rPr>
              <w:t>7,500</w:t>
            </w:r>
          </w:p>
        </w:tc>
      </w:tr>
      <w:tr w:rsidR="00B73E97" w:rsidRPr="008B13CF" w:rsidTr="009C6C4C">
        <w:tc>
          <w:tcPr>
            <w:tcW w:w="6033" w:type="dxa"/>
          </w:tcPr>
          <w:p w:rsidR="00B73E97" w:rsidRPr="00BA35C8" w:rsidRDefault="00B73E97" w:rsidP="00B73E97">
            <w:pPr>
              <w:autoSpaceDE w:val="0"/>
              <w:autoSpaceDN w:val="0"/>
              <w:adjustRightInd w:val="0"/>
              <w:rPr>
                <w:rFonts w:cs="Arial"/>
                <w:b/>
                <w:bCs/>
              </w:rPr>
            </w:pPr>
            <w:r w:rsidRPr="00BA35C8">
              <w:t>Shipping materials</w:t>
            </w:r>
          </w:p>
        </w:tc>
        <w:tc>
          <w:tcPr>
            <w:tcW w:w="1797" w:type="dxa"/>
          </w:tcPr>
          <w:p w:rsidR="00B73E97" w:rsidRPr="008B13CF" w:rsidRDefault="00B73E97" w:rsidP="00B73E97">
            <w:pPr>
              <w:autoSpaceDE w:val="0"/>
              <w:autoSpaceDN w:val="0"/>
              <w:adjustRightInd w:val="0"/>
              <w:rPr>
                <w:rFonts w:cs="Arial"/>
                <w:bCs/>
              </w:rPr>
            </w:pPr>
            <w:r>
              <w:rPr>
                <w:rFonts w:cs="Arial"/>
                <w:bCs/>
              </w:rPr>
              <w:t>$</w:t>
            </w:r>
            <w:r w:rsidR="00996DFA">
              <w:rPr>
                <w:rFonts w:cs="Arial"/>
                <w:bCs/>
              </w:rPr>
              <w:t>3</w:t>
            </w:r>
            <w:r w:rsidRPr="008B13CF">
              <w:rPr>
                <w:rFonts w:cs="Arial"/>
                <w:bCs/>
              </w:rPr>
              <w:t>00</w:t>
            </w:r>
          </w:p>
        </w:tc>
      </w:tr>
      <w:tr w:rsidR="009C6C4C" w:rsidRPr="008B13CF" w:rsidTr="009C6C4C">
        <w:tc>
          <w:tcPr>
            <w:tcW w:w="6033" w:type="dxa"/>
          </w:tcPr>
          <w:p w:rsidR="009C6C4C" w:rsidRPr="00CD383D" w:rsidRDefault="00FE6C1C" w:rsidP="00AD5ABE">
            <w:pPr>
              <w:autoSpaceDE w:val="0"/>
              <w:autoSpaceDN w:val="0"/>
              <w:adjustRightInd w:val="0"/>
            </w:pPr>
            <w:r w:rsidRPr="00CD383D">
              <w:t>Gift cards for respondents ($</w:t>
            </w:r>
            <w:r w:rsidR="00AD5ABE" w:rsidRPr="00CD383D">
              <w:t>25 each</w:t>
            </w:r>
            <w:r w:rsidR="009C6C4C" w:rsidRPr="00CD383D">
              <w:t xml:space="preserve"> x </w:t>
            </w:r>
            <w:r w:rsidR="00AD5ABE" w:rsidRPr="00CD383D">
              <w:t xml:space="preserve">2 surveys x </w:t>
            </w:r>
            <w:r w:rsidR="009C6C4C" w:rsidRPr="00CD383D">
              <w:t>180 expected respondents)</w:t>
            </w:r>
          </w:p>
        </w:tc>
        <w:tc>
          <w:tcPr>
            <w:tcW w:w="1797" w:type="dxa"/>
          </w:tcPr>
          <w:p w:rsidR="009C6C4C" w:rsidRPr="00CD383D" w:rsidRDefault="009C6C4C" w:rsidP="00637293">
            <w:pPr>
              <w:autoSpaceDE w:val="0"/>
              <w:autoSpaceDN w:val="0"/>
              <w:adjustRightInd w:val="0"/>
              <w:rPr>
                <w:rFonts w:cs="Arial"/>
                <w:bCs/>
              </w:rPr>
            </w:pPr>
            <w:r w:rsidRPr="00CD383D">
              <w:rPr>
                <w:rFonts w:cs="Arial"/>
                <w:bCs/>
              </w:rPr>
              <w:t>$</w:t>
            </w:r>
            <w:r w:rsidR="00637293" w:rsidRPr="00CD383D">
              <w:rPr>
                <w:rFonts w:cs="Arial"/>
                <w:bCs/>
              </w:rPr>
              <w:t>9,0</w:t>
            </w:r>
            <w:r w:rsidRPr="00CD383D">
              <w:rPr>
                <w:rFonts w:cs="Arial"/>
                <w:bCs/>
              </w:rPr>
              <w:t>00</w:t>
            </w:r>
          </w:p>
        </w:tc>
      </w:tr>
      <w:tr w:rsidR="00B73E97" w:rsidRPr="008B13CF" w:rsidTr="009C6C4C">
        <w:tc>
          <w:tcPr>
            <w:tcW w:w="6033" w:type="dxa"/>
          </w:tcPr>
          <w:p w:rsidR="00B73E97" w:rsidRPr="00BA35C8" w:rsidRDefault="00B73E97" w:rsidP="00B73E97">
            <w:pPr>
              <w:autoSpaceDE w:val="0"/>
              <w:autoSpaceDN w:val="0"/>
              <w:adjustRightInd w:val="0"/>
            </w:pPr>
            <w:r w:rsidRPr="00BA35C8">
              <w:t>CIT programming, screenshots, and hosting for 2 surveys</w:t>
            </w:r>
          </w:p>
        </w:tc>
        <w:tc>
          <w:tcPr>
            <w:tcW w:w="1797" w:type="dxa"/>
          </w:tcPr>
          <w:p w:rsidR="00B73E97" w:rsidRPr="008B13CF" w:rsidRDefault="00B73E97" w:rsidP="00996DFA">
            <w:pPr>
              <w:autoSpaceDE w:val="0"/>
              <w:autoSpaceDN w:val="0"/>
              <w:adjustRightInd w:val="0"/>
              <w:rPr>
                <w:rFonts w:cs="Arial"/>
                <w:bCs/>
              </w:rPr>
            </w:pPr>
            <w:r>
              <w:rPr>
                <w:rFonts w:cs="Arial"/>
                <w:bCs/>
              </w:rPr>
              <w:t>$2,</w:t>
            </w:r>
            <w:r w:rsidR="00996DFA">
              <w:rPr>
                <w:rFonts w:cs="Arial"/>
                <w:bCs/>
              </w:rPr>
              <w:t>500</w:t>
            </w:r>
          </w:p>
        </w:tc>
      </w:tr>
      <w:tr w:rsidR="00B73E97" w:rsidRPr="00F214AF" w:rsidTr="009C6C4C">
        <w:tc>
          <w:tcPr>
            <w:tcW w:w="6033" w:type="dxa"/>
          </w:tcPr>
          <w:p w:rsidR="00B73E97" w:rsidRPr="00F214AF" w:rsidRDefault="00B73E97" w:rsidP="00B73E97">
            <w:pPr>
              <w:autoSpaceDE w:val="0"/>
              <w:autoSpaceDN w:val="0"/>
              <w:adjustRightInd w:val="0"/>
              <w:rPr>
                <w:rFonts w:cs="Arial"/>
                <w:b/>
                <w:bCs/>
              </w:rPr>
            </w:pPr>
            <w:r w:rsidRPr="00F214AF">
              <w:t>Survey analysis</w:t>
            </w:r>
            <w:r>
              <w:t>- in-house</w:t>
            </w:r>
          </w:p>
        </w:tc>
        <w:tc>
          <w:tcPr>
            <w:tcW w:w="1797" w:type="dxa"/>
          </w:tcPr>
          <w:p w:rsidR="00B73E97" w:rsidRPr="00F214AF" w:rsidRDefault="00B73E97" w:rsidP="00B73E97">
            <w:pPr>
              <w:autoSpaceDE w:val="0"/>
              <w:autoSpaceDN w:val="0"/>
              <w:adjustRightInd w:val="0"/>
              <w:rPr>
                <w:rFonts w:cs="Arial"/>
                <w:bCs/>
              </w:rPr>
            </w:pPr>
            <w:r w:rsidRPr="00F214AF">
              <w:rPr>
                <w:rFonts w:cs="Arial"/>
                <w:bCs/>
              </w:rPr>
              <w:t>N/A</w:t>
            </w:r>
          </w:p>
        </w:tc>
      </w:tr>
      <w:tr w:rsidR="00B73E97" w:rsidRPr="00F214AF" w:rsidTr="009C6C4C">
        <w:tc>
          <w:tcPr>
            <w:tcW w:w="6033" w:type="dxa"/>
          </w:tcPr>
          <w:p w:rsidR="00B73E97" w:rsidRPr="00F214AF" w:rsidRDefault="00B73E97" w:rsidP="00B73E97">
            <w:pPr>
              <w:autoSpaceDE w:val="0"/>
              <w:autoSpaceDN w:val="0"/>
              <w:adjustRightInd w:val="0"/>
              <w:rPr>
                <w:rFonts w:cs="Arial"/>
                <w:b/>
                <w:bCs/>
              </w:rPr>
            </w:pPr>
            <w:r w:rsidRPr="00F214AF">
              <w:t xml:space="preserve">Travel for </w:t>
            </w:r>
            <w:r>
              <w:t xml:space="preserve">one </w:t>
            </w:r>
            <w:r w:rsidRPr="00F214AF">
              <w:t>N</w:t>
            </w:r>
            <w:r w:rsidR="00996DFA">
              <w:t>INR staff member to facilitate 10</w:t>
            </w:r>
            <w:r w:rsidRPr="00F214AF">
              <w:t xml:space="preserve"> non-local workshops</w:t>
            </w:r>
          </w:p>
        </w:tc>
        <w:tc>
          <w:tcPr>
            <w:tcW w:w="1797" w:type="dxa"/>
          </w:tcPr>
          <w:p w:rsidR="00B73E97" w:rsidRPr="00F214AF" w:rsidRDefault="00B73E97" w:rsidP="00996DFA">
            <w:pPr>
              <w:autoSpaceDE w:val="0"/>
              <w:autoSpaceDN w:val="0"/>
              <w:adjustRightInd w:val="0"/>
              <w:rPr>
                <w:rFonts w:cs="Arial"/>
                <w:bCs/>
              </w:rPr>
            </w:pPr>
            <w:r w:rsidRPr="00F214AF">
              <w:rPr>
                <w:rFonts w:cs="Arial"/>
                <w:bCs/>
              </w:rPr>
              <w:t>$</w:t>
            </w:r>
            <w:r w:rsidR="00996DFA">
              <w:rPr>
                <w:rFonts w:cs="Arial"/>
                <w:bCs/>
              </w:rPr>
              <w:t>8,333</w:t>
            </w:r>
          </w:p>
        </w:tc>
      </w:tr>
      <w:tr w:rsidR="00B73E97" w:rsidRPr="00F214AF" w:rsidTr="009C6C4C">
        <w:tc>
          <w:tcPr>
            <w:tcW w:w="6033" w:type="dxa"/>
          </w:tcPr>
          <w:p w:rsidR="00B73E97" w:rsidRPr="00F214AF" w:rsidRDefault="00B73E97" w:rsidP="00B73E97">
            <w:pPr>
              <w:autoSpaceDE w:val="0"/>
              <w:autoSpaceDN w:val="0"/>
              <w:adjustRightInd w:val="0"/>
              <w:rPr>
                <w:rFonts w:cs="Arial"/>
                <w:b/>
                <w:bCs/>
              </w:rPr>
            </w:pPr>
            <w:r w:rsidRPr="00F214AF">
              <w:rPr>
                <w:rFonts w:cs="Arial"/>
                <w:b/>
                <w:bCs/>
              </w:rPr>
              <w:t>Total</w:t>
            </w:r>
          </w:p>
        </w:tc>
        <w:tc>
          <w:tcPr>
            <w:tcW w:w="1797" w:type="dxa"/>
          </w:tcPr>
          <w:p w:rsidR="00B73E97" w:rsidRPr="00F214AF" w:rsidRDefault="00B73E97" w:rsidP="00996DFA">
            <w:pPr>
              <w:autoSpaceDE w:val="0"/>
              <w:autoSpaceDN w:val="0"/>
              <w:adjustRightInd w:val="0"/>
              <w:rPr>
                <w:rFonts w:cs="Arial"/>
                <w:b/>
                <w:bCs/>
              </w:rPr>
            </w:pPr>
            <w:r w:rsidRPr="00F214AF">
              <w:rPr>
                <w:rFonts w:cs="Arial"/>
                <w:b/>
                <w:bCs/>
              </w:rPr>
              <w:t>$</w:t>
            </w:r>
            <w:r w:rsidR="00637293">
              <w:rPr>
                <w:rFonts w:cs="Arial"/>
                <w:b/>
                <w:bCs/>
              </w:rPr>
              <w:t>27,6</w:t>
            </w:r>
            <w:r w:rsidR="00996DFA">
              <w:rPr>
                <w:rFonts w:cs="Arial"/>
                <w:b/>
                <w:bCs/>
              </w:rPr>
              <w:t>33</w:t>
            </w:r>
          </w:p>
        </w:tc>
      </w:tr>
    </w:tbl>
    <w:p w:rsidR="00E84114" w:rsidRDefault="00E84114" w:rsidP="00E84114"/>
    <w:p w:rsidR="00F51D6C" w:rsidRPr="00FF3A01" w:rsidRDefault="00F51D6C" w:rsidP="00053ACA">
      <w:pPr>
        <w:rPr>
          <w:b/>
        </w:rPr>
      </w:pPr>
    </w:p>
    <w:p w:rsidR="007A203E" w:rsidRPr="00FF3A01" w:rsidRDefault="00D6510D" w:rsidP="00053ACA">
      <w:pPr>
        <w:rPr>
          <w:b/>
        </w:rPr>
      </w:pPr>
      <w:bookmarkStart w:id="37" w:name="_Toc443881758"/>
      <w:bookmarkStart w:id="38" w:name="_Toc451592245"/>
      <w:bookmarkStart w:id="39" w:name="_Toc5610286"/>
      <w:bookmarkStart w:id="40" w:name="_Toc99178792"/>
      <w:r w:rsidRPr="00FF3A01">
        <w:rPr>
          <w:b/>
        </w:rPr>
        <w:t>A.15</w:t>
      </w:r>
      <w:r w:rsidRPr="00FF3A01">
        <w:rPr>
          <w:b/>
        </w:rPr>
        <w:tab/>
        <w:t>Explanation for Program Changes or Adjustments</w:t>
      </w:r>
      <w:bookmarkEnd w:id="37"/>
      <w:bookmarkEnd w:id="38"/>
      <w:bookmarkEnd w:id="39"/>
      <w:bookmarkEnd w:id="40"/>
    </w:p>
    <w:p w:rsidR="00A32D6E" w:rsidRPr="00FF3A01" w:rsidRDefault="00A32D6E" w:rsidP="00053ACA"/>
    <w:p w:rsidR="007A203E" w:rsidRPr="00FF3A01" w:rsidRDefault="00E84114" w:rsidP="00053ACA">
      <w:r>
        <w:t>This is a new collection of information.</w:t>
      </w:r>
    </w:p>
    <w:p w:rsidR="007A203E" w:rsidRPr="00FF3A01" w:rsidRDefault="007A203E" w:rsidP="00053ACA"/>
    <w:p w:rsidR="007A203E" w:rsidRPr="00FF3A01" w:rsidRDefault="00D6510D" w:rsidP="00053ACA">
      <w:pPr>
        <w:rPr>
          <w:b/>
        </w:rPr>
      </w:pPr>
      <w:bookmarkStart w:id="41" w:name="_Toc443881759"/>
      <w:bookmarkStart w:id="42" w:name="_Toc451592246"/>
      <w:bookmarkStart w:id="43" w:name="_Toc5610287"/>
      <w:bookmarkStart w:id="44" w:name="_Toc99178793"/>
      <w:r w:rsidRPr="00FF3A01">
        <w:rPr>
          <w:b/>
        </w:rPr>
        <w:t>A.16</w:t>
      </w:r>
      <w:r w:rsidRPr="00FF3A01">
        <w:rPr>
          <w:b/>
        </w:rPr>
        <w:tab/>
        <w:t>Plans for Tabulation and Publication and Project Time Schedule</w:t>
      </w:r>
      <w:bookmarkEnd w:id="41"/>
      <w:bookmarkEnd w:id="42"/>
      <w:bookmarkEnd w:id="43"/>
      <w:bookmarkEnd w:id="44"/>
    </w:p>
    <w:p w:rsidR="00F44479" w:rsidRPr="00FF3A01" w:rsidRDefault="00F44479" w:rsidP="00053ACA"/>
    <w:p w:rsidR="00AF0507" w:rsidRDefault="00AF0507" w:rsidP="00AF0507">
      <w:pPr>
        <w:pStyle w:val="BodyText"/>
        <w:rPr>
          <w:rFonts w:cs="Arial"/>
        </w:rPr>
      </w:pPr>
      <w:r w:rsidRPr="000A4765">
        <w:t xml:space="preserve">The plan is to </w:t>
      </w:r>
      <w:r w:rsidR="00F27C87">
        <w:rPr>
          <w:lang w:val="en-US"/>
        </w:rPr>
        <w:t xml:space="preserve">deploy the baseline </w:t>
      </w:r>
      <w:r>
        <w:t>questionnaire</w:t>
      </w:r>
      <w:r w:rsidRPr="000A4765">
        <w:t xml:space="preserve"> </w:t>
      </w:r>
      <w:r w:rsidR="006265F7">
        <w:rPr>
          <w:lang w:val="en-US"/>
        </w:rPr>
        <w:t>in</w:t>
      </w:r>
      <w:r w:rsidR="00B73E97">
        <w:rPr>
          <w:lang w:val="en-US"/>
        </w:rPr>
        <w:t xml:space="preserve"> October</w:t>
      </w:r>
      <w:r w:rsidR="006265F7">
        <w:rPr>
          <w:lang w:val="en-US"/>
        </w:rPr>
        <w:t xml:space="preserve"> 2013 </w:t>
      </w:r>
      <w:r>
        <w:t>or after OMB approval is received</w:t>
      </w:r>
      <w:r w:rsidRPr="000A4765">
        <w:t>.</w:t>
      </w:r>
      <w:r>
        <w:t xml:space="preserve"> </w:t>
      </w:r>
      <w:r w:rsidRPr="000A4765">
        <w:rPr>
          <w:rFonts w:cs="Arial"/>
        </w:rPr>
        <w:t xml:space="preserve">The project schedule for completing data collection, processing, and </w:t>
      </w:r>
      <w:r>
        <w:rPr>
          <w:rFonts w:cs="Arial"/>
        </w:rPr>
        <w:t>d</w:t>
      </w:r>
      <w:r w:rsidR="006A0BEE">
        <w:rPr>
          <w:rFonts w:cs="Arial"/>
        </w:rPr>
        <w:t>ata analysis</w:t>
      </w:r>
      <w:r>
        <w:rPr>
          <w:rFonts w:cs="Arial"/>
        </w:rPr>
        <w:t xml:space="preserve"> is presented in Table A-16-1. </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330"/>
      </w:tblGrid>
      <w:tr w:rsidR="00AF0507" w:rsidRPr="00AF0507" w:rsidTr="00AF0507">
        <w:trPr>
          <w:trHeight w:val="530"/>
          <w:jc w:val="center"/>
        </w:trPr>
        <w:tc>
          <w:tcPr>
            <w:tcW w:w="684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AF0507" w:rsidRPr="00AF0507" w:rsidRDefault="00AF0507" w:rsidP="00AF0507">
            <w:pPr>
              <w:keepNext/>
              <w:rPr>
                <w:rFonts w:cs="Arial"/>
                <w:b/>
              </w:rPr>
            </w:pPr>
            <w:r w:rsidRPr="00AF0507">
              <w:rPr>
                <w:rFonts w:cs="Arial"/>
                <w:b/>
              </w:rPr>
              <w:t>Table A-16-1.  Project Time Schedule</w:t>
            </w:r>
          </w:p>
        </w:tc>
      </w:tr>
      <w:tr w:rsidR="00AF0507" w:rsidRPr="00AF0507" w:rsidTr="00AF0507">
        <w:trPr>
          <w:trHeight w:val="413"/>
          <w:jc w:val="center"/>
        </w:trPr>
        <w:tc>
          <w:tcPr>
            <w:tcW w:w="351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0507" w:rsidRPr="00AF0507" w:rsidRDefault="00AF0507" w:rsidP="00AF0507">
            <w:pPr>
              <w:keepNext/>
              <w:jc w:val="center"/>
              <w:rPr>
                <w:rFonts w:cs="Arial"/>
                <w:b/>
              </w:rPr>
            </w:pPr>
            <w:r w:rsidRPr="00AF0507">
              <w:rPr>
                <w:rFonts w:cs="Arial"/>
                <w:b/>
              </w:rPr>
              <w:t>Activity</w:t>
            </w:r>
          </w:p>
        </w:tc>
        <w:tc>
          <w:tcPr>
            <w:tcW w:w="333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0507" w:rsidRPr="00AF0507" w:rsidRDefault="00AF0507" w:rsidP="00AF0507">
            <w:pPr>
              <w:keepNext/>
              <w:jc w:val="center"/>
              <w:rPr>
                <w:rFonts w:cs="Arial"/>
                <w:b/>
              </w:rPr>
            </w:pPr>
            <w:r w:rsidRPr="00AF0507">
              <w:rPr>
                <w:rFonts w:cs="Arial"/>
                <w:b/>
              </w:rPr>
              <w:t xml:space="preserve">Estimated Time Schedule </w:t>
            </w:r>
            <w:r w:rsidRPr="00AF0507">
              <w:rPr>
                <w:rFonts w:cs="Arial"/>
                <w:b/>
              </w:rPr>
              <w:br/>
              <w:t>after OMB approval</w:t>
            </w:r>
          </w:p>
        </w:tc>
      </w:tr>
      <w:tr w:rsidR="00AF0507" w:rsidRPr="00AF0507" w:rsidTr="00AF0507">
        <w:trPr>
          <w:trHeight w:val="440"/>
          <w:jc w:val="center"/>
        </w:trPr>
        <w:tc>
          <w:tcPr>
            <w:tcW w:w="3510" w:type="dxa"/>
            <w:tcBorders>
              <w:top w:val="single" w:sz="4" w:space="0" w:color="auto"/>
              <w:left w:val="single" w:sz="4" w:space="0" w:color="auto"/>
              <w:bottom w:val="single" w:sz="4" w:space="0" w:color="auto"/>
              <w:right w:val="single" w:sz="4" w:space="0" w:color="auto"/>
            </w:tcBorders>
          </w:tcPr>
          <w:p w:rsidR="00AF0507" w:rsidRPr="00AF0507" w:rsidRDefault="00AF0507" w:rsidP="00AF0507">
            <w:pPr>
              <w:keepNext/>
              <w:rPr>
                <w:rFonts w:cs="Arial"/>
              </w:rPr>
            </w:pPr>
            <w:r w:rsidRPr="00036EA6">
              <w:t>Begin data collection</w:t>
            </w:r>
          </w:p>
        </w:tc>
        <w:tc>
          <w:tcPr>
            <w:tcW w:w="3330" w:type="dxa"/>
            <w:tcBorders>
              <w:top w:val="single" w:sz="4" w:space="0" w:color="auto"/>
              <w:left w:val="single" w:sz="4" w:space="0" w:color="auto"/>
              <w:bottom w:val="single" w:sz="4" w:space="0" w:color="auto"/>
              <w:right w:val="single" w:sz="4" w:space="0" w:color="auto"/>
            </w:tcBorders>
            <w:hideMark/>
          </w:tcPr>
          <w:p w:rsidR="00AF0507" w:rsidRPr="00AF0507" w:rsidRDefault="000F1C25" w:rsidP="000F1C25">
            <w:pPr>
              <w:keepNext/>
              <w:rPr>
                <w:rFonts w:cs="Arial"/>
              </w:rPr>
            </w:pPr>
            <w:r>
              <w:t xml:space="preserve">  </w:t>
            </w:r>
            <w:r w:rsidR="00AF0507" w:rsidRPr="00036EA6">
              <w:t>2 weeks after OMB approval</w:t>
            </w:r>
          </w:p>
        </w:tc>
      </w:tr>
      <w:tr w:rsidR="00AF0507" w:rsidRPr="00AF0507" w:rsidTr="00AF0507">
        <w:trPr>
          <w:trHeight w:val="485"/>
          <w:jc w:val="center"/>
        </w:trPr>
        <w:tc>
          <w:tcPr>
            <w:tcW w:w="3510" w:type="dxa"/>
            <w:tcBorders>
              <w:top w:val="single" w:sz="4" w:space="0" w:color="auto"/>
              <w:left w:val="single" w:sz="4" w:space="0" w:color="auto"/>
              <w:bottom w:val="single" w:sz="4" w:space="0" w:color="auto"/>
              <w:right w:val="single" w:sz="4" w:space="0" w:color="auto"/>
            </w:tcBorders>
          </w:tcPr>
          <w:p w:rsidR="00AF0507" w:rsidRPr="00AF0507" w:rsidRDefault="0016225F" w:rsidP="00AF0507">
            <w:pPr>
              <w:keepNext/>
              <w:rPr>
                <w:rFonts w:cs="Arial"/>
              </w:rPr>
            </w:pPr>
            <w:r>
              <w:t>Finish data collection</w:t>
            </w:r>
            <w:r w:rsidR="00AF0507" w:rsidRPr="00036EA6">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AF0507" w:rsidRPr="00AF0507" w:rsidRDefault="00B73E97" w:rsidP="00996DFA">
            <w:pPr>
              <w:keepNext/>
              <w:ind w:left="72"/>
              <w:rPr>
                <w:rFonts w:cs="Arial"/>
              </w:rPr>
            </w:pPr>
            <w:r>
              <w:t>12</w:t>
            </w:r>
            <w:r w:rsidR="00153CFE">
              <w:t>-13</w:t>
            </w:r>
            <w:r>
              <w:t xml:space="preserve"> months</w:t>
            </w:r>
            <w:r w:rsidR="00AF0507" w:rsidRPr="00036EA6">
              <w:t xml:space="preserve"> after OMB approval</w:t>
            </w:r>
          </w:p>
        </w:tc>
      </w:tr>
      <w:tr w:rsidR="00AF0507" w:rsidRPr="00AF0507" w:rsidTr="00AF0507">
        <w:trPr>
          <w:trHeight w:val="494"/>
          <w:jc w:val="center"/>
        </w:trPr>
        <w:tc>
          <w:tcPr>
            <w:tcW w:w="3510" w:type="dxa"/>
            <w:tcBorders>
              <w:top w:val="single" w:sz="4" w:space="0" w:color="auto"/>
              <w:left w:val="single" w:sz="4" w:space="0" w:color="auto"/>
              <w:bottom w:val="single" w:sz="4" w:space="0" w:color="auto"/>
              <w:right w:val="single" w:sz="4" w:space="0" w:color="auto"/>
            </w:tcBorders>
          </w:tcPr>
          <w:p w:rsidR="00AF0507" w:rsidRPr="00AF0507" w:rsidRDefault="00AF0507" w:rsidP="00AF0507">
            <w:pPr>
              <w:keepNext/>
              <w:rPr>
                <w:rFonts w:cs="Arial"/>
              </w:rPr>
            </w:pPr>
            <w:r w:rsidRPr="00036EA6">
              <w:t>Data analysis &amp; reporting</w:t>
            </w:r>
          </w:p>
        </w:tc>
        <w:tc>
          <w:tcPr>
            <w:tcW w:w="3330" w:type="dxa"/>
            <w:tcBorders>
              <w:top w:val="single" w:sz="4" w:space="0" w:color="auto"/>
              <w:left w:val="single" w:sz="4" w:space="0" w:color="auto"/>
              <w:bottom w:val="single" w:sz="4" w:space="0" w:color="auto"/>
              <w:right w:val="single" w:sz="4" w:space="0" w:color="auto"/>
            </w:tcBorders>
            <w:hideMark/>
          </w:tcPr>
          <w:p w:rsidR="00AF0507" w:rsidRPr="00AF0507" w:rsidRDefault="00B73E97" w:rsidP="00AF0507">
            <w:pPr>
              <w:keepNext/>
              <w:jc w:val="center"/>
              <w:rPr>
                <w:rFonts w:cs="Arial"/>
              </w:rPr>
            </w:pPr>
            <w:r>
              <w:t>14 months after OMB approval</w:t>
            </w:r>
          </w:p>
        </w:tc>
      </w:tr>
      <w:tr w:rsidR="00AF0507" w:rsidRPr="00AF0507" w:rsidTr="00AF0507">
        <w:trPr>
          <w:trHeight w:val="530"/>
          <w:jc w:val="center"/>
        </w:trPr>
        <w:tc>
          <w:tcPr>
            <w:tcW w:w="3510" w:type="dxa"/>
            <w:tcBorders>
              <w:top w:val="single" w:sz="4" w:space="0" w:color="auto"/>
              <w:left w:val="single" w:sz="4" w:space="0" w:color="auto"/>
              <w:bottom w:val="single" w:sz="4" w:space="0" w:color="auto"/>
              <w:right w:val="single" w:sz="4" w:space="0" w:color="auto"/>
            </w:tcBorders>
          </w:tcPr>
          <w:p w:rsidR="00AF0507" w:rsidRPr="00AF0507" w:rsidRDefault="00AF0507" w:rsidP="00B73E97">
            <w:pPr>
              <w:keepNext/>
              <w:rPr>
                <w:rFonts w:cs="Arial"/>
              </w:rPr>
            </w:pPr>
            <w:r w:rsidRPr="00036EA6">
              <w:t>Begin using results for program planning, expansion and/or promotion</w:t>
            </w:r>
          </w:p>
        </w:tc>
        <w:tc>
          <w:tcPr>
            <w:tcW w:w="3330" w:type="dxa"/>
            <w:tcBorders>
              <w:top w:val="single" w:sz="4" w:space="0" w:color="auto"/>
              <w:left w:val="single" w:sz="4" w:space="0" w:color="auto"/>
              <w:bottom w:val="single" w:sz="4" w:space="0" w:color="auto"/>
              <w:right w:val="single" w:sz="4" w:space="0" w:color="auto"/>
            </w:tcBorders>
            <w:hideMark/>
          </w:tcPr>
          <w:p w:rsidR="00AF0507" w:rsidRPr="00036EA6" w:rsidRDefault="000F1C25" w:rsidP="00AF0507">
            <w:r>
              <w:t xml:space="preserve"> </w:t>
            </w:r>
            <w:r w:rsidR="00B73E97">
              <w:t xml:space="preserve">20 months </w:t>
            </w:r>
            <w:r w:rsidR="00AF0507" w:rsidRPr="00036EA6">
              <w:t>after OMB approval</w:t>
            </w:r>
          </w:p>
          <w:p w:rsidR="00AF0507" w:rsidRPr="00AF0507" w:rsidRDefault="00AF0507" w:rsidP="00AF0507">
            <w:pPr>
              <w:keepNext/>
              <w:jc w:val="center"/>
              <w:rPr>
                <w:rFonts w:cs="Arial"/>
              </w:rPr>
            </w:pPr>
          </w:p>
        </w:tc>
      </w:tr>
    </w:tbl>
    <w:p w:rsidR="00AF0507" w:rsidRDefault="00AF0507" w:rsidP="00AF0507">
      <w:pPr>
        <w:pStyle w:val="BodyText"/>
        <w:rPr>
          <w:rFonts w:cs="Arial"/>
        </w:rPr>
      </w:pPr>
    </w:p>
    <w:p w:rsidR="00F44479" w:rsidRPr="00FF3A01" w:rsidRDefault="00AF0507" w:rsidP="00AF0507">
      <w:pPr>
        <w:pStyle w:val="BodyText"/>
      </w:pPr>
      <w:r>
        <w:rPr>
          <w:rFonts w:cs="Arial"/>
        </w:rPr>
        <w:t>Th</w:t>
      </w:r>
      <w:r w:rsidR="00F27C87">
        <w:rPr>
          <w:rFonts w:cs="Arial"/>
          <w:lang w:val="en-US"/>
        </w:rPr>
        <w:t>e</w:t>
      </w:r>
      <w:r>
        <w:rPr>
          <w:rFonts w:cs="Arial"/>
        </w:rPr>
        <w:t xml:space="preserve"> survey</w:t>
      </w:r>
      <w:r w:rsidR="00F27C87">
        <w:rPr>
          <w:rFonts w:cs="Arial"/>
          <w:lang w:val="en-US"/>
        </w:rPr>
        <w:t>s</w:t>
      </w:r>
      <w:r>
        <w:rPr>
          <w:rFonts w:cs="Arial"/>
        </w:rPr>
        <w:t xml:space="preserve"> will obtain data from participating health care providers at </w:t>
      </w:r>
      <w:r w:rsidR="00996DFA">
        <w:rPr>
          <w:rFonts w:cs="Arial"/>
          <w:lang w:val="en-US"/>
        </w:rPr>
        <w:t>up to ten</w:t>
      </w:r>
      <w:r>
        <w:rPr>
          <w:rFonts w:cs="Arial"/>
        </w:rPr>
        <w:t xml:space="preserve"> sites for the </w:t>
      </w:r>
      <w:r w:rsidR="00F27C87" w:rsidRPr="00CB6435">
        <w:rPr>
          <w:i/>
          <w:lang w:val="en-US"/>
        </w:rPr>
        <w:t>Palliative Care: Conversations Matter</w:t>
      </w:r>
      <w:r>
        <w:rPr>
          <w:rFonts w:cs="Arial"/>
        </w:rPr>
        <w:t xml:space="preserve"> </w:t>
      </w:r>
      <w:r w:rsidR="00C27C95">
        <w:rPr>
          <w:rFonts w:cs="Arial"/>
          <w:lang w:val="en-US"/>
        </w:rPr>
        <w:t>campaign</w:t>
      </w:r>
      <w:r>
        <w:rPr>
          <w:rFonts w:cs="Arial"/>
        </w:rPr>
        <w:t>. Sources of information will be combined to analyze</w:t>
      </w:r>
      <w:r w:rsidR="00F44479" w:rsidRPr="00FF3A01">
        <w:t xml:space="preserve"> data </w:t>
      </w:r>
      <w:r w:rsidR="00642596">
        <w:rPr>
          <w:lang w:val="en-US"/>
        </w:rPr>
        <w:t>to measure</w:t>
      </w:r>
      <w:r>
        <w:t xml:space="preserve"> the</w:t>
      </w:r>
      <w:r w:rsidR="00F44479" w:rsidRPr="00FF3A01">
        <w:t xml:space="preserve"> effectiveness of</w:t>
      </w:r>
      <w:r>
        <w:t xml:space="preserve"> this communication</w:t>
      </w:r>
      <w:r w:rsidR="00367D2C">
        <w:rPr>
          <w:lang w:val="en-US"/>
        </w:rPr>
        <w:t>s</w:t>
      </w:r>
      <w:r w:rsidR="00F44479" w:rsidRPr="00FF3A01">
        <w:t xml:space="preserve"> campaign. </w:t>
      </w:r>
    </w:p>
    <w:p w:rsidR="00D6510D" w:rsidRPr="00FF3A01" w:rsidRDefault="00D6510D" w:rsidP="00053ACA"/>
    <w:p w:rsidR="00557E3A" w:rsidRDefault="00DA36D7" w:rsidP="00053ACA">
      <w:pPr>
        <w:rPr>
          <w:b/>
          <w:i/>
        </w:rPr>
      </w:pPr>
      <w:r>
        <w:rPr>
          <w:b/>
          <w:i/>
        </w:rPr>
        <w:br w:type="page"/>
      </w:r>
      <w:r w:rsidR="00557E3A" w:rsidRPr="00FF3A01">
        <w:rPr>
          <w:b/>
          <w:i/>
        </w:rPr>
        <w:lastRenderedPageBreak/>
        <w:t>Analysis Plan</w:t>
      </w:r>
    </w:p>
    <w:p w:rsidR="00996DFA" w:rsidRPr="00FF3A01" w:rsidRDefault="00996DFA" w:rsidP="00053ACA">
      <w:pPr>
        <w:rPr>
          <w:b/>
          <w:i/>
        </w:rPr>
      </w:pPr>
    </w:p>
    <w:p w:rsidR="00382292" w:rsidRDefault="00382292" w:rsidP="00053ACA">
      <w:r>
        <w:t>Q</w:t>
      </w:r>
      <w:r w:rsidR="00D6510D" w:rsidRPr="00FF3A01">
        <w:t xml:space="preserve">uantitative </w:t>
      </w:r>
      <w:r w:rsidR="00F76A4B" w:rsidRPr="00FF3A01">
        <w:t>and qualitative</w:t>
      </w:r>
      <w:r>
        <w:t xml:space="preserve"> data</w:t>
      </w:r>
      <w:r w:rsidR="00F76A4B" w:rsidRPr="00FF3A01">
        <w:t xml:space="preserve"> </w:t>
      </w:r>
      <w:r w:rsidR="00D6510D" w:rsidRPr="00FF3A01">
        <w:t xml:space="preserve">analyses </w:t>
      </w:r>
      <w:r>
        <w:t>will be done</w:t>
      </w:r>
      <w:r w:rsidR="00D6510D" w:rsidRPr="00FF3A01">
        <w:t xml:space="preserve">.  </w:t>
      </w:r>
      <w:r>
        <w:t xml:space="preserve">Quantitative data analysis will include descriptive statistics to describe the frequency and use of campaign materials and categorization of </w:t>
      </w:r>
      <w:r w:rsidRPr="00FF3A01">
        <w:t>knowledge, attitudes</w:t>
      </w:r>
      <w:r>
        <w:t>,</w:t>
      </w:r>
      <w:r w:rsidRPr="00FF3A01">
        <w:t xml:space="preserve"> and self</w:t>
      </w:r>
      <w:r>
        <w:t>-</w:t>
      </w:r>
      <w:r w:rsidRPr="00FF3A01">
        <w:t xml:space="preserve">efficacy of </w:t>
      </w:r>
      <w:r>
        <w:t>health care providers</w:t>
      </w:r>
      <w:r w:rsidRPr="00FF3A01">
        <w:t xml:space="preserve"> related to </w:t>
      </w:r>
      <w:r>
        <w:t>pediatric palliative care</w:t>
      </w:r>
      <w:r w:rsidRPr="00FF3A01">
        <w:t xml:space="preserve"> discussions</w:t>
      </w:r>
      <w:r>
        <w:t xml:space="preserve">. </w:t>
      </w:r>
      <w:r w:rsidRPr="00FF3A01">
        <w:t>While the majority of data collected via the online surveys will be quantitative, some open-ended questions will be included to collect qualitative data. These questions, such as providing feedback on how materials were used in practice</w:t>
      </w:r>
      <w:r>
        <w:t>,</w:t>
      </w:r>
      <w:r w:rsidRPr="00FF3A01">
        <w:t xml:space="preserve"> will be coded and categorized and treated as categorized values.</w:t>
      </w:r>
    </w:p>
    <w:p w:rsidR="00382292" w:rsidRDefault="00382292" w:rsidP="00053ACA"/>
    <w:p w:rsidR="00557E3A" w:rsidRPr="00FF3A01" w:rsidRDefault="00557E3A" w:rsidP="00053ACA">
      <w:r w:rsidRPr="00FF3A01">
        <w:t>At the close of the survey, key findings will be summarized</w:t>
      </w:r>
      <w:r w:rsidR="00F76A4B" w:rsidRPr="00FF3A01">
        <w:t xml:space="preserve"> and NINR</w:t>
      </w:r>
      <w:r w:rsidRPr="00FF3A01">
        <w:t xml:space="preserve"> will draw strategic i</w:t>
      </w:r>
      <w:r w:rsidR="00F76A4B" w:rsidRPr="00FF3A01">
        <w:t>mplications and recommendations</w:t>
      </w:r>
      <w:r w:rsidRPr="00FF3A01">
        <w:t xml:space="preserve">. </w:t>
      </w:r>
    </w:p>
    <w:p w:rsidR="00557E3A" w:rsidRPr="00FF3A01" w:rsidRDefault="00557E3A" w:rsidP="00053ACA"/>
    <w:p w:rsidR="007B2571" w:rsidRPr="00FF3A01" w:rsidRDefault="00D6510D" w:rsidP="00053ACA">
      <w:pPr>
        <w:rPr>
          <w:b/>
        </w:rPr>
      </w:pPr>
      <w:bookmarkStart w:id="45" w:name="_Toc443881760"/>
      <w:bookmarkStart w:id="46" w:name="_Toc451592247"/>
      <w:bookmarkStart w:id="47" w:name="_Toc5610288"/>
      <w:bookmarkStart w:id="48" w:name="_Toc99178794"/>
      <w:r w:rsidRPr="00FF3A01">
        <w:rPr>
          <w:b/>
        </w:rPr>
        <w:t>A.17</w:t>
      </w:r>
      <w:r w:rsidRPr="00FF3A01">
        <w:rPr>
          <w:b/>
        </w:rPr>
        <w:tab/>
        <w:t>Reason(s) Display of OMB Expiration Date is Inappropriate</w:t>
      </w:r>
      <w:bookmarkEnd w:id="45"/>
      <w:bookmarkEnd w:id="46"/>
      <w:bookmarkEnd w:id="47"/>
      <w:bookmarkEnd w:id="48"/>
    </w:p>
    <w:p w:rsidR="007B2571" w:rsidRPr="00FF3A01" w:rsidRDefault="007B2571" w:rsidP="00053ACA">
      <w:pPr>
        <w:rPr>
          <w:b/>
        </w:rPr>
      </w:pPr>
    </w:p>
    <w:p w:rsidR="00583C91" w:rsidRPr="000A4765" w:rsidRDefault="00D6510D" w:rsidP="00583C91">
      <w:pPr>
        <w:pStyle w:val="BodyText"/>
        <w:rPr>
          <w:rFonts w:cs="Arial"/>
        </w:rPr>
      </w:pPr>
      <w:r w:rsidRPr="00FF3A01">
        <w:t>NINR intends to display the OMB</w:t>
      </w:r>
      <w:r w:rsidR="00583C91">
        <w:t xml:space="preserve"> control number and</w:t>
      </w:r>
      <w:r w:rsidRPr="00FF3A01">
        <w:t xml:space="preserve"> expiration date in the upper right hand corner of the survey</w:t>
      </w:r>
      <w:r w:rsidR="00F27C87">
        <w:rPr>
          <w:lang w:val="en-US"/>
        </w:rPr>
        <w:t>s</w:t>
      </w:r>
      <w:r w:rsidRPr="00FF3A01">
        <w:t xml:space="preserve">.  </w:t>
      </w:r>
      <w:r w:rsidR="00583C91">
        <w:t xml:space="preserve">No </w:t>
      </w:r>
      <w:r w:rsidR="00583C91" w:rsidRPr="000A4765">
        <w:t xml:space="preserve">waiver </w:t>
      </w:r>
      <w:r w:rsidR="00583C91">
        <w:t xml:space="preserve">is being sought </w:t>
      </w:r>
      <w:r w:rsidR="00583C91" w:rsidRPr="000A4765">
        <w:t>to display the expiration date for OMB approval.</w:t>
      </w:r>
      <w:r w:rsidR="00583C91">
        <w:t xml:space="preserve">  </w:t>
      </w:r>
    </w:p>
    <w:p w:rsidR="00D6510D" w:rsidRPr="00FF3A01" w:rsidRDefault="00D6510D" w:rsidP="00053ACA">
      <w:pPr>
        <w:rPr>
          <w:b/>
        </w:rPr>
      </w:pPr>
      <w:r w:rsidRPr="00FF3A01">
        <w:rPr>
          <w:b/>
        </w:rPr>
        <w:tab/>
      </w:r>
    </w:p>
    <w:p w:rsidR="007B2571" w:rsidRPr="00FF3A01" w:rsidRDefault="00D6510D" w:rsidP="00053ACA">
      <w:pPr>
        <w:rPr>
          <w:b/>
        </w:rPr>
      </w:pPr>
      <w:bookmarkStart w:id="49" w:name="_Toc443881761"/>
      <w:bookmarkStart w:id="50" w:name="_Toc451592248"/>
      <w:bookmarkStart w:id="51" w:name="_Toc5610289"/>
      <w:bookmarkStart w:id="52" w:name="_Toc99178795"/>
      <w:r w:rsidRPr="00FF3A01">
        <w:rPr>
          <w:b/>
        </w:rPr>
        <w:t>A.18</w:t>
      </w:r>
      <w:r w:rsidRPr="00FF3A01">
        <w:rPr>
          <w:b/>
        </w:rPr>
        <w:tab/>
        <w:t>Exceptions to Certification for Paperwork Reduction Act Submissions</w:t>
      </w:r>
      <w:bookmarkEnd w:id="49"/>
      <w:bookmarkEnd w:id="50"/>
      <w:bookmarkEnd w:id="51"/>
      <w:bookmarkEnd w:id="52"/>
    </w:p>
    <w:p w:rsidR="007B2571" w:rsidRPr="00FF3A01" w:rsidRDefault="007B2571" w:rsidP="00053ACA">
      <w:pPr>
        <w:rPr>
          <w:b/>
        </w:rPr>
      </w:pPr>
    </w:p>
    <w:p w:rsidR="00F2755E" w:rsidRPr="006265F7" w:rsidRDefault="00583C91" w:rsidP="006265F7">
      <w:pPr>
        <w:pStyle w:val="BodyText"/>
        <w:rPr>
          <w:lang w:val="en-US"/>
        </w:rPr>
      </w:pPr>
      <w:r w:rsidRPr="00991991">
        <w:t>NINR is in full compliance with the provisions contained within the Certification for Paperwork Reduction Act Submissions. No exceptions to the Certification for Paperwork Reduction Act Submissions are requested.</w:t>
      </w:r>
    </w:p>
    <w:sectPr w:rsidR="00F2755E" w:rsidRPr="006265F7" w:rsidSect="00076319">
      <w:headerReference w:type="default" r:id="rId9"/>
      <w:footerReference w:type="even" r:id="rId10"/>
      <w:footerReference w:type="default" r:id="rId1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1A" w:rsidRDefault="00573D1A">
      <w:r>
        <w:separator/>
      </w:r>
    </w:p>
  </w:endnote>
  <w:endnote w:type="continuationSeparator" w:id="0">
    <w:p w:rsidR="00573D1A" w:rsidRDefault="0057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w:panose1 w:val="020B0602040502020204"/>
    <w:charset w:val="00"/>
    <w:family w:val="swiss"/>
    <w:pitch w:val="variable"/>
    <w:sig w:usb0="A1002AEF" w:usb1="8000787B" w:usb2="00000008" w:usb3="00000000" w:csb0="000100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31" w:rsidRDefault="00DB6031" w:rsidP="008C3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031" w:rsidRDefault="00DB6031" w:rsidP="001D2F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31" w:rsidRDefault="00DB6031">
    <w:pPr>
      <w:pStyle w:val="Footer"/>
      <w:jc w:val="right"/>
    </w:pPr>
    <w:r>
      <w:fldChar w:fldCharType="begin"/>
    </w:r>
    <w:r>
      <w:instrText xml:space="preserve"> PAGE   \* MERGEFORMAT </w:instrText>
    </w:r>
    <w:r>
      <w:fldChar w:fldCharType="separate"/>
    </w:r>
    <w:r w:rsidR="00FE738F">
      <w:rPr>
        <w:noProof/>
      </w:rPr>
      <w:t>10</w:t>
    </w:r>
    <w:r>
      <w:fldChar w:fldCharType="end"/>
    </w:r>
  </w:p>
  <w:p w:rsidR="00DB6031" w:rsidRDefault="00DB6031" w:rsidP="001D2F8C">
    <w:pPr>
      <w:pStyle w:val="Footer"/>
      <w:tabs>
        <w:tab w:val="clear" w:pos="432"/>
        <w:tab w:val="clear" w:pos="4320"/>
        <w:tab w:val="clear" w:pos="8640"/>
        <w:tab w:val="center" w:pos="4770"/>
        <w:tab w:val="right" w:pos="9360"/>
      </w:tabs>
      <w:spacing w:before="120"/>
      <w:ind w:right="360" w:firstLine="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1A" w:rsidRDefault="00573D1A">
      <w:r>
        <w:separator/>
      </w:r>
    </w:p>
  </w:footnote>
  <w:footnote w:type="continuationSeparator" w:id="0">
    <w:p w:rsidR="00573D1A" w:rsidRDefault="00573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31" w:rsidRDefault="00DB603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25B5"/>
    <w:multiLevelType w:val="hybridMultilevel"/>
    <w:tmpl w:val="9252E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25181"/>
    <w:multiLevelType w:val="multilevel"/>
    <w:tmpl w:val="EEBA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25DA"/>
    <w:multiLevelType w:val="hybridMultilevel"/>
    <w:tmpl w:val="869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81BF4"/>
    <w:multiLevelType w:val="hybridMultilevel"/>
    <w:tmpl w:val="76A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70ADD"/>
    <w:multiLevelType w:val="hybridMultilevel"/>
    <w:tmpl w:val="FE50D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57C67"/>
    <w:multiLevelType w:val="hybridMultilevel"/>
    <w:tmpl w:val="A968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46A00"/>
    <w:multiLevelType w:val="hybridMultilevel"/>
    <w:tmpl w:val="563CA12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55155565"/>
    <w:multiLevelType w:val="hybridMultilevel"/>
    <w:tmpl w:val="72328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0866F2"/>
    <w:multiLevelType w:val="hybridMultilevel"/>
    <w:tmpl w:val="9018528E"/>
    <w:lvl w:ilvl="0" w:tplc="9AE8520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EF4BCB"/>
    <w:multiLevelType w:val="hybridMultilevel"/>
    <w:tmpl w:val="A9ACB032"/>
    <w:lvl w:ilvl="0" w:tplc="0409000F">
      <w:start w:val="1"/>
      <w:numFmt w:val="decimal"/>
      <w:lvlText w:val="%1."/>
      <w:lvlJc w:val="left"/>
      <w:pPr>
        <w:ind w:left="720" w:hanging="360"/>
      </w:pPr>
      <w:rPr>
        <w:rFonts w:cs="Times New Roman" w:hint="default"/>
      </w:rPr>
    </w:lvl>
    <w:lvl w:ilvl="1" w:tplc="F8C2DD06">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E9B2066"/>
    <w:multiLevelType w:val="hybridMultilevel"/>
    <w:tmpl w:val="BD0E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E16439"/>
    <w:multiLevelType w:val="hybridMultilevel"/>
    <w:tmpl w:val="B1C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2023E"/>
    <w:multiLevelType w:val="hybridMultilevel"/>
    <w:tmpl w:val="0DCEEF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773C8E"/>
    <w:multiLevelType w:val="hybridMultilevel"/>
    <w:tmpl w:val="A828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8E2F8D"/>
    <w:multiLevelType w:val="hybridMultilevel"/>
    <w:tmpl w:val="E6D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21EA0"/>
    <w:multiLevelType w:val="hybridMultilevel"/>
    <w:tmpl w:val="EFF2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EE7422"/>
    <w:multiLevelType w:val="hybridMultilevel"/>
    <w:tmpl w:val="EC74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11"/>
  </w:num>
  <w:num w:numId="5">
    <w:abstractNumId w:val="13"/>
  </w:num>
  <w:num w:numId="6">
    <w:abstractNumId w:val="3"/>
  </w:num>
  <w:num w:numId="7">
    <w:abstractNumId w:val="9"/>
  </w:num>
  <w:num w:numId="8">
    <w:abstractNumId w:val="14"/>
  </w:num>
  <w:num w:numId="9">
    <w:abstractNumId w:val="15"/>
  </w:num>
  <w:num w:numId="10">
    <w:abstractNumId w:val="1"/>
  </w:num>
  <w:num w:numId="11">
    <w:abstractNumId w:val="4"/>
  </w:num>
  <w:num w:numId="12">
    <w:abstractNumId w:val="2"/>
  </w:num>
  <w:num w:numId="13">
    <w:abstractNumId w:val="12"/>
  </w:num>
  <w:num w:numId="14">
    <w:abstractNumId w:val="8"/>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EC3814-0B07-4060-AC42-B9A2FAC1BBFF}"/>
    <w:docVar w:name="dgnword-eventsink" w:val="114944624"/>
  </w:docVars>
  <w:rsids>
    <w:rsidRoot w:val="00B27BD3"/>
    <w:rsid w:val="000054FC"/>
    <w:rsid w:val="00007542"/>
    <w:rsid w:val="000130E5"/>
    <w:rsid w:val="00013D8F"/>
    <w:rsid w:val="00036EA6"/>
    <w:rsid w:val="00042AC6"/>
    <w:rsid w:val="00043ED7"/>
    <w:rsid w:val="00053217"/>
    <w:rsid w:val="00053ACA"/>
    <w:rsid w:val="0006399F"/>
    <w:rsid w:val="00076319"/>
    <w:rsid w:val="0008432E"/>
    <w:rsid w:val="00084F33"/>
    <w:rsid w:val="00090DDB"/>
    <w:rsid w:val="000972A6"/>
    <w:rsid w:val="000A4298"/>
    <w:rsid w:val="000B7BA0"/>
    <w:rsid w:val="000D22C6"/>
    <w:rsid w:val="000D2BE6"/>
    <w:rsid w:val="000D630B"/>
    <w:rsid w:val="000E6CFF"/>
    <w:rsid w:val="000E7C0C"/>
    <w:rsid w:val="000F1617"/>
    <w:rsid w:val="000F1C25"/>
    <w:rsid w:val="000F4A9E"/>
    <w:rsid w:val="000F67A2"/>
    <w:rsid w:val="00104925"/>
    <w:rsid w:val="00106848"/>
    <w:rsid w:val="00107883"/>
    <w:rsid w:val="00110B62"/>
    <w:rsid w:val="00125AC3"/>
    <w:rsid w:val="00126F3A"/>
    <w:rsid w:val="00127B32"/>
    <w:rsid w:val="00131C04"/>
    <w:rsid w:val="00135D09"/>
    <w:rsid w:val="00141784"/>
    <w:rsid w:val="00153CFE"/>
    <w:rsid w:val="0016225F"/>
    <w:rsid w:val="00165CAA"/>
    <w:rsid w:val="00170228"/>
    <w:rsid w:val="00180E62"/>
    <w:rsid w:val="001837F8"/>
    <w:rsid w:val="001913C9"/>
    <w:rsid w:val="001950A4"/>
    <w:rsid w:val="001A0819"/>
    <w:rsid w:val="001B7E95"/>
    <w:rsid w:val="001C48A3"/>
    <w:rsid w:val="001C4ED6"/>
    <w:rsid w:val="001C5615"/>
    <w:rsid w:val="001D11CE"/>
    <w:rsid w:val="001D2F8C"/>
    <w:rsid w:val="001D3187"/>
    <w:rsid w:val="001E0C50"/>
    <w:rsid w:val="001E49E6"/>
    <w:rsid w:val="001F48AB"/>
    <w:rsid w:val="001F5FA7"/>
    <w:rsid w:val="001F7074"/>
    <w:rsid w:val="0020100A"/>
    <w:rsid w:val="00217768"/>
    <w:rsid w:val="0022694A"/>
    <w:rsid w:val="00233917"/>
    <w:rsid w:val="00237058"/>
    <w:rsid w:val="00240839"/>
    <w:rsid w:val="00240BF0"/>
    <w:rsid w:val="00244AA2"/>
    <w:rsid w:val="002453F4"/>
    <w:rsid w:val="00246554"/>
    <w:rsid w:val="002652F7"/>
    <w:rsid w:val="002735A0"/>
    <w:rsid w:val="00290054"/>
    <w:rsid w:val="002946CA"/>
    <w:rsid w:val="002957FE"/>
    <w:rsid w:val="002A7948"/>
    <w:rsid w:val="002A79CE"/>
    <w:rsid w:val="002C098D"/>
    <w:rsid w:val="002C4006"/>
    <w:rsid w:val="002D1968"/>
    <w:rsid w:val="002E2BE6"/>
    <w:rsid w:val="002E391F"/>
    <w:rsid w:val="002F3608"/>
    <w:rsid w:val="002F3A52"/>
    <w:rsid w:val="00325D9C"/>
    <w:rsid w:val="003265E8"/>
    <w:rsid w:val="00344672"/>
    <w:rsid w:val="00351E7C"/>
    <w:rsid w:val="00367D2C"/>
    <w:rsid w:val="0037482E"/>
    <w:rsid w:val="00382292"/>
    <w:rsid w:val="003921BC"/>
    <w:rsid w:val="00394621"/>
    <w:rsid w:val="003A4549"/>
    <w:rsid w:val="003A68D4"/>
    <w:rsid w:val="003A7C30"/>
    <w:rsid w:val="003F1A97"/>
    <w:rsid w:val="0041799A"/>
    <w:rsid w:val="00420B97"/>
    <w:rsid w:val="00437B67"/>
    <w:rsid w:val="00441244"/>
    <w:rsid w:val="004439E8"/>
    <w:rsid w:val="0045766A"/>
    <w:rsid w:val="00460D57"/>
    <w:rsid w:val="00484228"/>
    <w:rsid w:val="0048504F"/>
    <w:rsid w:val="00485E1C"/>
    <w:rsid w:val="00493E99"/>
    <w:rsid w:val="00495B08"/>
    <w:rsid w:val="004A67DE"/>
    <w:rsid w:val="004B332D"/>
    <w:rsid w:val="004D538C"/>
    <w:rsid w:val="004F16B2"/>
    <w:rsid w:val="005043E5"/>
    <w:rsid w:val="005044FF"/>
    <w:rsid w:val="00504F95"/>
    <w:rsid w:val="005249E4"/>
    <w:rsid w:val="00531DA0"/>
    <w:rsid w:val="00537FF6"/>
    <w:rsid w:val="00546854"/>
    <w:rsid w:val="00546BD7"/>
    <w:rsid w:val="00557E3A"/>
    <w:rsid w:val="00570268"/>
    <w:rsid w:val="00570410"/>
    <w:rsid w:val="0057180B"/>
    <w:rsid w:val="00573D1A"/>
    <w:rsid w:val="00583C91"/>
    <w:rsid w:val="0058486E"/>
    <w:rsid w:val="005A35FA"/>
    <w:rsid w:val="005A7E0D"/>
    <w:rsid w:val="005C2D3C"/>
    <w:rsid w:val="005E6528"/>
    <w:rsid w:val="005F0456"/>
    <w:rsid w:val="005F5BD9"/>
    <w:rsid w:val="006002B3"/>
    <w:rsid w:val="006020EC"/>
    <w:rsid w:val="00613072"/>
    <w:rsid w:val="00617287"/>
    <w:rsid w:val="006265F7"/>
    <w:rsid w:val="0063712C"/>
    <w:rsid w:val="00637293"/>
    <w:rsid w:val="00640FEE"/>
    <w:rsid w:val="00642596"/>
    <w:rsid w:val="00650998"/>
    <w:rsid w:val="0068397F"/>
    <w:rsid w:val="0069003E"/>
    <w:rsid w:val="00693D80"/>
    <w:rsid w:val="006A0BEE"/>
    <w:rsid w:val="006B2081"/>
    <w:rsid w:val="006B5EA3"/>
    <w:rsid w:val="006B74F0"/>
    <w:rsid w:val="006C397B"/>
    <w:rsid w:val="006F1115"/>
    <w:rsid w:val="00700130"/>
    <w:rsid w:val="00722776"/>
    <w:rsid w:val="00727544"/>
    <w:rsid w:val="0073033C"/>
    <w:rsid w:val="007335EF"/>
    <w:rsid w:val="00747325"/>
    <w:rsid w:val="00754A19"/>
    <w:rsid w:val="00760216"/>
    <w:rsid w:val="007661BB"/>
    <w:rsid w:val="00772347"/>
    <w:rsid w:val="007754E4"/>
    <w:rsid w:val="007820E6"/>
    <w:rsid w:val="007A203E"/>
    <w:rsid w:val="007B2571"/>
    <w:rsid w:val="007C3156"/>
    <w:rsid w:val="007C31B0"/>
    <w:rsid w:val="007D038C"/>
    <w:rsid w:val="007D2FE5"/>
    <w:rsid w:val="007D57BB"/>
    <w:rsid w:val="007D6636"/>
    <w:rsid w:val="00807A84"/>
    <w:rsid w:val="00821039"/>
    <w:rsid w:val="00823891"/>
    <w:rsid w:val="008326E6"/>
    <w:rsid w:val="00851A88"/>
    <w:rsid w:val="008532AA"/>
    <w:rsid w:val="00861583"/>
    <w:rsid w:val="008622F1"/>
    <w:rsid w:val="00867DE7"/>
    <w:rsid w:val="0088566C"/>
    <w:rsid w:val="00892046"/>
    <w:rsid w:val="008A1922"/>
    <w:rsid w:val="008A46E6"/>
    <w:rsid w:val="008C3F5E"/>
    <w:rsid w:val="008D17F3"/>
    <w:rsid w:val="008E0986"/>
    <w:rsid w:val="008E1E7C"/>
    <w:rsid w:val="00920596"/>
    <w:rsid w:val="009309E5"/>
    <w:rsid w:val="009471E7"/>
    <w:rsid w:val="009623DB"/>
    <w:rsid w:val="00970DFB"/>
    <w:rsid w:val="00977C06"/>
    <w:rsid w:val="00983211"/>
    <w:rsid w:val="00984F49"/>
    <w:rsid w:val="00992F5F"/>
    <w:rsid w:val="0099324C"/>
    <w:rsid w:val="0099566D"/>
    <w:rsid w:val="00996D8F"/>
    <w:rsid w:val="00996DFA"/>
    <w:rsid w:val="009A1637"/>
    <w:rsid w:val="009A53E1"/>
    <w:rsid w:val="009B242F"/>
    <w:rsid w:val="009B5631"/>
    <w:rsid w:val="009C5CD6"/>
    <w:rsid w:val="009C6C4C"/>
    <w:rsid w:val="009C766E"/>
    <w:rsid w:val="009C7C47"/>
    <w:rsid w:val="009D3502"/>
    <w:rsid w:val="009D6838"/>
    <w:rsid w:val="009D7DED"/>
    <w:rsid w:val="009E05D9"/>
    <w:rsid w:val="009E647A"/>
    <w:rsid w:val="009F5C1E"/>
    <w:rsid w:val="009F77ED"/>
    <w:rsid w:val="00A01470"/>
    <w:rsid w:val="00A02F8B"/>
    <w:rsid w:val="00A03191"/>
    <w:rsid w:val="00A17A68"/>
    <w:rsid w:val="00A20CB1"/>
    <w:rsid w:val="00A22B6C"/>
    <w:rsid w:val="00A32D6E"/>
    <w:rsid w:val="00A43D1B"/>
    <w:rsid w:val="00A45668"/>
    <w:rsid w:val="00A47AA4"/>
    <w:rsid w:val="00A65DE1"/>
    <w:rsid w:val="00A703C1"/>
    <w:rsid w:val="00A73262"/>
    <w:rsid w:val="00A76B04"/>
    <w:rsid w:val="00A95E0F"/>
    <w:rsid w:val="00A97AB5"/>
    <w:rsid w:val="00AA0EEF"/>
    <w:rsid w:val="00AA19DF"/>
    <w:rsid w:val="00AA436B"/>
    <w:rsid w:val="00AA61A2"/>
    <w:rsid w:val="00AA7915"/>
    <w:rsid w:val="00AA791D"/>
    <w:rsid w:val="00AB2686"/>
    <w:rsid w:val="00AB2849"/>
    <w:rsid w:val="00AB5021"/>
    <w:rsid w:val="00AB741A"/>
    <w:rsid w:val="00AC3FEE"/>
    <w:rsid w:val="00AD12C4"/>
    <w:rsid w:val="00AD5ABE"/>
    <w:rsid w:val="00AD6E78"/>
    <w:rsid w:val="00AE603A"/>
    <w:rsid w:val="00AF0389"/>
    <w:rsid w:val="00AF0507"/>
    <w:rsid w:val="00AF28B5"/>
    <w:rsid w:val="00B0457F"/>
    <w:rsid w:val="00B07541"/>
    <w:rsid w:val="00B10BB0"/>
    <w:rsid w:val="00B1221C"/>
    <w:rsid w:val="00B13A99"/>
    <w:rsid w:val="00B14052"/>
    <w:rsid w:val="00B234ED"/>
    <w:rsid w:val="00B27BD3"/>
    <w:rsid w:val="00B30D26"/>
    <w:rsid w:val="00B331D5"/>
    <w:rsid w:val="00B354B5"/>
    <w:rsid w:val="00B40991"/>
    <w:rsid w:val="00B42752"/>
    <w:rsid w:val="00B47B26"/>
    <w:rsid w:val="00B508F7"/>
    <w:rsid w:val="00B50DF8"/>
    <w:rsid w:val="00B54A2B"/>
    <w:rsid w:val="00B73E97"/>
    <w:rsid w:val="00B774CF"/>
    <w:rsid w:val="00BA3A90"/>
    <w:rsid w:val="00BA4062"/>
    <w:rsid w:val="00BB2707"/>
    <w:rsid w:val="00BB47F2"/>
    <w:rsid w:val="00BC2DB3"/>
    <w:rsid w:val="00BD3E40"/>
    <w:rsid w:val="00BE36C4"/>
    <w:rsid w:val="00C0133E"/>
    <w:rsid w:val="00C055A7"/>
    <w:rsid w:val="00C106B0"/>
    <w:rsid w:val="00C2720E"/>
    <w:rsid w:val="00C27C95"/>
    <w:rsid w:val="00C4216D"/>
    <w:rsid w:val="00C57427"/>
    <w:rsid w:val="00C60B6E"/>
    <w:rsid w:val="00C62D42"/>
    <w:rsid w:val="00C72B85"/>
    <w:rsid w:val="00CA567E"/>
    <w:rsid w:val="00CB4BF6"/>
    <w:rsid w:val="00CB6435"/>
    <w:rsid w:val="00CC13AC"/>
    <w:rsid w:val="00CC74FD"/>
    <w:rsid w:val="00CC74FF"/>
    <w:rsid w:val="00CD044D"/>
    <w:rsid w:val="00CD383D"/>
    <w:rsid w:val="00CD422E"/>
    <w:rsid w:val="00CD60FC"/>
    <w:rsid w:val="00D05A6D"/>
    <w:rsid w:val="00D12B46"/>
    <w:rsid w:val="00D27BBE"/>
    <w:rsid w:val="00D321CA"/>
    <w:rsid w:val="00D5463E"/>
    <w:rsid w:val="00D64421"/>
    <w:rsid w:val="00D6510D"/>
    <w:rsid w:val="00D6663D"/>
    <w:rsid w:val="00D66B2A"/>
    <w:rsid w:val="00D763AE"/>
    <w:rsid w:val="00D84CEF"/>
    <w:rsid w:val="00D84D14"/>
    <w:rsid w:val="00D87BAD"/>
    <w:rsid w:val="00D87F96"/>
    <w:rsid w:val="00D90C6E"/>
    <w:rsid w:val="00DA12FB"/>
    <w:rsid w:val="00DA36D7"/>
    <w:rsid w:val="00DA4ED0"/>
    <w:rsid w:val="00DA619E"/>
    <w:rsid w:val="00DA61C8"/>
    <w:rsid w:val="00DB2AE0"/>
    <w:rsid w:val="00DB6031"/>
    <w:rsid w:val="00DD25F9"/>
    <w:rsid w:val="00DE128D"/>
    <w:rsid w:val="00DE3CBA"/>
    <w:rsid w:val="00DE6A44"/>
    <w:rsid w:val="00DF4324"/>
    <w:rsid w:val="00DF5D52"/>
    <w:rsid w:val="00E14D2F"/>
    <w:rsid w:val="00E16491"/>
    <w:rsid w:val="00E207BE"/>
    <w:rsid w:val="00E4499D"/>
    <w:rsid w:val="00E468A7"/>
    <w:rsid w:val="00E50EAF"/>
    <w:rsid w:val="00E70A3F"/>
    <w:rsid w:val="00E70E1F"/>
    <w:rsid w:val="00E710A4"/>
    <w:rsid w:val="00E73043"/>
    <w:rsid w:val="00E82521"/>
    <w:rsid w:val="00E8344E"/>
    <w:rsid w:val="00E84114"/>
    <w:rsid w:val="00E8598E"/>
    <w:rsid w:val="00E920D7"/>
    <w:rsid w:val="00E92C51"/>
    <w:rsid w:val="00E95892"/>
    <w:rsid w:val="00EA45D1"/>
    <w:rsid w:val="00EB1F3C"/>
    <w:rsid w:val="00EC428C"/>
    <w:rsid w:val="00EC4A11"/>
    <w:rsid w:val="00ED5AA8"/>
    <w:rsid w:val="00EE355D"/>
    <w:rsid w:val="00EE370E"/>
    <w:rsid w:val="00F10C08"/>
    <w:rsid w:val="00F13F4E"/>
    <w:rsid w:val="00F1568E"/>
    <w:rsid w:val="00F16529"/>
    <w:rsid w:val="00F2755E"/>
    <w:rsid w:val="00F27C87"/>
    <w:rsid w:val="00F35810"/>
    <w:rsid w:val="00F44479"/>
    <w:rsid w:val="00F5183E"/>
    <w:rsid w:val="00F51D6C"/>
    <w:rsid w:val="00F569C7"/>
    <w:rsid w:val="00F60F99"/>
    <w:rsid w:val="00F76A4B"/>
    <w:rsid w:val="00F90EF2"/>
    <w:rsid w:val="00FA652C"/>
    <w:rsid w:val="00FB0B43"/>
    <w:rsid w:val="00FB1ADE"/>
    <w:rsid w:val="00FB1F6D"/>
    <w:rsid w:val="00FC3229"/>
    <w:rsid w:val="00FC359C"/>
    <w:rsid w:val="00FC579C"/>
    <w:rsid w:val="00FC653F"/>
    <w:rsid w:val="00FE6C1C"/>
    <w:rsid w:val="00FE738F"/>
    <w:rsid w:val="00FF2701"/>
    <w:rsid w:val="00FF3A01"/>
    <w:rsid w:val="00FF416C"/>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B46"/>
    <w:rPr>
      <w:sz w:val="24"/>
      <w:szCs w:val="24"/>
      <w:lang w:eastAsia="ja-JP"/>
    </w:rPr>
  </w:style>
  <w:style w:type="paragraph" w:styleId="Heading2">
    <w:name w:val="heading 2"/>
    <w:basedOn w:val="Normal"/>
    <w:next w:val="Normal"/>
    <w:link w:val="Heading2Char"/>
    <w:uiPriority w:val="99"/>
    <w:qFormat/>
    <w:rsid w:val="00C4216D"/>
    <w:pPr>
      <w:keepNext/>
      <w:widowControl w:val="0"/>
      <w:outlineLvl w:val="1"/>
    </w:pPr>
    <w:rPr>
      <w:rFonts w:eastAsia="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C098D"/>
    <w:rPr>
      <w:sz w:val="16"/>
      <w:szCs w:val="16"/>
    </w:rPr>
  </w:style>
  <w:style w:type="paragraph" w:styleId="CommentText">
    <w:name w:val="annotation text"/>
    <w:basedOn w:val="Normal"/>
    <w:semiHidden/>
    <w:rsid w:val="002C098D"/>
    <w:rPr>
      <w:sz w:val="20"/>
      <w:szCs w:val="20"/>
    </w:rPr>
  </w:style>
  <w:style w:type="paragraph" w:styleId="CommentSubject">
    <w:name w:val="annotation subject"/>
    <w:basedOn w:val="CommentText"/>
    <w:next w:val="CommentText"/>
    <w:semiHidden/>
    <w:rsid w:val="002C098D"/>
    <w:rPr>
      <w:b/>
      <w:bCs/>
    </w:rPr>
  </w:style>
  <w:style w:type="paragraph" w:styleId="BalloonText">
    <w:name w:val="Balloon Text"/>
    <w:basedOn w:val="Normal"/>
    <w:semiHidden/>
    <w:rsid w:val="002C098D"/>
    <w:rPr>
      <w:rFonts w:ascii="Tahoma" w:hAnsi="Tahoma" w:cs="Tahoma"/>
      <w:sz w:val="16"/>
      <w:szCs w:val="16"/>
    </w:rPr>
  </w:style>
  <w:style w:type="character" w:styleId="Strong">
    <w:name w:val="Strong"/>
    <w:uiPriority w:val="22"/>
    <w:qFormat/>
    <w:rsid w:val="007820E6"/>
    <w:rPr>
      <w:b/>
      <w:bCs/>
    </w:rPr>
  </w:style>
  <w:style w:type="paragraph" w:styleId="ListParagraph">
    <w:name w:val="List Paragraph"/>
    <w:basedOn w:val="Normal"/>
    <w:link w:val="ListParagraphChar"/>
    <w:uiPriority w:val="34"/>
    <w:qFormat/>
    <w:rsid w:val="001950A4"/>
    <w:pPr>
      <w:spacing w:after="200" w:line="276" w:lineRule="auto"/>
      <w:ind w:left="720"/>
    </w:pPr>
    <w:rPr>
      <w:rFonts w:ascii="Calibri" w:hAnsi="Calibri" w:cs="Calibri"/>
      <w:sz w:val="22"/>
      <w:szCs w:val="22"/>
      <w:lang w:eastAsia="en-US"/>
    </w:rPr>
  </w:style>
  <w:style w:type="character" w:customStyle="1" w:styleId="ListParagraphChar">
    <w:name w:val="List Paragraph Char"/>
    <w:link w:val="ListParagraph"/>
    <w:uiPriority w:val="34"/>
    <w:locked/>
    <w:rsid w:val="001950A4"/>
    <w:rPr>
      <w:rFonts w:ascii="Calibri" w:hAnsi="Calibri" w:cs="Calibri"/>
      <w:sz w:val="22"/>
      <w:szCs w:val="22"/>
      <w:lang w:val="en-US" w:eastAsia="en-US" w:bidi="ar-SA"/>
    </w:rPr>
  </w:style>
  <w:style w:type="character" w:customStyle="1" w:styleId="apple-style-span">
    <w:name w:val="apple-style-span"/>
    <w:basedOn w:val="DefaultParagraphFont"/>
    <w:rsid w:val="0045766A"/>
  </w:style>
  <w:style w:type="table" w:styleId="TableGrid">
    <w:name w:val="Table Grid"/>
    <w:basedOn w:val="TableNormal"/>
    <w:rsid w:val="00E70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0972A6"/>
    <w:pPr>
      <w:tabs>
        <w:tab w:val="left" w:pos="1008"/>
        <w:tab w:val="right" w:leader="dot" w:pos="9360"/>
      </w:tabs>
      <w:spacing w:after="240"/>
      <w:ind w:left="1008" w:right="1080" w:hanging="1008"/>
    </w:pPr>
    <w:rPr>
      <w:rFonts w:ascii="Lucida Sans" w:eastAsia="Times New Roman" w:hAnsi="Lucida Sans"/>
      <w:caps/>
      <w:sz w:val="22"/>
      <w:lang w:eastAsia="en-US"/>
    </w:rPr>
  </w:style>
  <w:style w:type="paragraph" w:styleId="Footer">
    <w:name w:val="footer"/>
    <w:basedOn w:val="Normal"/>
    <w:link w:val="FooterChar"/>
    <w:uiPriority w:val="99"/>
    <w:rsid w:val="000972A6"/>
    <w:pPr>
      <w:tabs>
        <w:tab w:val="left" w:pos="432"/>
        <w:tab w:val="center" w:pos="4320"/>
        <w:tab w:val="right" w:pos="8640"/>
      </w:tabs>
      <w:spacing w:before="360"/>
      <w:ind w:firstLine="432"/>
      <w:jc w:val="both"/>
    </w:pPr>
    <w:rPr>
      <w:rFonts w:ascii="Garamond" w:hAnsi="Garamond"/>
      <w:lang w:eastAsia="en-US"/>
    </w:rPr>
  </w:style>
  <w:style w:type="character" w:styleId="PageNumber">
    <w:name w:val="page number"/>
    <w:semiHidden/>
    <w:rsid w:val="000972A6"/>
    <w:rPr>
      <w:rFonts w:ascii="Garamond" w:hAnsi="Garamond" w:cs="Times New Roman"/>
      <w:sz w:val="24"/>
    </w:rPr>
  </w:style>
  <w:style w:type="paragraph" w:styleId="TOC2">
    <w:name w:val="toc 2"/>
    <w:basedOn w:val="Normal"/>
    <w:next w:val="Normal"/>
    <w:autoRedefine/>
    <w:semiHidden/>
    <w:rsid w:val="000972A6"/>
    <w:pPr>
      <w:tabs>
        <w:tab w:val="left" w:pos="1620"/>
        <w:tab w:val="right" w:leader="dot" w:pos="9360"/>
      </w:tabs>
      <w:spacing w:after="240"/>
      <w:ind w:left="1620" w:right="810" w:hanging="630"/>
    </w:pPr>
    <w:rPr>
      <w:rFonts w:ascii="Lucida Sans" w:eastAsia="Times New Roman" w:hAnsi="Lucida Sans"/>
      <w:sz w:val="22"/>
      <w:lang w:eastAsia="en-US"/>
    </w:rPr>
  </w:style>
  <w:style w:type="paragraph" w:styleId="TOC3">
    <w:name w:val="toc 3"/>
    <w:basedOn w:val="Normal"/>
    <w:next w:val="Normal"/>
    <w:autoRedefine/>
    <w:semiHidden/>
    <w:rsid w:val="003265E8"/>
    <w:rPr>
      <w:rFonts w:ascii="Lucida Sans" w:eastAsia="Times New Roman" w:hAnsi="Lucida Sans"/>
      <w:sz w:val="22"/>
      <w:lang w:eastAsia="en-US"/>
    </w:rPr>
  </w:style>
  <w:style w:type="paragraph" w:styleId="Header">
    <w:name w:val="header"/>
    <w:basedOn w:val="Normal"/>
    <w:link w:val="HeaderChar"/>
    <w:rsid w:val="000972A6"/>
    <w:pPr>
      <w:tabs>
        <w:tab w:val="center" w:pos="4680"/>
        <w:tab w:val="right" w:pos="9360"/>
      </w:tabs>
      <w:jc w:val="both"/>
    </w:pPr>
    <w:rPr>
      <w:rFonts w:ascii="Garamond" w:hAnsi="Garamond"/>
      <w:i/>
      <w:sz w:val="22"/>
      <w:lang w:eastAsia="en-US"/>
    </w:rPr>
  </w:style>
  <w:style w:type="character" w:customStyle="1" w:styleId="HeaderChar">
    <w:name w:val="Header Char"/>
    <w:link w:val="Header"/>
    <w:locked/>
    <w:rsid w:val="000972A6"/>
    <w:rPr>
      <w:rFonts w:ascii="Garamond" w:hAnsi="Garamond"/>
      <w:i/>
      <w:sz w:val="22"/>
      <w:szCs w:val="24"/>
      <w:lang w:val="en-US" w:eastAsia="en-US" w:bidi="ar-SA"/>
    </w:rPr>
  </w:style>
  <w:style w:type="character" w:customStyle="1" w:styleId="FooterChar">
    <w:name w:val="Footer Char"/>
    <w:link w:val="Footer"/>
    <w:uiPriority w:val="99"/>
    <w:locked/>
    <w:rsid w:val="000972A6"/>
    <w:rPr>
      <w:rFonts w:ascii="Garamond" w:hAnsi="Garamond"/>
      <w:sz w:val="24"/>
      <w:szCs w:val="24"/>
      <w:lang w:val="en-US" w:eastAsia="en-US" w:bidi="ar-SA"/>
    </w:rPr>
  </w:style>
  <w:style w:type="paragraph" w:styleId="NormalWeb">
    <w:name w:val="Normal (Web)"/>
    <w:basedOn w:val="Normal"/>
    <w:rsid w:val="000972A6"/>
    <w:pPr>
      <w:spacing w:before="100" w:beforeAutospacing="1" w:after="100" w:afterAutospacing="1"/>
    </w:pPr>
    <w:rPr>
      <w:rFonts w:eastAsia="Times New Roman"/>
      <w:lang w:eastAsia="en-US"/>
    </w:rPr>
  </w:style>
  <w:style w:type="character" w:styleId="Hyperlink">
    <w:name w:val="Hyperlink"/>
    <w:rsid w:val="00C4216D"/>
    <w:rPr>
      <w:color w:val="0000FF"/>
      <w:u w:val="single"/>
    </w:rPr>
  </w:style>
  <w:style w:type="character" w:customStyle="1" w:styleId="Heading2Char">
    <w:name w:val="Heading 2 Char"/>
    <w:link w:val="Heading2"/>
    <w:uiPriority w:val="99"/>
    <w:rsid w:val="00C4216D"/>
    <w:rPr>
      <w:rFonts w:eastAsia="Times New Roman"/>
      <w:b/>
    </w:rPr>
  </w:style>
  <w:style w:type="character" w:customStyle="1" w:styleId="skypepnhcontainer">
    <w:name w:val="skype_pnh_container"/>
    <w:basedOn w:val="DefaultParagraphFont"/>
    <w:rsid w:val="005043E5"/>
  </w:style>
  <w:style w:type="character" w:customStyle="1" w:styleId="skypepnhleftspan">
    <w:name w:val="skype_pnh_left_span"/>
    <w:basedOn w:val="DefaultParagraphFont"/>
    <w:rsid w:val="005043E5"/>
  </w:style>
  <w:style w:type="character" w:customStyle="1" w:styleId="skypepnhdropartspan">
    <w:name w:val="skype_pnh_dropart_span"/>
    <w:basedOn w:val="DefaultParagraphFont"/>
    <w:rsid w:val="005043E5"/>
  </w:style>
  <w:style w:type="character" w:customStyle="1" w:styleId="skypepnhdropartflagspan">
    <w:name w:val="skype_pnh_dropart_flag_span"/>
    <w:basedOn w:val="DefaultParagraphFont"/>
    <w:rsid w:val="005043E5"/>
  </w:style>
  <w:style w:type="character" w:customStyle="1" w:styleId="skypepnhtextspan">
    <w:name w:val="skype_pnh_text_span"/>
    <w:basedOn w:val="DefaultParagraphFont"/>
    <w:rsid w:val="005043E5"/>
  </w:style>
  <w:style w:type="character" w:customStyle="1" w:styleId="skypepnhrightspan">
    <w:name w:val="skype_pnh_right_span"/>
    <w:basedOn w:val="DefaultParagraphFont"/>
    <w:rsid w:val="005043E5"/>
  </w:style>
  <w:style w:type="character" w:customStyle="1" w:styleId="apple-converted-space">
    <w:name w:val="apple-converted-space"/>
    <w:basedOn w:val="DefaultParagraphFont"/>
    <w:rsid w:val="005043E5"/>
  </w:style>
  <w:style w:type="paragraph" w:styleId="PlainText">
    <w:name w:val="Plain Text"/>
    <w:basedOn w:val="Normal"/>
    <w:link w:val="PlainTextChar"/>
    <w:uiPriority w:val="99"/>
    <w:unhideWhenUsed/>
    <w:rsid w:val="00394621"/>
    <w:rPr>
      <w:rFonts w:ascii="Courier New" w:eastAsia="Calibri" w:hAnsi="Courier New"/>
      <w:sz w:val="20"/>
      <w:szCs w:val="20"/>
      <w:lang w:val="x-none" w:eastAsia="x-none"/>
    </w:rPr>
  </w:style>
  <w:style w:type="character" w:customStyle="1" w:styleId="PlainTextChar">
    <w:name w:val="Plain Text Char"/>
    <w:link w:val="PlainText"/>
    <w:uiPriority w:val="99"/>
    <w:rsid w:val="00394621"/>
    <w:rPr>
      <w:rFonts w:ascii="Courier New" w:eastAsia="Calibri" w:hAnsi="Courier New" w:cs="Courier New"/>
    </w:rPr>
  </w:style>
  <w:style w:type="character" w:styleId="FootnoteReference">
    <w:name w:val="footnote reference"/>
    <w:rsid w:val="00D90C6E"/>
    <w:rPr>
      <w:rFonts w:cs="Times New Roman"/>
      <w:vertAlign w:val="superscript"/>
    </w:rPr>
  </w:style>
  <w:style w:type="paragraph" w:styleId="BodyText">
    <w:name w:val="Body Text"/>
    <w:basedOn w:val="Normal"/>
    <w:link w:val="BodyTextChar"/>
    <w:qFormat/>
    <w:rsid w:val="00D12B46"/>
    <w:pPr>
      <w:spacing w:before="120" w:after="120"/>
    </w:pPr>
    <w:rPr>
      <w:lang w:val="x-none"/>
    </w:rPr>
  </w:style>
  <w:style w:type="character" w:customStyle="1" w:styleId="BodyTextChar">
    <w:name w:val="Body Text Char"/>
    <w:link w:val="BodyText"/>
    <w:rsid w:val="00D12B46"/>
    <w:rPr>
      <w:sz w:val="24"/>
      <w:szCs w:val="24"/>
      <w:lang w:eastAsia="ja-JP"/>
    </w:rPr>
  </w:style>
  <w:style w:type="character" w:customStyle="1" w:styleId="tabletitle">
    <w:name w:val="tabletitle"/>
    <w:basedOn w:val="DefaultParagraphFont"/>
    <w:rsid w:val="0069003E"/>
  </w:style>
  <w:style w:type="character" w:customStyle="1" w:styleId="cit-last-page">
    <w:name w:val="cit-last-page"/>
    <w:rsid w:val="00C106B0"/>
    <w:rPr>
      <w:rFonts w:ascii="Times New Roman" w:hAnsi="Times New Roman" w:cs="Times New Roman" w:hint="default"/>
    </w:rPr>
  </w:style>
  <w:style w:type="character" w:styleId="HTMLCite">
    <w:name w:val="HTML Cite"/>
    <w:unhideWhenUsed/>
    <w:rsid w:val="00C106B0"/>
    <w:rPr>
      <w:rFonts w:ascii="Times New Roman" w:hAnsi="Times New Roman" w:cs="Times New Roman" w:hint="default"/>
      <w:i/>
      <w:iCs/>
    </w:rPr>
  </w:style>
  <w:style w:type="character" w:customStyle="1" w:styleId="cit-title">
    <w:name w:val="cit-title"/>
    <w:rsid w:val="00C106B0"/>
    <w:rPr>
      <w:rFonts w:ascii="Times New Roman" w:hAnsi="Times New Roman" w:cs="Times New Roman" w:hint="default"/>
    </w:rPr>
  </w:style>
  <w:style w:type="character" w:customStyle="1" w:styleId="cit-vol">
    <w:name w:val="cit-vol"/>
    <w:rsid w:val="00C106B0"/>
    <w:rPr>
      <w:rFonts w:ascii="Times New Roman" w:hAnsi="Times New Roman" w:cs="Times New Roman" w:hint="default"/>
    </w:rPr>
  </w:style>
  <w:style w:type="character" w:customStyle="1" w:styleId="cit-sep">
    <w:name w:val="cit-sep"/>
    <w:rsid w:val="00C106B0"/>
    <w:rPr>
      <w:rFonts w:ascii="Times New Roman" w:hAnsi="Times New Roman" w:cs="Times New Roman" w:hint="default"/>
    </w:rPr>
  </w:style>
  <w:style w:type="character" w:customStyle="1" w:styleId="cit-first-page">
    <w:name w:val="cit-first-page"/>
    <w:rsid w:val="00C106B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B46"/>
    <w:rPr>
      <w:sz w:val="24"/>
      <w:szCs w:val="24"/>
      <w:lang w:eastAsia="ja-JP"/>
    </w:rPr>
  </w:style>
  <w:style w:type="paragraph" w:styleId="Heading2">
    <w:name w:val="heading 2"/>
    <w:basedOn w:val="Normal"/>
    <w:next w:val="Normal"/>
    <w:link w:val="Heading2Char"/>
    <w:uiPriority w:val="99"/>
    <w:qFormat/>
    <w:rsid w:val="00C4216D"/>
    <w:pPr>
      <w:keepNext/>
      <w:widowControl w:val="0"/>
      <w:outlineLvl w:val="1"/>
    </w:pPr>
    <w:rPr>
      <w:rFonts w:eastAsia="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C098D"/>
    <w:rPr>
      <w:sz w:val="16"/>
      <w:szCs w:val="16"/>
    </w:rPr>
  </w:style>
  <w:style w:type="paragraph" w:styleId="CommentText">
    <w:name w:val="annotation text"/>
    <w:basedOn w:val="Normal"/>
    <w:semiHidden/>
    <w:rsid w:val="002C098D"/>
    <w:rPr>
      <w:sz w:val="20"/>
      <w:szCs w:val="20"/>
    </w:rPr>
  </w:style>
  <w:style w:type="paragraph" w:styleId="CommentSubject">
    <w:name w:val="annotation subject"/>
    <w:basedOn w:val="CommentText"/>
    <w:next w:val="CommentText"/>
    <w:semiHidden/>
    <w:rsid w:val="002C098D"/>
    <w:rPr>
      <w:b/>
      <w:bCs/>
    </w:rPr>
  </w:style>
  <w:style w:type="paragraph" w:styleId="BalloonText">
    <w:name w:val="Balloon Text"/>
    <w:basedOn w:val="Normal"/>
    <w:semiHidden/>
    <w:rsid w:val="002C098D"/>
    <w:rPr>
      <w:rFonts w:ascii="Tahoma" w:hAnsi="Tahoma" w:cs="Tahoma"/>
      <w:sz w:val="16"/>
      <w:szCs w:val="16"/>
    </w:rPr>
  </w:style>
  <w:style w:type="character" w:styleId="Strong">
    <w:name w:val="Strong"/>
    <w:uiPriority w:val="22"/>
    <w:qFormat/>
    <w:rsid w:val="007820E6"/>
    <w:rPr>
      <w:b/>
      <w:bCs/>
    </w:rPr>
  </w:style>
  <w:style w:type="paragraph" w:styleId="ListParagraph">
    <w:name w:val="List Paragraph"/>
    <w:basedOn w:val="Normal"/>
    <w:link w:val="ListParagraphChar"/>
    <w:uiPriority w:val="34"/>
    <w:qFormat/>
    <w:rsid w:val="001950A4"/>
    <w:pPr>
      <w:spacing w:after="200" w:line="276" w:lineRule="auto"/>
      <w:ind w:left="720"/>
    </w:pPr>
    <w:rPr>
      <w:rFonts w:ascii="Calibri" w:hAnsi="Calibri" w:cs="Calibri"/>
      <w:sz w:val="22"/>
      <w:szCs w:val="22"/>
      <w:lang w:eastAsia="en-US"/>
    </w:rPr>
  </w:style>
  <w:style w:type="character" w:customStyle="1" w:styleId="ListParagraphChar">
    <w:name w:val="List Paragraph Char"/>
    <w:link w:val="ListParagraph"/>
    <w:uiPriority w:val="34"/>
    <w:locked/>
    <w:rsid w:val="001950A4"/>
    <w:rPr>
      <w:rFonts w:ascii="Calibri" w:hAnsi="Calibri" w:cs="Calibri"/>
      <w:sz w:val="22"/>
      <w:szCs w:val="22"/>
      <w:lang w:val="en-US" w:eastAsia="en-US" w:bidi="ar-SA"/>
    </w:rPr>
  </w:style>
  <w:style w:type="character" w:customStyle="1" w:styleId="apple-style-span">
    <w:name w:val="apple-style-span"/>
    <w:basedOn w:val="DefaultParagraphFont"/>
    <w:rsid w:val="0045766A"/>
  </w:style>
  <w:style w:type="table" w:styleId="TableGrid">
    <w:name w:val="Table Grid"/>
    <w:basedOn w:val="TableNormal"/>
    <w:rsid w:val="00E70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0972A6"/>
    <w:pPr>
      <w:tabs>
        <w:tab w:val="left" w:pos="1008"/>
        <w:tab w:val="right" w:leader="dot" w:pos="9360"/>
      </w:tabs>
      <w:spacing w:after="240"/>
      <w:ind w:left="1008" w:right="1080" w:hanging="1008"/>
    </w:pPr>
    <w:rPr>
      <w:rFonts w:ascii="Lucida Sans" w:eastAsia="Times New Roman" w:hAnsi="Lucida Sans"/>
      <w:caps/>
      <w:sz w:val="22"/>
      <w:lang w:eastAsia="en-US"/>
    </w:rPr>
  </w:style>
  <w:style w:type="paragraph" w:styleId="Footer">
    <w:name w:val="footer"/>
    <w:basedOn w:val="Normal"/>
    <w:link w:val="FooterChar"/>
    <w:uiPriority w:val="99"/>
    <w:rsid w:val="000972A6"/>
    <w:pPr>
      <w:tabs>
        <w:tab w:val="left" w:pos="432"/>
        <w:tab w:val="center" w:pos="4320"/>
        <w:tab w:val="right" w:pos="8640"/>
      </w:tabs>
      <w:spacing w:before="360"/>
      <w:ind w:firstLine="432"/>
      <w:jc w:val="both"/>
    </w:pPr>
    <w:rPr>
      <w:rFonts w:ascii="Garamond" w:hAnsi="Garamond"/>
      <w:lang w:eastAsia="en-US"/>
    </w:rPr>
  </w:style>
  <w:style w:type="character" w:styleId="PageNumber">
    <w:name w:val="page number"/>
    <w:semiHidden/>
    <w:rsid w:val="000972A6"/>
    <w:rPr>
      <w:rFonts w:ascii="Garamond" w:hAnsi="Garamond" w:cs="Times New Roman"/>
      <w:sz w:val="24"/>
    </w:rPr>
  </w:style>
  <w:style w:type="paragraph" w:styleId="TOC2">
    <w:name w:val="toc 2"/>
    <w:basedOn w:val="Normal"/>
    <w:next w:val="Normal"/>
    <w:autoRedefine/>
    <w:semiHidden/>
    <w:rsid w:val="000972A6"/>
    <w:pPr>
      <w:tabs>
        <w:tab w:val="left" w:pos="1620"/>
        <w:tab w:val="right" w:leader="dot" w:pos="9360"/>
      </w:tabs>
      <w:spacing w:after="240"/>
      <w:ind w:left="1620" w:right="810" w:hanging="630"/>
    </w:pPr>
    <w:rPr>
      <w:rFonts w:ascii="Lucida Sans" w:eastAsia="Times New Roman" w:hAnsi="Lucida Sans"/>
      <w:sz w:val="22"/>
      <w:lang w:eastAsia="en-US"/>
    </w:rPr>
  </w:style>
  <w:style w:type="paragraph" w:styleId="TOC3">
    <w:name w:val="toc 3"/>
    <w:basedOn w:val="Normal"/>
    <w:next w:val="Normal"/>
    <w:autoRedefine/>
    <w:semiHidden/>
    <w:rsid w:val="003265E8"/>
    <w:rPr>
      <w:rFonts w:ascii="Lucida Sans" w:eastAsia="Times New Roman" w:hAnsi="Lucida Sans"/>
      <w:sz w:val="22"/>
      <w:lang w:eastAsia="en-US"/>
    </w:rPr>
  </w:style>
  <w:style w:type="paragraph" w:styleId="Header">
    <w:name w:val="header"/>
    <w:basedOn w:val="Normal"/>
    <w:link w:val="HeaderChar"/>
    <w:rsid w:val="000972A6"/>
    <w:pPr>
      <w:tabs>
        <w:tab w:val="center" w:pos="4680"/>
        <w:tab w:val="right" w:pos="9360"/>
      </w:tabs>
      <w:jc w:val="both"/>
    </w:pPr>
    <w:rPr>
      <w:rFonts w:ascii="Garamond" w:hAnsi="Garamond"/>
      <w:i/>
      <w:sz w:val="22"/>
      <w:lang w:eastAsia="en-US"/>
    </w:rPr>
  </w:style>
  <w:style w:type="character" w:customStyle="1" w:styleId="HeaderChar">
    <w:name w:val="Header Char"/>
    <w:link w:val="Header"/>
    <w:locked/>
    <w:rsid w:val="000972A6"/>
    <w:rPr>
      <w:rFonts w:ascii="Garamond" w:hAnsi="Garamond"/>
      <w:i/>
      <w:sz w:val="22"/>
      <w:szCs w:val="24"/>
      <w:lang w:val="en-US" w:eastAsia="en-US" w:bidi="ar-SA"/>
    </w:rPr>
  </w:style>
  <w:style w:type="character" w:customStyle="1" w:styleId="FooterChar">
    <w:name w:val="Footer Char"/>
    <w:link w:val="Footer"/>
    <w:uiPriority w:val="99"/>
    <w:locked/>
    <w:rsid w:val="000972A6"/>
    <w:rPr>
      <w:rFonts w:ascii="Garamond" w:hAnsi="Garamond"/>
      <w:sz w:val="24"/>
      <w:szCs w:val="24"/>
      <w:lang w:val="en-US" w:eastAsia="en-US" w:bidi="ar-SA"/>
    </w:rPr>
  </w:style>
  <w:style w:type="paragraph" w:styleId="NormalWeb">
    <w:name w:val="Normal (Web)"/>
    <w:basedOn w:val="Normal"/>
    <w:rsid w:val="000972A6"/>
    <w:pPr>
      <w:spacing w:before="100" w:beforeAutospacing="1" w:after="100" w:afterAutospacing="1"/>
    </w:pPr>
    <w:rPr>
      <w:rFonts w:eastAsia="Times New Roman"/>
      <w:lang w:eastAsia="en-US"/>
    </w:rPr>
  </w:style>
  <w:style w:type="character" w:styleId="Hyperlink">
    <w:name w:val="Hyperlink"/>
    <w:rsid w:val="00C4216D"/>
    <w:rPr>
      <w:color w:val="0000FF"/>
      <w:u w:val="single"/>
    </w:rPr>
  </w:style>
  <w:style w:type="character" w:customStyle="1" w:styleId="Heading2Char">
    <w:name w:val="Heading 2 Char"/>
    <w:link w:val="Heading2"/>
    <w:uiPriority w:val="99"/>
    <w:rsid w:val="00C4216D"/>
    <w:rPr>
      <w:rFonts w:eastAsia="Times New Roman"/>
      <w:b/>
    </w:rPr>
  </w:style>
  <w:style w:type="character" w:customStyle="1" w:styleId="skypepnhcontainer">
    <w:name w:val="skype_pnh_container"/>
    <w:basedOn w:val="DefaultParagraphFont"/>
    <w:rsid w:val="005043E5"/>
  </w:style>
  <w:style w:type="character" w:customStyle="1" w:styleId="skypepnhleftspan">
    <w:name w:val="skype_pnh_left_span"/>
    <w:basedOn w:val="DefaultParagraphFont"/>
    <w:rsid w:val="005043E5"/>
  </w:style>
  <w:style w:type="character" w:customStyle="1" w:styleId="skypepnhdropartspan">
    <w:name w:val="skype_pnh_dropart_span"/>
    <w:basedOn w:val="DefaultParagraphFont"/>
    <w:rsid w:val="005043E5"/>
  </w:style>
  <w:style w:type="character" w:customStyle="1" w:styleId="skypepnhdropartflagspan">
    <w:name w:val="skype_pnh_dropart_flag_span"/>
    <w:basedOn w:val="DefaultParagraphFont"/>
    <w:rsid w:val="005043E5"/>
  </w:style>
  <w:style w:type="character" w:customStyle="1" w:styleId="skypepnhtextspan">
    <w:name w:val="skype_pnh_text_span"/>
    <w:basedOn w:val="DefaultParagraphFont"/>
    <w:rsid w:val="005043E5"/>
  </w:style>
  <w:style w:type="character" w:customStyle="1" w:styleId="skypepnhrightspan">
    <w:name w:val="skype_pnh_right_span"/>
    <w:basedOn w:val="DefaultParagraphFont"/>
    <w:rsid w:val="005043E5"/>
  </w:style>
  <w:style w:type="character" w:customStyle="1" w:styleId="apple-converted-space">
    <w:name w:val="apple-converted-space"/>
    <w:basedOn w:val="DefaultParagraphFont"/>
    <w:rsid w:val="005043E5"/>
  </w:style>
  <w:style w:type="paragraph" w:styleId="PlainText">
    <w:name w:val="Plain Text"/>
    <w:basedOn w:val="Normal"/>
    <w:link w:val="PlainTextChar"/>
    <w:uiPriority w:val="99"/>
    <w:unhideWhenUsed/>
    <w:rsid w:val="00394621"/>
    <w:rPr>
      <w:rFonts w:ascii="Courier New" w:eastAsia="Calibri" w:hAnsi="Courier New"/>
      <w:sz w:val="20"/>
      <w:szCs w:val="20"/>
      <w:lang w:val="x-none" w:eastAsia="x-none"/>
    </w:rPr>
  </w:style>
  <w:style w:type="character" w:customStyle="1" w:styleId="PlainTextChar">
    <w:name w:val="Plain Text Char"/>
    <w:link w:val="PlainText"/>
    <w:uiPriority w:val="99"/>
    <w:rsid w:val="00394621"/>
    <w:rPr>
      <w:rFonts w:ascii="Courier New" w:eastAsia="Calibri" w:hAnsi="Courier New" w:cs="Courier New"/>
    </w:rPr>
  </w:style>
  <w:style w:type="character" w:styleId="FootnoteReference">
    <w:name w:val="footnote reference"/>
    <w:rsid w:val="00D90C6E"/>
    <w:rPr>
      <w:rFonts w:cs="Times New Roman"/>
      <w:vertAlign w:val="superscript"/>
    </w:rPr>
  </w:style>
  <w:style w:type="paragraph" w:styleId="BodyText">
    <w:name w:val="Body Text"/>
    <w:basedOn w:val="Normal"/>
    <w:link w:val="BodyTextChar"/>
    <w:qFormat/>
    <w:rsid w:val="00D12B46"/>
    <w:pPr>
      <w:spacing w:before="120" w:after="120"/>
    </w:pPr>
    <w:rPr>
      <w:lang w:val="x-none"/>
    </w:rPr>
  </w:style>
  <w:style w:type="character" w:customStyle="1" w:styleId="BodyTextChar">
    <w:name w:val="Body Text Char"/>
    <w:link w:val="BodyText"/>
    <w:rsid w:val="00D12B46"/>
    <w:rPr>
      <w:sz w:val="24"/>
      <w:szCs w:val="24"/>
      <w:lang w:eastAsia="ja-JP"/>
    </w:rPr>
  </w:style>
  <w:style w:type="character" w:customStyle="1" w:styleId="tabletitle">
    <w:name w:val="tabletitle"/>
    <w:basedOn w:val="DefaultParagraphFont"/>
    <w:rsid w:val="0069003E"/>
  </w:style>
  <w:style w:type="character" w:customStyle="1" w:styleId="cit-last-page">
    <w:name w:val="cit-last-page"/>
    <w:rsid w:val="00C106B0"/>
    <w:rPr>
      <w:rFonts w:ascii="Times New Roman" w:hAnsi="Times New Roman" w:cs="Times New Roman" w:hint="default"/>
    </w:rPr>
  </w:style>
  <w:style w:type="character" w:styleId="HTMLCite">
    <w:name w:val="HTML Cite"/>
    <w:unhideWhenUsed/>
    <w:rsid w:val="00C106B0"/>
    <w:rPr>
      <w:rFonts w:ascii="Times New Roman" w:hAnsi="Times New Roman" w:cs="Times New Roman" w:hint="default"/>
      <w:i/>
      <w:iCs/>
    </w:rPr>
  </w:style>
  <w:style w:type="character" w:customStyle="1" w:styleId="cit-title">
    <w:name w:val="cit-title"/>
    <w:rsid w:val="00C106B0"/>
    <w:rPr>
      <w:rFonts w:ascii="Times New Roman" w:hAnsi="Times New Roman" w:cs="Times New Roman" w:hint="default"/>
    </w:rPr>
  </w:style>
  <w:style w:type="character" w:customStyle="1" w:styleId="cit-vol">
    <w:name w:val="cit-vol"/>
    <w:rsid w:val="00C106B0"/>
    <w:rPr>
      <w:rFonts w:ascii="Times New Roman" w:hAnsi="Times New Roman" w:cs="Times New Roman" w:hint="default"/>
    </w:rPr>
  </w:style>
  <w:style w:type="character" w:customStyle="1" w:styleId="cit-sep">
    <w:name w:val="cit-sep"/>
    <w:rsid w:val="00C106B0"/>
    <w:rPr>
      <w:rFonts w:ascii="Times New Roman" w:hAnsi="Times New Roman" w:cs="Times New Roman" w:hint="default"/>
    </w:rPr>
  </w:style>
  <w:style w:type="character" w:customStyle="1" w:styleId="cit-first-page">
    <w:name w:val="cit-first-page"/>
    <w:rsid w:val="00C106B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56">
      <w:bodyDiv w:val="1"/>
      <w:marLeft w:val="0"/>
      <w:marRight w:val="0"/>
      <w:marTop w:val="0"/>
      <w:marBottom w:val="0"/>
      <w:divBdr>
        <w:top w:val="none" w:sz="0" w:space="0" w:color="auto"/>
        <w:left w:val="none" w:sz="0" w:space="0" w:color="auto"/>
        <w:bottom w:val="none" w:sz="0" w:space="0" w:color="auto"/>
        <w:right w:val="none" w:sz="0" w:space="0" w:color="auto"/>
      </w:divBdr>
    </w:div>
    <w:div w:id="1318805443">
      <w:bodyDiv w:val="1"/>
      <w:marLeft w:val="0"/>
      <w:marRight w:val="0"/>
      <w:marTop w:val="0"/>
      <w:marBottom w:val="0"/>
      <w:divBdr>
        <w:top w:val="none" w:sz="0" w:space="0" w:color="auto"/>
        <w:left w:val="none" w:sz="0" w:space="0" w:color="auto"/>
        <w:bottom w:val="none" w:sz="0" w:space="0" w:color="auto"/>
        <w:right w:val="none" w:sz="0" w:space="0" w:color="auto"/>
      </w:divBdr>
    </w:div>
    <w:div w:id="1656952397">
      <w:bodyDiv w:val="1"/>
      <w:marLeft w:val="0"/>
      <w:marRight w:val="0"/>
      <w:marTop w:val="0"/>
      <w:marBottom w:val="0"/>
      <w:divBdr>
        <w:top w:val="none" w:sz="0" w:space="0" w:color="auto"/>
        <w:left w:val="none" w:sz="0" w:space="0" w:color="auto"/>
        <w:bottom w:val="none" w:sz="0" w:space="0" w:color="auto"/>
        <w:right w:val="none" w:sz="0" w:space="0" w:color="auto"/>
      </w:divBdr>
    </w:div>
    <w:div w:id="18121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enne.burroughs@ni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4306</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NCI</Company>
  <LinksUpToDate>false</LinksUpToDate>
  <CharactersWithSpaces>28794</CharactersWithSpaces>
  <SharedDoc>false</SharedDoc>
  <HLinks>
    <vt:vector size="6" baseType="variant">
      <vt:variant>
        <vt:i4>2490438</vt:i4>
      </vt:variant>
      <vt:variant>
        <vt:i4>0</vt:i4>
      </vt:variant>
      <vt:variant>
        <vt:i4>0</vt:i4>
      </vt:variant>
      <vt:variant>
        <vt:i4>5</vt:i4>
      </vt:variant>
      <vt:variant>
        <vt:lpwstr>mailto:adrienne.burroughs@nih.gov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Deborah Maiese</dc:creator>
  <cp:lastModifiedBy>AG</cp:lastModifiedBy>
  <cp:revision>4</cp:revision>
  <cp:lastPrinted>2013-08-12T13:28:00Z</cp:lastPrinted>
  <dcterms:created xsi:type="dcterms:W3CDTF">2013-08-22T18:56:00Z</dcterms:created>
  <dcterms:modified xsi:type="dcterms:W3CDTF">2013-08-22T19:12:00Z</dcterms:modified>
</cp:coreProperties>
</file>