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9.xml" ContentType="application/vnd.openxmlformats-officedocument.wordprocessingml.footer+xml"/>
  <Override PartName="/word/header45.xml" ContentType="application/vnd.openxmlformats-officedocument.wordprocessingml.header+xml"/>
  <Override PartName="/word/header54.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stylesWithEffects.xml" ContentType="application/vnd.ms-word.stylesWithEffects+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footer8.xml" ContentType="application/vnd.openxmlformats-officedocument.wordprocessingml.foot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Default Extension="jpeg" ContentType="image/jpeg"/>
  <Override PartName="/word/header24.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16E" w:rsidRPr="006E757D" w:rsidRDefault="00D1716E" w:rsidP="006E757D">
      <w:pPr>
        <w:pStyle w:val="Breakpage"/>
      </w:pPr>
    </w:p>
    <w:p w:rsidR="00D1716E" w:rsidRPr="006E757D" w:rsidRDefault="00D1716E" w:rsidP="006E757D">
      <w:pPr>
        <w:pStyle w:val="Breakpage"/>
      </w:pPr>
    </w:p>
    <w:p w:rsidR="00D1716E" w:rsidRPr="006E757D" w:rsidRDefault="00D1716E" w:rsidP="006E757D">
      <w:pPr>
        <w:pStyle w:val="Breakpage"/>
      </w:pPr>
    </w:p>
    <w:p w:rsidR="00522625" w:rsidRPr="006E757D" w:rsidRDefault="00522625" w:rsidP="006E757D">
      <w:pPr>
        <w:pStyle w:val="Breakpage"/>
      </w:pPr>
    </w:p>
    <w:p w:rsidR="00D1716E" w:rsidRPr="006E757D" w:rsidRDefault="00D1716E" w:rsidP="006E757D">
      <w:pPr>
        <w:pStyle w:val="Breakpage"/>
      </w:pPr>
    </w:p>
    <w:p w:rsidR="00D1716E" w:rsidRPr="006E757D" w:rsidRDefault="00D1716E" w:rsidP="006E757D">
      <w:pPr>
        <w:pStyle w:val="Breakpage"/>
      </w:pPr>
      <w:r w:rsidRPr="006E757D">
        <w:t>Audit Process:</w:t>
      </w:r>
    </w:p>
    <w:p w:rsidR="00D1716E" w:rsidRPr="006E757D" w:rsidRDefault="00D1716E" w:rsidP="006E757D">
      <w:pPr>
        <w:pStyle w:val="Breakpage"/>
      </w:pPr>
      <w:r w:rsidRPr="006E757D">
        <w:t>Offsite Methods</w:t>
      </w:r>
    </w:p>
    <w:p w:rsidR="00D1716E" w:rsidRPr="006E757D" w:rsidRDefault="00D1716E"/>
    <w:p w:rsidR="00D1716E" w:rsidRPr="006E757D" w:rsidRDefault="00D1716E">
      <w:pPr>
        <w:sectPr w:rsidR="00D1716E" w:rsidRPr="006E757D" w:rsidSect="00946196">
          <w:headerReference w:type="default" r:id="rId11"/>
          <w:footerReference w:type="even" r:id="rId12"/>
          <w:footerReference w:type="default" r:id="rId13"/>
          <w:pgSz w:w="12240" w:h="15840" w:code="1"/>
          <w:pgMar w:top="1080" w:right="1080" w:bottom="1080" w:left="1440" w:header="720" w:footer="720" w:gutter="0"/>
          <w:paperSrc w:first="7" w:other="7"/>
          <w:pgNumType w:start="51"/>
          <w:cols w:space="720"/>
          <w:noEndnote/>
        </w:sectPr>
      </w:pPr>
    </w:p>
    <w:p w:rsidR="00D1716E" w:rsidRPr="006E757D" w:rsidRDefault="00D1716E"/>
    <w:p w:rsidR="00D1716E" w:rsidRPr="006E757D" w:rsidRDefault="00D1716E">
      <w:pPr>
        <w:pStyle w:val="Date"/>
        <w:sectPr w:rsidR="00D1716E" w:rsidRPr="006E757D" w:rsidSect="0079769B">
          <w:headerReference w:type="even" r:id="rId14"/>
          <w:headerReference w:type="default" r:id="rId15"/>
          <w:footerReference w:type="even" r:id="rId16"/>
          <w:pgSz w:w="12240" w:h="15840" w:code="1"/>
          <w:pgMar w:top="1080" w:right="1080" w:bottom="1080" w:left="1440" w:header="720" w:footer="720" w:gutter="0"/>
          <w:paperSrc w:first="7" w:other="7"/>
          <w:pgNumType w:start="50"/>
          <w:cols w:space="720"/>
          <w:noEndnote/>
        </w:sectPr>
      </w:pPr>
    </w:p>
    <w:p w:rsidR="00D1716E" w:rsidRPr="006E757D" w:rsidRDefault="00D1716E">
      <w:pPr>
        <w:pStyle w:val="StandardTitle"/>
        <w:spacing w:after="240"/>
        <w:jc w:val="center"/>
        <w:rPr>
          <w:sz w:val="32"/>
        </w:rPr>
      </w:pPr>
      <w:r w:rsidRPr="006E757D">
        <w:rPr>
          <w:sz w:val="32"/>
        </w:rPr>
        <w:lastRenderedPageBreak/>
        <w:t>The Offsite Audit Process</w:t>
      </w:r>
    </w:p>
    <w:p w:rsidR="00D1716E" w:rsidRPr="006E757D" w:rsidRDefault="00D1716E">
      <w:pPr>
        <w:pStyle w:val="Body"/>
        <w:spacing w:before="0"/>
      </w:pPr>
      <w:r w:rsidRPr="006E757D">
        <w:t xml:space="preserve">During an NCQA HEDIS Compliance Audit, many </w:t>
      </w:r>
      <w:r w:rsidR="00800354" w:rsidRPr="006E757D">
        <w:t>tasks are completed</w:t>
      </w:r>
      <w:r w:rsidRPr="006E757D">
        <w:t xml:space="preserve"> away from the </w:t>
      </w:r>
      <w:r w:rsidR="00202822" w:rsidRPr="006E757D">
        <w:t>organization</w:t>
      </w:r>
      <w:r w:rsidR="00660316">
        <w:t>’</w:t>
      </w:r>
      <w:r w:rsidRPr="006E757D">
        <w:t>s location. The audit preparation phase includes all activities that occur before the</w:t>
      </w:r>
      <w:r w:rsidR="00514C24" w:rsidRPr="006E757D">
        <w:t xml:space="preserve"> onsite</w:t>
      </w:r>
      <w:r w:rsidRPr="006E757D">
        <w:t xml:space="preserve"> visit, such as contracting with </w:t>
      </w:r>
      <w:r w:rsidR="00084FDC" w:rsidRPr="006E757D">
        <w:t xml:space="preserve">the </w:t>
      </w:r>
      <w:r w:rsidR="00202822" w:rsidRPr="006E757D">
        <w:t>organization</w:t>
      </w:r>
      <w:r w:rsidR="00C56027" w:rsidRPr="006E757D">
        <w:t xml:space="preserve">; </w:t>
      </w:r>
      <w:r w:rsidRPr="006E757D">
        <w:t>negotiating a timeline</w:t>
      </w:r>
      <w:r w:rsidR="00C56027" w:rsidRPr="006E757D">
        <w:t xml:space="preserve">; </w:t>
      </w:r>
      <w:r w:rsidR="00084FDC" w:rsidRPr="006E757D">
        <w:t xml:space="preserve">reviewing </w:t>
      </w:r>
      <w:r w:rsidRPr="006E757D">
        <w:t xml:space="preserve">the </w:t>
      </w:r>
      <w:r w:rsidR="007A1EB2" w:rsidRPr="006E757D">
        <w:t xml:space="preserve">Roadmap </w:t>
      </w:r>
      <w:r w:rsidR="00084FDC" w:rsidRPr="006E757D">
        <w:t xml:space="preserve">and the </w:t>
      </w:r>
      <w:r w:rsidR="00E95B6F" w:rsidRPr="006E757D">
        <w:t>list of</w:t>
      </w:r>
      <w:r w:rsidR="00084FDC" w:rsidRPr="006E757D">
        <w:t xml:space="preserve"> measures selected for reporting</w:t>
      </w:r>
      <w:r w:rsidR="00C56027" w:rsidRPr="006E757D">
        <w:t xml:space="preserve">; </w:t>
      </w:r>
      <w:r w:rsidRPr="006E757D">
        <w:t>and planning the</w:t>
      </w:r>
      <w:r w:rsidR="00514C24" w:rsidRPr="006E757D">
        <w:t xml:space="preserve"> onsite</w:t>
      </w:r>
      <w:r w:rsidRPr="006E757D">
        <w:t xml:space="preserve"> visit. Other offsite </w:t>
      </w:r>
      <w:r w:rsidR="00800354" w:rsidRPr="006E757D">
        <w:t>tasks ar</w:t>
      </w:r>
      <w:r w:rsidRPr="006E757D">
        <w:t xml:space="preserve">e </w:t>
      </w:r>
      <w:r w:rsidR="00A60DD0" w:rsidRPr="006E757D">
        <w:t>survey sample frame</w:t>
      </w:r>
      <w:r w:rsidR="00800354" w:rsidRPr="006E757D">
        <w:t xml:space="preserve"> validation</w:t>
      </w:r>
      <w:r w:rsidR="00A60DD0" w:rsidRPr="006E757D">
        <w:t xml:space="preserve">, </w:t>
      </w:r>
      <w:r w:rsidRPr="006E757D">
        <w:t xml:space="preserve">source code review and </w:t>
      </w:r>
      <w:r w:rsidR="00C56027" w:rsidRPr="006E757D">
        <w:t>MRR</w:t>
      </w:r>
      <w:r w:rsidRPr="006E757D">
        <w:t xml:space="preserve"> validation. The sections in this chapter follow the same order as a typical audit</w:t>
      </w:r>
      <w:r w:rsidR="00660316">
        <w:t>’</w:t>
      </w:r>
      <w:r w:rsidRPr="006E757D">
        <w:t>s offsite activities</w:t>
      </w:r>
      <w:r w:rsidR="006E4CF6">
        <w:t>:</w:t>
      </w:r>
    </w:p>
    <w:p w:rsidR="00D1716E" w:rsidRPr="006E757D" w:rsidRDefault="00D1716E" w:rsidP="00522625">
      <w:pPr>
        <w:pStyle w:val="Bullet"/>
      </w:pPr>
      <w:r w:rsidRPr="006E757D">
        <w:t>Contract Execution</w:t>
      </w:r>
      <w:r w:rsidR="006E4CF6">
        <w:t>.</w:t>
      </w:r>
    </w:p>
    <w:p w:rsidR="00D1716E" w:rsidRPr="006E757D" w:rsidRDefault="007A1EB2" w:rsidP="00522625">
      <w:pPr>
        <w:pStyle w:val="Bullet"/>
      </w:pPr>
      <w:r w:rsidRPr="006E757D">
        <w:t xml:space="preserve">Roadmap </w:t>
      </w:r>
      <w:r w:rsidR="00D1716E" w:rsidRPr="006E757D">
        <w:t>Assessment</w:t>
      </w:r>
      <w:r w:rsidR="006E4CF6">
        <w:t>.</w:t>
      </w:r>
    </w:p>
    <w:p w:rsidR="00412112" w:rsidRPr="006E757D" w:rsidRDefault="00681D48" w:rsidP="00522625">
      <w:pPr>
        <w:pStyle w:val="Bullet"/>
      </w:pPr>
      <w:r w:rsidRPr="006E757D">
        <w:t>Validation of Sample Frames for Survey Measures</w:t>
      </w:r>
      <w:r w:rsidR="006E4CF6">
        <w:t>.</w:t>
      </w:r>
    </w:p>
    <w:p w:rsidR="00D1716E" w:rsidRPr="006E757D" w:rsidRDefault="00D1716E" w:rsidP="00522625">
      <w:pPr>
        <w:pStyle w:val="Bullet"/>
      </w:pPr>
      <w:r w:rsidRPr="006E757D">
        <w:t>Core Set Measure Selection</w:t>
      </w:r>
      <w:r w:rsidR="00681D48" w:rsidRPr="006E757D">
        <w:t xml:space="preserve"> for Source Code Review</w:t>
      </w:r>
      <w:r w:rsidR="006E4CF6">
        <w:t>.</w:t>
      </w:r>
    </w:p>
    <w:p w:rsidR="00412112" w:rsidRPr="006E757D" w:rsidRDefault="00412112" w:rsidP="00522625">
      <w:pPr>
        <w:pStyle w:val="Bullet"/>
      </w:pPr>
      <w:r w:rsidRPr="006E757D">
        <w:t>Manual Source Code Review</w:t>
      </w:r>
      <w:r w:rsidR="006E4CF6">
        <w:t>.</w:t>
      </w:r>
    </w:p>
    <w:p w:rsidR="00D33A6E" w:rsidRPr="006E757D" w:rsidRDefault="00D33A6E" w:rsidP="00522625">
      <w:pPr>
        <w:pStyle w:val="Bullet"/>
      </w:pPr>
      <w:r w:rsidRPr="006E757D">
        <w:t>Preliminary Rate Review</w:t>
      </w:r>
      <w:r w:rsidR="006E4CF6">
        <w:t>.</w:t>
      </w:r>
    </w:p>
    <w:p w:rsidR="00412112" w:rsidRPr="006E757D" w:rsidRDefault="00412112" w:rsidP="00522625">
      <w:pPr>
        <w:pStyle w:val="Bullet"/>
      </w:pPr>
      <w:r w:rsidRPr="006E757D">
        <w:t>M</w:t>
      </w:r>
      <w:r w:rsidR="006E4CF6">
        <w:t>edical Record Review Validation.</w:t>
      </w:r>
    </w:p>
    <w:p w:rsidR="00D1716E" w:rsidRPr="006E757D" w:rsidRDefault="00A60DD0" w:rsidP="00522625">
      <w:pPr>
        <w:pStyle w:val="Bullet"/>
      </w:pPr>
      <w:r w:rsidRPr="006E757D">
        <w:t>Site Visit Planning</w:t>
      </w:r>
      <w:r w:rsidR="00412112" w:rsidRPr="006E757D">
        <w:t xml:space="preserve"> and Conference Calls</w:t>
      </w:r>
      <w:r w:rsidR="006E4CF6">
        <w:t>.</w:t>
      </w:r>
    </w:p>
    <w:p w:rsidR="00D1716E" w:rsidRPr="006E757D" w:rsidRDefault="00D1716E">
      <w:pPr>
        <w:pStyle w:val="StdHead"/>
        <w:rPr>
          <w:color w:val="auto"/>
        </w:rPr>
      </w:pPr>
      <w:r w:rsidRPr="006E757D">
        <w:rPr>
          <w:color w:val="auto"/>
        </w:rPr>
        <w:t>Contract</w:t>
      </w:r>
      <w:r w:rsidR="00800354" w:rsidRPr="006E757D">
        <w:rPr>
          <w:color w:val="auto"/>
        </w:rPr>
        <w:t xml:space="preserve"> Execution</w:t>
      </w:r>
    </w:p>
    <w:p w:rsidR="00F10678" w:rsidRPr="006E757D" w:rsidRDefault="00800354" w:rsidP="00800354">
      <w:pPr>
        <w:pStyle w:val="Body"/>
      </w:pPr>
      <w:r w:rsidRPr="006E757D">
        <w:t>The first activity in audit preparation is contract execution. This phase includes executing the contract with all the necessary ancillary agreements (e.g., HIPAA business associate agreements, confidentiality and conflict of interest</w:t>
      </w:r>
      <w:r w:rsidR="00F10678" w:rsidRPr="006E757D">
        <w:t xml:space="preserve"> documents</w:t>
      </w:r>
      <w:r w:rsidRPr="006E757D">
        <w:t xml:space="preserve">) and negotiating a timeline. </w:t>
      </w:r>
      <w:r w:rsidR="00C56027" w:rsidRPr="006E757D">
        <w:t xml:space="preserve">The </w:t>
      </w:r>
      <w:r w:rsidR="00202822" w:rsidRPr="006E757D">
        <w:t>organization</w:t>
      </w:r>
      <w:r w:rsidR="00C56027" w:rsidRPr="006E757D">
        <w:t xml:space="preserve"> selects and contracts with an NCQA Licensed Organization to conduct the </w:t>
      </w:r>
      <w:r w:rsidR="00C94237" w:rsidRPr="006E757D">
        <w:t>a</w:t>
      </w:r>
      <w:r w:rsidR="00C56027" w:rsidRPr="006E757D">
        <w:t xml:space="preserve">udit. All Licensed Organizations employ or contract with Certified Auditors and select an audit team for the </w:t>
      </w:r>
      <w:r w:rsidR="00202822" w:rsidRPr="006E757D">
        <w:t>organization</w:t>
      </w:r>
      <w:r w:rsidR="00C56027" w:rsidRPr="006E757D">
        <w:t xml:space="preserve">. </w:t>
      </w:r>
    </w:p>
    <w:p w:rsidR="001C2ADD" w:rsidRPr="006E757D" w:rsidRDefault="00F10678" w:rsidP="001C2ADD">
      <w:pPr>
        <w:pStyle w:val="Note"/>
      </w:pPr>
      <w:r w:rsidRPr="006E757D">
        <w:rPr>
          <w:b/>
        </w:rPr>
        <w:t xml:space="preserve">Note: </w:t>
      </w:r>
      <w:r w:rsidR="00800354" w:rsidRPr="006E757D">
        <w:t>NCQA recommends that the contract and all ancillary agreements be executed by December of the measurement year.</w:t>
      </w:r>
    </w:p>
    <w:p w:rsidR="00800354" w:rsidRPr="006E757D" w:rsidRDefault="00800354">
      <w:pPr>
        <w:pStyle w:val="Body"/>
      </w:pPr>
      <w:r w:rsidRPr="006E757D">
        <w:t>NCQA lists Licensed Organizations on its Web site (</w:t>
      </w:r>
      <w:hyperlink r:id="rId17" w:history="1">
        <w:r w:rsidRPr="006E757D">
          <w:rPr>
            <w:rStyle w:val="Hyperlink"/>
            <w:color w:val="auto"/>
          </w:rPr>
          <w:t>www.ncqa.org</w:t>
        </w:r>
      </w:hyperlink>
      <w:r w:rsidRPr="006E757D">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D1716E" w:rsidRPr="006E757D" w:rsidTr="00C548B7">
        <w:tc>
          <w:tcPr>
            <w:tcW w:w="2095" w:type="dxa"/>
            <w:tcBorders>
              <w:top w:val="nil"/>
              <w:left w:val="nil"/>
              <w:bottom w:val="nil"/>
              <w:right w:val="nil"/>
            </w:tcBorders>
            <w:tcMar>
              <w:left w:w="115" w:type="dxa"/>
              <w:right w:w="115" w:type="dxa"/>
            </w:tcMar>
          </w:tcPr>
          <w:p w:rsidR="00D1716E" w:rsidRPr="006E757D" w:rsidRDefault="00860AD3" w:rsidP="00C56027">
            <w:pPr>
              <w:pStyle w:val="MarginSubhead"/>
              <w:rPr>
                <w:highlight w:val="yellow"/>
              </w:rPr>
            </w:pPr>
            <w:r w:rsidRPr="006E757D">
              <w:t>Selecting m</w:t>
            </w:r>
            <w:r w:rsidR="00084FDC" w:rsidRPr="006E757D">
              <w:t>easures to report</w:t>
            </w:r>
          </w:p>
        </w:tc>
        <w:tc>
          <w:tcPr>
            <w:tcW w:w="7805" w:type="dxa"/>
            <w:tcBorders>
              <w:top w:val="nil"/>
              <w:left w:val="nil"/>
              <w:bottom w:val="nil"/>
              <w:right w:val="nil"/>
            </w:tcBorders>
            <w:tcMar>
              <w:left w:w="115" w:type="dxa"/>
              <w:right w:w="115" w:type="dxa"/>
            </w:tcMar>
          </w:tcPr>
          <w:p w:rsidR="00D1716E" w:rsidRPr="006E757D" w:rsidRDefault="00D1716E">
            <w:pPr>
              <w:pStyle w:val="Body"/>
            </w:pPr>
            <w:r w:rsidRPr="006E757D">
              <w:t xml:space="preserve">The HEDIS Audit method incorporates </w:t>
            </w:r>
            <w:r w:rsidR="00A60DD0" w:rsidRPr="006E757D">
              <w:t>all measures that can be reported to specific agencies or groups, such as CMS, state Medicaid programs or employer groups.</w:t>
            </w:r>
            <w:r w:rsidRPr="006E757D">
              <w:t xml:space="preserve"> </w:t>
            </w:r>
            <w:r w:rsidR="00B67F61" w:rsidRPr="006E757D">
              <w:t xml:space="preserve">As a part of executing a contract for a HEDIS Audit, the </w:t>
            </w:r>
            <w:r w:rsidR="00202822" w:rsidRPr="006E757D">
              <w:t>organization</w:t>
            </w:r>
            <w:r w:rsidR="00B67F61" w:rsidRPr="006E757D">
              <w:t xml:space="preserve"> selects the measures to be reported. </w:t>
            </w:r>
            <w:r w:rsidRPr="006E757D">
              <w:t xml:space="preserve">Because information systems are a foundation of </w:t>
            </w:r>
            <w:r w:rsidR="00D25812" w:rsidRPr="006E757D">
              <w:t xml:space="preserve">measure </w:t>
            </w:r>
            <w:r w:rsidRPr="006E757D">
              <w:t xml:space="preserve">reporting, </w:t>
            </w:r>
            <w:r w:rsidR="00C56027" w:rsidRPr="006E757D">
              <w:t>a</w:t>
            </w:r>
            <w:r w:rsidR="00A60DD0" w:rsidRPr="006E757D">
              <w:t xml:space="preserve"> set of reported measures </w:t>
            </w:r>
            <w:r w:rsidRPr="006E757D">
              <w:t>require</w:t>
            </w:r>
            <w:r w:rsidR="00A60DD0" w:rsidRPr="006E757D">
              <w:t>s</w:t>
            </w:r>
            <w:r w:rsidRPr="006E757D">
              <w:t xml:space="preserve"> a comprehensive assessment of information system capabilities.</w:t>
            </w:r>
          </w:p>
          <w:p w:rsidR="00B67F61" w:rsidRPr="006E757D" w:rsidRDefault="00B67F61" w:rsidP="00C56027">
            <w:pPr>
              <w:pStyle w:val="Note"/>
            </w:pPr>
            <w:r w:rsidRPr="006E757D">
              <w:rPr>
                <w:b/>
              </w:rPr>
              <w:t>Note:</w:t>
            </w:r>
            <w:r w:rsidRPr="006E757D">
              <w:t xml:space="preserve"> The NCQA </w:t>
            </w:r>
            <w:r w:rsidR="000A4DA9" w:rsidRPr="006E757D">
              <w:t>Health Plan</w:t>
            </w:r>
            <w:r w:rsidRPr="006E757D">
              <w:t xml:space="preserve"> Accreditation </w:t>
            </w:r>
            <w:r w:rsidR="00A45D1E" w:rsidRPr="006E757D">
              <w:t>P</w:t>
            </w:r>
            <w:r w:rsidRPr="006E757D">
              <w:t>rogram requires audited rates for all accreditation measures</w:t>
            </w:r>
            <w:r w:rsidR="000A4DA9" w:rsidRPr="006E757D">
              <w:t>,</w:t>
            </w:r>
            <w:r w:rsidRPr="006E757D">
              <w:t xml:space="preserve"> </w:t>
            </w:r>
            <w:r w:rsidR="001E3FE8" w:rsidRPr="006E757D">
              <w:t xml:space="preserve">including </w:t>
            </w:r>
            <w:r w:rsidRPr="006E757D">
              <w:t>CAHPS</w:t>
            </w:r>
            <w:r w:rsidR="001E3FE8" w:rsidRPr="006E757D">
              <w:t xml:space="preserve"> Health Plan Survey </w:t>
            </w:r>
            <w:r w:rsidR="00234A05">
              <w:t>5</w:t>
            </w:r>
            <w:r w:rsidRPr="006E757D">
              <w:t xml:space="preserve">.0H Adult </w:t>
            </w:r>
            <w:r w:rsidR="001E3FE8" w:rsidRPr="006E757D">
              <w:t xml:space="preserve">Version </w:t>
            </w:r>
            <w:r w:rsidRPr="006E757D">
              <w:t xml:space="preserve">results for the applicable product lines. </w:t>
            </w:r>
          </w:p>
        </w:tc>
      </w:tr>
      <w:tr w:rsidR="00D1716E" w:rsidRPr="006E757D" w:rsidTr="00C548B7">
        <w:tc>
          <w:tcPr>
            <w:tcW w:w="2095" w:type="dxa"/>
            <w:tcBorders>
              <w:top w:val="nil"/>
              <w:left w:val="nil"/>
              <w:bottom w:val="nil"/>
              <w:right w:val="nil"/>
            </w:tcBorders>
            <w:tcMar>
              <w:left w:w="115" w:type="dxa"/>
              <w:right w:w="115" w:type="dxa"/>
            </w:tcMar>
          </w:tcPr>
          <w:p w:rsidR="00D1716E" w:rsidRPr="006E757D" w:rsidRDefault="00D1716E">
            <w:pPr>
              <w:pStyle w:val="MarginSubhead"/>
            </w:pPr>
            <w:r w:rsidRPr="006E757D">
              <w:t>Negotiat</w:t>
            </w:r>
            <w:r w:rsidR="00CC39E1" w:rsidRPr="006E757D">
              <w:t>ing</w:t>
            </w:r>
            <w:r w:rsidRPr="006E757D">
              <w:t xml:space="preserve"> a timeline</w:t>
            </w:r>
            <w:r w:rsidR="00860AD3" w:rsidRPr="006E757D">
              <w:t xml:space="preserve"> and selecting systems</w:t>
            </w:r>
          </w:p>
        </w:tc>
        <w:tc>
          <w:tcPr>
            <w:tcW w:w="7805" w:type="dxa"/>
            <w:tcBorders>
              <w:top w:val="nil"/>
              <w:left w:val="nil"/>
              <w:bottom w:val="nil"/>
              <w:right w:val="nil"/>
            </w:tcBorders>
            <w:tcMar>
              <w:left w:w="115" w:type="dxa"/>
              <w:right w:w="115" w:type="dxa"/>
            </w:tcMar>
          </w:tcPr>
          <w:p w:rsidR="00767047" w:rsidRDefault="00D1716E">
            <w:pPr>
              <w:pStyle w:val="Body"/>
            </w:pPr>
            <w:r w:rsidRPr="006E757D">
              <w:t xml:space="preserve">During the contracting phase, the </w:t>
            </w:r>
            <w:r w:rsidR="00202822" w:rsidRPr="006E757D">
              <w:t>organization</w:t>
            </w:r>
            <w:r w:rsidRPr="006E757D">
              <w:t xml:space="preserve"> and the Licensed Organization negotiate an audit </w:t>
            </w:r>
            <w:r w:rsidR="00D37BB8" w:rsidRPr="006E757D">
              <w:t>timeline. To</w:t>
            </w:r>
            <w:r w:rsidRPr="006E757D">
              <w:t xml:space="preserve"> guide this negotiation, NCQA </w:t>
            </w:r>
            <w:r w:rsidR="007950FA">
              <w:t>has set</w:t>
            </w:r>
            <w:r w:rsidRPr="006E757D">
              <w:t xml:space="preserve"> completion dates for several audit milestones. </w:t>
            </w:r>
          </w:p>
          <w:p w:rsidR="00B67F61" w:rsidRPr="006E757D" w:rsidRDefault="00767047" w:rsidP="008F4B14">
            <w:pPr>
              <w:pStyle w:val="Note"/>
            </w:pPr>
            <w:r>
              <w:rPr>
                <w:b/>
              </w:rPr>
              <w:t xml:space="preserve">Note: </w:t>
            </w:r>
            <w:r>
              <w:t>I</w:t>
            </w:r>
            <w:r w:rsidR="00D1716E" w:rsidRPr="006E757D">
              <w:t>f milestones</w:t>
            </w:r>
            <w:r w:rsidR="009546CF" w:rsidRPr="006E757D">
              <w:t xml:space="preserve"> </w:t>
            </w:r>
            <w:r w:rsidR="00D1716E" w:rsidRPr="006E757D">
              <w:t xml:space="preserve">such as the </w:t>
            </w:r>
            <w:r w:rsidR="0093561D">
              <w:t xml:space="preserve">Roadmap receipt date, the </w:t>
            </w:r>
            <w:r w:rsidR="00C56027" w:rsidRPr="006E757D">
              <w:t>MRR</w:t>
            </w:r>
            <w:r w:rsidR="00D1716E" w:rsidRPr="006E757D">
              <w:t xml:space="preserve"> stop dat</w:t>
            </w:r>
            <w:r w:rsidR="0093561D">
              <w:t>e,</w:t>
            </w:r>
            <w:r w:rsidR="00D1716E" w:rsidRPr="006E757D">
              <w:t xml:space="preserve"> </w:t>
            </w:r>
            <w:r w:rsidR="0093561D">
              <w:t xml:space="preserve">or </w:t>
            </w:r>
            <w:r w:rsidR="00D1716E" w:rsidRPr="006E757D">
              <w:t>the submission tool submission deadline</w:t>
            </w:r>
            <w:r w:rsidR="009546CF" w:rsidRPr="006E757D">
              <w:t xml:space="preserve"> </w:t>
            </w:r>
            <w:r>
              <w:t xml:space="preserve">are missed, </w:t>
            </w:r>
            <w:r w:rsidR="00D1716E" w:rsidRPr="006E757D">
              <w:t xml:space="preserve">the </w:t>
            </w:r>
            <w:r w:rsidR="00202822" w:rsidRPr="006E757D">
              <w:t>organization</w:t>
            </w:r>
            <w:r w:rsidR="00D1716E" w:rsidRPr="006E757D">
              <w:t xml:space="preserve"> might not have sufficient time to respond to the auditor</w:t>
            </w:r>
            <w:r w:rsidR="00660316">
              <w:t>’</w:t>
            </w:r>
            <w:r w:rsidR="00D1716E" w:rsidRPr="006E757D">
              <w:t>s requested corrective actions</w:t>
            </w:r>
            <w:r>
              <w:t xml:space="preserve">, and </w:t>
            </w:r>
            <w:r w:rsidR="0055227E" w:rsidRPr="006E757D">
              <w:t xml:space="preserve">measures </w:t>
            </w:r>
            <w:r w:rsidR="00D1716E" w:rsidRPr="006E757D">
              <w:t xml:space="preserve">could </w:t>
            </w:r>
            <w:r w:rsidR="00860AD3" w:rsidRPr="006E757D">
              <w:t xml:space="preserve">be deemed </w:t>
            </w:r>
            <w:r w:rsidR="00D1716E" w:rsidRPr="006E757D">
              <w:t>Not Report</w:t>
            </w:r>
            <w:r w:rsidR="00027352" w:rsidRPr="006E757D">
              <w:t>able</w:t>
            </w:r>
            <w:r w:rsidR="00860AD3" w:rsidRPr="006E757D">
              <w:t xml:space="preserve"> </w:t>
            </w:r>
            <w:r w:rsidR="00860AD3" w:rsidRPr="006E757D">
              <w:rPr>
                <w:rFonts w:cs="Arial"/>
                <w:iCs/>
                <w:szCs w:val="20"/>
              </w:rPr>
              <w:t>(NR)</w:t>
            </w:r>
            <w:r w:rsidR="00D1716E" w:rsidRPr="006E757D">
              <w:t>.</w:t>
            </w:r>
            <w:r w:rsidR="0007016D">
              <w:t xml:space="preserve"> </w:t>
            </w:r>
            <w:r w:rsidR="0093561D">
              <w:t>Auditors should work carefully with key staff members, including organization executives, if milestone events are not met.</w:t>
            </w:r>
          </w:p>
        </w:tc>
      </w:tr>
    </w:tbl>
    <w:p w:rsidR="00C548B7" w:rsidRPr="006E757D" w:rsidRDefault="00C548B7"/>
    <w:p w:rsidR="009B0065" w:rsidRPr="006E757D" w:rsidRDefault="009B0065">
      <w:pPr>
        <w:sectPr w:rsidR="009B0065" w:rsidRPr="006E757D" w:rsidSect="00C228DE">
          <w:headerReference w:type="even" r:id="rId18"/>
          <w:headerReference w:type="default" r:id="rId19"/>
          <w:footerReference w:type="default" r:id="rId20"/>
          <w:pgSz w:w="12240" w:h="15840" w:code="1"/>
          <w:pgMar w:top="1080" w:right="1080" w:bottom="1080" w:left="1440" w:header="720" w:footer="720" w:gutter="0"/>
          <w:paperSrc w:first="7" w:other="7"/>
          <w:cols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735"/>
        <w:gridCol w:w="8165"/>
      </w:tblGrid>
      <w:tr w:rsidR="00C548B7" w:rsidRPr="006E757D" w:rsidTr="00C548B7">
        <w:tc>
          <w:tcPr>
            <w:tcW w:w="1735" w:type="dxa"/>
            <w:tcBorders>
              <w:top w:val="nil"/>
              <w:left w:val="nil"/>
              <w:bottom w:val="nil"/>
              <w:right w:val="nil"/>
            </w:tcBorders>
            <w:tcMar>
              <w:left w:w="115" w:type="dxa"/>
              <w:right w:w="115" w:type="dxa"/>
            </w:tcMar>
          </w:tcPr>
          <w:p w:rsidR="00C548B7" w:rsidRPr="006E757D" w:rsidRDefault="00C548B7" w:rsidP="00361A0B">
            <w:pPr>
              <w:pStyle w:val="MarginSubhead"/>
            </w:pPr>
          </w:p>
        </w:tc>
        <w:tc>
          <w:tcPr>
            <w:tcW w:w="8165" w:type="dxa"/>
            <w:tcBorders>
              <w:top w:val="nil"/>
              <w:left w:val="nil"/>
              <w:bottom w:val="nil"/>
              <w:right w:val="nil"/>
            </w:tcBorders>
            <w:tcMar>
              <w:left w:w="115" w:type="dxa"/>
              <w:right w:w="115" w:type="dxa"/>
            </w:tcMar>
          </w:tcPr>
          <w:p w:rsidR="004849BC" w:rsidRPr="006E757D" w:rsidRDefault="00C548B7" w:rsidP="002A129F">
            <w:pPr>
              <w:pStyle w:val="Body"/>
              <w:spacing w:before="0"/>
            </w:pPr>
            <w:r w:rsidRPr="006E757D">
              <w:t xml:space="preserve">The auditor and the organization review the number and configuration of the systems to be audited. Items to consider </w:t>
            </w:r>
            <w:r w:rsidR="002A129F">
              <w:t xml:space="preserve">when contracting </w:t>
            </w:r>
            <w:r w:rsidRPr="006E757D">
              <w:t xml:space="preserve">are whether multiple product lines or products rely </w:t>
            </w:r>
            <w:r w:rsidR="002A129F">
              <w:t xml:space="preserve">on the same information system and </w:t>
            </w:r>
            <w:r w:rsidRPr="006E757D">
              <w:t>whether several key organization functions are performed at multiple offsite locations. In all audits, the Certified Auditor uses findings from the Roadmap and information prior years</w:t>
            </w:r>
            <w:r w:rsidR="00660316">
              <w:t>’</w:t>
            </w:r>
            <w:r w:rsidRPr="006E757D">
              <w:t xml:space="preserve"> audits</w:t>
            </w:r>
            <w:r w:rsidR="00D96945">
              <w:t>,</w:t>
            </w:r>
            <w:r w:rsidRPr="006E757D">
              <w:t xml:space="preserve"> if applicable</w:t>
            </w:r>
            <w:r w:rsidR="00D96945">
              <w:t>,</w:t>
            </w:r>
            <w:r w:rsidRPr="006E757D">
              <w:t xml:space="preserve"> to determine the systems to audit and the next steps in the audit process.</w:t>
            </w:r>
          </w:p>
        </w:tc>
      </w:tr>
    </w:tbl>
    <w:p w:rsidR="00C303AA" w:rsidRDefault="00C303A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8028"/>
        <w:gridCol w:w="1800"/>
      </w:tblGrid>
      <w:tr w:rsidR="004849BC" w:rsidRPr="00086B80" w:rsidTr="005202EA">
        <w:tc>
          <w:tcPr>
            <w:tcW w:w="8028" w:type="dxa"/>
            <w:shd w:val="clear" w:color="auto" w:fill="000000" w:themeFill="text1"/>
          </w:tcPr>
          <w:p w:rsidR="004849BC" w:rsidRPr="004849BC" w:rsidRDefault="004849BC" w:rsidP="00C0424B">
            <w:pPr>
              <w:pStyle w:val="TableHead"/>
              <w:rPr>
                <w:color w:val="auto"/>
              </w:rPr>
            </w:pPr>
            <w:r w:rsidRPr="004849BC">
              <w:rPr>
                <w:color w:val="auto"/>
              </w:rPr>
              <w:t>HEDIS Audit Timeline Task</w:t>
            </w:r>
          </w:p>
        </w:tc>
        <w:tc>
          <w:tcPr>
            <w:tcW w:w="1800" w:type="dxa"/>
            <w:shd w:val="clear" w:color="auto" w:fill="000000" w:themeFill="text1"/>
          </w:tcPr>
          <w:p w:rsidR="004849BC" w:rsidRPr="004849BC" w:rsidRDefault="004849BC" w:rsidP="00C0424B">
            <w:pPr>
              <w:pStyle w:val="TableHead"/>
              <w:rPr>
                <w:color w:val="auto"/>
              </w:rPr>
            </w:pPr>
            <w:r w:rsidRPr="004849BC">
              <w:rPr>
                <w:color w:val="auto"/>
              </w:rPr>
              <w:t>NCQA Deadline</w:t>
            </w:r>
          </w:p>
        </w:tc>
      </w:tr>
      <w:tr w:rsidR="004849BC" w:rsidRPr="00086B80" w:rsidTr="005202EA">
        <w:tc>
          <w:tcPr>
            <w:tcW w:w="8028" w:type="dxa"/>
            <w:shd w:val="clear" w:color="auto" w:fill="auto"/>
          </w:tcPr>
          <w:p w:rsidR="004849BC" w:rsidRPr="004849BC" w:rsidRDefault="004849BC" w:rsidP="00C0424B">
            <w:pPr>
              <w:pStyle w:val="TableText"/>
              <w:rPr>
                <w:szCs w:val="20"/>
              </w:rPr>
            </w:pPr>
            <w:r w:rsidRPr="004849BC">
              <w:rPr>
                <w:szCs w:val="20"/>
              </w:rPr>
              <w:t xml:space="preserve">Organization contracts with an NCQA Licensed Organization. </w:t>
            </w:r>
          </w:p>
        </w:tc>
        <w:tc>
          <w:tcPr>
            <w:tcW w:w="1800" w:type="dxa"/>
            <w:shd w:val="clear" w:color="auto" w:fill="auto"/>
          </w:tcPr>
          <w:p w:rsidR="004849BC" w:rsidRPr="004849BC" w:rsidRDefault="004849BC" w:rsidP="008F4B14">
            <w:pPr>
              <w:pStyle w:val="TableText"/>
              <w:jc w:val="center"/>
              <w:rPr>
                <w:szCs w:val="20"/>
              </w:rPr>
            </w:pPr>
            <w:r w:rsidRPr="004849BC">
              <w:rPr>
                <w:szCs w:val="20"/>
              </w:rPr>
              <w:t>December 3</w:t>
            </w:r>
          </w:p>
        </w:tc>
      </w:tr>
      <w:tr w:rsidR="004849BC" w:rsidRPr="00086B80" w:rsidTr="005202EA">
        <w:tc>
          <w:tcPr>
            <w:tcW w:w="8028" w:type="dxa"/>
            <w:shd w:val="clear" w:color="auto" w:fill="D9D9D9" w:themeFill="background1" w:themeFillShade="D9"/>
          </w:tcPr>
          <w:p w:rsidR="004849BC" w:rsidRPr="004849BC" w:rsidRDefault="004849BC" w:rsidP="00C0424B">
            <w:pPr>
              <w:pStyle w:val="TableText"/>
              <w:rPr>
                <w:szCs w:val="20"/>
              </w:rPr>
            </w:pPr>
            <w:r w:rsidRPr="004849BC">
              <w:rPr>
                <w:szCs w:val="20"/>
              </w:rPr>
              <w:t>Organization submits the completed Roadmap to the auditor.</w:t>
            </w:r>
          </w:p>
        </w:tc>
        <w:tc>
          <w:tcPr>
            <w:tcW w:w="1800" w:type="dxa"/>
            <w:shd w:val="clear" w:color="auto" w:fill="D9D9D9" w:themeFill="background1" w:themeFillShade="D9"/>
          </w:tcPr>
          <w:p w:rsidR="004849BC" w:rsidRPr="004849BC" w:rsidRDefault="004849BC" w:rsidP="008F4B14">
            <w:pPr>
              <w:pStyle w:val="TableText"/>
              <w:jc w:val="center"/>
              <w:rPr>
                <w:szCs w:val="20"/>
              </w:rPr>
            </w:pPr>
            <w:r w:rsidRPr="004849BC">
              <w:rPr>
                <w:szCs w:val="20"/>
              </w:rPr>
              <w:t>January 15</w:t>
            </w:r>
            <w:r w:rsidR="005202EA">
              <w:rPr>
                <w:szCs w:val="20"/>
              </w:rPr>
              <w:t>–</w:t>
            </w:r>
            <w:r w:rsidRPr="004849BC">
              <w:rPr>
                <w:szCs w:val="20"/>
              </w:rPr>
              <w:t>31</w:t>
            </w:r>
          </w:p>
        </w:tc>
      </w:tr>
      <w:tr w:rsidR="004849BC" w:rsidRPr="00086B80" w:rsidTr="005202EA">
        <w:tc>
          <w:tcPr>
            <w:tcW w:w="8028" w:type="dxa"/>
            <w:shd w:val="clear" w:color="auto" w:fill="auto"/>
          </w:tcPr>
          <w:p w:rsidR="004849BC" w:rsidRPr="004849BC" w:rsidRDefault="004849BC" w:rsidP="00C0424B">
            <w:pPr>
              <w:pStyle w:val="TableText"/>
              <w:rPr>
                <w:szCs w:val="20"/>
              </w:rPr>
            </w:pPr>
            <w:r w:rsidRPr="004849BC">
              <w:rPr>
                <w:szCs w:val="20"/>
              </w:rPr>
              <w:t>Auditor completes the survey sample frame validation.</w:t>
            </w:r>
          </w:p>
        </w:tc>
        <w:tc>
          <w:tcPr>
            <w:tcW w:w="1800" w:type="dxa"/>
            <w:shd w:val="clear" w:color="auto" w:fill="auto"/>
          </w:tcPr>
          <w:p w:rsidR="004849BC" w:rsidRPr="004849BC" w:rsidRDefault="004849BC" w:rsidP="004849BC">
            <w:pPr>
              <w:pStyle w:val="TableText"/>
              <w:jc w:val="center"/>
              <w:rPr>
                <w:szCs w:val="20"/>
              </w:rPr>
            </w:pPr>
            <w:r w:rsidRPr="004849BC">
              <w:rPr>
                <w:szCs w:val="20"/>
              </w:rPr>
              <w:t>January 31</w:t>
            </w:r>
          </w:p>
        </w:tc>
      </w:tr>
      <w:tr w:rsidR="004849BC" w:rsidRPr="00086B80" w:rsidTr="005202EA">
        <w:tc>
          <w:tcPr>
            <w:tcW w:w="8028" w:type="dxa"/>
            <w:shd w:val="clear" w:color="auto" w:fill="D9D9D9" w:themeFill="background1" w:themeFillShade="D9"/>
          </w:tcPr>
          <w:p w:rsidR="004849BC" w:rsidRPr="004849BC" w:rsidRDefault="004849BC" w:rsidP="00C0424B">
            <w:pPr>
              <w:pStyle w:val="TableText"/>
              <w:rPr>
                <w:szCs w:val="20"/>
              </w:rPr>
            </w:pPr>
            <w:r w:rsidRPr="004849BC">
              <w:rPr>
                <w:szCs w:val="20"/>
              </w:rPr>
              <w:t>Auditor selects a core set of noncertified measures for code review.</w:t>
            </w:r>
          </w:p>
        </w:tc>
        <w:tc>
          <w:tcPr>
            <w:tcW w:w="1800" w:type="dxa"/>
            <w:shd w:val="clear" w:color="auto" w:fill="D9D9D9" w:themeFill="background1" w:themeFillShade="D9"/>
          </w:tcPr>
          <w:p w:rsidR="004849BC" w:rsidRPr="004849BC" w:rsidRDefault="004849BC" w:rsidP="004849BC">
            <w:pPr>
              <w:pStyle w:val="TableText"/>
              <w:jc w:val="center"/>
              <w:rPr>
                <w:szCs w:val="20"/>
              </w:rPr>
            </w:pPr>
            <w:r w:rsidRPr="004849BC">
              <w:rPr>
                <w:szCs w:val="20"/>
              </w:rPr>
              <w:t>February 15</w:t>
            </w:r>
          </w:p>
        </w:tc>
      </w:tr>
      <w:tr w:rsidR="004849BC" w:rsidRPr="00086B80" w:rsidTr="005202EA">
        <w:tc>
          <w:tcPr>
            <w:tcW w:w="8028" w:type="dxa"/>
            <w:shd w:val="clear" w:color="auto" w:fill="auto"/>
          </w:tcPr>
          <w:p w:rsidR="004849BC" w:rsidRPr="004849BC" w:rsidRDefault="004849BC" w:rsidP="00C0424B">
            <w:pPr>
              <w:pStyle w:val="TableText"/>
              <w:rPr>
                <w:szCs w:val="20"/>
              </w:rPr>
            </w:pPr>
            <w:r w:rsidRPr="004849BC">
              <w:rPr>
                <w:szCs w:val="20"/>
              </w:rPr>
              <w:t>Auditor receives software vendor’s final certification report or organization submits completed source code for auditor review (for noncertified code).</w:t>
            </w:r>
          </w:p>
        </w:tc>
        <w:tc>
          <w:tcPr>
            <w:tcW w:w="1800" w:type="dxa"/>
            <w:shd w:val="clear" w:color="auto" w:fill="auto"/>
          </w:tcPr>
          <w:p w:rsidR="004849BC" w:rsidRPr="004849BC" w:rsidRDefault="004849BC" w:rsidP="004849BC">
            <w:pPr>
              <w:pStyle w:val="TableText"/>
              <w:jc w:val="center"/>
              <w:rPr>
                <w:szCs w:val="20"/>
              </w:rPr>
            </w:pPr>
            <w:r w:rsidRPr="004849BC">
              <w:rPr>
                <w:szCs w:val="20"/>
              </w:rPr>
              <w:t>March 1</w:t>
            </w:r>
          </w:p>
        </w:tc>
      </w:tr>
      <w:tr w:rsidR="004849BC" w:rsidRPr="00086B80" w:rsidTr="005202EA">
        <w:tc>
          <w:tcPr>
            <w:tcW w:w="8028" w:type="dxa"/>
            <w:shd w:val="clear" w:color="auto" w:fill="D9D9D9" w:themeFill="background1" w:themeFillShade="D9"/>
          </w:tcPr>
          <w:p w:rsidR="004849BC" w:rsidRPr="004849BC" w:rsidRDefault="004849BC" w:rsidP="00C0424B">
            <w:pPr>
              <w:pStyle w:val="TableText"/>
              <w:rPr>
                <w:szCs w:val="20"/>
              </w:rPr>
            </w:pPr>
            <w:r w:rsidRPr="004849BC">
              <w:rPr>
                <w:szCs w:val="20"/>
              </w:rPr>
              <w:t>Onsite visits completed.</w:t>
            </w:r>
          </w:p>
        </w:tc>
        <w:tc>
          <w:tcPr>
            <w:tcW w:w="1800" w:type="dxa"/>
            <w:shd w:val="clear" w:color="auto" w:fill="D9D9D9" w:themeFill="background1" w:themeFillShade="D9"/>
          </w:tcPr>
          <w:p w:rsidR="004849BC" w:rsidRPr="004849BC" w:rsidRDefault="004849BC" w:rsidP="004849BC">
            <w:pPr>
              <w:pStyle w:val="TableText"/>
              <w:jc w:val="center"/>
              <w:rPr>
                <w:szCs w:val="20"/>
              </w:rPr>
            </w:pPr>
            <w:r w:rsidRPr="004849BC">
              <w:rPr>
                <w:szCs w:val="20"/>
              </w:rPr>
              <w:t>April 30</w:t>
            </w:r>
          </w:p>
        </w:tc>
      </w:tr>
      <w:tr w:rsidR="004849BC" w:rsidRPr="00880917" w:rsidTr="005202EA">
        <w:tc>
          <w:tcPr>
            <w:tcW w:w="8028" w:type="dxa"/>
            <w:shd w:val="clear" w:color="auto" w:fill="auto"/>
          </w:tcPr>
          <w:p w:rsidR="004849BC" w:rsidRPr="004849BC" w:rsidRDefault="004849BC" w:rsidP="004D7C81">
            <w:pPr>
              <w:pStyle w:val="TableText"/>
              <w:rPr>
                <w:szCs w:val="20"/>
              </w:rPr>
            </w:pPr>
            <w:r w:rsidRPr="004849BC">
              <w:rPr>
                <w:szCs w:val="20"/>
              </w:rPr>
              <w:t xml:space="preserve">Auditor selects measures for </w:t>
            </w:r>
            <w:r w:rsidR="000241C3">
              <w:rPr>
                <w:szCs w:val="20"/>
              </w:rPr>
              <w:t>MRR</w:t>
            </w:r>
            <w:r w:rsidR="004D7C81">
              <w:rPr>
                <w:szCs w:val="20"/>
              </w:rPr>
              <w:t xml:space="preserve"> validation</w:t>
            </w:r>
            <w:r w:rsidRPr="004849BC">
              <w:rPr>
                <w:szCs w:val="20"/>
              </w:rPr>
              <w:t xml:space="preserve"> and informs the plan</w:t>
            </w:r>
            <w:r w:rsidR="00C52734">
              <w:rPr>
                <w:szCs w:val="20"/>
              </w:rPr>
              <w:t xml:space="preserve"> </w:t>
            </w:r>
            <w:r w:rsidRPr="004849BC">
              <w:rPr>
                <w:szCs w:val="20"/>
              </w:rPr>
              <w:t>of the selections.</w:t>
            </w:r>
          </w:p>
        </w:tc>
        <w:tc>
          <w:tcPr>
            <w:tcW w:w="1800" w:type="dxa"/>
            <w:shd w:val="clear" w:color="auto" w:fill="auto"/>
          </w:tcPr>
          <w:p w:rsidR="004849BC" w:rsidRPr="004849BC" w:rsidRDefault="004849BC" w:rsidP="004849BC">
            <w:pPr>
              <w:pStyle w:val="TableText"/>
              <w:jc w:val="center"/>
              <w:rPr>
                <w:szCs w:val="20"/>
              </w:rPr>
            </w:pPr>
            <w:r w:rsidRPr="004849BC">
              <w:rPr>
                <w:szCs w:val="20"/>
              </w:rPr>
              <w:t>May 1</w:t>
            </w:r>
          </w:p>
        </w:tc>
      </w:tr>
      <w:tr w:rsidR="004849BC" w:rsidRPr="00086B80" w:rsidTr="005202EA">
        <w:tc>
          <w:tcPr>
            <w:tcW w:w="8028" w:type="dxa"/>
            <w:shd w:val="clear" w:color="auto" w:fill="D9D9D9" w:themeFill="background1" w:themeFillShade="D9"/>
          </w:tcPr>
          <w:p w:rsidR="004849BC" w:rsidRPr="004849BC" w:rsidRDefault="004849BC" w:rsidP="00C0424B">
            <w:pPr>
              <w:pStyle w:val="TableText"/>
              <w:rPr>
                <w:szCs w:val="20"/>
              </w:rPr>
            </w:pPr>
            <w:r w:rsidRPr="004849BC">
              <w:rPr>
                <w:szCs w:val="20"/>
              </w:rPr>
              <w:t>Preliminary rate review completed.</w:t>
            </w:r>
          </w:p>
        </w:tc>
        <w:tc>
          <w:tcPr>
            <w:tcW w:w="1800" w:type="dxa"/>
            <w:shd w:val="clear" w:color="auto" w:fill="D9D9D9" w:themeFill="background1" w:themeFillShade="D9"/>
          </w:tcPr>
          <w:p w:rsidR="004849BC" w:rsidRPr="004849BC" w:rsidRDefault="004849BC" w:rsidP="004849BC">
            <w:pPr>
              <w:pStyle w:val="TableText"/>
              <w:jc w:val="center"/>
              <w:rPr>
                <w:szCs w:val="20"/>
              </w:rPr>
            </w:pPr>
            <w:r w:rsidRPr="004849BC">
              <w:rPr>
                <w:szCs w:val="20"/>
              </w:rPr>
              <w:t>May 6</w:t>
            </w:r>
          </w:p>
        </w:tc>
      </w:tr>
      <w:tr w:rsidR="004849BC" w:rsidRPr="00880917" w:rsidTr="005202EA">
        <w:tc>
          <w:tcPr>
            <w:tcW w:w="8028" w:type="dxa"/>
            <w:shd w:val="clear" w:color="auto" w:fill="auto"/>
          </w:tcPr>
          <w:p w:rsidR="004849BC" w:rsidRPr="004849BC" w:rsidRDefault="004849BC" w:rsidP="004D7C81">
            <w:pPr>
              <w:pStyle w:val="TableText"/>
              <w:rPr>
                <w:szCs w:val="20"/>
              </w:rPr>
            </w:pPr>
            <w:r w:rsidRPr="004849BC">
              <w:rPr>
                <w:szCs w:val="20"/>
              </w:rPr>
              <w:t xml:space="preserve">Organization completes the medical record abstraction process for all measures and sends final numerator lists to the auditor for the measures selected and all exclusions for </w:t>
            </w:r>
            <w:r w:rsidR="000241C3">
              <w:rPr>
                <w:szCs w:val="20"/>
              </w:rPr>
              <w:t>MRR</w:t>
            </w:r>
            <w:r w:rsidR="004D7C81">
              <w:rPr>
                <w:szCs w:val="20"/>
              </w:rPr>
              <w:t xml:space="preserve"> validation</w:t>
            </w:r>
            <w:r w:rsidRPr="004849BC">
              <w:rPr>
                <w:szCs w:val="20"/>
              </w:rPr>
              <w:t>.</w:t>
            </w:r>
          </w:p>
        </w:tc>
        <w:tc>
          <w:tcPr>
            <w:tcW w:w="1800" w:type="dxa"/>
            <w:shd w:val="clear" w:color="auto" w:fill="auto"/>
          </w:tcPr>
          <w:p w:rsidR="004849BC" w:rsidRPr="004849BC" w:rsidRDefault="004849BC" w:rsidP="004849BC">
            <w:pPr>
              <w:pStyle w:val="TableText"/>
              <w:jc w:val="center"/>
              <w:rPr>
                <w:szCs w:val="20"/>
              </w:rPr>
            </w:pPr>
            <w:r w:rsidRPr="004849BC">
              <w:rPr>
                <w:szCs w:val="20"/>
              </w:rPr>
              <w:t>May 15</w:t>
            </w:r>
          </w:p>
        </w:tc>
      </w:tr>
      <w:tr w:rsidR="004849BC" w:rsidRPr="00086B80" w:rsidTr="005202EA">
        <w:tc>
          <w:tcPr>
            <w:tcW w:w="8028" w:type="dxa"/>
            <w:shd w:val="clear" w:color="auto" w:fill="D9D9D9" w:themeFill="background1" w:themeFillShade="D9"/>
          </w:tcPr>
          <w:p w:rsidR="004849BC" w:rsidRPr="004849BC" w:rsidRDefault="004849BC" w:rsidP="00C52734">
            <w:pPr>
              <w:pStyle w:val="TableText"/>
              <w:rPr>
                <w:szCs w:val="20"/>
              </w:rPr>
            </w:pPr>
            <w:r w:rsidRPr="004849BC">
              <w:rPr>
                <w:szCs w:val="20"/>
              </w:rPr>
              <w:t xml:space="preserve">Auditor picks 16 records for each selected </w:t>
            </w:r>
            <w:r w:rsidR="004D7C81">
              <w:rPr>
                <w:szCs w:val="20"/>
              </w:rPr>
              <w:t>MRR validation</w:t>
            </w:r>
            <w:r w:rsidRPr="004849BC">
              <w:rPr>
                <w:szCs w:val="20"/>
              </w:rPr>
              <w:t xml:space="preserve"> measure and exclusions for review and informs the plan</w:t>
            </w:r>
            <w:r w:rsidR="00C52734">
              <w:rPr>
                <w:szCs w:val="20"/>
              </w:rPr>
              <w:t xml:space="preserve"> </w:t>
            </w:r>
            <w:r w:rsidRPr="004849BC">
              <w:rPr>
                <w:szCs w:val="20"/>
              </w:rPr>
              <w:t>of the selections.</w:t>
            </w:r>
          </w:p>
        </w:tc>
        <w:tc>
          <w:tcPr>
            <w:tcW w:w="1800" w:type="dxa"/>
            <w:shd w:val="clear" w:color="auto" w:fill="D9D9D9" w:themeFill="background1" w:themeFillShade="D9"/>
          </w:tcPr>
          <w:p w:rsidR="004849BC" w:rsidRPr="004849BC" w:rsidRDefault="004849BC" w:rsidP="004849BC">
            <w:pPr>
              <w:pStyle w:val="TableText"/>
              <w:jc w:val="center"/>
              <w:rPr>
                <w:szCs w:val="20"/>
              </w:rPr>
            </w:pPr>
            <w:r w:rsidRPr="004849BC">
              <w:rPr>
                <w:szCs w:val="20"/>
              </w:rPr>
              <w:t>May 17</w:t>
            </w:r>
          </w:p>
        </w:tc>
      </w:tr>
      <w:tr w:rsidR="004849BC" w:rsidRPr="00086B80" w:rsidTr="005202EA">
        <w:tc>
          <w:tcPr>
            <w:tcW w:w="8028" w:type="dxa"/>
            <w:shd w:val="clear" w:color="auto" w:fill="auto"/>
          </w:tcPr>
          <w:p w:rsidR="004849BC" w:rsidRPr="004849BC" w:rsidRDefault="004849BC" w:rsidP="00C0424B">
            <w:pPr>
              <w:pStyle w:val="TableText"/>
              <w:rPr>
                <w:szCs w:val="20"/>
              </w:rPr>
            </w:pPr>
            <w:r w:rsidRPr="004849BC">
              <w:rPr>
                <w:szCs w:val="20"/>
              </w:rPr>
              <w:t>Organization sends selected charts to the auditor for validation.</w:t>
            </w:r>
          </w:p>
        </w:tc>
        <w:tc>
          <w:tcPr>
            <w:tcW w:w="1800" w:type="dxa"/>
            <w:shd w:val="clear" w:color="auto" w:fill="auto"/>
          </w:tcPr>
          <w:p w:rsidR="004849BC" w:rsidRPr="004849BC" w:rsidRDefault="004849BC" w:rsidP="004849BC">
            <w:pPr>
              <w:pStyle w:val="TableText"/>
              <w:jc w:val="center"/>
              <w:rPr>
                <w:szCs w:val="20"/>
              </w:rPr>
            </w:pPr>
            <w:r w:rsidRPr="004849BC">
              <w:rPr>
                <w:szCs w:val="20"/>
              </w:rPr>
              <w:t>May 24</w:t>
            </w:r>
          </w:p>
        </w:tc>
      </w:tr>
      <w:tr w:rsidR="004849BC" w:rsidRPr="00086B80" w:rsidTr="005202EA">
        <w:tc>
          <w:tcPr>
            <w:tcW w:w="8028" w:type="dxa"/>
            <w:shd w:val="clear" w:color="auto" w:fill="D9D9D9" w:themeFill="background1" w:themeFillShade="D9"/>
          </w:tcPr>
          <w:p w:rsidR="004849BC" w:rsidRPr="004849BC" w:rsidRDefault="00A966FF" w:rsidP="000241C3">
            <w:pPr>
              <w:pStyle w:val="TableText"/>
              <w:rPr>
                <w:szCs w:val="20"/>
              </w:rPr>
            </w:pPr>
            <w:r w:rsidRPr="00E96CD2">
              <w:rPr>
                <w:szCs w:val="20"/>
              </w:rPr>
              <w:t xml:space="preserve">Auditor </w:t>
            </w:r>
            <w:r>
              <w:rPr>
                <w:szCs w:val="20"/>
              </w:rPr>
              <w:t xml:space="preserve">begins communicating </w:t>
            </w:r>
            <w:r w:rsidR="004D7C81">
              <w:rPr>
                <w:szCs w:val="20"/>
              </w:rPr>
              <w:t>MRR validation</w:t>
            </w:r>
            <w:r>
              <w:rPr>
                <w:szCs w:val="20"/>
              </w:rPr>
              <w:t xml:space="preserve"> results</w:t>
            </w:r>
            <w:r w:rsidRPr="00E96CD2">
              <w:rPr>
                <w:szCs w:val="20"/>
              </w:rPr>
              <w:t xml:space="preserve">, which includes the </w:t>
            </w:r>
            <w:r w:rsidR="004D7C81">
              <w:rPr>
                <w:szCs w:val="20"/>
              </w:rPr>
              <w:t>MRR validation</w:t>
            </w:r>
            <w:r w:rsidRPr="00E96CD2">
              <w:rPr>
                <w:szCs w:val="20"/>
              </w:rPr>
              <w:t xml:space="preserve"> corrective actions</w:t>
            </w:r>
            <w:r>
              <w:rPr>
                <w:szCs w:val="20"/>
              </w:rPr>
              <w:t xml:space="preserve">, with </w:t>
            </w:r>
            <w:r w:rsidRPr="00E96CD2">
              <w:rPr>
                <w:szCs w:val="20"/>
              </w:rPr>
              <w:t>the organization</w:t>
            </w:r>
            <w:r>
              <w:rPr>
                <w:szCs w:val="20"/>
              </w:rPr>
              <w:t>.</w:t>
            </w:r>
          </w:p>
        </w:tc>
        <w:tc>
          <w:tcPr>
            <w:tcW w:w="1800" w:type="dxa"/>
            <w:shd w:val="clear" w:color="auto" w:fill="D9D9D9" w:themeFill="background1" w:themeFillShade="D9"/>
          </w:tcPr>
          <w:p w:rsidR="004849BC" w:rsidRPr="004849BC" w:rsidRDefault="004849BC" w:rsidP="004849BC">
            <w:pPr>
              <w:pStyle w:val="TableText"/>
              <w:jc w:val="center"/>
              <w:rPr>
                <w:szCs w:val="20"/>
              </w:rPr>
            </w:pPr>
            <w:r w:rsidRPr="004849BC">
              <w:rPr>
                <w:szCs w:val="20"/>
              </w:rPr>
              <w:t>May 29</w:t>
            </w:r>
          </w:p>
        </w:tc>
      </w:tr>
      <w:tr w:rsidR="004849BC" w:rsidRPr="00086B80" w:rsidTr="005202EA">
        <w:tc>
          <w:tcPr>
            <w:tcW w:w="8028" w:type="dxa"/>
            <w:shd w:val="clear" w:color="auto" w:fill="auto"/>
          </w:tcPr>
          <w:p w:rsidR="004849BC" w:rsidRPr="004849BC" w:rsidRDefault="004849BC" w:rsidP="0043629E">
            <w:pPr>
              <w:pStyle w:val="TableText"/>
              <w:rPr>
                <w:szCs w:val="20"/>
              </w:rPr>
            </w:pPr>
            <w:r w:rsidRPr="004849BC">
              <w:rPr>
                <w:szCs w:val="20"/>
              </w:rPr>
              <w:t>Organization completes all corrective actions and follow-up requests; final rate review is completed to the plan-locked IDSS submission.</w:t>
            </w:r>
          </w:p>
        </w:tc>
        <w:tc>
          <w:tcPr>
            <w:tcW w:w="1800" w:type="dxa"/>
            <w:shd w:val="clear" w:color="auto" w:fill="auto"/>
          </w:tcPr>
          <w:p w:rsidR="004849BC" w:rsidRPr="004849BC" w:rsidRDefault="004849BC" w:rsidP="004849BC">
            <w:pPr>
              <w:pStyle w:val="TableText"/>
              <w:jc w:val="center"/>
              <w:rPr>
                <w:szCs w:val="20"/>
              </w:rPr>
            </w:pPr>
            <w:r w:rsidRPr="004849BC">
              <w:rPr>
                <w:szCs w:val="20"/>
              </w:rPr>
              <w:t>June 10</w:t>
            </w:r>
          </w:p>
        </w:tc>
      </w:tr>
      <w:tr w:rsidR="004849BC" w:rsidRPr="00086B80" w:rsidTr="005202EA">
        <w:tc>
          <w:tcPr>
            <w:tcW w:w="8028" w:type="dxa"/>
            <w:shd w:val="clear" w:color="auto" w:fill="D9D9D9" w:themeFill="background1" w:themeFillShade="D9"/>
          </w:tcPr>
          <w:p w:rsidR="004849BC" w:rsidRPr="004849BC" w:rsidRDefault="004849BC" w:rsidP="00C0424B">
            <w:pPr>
              <w:pStyle w:val="TableText"/>
              <w:rPr>
                <w:szCs w:val="20"/>
              </w:rPr>
            </w:pPr>
            <w:r w:rsidRPr="004849BC">
              <w:rPr>
                <w:szCs w:val="20"/>
              </w:rPr>
              <w:t>Organization submits the auditor-locked commercial, Medicaid and Medicare IDSS submission with attestation to NCQA.</w:t>
            </w:r>
            <w:r w:rsidRPr="005202EA">
              <w:rPr>
                <w:i/>
                <w:szCs w:val="20"/>
              </w:rPr>
              <w:t xml:space="preserve"> (</w:t>
            </w:r>
            <w:r w:rsidRPr="005202EA">
              <w:rPr>
                <w:b/>
                <w:i/>
                <w:szCs w:val="20"/>
              </w:rPr>
              <w:t>Note:</w:t>
            </w:r>
            <w:r w:rsidRPr="005202EA">
              <w:rPr>
                <w:i/>
                <w:szCs w:val="20"/>
              </w:rPr>
              <w:t xml:space="preserve"> June 15 falls on a Saturday.)</w:t>
            </w:r>
          </w:p>
        </w:tc>
        <w:tc>
          <w:tcPr>
            <w:tcW w:w="1800" w:type="dxa"/>
            <w:shd w:val="clear" w:color="auto" w:fill="D9D9D9" w:themeFill="background1" w:themeFillShade="D9"/>
          </w:tcPr>
          <w:p w:rsidR="004849BC" w:rsidRPr="004849BC" w:rsidRDefault="004849BC" w:rsidP="004849BC">
            <w:pPr>
              <w:pStyle w:val="TableText"/>
              <w:jc w:val="center"/>
              <w:rPr>
                <w:szCs w:val="20"/>
              </w:rPr>
            </w:pPr>
            <w:r w:rsidRPr="004849BC">
              <w:rPr>
                <w:szCs w:val="20"/>
              </w:rPr>
              <w:t>June 17</w:t>
            </w:r>
          </w:p>
        </w:tc>
      </w:tr>
      <w:tr w:rsidR="004849BC" w:rsidRPr="00086B80" w:rsidTr="005202EA">
        <w:tc>
          <w:tcPr>
            <w:tcW w:w="8028" w:type="dxa"/>
            <w:shd w:val="clear" w:color="auto" w:fill="auto"/>
          </w:tcPr>
          <w:p w:rsidR="004849BC" w:rsidRPr="004849BC" w:rsidRDefault="004849BC" w:rsidP="00C0424B">
            <w:pPr>
              <w:pStyle w:val="TableText"/>
              <w:rPr>
                <w:szCs w:val="20"/>
              </w:rPr>
            </w:pPr>
            <w:r w:rsidRPr="004849BC">
              <w:rPr>
                <w:szCs w:val="20"/>
              </w:rPr>
              <w:t xml:space="preserve">Organization submits patient-level data for Medicare products only. </w:t>
            </w:r>
          </w:p>
        </w:tc>
        <w:tc>
          <w:tcPr>
            <w:tcW w:w="1800" w:type="dxa"/>
            <w:shd w:val="clear" w:color="auto" w:fill="auto"/>
          </w:tcPr>
          <w:p w:rsidR="004849BC" w:rsidRPr="004849BC" w:rsidRDefault="004849BC" w:rsidP="004849BC">
            <w:pPr>
              <w:pStyle w:val="TableText"/>
              <w:jc w:val="center"/>
              <w:rPr>
                <w:szCs w:val="20"/>
              </w:rPr>
            </w:pPr>
            <w:r w:rsidRPr="004849BC">
              <w:rPr>
                <w:szCs w:val="20"/>
              </w:rPr>
              <w:t>June 17</w:t>
            </w:r>
          </w:p>
        </w:tc>
      </w:tr>
      <w:tr w:rsidR="004849BC" w:rsidRPr="00086B80" w:rsidTr="0059553C">
        <w:tc>
          <w:tcPr>
            <w:tcW w:w="8028" w:type="dxa"/>
            <w:tcBorders>
              <w:bottom w:val="single" w:sz="4" w:space="0" w:color="auto"/>
            </w:tcBorders>
            <w:shd w:val="clear" w:color="auto" w:fill="D9D9D9" w:themeFill="background1" w:themeFillShade="D9"/>
          </w:tcPr>
          <w:p w:rsidR="004849BC" w:rsidRPr="004849BC" w:rsidRDefault="004849BC" w:rsidP="00C0424B">
            <w:pPr>
              <w:pStyle w:val="TableText"/>
              <w:rPr>
                <w:szCs w:val="20"/>
              </w:rPr>
            </w:pPr>
            <w:r w:rsidRPr="004849BC">
              <w:rPr>
                <w:szCs w:val="20"/>
              </w:rPr>
              <w:t>Licensed Organization submits commercial, Medicaid and Medicare Final Audit Reports to NCQA.</w:t>
            </w:r>
          </w:p>
        </w:tc>
        <w:tc>
          <w:tcPr>
            <w:tcW w:w="1800" w:type="dxa"/>
            <w:tcBorders>
              <w:bottom w:val="single" w:sz="4" w:space="0" w:color="auto"/>
            </w:tcBorders>
            <w:shd w:val="clear" w:color="auto" w:fill="D9D9D9" w:themeFill="background1" w:themeFillShade="D9"/>
          </w:tcPr>
          <w:p w:rsidR="0059553C" w:rsidRPr="004849BC" w:rsidRDefault="004849BC" w:rsidP="0059553C">
            <w:pPr>
              <w:pStyle w:val="TableText"/>
              <w:jc w:val="center"/>
              <w:rPr>
                <w:szCs w:val="20"/>
              </w:rPr>
            </w:pPr>
            <w:r w:rsidRPr="004849BC">
              <w:rPr>
                <w:szCs w:val="20"/>
              </w:rPr>
              <w:t>July 15</w:t>
            </w:r>
          </w:p>
        </w:tc>
      </w:tr>
    </w:tbl>
    <w:p w:rsidR="00D1716E" w:rsidRPr="006E757D" w:rsidRDefault="007A1EB2" w:rsidP="00561FA4">
      <w:pPr>
        <w:pStyle w:val="StdHead"/>
        <w:rPr>
          <w:color w:val="auto"/>
        </w:rPr>
      </w:pPr>
      <w:r w:rsidRPr="006E757D">
        <w:rPr>
          <w:color w:val="auto"/>
        </w:rPr>
        <w:t xml:space="preserve">Roadmap </w:t>
      </w:r>
      <w:r w:rsidR="00681D48" w:rsidRPr="006E757D">
        <w:rPr>
          <w:color w:val="auto"/>
        </w:rPr>
        <w:t>Assessment</w:t>
      </w:r>
    </w:p>
    <w:p w:rsidR="0002065C" w:rsidRPr="006E757D" w:rsidRDefault="0002065C">
      <w:pPr>
        <w:pStyle w:val="Body"/>
      </w:pPr>
      <w:r w:rsidRPr="006E757D">
        <w:t xml:space="preserve">The </w:t>
      </w:r>
      <w:r w:rsidRPr="006E757D">
        <w:rPr>
          <w:u w:val="single"/>
        </w:rPr>
        <w:t>R</w:t>
      </w:r>
      <w:r w:rsidRPr="006E757D">
        <w:t xml:space="preserve">ecord </w:t>
      </w:r>
      <w:r w:rsidRPr="006E757D">
        <w:rPr>
          <w:u w:val="single"/>
        </w:rPr>
        <w:t>o</w:t>
      </w:r>
      <w:r w:rsidRPr="006E757D">
        <w:t xml:space="preserve">f </w:t>
      </w:r>
      <w:r w:rsidRPr="006E757D">
        <w:rPr>
          <w:u w:val="single"/>
        </w:rPr>
        <w:t>A</w:t>
      </w:r>
      <w:r w:rsidRPr="006E757D">
        <w:t xml:space="preserve">dministration, </w:t>
      </w:r>
      <w:r w:rsidRPr="006E757D">
        <w:rPr>
          <w:u w:val="single"/>
        </w:rPr>
        <w:t>D</w:t>
      </w:r>
      <w:r w:rsidRPr="006E757D">
        <w:t xml:space="preserve">ata </w:t>
      </w:r>
      <w:r w:rsidRPr="006E757D">
        <w:rPr>
          <w:u w:val="single"/>
        </w:rPr>
        <w:t>Ma</w:t>
      </w:r>
      <w:r w:rsidRPr="006E757D">
        <w:t xml:space="preserve">nagement and </w:t>
      </w:r>
      <w:r w:rsidRPr="006E757D">
        <w:rPr>
          <w:u w:val="single"/>
        </w:rPr>
        <w:t>P</w:t>
      </w:r>
      <w:r w:rsidRPr="006E757D">
        <w:t>rocesses (Roadmap) is a comprehensive document auditors use to review information about the organization</w:t>
      </w:r>
      <w:r w:rsidR="00660316">
        <w:t>’</w:t>
      </w:r>
      <w:r w:rsidRPr="006E757D">
        <w:t xml:space="preserve">s systems for collecting and processing data to produce </w:t>
      </w:r>
      <w:r w:rsidR="006E0CFD" w:rsidRPr="006E757D">
        <w:t xml:space="preserve">measure </w:t>
      </w:r>
      <w:r w:rsidRPr="006E757D">
        <w:t>reports. The Roadmap also describes the operational and organizational structure of the organization. It includes detailed questions about all audit standards and is used by auditors to plan the</w:t>
      </w:r>
      <w:r w:rsidR="00514C24" w:rsidRPr="006E757D">
        <w:t xml:space="preserve"> onsite visit</w:t>
      </w:r>
      <w:r w:rsidRPr="006E757D">
        <w:t>.</w:t>
      </w:r>
    </w:p>
    <w:p w:rsidR="0002065C" w:rsidRPr="006E757D" w:rsidRDefault="0002065C">
      <w:pPr>
        <w:pStyle w:val="Body"/>
      </w:pPr>
      <w:r w:rsidRPr="006E757D">
        <w:t xml:space="preserve">NCQA requires the organization to give the auditor a completed Roadmap each year, with adequate responses to all questions. Roadmaps submitted subsequent to the initial year should indicate </w:t>
      </w:r>
      <w:r w:rsidR="008D2FD2">
        <w:t xml:space="preserve">new or changed </w:t>
      </w:r>
      <w:r w:rsidRPr="006E757D">
        <w:t xml:space="preserve">information, and the </w:t>
      </w:r>
      <w:r w:rsidR="00660316">
        <w:t>“</w:t>
      </w:r>
      <w:r w:rsidRPr="006E757D">
        <w:t>Date of completion</w:t>
      </w:r>
      <w:r w:rsidR="00660316">
        <w:t>”</w:t>
      </w:r>
      <w:r w:rsidRPr="006E757D">
        <w:t xml:space="preserve"> section should be </w:t>
      </w:r>
      <w:r w:rsidR="00B34C52" w:rsidRPr="006E757D">
        <w:t>completed</w:t>
      </w:r>
      <w:r w:rsidRPr="006E757D">
        <w:t>. It is the organization</w:t>
      </w:r>
      <w:r w:rsidR="00660316">
        <w:t>’</w:t>
      </w:r>
      <w:r w:rsidRPr="006E757D">
        <w:t>s responsibility to provide the information; if it does not, the auditor must obtain clarification. The organization must submit a current signed copy of the attestation every year. An electronic version is acceptable.</w:t>
      </w:r>
    </w:p>
    <w:p w:rsidR="00617929" w:rsidRPr="006E757D" w:rsidRDefault="0002065C" w:rsidP="009E7C97">
      <w:pPr>
        <w:pStyle w:val="Body"/>
        <w:sectPr w:rsidR="00617929" w:rsidRPr="006E757D" w:rsidSect="00C228DE">
          <w:headerReference w:type="even" r:id="rId21"/>
          <w:headerReference w:type="default" r:id="rId22"/>
          <w:pgSz w:w="12240" w:h="15840" w:code="1"/>
          <w:pgMar w:top="1080" w:right="1080" w:bottom="1080" w:left="1440" w:header="720" w:footer="720" w:gutter="0"/>
          <w:paperSrc w:first="7" w:other="7"/>
          <w:cols w:space="720"/>
          <w:noEndnote/>
        </w:sectPr>
      </w:pPr>
      <w:r w:rsidRPr="006E757D">
        <w:t>The Roadmap is the basis for the Certified Auditor</w:t>
      </w:r>
      <w:r w:rsidR="00660316">
        <w:t>’</w:t>
      </w:r>
      <w:r w:rsidRPr="006E757D">
        <w:t>s assessment of compliance with the audit standards. The auditor must use the Roadmap and its supporting documentation for initial assessment. The auditor may not delete any items in the Roadmap, but may include additional questions.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95"/>
        <w:gridCol w:w="8640"/>
      </w:tblGrid>
      <w:tr w:rsidR="00617929" w:rsidRPr="006E757D" w:rsidTr="00B42D44">
        <w:tc>
          <w:tcPr>
            <w:tcW w:w="1195" w:type="dxa"/>
            <w:tcBorders>
              <w:top w:val="nil"/>
              <w:left w:val="nil"/>
              <w:bottom w:val="nil"/>
              <w:right w:val="nil"/>
            </w:tcBorders>
            <w:tcMar>
              <w:left w:w="115" w:type="dxa"/>
              <w:right w:w="115" w:type="dxa"/>
            </w:tcMar>
          </w:tcPr>
          <w:p w:rsidR="00617929" w:rsidRPr="006E757D" w:rsidRDefault="00617929" w:rsidP="00617929">
            <w:pPr>
              <w:pStyle w:val="MarginSubhead"/>
              <w:spacing w:before="0"/>
            </w:pPr>
            <w:r w:rsidRPr="006E757D">
              <w:lastRenderedPageBreak/>
              <w:t>Timing</w:t>
            </w:r>
          </w:p>
        </w:tc>
        <w:tc>
          <w:tcPr>
            <w:tcW w:w="8640" w:type="dxa"/>
            <w:tcBorders>
              <w:top w:val="nil"/>
              <w:left w:val="nil"/>
              <w:bottom w:val="nil"/>
              <w:right w:val="nil"/>
            </w:tcBorders>
            <w:tcMar>
              <w:left w:w="115" w:type="dxa"/>
              <w:right w:w="115" w:type="dxa"/>
            </w:tcMar>
          </w:tcPr>
          <w:p w:rsidR="00617929" w:rsidRPr="006E757D" w:rsidRDefault="00617929" w:rsidP="00617929">
            <w:pPr>
              <w:pStyle w:val="Body"/>
              <w:spacing w:before="0"/>
            </w:pPr>
            <w:r w:rsidRPr="006E757D">
              <w:t>The Roadmap must be completed so the auditor can plan onsite activities. The auditor uses the Roadmap responses to:</w:t>
            </w:r>
          </w:p>
          <w:p w:rsidR="00617929" w:rsidRPr="006E757D" w:rsidRDefault="00617929" w:rsidP="00361A0B">
            <w:pPr>
              <w:pStyle w:val="Bullet"/>
            </w:pPr>
            <w:r w:rsidRPr="006E757D">
              <w:t>Select the core set of measures, if applicable</w:t>
            </w:r>
            <w:r w:rsidR="008D2FD2">
              <w:t>.</w:t>
            </w:r>
          </w:p>
          <w:p w:rsidR="00617929" w:rsidRPr="006E757D" w:rsidRDefault="00617929" w:rsidP="00361A0B">
            <w:pPr>
              <w:pStyle w:val="Bullet"/>
            </w:pPr>
            <w:r w:rsidRPr="006E757D">
              <w:t>Identify areas that require further clarification.</w:t>
            </w:r>
          </w:p>
          <w:p w:rsidR="00617929" w:rsidRPr="006E757D" w:rsidRDefault="00617929" w:rsidP="00361A0B">
            <w:pPr>
              <w:pStyle w:val="Body"/>
            </w:pPr>
            <w:r w:rsidRPr="006E757D">
              <w:t>The auditor must maintain the completed Roadmap and all supplements received during the audit as part of the working papers.</w:t>
            </w:r>
          </w:p>
        </w:tc>
      </w:tr>
    </w:tbl>
    <w:p w:rsidR="00F40913" w:rsidRPr="006E757D" w:rsidRDefault="00F40913" w:rsidP="00617929">
      <w:pPr>
        <w:pStyle w:val="StdHead"/>
        <w:rPr>
          <w:color w:val="auto"/>
        </w:rPr>
      </w:pPr>
      <w:r w:rsidRPr="006E757D">
        <w:rPr>
          <w:color w:val="auto"/>
        </w:rPr>
        <w:t xml:space="preserve">Validation of Sample Frames for Survey Measures </w:t>
      </w:r>
    </w:p>
    <w:p w:rsidR="0002065C" w:rsidRPr="006E757D" w:rsidRDefault="002A6E13" w:rsidP="00681D48">
      <w:pPr>
        <w:pStyle w:val="Body"/>
      </w:pPr>
      <w:r w:rsidRPr="006E757D">
        <w:t xml:space="preserve">A Certified Auditor must validate the </w:t>
      </w:r>
      <w:r w:rsidR="0002065C" w:rsidRPr="006E757D">
        <w:t>HEDIS survey sample frame</w:t>
      </w:r>
      <w:r w:rsidRPr="006E757D">
        <w:t xml:space="preserve"> </w:t>
      </w:r>
      <w:r w:rsidR="0002065C" w:rsidRPr="006E757D">
        <w:t>before the Certified Survey Vendor draws the final sample and administers the survey. Validation lets the organization correct errors and minimizes the possibility that the survey is administered to a biased sample</w:t>
      </w:r>
      <w:r w:rsidR="002A129F">
        <w:t xml:space="preserve">, </w:t>
      </w:r>
      <w:r w:rsidR="0002065C" w:rsidRPr="006E757D">
        <w:t xml:space="preserve">which would result in the measures and their components being assigned </w:t>
      </w:r>
      <w:r w:rsidR="0002065C" w:rsidRPr="006E757D">
        <w:rPr>
          <w:i/>
        </w:rPr>
        <w:t>NR.</w:t>
      </w:r>
      <w:r w:rsidR="0002065C" w:rsidRPr="006E757D">
        <w:t xml:space="preserve"> </w:t>
      </w:r>
    </w:p>
    <w:p w:rsidR="0002065C" w:rsidRPr="006E757D" w:rsidRDefault="00AB521C" w:rsidP="005F6C30">
      <w:pPr>
        <w:spacing w:before="180"/>
        <w:rPr>
          <w:rFonts w:cs="Arial"/>
          <w:szCs w:val="20"/>
        </w:rPr>
      </w:pPr>
      <w:r w:rsidRPr="006E757D">
        <w:rPr>
          <w:rFonts w:cs="Arial"/>
          <w:szCs w:val="20"/>
        </w:rPr>
        <w:t>Eligible population criteria for survey measures, reporting options, guidelines for producing the Survey Sample Frame and c</w:t>
      </w:r>
      <w:r w:rsidR="0002065C" w:rsidRPr="006E757D">
        <w:rPr>
          <w:rFonts w:cs="Arial"/>
          <w:szCs w:val="20"/>
        </w:rPr>
        <w:t xml:space="preserve">riteria for assigning audit results are available in </w:t>
      </w:r>
      <w:r w:rsidR="0002065C" w:rsidRPr="006E757D">
        <w:rPr>
          <w:rFonts w:cs="Arial"/>
          <w:iCs/>
          <w:szCs w:val="20"/>
        </w:rPr>
        <w:t xml:space="preserve">HEDIS </w:t>
      </w:r>
      <w:r w:rsidR="006040DE" w:rsidRPr="006E757D">
        <w:rPr>
          <w:rFonts w:cs="Arial"/>
          <w:iCs/>
          <w:szCs w:val="20"/>
        </w:rPr>
        <w:t>201</w:t>
      </w:r>
      <w:r w:rsidR="00C712E5">
        <w:rPr>
          <w:rFonts w:cs="Arial"/>
          <w:iCs/>
          <w:szCs w:val="20"/>
        </w:rPr>
        <w:t>3</w:t>
      </w:r>
      <w:r w:rsidR="0002065C" w:rsidRPr="006E757D">
        <w:rPr>
          <w:rFonts w:cs="Arial"/>
          <w:iCs/>
          <w:szCs w:val="20"/>
        </w:rPr>
        <w:t xml:space="preserve"> </w:t>
      </w:r>
      <w:r w:rsidR="0002065C" w:rsidRPr="006E757D">
        <w:rPr>
          <w:rFonts w:cs="Arial"/>
          <w:i/>
          <w:iCs/>
          <w:szCs w:val="20"/>
        </w:rPr>
        <w:t xml:space="preserve">Volume 3: Specifications for Survey Measures </w:t>
      </w:r>
      <w:r w:rsidR="0002065C" w:rsidRPr="006E757D">
        <w:rPr>
          <w:rFonts w:cs="Arial"/>
          <w:iCs/>
          <w:szCs w:val="20"/>
        </w:rPr>
        <w:t>and the</w:t>
      </w:r>
      <w:r w:rsidR="005B59B3" w:rsidRPr="006E757D">
        <w:rPr>
          <w:rFonts w:cs="Arial"/>
          <w:iCs/>
          <w:szCs w:val="20"/>
        </w:rPr>
        <w:t xml:space="preserve"> </w:t>
      </w:r>
      <w:r w:rsidR="00BA3871" w:rsidRPr="006E757D">
        <w:rPr>
          <w:rFonts w:cs="Arial"/>
          <w:iCs/>
          <w:szCs w:val="20"/>
        </w:rPr>
        <w:t>201</w:t>
      </w:r>
      <w:r w:rsidR="00C712E5">
        <w:rPr>
          <w:rFonts w:cs="Arial"/>
          <w:iCs/>
          <w:szCs w:val="20"/>
        </w:rPr>
        <w:t>3</w:t>
      </w:r>
      <w:r w:rsidR="00BA3871" w:rsidRPr="006E757D">
        <w:rPr>
          <w:rFonts w:cs="Arial"/>
          <w:iCs/>
          <w:szCs w:val="20"/>
        </w:rPr>
        <w:t xml:space="preserve"> </w:t>
      </w:r>
      <w:r w:rsidR="00BA3871" w:rsidRPr="006E757D">
        <w:rPr>
          <w:rFonts w:cs="Arial"/>
          <w:i/>
          <w:iCs/>
          <w:szCs w:val="20"/>
        </w:rPr>
        <w:t>November Update</w:t>
      </w:r>
      <w:r w:rsidRPr="006E757D">
        <w:rPr>
          <w:rFonts w:cs="Arial"/>
          <w:i/>
          <w:iCs/>
          <w:szCs w:val="20"/>
        </w:rPr>
        <w:t>,</w:t>
      </w:r>
      <w:r w:rsidR="00832876" w:rsidRPr="006E757D">
        <w:rPr>
          <w:rFonts w:cs="Arial"/>
          <w:i/>
          <w:iCs/>
          <w:szCs w:val="20"/>
        </w:rPr>
        <w:t xml:space="preserve"> </w:t>
      </w:r>
      <w:r w:rsidRPr="006E757D">
        <w:rPr>
          <w:rFonts w:cs="Arial"/>
          <w:iCs/>
          <w:szCs w:val="20"/>
        </w:rPr>
        <w:t xml:space="preserve">and </w:t>
      </w:r>
      <w:r w:rsidRPr="006E757D">
        <w:rPr>
          <w:rFonts w:cs="Arial"/>
          <w:szCs w:val="20"/>
        </w:rPr>
        <w:t>are included in Appendix 7 of this volume</w:t>
      </w:r>
      <w:r w:rsidR="0002065C" w:rsidRPr="006E757D">
        <w:rPr>
          <w:rFonts w:cs="Arial"/>
          <w:szCs w:val="20"/>
        </w:rPr>
        <w:t>.</w:t>
      </w:r>
    </w:p>
    <w:p w:rsidR="001C2ADD" w:rsidRPr="006E757D" w:rsidRDefault="007475DD" w:rsidP="001C2ADD">
      <w:pPr>
        <w:pStyle w:val="SubHead"/>
      </w:pPr>
      <w:r w:rsidRPr="006E757D">
        <w:t>Auditor Validation Process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95"/>
        <w:gridCol w:w="8705"/>
      </w:tblGrid>
      <w:tr w:rsidR="00C17676" w:rsidRPr="006E757D" w:rsidTr="007475DD">
        <w:tc>
          <w:tcPr>
            <w:tcW w:w="1195" w:type="dxa"/>
            <w:tcBorders>
              <w:top w:val="nil"/>
              <w:left w:val="nil"/>
              <w:bottom w:val="nil"/>
              <w:right w:val="nil"/>
            </w:tcBorders>
            <w:tcMar>
              <w:left w:w="115" w:type="dxa"/>
              <w:right w:w="115" w:type="dxa"/>
            </w:tcMar>
          </w:tcPr>
          <w:p w:rsidR="00C17676" w:rsidRPr="006E757D" w:rsidRDefault="00C17676" w:rsidP="00C17676">
            <w:pPr>
              <w:spacing w:before="180"/>
              <w:ind w:left="216"/>
              <w:jc w:val="right"/>
              <w:rPr>
                <w:rFonts w:cs="Arial"/>
                <w:b/>
                <w:bCs/>
                <w:i/>
                <w:iCs/>
                <w:szCs w:val="20"/>
              </w:rPr>
            </w:pPr>
            <w:r w:rsidRPr="006E757D">
              <w:rPr>
                <w:rFonts w:cs="Arial"/>
                <w:b/>
                <w:bCs/>
                <w:i/>
                <w:iCs/>
                <w:szCs w:val="20"/>
              </w:rPr>
              <w:t>Step 1</w:t>
            </w:r>
          </w:p>
        </w:tc>
        <w:tc>
          <w:tcPr>
            <w:tcW w:w="8705" w:type="dxa"/>
            <w:tcBorders>
              <w:top w:val="nil"/>
              <w:left w:val="nil"/>
              <w:bottom w:val="nil"/>
              <w:right w:val="nil"/>
            </w:tcBorders>
            <w:tcMar>
              <w:left w:w="115" w:type="dxa"/>
              <w:right w:w="115" w:type="dxa"/>
            </w:tcMar>
          </w:tcPr>
          <w:p w:rsidR="00361A0B" w:rsidRPr="006E757D" w:rsidRDefault="00C17676" w:rsidP="00361A0B">
            <w:pPr>
              <w:pStyle w:val="Body"/>
            </w:pPr>
            <w:r w:rsidRPr="006E757D">
              <w:rPr>
                <w:bCs/>
              </w:rPr>
              <w:t>Verify t</w:t>
            </w:r>
            <w:r w:rsidR="00F10185" w:rsidRPr="006E757D">
              <w:rPr>
                <w:bCs/>
              </w:rPr>
              <w:t>hat t</w:t>
            </w:r>
            <w:r w:rsidRPr="006E757D">
              <w:rPr>
                <w:bCs/>
              </w:rPr>
              <w:t xml:space="preserve">he </w:t>
            </w:r>
            <w:r w:rsidR="00202822" w:rsidRPr="006E757D">
              <w:rPr>
                <w:bCs/>
              </w:rPr>
              <w:t>organization</w:t>
            </w:r>
            <w:r w:rsidRPr="006E757D">
              <w:rPr>
                <w:bCs/>
              </w:rPr>
              <w:t xml:space="preserve"> contracts with an NCQA</w:t>
            </w:r>
            <w:r w:rsidR="00F10185" w:rsidRPr="006E757D">
              <w:rPr>
                <w:bCs/>
              </w:rPr>
              <w:t xml:space="preserve"> </w:t>
            </w:r>
            <w:r w:rsidRPr="006E757D">
              <w:rPr>
                <w:bCs/>
              </w:rPr>
              <w:t>Certified HEDIS Survey Vendor to administer HEDIS surveys.</w:t>
            </w:r>
            <w:r w:rsidRPr="006E757D">
              <w:t xml:space="preserve"> </w:t>
            </w:r>
          </w:p>
          <w:p w:rsidR="00C17676" w:rsidRPr="006E757D" w:rsidRDefault="00C17676" w:rsidP="00361A0B">
            <w:pPr>
              <w:pStyle w:val="Body"/>
            </w:pPr>
            <w:r w:rsidRPr="006E757D">
              <w:t xml:space="preserve">If the </w:t>
            </w:r>
            <w:r w:rsidR="00202822" w:rsidRPr="006E757D">
              <w:t>organization</w:t>
            </w:r>
            <w:r w:rsidRPr="006E757D">
              <w:t xml:space="preserve"> does not use a certified vendor, the </w:t>
            </w:r>
            <w:r w:rsidR="0000796F" w:rsidRPr="006E757D">
              <w:t>measures and their components are</w:t>
            </w:r>
            <w:r w:rsidRPr="006E757D">
              <w:t xml:space="preserve"> </w:t>
            </w:r>
            <w:r w:rsidR="00165E1F" w:rsidRPr="006E757D">
              <w:rPr>
                <w:i/>
                <w:iCs/>
              </w:rPr>
              <w:t>NR</w:t>
            </w:r>
            <w:r w:rsidR="0000796F" w:rsidRPr="006E757D">
              <w:t>.</w:t>
            </w:r>
            <w:r w:rsidRPr="006E757D">
              <w:rPr>
                <w:i/>
                <w:iCs/>
              </w:rPr>
              <w:t xml:space="preserve"> </w:t>
            </w:r>
          </w:p>
        </w:tc>
      </w:tr>
      <w:tr w:rsidR="00C17676" w:rsidRPr="006E757D" w:rsidTr="007475DD">
        <w:tc>
          <w:tcPr>
            <w:tcW w:w="1195" w:type="dxa"/>
            <w:tcBorders>
              <w:top w:val="nil"/>
              <w:left w:val="nil"/>
              <w:bottom w:val="nil"/>
              <w:right w:val="nil"/>
            </w:tcBorders>
            <w:tcMar>
              <w:left w:w="115" w:type="dxa"/>
              <w:right w:w="115" w:type="dxa"/>
            </w:tcMar>
          </w:tcPr>
          <w:p w:rsidR="00C17676" w:rsidRPr="006E757D" w:rsidRDefault="00C17676" w:rsidP="00C17676">
            <w:pPr>
              <w:spacing w:before="180"/>
              <w:ind w:left="216"/>
              <w:jc w:val="right"/>
              <w:rPr>
                <w:rFonts w:cs="Arial"/>
                <w:b/>
                <w:bCs/>
                <w:i/>
                <w:iCs/>
                <w:szCs w:val="20"/>
              </w:rPr>
            </w:pPr>
            <w:r w:rsidRPr="006E757D">
              <w:rPr>
                <w:rFonts w:cs="Arial"/>
                <w:b/>
                <w:bCs/>
                <w:i/>
                <w:iCs/>
                <w:szCs w:val="20"/>
              </w:rPr>
              <w:t>Step 2</w:t>
            </w:r>
          </w:p>
        </w:tc>
        <w:tc>
          <w:tcPr>
            <w:tcW w:w="8705" w:type="dxa"/>
            <w:tcBorders>
              <w:top w:val="nil"/>
              <w:left w:val="nil"/>
              <w:bottom w:val="nil"/>
              <w:right w:val="nil"/>
            </w:tcBorders>
            <w:tcMar>
              <w:left w:w="115" w:type="dxa"/>
              <w:right w:w="115" w:type="dxa"/>
            </w:tcMar>
          </w:tcPr>
          <w:p w:rsidR="00C17676" w:rsidRPr="006E757D" w:rsidRDefault="00C17676" w:rsidP="00190006">
            <w:pPr>
              <w:pStyle w:val="Body"/>
            </w:pPr>
            <w:r w:rsidRPr="006E757D">
              <w:rPr>
                <w:bCs/>
              </w:rPr>
              <w:t xml:space="preserve">Establish </w:t>
            </w:r>
            <w:r w:rsidR="00515CFA" w:rsidRPr="006E757D">
              <w:rPr>
                <w:bCs/>
              </w:rPr>
              <w:t xml:space="preserve">a </w:t>
            </w:r>
            <w:r w:rsidRPr="006E757D">
              <w:rPr>
                <w:bCs/>
              </w:rPr>
              <w:t xml:space="preserve">timeline for sample frame validation. </w:t>
            </w:r>
            <w:r w:rsidRPr="006E757D">
              <w:t xml:space="preserve">The </w:t>
            </w:r>
            <w:r w:rsidR="0098683B" w:rsidRPr="006E757D">
              <w:rPr>
                <w:bCs/>
              </w:rPr>
              <w:t>NCQA Certified HEDIS Survey Vendor</w:t>
            </w:r>
            <w:r w:rsidR="0098683B" w:rsidRPr="006E757D" w:rsidDel="0098683B">
              <w:t xml:space="preserve"> </w:t>
            </w:r>
            <w:r w:rsidR="00165E1F" w:rsidRPr="006E757D">
              <w:t xml:space="preserve">gives the </w:t>
            </w:r>
            <w:r w:rsidR="00202822" w:rsidRPr="006E757D">
              <w:t>organization</w:t>
            </w:r>
            <w:r w:rsidRPr="006E757D">
              <w:t xml:space="preserve"> </w:t>
            </w:r>
            <w:r w:rsidR="00165E1F" w:rsidRPr="006E757D">
              <w:t>th</w:t>
            </w:r>
            <w:r w:rsidRPr="006E757D">
              <w:t xml:space="preserve">e date </w:t>
            </w:r>
            <w:r w:rsidR="00D2436B" w:rsidRPr="006E757D">
              <w:t>when</w:t>
            </w:r>
            <w:r w:rsidRPr="006E757D">
              <w:t xml:space="preserve"> </w:t>
            </w:r>
            <w:r w:rsidR="00190006" w:rsidRPr="006E757D">
              <w:t>it</w:t>
            </w:r>
            <w:r w:rsidRPr="006E757D">
              <w:t xml:space="preserve"> must </w:t>
            </w:r>
            <w:r w:rsidR="00D2436B" w:rsidRPr="006E757D">
              <w:t>r</w:t>
            </w:r>
            <w:r w:rsidRPr="006E757D">
              <w:t>e</w:t>
            </w:r>
            <w:r w:rsidR="00D2436B" w:rsidRPr="006E757D">
              <w:t>ceive</w:t>
            </w:r>
            <w:r w:rsidRPr="006E757D">
              <w:t xml:space="preserve"> the</w:t>
            </w:r>
            <w:r w:rsidR="00AB521C" w:rsidRPr="006E757D">
              <w:t xml:space="preserve"> validated Survey</w:t>
            </w:r>
            <w:r w:rsidRPr="006E757D">
              <w:t xml:space="preserve"> </w:t>
            </w:r>
            <w:r w:rsidR="001F68D6" w:rsidRPr="006E757D">
              <w:rPr>
                <w:bCs/>
              </w:rPr>
              <w:t>Sample Frame</w:t>
            </w:r>
            <w:r w:rsidR="00165E1F" w:rsidRPr="006E757D">
              <w:t>,</w:t>
            </w:r>
            <w:r w:rsidRPr="006E757D">
              <w:t xml:space="preserve"> and</w:t>
            </w:r>
            <w:r w:rsidR="00045A05" w:rsidRPr="006E757D">
              <w:t xml:space="preserve"> </w:t>
            </w:r>
            <w:r w:rsidRPr="006E757D">
              <w:t xml:space="preserve">the auditor </w:t>
            </w:r>
            <w:r w:rsidR="00045A05" w:rsidRPr="006E757D">
              <w:t>must</w:t>
            </w:r>
            <w:r w:rsidRPr="006E757D">
              <w:t xml:space="preserve"> complete the validation by that date</w:t>
            </w:r>
            <w:r w:rsidR="00165E1F" w:rsidRPr="006E757D">
              <w:t xml:space="preserve"> (generally, by </w:t>
            </w:r>
            <w:r w:rsidRPr="006E757D">
              <w:t>the end of January</w:t>
            </w:r>
            <w:r w:rsidR="00165E1F" w:rsidRPr="006E757D">
              <w:t>)</w:t>
            </w:r>
            <w:r w:rsidRPr="006E757D">
              <w:t>.</w:t>
            </w:r>
          </w:p>
        </w:tc>
      </w:tr>
      <w:tr w:rsidR="00FD2F76" w:rsidRPr="006E757D" w:rsidTr="007475DD">
        <w:tc>
          <w:tcPr>
            <w:tcW w:w="1195" w:type="dxa"/>
            <w:tcBorders>
              <w:top w:val="nil"/>
              <w:left w:val="nil"/>
              <w:bottom w:val="nil"/>
              <w:right w:val="nil"/>
            </w:tcBorders>
            <w:tcMar>
              <w:left w:w="115" w:type="dxa"/>
              <w:right w:w="115" w:type="dxa"/>
            </w:tcMar>
          </w:tcPr>
          <w:p w:rsidR="00FD2F76" w:rsidRPr="006E757D" w:rsidRDefault="00FD2F76" w:rsidP="005B59B3">
            <w:pPr>
              <w:spacing w:before="180"/>
              <w:ind w:left="216"/>
              <w:jc w:val="right"/>
              <w:rPr>
                <w:rFonts w:cs="Arial"/>
                <w:b/>
                <w:bCs/>
                <w:i/>
                <w:iCs/>
                <w:szCs w:val="20"/>
              </w:rPr>
            </w:pPr>
            <w:r w:rsidRPr="006E757D">
              <w:br w:type="page"/>
            </w:r>
            <w:r w:rsidRPr="006E757D">
              <w:br w:type="page"/>
            </w:r>
            <w:r w:rsidRPr="006E757D">
              <w:br w:type="page"/>
            </w:r>
            <w:r w:rsidRPr="006E757D">
              <w:rPr>
                <w:rFonts w:cs="Arial"/>
                <w:b/>
                <w:bCs/>
                <w:i/>
                <w:iCs/>
                <w:szCs w:val="20"/>
              </w:rPr>
              <w:t>Step 3</w:t>
            </w:r>
          </w:p>
        </w:tc>
        <w:tc>
          <w:tcPr>
            <w:tcW w:w="8705" w:type="dxa"/>
            <w:tcBorders>
              <w:top w:val="nil"/>
              <w:left w:val="nil"/>
              <w:bottom w:val="nil"/>
              <w:right w:val="nil"/>
            </w:tcBorders>
            <w:tcMar>
              <w:left w:w="115" w:type="dxa"/>
              <w:right w:w="115" w:type="dxa"/>
            </w:tcMar>
          </w:tcPr>
          <w:p w:rsidR="00FD2F76" w:rsidRPr="006E757D" w:rsidRDefault="00FD2F76" w:rsidP="005B59B3">
            <w:pPr>
              <w:pStyle w:val="Body"/>
            </w:pPr>
            <w:r w:rsidRPr="006E757D">
              <w:t>If the organization does not use NCQA</w:t>
            </w:r>
            <w:r w:rsidR="00190006" w:rsidRPr="006E757D">
              <w:t xml:space="preserve"> </w:t>
            </w:r>
            <w:r w:rsidRPr="006E757D">
              <w:t xml:space="preserve">Certified software, the auditor reviews the source code used to generate the survey sample frame and determines its compliance with specifications for survey measures. If </w:t>
            </w:r>
            <w:r w:rsidR="00190006" w:rsidRPr="006E757D">
              <w:t xml:space="preserve">there are </w:t>
            </w:r>
            <w:r w:rsidRPr="006E757D">
              <w:t>problems with the source code, the auditor notifies</w:t>
            </w:r>
            <w:r w:rsidRPr="006E757D">
              <w:rPr>
                <w:i/>
                <w:iCs/>
              </w:rPr>
              <w:t xml:space="preserve"> </w:t>
            </w:r>
            <w:r w:rsidRPr="006E757D">
              <w:t>the organization that corrective action is required.</w:t>
            </w:r>
          </w:p>
          <w:p w:rsidR="00FD2F76" w:rsidRPr="006E757D" w:rsidRDefault="00FD2F76" w:rsidP="00FD2F76">
            <w:pPr>
              <w:pStyle w:val="Body"/>
            </w:pPr>
            <w:r w:rsidRPr="006E757D">
              <w:t xml:space="preserve">Software certification validates that the </w:t>
            </w:r>
            <w:r w:rsidR="008F4B14">
              <w:t>e</w:t>
            </w:r>
            <w:r w:rsidRPr="006E757D">
              <w:t xml:space="preserve">ligible </w:t>
            </w:r>
            <w:r w:rsidR="008F4B14">
              <w:t>p</w:t>
            </w:r>
            <w:r w:rsidRPr="006E757D">
              <w:t xml:space="preserve">opulation criteria </w:t>
            </w:r>
            <w:r w:rsidR="008F4B14">
              <w:t xml:space="preserve">was </w:t>
            </w:r>
            <w:r w:rsidRPr="006E757D">
              <w:t>applied correctly</w:t>
            </w:r>
            <w:r w:rsidR="008F4B14">
              <w:t>,</w:t>
            </w:r>
            <w:r w:rsidRPr="006E757D">
              <w:t xml:space="preserve"> including</w:t>
            </w:r>
            <w:r w:rsidR="008F4B14">
              <w:t>:</w:t>
            </w:r>
            <w:r w:rsidRPr="006E757D">
              <w:t xml:space="preserve"> age, gender, conti</w:t>
            </w:r>
            <w:r w:rsidR="002A129F">
              <w:t xml:space="preserve">nuous enrollment, allowable gap, </w:t>
            </w:r>
            <w:r w:rsidRPr="006E757D">
              <w:t>current enrollment</w:t>
            </w:r>
            <w:r w:rsidR="002A129F">
              <w:t>, measure flags</w:t>
            </w:r>
            <w:r w:rsidR="008F4B14">
              <w:t xml:space="preserve">. It also validates that </w:t>
            </w:r>
            <w:r w:rsidRPr="006E757D">
              <w:t xml:space="preserve">all eligible members were selected and the </w:t>
            </w:r>
            <w:r w:rsidR="006D531A" w:rsidRPr="006E757D">
              <w:t xml:space="preserve">NCQA </w:t>
            </w:r>
            <w:r w:rsidRPr="006E757D">
              <w:t xml:space="preserve">specified file layout is used. </w:t>
            </w:r>
          </w:p>
          <w:p w:rsidR="00FD2F76" w:rsidRPr="006E757D" w:rsidRDefault="00FD2F76" w:rsidP="00FD2F76">
            <w:pPr>
              <w:pStyle w:val="Bullet"/>
            </w:pPr>
            <w:r w:rsidRPr="006E757D">
              <w:rPr>
                <w:i/>
              </w:rPr>
              <w:t xml:space="preserve">If the survey sample frame method received a </w:t>
            </w:r>
            <w:r w:rsidRPr="006E757D">
              <w:rPr>
                <w:i/>
                <w:iCs/>
              </w:rPr>
              <w:t xml:space="preserve">Pass </w:t>
            </w:r>
            <w:r w:rsidRPr="006E757D">
              <w:rPr>
                <w:i/>
              </w:rPr>
              <w:t xml:space="preserve">status, </w:t>
            </w:r>
            <w:r w:rsidRPr="006E757D">
              <w:t xml:space="preserve">the auditor does not review the survey sample frame source code. </w:t>
            </w:r>
          </w:p>
          <w:p w:rsidR="00FD2F76" w:rsidRPr="006E757D" w:rsidRDefault="00FD2F76" w:rsidP="00FD2F76">
            <w:pPr>
              <w:pStyle w:val="Bullet"/>
            </w:pPr>
            <w:r w:rsidRPr="006E757D">
              <w:rPr>
                <w:i/>
              </w:rPr>
              <w:t xml:space="preserve">If the survey sample frame method received a </w:t>
            </w:r>
            <w:r w:rsidRPr="006E757D">
              <w:rPr>
                <w:i/>
                <w:iCs/>
              </w:rPr>
              <w:t xml:space="preserve">Pass With Qualifications </w:t>
            </w:r>
            <w:r w:rsidRPr="006E757D">
              <w:rPr>
                <w:i/>
              </w:rPr>
              <w:t xml:space="preserve">status, </w:t>
            </w:r>
            <w:r w:rsidRPr="006E757D">
              <w:t>the auditor reviews the certification report to determine the reason. The auditor ascertains whether the organization performed the steps necessary to address the areas of qualification or, if not, whether there is material bias in the organization</w:t>
            </w:r>
            <w:r w:rsidR="00660316">
              <w:t>’</w:t>
            </w:r>
            <w:r w:rsidRPr="006E757D">
              <w:t>s eligible population.</w:t>
            </w:r>
          </w:p>
          <w:p w:rsidR="00FD2F76" w:rsidRPr="006E757D" w:rsidRDefault="00FD2F76" w:rsidP="00FD2F76">
            <w:pPr>
              <w:pStyle w:val="Bullet"/>
            </w:pPr>
            <w:r w:rsidRPr="006E757D">
              <w:rPr>
                <w:i/>
              </w:rPr>
              <w:t xml:space="preserve">If the survey sample frame method received a </w:t>
            </w:r>
            <w:r w:rsidRPr="006E757D">
              <w:rPr>
                <w:i/>
                <w:iCs/>
              </w:rPr>
              <w:t xml:space="preserve">Fail </w:t>
            </w:r>
            <w:r w:rsidRPr="006E757D">
              <w:rPr>
                <w:i/>
              </w:rPr>
              <w:t>status</w:t>
            </w:r>
            <w:r w:rsidRPr="006E757D">
              <w:t xml:space="preserve"> and the organization uses an alternative method, the auditor evaluates the process used by the organization or vendor to produce the sample frame and verifies that the appropriate fields are included in the sample frame output file.</w:t>
            </w:r>
          </w:p>
        </w:tc>
      </w:tr>
    </w:tbl>
    <w:p w:rsidR="00361A0B" w:rsidRPr="006E757D" w:rsidRDefault="00361A0B">
      <w:pPr>
        <w:sectPr w:rsidR="00361A0B" w:rsidRPr="006E757D" w:rsidSect="0079769B">
          <w:headerReference w:type="default" r:id="rId23"/>
          <w:pgSz w:w="12240" w:h="15840" w:code="1"/>
          <w:pgMar w:top="1080" w:right="1080" w:bottom="1080" w:left="1440" w:header="720" w:footer="720" w:gutter="0"/>
          <w:paperSrc w:first="7" w:other="7"/>
          <w:cols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95"/>
        <w:gridCol w:w="8705"/>
      </w:tblGrid>
      <w:tr w:rsidR="00FD2F76" w:rsidRPr="006E757D" w:rsidTr="002E12EC">
        <w:tc>
          <w:tcPr>
            <w:tcW w:w="1195" w:type="dxa"/>
            <w:tcBorders>
              <w:top w:val="nil"/>
              <w:left w:val="nil"/>
              <w:bottom w:val="nil"/>
              <w:right w:val="nil"/>
            </w:tcBorders>
            <w:tcMar>
              <w:left w:w="115" w:type="dxa"/>
              <w:right w:w="115" w:type="dxa"/>
            </w:tcMar>
          </w:tcPr>
          <w:p w:rsidR="00FD2F76" w:rsidRPr="006E757D" w:rsidRDefault="00FD2F76" w:rsidP="00361A0B">
            <w:pPr>
              <w:ind w:left="216"/>
              <w:jc w:val="right"/>
              <w:rPr>
                <w:rFonts w:cs="Arial"/>
                <w:b/>
                <w:bCs/>
                <w:i/>
                <w:iCs/>
                <w:szCs w:val="20"/>
              </w:rPr>
            </w:pPr>
            <w:r w:rsidRPr="006E757D">
              <w:rPr>
                <w:rFonts w:cs="Arial"/>
                <w:b/>
                <w:bCs/>
                <w:i/>
                <w:iCs/>
                <w:szCs w:val="20"/>
              </w:rPr>
              <w:lastRenderedPageBreak/>
              <w:t>Step 4</w:t>
            </w:r>
          </w:p>
        </w:tc>
        <w:tc>
          <w:tcPr>
            <w:tcW w:w="8705" w:type="dxa"/>
            <w:tcBorders>
              <w:top w:val="nil"/>
              <w:left w:val="nil"/>
              <w:bottom w:val="nil"/>
              <w:right w:val="nil"/>
            </w:tcBorders>
            <w:tcMar>
              <w:left w:w="115" w:type="dxa"/>
              <w:right w:w="115" w:type="dxa"/>
            </w:tcMar>
          </w:tcPr>
          <w:p w:rsidR="00FD2F76" w:rsidRPr="006E757D" w:rsidRDefault="00FD2F76" w:rsidP="00361A0B">
            <w:pPr>
              <w:pStyle w:val="Body"/>
              <w:spacing w:before="0"/>
            </w:pPr>
            <w:r w:rsidRPr="006E757D">
              <w:t xml:space="preserve">The auditor reviews the output file for every sample frame, verifying </w:t>
            </w:r>
            <w:r w:rsidR="00230C1A" w:rsidRPr="006E757D">
              <w:t>compliance</w:t>
            </w:r>
            <w:r w:rsidRPr="006E757D">
              <w:t xml:space="preserve"> with the required layout specified in </w:t>
            </w:r>
            <w:r w:rsidRPr="006E757D">
              <w:rPr>
                <w:i/>
                <w:iCs/>
              </w:rPr>
              <w:t>Volume 3: Specifications for Survey Measures</w:t>
            </w:r>
            <w:r w:rsidRPr="006E757D">
              <w:t>, and that the eligible population</w:t>
            </w:r>
            <w:r w:rsidR="00EF3322" w:rsidRPr="006E757D">
              <w:t xml:space="preserve">, or a correctly </w:t>
            </w:r>
            <w:r w:rsidR="00EF3322" w:rsidRPr="008D2FD2">
              <w:rPr>
                <w:bCs/>
              </w:rPr>
              <w:t>reduced sample frame</w:t>
            </w:r>
            <w:r w:rsidR="00EF3322" w:rsidRPr="006E757D">
              <w:t xml:space="preserve"> that includes 30,000 members randomly selected from the entire Eligible Population,</w:t>
            </w:r>
            <w:r w:rsidRPr="006E757D">
              <w:t xml:space="preserve"> and all required data elements are included. For example, a </w:t>
            </w:r>
            <w:r w:rsidRPr="006E757D">
              <w:rPr>
                <w:i/>
              </w:rPr>
              <w:t>Flu Shots for Adults Ages 50–64</w:t>
            </w:r>
            <w:r w:rsidRPr="006E757D">
              <w:t xml:space="preserve"> Eligibility Flag must be set for each member in the adult survey sample frame and the auditor must determine whether this flag is assigned correctly. For the </w:t>
            </w:r>
            <w:r w:rsidRPr="006E757D">
              <w:rPr>
                <w:i/>
              </w:rPr>
              <w:t>Children With Chronic Conditions</w:t>
            </w:r>
            <w:r w:rsidRPr="006E757D">
              <w:t xml:space="preserve"> measure, a Prescreen Status Code must be included in the child survey sample frame and the auditor must assess whether this flag is assigned correctly.</w:t>
            </w:r>
          </w:p>
          <w:p w:rsidR="00FD2F76" w:rsidRPr="006E757D" w:rsidRDefault="00FD2F76" w:rsidP="001F0788">
            <w:pPr>
              <w:pStyle w:val="Body"/>
              <w:spacing w:before="120"/>
            </w:pPr>
            <w:r w:rsidRPr="006E757D">
              <w:t xml:space="preserve">Auditors must also analyze and assess the prevalence and completeness of membership data (e.g., full address [including zip code]; age outliers, gender ratios) for each survey sample frame. </w:t>
            </w:r>
          </w:p>
          <w:p w:rsidR="001C2ADD" w:rsidRPr="006E757D" w:rsidRDefault="00361A0B" w:rsidP="001C2ADD">
            <w:pPr>
              <w:pStyle w:val="Body"/>
            </w:pPr>
            <w:r w:rsidRPr="006E757D">
              <w:t xml:space="preserve">There are no exclusions specified for HEDIS survey measures. Members excluded from the sample frame must be clearly documented and evaluated by the auditor during sample frame validation. </w:t>
            </w:r>
          </w:p>
          <w:p w:rsidR="00361A0B" w:rsidRPr="006E757D" w:rsidRDefault="00361A0B" w:rsidP="00361A0B">
            <w:pPr>
              <w:pStyle w:val="Body"/>
              <w:spacing w:before="120"/>
            </w:pPr>
            <w:r w:rsidRPr="006E757D">
              <w:rPr>
                <w:szCs w:val="20"/>
              </w:rPr>
              <w:t>For survey measures, material bias is caused by a (+/–</w:t>
            </w:r>
            <w:r w:rsidR="00CD55DB" w:rsidRPr="006E757D">
              <w:rPr>
                <w:szCs w:val="20"/>
              </w:rPr>
              <w:t>)10</w:t>
            </w:r>
            <w:r w:rsidRPr="006E757D">
              <w:rPr>
                <w:szCs w:val="20"/>
              </w:rPr>
              <w:t xml:space="preserve"> percent difference between the eligible population and the survey sample frame. For example, if an error creating the sample frame results in more than 10 percent of the eligible population being excluded from the sample frame and the organization cannot correct the error, the sample frame is materially biased and the sample frame cannot be sent to the survey vendor.</w:t>
            </w:r>
          </w:p>
        </w:tc>
      </w:tr>
      <w:tr w:rsidR="001F68D6" w:rsidRPr="006E757D" w:rsidTr="007475DD">
        <w:tc>
          <w:tcPr>
            <w:tcW w:w="1195" w:type="dxa"/>
            <w:tcBorders>
              <w:top w:val="nil"/>
              <w:left w:val="nil"/>
              <w:bottom w:val="nil"/>
              <w:right w:val="nil"/>
            </w:tcBorders>
            <w:tcMar>
              <w:left w:w="115" w:type="dxa"/>
              <w:right w:w="115" w:type="dxa"/>
            </w:tcMar>
          </w:tcPr>
          <w:p w:rsidR="001F68D6" w:rsidRPr="006E757D" w:rsidRDefault="001F68D6" w:rsidP="00993916">
            <w:pPr>
              <w:spacing w:before="180"/>
              <w:ind w:left="216"/>
              <w:jc w:val="right"/>
              <w:rPr>
                <w:rFonts w:cs="Arial"/>
                <w:b/>
                <w:bCs/>
                <w:i/>
                <w:iCs/>
                <w:szCs w:val="20"/>
              </w:rPr>
            </w:pPr>
            <w:r w:rsidRPr="006E757D">
              <w:rPr>
                <w:rFonts w:cs="Arial"/>
                <w:b/>
                <w:bCs/>
                <w:i/>
                <w:iCs/>
                <w:szCs w:val="20"/>
              </w:rPr>
              <w:t>Step 5</w:t>
            </w:r>
          </w:p>
        </w:tc>
        <w:tc>
          <w:tcPr>
            <w:tcW w:w="8705" w:type="dxa"/>
            <w:tcBorders>
              <w:top w:val="nil"/>
              <w:left w:val="nil"/>
              <w:bottom w:val="nil"/>
              <w:right w:val="nil"/>
            </w:tcBorders>
            <w:tcMar>
              <w:left w:w="115" w:type="dxa"/>
              <w:right w:w="115" w:type="dxa"/>
            </w:tcMar>
          </w:tcPr>
          <w:p w:rsidR="00230C1A" w:rsidRPr="006E757D" w:rsidRDefault="001F68D6" w:rsidP="00230C1A">
            <w:pPr>
              <w:pStyle w:val="Body"/>
              <w:rPr>
                <w:iCs/>
              </w:rPr>
            </w:pPr>
            <w:r w:rsidRPr="006E757D">
              <w:t xml:space="preserve">The auditor </w:t>
            </w:r>
            <w:r w:rsidR="00AB521C" w:rsidRPr="006E757D">
              <w:t>indicates</w:t>
            </w:r>
            <w:r w:rsidR="00EA426D" w:rsidRPr="006E757D">
              <w:t xml:space="preserve"> </w:t>
            </w:r>
            <w:r w:rsidR="00000DB7" w:rsidRPr="006E757D">
              <w:t>approv</w:t>
            </w:r>
            <w:r w:rsidR="00EA426D" w:rsidRPr="006E757D">
              <w:t>al of</w:t>
            </w:r>
            <w:r w:rsidR="00000DB7" w:rsidRPr="006E757D">
              <w:t xml:space="preserve"> the </w:t>
            </w:r>
            <w:r w:rsidR="00AB521C" w:rsidRPr="006E757D">
              <w:t xml:space="preserve">sample frame </w:t>
            </w:r>
            <w:r w:rsidR="00230C1A" w:rsidRPr="006E757D">
              <w:t>in the Healthcare Organization Questionnaire (HOQ)</w:t>
            </w:r>
            <w:r w:rsidRPr="006E757D">
              <w:rPr>
                <w:i/>
                <w:iCs/>
              </w:rPr>
              <w:t>.</w:t>
            </w:r>
            <w:r w:rsidR="00230C1A" w:rsidRPr="006E757D">
              <w:rPr>
                <w:i/>
                <w:iCs/>
              </w:rPr>
              <w:t xml:space="preserve"> </w:t>
            </w:r>
          </w:p>
          <w:p w:rsidR="00D845FF" w:rsidRPr="006E757D" w:rsidRDefault="00D845FF" w:rsidP="00230C1A">
            <w:pPr>
              <w:pStyle w:val="Body"/>
              <w:rPr>
                <w:iCs/>
              </w:rPr>
            </w:pPr>
            <w:r w:rsidRPr="006E757D">
              <w:rPr>
                <w:iCs/>
              </w:rPr>
              <w:t>The organization send</w:t>
            </w:r>
            <w:r w:rsidR="00AB521C" w:rsidRPr="006E757D">
              <w:rPr>
                <w:iCs/>
              </w:rPr>
              <w:t>s</w:t>
            </w:r>
            <w:r w:rsidRPr="006E757D">
              <w:rPr>
                <w:iCs/>
              </w:rPr>
              <w:t xml:space="preserve"> the </w:t>
            </w:r>
            <w:r w:rsidR="00AB521C" w:rsidRPr="006E757D">
              <w:rPr>
                <w:iCs/>
              </w:rPr>
              <w:t>sample frame and notice of the auditor</w:t>
            </w:r>
            <w:r w:rsidR="00660316">
              <w:rPr>
                <w:iCs/>
              </w:rPr>
              <w:t>’</w:t>
            </w:r>
            <w:r w:rsidR="00AB521C" w:rsidRPr="006E757D">
              <w:rPr>
                <w:iCs/>
              </w:rPr>
              <w:t xml:space="preserve">s approval to </w:t>
            </w:r>
            <w:r w:rsidRPr="006E757D">
              <w:rPr>
                <w:iCs/>
              </w:rPr>
              <w:t>the Survey Vendor.</w:t>
            </w:r>
          </w:p>
          <w:p w:rsidR="00EF3322" w:rsidRPr="006E757D" w:rsidRDefault="00EF3322" w:rsidP="008D2FD2">
            <w:pPr>
              <w:pStyle w:val="Note"/>
            </w:pPr>
            <w:r w:rsidRPr="006E757D">
              <w:rPr>
                <w:b/>
              </w:rPr>
              <w:t>Note:</w:t>
            </w:r>
            <w:r w:rsidR="00E04A11" w:rsidRPr="006E757D">
              <w:t xml:space="preserve"> T</w:t>
            </w:r>
            <w:r w:rsidRPr="006E757D">
              <w:t xml:space="preserve">he two components of </w:t>
            </w:r>
            <w:r w:rsidR="008D2FD2">
              <w:t>s</w:t>
            </w:r>
            <w:r w:rsidRPr="006E757D">
              <w:t>tep 5 do not have to occur in order.</w:t>
            </w:r>
          </w:p>
        </w:tc>
      </w:tr>
      <w:tr w:rsidR="00C17676" w:rsidRPr="006E757D" w:rsidTr="007475DD">
        <w:tc>
          <w:tcPr>
            <w:tcW w:w="1195" w:type="dxa"/>
            <w:tcBorders>
              <w:top w:val="nil"/>
              <w:left w:val="nil"/>
              <w:bottom w:val="nil"/>
              <w:right w:val="nil"/>
            </w:tcBorders>
            <w:tcMar>
              <w:left w:w="115" w:type="dxa"/>
              <w:right w:w="115" w:type="dxa"/>
            </w:tcMar>
          </w:tcPr>
          <w:p w:rsidR="00C17676" w:rsidRPr="006E757D" w:rsidRDefault="001F68D6" w:rsidP="00C17676">
            <w:pPr>
              <w:spacing w:before="180"/>
              <w:ind w:left="216"/>
              <w:jc w:val="right"/>
              <w:rPr>
                <w:rFonts w:cs="Arial"/>
                <w:b/>
                <w:bCs/>
                <w:i/>
                <w:iCs/>
                <w:szCs w:val="20"/>
              </w:rPr>
            </w:pPr>
            <w:r w:rsidRPr="006E757D">
              <w:rPr>
                <w:rFonts w:cs="Arial"/>
                <w:b/>
                <w:bCs/>
                <w:i/>
                <w:iCs/>
                <w:szCs w:val="20"/>
              </w:rPr>
              <w:t>Step 6</w:t>
            </w:r>
          </w:p>
        </w:tc>
        <w:tc>
          <w:tcPr>
            <w:tcW w:w="8705" w:type="dxa"/>
            <w:tcBorders>
              <w:top w:val="nil"/>
              <w:left w:val="nil"/>
              <w:bottom w:val="nil"/>
              <w:right w:val="nil"/>
            </w:tcBorders>
            <w:tcMar>
              <w:left w:w="115" w:type="dxa"/>
              <w:right w:w="115" w:type="dxa"/>
            </w:tcMar>
          </w:tcPr>
          <w:p w:rsidR="00C17676" w:rsidRPr="006E757D" w:rsidRDefault="00C17676" w:rsidP="00350970">
            <w:pPr>
              <w:pStyle w:val="Body"/>
            </w:pPr>
            <w:r w:rsidRPr="006E757D">
              <w:t xml:space="preserve">The </w:t>
            </w:r>
            <w:r w:rsidR="00202822" w:rsidRPr="006E757D">
              <w:t>organization</w:t>
            </w:r>
            <w:r w:rsidR="00660316">
              <w:t>’</w:t>
            </w:r>
            <w:r w:rsidRPr="006E757D">
              <w:t xml:space="preserve">s process for managing medical and membership information is reviewed during the onsite visit. If findings from the onsite review indicate problems with the medical or membership systems, the auditor </w:t>
            </w:r>
            <w:r w:rsidR="006813EB" w:rsidRPr="006E757D">
              <w:t>must notify the organization an</w:t>
            </w:r>
            <w:r w:rsidR="00B847D9" w:rsidRPr="006E757D">
              <w:t>d</w:t>
            </w:r>
            <w:r w:rsidR="006813EB" w:rsidRPr="006E757D">
              <w:t xml:space="preserve"> the survey vendor that the survey results are at risk</w:t>
            </w:r>
            <w:r w:rsidR="00E95B6F" w:rsidRPr="006E757D">
              <w:rPr>
                <w:i/>
                <w:iCs/>
              </w:rPr>
              <w:t>.</w:t>
            </w:r>
          </w:p>
        </w:tc>
      </w:tr>
    </w:tbl>
    <w:p w:rsidR="001C2ADD" w:rsidRPr="006E757D" w:rsidRDefault="001C2ADD" w:rsidP="0007016D">
      <w:pPr>
        <w:pStyle w:val="SubHead"/>
        <w:spacing w:before="240"/>
        <w:rPr>
          <w:b w:val="0"/>
          <w:i/>
        </w:rPr>
      </w:pPr>
      <w:r w:rsidRPr="006E757D">
        <w:rPr>
          <w:i/>
        </w:rPr>
        <w:t>Note</w:t>
      </w:r>
    </w:p>
    <w:p w:rsidR="00C17676" w:rsidRPr="006E757D" w:rsidRDefault="00C17676" w:rsidP="00350970">
      <w:pPr>
        <w:pStyle w:val="ProcessBullet"/>
        <w:spacing w:before="180"/>
        <w:rPr>
          <w:i/>
        </w:rPr>
      </w:pPr>
      <w:r w:rsidRPr="006E757D">
        <w:rPr>
          <w:i/>
        </w:rPr>
        <w:t xml:space="preserve">Medicare survey measures are collected, calculated and reported by CMS and are not in the scope of the HEDIS Compliance Audit. These measures include the Medicare CAHPS survey, the HOS, Advising Smokers to Quit (as a subset of </w:t>
      </w:r>
      <w:r w:rsidR="004E2897" w:rsidRPr="006E757D">
        <w:rPr>
          <w:i/>
        </w:rPr>
        <w:t>Medical Assistance With Smoking and Tobacco Use Cessation</w:t>
      </w:r>
      <w:r w:rsidRPr="006E757D">
        <w:rPr>
          <w:i/>
        </w:rPr>
        <w:t xml:space="preserve">), Flu Shots for Older Adults, </w:t>
      </w:r>
      <w:r w:rsidR="000241C3">
        <w:rPr>
          <w:i/>
        </w:rPr>
        <w:t>Pneumococcal</w:t>
      </w:r>
      <w:r w:rsidR="000241C3" w:rsidRPr="006E757D">
        <w:rPr>
          <w:i/>
        </w:rPr>
        <w:t xml:space="preserve"> </w:t>
      </w:r>
      <w:r w:rsidRPr="006E757D">
        <w:rPr>
          <w:i/>
        </w:rPr>
        <w:t>Vaccination Status for Older Adults), Management of Urinary Incontinence in Older Adults and Physical Activity in Older Adults.</w:t>
      </w:r>
    </w:p>
    <w:p w:rsidR="00F101DC" w:rsidRPr="006E757D" w:rsidRDefault="00C17676" w:rsidP="00350970">
      <w:pPr>
        <w:pStyle w:val="ProcessBullet"/>
        <w:rPr>
          <w:i/>
        </w:rPr>
        <w:sectPr w:rsidR="00F101DC" w:rsidRPr="006E757D" w:rsidSect="00C228DE">
          <w:headerReference w:type="even" r:id="rId24"/>
          <w:pgSz w:w="12240" w:h="15840" w:code="1"/>
          <w:pgMar w:top="1080" w:right="1080" w:bottom="1080" w:left="1440" w:header="720" w:footer="720" w:gutter="0"/>
          <w:paperSrc w:first="7" w:other="7"/>
          <w:cols w:space="720"/>
          <w:noEndnote/>
        </w:sectPr>
      </w:pPr>
      <w:r w:rsidRPr="006E757D">
        <w:rPr>
          <w:i/>
        </w:rPr>
        <w:t xml:space="preserve">NCQA allows an audit </w:t>
      </w:r>
      <w:r w:rsidR="00771DAC" w:rsidRPr="006E757D">
        <w:rPr>
          <w:i/>
        </w:rPr>
        <w:t xml:space="preserve">result for a </w:t>
      </w:r>
      <w:r w:rsidRPr="006E757D">
        <w:rPr>
          <w:i/>
        </w:rPr>
        <w:t>measure rendered by one auditor to be used in another auditor</w:t>
      </w:r>
      <w:r w:rsidR="00660316">
        <w:rPr>
          <w:i/>
        </w:rPr>
        <w:t>’</w:t>
      </w:r>
      <w:r w:rsidRPr="006E757D">
        <w:rPr>
          <w:i/>
        </w:rPr>
        <w:t xml:space="preserve">s opinion without further review. If the </w:t>
      </w:r>
      <w:r w:rsidR="00202822" w:rsidRPr="006E757D">
        <w:rPr>
          <w:i/>
        </w:rPr>
        <w:t>organization</w:t>
      </w:r>
      <w:r w:rsidR="00660316">
        <w:rPr>
          <w:i/>
        </w:rPr>
        <w:t>’</w:t>
      </w:r>
      <w:r w:rsidRPr="006E757D">
        <w:rPr>
          <w:i/>
        </w:rPr>
        <w:t xml:space="preserve">s survey is administered as part of a larger program (e.g., surveys performed by a state contract as part of an </w:t>
      </w:r>
      <w:r w:rsidR="00943BC9">
        <w:rPr>
          <w:i/>
        </w:rPr>
        <w:t>external quality review [</w:t>
      </w:r>
      <w:r w:rsidRPr="006E757D">
        <w:rPr>
          <w:i/>
        </w:rPr>
        <w:t>EQR</w:t>
      </w:r>
      <w:r w:rsidR="00943BC9">
        <w:rPr>
          <w:i/>
        </w:rPr>
        <w:t>]</w:t>
      </w:r>
      <w:r w:rsidRPr="006E757D">
        <w:rPr>
          <w:i/>
        </w:rPr>
        <w:t xml:space="preserve"> program) and are not reported on a separate </w:t>
      </w:r>
      <w:r w:rsidR="001E3FE8" w:rsidRPr="006E757D">
        <w:rPr>
          <w:i/>
        </w:rPr>
        <w:t xml:space="preserve">data </w:t>
      </w:r>
      <w:r w:rsidRPr="006E757D">
        <w:rPr>
          <w:i/>
        </w:rPr>
        <w:t xml:space="preserve">submission tool, the </w:t>
      </w:r>
      <w:r w:rsidR="0043629E">
        <w:rPr>
          <w:i/>
        </w:rPr>
        <w:t>organization</w:t>
      </w:r>
      <w:r w:rsidR="0043629E" w:rsidRPr="006E757D">
        <w:rPr>
          <w:i/>
        </w:rPr>
        <w:t xml:space="preserve"> </w:t>
      </w:r>
      <w:r w:rsidRPr="006E757D">
        <w:rPr>
          <w:i/>
        </w:rPr>
        <w:t>may indicate on its submission tool the audit results from the state</w:t>
      </w:r>
      <w:r w:rsidR="00660316">
        <w:rPr>
          <w:i/>
        </w:rPr>
        <w:t>’</w:t>
      </w:r>
      <w:r w:rsidRPr="006E757D">
        <w:rPr>
          <w:i/>
        </w:rPr>
        <w:t xml:space="preserve">s effort with another auditor. The </w:t>
      </w:r>
      <w:r w:rsidR="0043629E">
        <w:rPr>
          <w:i/>
        </w:rPr>
        <w:t>organization’</w:t>
      </w:r>
      <w:r w:rsidR="0043629E" w:rsidRPr="006E757D">
        <w:rPr>
          <w:i/>
        </w:rPr>
        <w:t xml:space="preserve">s </w:t>
      </w:r>
      <w:r w:rsidRPr="006E757D">
        <w:rPr>
          <w:i/>
        </w:rPr>
        <w:t xml:space="preserve">work papers should include the appropriate documents from the auditor rendering the </w:t>
      </w:r>
      <w:r w:rsidR="00771DAC" w:rsidRPr="006E757D">
        <w:rPr>
          <w:i/>
        </w:rPr>
        <w:t>final result</w:t>
      </w:r>
      <w:r w:rsidRPr="006E757D">
        <w:rPr>
          <w:i/>
        </w:rPr>
        <w:t xml:space="preserve">. </w:t>
      </w:r>
    </w:p>
    <w:p w:rsidR="00D1716E" w:rsidRPr="006E757D" w:rsidRDefault="00D1716E" w:rsidP="00F101DC">
      <w:pPr>
        <w:pStyle w:val="StdHead"/>
        <w:spacing w:before="0"/>
        <w:rPr>
          <w:color w:val="auto"/>
        </w:rPr>
      </w:pPr>
      <w:r w:rsidRPr="006E757D">
        <w:rPr>
          <w:color w:val="auto"/>
        </w:rPr>
        <w:lastRenderedPageBreak/>
        <w:t>Core Set Measure Selection</w:t>
      </w:r>
      <w:r w:rsidR="00C57AF1" w:rsidRPr="006E757D">
        <w:rPr>
          <w:color w:val="auto"/>
        </w:rPr>
        <w:t xml:space="preserve"> for Source Code Review</w:t>
      </w:r>
    </w:p>
    <w:p w:rsidR="00BE6ACD" w:rsidRPr="006E757D" w:rsidRDefault="00BE6ACD">
      <w:pPr>
        <w:pStyle w:val="Body"/>
      </w:pPr>
      <w:r w:rsidRPr="006E757D">
        <w:t xml:space="preserve">The Certified Auditor </w:t>
      </w:r>
      <w:r w:rsidR="00E75CA1" w:rsidRPr="006E757D">
        <w:t xml:space="preserve">examines </w:t>
      </w:r>
      <w:r w:rsidRPr="006E757D">
        <w:t xml:space="preserve">and </w:t>
      </w:r>
      <w:r w:rsidR="00E75CA1" w:rsidRPr="006E757D">
        <w:t>approves public reporting</w:t>
      </w:r>
      <w:r w:rsidR="00350970" w:rsidRPr="006E757D">
        <w:t xml:space="preserve"> for</w:t>
      </w:r>
      <w:r w:rsidR="00E75CA1" w:rsidRPr="006E757D">
        <w:t xml:space="preserve"> </w:t>
      </w:r>
      <w:r w:rsidRPr="006E757D">
        <w:t xml:space="preserve">each measure in the </w:t>
      </w:r>
      <w:r w:rsidR="00202822" w:rsidRPr="006E757D">
        <w:t>organization</w:t>
      </w:r>
      <w:r w:rsidR="00660316">
        <w:t>’</w:t>
      </w:r>
      <w:r w:rsidRPr="006E757D">
        <w:t xml:space="preserve">s report, including first-year measures. Because of the large number of measures and the detailed level of assessment, NCQA designed a source code review method for a properly selected core set of measures </w:t>
      </w:r>
      <w:r w:rsidR="00350970" w:rsidRPr="006E757D">
        <w:br/>
      </w:r>
      <w:r w:rsidR="00DF3BD6" w:rsidRPr="006E757D">
        <w:t xml:space="preserve">as </w:t>
      </w:r>
      <w:r w:rsidR="00861F64" w:rsidRPr="006E757D">
        <w:t xml:space="preserve">a way to </w:t>
      </w:r>
      <w:r w:rsidRPr="006E757D">
        <w:t>project the findings from the review to the remaining measures.</w:t>
      </w:r>
    </w:p>
    <w:p w:rsidR="00BE6ACD" w:rsidRPr="006E757D" w:rsidRDefault="00BE6ACD">
      <w:pPr>
        <w:pStyle w:val="Body"/>
      </w:pPr>
      <w:r w:rsidRPr="006E757D">
        <w:t xml:space="preserve">If the </w:t>
      </w:r>
      <w:r w:rsidR="00202822" w:rsidRPr="006E757D">
        <w:t>organization</w:t>
      </w:r>
      <w:r w:rsidRPr="006E757D">
        <w:t xml:space="preserve"> uses </w:t>
      </w:r>
      <w:r w:rsidR="006D531A" w:rsidRPr="006E757D">
        <w:t xml:space="preserve">NCQA </w:t>
      </w:r>
      <w:r w:rsidR="009D4E67" w:rsidRPr="006E757D">
        <w:t>C</w:t>
      </w:r>
      <w:r w:rsidRPr="006E757D">
        <w:t>ertified software, the auditor does not select a core set of measures</w:t>
      </w:r>
      <w:r w:rsidR="008F4B14">
        <w:t xml:space="preserve">. The auditor </w:t>
      </w:r>
      <w:r w:rsidRPr="006E757D">
        <w:t xml:space="preserve">must review all measures not included in the certification program and any measures that failed certification </w:t>
      </w:r>
      <w:r w:rsidR="004E2897" w:rsidRPr="006E757D">
        <w:t>that</w:t>
      </w:r>
      <w:r w:rsidRPr="006E757D">
        <w:t xml:space="preserve"> </w:t>
      </w:r>
      <w:r w:rsidR="008F4B14">
        <w:t xml:space="preserve">the </w:t>
      </w:r>
      <w:r w:rsidR="00202822" w:rsidRPr="006E757D">
        <w:t>organization</w:t>
      </w:r>
      <w:r w:rsidRPr="006E757D">
        <w:t xml:space="preserve"> intends to report. Measures not included in certification that do</w:t>
      </w:r>
      <w:r w:rsidR="001C0954" w:rsidRPr="006E757D">
        <w:t xml:space="preserve"> not</w:t>
      </w:r>
      <w:r w:rsidRPr="006E757D">
        <w:t xml:space="preserve"> have source code should be reviewed for proper reporting processes.</w:t>
      </w:r>
      <w:r w:rsidR="005E0A90" w:rsidRPr="006E757D">
        <w:t xml:space="preserve"> Refer to</w:t>
      </w:r>
      <w:r w:rsidR="007E123B" w:rsidRPr="006E757D">
        <w:t xml:space="preserve"> Appendix </w:t>
      </w:r>
      <w:r w:rsidR="00C435B5">
        <w:t>9</w:t>
      </w:r>
      <w:r w:rsidRPr="006E757D">
        <w:t xml:space="preserve"> for </w:t>
      </w:r>
      <w:r w:rsidR="005E0A90" w:rsidRPr="006E757D">
        <w:t xml:space="preserve">a list of </w:t>
      </w:r>
      <w:r w:rsidRPr="006E757D">
        <w:t xml:space="preserve">measures not included in </w:t>
      </w:r>
      <w:r w:rsidR="001C0954" w:rsidRPr="006E757D">
        <w:t>software c</w:t>
      </w:r>
      <w:r w:rsidRPr="006E757D">
        <w:t>ertification.</w:t>
      </w:r>
    </w:p>
    <w:p w:rsidR="00BE6ACD" w:rsidRPr="006E757D" w:rsidRDefault="00BE6ACD">
      <w:pPr>
        <w:pStyle w:val="Body"/>
      </w:pPr>
      <w:r w:rsidRPr="006E757D">
        <w:t xml:space="preserve">The auditor </w:t>
      </w:r>
      <w:r w:rsidR="000013CE" w:rsidRPr="006E757D">
        <w:t xml:space="preserve">evaluates the </w:t>
      </w:r>
      <w:r w:rsidRPr="006E757D">
        <w:t>information in the</w:t>
      </w:r>
      <w:r w:rsidR="007A1EB2" w:rsidRPr="006E757D">
        <w:t xml:space="preserve"> Roadmap</w:t>
      </w:r>
      <w:r w:rsidRPr="006E757D">
        <w:t xml:space="preserve">, the </w:t>
      </w:r>
      <w:r w:rsidR="00202822" w:rsidRPr="006E757D">
        <w:t>organization</w:t>
      </w:r>
      <w:r w:rsidR="00660316">
        <w:t>’</w:t>
      </w:r>
      <w:r w:rsidRPr="006E757D">
        <w:t xml:space="preserve">s previous measure </w:t>
      </w:r>
      <w:r w:rsidR="001C0954" w:rsidRPr="006E757D">
        <w:t>results</w:t>
      </w:r>
      <w:r w:rsidRPr="006E757D">
        <w:t xml:space="preserve"> and standard programming features to select a set of measures that represent the </w:t>
      </w:r>
      <w:r w:rsidR="00202822" w:rsidRPr="006E757D">
        <w:t>organization</w:t>
      </w:r>
      <w:r w:rsidR="00660316">
        <w:t>’</w:t>
      </w:r>
      <w:r w:rsidRPr="006E757D">
        <w:t xml:space="preserve">s unique system for </w:t>
      </w:r>
      <w:r w:rsidR="00D25812" w:rsidRPr="006E757D">
        <w:t xml:space="preserve">measure </w:t>
      </w:r>
      <w:r w:rsidRPr="006E757D">
        <w:t xml:space="preserve">reporting. </w:t>
      </w:r>
      <w:r w:rsidRPr="006E757D">
        <w:rPr>
          <w:rFonts w:cs="Arial"/>
        </w:rPr>
        <w:t xml:space="preserve">Selecting the core set is the sole responsibility of the auditor; the </w:t>
      </w:r>
      <w:r w:rsidR="00350970" w:rsidRPr="006E757D">
        <w:rPr>
          <w:rFonts w:cs="Arial"/>
        </w:rPr>
        <w:t>organization</w:t>
      </w:r>
      <w:r w:rsidRPr="006E757D">
        <w:rPr>
          <w:rFonts w:cs="Arial"/>
        </w:rPr>
        <w:t xml:space="preserve"> </w:t>
      </w:r>
      <w:r w:rsidR="009D4E67" w:rsidRPr="006E757D">
        <w:rPr>
          <w:rFonts w:cs="Arial"/>
        </w:rPr>
        <w:t>may not</w:t>
      </w:r>
      <w:r w:rsidRPr="006E757D">
        <w:rPr>
          <w:rFonts w:cs="Arial"/>
        </w:rPr>
        <w:t xml:space="preserve"> assist in the selection. </w:t>
      </w:r>
      <w:r w:rsidR="009D4E67" w:rsidRPr="006E757D">
        <w:t>T</w:t>
      </w:r>
      <w:r w:rsidRPr="006E757D">
        <w:t xml:space="preserve">he </w:t>
      </w:r>
      <w:r w:rsidR="00202822" w:rsidRPr="006E757D">
        <w:t>organization</w:t>
      </w:r>
      <w:r w:rsidRPr="006E757D">
        <w:t xml:space="preserve"> supplies the source code and the auditor investigates it for compliance and its impact on measure results. The measures selected for the core set may contain characteristics or programming features common to a group of measures</w:t>
      </w:r>
      <w:r w:rsidR="004E2897" w:rsidRPr="006E757D">
        <w:t>:</w:t>
      </w:r>
    </w:p>
    <w:p w:rsidR="00BE6ACD" w:rsidRPr="006E757D" w:rsidRDefault="00522625" w:rsidP="001A487B">
      <w:pPr>
        <w:pStyle w:val="Bullet"/>
      </w:pPr>
      <w:r w:rsidRPr="006E757D">
        <w:t>Compl</w:t>
      </w:r>
      <w:r w:rsidR="004E2897" w:rsidRPr="006E757D">
        <w:t>ex</w:t>
      </w:r>
      <w:r w:rsidRPr="006E757D">
        <w:t xml:space="preserve"> continuou</w:t>
      </w:r>
      <w:r w:rsidR="00943BC9">
        <w:t>s enrollment criteria.</w:t>
      </w:r>
    </w:p>
    <w:p w:rsidR="00BE6ACD" w:rsidRPr="006E757D" w:rsidRDefault="00522625">
      <w:pPr>
        <w:pStyle w:val="Bullet"/>
        <w:tabs>
          <w:tab w:val="num" w:pos="432"/>
        </w:tabs>
      </w:pPr>
      <w:r w:rsidRPr="006E757D">
        <w:t>Identifying live births</w:t>
      </w:r>
      <w:r w:rsidR="00943BC9">
        <w:t>.</w:t>
      </w:r>
    </w:p>
    <w:p w:rsidR="00BE6ACD" w:rsidRPr="006E757D" w:rsidRDefault="00522625">
      <w:pPr>
        <w:pStyle w:val="Bullet"/>
        <w:tabs>
          <w:tab w:val="num" w:pos="432"/>
        </w:tabs>
      </w:pPr>
      <w:r w:rsidRPr="006E757D">
        <w:t>Complex code mapping handled in software</w:t>
      </w:r>
      <w:r w:rsidR="00943BC9">
        <w:t>.</w:t>
      </w:r>
    </w:p>
    <w:p w:rsidR="00BE6ACD" w:rsidRPr="006E757D" w:rsidRDefault="00522625">
      <w:pPr>
        <w:pStyle w:val="Bullet"/>
        <w:tabs>
          <w:tab w:val="num" w:pos="432"/>
        </w:tabs>
      </w:pPr>
      <w:r w:rsidRPr="006E757D">
        <w:t>Sampling logic</w:t>
      </w:r>
      <w:r w:rsidR="00943BC9">
        <w:t>.</w:t>
      </w:r>
    </w:p>
    <w:p w:rsidR="00BE6ACD" w:rsidRPr="006E757D" w:rsidRDefault="00522625">
      <w:pPr>
        <w:pStyle w:val="Bullet"/>
        <w:tabs>
          <w:tab w:val="num" w:pos="432"/>
        </w:tabs>
      </w:pPr>
      <w:r w:rsidRPr="006E757D">
        <w:t>Identifying exclusions</w:t>
      </w:r>
      <w:r w:rsidR="004E2897" w:rsidRPr="006E757D">
        <w:t>.</w:t>
      </w:r>
    </w:p>
    <w:p w:rsidR="00FD2F76" w:rsidRPr="006E757D" w:rsidRDefault="001C0954" w:rsidP="001C0954">
      <w:pPr>
        <w:pStyle w:val="Body"/>
      </w:pPr>
      <w:r w:rsidRPr="006E757D">
        <w:t xml:space="preserve">Although the source code review focuses on programming issues, the auditor may also select measures based on data issues. </w:t>
      </w:r>
    </w:p>
    <w:p w:rsidR="001C2ADD" w:rsidRPr="006E757D" w:rsidRDefault="00E75511" w:rsidP="001C2ADD">
      <w:pPr>
        <w:pStyle w:val="StdHead"/>
        <w:rPr>
          <w:color w:val="auto"/>
        </w:rPr>
      </w:pPr>
      <w:r w:rsidRPr="006E757D">
        <w:rPr>
          <w:color w:val="auto"/>
        </w:rPr>
        <w:t>Rationales for Core Set Selection</w:t>
      </w:r>
    </w:p>
    <w:tbl>
      <w:tblPr>
        <w:tblW w:w="0" w:type="auto"/>
        <w:tblLayout w:type="fixed"/>
        <w:tblCellMar>
          <w:left w:w="180" w:type="dxa"/>
          <w:right w:w="180" w:type="dxa"/>
        </w:tblCellMar>
        <w:tblLook w:val="0000"/>
      </w:tblPr>
      <w:tblGrid>
        <w:gridCol w:w="1825"/>
        <w:gridCol w:w="8075"/>
      </w:tblGrid>
      <w:tr w:rsidR="004E2897" w:rsidRPr="006E757D" w:rsidTr="00F101DC">
        <w:trPr>
          <w:trHeight w:val="4043"/>
        </w:trPr>
        <w:tc>
          <w:tcPr>
            <w:tcW w:w="1825" w:type="dxa"/>
            <w:tcMar>
              <w:left w:w="115" w:type="dxa"/>
              <w:right w:w="115" w:type="dxa"/>
            </w:tcMar>
          </w:tcPr>
          <w:p w:rsidR="004E2897" w:rsidRPr="006E757D" w:rsidRDefault="004E2897" w:rsidP="000A35F5">
            <w:pPr>
              <w:pStyle w:val="MarginSubhead"/>
            </w:pPr>
            <w:r w:rsidRPr="006E757D">
              <w:t>Programming issues</w:t>
            </w:r>
          </w:p>
        </w:tc>
        <w:tc>
          <w:tcPr>
            <w:tcW w:w="8075" w:type="dxa"/>
            <w:tcMar>
              <w:left w:w="115" w:type="dxa"/>
              <w:right w:w="115" w:type="dxa"/>
            </w:tcMar>
          </w:tcPr>
          <w:p w:rsidR="004E2897" w:rsidRPr="006E757D" w:rsidRDefault="004E2897" w:rsidP="001C0954">
            <w:pPr>
              <w:pStyle w:val="ProcessBullet"/>
              <w:spacing w:before="180"/>
            </w:pPr>
            <w:r w:rsidRPr="006E757D">
              <w:t>The organization had programming problems in the previous year</w:t>
            </w:r>
            <w:r w:rsidR="00943BC9">
              <w:t>.</w:t>
            </w:r>
          </w:p>
          <w:p w:rsidR="004E2897" w:rsidRPr="006E757D" w:rsidRDefault="004E2897" w:rsidP="004E2897">
            <w:pPr>
              <w:pStyle w:val="ProcessBullet"/>
            </w:pPr>
            <w:r w:rsidRPr="006E757D">
              <w:t>Complex programming is required for the measure</w:t>
            </w:r>
            <w:r w:rsidR="00943BC9">
              <w:t>.</w:t>
            </w:r>
          </w:p>
          <w:p w:rsidR="004E2897" w:rsidRPr="006E757D" w:rsidRDefault="004E2897" w:rsidP="004E2897">
            <w:pPr>
              <w:pStyle w:val="ProcessBullet"/>
            </w:pPr>
            <w:r w:rsidRPr="006E757D">
              <w:t>Complex routines are required for different measure calculations (e.g., CE, MM)</w:t>
            </w:r>
            <w:r w:rsidR="00943BC9">
              <w:t>.</w:t>
            </w:r>
          </w:p>
          <w:p w:rsidR="004E2897" w:rsidRPr="006E757D" w:rsidRDefault="004E2897" w:rsidP="004E2897">
            <w:pPr>
              <w:pStyle w:val="ProcessBullet"/>
            </w:pPr>
            <w:r w:rsidRPr="006E757D">
              <w:t>This is a new measure that should be reviewed</w:t>
            </w:r>
            <w:r w:rsidR="00943BC9">
              <w:t>.</w:t>
            </w:r>
          </w:p>
          <w:p w:rsidR="004E2897" w:rsidRPr="006E757D" w:rsidRDefault="004E2897" w:rsidP="004E2897">
            <w:pPr>
              <w:pStyle w:val="ProcessBullet"/>
            </w:pPr>
            <w:r w:rsidRPr="006E757D">
              <w:t>This is an existing measure with significant changes</w:t>
            </w:r>
            <w:r w:rsidR="00943BC9">
              <w:t>.</w:t>
            </w:r>
          </w:p>
          <w:p w:rsidR="004E2897" w:rsidRPr="006E757D" w:rsidRDefault="004E2897" w:rsidP="004E2897">
            <w:pPr>
              <w:pStyle w:val="ProcessBullet"/>
            </w:pPr>
            <w:r w:rsidRPr="006E757D">
              <w:t>This represents all programmers, internal and external</w:t>
            </w:r>
            <w:r w:rsidR="00943BC9">
              <w:t>.</w:t>
            </w:r>
          </w:p>
          <w:p w:rsidR="004E2897" w:rsidRPr="006E757D" w:rsidRDefault="004E2897" w:rsidP="004E2897">
            <w:pPr>
              <w:pStyle w:val="ProcessBullet"/>
            </w:pPr>
            <w:r w:rsidRPr="006E757D">
              <w:t>This involves hard-coded changes vs. updating a reference table</w:t>
            </w:r>
            <w:r w:rsidR="00943BC9">
              <w:t>.</w:t>
            </w:r>
          </w:p>
          <w:p w:rsidR="004E2897" w:rsidRPr="006E757D" w:rsidRDefault="004E2897" w:rsidP="004E2897">
            <w:pPr>
              <w:pStyle w:val="ProcessBullet"/>
            </w:pPr>
            <w:r w:rsidRPr="006E757D">
              <w:t>The rate or the denominator is an outlier</w:t>
            </w:r>
            <w:r w:rsidR="00943BC9">
              <w:t>.</w:t>
            </w:r>
          </w:p>
          <w:p w:rsidR="004E2897" w:rsidRPr="006E757D" w:rsidRDefault="004E2897" w:rsidP="004E2897">
            <w:pPr>
              <w:pStyle w:val="ProcessBullet"/>
            </w:pPr>
            <w:r w:rsidRPr="006E757D">
              <w:t>The sampling method should be checked</w:t>
            </w:r>
            <w:r w:rsidR="00943BC9">
              <w:t>.</w:t>
            </w:r>
          </w:p>
          <w:p w:rsidR="004E2897" w:rsidRPr="006E757D" w:rsidRDefault="004E2897" w:rsidP="004E2897">
            <w:pPr>
              <w:pStyle w:val="ProcessBullet"/>
            </w:pPr>
            <w:r w:rsidRPr="006E757D">
              <w:t>Changes were made to the report production</w:t>
            </w:r>
            <w:r w:rsidR="00943BC9">
              <w:t>.</w:t>
            </w:r>
          </w:p>
          <w:p w:rsidR="004E2897" w:rsidRPr="006E757D" w:rsidRDefault="004E2897" w:rsidP="00F101DC">
            <w:pPr>
              <w:pStyle w:val="ProcessBullet"/>
            </w:pPr>
            <w:r w:rsidRPr="006E757D">
              <w:t>Product line variations should be reviewed</w:t>
            </w:r>
            <w:r w:rsidR="00943BC9">
              <w:t>.</w:t>
            </w:r>
          </w:p>
          <w:p w:rsidR="006040DE" w:rsidRPr="006E757D" w:rsidRDefault="006040DE" w:rsidP="00F101DC">
            <w:pPr>
              <w:pStyle w:val="ProcessBullet"/>
            </w:pPr>
            <w:r w:rsidRPr="006E757D">
              <w:t>Program variations should be reviewed (e.g., HEDIS vs. DM)</w:t>
            </w:r>
            <w:r w:rsidR="00943BC9">
              <w:t>.</w:t>
            </w:r>
          </w:p>
        </w:tc>
      </w:tr>
    </w:tbl>
    <w:p w:rsidR="00F101DC" w:rsidRPr="006E757D" w:rsidRDefault="00F101DC">
      <w:pPr>
        <w:sectPr w:rsidR="00F101DC" w:rsidRPr="006E757D" w:rsidSect="00C228DE">
          <w:headerReference w:type="default" r:id="rId25"/>
          <w:pgSz w:w="12240" w:h="15840" w:code="1"/>
          <w:pgMar w:top="1080" w:right="1080" w:bottom="1080" w:left="1440" w:header="720" w:footer="720" w:gutter="0"/>
          <w:paperSrc w:first="7" w:other="7"/>
          <w:cols w:space="720"/>
          <w:noEndnote/>
        </w:sectPr>
      </w:pPr>
    </w:p>
    <w:tbl>
      <w:tblPr>
        <w:tblW w:w="0" w:type="auto"/>
        <w:tblLayout w:type="fixed"/>
        <w:tblCellMar>
          <w:left w:w="180" w:type="dxa"/>
          <w:right w:w="180" w:type="dxa"/>
        </w:tblCellMar>
        <w:tblLook w:val="0000"/>
      </w:tblPr>
      <w:tblGrid>
        <w:gridCol w:w="1915"/>
        <w:gridCol w:w="7985"/>
      </w:tblGrid>
      <w:tr w:rsidR="008401B7" w:rsidRPr="006E757D" w:rsidTr="00943BC9">
        <w:tc>
          <w:tcPr>
            <w:tcW w:w="1915" w:type="dxa"/>
            <w:tcMar>
              <w:left w:w="115" w:type="dxa"/>
              <w:right w:w="115" w:type="dxa"/>
            </w:tcMar>
          </w:tcPr>
          <w:p w:rsidR="008401B7" w:rsidRPr="006E757D" w:rsidRDefault="008401B7" w:rsidP="00F101DC">
            <w:pPr>
              <w:pStyle w:val="MarginSubhead"/>
              <w:spacing w:before="0"/>
            </w:pPr>
            <w:r w:rsidRPr="006E757D">
              <w:lastRenderedPageBreak/>
              <w:t>Data issues</w:t>
            </w:r>
          </w:p>
        </w:tc>
        <w:tc>
          <w:tcPr>
            <w:tcW w:w="7985" w:type="dxa"/>
            <w:tcMar>
              <w:left w:w="115" w:type="dxa"/>
              <w:right w:w="115" w:type="dxa"/>
            </w:tcMar>
          </w:tcPr>
          <w:p w:rsidR="008401B7" w:rsidRPr="006E757D" w:rsidRDefault="008401B7" w:rsidP="00F101DC">
            <w:pPr>
              <w:pStyle w:val="ProcessBullet"/>
              <w:spacing w:before="0"/>
            </w:pPr>
            <w:r w:rsidRPr="006E757D">
              <w:t>The organization receives and incorporates vendor data</w:t>
            </w:r>
            <w:r w:rsidR="00943BC9">
              <w:t>.</w:t>
            </w:r>
          </w:p>
          <w:p w:rsidR="008401B7" w:rsidRPr="006E757D" w:rsidRDefault="008401B7" w:rsidP="008401B7">
            <w:pPr>
              <w:pStyle w:val="ProcessBullet"/>
            </w:pPr>
            <w:r w:rsidRPr="006E757D">
              <w:t xml:space="preserve">The </w:t>
            </w:r>
            <w:r w:rsidR="007A1EB2" w:rsidRPr="006E757D">
              <w:t xml:space="preserve">Roadmap </w:t>
            </w:r>
            <w:r w:rsidRPr="006E757D">
              <w:t xml:space="preserve">indicates </w:t>
            </w:r>
            <w:r w:rsidR="004E2897" w:rsidRPr="006E757D">
              <w:t xml:space="preserve">possible </w:t>
            </w:r>
            <w:r w:rsidRPr="006E757D">
              <w:t>incomplete data</w:t>
            </w:r>
            <w:r w:rsidR="00943BC9">
              <w:t>.</w:t>
            </w:r>
          </w:p>
          <w:p w:rsidR="008401B7" w:rsidRPr="006E757D" w:rsidRDefault="008401B7" w:rsidP="008401B7">
            <w:pPr>
              <w:pStyle w:val="ProcessBullet"/>
            </w:pPr>
            <w:r w:rsidRPr="006E757D">
              <w:t>Code mapping should be reviewed</w:t>
            </w:r>
            <w:r w:rsidR="00943BC9">
              <w:t>.</w:t>
            </w:r>
          </w:p>
          <w:p w:rsidR="008401B7" w:rsidRPr="006E757D" w:rsidRDefault="008401B7" w:rsidP="008401B7">
            <w:pPr>
              <w:pStyle w:val="ProcessBullet"/>
            </w:pPr>
            <w:r w:rsidRPr="006E757D">
              <w:t>The organization implemented a system conversion</w:t>
            </w:r>
            <w:r w:rsidR="00943BC9">
              <w:t>.</w:t>
            </w:r>
          </w:p>
          <w:p w:rsidR="008401B7" w:rsidRPr="006E757D" w:rsidRDefault="008401B7" w:rsidP="008401B7">
            <w:pPr>
              <w:pStyle w:val="ProcessBullet"/>
            </w:pPr>
            <w:r w:rsidRPr="006E757D">
              <w:t>The rate or denominator is an outlier</w:t>
            </w:r>
            <w:r w:rsidR="00943BC9">
              <w:t>.</w:t>
            </w:r>
          </w:p>
          <w:p w:rsidR="008401B7" w:rsidRPr="006E757D" w:rsidRDefault="008401B7" w:rsidP="008401B7">
            <w:pPr>
              <w:pStyle w:val="ProcessBullet"/>
            </w:pPr>
            <w:r w:rsidRPr="006E757D">
              <w:t xml:space="preserve">Varied </w:t>
            </w:r>
            <w:r w:rsidR="0043629E">
              <w:t>organization</w:t>
            </w:r>
            <w:r w:rsidR="0043629E" w:rsidRPr="006E757D">
              <w:t xml:space="preserve"> </w:t>
            </w:r>
            <w:r w:rsidRPr="006E757D">
              <w:t>demographics should be reviewed</w:t>
            </w:r>
            <w:r w:rsidR="00943BC9">
              <w:t>.</w:t>
            </w:r>
          </w:p>
          <w:p w:rsidR="008401B7" w:rsidRPr="006E757D" w:rsidRDefault="008401B7" w:rsidP="008401B7">
            <w:pPr>
              <w:pStyle w:val="ProcessBullet"/>
            </w:pPr>
            <w:r w:rsidRPr="006E757D">
              <w:t>Data integration should be reviewed</w:t>
            </w:r>
            <w:r w:rsidR="00943BC9">
              <w:t>.</w:t>
            </w:r>
          </w:p>
          <w:p w:rsidR="008401B7" w:rsidRPr="006E757D" w:rsidRDefault="008401B7" w:rsidP="008401B7">
            <w:pPr>
              <w:pStyle w:val="ProcessBullet"/>
            </w:pPr>
            <w:r w:rsidRPr="006E757D">
              <w:t>Changes to report production should be reviewed</w:t>
            </w:r>
            <w:r w:rsidR="00943BC9">
              <w:t>.</w:t>
            </w:r>
          </w:p>
          <w:p w:rsidR="008401B7" w:rsidRPr="006E757D" w:rsidRDefault="008401B7" w:rsidP="00EB693B">
            <w:pPr>
              <w:pStyle w:val="ProcessBullet"/>
            </w:pPr>
            <w:r w:rsidRPr="006E757D">
              <w:t>The core set expanded to include state and federal agency measures</w:t>
            </w:r>
            <w:r w:rsidR="00943BC9">
              <w:t>.</w:t>
            </w:r>
          </w:p>
          <w:p w:rsidR="00D661D3" w:rsidRPr="006E757D" w:rsidRDefault="00D661D3" w:rsidP="00520CAD">
            <w:pPr>
              <w:pStyle w:val="ProcessBullet"/>
            </w:pPr>
            <w:r w:rsidRPr="006E757D">
              <w:t xml:space="preserve">Incentives are </w:t>
            </w:r>
            <w:r w:rsidR="00520CAD" w:rsidRPr="006E757D">
              <w:t xml:space="preserve">offered </w:t>
            </w:r>
            <w:r w:rsidRPr="006E757D">
              <w:t>for measure rate performance</w:t>
            </w:r>
            <w:r w:rsidR="00943BC9">
              <w:t>.</w:t>
            </w:r>
          </w:p>
        </w:tc>
      </w:tr>
    </w:tbl>
    <w:p w:rsidR="00222CCD" w:rsidRPr="006E757D" w:rsidRDefault="00222CCD" w:rsidP="00F101DC">
      <w:pPr>
        <w:pStyle w:val="StdHead"/>
        <w:rPr>
          <w:color w:val="auto"/>
        </w:rPr>
      </w:pPr>
      <w:r w:rsidRPr="006E757D">
        <w:rPr>
          <w:color w:val="auto"/>
        </w:rPr>
        <w:t>Additional Core Set Considerations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15"/>
        <w:gridCol w:w="7985"/>
      </w:tblGrid>
      <w:tr w:rsidR="00861F64" w:rsidRPr="006E757D" w:rsidTr="00943BC9">
        <w:tc>
          <w:tcPr>
            <w:tcW w:w="1915" w:type="dxa"/>
            <w:tcBorders>
              <w:top w:val="nil"/>
              <w:left w:val="nil"/>
              <w:bottom w:val="nil"/>
              <w:right w:val="nil"/>
            </w:tcBorders>
            <w:tcMar>
              <w:left w:w="115" w:type="dxa"/>
              <w:right w:w="115" w:type="dxa"/>
            </w:tcMar>
          </w:tcPr>
          <w:p w:rsidR="00861F64" w:rsidRPr="006E757D" w:rsidRDefault="008A325C" w:rsidP="00943BC9">
            <w:pPr>
              <w:pStyle w:val="MarginSubhead"/>
            </w:pPr>
            <w:r w:rsidRPr="006E757D">
              <w:t>HEDIS</w:t>
            </w:r>
            <w:r w:rsidR="00943BC9">
              <w:t xml:space="preserve"> </w:t>
            </w:r>
            <w:r w:rsidRPr="006E757D">
              <w:t>c</w:t>
            </w:r>
            <w:r w:rsidR="00861F64" w:rsidRPr="006E757D">
              <w:t xml:space="preserve">ore </w:t>
            </w:r>
            <w:r w:rsidR="00292823" w:rsidRPr="006E757D">
              <w:t xml:space="preserve">set </w:t>
            </w:r>
            <w:r w:rsidRPr="006E757D">
              <w:t>c</w:t>
            </w:r>
            <w:r w:rsidR="00292823" w:rsidRPr="006E757D">
              <w:t>omposi</w:t>
            </w:r>
            <w:r w:rsidR="00861F64" w:rsidRPr="006E757D">
              <w:t>tion</w:t>
            </w:r>
          </w:p>
        </w:tc>
        <w:tc>
          <w:tcPr>
            <w:tcW w:w="7985" w:type="dxa"/>
            <w:tcBorders>
              <w:top w:val="nil"/>
              <w:left w:val="nil"/>
              <w:bottom w:val="nil"/>
              <w:right w:val="nil"/>
            </w:tcBorders>
            <w:tcMar>
              <w:left w:w="115" w:type="dxa"/>
              <w:right w:w="115" w:type="dxa"/>
            </w:tcMar>
          </w:tcPr>
          <w:p w:rsidR="00861F64" w:rsidRPr="006E757D" w:rsidRDefault="00861F64" w:rsidP="00861F64">
            <w:pPr>
              <w:pStyle w:val="Body"/>
            </w:pPr>
            <w:r w:rsidRPr="006E757D">
              <w:t xml:space="preserve">The </w:t>
            </w:r>
            <w:r w:rsidR="008A325C" w:rsidRPr="006E757D">
              <w:t xml:space="preserve">HEDIS </w:t>
            </w:r>
            <w:r w:rsidRPr="006E757D">
              <w:t xml:space="preserve">core set must have a minimum of 15 </w:t>
            </w:r>
            <w:r w:rsidR="008D12E3" w:rsidRPr="006E757D">
              <w:t xml:space="preserve">HEDIS </w:t>
            </w:r>
            <w:r w:rsidRPr="006E757D">
              <w:t xml:space="preserve">measures </w:t>
            </w:r>
            <w:r w:rsidR="009E39DF" w:rsidRPr="006E757D">
              <w:t xml:space="preserve">from any domain, </w:t>
            </w:r>
            <w:r w:rsidRPr="006E757D">
              <w:t xml:space="preserve">plus the </w:t>
            </w:r>
            <w:r w:rsidR="004E2897" w:rsidRPr="006E757D">
              <w:t xml:space="preserve">CAHPS </w:t>
            </w:r>
            <w:r w:rsidR="00D2469D" w:rsidRPr="006E757D">
              <w:t>adult and children s</w:t>
            </w:r>
            <w:r w:rsidRPr="006E757D">
              <w:t>urveys</w:t>
            </w:r>
            <w:r w:rsidR="009E39DF" w:rsidRPr="006E757D">
              <w:t>,</w:t>
            </w:r>
            <w:r w:rsidRPr="006E757D">
              <w:t xml:space="preserve"> when applicable. If the </w:t>
            </w:r>
            <w:r w:rsidR="00202822" w:rsidRPr="006E757D">
              <w:t>organization</w:t>
            </w:r>
            <w:r w:rsidRPr="006E757D">
              <w:t xml:space="preserve"> reports fewer than 15 measures, the auditor must review the source code for all </w:t>
            </w:r>
            <w:r w:rsidR="008D12E3" w:rsidRPr="006E757D">
              <w:t xml:space="preserve">HEDIS </w:t>
            </w:r>
            <w:r w:rsidRPr="006E757D">
              <w:t xml:space="preserve">measures. </w:t>
            </w:r>
          </w:p>
          <w:p w:rsidR="00861F64" w:rsidRPr="006E757D" w:rsidRDefault="004E2897" w:rsidP="00861F64">
            <w:pPr>
              <w:pStyle w:val="Body"/>
            </w:pPr>
            <w:r w:rsidRPr="006E757D">
              <w:t>Because of</w:t>
            </w:r>
            <w:r w:rsidR="00861F64" w:rsidRPr="006E757D">
              <w:t xml:space="preserve"> the rigorous review required for the HEDIS CAHPS surveys, all sample frames and source code (if applicable) are reviewed in addition to the base 15 </w:t>
            </w:r>
            <w:r w:rsidR="005B3AE5" w:rsidRPr="006E757D">
              <w:t xml:space="preserve">HEDIS </w:t>
            </w:r>
            <w:r w:rsidR="00861F64" w:rsidRPr="006E757D">
              <w:t xml:space="preserve">measures. </w:t>
            </w:r>
          </w:p>
          <w:p w:rsidR="00DD4727" w:rsidRPr="006E757D" w:rsidRDefault="00861F64" w:rsidP="00FC57EC">
            <w:pPr>
              <w:pStyle w:val="Body"/>
            </w:pPr>
            <w:r w:rsidRPr="006E757D">
              <w:t xml:space="preserve">The Certified Auditor should work with the </w:t>
            </w:r>
            <w:r w:rsidR="00202822" w:rsidRPr="006E757D">
              <w:t>organization</w:t>
            </w:r>
            <w:r w:rsidRPr="006E757D">
              <w:t xml:space="preserve"> on the core set schedule, reviewing the </w:t>
            </w:r>
            <w:r w:rsidR="005B3AE5" w:rsidRPr="006E757D">
              <w:t xml:space="preserve">HEDIS </w:t>
            </w:r>
            <w:r w:rsidRPr="006E757D">
              <w:t>hybrid measures early and the</w:t>
            </w:r>
            <w:r w:rsidR="005B3AE5" w:rsidRPr="006E757D">
              <w:t xml:space="preserve"> HEDIS</w:t>
            </w:r>
            <w:r w:rsidRPr="006E757D">
              <w:t xml:space="preserve"> administrative measures later</w:t>
            </w:r>
            <w:r w:rsidR="00FC57EC">
              <w:t xml:space="preserve"> (</w:t>
            </w:r>
            <w:r w:rsidRPr="006E757D">
              <w:t>but in time to catch problems calculating rates</w:t>
            </w:r>
            <w:r w:rsidR="00FC57EC">
              <w:t>)</w:t>
            </w:r>
            <w:r w:rsidRPr="006E757D">
              <w:t>.</w:t>
            </w:r>
          </w:p>
        </w:tc>
      </w:tr>
      <w:tr w:rsidR="008A325C" w:rsidRPr="006E757D" w:rsidTr="00943BC9">
        <w:tc>
          <w:tcPr>
            <w:tcW w:w="1915" w:type="dxa"/>
            <w:tcBorders>
              <w:top w:val="nil"/>
              <w:left w:val="nil"/>
              <w:bottom w:val="nil"/>
              <w:right w:val="nil"/>
            </w:tcBorders>
            <w:tcMar>
              <w:left w:w="115" w:type="dxa"/>
              <w:right w:w="115" w:type="dxa"/>
            </w:tcMar>
          </w:tcPr>
          <w:p w:rsidR="008A325C" w:rsidRPr="006E757D" w:rsidRDefault="008A325C" w:rsidP="008A325C">
            <w:pPr>
              <w:pStyle w:val="MarginSubhead"/>
            </w:pPr>
            <w:r w:rsidRPr="006E757D">
              <w:t>DM core set composition</w:t>
            </w:r>
          </w:p>
        </w:tc>
        <w:tc>
          <w:tcPr>
            <w:tcW w:w="7985" w:type="dxa"/>
            <w:tcBorders>
              <w:top w:val="nil"/>
              <w:left w:val="nil"/>
              <w:bottom w:val="nil"/>
              <w:right w:val="nil"/>
            </w:tcBorders>
            <w:tcMar>
              <w:left w:w="115" w:type="dxa"/>
              <w:right w:w="115" w:type="dxa"/>
            </w:tcMar>
          </w:tcPr>
          <w:p w:rsidR="008A325C" w:rsidRPr="006E757D" w:rsidRDefault="008A325C" w:rsidP="007D3D2B">
            <w:pPr>
              <w:pStyle w:val="Body"/>
            </w:pPr>
            <w:r w:rsidRPr="006E757D">
              <w:t xml:space="preserve">The DM core set must include all DM measures for organizations audited </w:t>
            </w:r>
            <w:r w:rsidR="007D3D2B">
              <w:t>on</w:t>
            </w:r>
            <w:r w:rsidR="007D3D2B" w:rsidRPr="006E757D">
              <w:t xml:space="preserve">ly </w:t>
            </w:r>
            <w:r w:rsidRPr="006E757D">
              <w:t>for DM reporting</w:t>
            </w:r>
            <w:r w:rsidR="007D3D2B">
              <w:t>,</w:t>
            </w:r>
            <w:r w:rsidRPr="006E757D">
              <w:t xml:space="preserve"> not in conjunction with any other HEDIS Compliance audits.  </w:t>
            </w:r>
          </w:p>
        </w:tc>
      </w:tr>
      <w:tr w:rsidR="008A325C" w:rsidRPr="006E757D" w:rsidTr="00943BC9">
        <w:tc>
          <w:tcPr>
            <w:tcW w:w="1915" w:type="dxa"/>
            <w:tcBorders>
              <w:top w:val="nil"/>
              <w:left w:val="nil"/>
              <w:bottom w:val="nil"/>
              <w:right w:val="nil"/>
            </w:tcBorders>
            <w:tcMar>
              <w:left w:w="115" w:type="dxa"/>
              <w:right w:w="115" w:type="dxa"/>
            </w:tcMar>
          </w:tcPr>
          <w:p w:rsidR="008A325C" w:rsidRPr="006E757D" w:rsidRDefault="008A325C">
            <w:pPr>
              <w:pStyle w:val="MarginSubhead"/>
            </w:pPr>
            <w:r w:rsidRPr="006E757D">
              <w:t>WHP core set composition</w:t>
            </w:r>
          </w:p>
        </w:tc>
        <w:tc>
          <w:tcPr>
            <w:tcW w:w="7985" w:type="dxa"/>
            <w:tcBorders>
              <w:top w:val="nil"/>
              <w:left w:val="nil"/>
              <w:bottom w:val="nil"/>
              <w:right w:val="nil"/>
            </w:tcBorders>
            <w:tcMar>
              <w:left w:w="115" w:type="dxa"/>
              <w:right w:w="115" w:type="dxa"/>
            </w:tcMar>
          </w:tcPr>
          <w:p w:rsidR="008A325C" w:rsidRPr="006E757D" w:rsidRDefault="008A325C" w:rsidP="007D3D2B">
            <w:pPr>
              <w:pStyle w:val="Body"/>
            </w:pPr>
            <w:r w:rsidRPr="006E757D">
              <w:t xml:space="preserve">The WHP core set must include all WHP measures for organizations audited </w:t>
            </w:r>
            <w:r w:rsidR="007D3D2B">
              <w:t>on</w:t>
            </w:r>
            <w:r w:rsidR="007D3D2B" w:rsidRPr="006E757D">
              <w:t xml:space="preserve">ly </w:t>
            </w:r>
            <w:r w:rsidRPr="006E757D">
              <w:t>for WHP reporting</w:t>
            </w:r>
            <w:r w:rsidR="007D3D2B">
              <w:t>,</w:t>
            </w:r>
            <w:r w:rsidRPr="006E757D">
              <w:t xml:space="preserve"> not in conjunction with any other HEDIS Compliance audits.  </w:t>
            </w:r>
          </w:p>
        </w:tc>
      </w:tr>
      <w:tr w:rsidR="008A325C" w:rsidRPr="006E757D" w:rsidTr="00943BC9">
        <w:tc>
          <w:tcPr>
            <w:tcW w:w="1915" w:type="dxa"/>
            <w:tcBorders>
              <w:top w:val="nil"/>
              <w:left w:val="nil"/>
              <w:bottom w:val="nil"/>
              <w:right w:val="nil"/>
            </w:tcBorders>
            <w:tcMar>
              <w:left w:w="115" w:type="dxa"/>
              <w:right w:w="115" w:type="dxa"/>
            </w:tcMar>
          </w:tcPr>
          <w:p w:rsidR="008A325C" w:rsidRPr="006E757D" w:rsidRDefault="008A325C" w:rsidP="008A325C">
            <w:pPr>
              <w:pStyle w:val="MarginSubhead"/>
            </w:pPr>
            <w:r w:rsidRPr="006E757D">
              <w:t>Combining core sets</w:t>
            </w:r>
          </w:p>
        </w:tc>
        <w:tc>
          <w:tcPr>
            <w:tcW w:w="7985" w:type="dxa"/>
            <w:tcBorders>
              <w:top w:val="nil"/>
              <w:left w:val="nil"/>
              <w:bottom w:val="nil"/>
              <w:right w:val="nil"/>
            </w:tcBorders>
            <w:tcMar>
              <w:left w:w="115" w:type="dxa"/>
              <w:right w:w="115" w:type="dxa"/>
            </w:tcMar>
          </w:tcPr>
          <w:p w:rsidR="008A325C" w:rsidRPr="006E757D" w:rsidRDefault="008A325C" w:rsidP="00BB5F58">
            <w:pPr>
              <w:pStyle w:val="Body"/>
            </w:pPr>
            <w:r w:rsidRPr="006E757D">
              <w:t xml:space="preserve">If </w:t>
            </w:r>
            <w:r w:rsidR="00BB5F58" w:rsidRPr="006E757D">
              <w:t xml:space="preserve">the </w:t>
            </w:r>
            <w:r w:rsidRPr="006E757D">
              <w:t xml:space="preserve">organization </w:t>
            </w:r>
            <w:r w:rsidR="00BB5F58" w:rsidRPr="006E757D">
              <w:t xml:space="preserve">is audited for DM reporting in addition to HEDIS, the core set should </w:t>
            </w:r>
            <w:r w:rsidR="00520CAD" w:rsidRPr="006E757D">
              <w:t xml:space="preserve">be </w:t>
            </w:r>
            <w:r w:rsidR="00BB5F58" w:rsidRPr="006E757D">
              <w:t>expanded based on the following scenarios.</w:t>
            </w:r>
          </w:p>
          <w:p w:rsidR="00BB5F58" w:rsidRPr="006E757D" w:rsidRDefault="00BB5F58" w:rsidP="00D2469D">
            <w:pPr>
              <w:pStyle w:val="Bullet"/>
              <w:rPr>
                <w:szCs w:val="20"/>
              </w:rPr>
            </w:pPr>
            <w:r w:rsidRPr="00EE13B3">
              <w:rPr>
                <w:i/>
              </w:rPr>
              <w:t xml:space="preserve">Plans </w:t>
            </w:r>
            <w:r w:rsidR="00D2469D" w:rsidRPr="00EE13B3">
              <w:rPr>
                <w:i/>
              </w:rPr>
              <w:t xml:space="preserve">that </w:t>
            </w:r>
            <w:r w:rsidRPr="00EE13B3">
              <w:rPr>
                <w:i/>
              </w:rPr>
              <w:t>internally program HEDIS and DM measures</w:t>
            </w:r>
            <w:r w:rsidRPr="006E757D">
              <w:t xml:space="preserve"> should expand the core set to include at least </w:t>
            </w:r>
            <w:r w:rsidR="00D2469D">
              <w:t>2</w:t>
            </w:r>
            <w:r w:rsidRPr="006E757D">
              <w:t xml:space="preserve"> DM measures in addition to the base 15 HEDIS measures.</w:t>
            </w:r>
            <w:r w:rsidR="00D661D3" w:rsidRPr="006E757D">
              <w:t xml:space="preserve"> The auditor should review any DM specific indicator </w:t>
            </w:r>
            <w:r w:rsidR="00545AAB" w:rsidRPr="006E757D">
              <w:t xml:space="preserve">(e.g., the smoking cessation indicator) </w:t>
            </w:r>
            <w:r w:rsidR="005F4B8E" w:rsidRPr="006E757D">
              <w:t xml:space="preserve">and </w:t>
            </w:r>
            <w:r w:rsidR="00545AAB" w:rsidRPr="006E757D">
              <w:t xml:space="preserve">any other </w:t>
            </w:r>
            <w:r w:rsidR="005F4B8E" w:rsidRPr="006E757D">
              <w:t xml:space="preserve">area where HEDIS and DM differ. </w:t>
            </w:r>
          </w:p>
          <w:p w:rsidR="00BB5F58" w:rsidRPr="006E757D" w:rsidRDefault="00BB5F58" w:rsidP="00D2469D">
            <w:pPr>
              <w:pStyle w:val="Bullet"/>
            </w:pPr>
            <w:r w:rsidRPr="00EE13B3">
              <w:rPr>
                <w:i/>
              </w:rPr>
              <w:t xml:space="preserve">Plans </w:t>
            </w:r>
            <w:r w:rsidR="00D2469D" w:rsidRPr="00EE13B3">
              <w:rPr>
                <w:i/>
              </w:rPr>
              <w:t xml:space="preserve">that </w:t>
            </w:r>
            <w:r w:rsidRPr="00EE13B3">
              <w:rPr>
                <w:i/>
              </w:rPr>
              <w:t xml:space="preserve">internally program only DM </w:t>
            </w:r>
            <w:r w:rsidR="00D2469D" w:rsidRPr="00EE13B3">
              <w:rPr>
                <w:i/>
              </w:rPr>
              <w:t xml:space="preserve">measures </w:t>
            </w:r>
            <w:r w:rsidRPr="00EE13B3">
              <w:rPr>
                <w:i/>
              </w:rPr>
              <w:t>and use a certified software vendor for HEDIS</w:t>
            </w:r>
            <w:r w:rsidRPr="006E757D">
              <w:t xml:space="preserve"> should expand the core set to include all DM measures.</w:t>
            </w:r>
          </w:p>
          <w:p w:rsidR="00BB5F58" w:rsidRPr="006E757D" w:rsidRDefault="00BB5F58" w:rsidP="005B3C1C">
            <w:pPr>
              <w:pStyle w:val="Body"/>
            </w:pPr>
            <w:r w:rsidRPr="006E757D">
              <w:t xml:space="preserve">If the organization is audited for WHP reporting </w:t>
            </w:r>
            <w:r w:rsidR="00D2469D">
              <w:t xml:space="preserve">and for </w:t>
            </w:r>
            <w:r w:rsidRPr="006E757D">
              <w:t xml:space="preserve">HEDIS, the core set should </w:t>
            </w:r>
            <w:r w:rsidR="00520CAD" w:rsidRPr="006E757D">
              <w:t xml:space="preserve">be </w:t>
            </w:r>
            <w:r w:rsidRPr="006E757D">
              <w:t>expanded to include all WHP measures in addition to the base 15 measures</w:t>
            </w:r>
            <w:r w:rsidR="00520CAD" w:rsidRPr="006E757D">
              <w:t xml:space="preserve">. </w:t>
            </w:r>
            <w:r w:rsidRPr="006E757D">
              <w:t>Because there are few similarities between WHP and HEDIS measures, source code should be reviewed for all WHP measures</w:t>
            </w:r>
            <w:r w:rsidR="005B3C1C" w:rsidRPr="006E757D">
              <w:t>.</w:t>
            </w:r>
          </w:p>
          <w:p w:rsidR="005F4B8E" w:rsidRPr="006E757D" w:rsidRDefault="005F4B8E" w:rsidP="00D2469D">
            <w:pPr>
              <w:pStyle w:val="Body"/>
            </w:pPr>
            <w:r w:rsidRPr="006E757D">
              <w:t xml:space="preserve">The core set expansion is appropriate </w:t>
            </w:r>
            <w:r w:rsidR="00520CAD" w:rsidRPr="006E757D">
              <w:t xml:space="preserve">only </w:t>
            </w:r>
            <w:r w:rsidRPr="006E757D">
              <w:t>if the same programmers are used for both HEDIS and DM. If different programmers are used, the entire</w:t>
            </w:r>
            <w:r w:rsidR="00545AAB" w:rsidRPr="006E757D">
              <w:t xml:space="preserve"> measure set </w:t>
            </w:r>
            <w:r w:rsidR="007D3D2B">
              <w:t>must be</w:t>
            </w:r>
            <w:r w:rsidR="00520CAD" w:rsidRPr="006E757D">
              <w:t xml:space="preserve"> </w:t>
            </w:r>
            <w:r w:rsidR="00545AAB" w:rsidRPr="006E757D">
              <w:t>selected for review.</w:t>
            </w:r>
            <w:r w:rsidRPr="006E757D">
              <w:t xml:space="preserve"> </w:t>
            </w:r>
          </w:p>
        </w:tc>
      </w:tr>
    </w:tbl>
    <w:p w:rsidR="007D3D2B" w:rsidRDefault="007D3D2B">
      <w:pPr>
        <w:sectPr w:rsidR="007D3D2B" w:rsidSect="00C228DE">
          <w:headerReference w:type="even" r:id="rId26"/>
          <w:pgSz w:w="12240" w:h="15840" w:code="1"/>
          <w:pgMar w:top="1080" w:right="1080" w:bottom="1080" w:left="1440" w:header="720" w:footer="720" w:gutter="0"/>
          <w:paperSrc w:first="7" w:other="7"/>
          <w:cols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15"/>
        <w:gridCol w:w="7985"/>
      </w:tblGrid>
      <w:tr w:rsidR="00D1716E" w:rsidRPr="006E757D" w:rsidTr="00943BC9">
        <w:tc>
          <w:tcPr>
            <w:tcW w:w="1915" w:type="dxa"/>
            <w:tcBorders>
              <w:top w:val="nil"/>
              <w:left w:val="nil"/>
              <w:bottom w:val="nil"/>
              <w:right w:val="nil"/>
            </w:tcBorders>
            <w:tcMar>
              <w:left w:w="115" w:type="dxa"/>
              <w:right w:w="115" w:type="dxa"/>
            </w:tcMar>
          </w:tcPr>
          <w:p w:rsidR="00D1716E" w:rsidRPr="006E757D" w:rsidRDefault="00D1716E" w:rsidP="007D3D2B">
            <w:pPr>
              <w:pStyle w:val="MarginSubhead"/>
              <w:spacing w:before="0"/>
            </w:pPr>
            <w:r w:rsidRPr="006E757D">
              <w:lastRenderedPageBreak/>
              <w:t>Measure rotation</w:t>
            </w:r>
          </w:p>
        </w:tc>
        <w:tc>
          <w:tcPr>
            <w:tcW w:w="7985" w:type="dxa"/>
            <w:tcBorders>
              <w:top w:val="nil"/>
              <w:left w:val="nil"/>
              <w:bottom w:val="nil"/>
              <w:right w:val="nil"/>
            </w:tcBorders>
            <w:tcMar>
              <w:left w:w="115" w:type="dxa"/>
              <w:right w:w="115" w:type="dxa"/>
            </w:tcMar>
          </w:tcPr>
          <w:p w:rsidR="007813D3" w:rsidRPr="006E757D" w:rsidRDefault="007813D3" w:rsidP="007D3D2B">
            <w:pPr>
              <w:pStyle w:val="Body"/>
              <w:spacing w:before="0"/>
            </w:pPr>
            <w:r w:rsidRPr="006E757D">
              <w:t xml:space="preserve">Rotated measures are not included in the core set. </w:t>
            </w:r>
            <w:r w:rsidRPr="006E757D">
              <w:rPr>
                <w:szCs w:val="20"/>
              </w:rPr>
              <w:t xml:space="preserve">For </w:t>
            </w:r>
            <w:r w:rsidR="009D4E67" w:rsidRPr="006E757D">
              <w:rPr>
                <w:szCs w:val="20"/>
              </w:rPr>
              <w:t>these</w:t>
            </w:r>
            <w:r w:rsidRPr="006E757D">
              <w:rPr>
                <w:szCs w:val="20"/>
              </w:rPr>
              <w:t xml:space="preserve"> measures, the Certified Auditor validates only the audit results and rates from the previous year.</w:t>
            </w:r>
          </w:p>
          <w:p w:rsidR="00B766D4" w:rsidRPr="006E757D" w:rsidRDefault="00DA2CB5">
            <w:pPr>
              <w:pStyle w:val="Body"/>
              <w:rPr>
                <w:szCs w:val="20"/>
              </w:rPr>
            </w:pPr>
            <w:r w:rsidRPr="006E757D">
              <w:rPr>
                <w:szCs w:val="20"/>
              </w:rPr>
              <w:t>If t</w:t>
            </w:r>
            <w:r w:rsidR="00D1716E" w:rsidRPr="006E757D">
              <w:rPr>
                <w:szCs w:val="20"/>
              </w:rPr>
              <w:t xml:space="preserve">he </w:t>
            </w:r>
            <w:r w:rsidR="00202822" w:rsidRPr="006E757D">
              <w:rPr>
                <w:szCs w:val="20"/>
              </w:rPr>
              <w:t>organization</w:t>
            </w:r>
            <w:r w:rsidR="00D1716E" w:rsidRPr="006E757D">
              <w:rPr>
                <w:szCs w:val="20"/>
              </w:rPr>
              <w:t xml:space="preserve"> </w:t>
            </w:r>
            <w:r w:rsidR="00F37F36" w:rsidRPr="006E757D">
              <w:rPr>
                <w:szCs w:val="20"/>
              </w:rPr>
              <w:t xml:space="preserve">changed the </w:t>
            </w:r>
            <w:r w:rsidR="00D1716E" w:rsidRPr="006E757D">
              <w:rPr>
                <w:szCs w:val="20"/>
              </w:rPr>
              <w:t>measure rotation following the core set selection</w:t>
            </w:r>
            <w:r w:rsidRPr="006E757D">
              <w:rPr>
                <w:szCs w:val="20"/>
              </w:rPr>
              <w:t>,</w:t>
            </w:r>
            <w:r w:rsidR="00D1716E" w:rsidRPr="006E757D">
              <w:rPr>
                <w:szCs w:val="20"/>
              </w:rPr>
              <w:t xml:space="preserve"> the auditor </w:t>
            </w:r>
            <w:r w:rsidR="00E75CA1" w:rsidRPr="006E757D">
              <w:rPr>
                <w:szCs w:val="20"/>
              </w:rPr>
              <w:t xml:space="preserve">must </w:t>
            </w:r>
            <w:r w:rsidR="00D1716E" w:rsidRPr="006E757D">
              <w:rPr>
                <w:szCs w:val="20"/>
              </w:rPr>
              <w:t>expand the core set</w:t>
            </w:r>
            <w:r w:rsidR="00E75CA1" w:rsidRPr="006E757D">
              <w:rPr>
                <w:szCs w:val="20"/>
              </w:rPr>
              <w:t xml:space="preserve"> to include the minimum 15 measures</w:t>
            </w:r>
            <w:r w:rsidR="007813D3" w:rsidRPr="006E757D">
              <w:rPr>
                <w:szCs w:val="20"/>
              </w:rPr>
              <w:t xml:space="preserve">. </w:t>
            </w:r>
          </w:p>
        </w:tc>
      </w:tr>
      <w:tr w:rsidR="00D1716E" w:rsidRPr="006E757D" w:rsidTr="00943BC9">
        <w:tc>
          <w:tcPr>
            <w:tcW w:w="1915" w:type="dxa"/>
            <w:tcBorders>
              <w:top w:val="nil"/>
              <w:left w:val="nil"/>
              <w:bottom w:val="nil"/>
              <w:right w:val="nil"/>
            </w:tcBorders>
            <w:tcMar>
              <w:left w:w="115" w:type="dxa"/>
              <w:right w:w="115" w:type="dxa"/>
            </w:tcMar>
          </w:tcPr>
          <w:p w:rsidR="00D1716E" w:rsidRPr="006E757D" w:rsidRDefault="00D1716E" w:rsidP="006D531A">
            <w:pPr>
              <w:pStyle w:val="MarginSubhead"/>
            </w:pPr>
            <w:r w:rsidRPr="006E757D">
              <w:t>Core set expansion</w:t>
            </w:r>
          </w:p>
        </w:tc>
        <w:tc>
          <w:tcPr>
            <w:tcW w:w="7985" w:type="dxa"/>
            <w:tcBorders>
              <w:top w:val="nil"/>
              <w:left w:val="nil"/>
              <w:bottom w:val="nil"/>
              <w:right w:val="nil"/>
            </w:tcBorders>
            <w:tcMar>
              <w:left w:w="115" w:type="dxa"/>
              <w:right w:w="115" w:type="dxa"/>
            </w:tcMar>
          </w:tcPr>
          <w:p w:rsidR="00D1716E" w:rsidRPr="006E757D" w:rsidRDefault="00D1716E" w:rsidP="006D531A">
            <w:pPr>
              <w:pStyle w:val="Body"/>
            </w:pPr>
            <w:r w:rsidRPr="006E757D">
              <w:t xml:space="preserve">The auditor </w:t>
            </w:r>
            <w:r w:rsidR="009D4E67" w:rsidRPr="006E757D">
              <w:t xml:space="preserve">bases the section of core set measures </w:t>
            </w:r>
            <w:r w:rsidRPr="006E757D">
              <w:t xml:space="preserve">on the </w:t>
            </w:r>
            <w:r w:rsidR="00202822" w:rsidRPr="006E757D">
              <w:t>organization</w:t>
            </w:r>
            <w:r w:rsidR="00660316">
              <w:t>’</w:t>
            </w:r>
            <w:r w:rsidRPr="006E757D">
              <w:t xml:space="preserve">s </w:t>
            </w:r>
            <w:r w:rsidR="006F1161" w:rsidRPr="006E757D">
              <w:t xml:space="preserve">software processes and </w:t>
            </w:r>
            <w:r w:rsidR="007A1EB2" w:rsidRPr="006E757D">
              <w:t xml:space="preserve">Roadmap </w:t>
            </w:r>
            <w:r w:rsidRPr="006E757D">
              <w:t>responses</w:t>
            </w:r>
            <w:r w:rsidR="009E39DF" w:rsidRPr="006E757D">
              <w:t xml:space="preserve">, but </w:t>
            </w:r>
            <w:r w:rsidRPr="006E757D">
              <w:t xml:space="preserve">it may be necessary to revise the core set during the onsite visit, when measures that require detailed assessment of </w:t>
            </w:r>
            <w:r w:rsidR="00202822" w:rsidRPr="006E757D">
              <w:t>organization</w:t>
            </w:r>
            <w:r w:rsidRPr="006E757D">
              <w:t xml:space="preserve"> processes are identified more readily. </w:t>
            </w:r>
            <w:r w:rsidR="009D4E67" w:rsidRPr="006E757D">
              <w:t>T</w:t>
            </w:r>
            <w:r w:rsidRPr="006E757D">
              <w:t>he auditor may review additional measures to ensure that findings for related measures are consistent</w:t>
            </w:r>
            <w:r w:rsidR="009D4E67" w:rsidRPr="006E757D">
              <w:t>, based on findings during the onsite visit</w:t>
            </w:r>
            <w:r w:rsidRPr="006E757D">
              <w:t xml:space="preserve">. For example, if the auditor discovers a problem with identifying live births, the impact of the problem must be assessed </w:t>
            </w:r>
            <w:r w:rsidR="009D4E67" w:rsidRPr="006E757D">
              <w:t xml:space="preserve">for </w:t>
            </w:r>
            <w:r w:rsidRPr="006E757D">
              <w:t>all measures that require live birth data.</w:t>
            </w:r>
          </w:p>
          <w:p w:rsidR="004D5725" w:rsidRPr="006E757D" w:rsidRDefault="00D1716E">
            <w:pPr>
              <w:pStyle w:val="Note"/>
              <w:rPr>
                <w:szCs w:val="20"/>
              </w:rPr>
            </w:pPr>
            <w:r w:rsidRPr="006E757D">
              <w:rPr>
                <w:b/>
                <w:szCs w:val="20"/>
              </w:rPr>
              <w:t xml:space="preserve">Note: </w:t>
            </w:r>
            <w:r w:rsidRPr="006E757D">
              <w:rPr>
                <w:szCs w:val="20"/>
              </w:rPr>
              <w:t>The core set may be revised or expanded at any time during the audit.</w:t>
            </w:r>
          </w:p>
        </w:tc>
      </w:tr>
      <w:tr w:rsidR="0028460E" w:rsidRPr="006E757D" w:rsidTr="00943BC9">
        <w:tc>
          <w:tcPr>
            <w:tcW w:w="1915" w:type="dxa"/>
            <w:tcBorders>
              <w:top w:val="nil"/>
              <w:left w:val="nil"/>
              <w:bottom w:val="nil"/>
              <w:right w:val="nil"/>
            </w:tcBorders>
            <w:tcMar>
              <w:left w:w="115" w:type="dxa"/>
              <w:right w:w="115" w:type="dxa"/>
            </w:tcMar>
          </w:tcPr>
          <w:p w:rsidR="0028460E" w:rsidRPr="006E757D" w:rsidRDefault="00110CC1" w:rsidP="0028460E">
            <w:pPr>
              <w:pStyle w:val="MarginSubhead"/>
            </w:pPr>
            <w:r w:rsidRPr="006E757D">
              <w:t>ASCR and multiple core sets</w:t>
            </w:r>
          </w:p>
        </w:tc>
        <w:tc>
          <w:tcPr>
            <w:tcW w:w="7985" w:type="dxa"/>
            <w:tcBorders>
              <w:top w:val="nil"/>
              <w:left w:val="nil"/>
              <w:bottom w:val="nil"/>
              <w:right w:val="nil"/>
            </w:tcBorders>
            <w:tcMar>
              <w:left w:w="115" w:type="dxa"/>
              <w:right w:w="115" w:type="dxa"/>
            </w:tcMar>
          </w:tcPr>
          <w:p w:rsidR="00FC3BE6" w:rsidRPr="006E757D" w:rsidRDefault="00FC3BE6" w:rsidP="00FC3BE6">
            <w:pPr>
              <w:pStyle w:val="Body"/>
            </w:pPr>
            <w:r w:rsidRPr="006E757D">
              <w:t>If A</w:t>
            </w:r>
            <w:r w:rsidR="007D3D2B">
              <w:t>SCR</w:t>
            </w:r>
            <w:r w:rsidRPr="006E757D">
              <w:t xml:space="preserve"> </w:t>
            </w:r>
            <w:r w:rsidR="00D450F5">
              <w:t>was performed by</w:t>
            </w:r>
            <w:r w:rsidRPr="006E757D">
              <w:t xml:space="preserve"> another Licensed Organization, the</w:t>
            </w:r>
            <w:r w:rsidR="00281C75">
              <w:t xml:space="preserve"> auditor</w:t>
            </w:r>
            <w:r w:rsidRPr="006E757D">
              <w:t xml:space="preserve"> should consider the following items when selecting a core set.</w:t>
            </w:r>
          </w:p>
          <w:p w:rsidR="00FC3BE6" w:rsidRPr="006E757D" w:rsidRDefault="00FC3BE6" w:rsidP="00D450F5">
            <w:pPr>
              <w:pStyle w:val="Bullet"/>
            </w:pPr>
            <w:r w:rsidRPr="006E757D">
              <w:t>The core set should not be based on the ASCR list from the facilitating L</w:t>
            </w:r>
            <w:r w:rsidR="00D450F5">
              <w:t>icensed Organization</w:t>
            </w:r>
            <w:r w:rsidRPr="006E757D">
              <w:t xml:space="preserve">, but the auditor may eliminate measures </w:t>
            </w:r>
            <w:r w:rsidR="00960024" w:rsidRPr="006E757D">
              <w:t>certified by NCQA for the</w:t>
            </w:r>
            <w:r w:rsidRPr="006E757D">
              <w:t xml:space="preserve"> </w:t>
            </w:r>
            <w:r w:rsidR="00D450F5">
              <w:t>organization</w:t>
            </w:r>
            <w:r w:rsidR="001F5CCB">
              <w:t>.</w:t>
            </w:r>
          </w:p>
          <w:p w:rsidR="00FC3BE6" w:rsidRPr="006E757D" w:rsidRDefault="00FC3BE6" w:rsidP="00D450F5">
            <w:pPr>
              <w:pStyle w:val="Bullet"/>
            </w:pPr>
            <w:r w:rsidRPr="006E757D">
              <w:t xml:space="preserve">The core set should include all measures not in the scope of certification (e.g., </w:t>
            </w:r>
            <w:r w:rsidR="00EE6A48" w:rsidRPr="00EE6A48">
              <w:rPr>
                <w:i/>
              </w:rPr>
              <w:t>Call Answer Timeliness</w:t>
            </w:r>
            <w:r w:rsidR="00EE6A48">
              <w:t xml:space="preserve"> </w:t>
            </w:r>
            <w:r w:rsidR="005B3AE5" w:rsidRPr="006E757D">
              <w:t xml:space="preserve">and </w:t>
            </w:r>
            <w:r w:rsidRPr="006E757D">
              <w:rPr>
                <w:i/>
                <w:iCs/>
              </w:rPr>
              <w:t>Board Certification</w:t>
            </w:r>
            <w:r w:rsidRPr="006E757D">
              <w:t>)</w:t>
            </w:r>
            <w:r w:rsidR="001F5CCB">
              <w:t>.</w:t>
            </w:r>
          </w:p>
          <w:p w:rsidR="00FC3BE6" w:rsidRPr="006E757D" w:rsidRDefault="00FC3BE6" w:rsidP="00D450F5">
            <w:pPr>
              <w:pStyle w:val="Bullet"/>
            </w:pPr>
            <w:r w:rsidRPr="006E757D">
              <w:t>The auditor should review the source code for measures</w:t>
            </w:r>
            <w:r w:rsidR="00281C75">
              <w:t xml:space="preserve"> that are </w:t>
            </w:r>
            <w:r w:rsidRPr="006E757D">
              <w:t xml:space="preserve">on the ASCR list but were not certified by the </w:t>
            </w:r>
            <w:r w:rsidR="005B3AE5" w:rsidRPr="006E757D">
              <w:t>March</w:t>
            </w:r>
            <w:r w:rsidRPr="006E757D">
              <w:t xml:space="preserve"> 1 deadline</w:t>
            </w:r>
            <w:r w:rsidR="001F5CCB">
              <w:t>.</w:t>
            </w:r>
          </w:p>
        </w:tc>
      </w:tr>
    </w:tbl>
    <w:p w:rsidR="00D1716E" w:rsidRPr="006E757D" w:rsidRDefault="00D1716E" w:rsidP="009C5782">
      <w:pPr>
        <w:pStyle w:val="StdHead"/>
      </w:pPr>
      <w:r w:rsidRPr="006E757D">
        <w:t>Manual Source Code Review</w:t>
      </w:r>
    </w:p>
    <w:p w:rsidR="001C0954" w:rsidRPr="006E757D" w:rsidRDefault="001C0954">
      <w:pPr>
        <w:pStyle w:val="Body"/>
      </w:pPr>
      <w:r w:rsidRPr="006E757D">
        <w:rPr>
          <w:b/>
        </w:rPr>
        <w:t>Manual source code review</w:t>
      </w:r>
      <w:r w:rsidRPr="006E757D">
        <w:t xml:space="preserve"> is the process of examining original programming to verify that it is accurate</w:t>
      </w:r>
      <w:r w:rsidR="00F101DC" w:rsidRPr="006E757D">
        <w:t xml:space="preserve"> and </w:t>
      </w:r>
      <w:r w:rsidRPr="006E757D">
        <w:t xml:space="preserve">complete and </w:t>
      </w:r>
      <w:r w:rsidR="00F101DC" w:rsidRPr="006E757D">
        <w:t xml:space="preserve">that it </w:t>
      </w:r>
      <w:r w:rsidR="0074059A" w:rsidRPr="006E757D">
        <w:t xml:space="preserve">complies </w:t>
      </w:r>
      <w:r w:rsidRPr="006E757D">
        <w:t xml:space="preserve">with the specifications. </w:t>
      </w:r>
      <w:r w:rsidR="00F101DC" w:rsidRPr="006E757D">
        <w:t>The Certified Auditor does not have to perform the review, but t</w:t>
      </w:r>
      <w:r w:rsidR="005E0A90" w:rsidRPr="006E757D">
        <w:t xml:space="preserve">he reviewer </w:t>
      </w:r>
      <w:r w:rsidRPr="006E757D">
        <w:t xml:space="preserve">should be proficient in programming languages, knowledgeable about the </w:t>
      </w:r>
      <w:r w:rsidR="00202822" w:rsidRPr="006E757D">
        <w:t>organization</w:t>
      </w:r>
      <w:r w:rsidR="00660316">
        <w:t>’</w:t>
      </w:r>
      <w:r w:rsidRPr="006E757D">
        <w:t xml:space="preserve">s systems and familiar with </w:t>
      </w:r>
      <w:r w:rsidR="006E0CFD" w:rsidRPr="006E757D">
        <w:t xml:space="preserve">measure </w:t>
      </w:r>
      <w:r w:rsidRPr="006E757D">
        <w:t xml:space="preserve">specifications and guidelines. The audit team is responsible for applying the HD </w:t>
      </w:r>
      <w:r w:rsidR="005E0A90" w:rsidRPr="006E757D">
        <w:t xml:space="preserve">standards </w:t>
      </w:r>
      <w:r w:rsidRPr="006E757D">
        <w:t xml:space="preserve">to the review and </w:t>
      </w:r>
      <w:r w:rsidR="005E0A90" w:rsidRPr="006E757D">
        <w:t xml:space="preserve">for </w:t>
      </w:r>
      <w:r w:rsidRPr="006E757D">
        <w:t xml:space="preserve">confirming the accuracy of source code for all calculations (denominator, sampling, numerator and algorithms) for each measure in the core set. </w:t>
      </w:r>
    </w:p>
    <w:p w:rsidR="0050743A" w:rsidRPr="006E757D" w:rsidRDefault="001C0954" w:rsidP="00EB693B">
      <w:pPr>
        <w:pStyle w:val="Body"/>
      </w:pPr>
      <w:r w:rsidRPr="006E757D">
        <w:t xml:space="preserve">If the </w:t>
      </w:r>
      <w:r w:rsidR="00202822" w:rsidRPr="006E757D">
        <w:t>organization</w:t>
      </w:r>
      <w:r w:rsidRPr="006E757D">
        <w:t xml:space="preserve"> uses </w:t>
      </w:r>
      <w:r w:rsidR="006D531A" w:rsidRPr="006E757D">
        <w:t xml:space="preserve">NCQA </w:t>
      </w:r>
      <w:r w:rsidR="0074059A" w:rsidRPr="006E757D">
        <w:t>C</w:t>
      </w:r>
      <w:r w:rsidRPr="006E757D">
        <w:t xml:space="preserve">ertified software or </w:t>
      </w:r>
      <w:r w:rsidR="005E0A90" w:rsidRPr="006E757D">
        <w:t>ASCR</w:t>
      </w:r>
      <w:r w:rsidRPr="006E757D">
        <w:t xml:space="preserve"> and the measure has a </w:t>
      </w:r>
      <w:r w:rsidRPr="006E757D">
        <w:rPr>
          <w:i/>
        </w:rPr>
        <w:t xml:space="preserve">Pass </w:t>
      </w:r>
      <w:r w:rsidRPr="006E757D">
        <w:t>status, the audit team reviews source code</w:t>
      </w:r>
      <w:r w:rsidR="00F37F36" w:rsidRPr="006E757D">
        <w:t xml:space="preserve"> only</w:t>
      </w:r>
      <w:r w:rsidRPr="006E757D">
        <w:t xml:space="preserve"> for algorithmic calculations.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25"/>
        <w:gridCol w:w="8075"/>
      </w:tblGrid>
      <w:tr w:rsidR="00065313" w:rsidRPr="006E757D" w:rsidTr="009C5782">
        <w:tc>
          <w:tcPr>
            <w:tcW w:w="1825" w:type="dxa"/>
            <w:tcBorders>
              <w:top w:val="nil"/>
              <w:left w:val="nil"/>
              <w:bottom w:val="nil"/>
              <w:right w:val="nil"/>
            </w:tcBorders>
            <w:tcMar>
              <w:left w:w="115" w:type="dxa"/>
              <w:right w:w="115" w:type="dxa"/>
            </w:tcMar>
          </w:tcPr>
          <w:p w:rsidR="00065313" w:rsidRPr="006E757D" w:rsidRDefault="00065313" w:rsidP="00EB693B">
            <w:pPr>
              <w:pStyle w:val="MarginSubhead"/>
            </w:pPr>
            <w:r w:rsidRPr="006E757D">
              <w:t>Source code process</w:t>
            </w:r>
          </w:p>
        </w:tc>
        <w:tc>
          <w:tcPr>
            <w:tcW w:w="8075" w:type="dxa"/>
            <w:tcBorders>
              <w:top w:val="nil"/>
              <w:left w:val="nil"/>
              <w:bottom w:val="nil"/>
              <w:right w:val="nil"/>
            </w:tcBorders>
            <w:tcMar>
              <w:left w:w="115" w:type="dxa"/>
              <w:right w:w="115" w:type="dxa"/>
            </w:tcMar>
          </w:tcPr>
          <w:p w:rsidR="00065313" w:rsidRPr="006E757D" w:rsidRDefault="00065313" w:rsidP="00EB693B">
            <w:pPr>
              <w:pStyle w:val="Body"/>
            </w:pPr>
            <w:r w:rsidRPr="006E757D">
              <w:t xml:space="preserve">To ensure that the reviewer can perform a thorough assessment of source code, </w:t>
            </w:r>
            <w:r w:rsidRPr="006E757D">
              <w:br/>
              <w:t>the organization must provide flowcharts; software documents that explain the programming logic and design; input and output file layouts and field descriptions; input and output counts; and run logs.</w:t>
            </w:r>
          </w:p>
          <w:p w:rsidR="00065313" w:rsidRPr="006E757D" w:rsidRDefault="00065313" w:rsidP="00EB693B">
            <w:pPr>
              <w:pStyle w:val="Body"/>
            </w:pPr>
            <w:r w:rsidRPr="006E757D">
              <w:t>The source code review process can be completed in one of two ways.</w:t>
            </w:r>
          </w:p>
          <w:p w:rsidR="00065313" w:rsidRPr="006E757D" w:rsidRDefault="00065313" w:rsidP="0047357B">
            <w:pPr>
              <w:pStyle w:val="ProcessBullet"/>
              <w:numPr>
                <w:ilvl w:val="0"/>
                <w:numId w:val="7"/>
              </w:numPr>
              <w:tabs>
                <w:tab w:val="clear" w:pos="360"/>
              </w:tabs>
              <w:ind w:left="648" w:hanging="288"/>
            </w:pPr>
            <w:r w:rsidRPr="006E757D">
              <w:t>The Certified Auditor analyzes the code independently before or after the onsite review and communicates perceived discrepancies to organization staff</w:t>
            </w:r>
            <w:r w:rsidR="009C5782">
              <w:t>.</w:t>
            </w:r>
          </w:p>
          <w:p w:rsidR="00065313" w:rsidRPr="006E757D" w:rsidRDefault="00065313" w:rsidP="00EB693B">
            <w:pPr>
              <w:pStyle w:val="Bullet"/>
              <w:spacing w:before="60"/>
              <w:ind w:left="864"/>
              <w:rPr>
                <w:i/>
              </w:rPr>
            </w:pPr>
            <w:r w:rsidRPr="006E757D">
              <w:rPr>
                <w:i/>
              </w:rPr>
              <w:t>Saves time, but may result in more questions if the reviewer does not fully understand the organization</w:t>
            </w:r>
            <w:r w:rsidR="00660316">
              <w:rPr>
                <w:i/>
              </w:rPr>
              <w:t>’</w:t>
            </w:r>
            <w:r w:rsidRPr="006E757D">
              <w:rPr>
                <w:i/>
              </w:rPr>
              <w:t>s system</w:t>
            </w:r>
            <w:r w:rsidR="005202EA">
              <w:rPr>
                <w:i/>
              </w:rPr>
              <w:t>.</w:t>
            </w:r>
          </w:p>
          <w:p w:rsidR="00065313" w:rsidRPr="006E757D" w:rsidRDefault="009C5782" w:rsidP="0047357B">
            <w:pPr>
              <w:pStyle w:val="ProcessBullet"/>
              <w:numPr>
                <w:ilvl w:val="0"/>
                <w:numId w:val="7"/>
              </w:numPr>
              <w:tabs>
                <w:tab w:val="clear" w:pos="360"/>
              </w:tabs>
              <w:spacing w:before="180"/>
              <w:ind w:left="648" w:hanging="288"/>
            </w:pPr>
            <w:r>
              <w:t>T</w:t>
            </w:r>
            <w:r w:rsidR="00065313" w:rsidRPr="006E757D">
              <w:t>he auditor examines source code with organization staff</w:t>
            </w:r>
            <w:r>
              <w:t xml:space="preserve"> during the onsite visit.</w:t>
            </w:r>
          </w:p>
          <w:p w:rsidR="00065313" w:rsidRPr="006E757D" w:rsidRDefault="00065313" w:rsidP="00982F4F">
            <w:pPr>
              <w:pStyle w:val="Bullet"/>
              <w:spacing w:before="60"/>
              <w:ind w:left="864"/>
              <w:rPr>
                <w:i/>
              </w:rPr>
            </w:pPr>
            <w:r w:rsidRPr="006E757D">
              <w:rPr>
                <w:i/>
              </w:rPr>
              <w:t>May be more efficient if it can be completed during the onsite visit</w:t>
            </w:r>
            <w:r w:rsidR="005202EA">
              <w:rPr>
                <w:i/>
              </w:rPr>
              <w:t>.</w:t>
            </w:r>
          </w:p>
          <w:p w:rsidR="00065313" w:rsidRPr="006E757D" w:rsidRDefault="00065313" w:rsidP="00982F4F">
            <w:pPr>
              <w:pStyle w:val="Body"/>
              <w:rPr>
                <w:i/>
              </w:rPr>
            </w:pPr>
          </w:p>
        </w:tc>
      </w:tr>
    </w:tbl>
    <w:p w:rsidR="009C5782" w:rsidRDefault="009C5782">
      <w:pPr>
        <w:sectPr w:rsidR="009C5782" w:rsidSect="00C228DE">
          <w:headerReference w:type="default" r:id="rId27"/>
          <w:pgSz w:w="12240" w:h="15840" w:code="1"/>
          <w:pgMar w:top="1080" w:right="1080" w:bottom="1080" w:left="1440" w:header="720" w:footer="720" w:gutter="0"/>
          <w:paperSrc w:first="7" w:other="7"/>
          <w:cols w:space="720"/>
          <w:noEndnote/>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25"/>
        <w:gridCol w:w="8075"/>
      </w:tblGrid>
      <w:tr w:rsidR="009C5782" w:rsidRPr="006E757D" w:rsidTr="009C5782">
        <w:tc>
          <w:tcPr>
            <w:tcW w:w="1825" w:type="dxa"/>
            <w:tcBorders>
              <w:top w:val="nil"/>
              <w:left w:val="nil"/>
              <w:bottom w:val="nil"/>
              <w:right w:val="nil"/>
            </w:tcBorders>
            <w:tcMar>
              <w:left w:w="115" w:type="dxa"/>
              <w:right w:w="115" w:type="dxa"/>
            </w:tcMar>
          </w:tcPr>
          <w:p w:rsidR="009C5782" w:rsidRPr="006E757D" w:rsidRDefault="009C5782" w:rsidP="00EB693B">
            <w:pPr>
              <w:pStyle w:val="MarginSubhead"/>
            </w:pPr>
          </w:p>
        </w:tc>
        <w:tc>
          <w:tcPr>
            <w:tcW w:w="8075" w:type="dxa"/>
            <w:tcBorders>
              <w:top w:val="nil"/>
              <w:left w:val="nil"/>
              <w:bottom w:val="nil"/>
              <w:right w:val="nil"/>
            </w:tcBorders>
            <w:tcMar>
              <w:left w:w="115" w:type="dxa"/>
              <w:right w:w="115" w:type="dxa"/>
            </w:tcMar>
          </w:tcPr>
          <w:p w:rsidR="009C5782" w:rsidRPr="006E757D" w:rsidRDefault="009C5782" w:rsidP="009C5782">
            <w:pPr>
              <w:pStyle w:val="Body"/>
              <w:spacing w:before="0"/>
            </w:pPr>
            <w:r w:rsidRPr="006E757D">
              <w:t>An advantage to code review is that it lets the reviewer quickly and easily determine whether certain tests have not been performed. It may be difficult to verify that the code properly checks for continuous enrollment, but it is easy to ascertain if the code tests the proper age range or performs a required gender test. Similarly, exclusions based on clinical codes can be readily determined.</w:t>
            </w:r>
          </w:p>
          <w:p w:rsidR="009C5782" w:rsidRPr="006E757D" w:rsidRDefault="009C5782" w:rsidP="009C5782">
            <w:pPr>
              <w:pStyle w:val="Body"/>
            </w:pPr>
            <w:r w:rsidRPr="006E757D">
              <w:t xml:space="preserve">A common challenge of code review is that viewing a program sequence does not ensure that the code was executed properly. The examined code may have been bypassed partially or completely. The auditor must check to make sure that the program ran as specified. One way to do this is to rerun the code against the original files, which requires a file freeze of the measure repository. Another method of testing the code is to run it against a test file prepared by the auditor in the format of the expected input file. If the subset is small, the auditor can select a subset of the total file (pre-denominator extract) and hand-check the results. </w:t>
            </w:r>
          </w:p>
          <w:p w:rsidR="009C5782" w:rsidRPr="006E757D" w:rsidRDefault="009C5782" w:rsidP="009C5782">
            <w:pPr>
              <w:pStyle w:val="Body"/>
            </w:pPr>
            <w:r w:rsidRPr="006E757D">
              <w:t xml:space="preserve">An alternative is to prepare a set of data (a </w:t>
            </w:r>
            <w:r w:rsidRPr="006E757D">
              <w:rPr>
                <w:b/>
              </w:rPr>
              <w:t>test deck</w:t>
            </w:r>
            <w:r w:rsidRPr="006E757D">
              <w:t>) with known results, modify the organization</w:t>
            </w:r>
            <w:r w:rsidR="00660316">
              <w:t>’</w:t>
            </w:r>
            <w:r w:rsidRPr="006E757D">
              <w:t>s program to read it and compare program results with expected results.</w:t>
            </w:r>
          </w:p>
        </w:tc>
      </w:tr>
      <w:tr w:rsidR="00D1716E" w:rsidRPr="006E757D" w:rsidTr="00065313">
        <w:tc>
          <w:tcPr>
            <w:tcW w:w="1825" w:type="dxa"/>
            <w:tcBorders>
              <w:top w:val="nil"/>
              <w:left w:val="nil"/>
              <w:bottom w:val="nil"/>
              <w:right w:val="nil"/>
            </w:tcBorders>
            <w:tcMar>
              <w:left w:w="115" w:type="dxa"/>
              <w:right w:w="115" w:type="dxa"/>
            </w:tcMar>
          </w:tcPr>
          <w:p w:rsidR="00D1716E" w:rsidRPr="006E757D" w:rsidRDefault="002C367B" w:rsidP="00982F4F">
            <w:pPr>
              <w:pStyle w:val="MarginSubhead"/>
            </w:pPr>
            <w:r w:rsidRPr="006E757D">
              <w:t xml:space="preserve">HEDIS </w:t>
            </w:r>
            <w:r w:rsidR="008525DF" w:rsidRPr="006E757D">
              <w:t>d</w:t>
            </w:r>
            <w:r w:rsidRPr="006E757D">
              <w:t>etermination</w:t>
            </w:r>
          </w:p>
        </w:tc>
        <w:tc>
          <w:tcPr>
            <w:tcW w:w="8075" w:type="dxa"/>
            <w:tcBorders>
              <w:top w:val="nil"/>
              <w:left w:val="nil"/>
              <w:bottom w:val="nil"/>
              <w:right w:val="nil"/>
            </w:tcBorders>
            <w:tcMar>
              <w:left w:w="115" w:type="dxa"/>
              <w:right w:w="115" w:type="dxa"/>
            </w:tcMar>
          </w:tcPr>
          <w:p w:rsidR="00D1716E" w:rsidRPr="006E757D" w:rsidRDefault="002C367B" w:rsidP="005202EA">
            <w:pPr>
              <w:pStyle w:val="Body"/>
            </w:pPr>
            <w:r w:rsidRPr="006E757D">
              <w:t>For each measure in the core set, t</w:t>
            </w:r>
            <w:r w:rsidR="00D1716E" w:rsidRPr="006E757D">
              <w:t>he auditor document</w:t>
            </w:r>
            <w:r w:rsidR="001D2C1B" w:rsidRPr="006E757D">
              <w:t>s</w:t>
            </w:r>
            <w:r w:rsidR="00D1716E" w:rsidRPr="006E757D">
              <w:t xml:space="preserve"> that the </w:t>
            </w:r>
            <w:r w:rsidRPr="006E757D">
              <w:t>source code meets the HD standards</w:t>
            </w:r>
            <w:r w:rsidR="00D1716E" w:rsidRPr="006E757D">
              <w:t xml:space="preserve">. </w:t>
            </w:r>
            <w:r w:rsidRPr="006E757D">
              <w:t xml:space="preserve">If </w:t>
            </w:r>
            <w:r w:rsidR="00D1716E" w:rsidRPr="006E757D">
              <w:t>the core set measures are expanded</w:t>
            </w:r>
            <w:r w:rsidR="001D2C1B" w:rsidRPr="006E757D">
              <w:t xml:space="preserve">, the auditor </w:t>
            </w:r>
            <w:r w:rsidRPr="006E757D">
              <w:t xml:space="preserve">also </w:t>
            </w:r>
            <w:r w:rsidR="001D2C1B" w:rsidRPr="006E757D">
              <w:t>document</w:t>
            </w:r>
            <w:r w:rsidRPr="006E757D">
              <w:t>s</w:t>
            </w:r>
            <w:r w:rsidR="001D2C1B" w:rsidRPr="006E757D">
              <w:t xml:space="preserve"> the additional</w:t>
            </w:r>
            <w:r w:rsidRPr="006E757D">
              <w:t xml:space="preserve"> measures</w:t>
            </w:r>
            <w:r w:rsidR="00D1716E" w:rsidRPr="006E757D">
              <w:t>.</w:t>
            </w:r>
            <w:r w:rsidR="004B5C0B">
              <w:t xml:space="preserve"> </w:t>
            </w:r>
          </w:p>
        </w:tc>
      </w:tr>
      <w:tr w:rsidR="00D1716E" w:rsidRPr="006E757D" w:rsidTr="00F37F36">
        <w:tc>
          <w:tcPr>
            <w:tcW w:w="1825" w:type="dxa"/>
            <w:tcBorders>
              <w:top w:val="nil"/>
              <w:left w:val="nil"/>
              <w:bottom w:val="nil"/>
              <w:right w:val="nil"/>
            </w:tcBorders>
            <w:tcMar>
              <w:left w:w="115" w:type="dxa"/>
              <w:right w:w="115" w:type="dxa"/>
            </w:tcMar>
          </w:tcPr>
          <w:p w:rsidR="00D1716E" w:rsidRPr="006E757D" w:rsidRDefault="00D1716E" w:rsidP="00B766D4">
            <w:pPr>
              <w:pStyle w:val="MarginSubhead"/>
            </w:pPr>
            <w:r w:rsidRPr="006E757D">
              <w:t>Review results</w:t>
            </w:r>
          </w:p>
        </w:tc>
        <w:tc>
          <w:tcPr>
            <w:tcW w:w="8075" w:type="dxa"/>
            <w:tcBorders>
              <w:top w:val="nil"/>
              <w:left w:val="nil"/>
              <w:bottom w:val="nil"/>
              <w:right w:val="nil"/>
            </w:tcBorders>
            <w:tcMar>
              <w:left w:w="115" w:type="dxa"/>
              <w:right w:w="115" w:type="dxa"/>
            </w:tcMar>
          </w:tcPr>
          <w:p w:rsidR="00D1716E" w:rsidRPr="006E757D" w:rsidRDefault="00D1716E" w:rsidP="00B766D4">
            <w:pPr>
              <w:pStyle w:val="Body"/>
            </w:pPr>
            <w:r w:rsidRPr="006E757D">
              <w:t>The source code revie</w:t>
            </w:r>
            <w:r w:rsidR="00B7342F">
              <w:t>w can have one of three results:</w:t>
            </w:r>
          </w:p>
          <w:p w:rsidR="00D1716E" w:rsidRPr="006E757D" w:rsidRDefault="00DE6D5D" w:rsidP="0047357B">
            <w:pPr>
              <w:pStyle w:val="ProcessBullet"/>
              <w:numPr>
                <w:ilvl w:val="0"/>
                <w:numId w:val="8"/>
              </w:numPr>
              <w:tabs>
                <w:tab w:val="clear" w:pos="360"/>
              </w:tabs>
              <w:spacing w:before="100"/>
              <w:ind w:left="648" w:hanging="288"/>
            </w:pPr>
            <w:r w:rsidRPr="006E757D">
              <w:t>A</w:t>
            </w:r>
            <w:r w:rsidR="00D1716E" w:rsidRPr="006E757D">
              <w:t>greement that the code produces the intended and appropriate output</w:t>
            </w:r>
            <w:r w:rsidR="005202EA">
              <w:t>.</w:t>
            </w:r>
          </w:p>
          <w:p w:rsidR="00D1716E" w:rsidRPr="006E757D" w:rsidRDefault="00DE6D5D" w:rsidP="0047357B">
            <w:pPr>
              <w:pStyle w:val="ProcessBullet"/>
              <w:numPr>
                <w:ilvl w:val="0"/>
                <w:numId w:val="8"/>
              </w:numPr>
              <w:tabs>
                <w:tab w:val="clear" w:pos="360"/>
              </w:tabs>
              <w:spacing w:before="100"/>
              <w:ind w:left="648" w:hanging="288"/>
            </w:pPr>
            <w:r w:rsidRPr="006E757D">
              <w:t>Q</w:t>
            </w:r>
            <w:r w:rsidR="00D1716E" w:rsidRPr="006E757D">
              <w:t>uestions about aspects of the code that require programmer review and possible job reruns</w:t>
            </w:r>
            <w:r w:rsidR="005202EA">
              <w:t>.</w:t>
            </w:r>
          </w:p>
          <w:p w:rsidR="00D1716E" w:rsidRPr="006E757D" w:rsidRDefault="00DE6D5D" w:rsidP="0047357B">
            <w:pPr>
              <w:pStyle w:val="ProcessBullet"/>
              <w:numPr>
                <w:ilvl w:val="0"/>
                <w:numId w:val="8"/>
              </w:numPr>
              <w:tabs>
                <w:tab w:val="clear" w:pos="360"/>
              </w:tabs>
              <w:spacing w:before="100"/>
              <w:ind w:left="648" w:hanging="288"/>
            </w:pPr>
            <w:r w:rsidRPr="006E757D">
              <w:t>D</w:t>
            </w:r>
            <w:r w:rsidR="00D1716E" w:rsidRPr="006E757D">
              <w:t>etermination that the code is inadequate and must be rewritten before the results can be accepte</w:t>
            </w:r>
            <w:r w:rsidR="00977842" w:rsidRPr="006E757D">
              <w:t>d</w:t>
            </w:r>
            <w:r w:rsidR="005202EA">
              <w:t>.</w:t>
            </w:r>
          </w:p>
        </w:tc>
      </w:tr>
      <w:tr w:rsidR="0047230A" w:rsidRPr="006E757D" w:rsidTr="00982F4F">
        <w:tc>
          <w:tcPr>
            <w:tcW w:w="1825" w:type="dxa"/>
            <w:tcBorders>
              <w:top w:val="nil"/>
              <w:left w:val="nil"/>
              <w:bottom w:val="nil"/>
              <w:right w:val="nil"/>
            </w:tcBorders>
            <w:tcMar>
              <w:left w:w="115" w:type="dxa"/>
              <w:right w:w="115" w:type="dxa"/>
            </w:tcMar>
          </w:tcPr>
          <w:p w:rsidR="0047230A" w:rsidRPr="006E757D" w:rsidRDefault="0047230A" w:rsidP="0018293F">
            <w:pPr>
              <w:pStyle w:val="MarginSubhead"/>
            </w:pPr>
            <w:r w:rsidRPr="006E757D">
              <w:t xml:space="preserve">ASCR or </w:t>
            </w:r>
            <w:r w:rsidR="00681D48" w:rsidRPr="006E757D">
              <w:t xml:space="preserve">certified </w:t>
            </w:r>
            <w:r w:rsidRPr="006E757D">
              <w:t>software</w:t>
            </w:r>
          </w:p>
        </w:tc>
        <w:tc>
          <w:tcPr>
            <w:tcW w:w="8075" w:type="dxa"/>
            <w:tcBorders>
              <w:top w:val="nil"/>
              <w:left w:val="nil"/>
              <w:bottom w:val="nil"/>
              <w:right w:val="nil"/>
            </w:tcBorders>
            <w:tcMar>
              <w:left w:w="115" w:type="dxa"/>
              <w:right w:w="115" w:type="dxa"/>
            </w:tcMar>
          </w:tcPr>
          <w:p w:rsidR="0047230A" w:rsidRPr="006E757D" w:rsidRDefault="0074059A" w:rsidP="0018293F">
            <w:pPr>
              <w:pStyle w:val="Body"/>
            </w:pPr>
            <w:r w:rsidRPr="006E757D">
              <w:t>An</w:t>
            </w:r>
            <w:r w:rsidR="0047230A" w:rsidRPr="006E757D">
              <w:t xml:space="preserve"> organization </w:t>
            </w:r>
            <w:r w:rsidRPr="006E757D">
              <w:t xml:space="preserve">that </w:t>
            </w:r>
            <w:r w:rsidR="0047230A" w:rsidRPr="006E757D">
              <w:t>uses certified software or completed ASCR</w:t>
            </w:r>
            <w:r w:rsidRPr="006E757D">
              <w:t xml:space="preserve"> </w:t>
            </w:r>
            <w:r w:rsidR="0047230A" w:rsidRPr="006E757D">
              <w:t>is exempt from manual source code review for all passing measures</w:t>
            </w:r>
            <w:r w:rsidR="009E23A8" w:rsidRPr="006E757D">
              <w:t>;</w:t>
            </w:r>
            <w:r w:rsidR="0047230A" w:rsidRPr="006E757D">
              <w:t xml:space="preserve"> </w:t>
            </w:r>
            <w:r w:rsidR="009E23A8" w:rsidRPr="006E757D">
              <w:t>however</w:t>
            </w:r>
            <w:r w:rsidR="0047230A" w:rsidRPr="006E757D">
              <w:t xml:space="preserve">, the auditor must </w:t>
            </w:r>
            <w:r w:rsidR="009E23A8" w:rsidRPr="006E757D">
              <w:t xml:space="preserve">still </w:t>
            </w:r>
            <w:r w:rsidR="0047230A" w:rsidRPr="006E757D">
              <w:t>evaluate</w:t>
            </w:r>
            <w:r w:rsidR="00CE7835" w:rsidRPr="006E757D">
              <w:t>:</w:t>
            </w:r>
          </w:p>
          <w:p w:rsidR="0047230A" w:rsidRPr="006E757D" w:rsidRDefault="0047230A" w:rsidP="00CE7835">
            <w:pPr>
              <w:pStyle w:val="Bullet"/>
              <w:spacing w:before="100"/>
            </w:pPr>
            <w:r w:rsidRPr="006E757D">
              <w:t>Organization-to-vendor field mapping</w:t>
            </w:r>
            <w:r w:rsidR="0018293F">
              <w:t>.</w:t>
            </w:r>
          </w:p>
          <w:p w:rsidR="00045A05" w:rsidRPr="006E757D" w:rsidRDefault="00045A05" w:rsidP="00CE7835">
            <w:pPr>
              <w:pStyle w:val="Bullet"/>
              <w:spacing w:before="100"/>
            </w:pPr>
            <w:r w:rsidRPr="006E757D">
              <w:t>Organization</w:t>
            </w:r>
            <w:r w:rsidR="005202EA">
              <w:t>-</w:t>
            </w:r>
            <w:r w:rsidRPr="006E757D">
              <w:t>specific mapping (e.g.</w:t>
            </w:r>
            <w:r w:rsidR="00141D0A">
              <w:t>,</w:t>
            </w:r>
            <w:r w:rsidRPr="006E757D">
              <w:t xml:space="preserve"> mapping of proprietary codes)</w:t>
            </w:r>
            <w:r w:rsidR="0018293F">
              <w:t>.</w:t>
            </w:r>
          </w:p>
          <w:p w:rsidR="0047230A" w:rsidRPr="006E757D" w:rsidRDefault="0047230A" w:rsidP="00CE7835">
            <w:pPr>
              <w:pStyle w:val="Bullet"/>
              <w:spacing w:before="100"/>
            </w:pPr>
            <w:r w:rsidRPr="006E757D">
              <w:t>Data scrubbing</w:t>
            </w:r>
            <w:r w:rsidR="0097168D" w:rsidRPr="006E757D">
              <w:t xml:space="preserve"> or </w:t>
            </w:r>
            <w:r w:rsidRPr="006E757D">
              <w:t>cleaning routines conducted before measure calculations (by either the organization or the vendor)</w:t>
            </w:r>
            <w:r w:rsidR="0018293F">
              <w:t>.</w:t>
            </w:r>
          </w:p>
          <w:p w:rsidR="0047230A" w:rsidRPr="006E757D" w:rsidRDefault="0047230A" w:rsidP="00CE7835">
            <w:pPr>
              <w:pStyle w:val="Bullet"/>
              <w:spacing w:before="100"/>
            </w:pPr>
            <w:r w:rsidRPr="006E757D">
              <w:t>Organization-specific data integrity and medical coding issues, especially concerns that could affect the accuracy of the reported rates</w:t>
            </w:r>
            <w:r w:rsidR="0018293F">
              <w:t>.</w:t>
            </w:r>
          </w:p>
          <w:p w:rsidR="0047230A" w:rsidRPr="006E757D" w:rsidRDefault="0047230A" w:rsidP="00CE7835">
            <w:pPr>
              <w:pStyle w:val="Bullet"/>
              <w:spacing w:before="100"/>
            </w:pPr>
            <w:r w:rsidRPr="006E757D">
              <w:t xml:space="preserve">Application of </w:t>
            </w:r>
            <w:r w:rsidR="00C20781" w:rsidRPr="006E757D">
              <w:t xml:space="preserve">customized </w:t>
            </w:r>
            <w:r w:rsidRPr="006E757D">
              <w:t>measure logic that is by nature idiosyncratic (e.g., organization-specific methods for identifying live births for OB-related measures)</w:t>
            </w:r>
            <w:r w:rsidR="0018293F">
              <w:t>.</w:t>
            </w:r>
          </w:p>
          <w:p w:rsidR="0047230A" w:rsidRPr="006E757D" w:rsidRDefault="0047230A" w:rsidP="00CE7835">
            <w:pPr>
              <w:pStyle w:val="Bullet"/>
              <w:spacing w:before="100"/>
            </w:pPr>
            <w:r w:rsidRPr="006E757D">
              <w:t>MRR tools and logic, including data entry screens, database layout and the combination of medical record and administrative data (confirm that the software applied the 14-day rule)</w:t>
            </w:r>
            <w:r w:rsidR="0018293F">
              <w:t>.</w:t>
            </w:r>
          </w:p>
          <w:p w:rsidR="001D2C1B" w:rsidRPr="006E757D" w:rsidRDefault="005B4AC5" w:rsidP="00CE7835">
            <w:pPr>
              <w:pStyle w:val="Bullet"/>
              <w:spacing w:before="100"/>
            </w:pPr>
            <w:r w:rsidRPr="006E757D">
              <w:t>Algorithmic calculations</w:t>
            </w:r>
            <w:r w:rsidR="0018293F">
              <w:t>.</w:t>
            </w:r>
          </w:p>
          <w:p w:rsidR="0047230A" w:rsidRPr="006E757D" w:rsidRDefault="0047230A" w:rsidP="00CE7835">
            <w:pPr>
              <w:pStyle w:val="Bullet"/>
              <w:spacing w:before="100"/>
            </w:pPr>
            <w:r w:rsidRPr="006E757D">
              <w:t>Vendor compliance with IS standards, especially concerns that could affect the accuracy of reported rates</w:t>
            </w:r>
            <w:r w:rsidR="0018293F">
              <w:t>.</w:t>
            </w:r>
          </w:p>
          <w:p w:rsidR="0047230A" w:rsidRPr="006E757D" w:rsidRDefault="0047230A" w:rsidP="00CE7835">
            <w:pPr>
              <w:pStyle w:val="Bullet"/>
              <w:spacing w:before="100"/>
            </w:pPr>
            <w:r w:rsidRPr="006E757D">
              <w:t>IDSS import tools</w:t>
            </w:r>
            <w:r w:rsidR="00CE7835" w:rsidRPr="006E757D">
              <w:t>.</w:t>
            </w:r>
          </w:p>
          <w:p w:rsidR="00DD4727" w:rsidRPr="006E757D" w:rsidRDefault="00065313" w:rsidP="00090AF9">
            <w:pPr>
              <w:pStyle w:val="Body"/>
            </w:pPr>
            <w:r w:rsidRPr="006E757D">
              <w:t xml:space="preserve">The auditor may use any method discussed to evaluate these areas, including running queries. The auditor should document the methods used and the results, and determine if measures were run with certified source code by comparing the date and version of output with the date on which the measure received a </w:t>
            </w:r>
            <w:r w:rsidRPr="006E757D">
              <w:rPr>
                <w:i/>
              </w:rPr>
              <w:t>Pass</w:t>
            </w:r>
            <w:r w:rsidRPr="006E757D">
              <w:t xml:space="preserve"> status and the date and version of source code release from the </w:t>
            </w:r>
            <w:r w:rsidR="002226B3" w:rsidRPr="006E757D">
              <w:t xml:space="preserve">final </w:t>
            </w:r>
            <w:r w:rsidRPr="006E757D">
              <w:t>Software Certification Report.</w:t>
            </w:r>
          </w:p>
        </w:tc>
      </w:tr>
    </w:tbl>
    <w:p w:rsidR="00B7342F" w:rsidRDefault="00B7342F">
      <w:pPr>
        <w:sectPr w:rsidR="00B7342F" w:rsidSect="00C228DE">
          <w:headerReference w:type="default" r:id="rId28"/>
          <w:pgSz w:w="12240" w:h="15840" w:code="1"/>
          <w:pgMar w:top="1080" w:right="1080" w:bottom="1080" w:left="1440" w:header="720" w:footer="720" w:gutter="0"/>
          <w:paperSrc w:first="7" w:other="7"/>
          <w:cols w:space="720"/>
          <w:noEndnote/>
        </w:sectPr>
      </w:pPr>
    </w:p>
    <w:tbl>
      <w:tblPr>
        <w:tblW w:w="0" w:type="auto"/>
        <w:tblLayout w:type="fixed"/>
        <w:tblCellMar>
          <w:left w:w="180" w:type="dxa"/>
          <w:right w:w="180" w:type="dxa"/>
        </w:tblCellMar>
        <w:tblLook w:val="0000"/>
      </w:tblPr>
      <w:tblGrid>
        <w:gridCol w:w="1825"/>
        <w:gridCol w:w="8075"/>
      </w:tblGrid>
      <w:tr w:rsidR="007041B8" w:rsidRPr="006E757D" w:rsidTr="00F37F36">
        <w:tc>
          <w:tcPr>
            <w:tcW w:w="1825" w:type="dxa"/>
            <w:tcMar>
              <w:left w:w="115" w:type="dxa"/>
              <w:right w:w="115" w:type="dxa"/>
            </w:tcMar>
          </w:tcPr>
          <w:p w:rsidR="007041B8" w:rsidRPr="006E757D" w:rsidRDefault="007041B8" w:rsidP="00B7342F">
            <w:pPr>
              <w:pStyle w:val="MarginSubhead"/>
              <w:spacing w:before="0"/>
            </w:pPr>
            <w:r w:rsidRPr="006E757D">
              <w:lastRenderedPageBreak/>
              <w:t xml:space="preserve">Certified </w:t>
            </w:r>
            <w:r w:rsidR="00681D48" w:rsidRPr="006E757D">
              <w:t>s</w:t>
            </w:r>
            <w:r w:rsidRPr="006E757D">
              <w:t>oftware</w:t>
            </w:r>
          </w:p>
        </w:tc>
        <w:tc>
          <w:tcPr>
            <w:tcW w:w="8075" w:type="dxa"/>
            <w:tcMar>
              <w:left w:w="115" w:type="dxa"/>
              <w:right w:w="115" w:type="dxa"/>
            </w:tcMar>
          </w:tcPr>
          <w:p w:rsidR="007041B8" w:rsidRPr="006E757D" w:rsidRDefault="007041B8" w:rsidP="00B7342F">
            <w:pPr>
              <w:pStyle w:val="Body"/>
              <w:spacing w:before="0"/>
            </w:pPr>
            <w:r w:rsidRPr="006E757D">
              <w:t>The certification program certifies the software vendor code</w:t>
            </w:r>
            <w:r w:rsidR="009E39DF" w:rsidRPr="006E757D">
              <w:t>,</w:t>
            </w:r>
            <w:r w:rsidRPr="006E757D">
              <w:t xml:space="preserve"> but not </w:t>
            </w:r>
            <w:r w:rsidR="00202822" w:rsidRPr="006E757D">
              <w:t>organization</w:t>
            </w:r>
            <w:r w:rsidRPr="006E757D">
              <w:t xml:space="preserve">-specific implementation of the code. Confirmation that the </w:t>
            </w:r>
            <w:r w:rsidR="00202822" w:rsidRPr="006E757D">
              <w:t>organization</w:t>
            </w:r>
            <w:r w:rsidRPr="006E757D">
              <w:t xml:space="preserve"> used the </w:t>
            </w:r>
            <w:r w:rsidR="006D531A" w:rsidRPr="006E757D">
              <w:t xml:space="preserve">NCQA </w:t>
            </w:r>
            <w:r w:rsidR="00E85F50" w:rsidRPr="006E757D">
              <w:t>C</w:t>
            </w:r>
            <w:r w:rsidRPr="006E757D">
              <w:t>ertified version of the software is the responsibility of the Certified Auditor.</w:t>
            </w:r>
            <w:r w:rsidR="009E39DF" w:rsidRPr="006E757D">
              <w:t xml:space="preserve"> If the organization uses </w:t>
            </w:r>
            <w:r w:rsidR="006D531A" w:rsidRPr="006E757D">
              <w:t xml:space="preserve">NCQA </w:t>
            </w:r>
            <w:r w:rsidR="00E85F50" w:rsidRPr="006E757D">
              <w:t>C</w:t>
            </w:r>
            <w:r w:rsidR="009E39DF" w:rsidRPr="006E757D">
              <w:t>ertified software, the auditor must compare the software version number with the vendor</w:t>
            </w:r>
            <w:r w:rsidR="00660316">
              <w:t>’</w:t>
            </w:r>
            <w:r w:rsidR="009E39DF" w:rsidRPr="006E757D">
              <w:t>s Certification Report.</w:t>
            </w:r>
          </w:p>
          <w:p w:rsidR="007041B8" w:rsidRPr="006E757D" w:rsidRDefault="007041B8" w:rsidP="007041B8">
            <w:pPr>
              <w:pStyle w:val="Body"/>
            </w:pPr>
            <w:r w:rsidRPr="006E757D">
              <w:t xml:space="preserve">The auditor must evaluate measures with a </w:t>
            </w:r>
            <w:r w:rsidRPr="006E757D">
              <w:rPr>
                <w:i/>
              </w:rPr>
              <w:t xml:space="preserve">Pass With Qualification </w:t>
            </w:r>
            <w:r w:rsidRPr="006E757D">
              <w:t xml:space="preserve">status. Measures receive a </w:t>
            </w:r>
            <w:r w:rsidRPr="006E757D">
              <w:rPr>
                <w:i/>
              </w:rPr>
              <w:t xml:space="preserve">Pass With Qualification </w:t>
            </w:r>
            <w:r w:rsidRPr="006E757D">
              <w:t>status when the vendor</w:t>
            </w:r>
            <w:r w:rsidR="00660316">
              <w:t>’</w:t>
            </w:r>
            <w:r w:rsidRPr="006E757D">
              <w:t>s output file does not match NCQA</w:t>
            </w:r>
            <w:r w:rsidR="00660316">
              <w:t>’</w:t>
            </w:r>
            <w:r w:rsidRPr="006E757D">
              <w:t>s file but the results are unlikely to cause material bias at the program level. This documented decision should include a description of the code insufficiency and the auditor</w:t>
            </w:r>
            <w:r w:rsidR="00660316">
              <w:t>’</w:t>
            </w:r>
            <w:r w:rsidRPr="006E757D">
              <w:t xml:space="preserve">s validation methods to determine the impact for the particular </w:t>
            </w:r>
            <w:r w:rsidR="00202822" w:rsidRPr="006E757D">
              <w:t>organization</w:t>
            </w:r>
            <w:r w:rsidRPr="006E757D">
              <w:t>.</w:t>
            </w:r>
          </w:p>
          <w:p w:rsidR="004D5725" w:rsidRPr="006E757D" w:rsidRDefault="007041B8" w:rsidP="00C52734">
            <w:pPr>
              <w:pStyle w:val="Body"/>
            </w:pPr>
            <w:r w:rsidRPr="006E757D">
              <w:t xml:space="preserve">Measures with a </w:t>
            </w:r>
            <w:r w:rsidRPr="006E757D">
              <w:rPr>
                <w:i/>
              </w:rPr>
              <w:t xml:space="preserve">Fail </w:t>
            </w:r>
            <w:r w:rsidRPr="006E757D">
              <w:t xml:space="preserve">status should result in </w:t>
            </w:r>
            <w:r w:rsidRPr="006E757D">
              <w:rPr>
                <w:i/>
              </w:rPr>
              <w:t xml:space="preserve">NR </w:t>
            </w:r>
            <w:r w:rsidRPr="006E757D">
              <w:t>unless the health plan</w:t>
            </w:r>
            <w:r w:rsidR="00C52734">
              <w:t xml:space="preserve"> </w:t>
            </w:r>
            <w:r w:rsidRPr="006E757D">
              <w:t xml:space="preserve">or vendor produced the rate accurately by some other method. The auditor must review the steps taken to ensure that reported rates meet specifications and are not materially biased. This documented decision should include a description of the </w:t>
            </w:r>
            <w:r w:rsidR="00202822" w:rsidRPr="006E757D">
              <w:t>organization</w:t>
            </w:r>
            <w:r w:rsidR="00660316">
              <w:t>’</w:t>
            </w:r>
            <w:r w:rsidRPr="006E757D">
              <w:t>s resolution for the code insufficiency and the auditor</w:t>
            </w:r>
            <w:r w:rsidR="00660316">
              <w:t>’</w:t>
            </w:r>
            <w:r w:rsidRPr="006E757D">
              <w:t>s validation methods.</w:t>
            </w:r>
          </w:p>
        </w:tc>
      </w:tr>
    </w:tbl>
    <w:p w:rsidR="00545AAB" w:rsidRPr="006E757D" w:rsidRDefault="00545AAB" w:rsidP="00141D0A">
      <w:pPr>
        <w:pStyle w:val="StdHead"/>
        <w:rPr>
          <w:color w:val="auto"/>
        </w:rPr>
      </w:pPr>
      <w:r w:rsidRPr="006E757D">
        <w:rPr>
          <w:color w:val="auto"/>
        </w:rPr>
        <w:t xml:space="preserve">Preliminary Rate Review </w:t>
      </w:r>
    </w:p>
    <w:p w:rsidR="00545AAB" w:rsidRDefault="00067F91" w:rsidP="00067F91">
      <w:pPr>
        <w:pStyle w:val="Body"/>
      </w:pPr>
      <w:r w:rsidRPr="006E757D">
        <w:rPr>
          <w:b/>
        </w:rPr>
        <w:t>Preliminary rate review</w:t>
      </w:r>
      <w:r w:rsidRPr="006E757D">
        <w:t xml:space="preserve"> provides the Certified Auditor with initial administrative and hybrid rate information. The auditor uses the initial rate review to assess data completeness and accuracy early in the audit. Significant rate variations found during preliminary rate review are recorded, discussed and corrected if needed.</w:t>
      </w:r>
    </w:p>
    <w:p w:rsidR="00D1716E" w:rsidRPr="006E757D" w:rsidRDefault="00D1716E" w:rsidP="00141D0A">
      <w:pPr>
        <w:pStyle w:val="StdHead"/>
        <w:rPr>
          <w:color w:val="auto"/>
        </w:rPr>
      </w:pPr>
      <w:r w:rsidRPr="006E757D">
        <w:rPr>
          <w:color w:val="auto"/>
        </w:rPr>
        <w:t>Medical Record Review Validation</w:t>
      </w:r>
    </w:p>
    <w:p w:rsidR="00D678F2" w:rsidRPr="006E757D" w:rsidRDefault="00D678F2">
      <w:pPr>
        <w:pStyle w:val="Body"/>
      </w:pPr>
      <w:r w:rsidRPr="00EE6A48">
        <w:rPr>
          <w:b/>
        </w:rPr>
        <w:t>Medical record review (MRR) validation</w:t>
      </w:r>
      <w:r w:rsidRPr="006E757D">
        <w:t xml:space="preserve"> is an important component of the audit. It </w:t>
      </w:r>
      <w:r w:rsidR="003811DF" w:rsidRPr="006E757D">
        <w:t xml:space="preserve">tests </w:t>
      </w:r>
      <w:r w:rsidRPr="006E757D">
        <w:t xml:space="preserve">that medical record reviews performed by the </w:t>
      </w:r>
      <w:r w:rsidR="00202822" w:rsidRPr="006E757D">
        <w:t>organization</w:t>
      </w:r>
      <w:r w:rsidRPr="006E757D">
        <w:t xml:space="preserve"> or its contracted vendor meet audit standards for sound processes and that abstracted medical data are accurate. If the MRR process—which includes training, tools, interrater reliability checks, rater</w:t>
      </w:r>
      <w:r w:rsidR="00B11DAB" w:rsidRPr="006E757D">
        <w:t>-</w:t>
      </w:r>
      <w:r w:rsidRPr="006E757D">
        <w:t>to</w:t>
      </w:r>
      <w:r w:rsidR="00B11DAB" w:rsidRPr="006E757D">
        <w:t>-</w:t>
      </w:r>
      <w:r w:rsidRPr="006E757D">
        <w:t>standard tests or any other quality control process—is different by plan, product or product line, the auditor must conduct separate MRR validations for each process.</w:t>
      </w:r>
      <w:r w:rsidR="00394ACE" w:rsidRPr="006E757D">
        <w:t xml:space="preserve"> Medical records abstracted at a practitioner</w:t>
      </w:r>
      <w:r w:rsidR="00660316">
        <w:t>’</w:t>
      </w:r>
      <w:r w:rsidR="00394ACE" w:rsidRPr="006E757D">
        <w:t xml:space="preserve">s office are subject to the same audit policies as records abstracted by the plan or </w:t>
      </w:r>
      <w:r w:rsidR="0043629E">
        <w:t xml:space="preserve">by </w:t>
      </w:r>
      <w:r w:rsidR="00394ACE" w:rsidRPr="006E757D">
        <w:t xml:space="preserve">a vendor. </w:t>
      </w:r>
    </w:p>
    <w:p w:rsidR="00982F4F" w:rsidRPr="00EE6A48" w:rsidRDefault="005C0364" w:rsidP="00B7342F">
      <w:pPr>
        <w:pStyle w:val="Note"/>
        <w:rPr>
          <w:b/>
        </w:rPr>
      </w:pPr>
      <w:r w:rsidRPr="006E757D">
        <w:rPr>
          <w:b/>
        </w:rPr>
        <w:t>Note</w:t>
      </w:r>
      <w:r w:rsidR="00B7342F">
        <w:rPr>
          <w:b/>
        </w:rPr>
        <w:t>:</w:t>
      </w:r>
      <w:r w:rsidRPr="006E757D">
        <w:t xml:space="preserve"> M</w:t>
      </w:r>
      <w:r w:rsidR="00E85F50" w:rsidRPr="006E757D">
        <w:t>RR</w:t>
      </w:r>
      <w:r w:rsidR="007620CD" w:rsidRPr="006E757D">
        <w:t xml:space="preserve"> validation is not affected by the use of certified software. Although NCQA certifies the production of the systematic sample, the steps </w:t>
      </w:r>
      <w:r w:rsidR="00861F64" w:rsidRPr="006E757D">
        <w:t xml:space="preserve">below </w:t>
      </w:r>
      <w:r w:rsidR="007620CD" w:rsidRPr="006E757D">
        <w:t>and the combini</w:t>
      </w:r>
      <w:r w:rsidR="00B6498C" w:rsidRPr="006E757D">
        <w:t>ng</w:t>
      </w:r>
      <w:r w:rsidR="007620CD" w:rsidRPr="006E757D">
        <w:t xml:space="preserve"> of medical record data and administrative data </w:t>
      </w:r>
      <w:r w:rsidR="00B6498C" w:rsidRPr="006E757D">
        <w:t xml:space="preserve">are </w:t>
      </w:r>
      <w:r w:rsidR="007620CD" w:rsidRPr="006E757D">
        <w:t>not included in software certification.</w:t>
      </w:r>
    </w:p>
    <w:tbl>
      <w:tblPr>
        <w:tblW w:w="99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25"/>
        <w:gridCol w:w="8075"/>
      </w:tblGrid>
      <w:tr w:rsidR="00CC0186" w:rsidRPr="006E757D" w:rsidTr="00315556">
        <w:tc>
          <w:tcPr>
            <w:tcW w:w="1825" w:type="dxa"/>
            <w:tcBorders>
              <w:top w:val="nil"/>
              <w:left w:val="nil"/>
              <w:bottom w:val="nil"/>
              <w:right w:val="nil"/>
            </w:tcBorders>
            <w:tcMar>
              <w:left w:w="115" w:type="dxa"/>
              <w:right w:w="115" w:type="dxa"/>
            </w:tcMar>
          </w:tcPr>
          <w:p w:rsidR="00CC0186" w:rsidRPr="006E757D" w:rsidRDefault="00CC0186" w:rsidP="00065313">
            <w:pPr>
              <w:pStyle w:val="MarginSubhead"/>
            </w:pPr>
            <w:r w:rsidRPr="006E757D">
              <w:t>Organization responsibility</w:t>
            </w:r>
          </w:p>
        </w:tc>
        <w:tc>
          <w:tcPr>
            <w:tcW w:w="8075" w:type="dxa"/>
            <w:tcBorders>
              <w:top w:val="nil"/>
              <w:left w:val="nil"/>
              <w:bottom w:val="nil"/>
              <w:right w:val="nil"/>
            </w:tcBorders>
            <w:tcMar>
              <w:left w:w="115" w:type="dxa"/>
              <w:right w:w="115" w:type="dxa"/>
            </w:tcMar>
          </w:tcPr>
          <w:p w:rsidR="005D18D1" w:rsidRPr="006E757D" w:rsidRDefault="005D18D1" w:rsidP="005D18D1">
            <w:pPr>
              <w:pStyle w:val="Body"/>
              <w:rPr>
                <w:rFonts w:eastAsia="Calibri"/>
              </w:rPr>
            </w:pPr>
            <w:r w:rsidRPr="006E757D">
              <w:t>An organization that chooses to use the Hybrid Method for a measure should attempt to pursue charts for all noncompliant members in the systematic sample to preserve the integrity of the sample and its representative rate.</w:t>
            </w:r>
          </w:p>
          <w:p w:rsidR="00CC0186" w:rsidRPr="006E757D" w:rsidRDefault="005D18D1" w:rsidP="005C0364">
            <w:pPr>
              <w:pStyle w:val="Body"/>
            </w:pPr>
            <w:r w:rsidRPr="006E757D">
              <w:t xml:space="preserve">After the systematic sample is generated and chart pursuit has started, the sample </w:t>
            </w:r>
            <w:r w:rsidRPr="006E757D">
              <w:br/>
              <w:t xml:space="preserve">may be reduced on rare occasions, such as after a natural disaster. Removing uninvestigated members from the sample in this situation is an alternate sampling method, and the organization should submit a request for approval to PCS at </w:t>
            </w:r>
            <w:hyperlink r:id="rId29" w:history="1">
              <w:r w:rsidRPr="006E757D">
                <w:rPr>
                  <w:rStyle w:val="Hyperlink"/>
                  <w:color w:val="auto"/>
                </w:rPr>
                <w:t>www.ncqa.org/pcs</w:t>
              </w:r>
            </w:hyperlink>
            <w:r w:rsidRPr="006E757D">
              <w:t>. The request should include the reason for not completing chart review, and the auditor</w:t>
            </w:r>
            <w:r w:rsidR="00660316">
              <w:t>’</w:t>
            </w:r>
            <w:r w:rsidRPr="006E757D">
              <w:t xml:space="preserve">s approval showing that the members to be removed are systematically distributed across the larger sample and the hybrid results from the reduced sample are reportable. </w:t>
            </w:r>
          </w:p>
        </w:tc>
      </w:tr>
    </w:tbl>
    <w:p w:rsidR="00141D0A" w:rsidRDefault="00141D0A">
      <w:pPr>
        <w:sectPr w:rsidR="00141D0A" w:rsidSect="00C228DE">
          <w:pgSz w:w="12240" w:h="15840" w:code="1"/>
          <w:pgMar w:top="1080" w:right="1080" w:bottom="1080" w:left="1440" w:header="720" w:footer="720" w:gutter="0"/>
          <w:paperSrc w:first="7" w:other="7"/>
          <w:cols w:space="720"/>
          <w:noEndnote/>
        </w:sectPr>
      </w:pPr>
    </w:p>
    <w:tbl>
      <w:tblPr>
        <w:tblW w:w="99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735"/>
        <w:gridCol w:w="8165"/>
      </w:tblGrid>
      <w:tr w:rsidR="00CC0186" w:rsidRPr="006E757D" w:rsidTr="00141D0A">
        <w:tc>
          <w:tcPr>
            <w:tcW w:w="1735" w:type="dxa"/>
            <w:tcBorders>
              <w:top w:val="nil"/>
              <w:left w:val="nil"/>
              <w:bottom w:val="nil"/>
              <w:right w:val="nil"/>
            </w:tcBorders>
            <w:tcMar>
              <w:left w:w="115" w:type="dxa"/>
              <w:right w:w="115" w:type="dxa"/>
            </w:tcMar>
          </w:tcPr>
          <w:p w:rsidR="00CC0186" w:rsidRPr="006E757D" w:rsidRDefault="00CC0186" w:rsidP="00141D0A">
            <w:pPr>
              <w:pStyle w:val="MarginSubhead"/>
              <w:spacing w:before="0"/>
            </w:pPr>
            <w:r w:rsidRPr="006E757D">
              <w:lastRenderedPageBreak/>
              <w:t>MRR evaluation</w:t>
            </w:r>
          </w:p>
        </w:tc>
        <w:tc>
          <w:tcPr>
            <w:tcW w:w="8165" w:type="dxa"/>
            <w:tcBorders>
              <w:top w:val="nil"/>
              <w:left w:val="nil"/>
              <w:bottom w:val="nil"/>
              <w:right w:val="nil"/>
            </w:tcBorders>
            <w:tcMar>
              <w:left w:w="115" w:type="dxa"/>
              <w:right w:w="115" w:type="dxa"/>
            </w:tcMar>
          </w:tcPr>
          <w:p w:rsidR="00CC0186" w:rsidRPr="006E757D" w:rsidRDefault="00CC0186" w:rsidP="00141D0A">
            <w:pPr>
              <w:pStyle w:val="Body"/>
              <w:spacing w:before="0"/>
            </w:pPr>
            <w:r w:rsidRPr="006E757D">
              <w:t>Early in the organization</w:t>
            </w:r>
            <w:r w:rsidR="00660316">
              <w:t>’</w:t>
            </w:r>
            <w:r w:rsidRPr="006E757D">
              <w:t>s MRR process, the auditor reviews operational components</w:t>
            </w:r>
            <w:r w:rsidR="00141D0A">
              <w:t xml:space="preserve"> to ensure the following</w:t>
            </w:r>
            <w:r w:rsidR="001F5CCB">
              <w:t>:</w:t>
            </w:r>
          </w:p>
          <w:p w:rsidR="00CC0186" w:rsidRPr="006E757D" w:rsidRDefault="00CC0186" w:rsidP="008525DF">
            <w:pPr>
              <w:pStyle w:val="Bullet"/>
              <w:spacing w:before="100"/>
            </w:pPr>
            <w:r w:rsidRPr="006E757D">
              <w:t>The systematic sample was created correctly or passed the Software Certification process.</w:t>
            </w:r>
          </w:p>
          <w:p w:rsidR="00CC0186" w:rsidRPr="006E757D" w:rsidRDefault="00CC0186" w:rsidP="008525DF">
            <w:pPr>
              <w:pStyle w:val="Bullet"/>
              <w:spacing w:before="100"/>
            </w:pPr>
            <w:r w:rsidRPr="006E757D">
              <w:t>MRR training sessions are complete and consistent.</w:t>
            </w:r>
          </w:p>
          <w:p w:rsidR="00CC0186" w:rsidRPr="006E757D" w:rsidRDefault="00CC0186" w:rsidP="008525DF">
            <w:pPr>
              <w:pStyle w:val="Bullet"/>
              <w:spacing w:before="100"/>
            </w:pPr>
            <w:r w:rsidRPr="006E757D">
              <w:t>MRR forms or tools and instruction materials collect information according to the specifications.</w:t>
            </w:r>
          </w:p>
          <w:p w:rsidR="00CC0186" w:rsidRPr="006E757D" w:rsidRDefault="00CC0186" w:rsidP="008525DF">
            <w:pPr>
              <w:pStyle w:val="Bullet"/>
              <w:spacing w:before="100"/>
            </w:pPr>
            <w:r w:rsidRPr="006E757D">
              <w:t>Rater-to-standard or interrater reliability quality control testing protocols, standards and reports are statistically sound.</w:t>
            </w:r>
          </w:p>
          <w:p w:rsidR="00CC0186" w:rsidRPr="006E757D" w:rsidRDefault="00CC0186" w:rsidP="008525DF">
            <w:pPr>
              <w:pStyle w:val="Bullet"/>
              <w:spacing w:before="100"/>
            </w:pPr>
            <w:r w:rsidRPr="006E757D">
              <w:t>If applicable, practitioners had correct medical record abstraction tools and instructions and medical records reviewed by practitioners meet audit standards and were subject to quality control testing.</w:t>
            </w:r>
          </w:p>
          <w:p w:rsidR="00CC0186" w:rsidRPr="006E757D" w:rsidRDefault="00CC0186" w:rsidP="008525DF">
            <w:pPr>
              <w:pStyle w:val="Bullet"/>
              <w:spacing w:before="100"/>
            </w:pPr>
            <w:r w:rsidRPr="006E757D">
              <w:t>MRR data entry or uploading processes for adding MRR data to the repository is correct.</w:t>
            </w:r>
          </w:p>
          <w:p w:rsidR="00CC0186" w:rsidRPr="006E757D" w:rsidRDefault="00CC0186" w:rsidP="00A53773">
            <w:pPr>
              <w:pStyle w:val="Bullet"/>
            </w:pPr>
            <w:r w:rsidRPr="006E757D">
              <w:t>Data entry and data transfer processes for combining medical record data with administrative data to calculate the final rate are accurate. This step may require source code review of the MRR vendor</w:t>
            </w:r>
            <w:r w:rsidR="00660316">
              <w:t>’</w:t>
            </w:r>
            <w:r w:rsidRPr="006E757D">
              <w:t>s tools or processes.</w:t>
            </w:r>
          </w:p>
        </w:tc>
      </w:tr>
      <w:tr w:rsidR="00141D0A" w:rsidRPr="006E757D" w:rsidTr="00141D0A">
        <w:trPr>
          <w:trHeight w:val="4825"/>
        </w:trPr>
        <w:tc>
          <w:tcPr>
            <w:tcW w:w="1735" w:type="dxa"/>
            <w:tcBorders>
              <w:top w:val="nil"/>
              <w:left w:val="nil"/>
              <w:bottom w:val="nil"/>
              <w:right w:val="nil"/>
            </w:tcBorders>
            <w:tcMar>
              <w:left w:w="115" w:type="dxa"/>
              <w:right w:w="115" w:type="dxa"/>
            </w:tcMar>
          </w:tcPr>
          <w:p w:rsidR="00141D0A" w:rsidRPr="006E757D" w:rsidRDefault="00141D0A" w:rsidP="00681D48">
            <w:pPr>
              <w:pStyle w:val="MarginSubhead"/>
            </w:pPr>
            <w:r w:rsidRPr="006E757D">
              <w:t>Convenience sample exemption</w:t>
            </w:r>
          </w:p>
        </w:tc>
        <w:tc>
          <w:tcPr>
            <w:tcW w:w="8165" w:type="dxa"/>
            <w:tcBorders>
              <w:top w:val="nil"/>
              <w:left w:val="nil"/>
              <w:bottom w:val="nil"/>
              <w:right w:val="nil"/>
            </w:tcBorders>
            <w:tcMar>
              <w:left w:w="115" w:type="dxa"/>
              <w:right w:w="115" w:type="dxa"/>
            </w:tcMar>
          </w:tcPr>
          <w:p w:rsidR="00141D0A" w:rsidRPr="00A966FF" w:rsidRDefault="00141D0A">
            <w:pPr>
              <w:pStyle w:val="Body"/>
            </w:pPr>
            <w:r w:rsidRPr="00A966FF">
              <w:t>The auditor reviews a convenience sample to find errors in the MRR process early enough for the organization to take corrective action. Unless determine</w:t>
            </w:r>
            <w:r w:rsidR="0087170A" w:rsidRPr="00A966FF">
              <w:t>d</w:t>
            </w:r>
            <w:r w:rsidRPr="00A966FF">
              <w:t xml:space="preserve"> exempt</w:t>
            </w:r>
            <w:r w:rsidR="0087170A" w:rsidRPr="00A966FF">
              <w:t xml:space="preserve"> by the auditor</w:t>
            </w:r>
            <w:r w:rsidRPr="00A966FF">
              <w:t xml:space="preserve">, </w:t>
            </w:r>
            <w:r w:rsidR="0087170A" w:rsidRPr="00A966FF">
              <w:t xml:space="preserve">the organization </w:t>
            </w:r>
            <w:r w:rsidRPr="00A966FF">
              <w:t xml:space="preserve">must prepare a convenience sample. </w:t>
            </w:r>
            <w:r w:rsidR="0087170A" w:rsidRPr="00A966FF">
              <w:t>T</w:t>
            </w:r>
            <w:r w:rsidRPr="00A966FF">
              <w:t>o be considered exempt</w:t>
            </w:r>
            <w:r w:rsidR="0087170A" w:rsidRPr="00A966FF">
              <w:t>, these criteria must be met:</w:t>
            </w:r>
          </w:p>
          <w:p w:rsidR="00141D0A" w:rsidRPr="00A966FF" w:rsidRDefault="00141D0A" w:rsidP="00141D0A">
            <w:pPr>
              <w:pStyle w:val="Bullet"/>
            </w:pPr>
            <w:r w:rsidRPr="00A966FF">
              <w:t>The organization participated in a HEDIS audit in the prior year and passed the MRR validation portion.</w:t>
            </w:r>
          </w:p>
          <w:p w:rsidR="00141D0A" w:rsidRPr="00A966FF" w:rsidRDefault="00141D0A" w:rsidP="00141D0A">
            <w:pPr>
              <w:pStyle w:val="Bullet"/>
            </w:pPr>
            <w:r w:rsidRPr="00A966FF">
              <w:t>The organization</w:t>
            </w:r>
            <w:r w:rsidR="00660316" w:rsidRPr="00A966FF">
              <w:t>’</w:t>
            </w:r>
            <w:r w:rsidRPr="00A966FF">
              <w:t>s current MRR process has not changed significantly from the prior year (e.g., MRR team qualifications, training, documentation, abstraction forms and quality control processes are similar).</w:t>
            </w:r>
          </w:p>
          <w:p w:rsidR="00141D0A" w:rsidRPr="00A966FF" w:rsidRDefault="00141D0A" w:rsidP="00141D0A">
            <w:pPr>
              <w:pStyle w:val="Bullet"/>
            </w:pPr>
            <w:r w:rsidRPr="00A966FF">
              <w:t>The organization does not report hybrid measures that the auditor determines to be at risk of inaccurate reporting.</w:t>
            </w:r>
          </w:p>
          <w:p w:rsidR="00141D0A" w:rsidRPr="00A966FF" w:rsidRDefault="00141D0A" w:rsidP="00065313">
            <w:pPr>
              <w:pStyle w:val="Body"/>
            </w:pPr>
            <w:r w:rsidRPr="00A966FF">
              <w:t>Even with an exemption, the organization may request a convenience sample review</w:t>
            </w:r>
            <w:r w:rsidR="00C0424B" w:rsidRPr="00A966FF">
              <w:t xml:space="preserve"> </w:t>
            </w:r>
            <w:r w:rsidRPr="00A966FF">
              <w:t>and should work with the auditor to determine the timing. I</w:t>
            </w:r>
            <w:r w:rsidRPr="00A966FF">
              <w:rPr>
                <w:rFonts w:cs="Arial"/>
              </w:rPr>
              <w:t>f the convenience sample is required, the plan may not select the measures or the charts to review. If the sample is not required, the plan may select specific charts for the auditor to verify.</w:t>
            </w:r>
            <w:r w:rsidR="00C0424B" w:rsidRPr="00A966FF">
              <w:rPr>
                <w:rFonts w:cs="Arial"/>
              </w:rPr>
              <w:t xml:space="preserve"> The prior year’s audit opinion from another audit firm does meet the criteria for exemption. </w:t>
            </w:r>
          </w:p>
          <w:p w:rsidR="00141D0A" w:rsidRPr="00A966FF" w:rsidRDefault="00141D0A" w:rsidP="00065313">
            <w:pPr>
              <w:pStyle w:val="Body"/>
            </w:pPr>
            <w:r w:rsidRPr="00A966FF">
              <w:t>The auditor must document the organization</w:t>
            </w:r>
            <w:r w:rsidR="00660316" w:rsidRPr="00A966FF">
              <w:t>’</w:t>
            </w:r>
            <w:r w:rsidRPr="00A966FF">
              <w:t>s exemption or its convenience sample process, including the measures that were reviewed and why they were selected.</w:t>
            </w:r>
          </w:p>
        </w:tc>
      </w:tr>
      <w:tr w:rsidR="00CC0186" w:rsidRPr="006E757D" w:rsidTr="00141D0A">
        <w:tc>
          <w:tcPr>
            <w:tcW w:w="1735" w:type="dxa"/>
            <w:tcBorders>
              <w:top w:val="nil"/>
              <w:left w:val="nil"/>
              <w:bottom w:val="nil"/>
              <w:right w:val="nil"/>
            </w:tcBorders>
            <w:tcMar>
              <w:left w:w="115" w:type="dxa"/>
              <w:right w:w="115" w:type="dxa"/>
            </w:tcMar>
          </w:tcPr>
          <w:p w:rsidR="00CC0186" w:rsidRPr="006E757D" w:rsidRDefault="00CC0186" w:rsidP="00700622">
            <w:pPr>
              <w:pStyle w:val="MarginSubhead"/>
            </w:pPr>
            <w:r w:rsidRPr="006E757D">
              <w:t>Convenience sample validation</w:t>
            </w:r>
          </w:p>
        </w:tc>
        <w:tc>
          <w:tcPr>
            <w:tcW w:w="8165" w:type="dxa"/>
            <w:tcBorders>
              <w:top w:val="nil"/>
              <w:left w:val="nil"/>
              <w:bottom w:val="nil"/>
              <w:right w:val="nil"/>
            </w:tcBorders>
            <w:tcMar>
              <w:left w:w="115" w:type="dxa"/>
              <w:right w:w="115" w:type="dxa"/>
            </w:tcMar>
          </w:tcPr>
          <w:p w:rsidR="00CC0186" w:rsidRPr="006E757D" w:rsidRDefault="00CC0186" w:rsidP="00700622">
            <w:pPr>
              <w:pStyle w:val="Body"/>
            </w:pPr>
            <w:r w:rsidRPr="006E757D">
              <w:t>Early in the organization</w:t>
            </w:r>
            <w:r w:rsidR="00660316">
              <w:t>’</w:t>
            </w:r>
            <w:r w:rsidRPr="006E757D">
              <w:t xml:space="preserve">s MRR process, the auditor reviews a small number of processed medical records to uncover potential problems that may require corrective action. The auditor selects up to 10 hybrid measures that may be difficult to review because of complex logic or system problems. For these measures, the auditor gets copies of at least two completed MRR tools and medical charts that qualify as positive numerator events or exclusions. </w:t>
            </w:r>
          </w:p>
          <w:p w:rsidR="00CC0186" w:rsidRPr="006E757D" w:rsidRDefault="00CC0186" w:rsidP="00D25812">
            <w:pPr>
              <w:pStyle w:val="Body"/>
            </w:pPr>
            <w:r w:rsidRPr="006E757D">
              <w:t>The auditor may request copies of negative events, exclusions or additional positive records based on findings from the Roadmap or other process reviews. The auditor compares the completed tools with the medical records to determine if the organization correctly identified the numerator or exclusion events. The organization can correct any systemic problems in its MRR process before proceeding with additional reviews.</w:t>
            </w:r>
          </w:p>
        </w:tc>
      </w:tr>
    </w:tbl>
    <w:p w:rsidR="00141D0A" w:rsidRDefault="00141D0A">
      <w:pPr>
        <w:sectPr w:rsidR="00141D0A" w:rsidSect="00C228DE">
          <w:headerReference w:type="even" r:id="rId30"/>
          <w:pgSz w:w="12240" w:h="15840" w:code="1"/>
          <w:pgMar w:top="1080" w:right="1080" w:bottom="1080" w:left="1440" w:header="720" w:footer="720" w:gutter="0"/>
          <w:paperSrc w:first="7" w:other="7"/>
          <w:cols w:space="720"/>
          <w:noEndnote/>
        </w:sectPr>
      </w:pPr>
    </w:p>
    <w:tbl>
      <w:tblPr>
        <w:tblW w:w="9965" w:type="dxa"/>
        <w:tblInd w:w="-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440"/>
        <w:gridCol w:w="8525"/>
      </w:tblGrid>
      <w:tr w:rsidR="00CC0186" w:rsidRPr="006E757D" w:rsidTr="00931CDC">
        <w:tc>
          <w:tcPr>
            <w:tcW w:w="1440" w:type="dxa"/>
            <w:tcBorders>
              <w:top w:val="nil"/>
              <w:left w:val="nil"/>
              <w:bottom w:val="nil"/>
              <w:right w:val="nil"/>
            </w:tcBorders>
            <w:tcMar>
              <w:left w:w="115" w:type="dxa"/>
              <w:right w:w="115" w:type="dxa"/>
            </w:tcMar>
          </w:tcPr>
          <w:p w:rsidR="00CC0186" w:rsidRPr="006E757D" w:rsidRDefault="00CC0186" w:rsidP="005F1370">
            <w:pPr>
              <w:pStyle w:val="MarginSubhead"/>
              <w:spacing w:before="0"/>
            </w:pPr>
            <w:r w:rsidRPr="006E757D">
              <w:lastRenderedPageBreak/>
              <w:t>Final</w:t>
            </w:r>
            <w:r w:rsidR="00AF11A5">
              <w:t xml:space="preserve"> </w:t>
            </w:r>
            <w:r w:rsidRPr="006E757D">
              <w:t>statistical validation</w:t>
            </w:r>
          </w:p>
        </w:tc>
        <w:tc>
          <w:tcPr>
            <w:tcW w:w="8525" w:type="dxa"/>
            <w:tcBorders>
              <w:top w:val="nil"/>
              <w:left w:val="nil"/>
              <w:bottom w:val="nil"/>
              <w:right w:val="nil"/>
            </w:tcBorders>
            <w:tcMar>
              <w:left w:w="115" w:type="dxa"/>
              <w:right w:w="115" w:type="dxa"/>
            </w:tcMar>
          </w:tcPr>
          <w:p w:rsidR="00CC0186" w:rsidRPr="0040571C" w:rsidRDefault="00CC0186" w:rsidP="00141D0A">
            <w:pPr>
              <w:pStyle w:val="Body"/>
              <w:spacing w:before="0"/>
            </w:pPr>
            <w:r w:rsidRPr="0040571C">
              <w:t xml:space="preserve">The final statistical validation is a more extensive review of medical records and occurs </w:t>
            </w:r>
            <w:r w:rsidR="00F30430" w:rsidRPr="0040571C">
              <w:t>after</w:t>
            </w:r>
            <w:r w:rsidRPr="0040571C">
              <w:t xml:space="preserve"> the organization</w:t>
            </w:r>
            <w:r w:rsidR="00660316" w:rsidRPr="0040571C">
              <w:t>’</w:t>
            </w:r>
            <w:r w:rsidRPr="0040571C">
              <w:t xml:space="preserve">s abstraction process. </w:t>
            </w:r>
            <w:r w:rsidR="00B472C8" w:rsidRPr="0040571C">
              <w:t>It</w:t>
            </w:r>
            <w:r w:rsidRPr="0040571C">
              <w:t xml:space="preserve"> ensures that the organization</w:t>
            </w:r>
            <w:r w:rsidR="00660316" w:rsidRPr="0040571C">
              <w:t>’</w:t>
            </w:r>
            <w:r w:rsidRPr="0040571C">
              <w:t>s MRR process was executed as planned and that the results are accurate. The final statistical validation must take place on or before</w:t>
            </w:r>
            <w:r w:rsidR="00AF11A5" w:rsidRPr="0040571C">
              <w:t xml:space="preserve"> June 10</w:t>
            </w:r>
            <w:r w:rsidRPr="0040571C">
              <w:t>, 201</w:t>
            </w:r>
            <w:r w:rsidR="00F152F4" w:rsidRPr="0040571C">
              <w:t>3</w:t>
            </w:r>
            <w:r w:rsidRPr="0040571C">
              <w:t xml:space="preserve">, giving the </w:t>
            </w:r>
            <w:r w:rsidR="00AF11A5" w:rsidRPr="0040571C">
              <w:t xml:space="preserve">organization </w:t>
            </w:r>
            <w:r w:rsidRPr="0040571C">
              <w:t xml:space="preserve">time to </w:t>
            </w:r>
            <w:r w:rsidR="00AF11A5" w:rsidRPr="0040571C">
              <w:t xml:space="preserve">implement any </w:t>
            </w:r>
            <w:r w:rsidRPr="0040571C">
              <w:t xml:space="preserve">corrective actions and </w:t>
            </w:r>
            <w:r w:rsidR="00931CDC">
              <w:t xml:space="preserve">giving </w:t>
            </w:r>
            <w:r w:rsidRPr="0040571C">
              <w:t xml:space="preserve">the </w:t>
            </w:r>
            <w:r w:rsidR="00AF11A5" w:rsidRPr="0040571C">
              <w:t xml:space="preserve">auditor </w:t>
            </w:r>
            <w:r w:rsidRPr="0040571C">
              <w:t xml:space="preserve">time to </w:t>
            </w:r>
            <w:r w:rsidR="00AF11A5" w:rsidRPr="0040571C">
              <w:t>validate the corrections</w:t>
            </w:r>
            <w:r w:rsidRPr="0040571C">
              <w:t>.</w:t>
            </w:r>
          </w:p>
          <w:p w:rsidR="00CC0186" w:rsidRPr="0040571C" w:rsidRDefault="00CC0186" w:rsidP="00700622">
            <w:pPr>
              <w:pStyle w:val="Body"/>
            </w:pPr>
            <w:r w:rsidRPr="0040571C">
              <w:t>The results from the final statistical validation may influence the audit results for hybrid measures reported by the organization.</w:t>
            </w:r>
          </w:p>
          <w:p w:rsidR="00CC0186" w:rsidRPr="0040571C" w:rsidRDefault="00CC0186" w:rsidP="0087170A">
            <w:pPr>
              <w:pStyle w:val="Note"/>
            </w:pPr>
            <w:r w:rsidRPr="0040571C">
              <w:rPr>
                <w:b/>
              </w:rPr>
              <w:t xml:space="preserve">Note: </w:t>
            </w:r>
            <w:r w:rsidRPr="0040571C">
              <w:t>The organization should keep the original or a copy of each medical record given to the auditor for the convenience sample and the final statistical sample.</w:t>
            </w:r>
          </w:p>
        </w:tc>
      </w:tr>
      <w:tr w:rsidR="00CC0186" w:rsidRPr="006E757D" w:rsidTr="00931CDC">
        <w:tc>
          <w:tcPr>
            <w:tcW w:w="1440" w:type="dxa"/>
            <w:tcBorders>
              <w:top w:val="nil"/>
              <w:left w:val="nil"/>
              <w:bottom w:val="nil"/>
              <w:right w:val="nil"/>
            </w:tcBorders>
            <w:tcMar>
              <w:left w:w="115" w:type="dxa"/>
              <w:right w:w="115" w:type="dxa"/>
            </w:tcMar>
          </w:tcPr>
          <w:p w:rsidR="00CC0186" w:rsidRPr="006E757D" w:rsidRDefault="00CC0186" w:rsidP="00700622">
            <w:pPr>
              <w:pStyle w:val="MarginSubhead"/>
              <w:jc w:val="right"/>
              <w:rPr>
                <w:i/>
              </w:rPr>
            </w:pPr>
            <w:r w:rsidRPr="006E757D">
              <w:rPr>
                <w:i/>
              </w:rPr>
              <w:t>Step 1</w:t>
            </w:r>
          </w:p>
        </w:tc>
        <w:tc>
          <w:tcPr>
            <w:tcW w:w="8525" w:type="dxa"/>
            <w:tcBorders>
              <w:top w:val="nil"/>
              <w:left w:val="nil"/>
              <w:bottom w:val="nil"/>
              <w:right w:val="nil"/>
            </w:tcBorders>
            <w:tcMar>
              <w:left w:w="115" w:type="dxa"/>
              <w:right w:w="115" w:type="dxa"/>
            </w:tcMar>
          </w:tcPr>
          <w:p w:rsidR="00CC0186" w:rsidRDefault="00F30430" w:rsidP="00C52734">
            <w:pPr>
              <w:pStyle w:val="Bullet"/>
              <w:numPr>
                <w:ilvl w:val="0"/>
                <w:numId w:val="0"/>
              </w:numPr>
            </w:pPr>
            <w:r w:rsidRPr="0040571C">
              <w:t>The auditor selects one measure from each measure group that applies to the health plan</w:t>
            </w:r>
            <w:r w:rsidR="00C52734">
              <w:t xml:space="preserve"> </w:t>
            </w:r>
            <w:r w:rsidRPr="0040571C">
              <w:t xml:space="preserve">and </w:t>
            </w:r>
            <w:r w:rsidR="00931CDC">
              <w:t xml:space="preserve">to </w:t>
            </w:r>
            <w:r w:rsidRPr="0040571C">
              <w:t xml:space="preserve">all exclusions for the exclusions group (see Table 1). </w:t>
            </w:r>
            <w:r w:rsidR="00931CDC">
              <w:t>S</w:t>
            </w:r>
            <w:r w:rsidRPr="0040571C">
              <w:t xml:space="preserve">elections </w:t>
            </w:r>
            <w:r w:rsidR="00931CDC">
              <w:t xml:space="preserve">are </w:t>
            </w:r>
            <w:r w:rsidRPr="0040571C">
              <w:t>based on criteria such as new or revised measures, complex measures or low rates in previous years.</w:t>
            </w:r>
          </w:p>
          <w:p w:rsidR="00E75A94" w:rsidRPr="00E75A94" w:rsidRDefault="00E75A94" w:rsidP="00083F51">
            <w:pPr>
              <w:pStyle w:val="Bullet"/>
              <w:numPr>
                <w:ilvl w:val="0"/>
                <w:numId w:val="0"/>
              </w:numPr>
              <w:rPr>
                <w:i/>
              </w:rPr>
            </w:pPr>
            <w:r w:rsidRPr="00E75A94">
              <w:rPr>
                <w:b/>
                <w:i/>
              </w:rPr>
              <w:t>Note:</w:t>
            </w:r>
            <w:r w:rsidRPr="00E75A94">
              <w:rPr>
                <w:i/>
              </w:rPr>
              <w:t xml:space="preserve"> If the plan does</w:t>
            </w:r>
            <w:r w:rsidR="00493B22">
              <w:rPr>
                <w:i/>
              </w:rPr>
              <w:t xml:space="preserve"> not report a</w:t>
            </w:r>
            <w:r w:rsidR="00A22ABC">
              <w:rPr>
                <w:i/>
              </w:rPr>
              <w:t>ny</w:t>
            </w:r>
            <w:r w:rsidRPr="00E75A94">
              <w:rPr>
                <w:i/>
              </w:rPr>
              <w:t xml:space="preserve"> measure in a particular group</w:t>
            </w:r>
            <w:r w:rsidR="00493B22">
              <w:rPr>
                <w:i/>
              </w:rPr>
              <w:t>,</w:t>
            </w:r>
            <w:r w:rsidRPr="00E75A94">
              <w:rPr>
                <w:i/>
              </w:rPr>
              <w:t xml:space="preserve"> auditor</w:t>
            </w:r>
            <w:r w:rsidR="00A22ABC">
              <w:rPr>
                <w:i/>
              </w:rPr>
              <w:t>s</w:t>
            </w:r>
            <w:r w:rsidRPr="00E75A94">
              <w:rPr>
                <w:i/>
              </w:rPr>
              <w:t xml:space="preserve"> will use their discretion</w:t>
            </w:r>
            <w:r w:rsidR="00A22ABC">
              <w:rPr>
                <w:i/>
              </w:rPr>
              <w:t>,</w:t>
            </w:r>
            <w:r w:rsidRPr="00E75A94">
              <w:rPr>
                <w:i/>
              </w:rPr>
              <w:t xml:space="preserve"> based on past performance and current progress, to determine if an additional measure should be selected from a</w:t>
            </w:r>
            <w:r w:rsidR="00A22ABC">
              <w:rPr>
                <w:i/>
              </w:rPr>
              <w:t>nother</w:t>
            </w:r>
            <w:r w:rsidRPr="00E75A94">
              <w:rPr>
                <w:i/>
              </w:rPr>
              <w:t xml:space="preserve"> group. </w:t>
            </w:r>
          </w:p>
        </w:tc>
      </w:tr>
      <w:tr w:rsidR="00CC0186" w:rsidRPr="006E757D" w:rsidTr="00931CDC">
        <w:tc>
          <w:tcPr>
            <w:tcW w:w="1440" w:type="dxa"/>
            <w:tcBorders>
              <w:top w:val="nil"/>
              <w:left w:val="nil"/>
              <w:bottom w:val="nil"/>
              <w:right w:val="nil"/>
            </w:tcBorders>
            <w:tcMar>
              <w:left w:w="115" w:type="dxa"/>
              <w:right w:w="115" w:type="dxa"/>
            </w:tcMar>
          </w:tcPr>
          <w:p w:rsidR="00CC0186" w:rsidRPr="006E757D" w:rsidRDefault="00CC0186" w:rsidP="00700622">
            <w:pPr>
              <w:pStyle w:val="MarginSubhead"/>
              <w:jc w:val="right"/>
              <w:rPr>
                <w:i/>
              </w:rPr>
            </w:pPr>
            <w:r w:rsidRPr="006E757D">
              <w:rPr>
                <w:i/>
              </w:rPr>
              <w:t>Step 2</w:t>
            </w:r>
          </w:p>
        </w:tc>
        <w:tc>
          <w:tcPr>
            <w:tcW w:w="8525" w:type="dxa"/>
            <w:tcBorders>
              <w:top w:val="nil"/>
              <w:left w:val="nil"/>
              <w:bottom w:val="nil"/>
              <w:right w:val="nil"/>
            </w:tcBorders>
            <w:tcMar>
              <w:left w:w="115" w:type="dxa"/>
              <w:right w:w="115" w:type="dxa"/>
            </w:tcMar>
          </w:tcPr>
          <w:p w:rsidR="00931CDC" w:rsidRDefault="00F30430" w:rsidP="00931CDC">
            <w:pPr>
              <w:pStyle w:val="Body"/>
            </w:pPr>
            <w:r w:rsidRPr="00462DD2">
              <w:t>The health plan sends the auditor</w:t>
            </w:r>
            <w:r>
              <w:t xml:space="preserve"> a list</w:t>
            </w:r>
            <w:r w:rsidRPr="00462DD2">
              <w:t xml:space="preserve"> of all numerator-positive members for </w:t>
            </w:r>
            <w:r>
              <w:t>each selected measure</w:t>
            </w:r>
            <w:r w:rsidRPr="00462DD2">
              <w:t>, and all hybrid exclusions for all measures</w:t>
            </w:r>
            <w:r w:rsidR="00493B22">
              <w:t xml:space="preserve"> by</w:t>
            </w:r>
            <w:r w:rsidR="00936680">
              <w:t xml:space="preserve"> May 15</w:t>
            </w:r>
            <w:r w:rsidRPr="00462DD2">
              <w:t>.</w:t>
            </w:r>
            <w:r w:rsidR="00936680">
              <w:t xml:space="preserve"> If the plan complete</w:t>
            </w:r>
            <w:r w:rsidR="00F4464D">
              <w:t>s</w:t>
            </w:r>
            <w:r w:rsidR="00936680">
              <w:t xml:space="preserve"> the medical record process early</w:t>
            </w:r>
            <w:r w:rsidR="00083F51">
              <w:t>,</w:t>
            </w:r>
            <w:r w:rsidR="00936680">
              <w:t xml:space="preserve"> the</w:t>
            </w:r>
            <w:r w:rsidR="00A22ABC">
              <w:t xml:space="preserve"> plan</w:t>
            </w:r>
            <w:r w:rsidR="00936680">
              <w:t xml:space="preserve"> may submit </w:t>
            </w:r>
            <w:r w:rsidR="00493B22">
              <w:t xml:space="preserve">all measures for validation before May 15 </w:t>
            </w:r>
            <w:r w:rsidR="006550E4">
              <w:t>with the understanding that no additional medical records hits will be accepted.</w:t>
            </w:r>
            <w:r w:rsidR="0040571C">
              <w:t xml:space="preserve"> </w:t>
            </w:r>
          </w:p>
          <w:p w:rsidR="003360A1" w:rsidRPr="006E757D" w:rsidRDefault="002B3024" w:rsidP="00430486">
            <w:pPr>
              <w:pStyle w:val="Note"/>
            </w:pPr>
            <w:r w:rsidRPr="00931CDC">
              <w:rPr>
                <w:b/>
              </w:rPr>
              <w:t>Note:</w:t>
            </w:r>
            <w:r>
              <w:t xml:space="preserve"> </w:t>
            </w:r>
            <w:r w:rsidR="003360A1">
              <w:t xml:space="preserve">Auditors </w:t>
            </w:r>
            <w:r w:rsidR="00F4464D">
              <w:t>must</w:t>
            </w:r>
            <w:r w:rsidR="003360A1">
              <w:t xml:space="preserve"> also receive a </w:t>
            </w:r>
            <w:r w:rsidR="00A22ABC">
              <w:t xml:space="preserve">final </w:t>
            </w:r>
            <w:r w:rsidR="003360A1">
              <w:t xml:space="preserve">numerator count for </w:t>
            </w:r>
            <w:r w:rsidR="00A22ABC">
              <w:t>every</w:t>
            </w:r>
            <w:r w:rsidR="003360A1">
              <w:t xml:space="preserve"> hybrid measure. </w:t>
            </w:r>
            <w:r w:rsidR="0040571C">
              <w:t>Th</w:t>
            </w:r>
            <w:r w:rsidR="00A22ABC">
              <w:t xml:space="preserve">ese counts are </w:t>
            </w:r>
            <w:r w:rsidR="00430486">
              <w:t xml:space="preserve">randomly </w:t>
            </w:r>
            <w:r w:rsidR="0040571C">
              <w:t>compare</w:t>
            </w:r>
            <w:r w:rsidR="00A22ABC">
              <w:t xml:space="preserve">d </w:t>
            </w:r>
            <w:r w:rsidR="00430486">
              <w:t xml:space="preserve">to </w:t>
            </w:r>
            <w:r w:rsidR="00A22ABC">
              <w:t xml:space="preserve">counts </w:t>
            </w:r>
            <w:r w:rsidR="00931CDC">
              <w:t>entered</w:t>
            </w:r>
            <w:r>
              <w:t xml:space="preserve"> </w:t>
            </w:r>
            <w:r w:rsidR="00A22ABC">
              <w:t xml:space="preserve">in </w:t>
            </w:r>
            <w:r>
              <w:t>IDSS</w:t>
            </w:r>
            <w:r w:rsidR="00DF3010">
              <w:t>. Any changes in the final count</w:t>
            </w:r>
            <w:r w:rsidR="00430486">
              <w:t>s</w:t>
            </w:r>
            <w:r w:rsidR="00DF3010">
              <w:t xml:space="preserve"> must be </w:t>
            </w:r>
            <w:r w:rsidR="00430486">
              <w:t xml:space="preserve">explained </w:t>
            </w:r>
            <w:r w:rsidR="00DF3010">
              <w:t>by the plan.</w:t>
            </w:r>
          </w:p>
        </w:tc>
      </w:tr>
      <w:tr w:rsidR="00CC0186" w:rsidRPr="006E757D" w:rsidTr="00931CDC">
        <w:tc>
          <w:tcPr>
            <w:tcW w:w="1440" w:type="dxa"/>
            <w:tcBorders>
              <w:top w:val="nil"/>
              <w:left w:val="nil"/>
              <w:bottom w:val="nil"/>
              <w:right w:val="nil"/>
            </w:tcBorders>
            <w:tcMar>
              <w:left w:w="115" w:type="dxa"/>
              <w:right w:w="115" w:type="dxa"/>
            </w:tcMar>
          </w:tcPr>
          <w:p w:rsidR="00CC0186" w:rsidRPr="006E757D" w:rsidRDefault="00CC0186" w:rsidP="003D23BF">
            <w:pPr>
              <w:pStyle w:val="MarginSubhead"/>
              <w:jc w:val="right"/>
              <w:rPr>
                <w:i/>
              </w:rPr>
            </w:pPr>
            <w:r w:rsidRPr="006E757D">
              <w:rPr>
                <w:i/>
              </w:rPr>
              <w:t>Step 3</w:t>
            </w:r>
          </w:p>
        </w:tc>
        <w:tc>
          <w:tcPr>
            <w:tcW w:w="8525" w:type="dxa"/>
            <w:tcBorders>
              <w:top w:val="nil"/>
              <w:left w:val="nil"/>
              <w:bottom w:val="nil"/>
              <w:right w:val="nil"/>
            </w:tcBorders>
            <w:tcMar>
              <w:left w:w="115" w:type="dxa"/>
              <w:right w:w="115" w:type="dxa"/>
            </w:tcMar>
          </w:tcPr>
          <w:p w:rsidR="00CC0186" w:rsidRDefault="00F30430" w:rsidP="00931CDC">
            <w:pPr>
              <w:pStyle w:val="Body"/>
            </w:pPr>
            <w:r w:rsidRPr="00462DD2">
              <w:t>The auditor randomly picks 16 records from each numerator-positive</w:t>
            </w:r>
            <w:r>
              <w:t>-</w:t>
            </w:r>
            <w:r w:rsidRPr="00462DD2">
              <w:t xml:space="preserve">member list for each selected measure and </w:t>
            </w:r>
            <w:r>
              <w:t xml:space="preserve">from </w:t>
            </w:r>
            <w:r w:rsidRPr="00462DD2">
              <w:t>the exclusions group. The plan is informed of the selections and must send the charts for review. If there are fewer than 16 numerator</w:t>
            </w:r>
            <w:r>
              <w:t>-</w:t>
            </w:r>
            <w:r w:rsidRPr="00462DD2">
              <w:t xml:space="preserve">positive charts for the measure, </w:t>
            </w:r>
            <w:r>
              <w:t xml:space="preserve">the auditor reviews </w:t>
            </w:r>
            <w:r w:rsidRPr="00462DD2">
              <w:t>all charts</w:t>
            </w:r>
            <w:r w:rsidR="00D942DA">
              <w:t xml:space="preserve"> or selects another measure</w:t>
            </w:r>
            <w:r w:rsidRPr="00462DD2">
              <w:t xml:space="preserve">. If a record is not available for the auditor’s review, </w:t>
            </w:r>
            <w:r>
              <w:t>it</w:t>
            </w:r>
            <w:r w:rsidRPr="00462DD2">
              <w:t xml:space="preserve"> is considered an error.</w:t>
            </w:r>
          </w:p>
          <w:p w:rsidR="005E388A" w:rsidRPr="006E757D" w:rsidRDefault="005E388A" w:rsidP="00B7342F">
            <w:pPr>
              <w:pStyle w:val="Note"/>
            </w:pPr>
            <w:r w:rsidRPr="005E388A">
              <w:rPr>
                <w:b/>
              </w:rPr>
              <w:t>Note:</w:t>
            </w:r>
            <w:r>
              <w:t xml:space="preserve"> </w:t>
            </w:r>
            <w:r w:rsidRPr="005E388A">
              <w:t xml:space="preserve">The auditor may </w:t>
            </w:r>
            <w:r w:rsidR="00430486">
              <w:t>make selections</w:t>
            </w:r>
            <w:r w:rsidRPr="005E388A">
              <w:t xml:space="preserve"> </w:t>
            </w:r>
            <w:r w:rsidR="00430486">
              <w:t xml:space="preserve">from </w:t>
            </w:r>
            <w:r w:rsidRPr="005E388A">
              <w:t xml:space="preserve">Group F </w:t>
            </w:r>
            <w:r w:rsidR="00430486">
              <w:t>based on groupings by measure or type</w:t>
            </w:r>
            <w:r w:rsidRPr="005E388A">
              <w:t>.</w:t>
            </w:r>
          </w:p>
        </w:tc>
      </w:tr>
      <w:tr w:rsidR="00CC0186" w:rsidRPr="006E757D" w:rsidTr="00931CDC">
        <w:tc>
          <w:tcPr>
            <w:tcW w:w="1440" w:type="dxa"/>
            <w:tcBorders>
              <w:top w:val="nil"/>
              <w:left w:val="nil"/>
              <w:bottom w:val="nil"/>
              <w:right w:val="nil"/>
            </w:tcBorders>
            <w:tcMar>
              <w:left w:w="115" w:type="dxa"/>
              <w:right w:w="115" w:type="dxa"/>
            </w:tcMar>
          </w:tcPr>
          <w:p w:rsidR="00CC0186" w:rsidRPr="006E757D" w:rsidRDefault="00CC0186" w:rsidP="00700622">
            <w:pPr>
              <w:pStyle w:val="MarginSubhead"/>
              <w:jc w:val="right"/>
              <w:rPr>
                <w:i/>
              </w:rPr>
            </w:pPr>
            <w:r w:rsidRPr="006E757D">
              <w:rPr>
                <w:i/>
              </w:rPr>
              <w:t>Step 4</w:t>
            </w:r>
          </w:p>
        </w:tc>
        <w:tc>
          <w:tcPr>
            <w:tcW w:w="8525" w:type="dxa"/>
            <w:tcBorders>
              <w:top w:val="nil"/>
              <w:left w:val="nil"/>
              <w:bottom w:val="nil"/>
              <w:right w:val="nil"/>
            </w:tcBorders>
            <w:tcMar>
              <w:left w:w="115" w:type="dxa"/>
              <w:right w:w="115" w:type="dxa"/>
            </w:tcMar>
          </w:tcPr>
          <w:p w:rsidR="00F30430" w:rsidRPr="00086B80" w:rsidRDefault="00F30430" w:rsidP="00F30430">
            <w:pPr>
              <w:pStyle w:val="Body"/>
            </w:pPr>
            <w:r w:rsidRPr="00086B80">
              <w:t xml:space="preserve">The auditor reviews the records for adherence to the HEDIS specifications, and rejects the charts that do not pass review. </w:t>
            </w:r>
          </w:p>
          <w:p w:rsidR="00CC0186" w:rsidRPr="006E757D" w:rsidRDefault="00F30430" w:rsidP="00F30430">
            <w:pPr>
              <w:pStyle w:val="Body"/>
            </w:pPr>
            <w:r w:rsidRPr="00086B80">
              <w:t>The auditor looks for critical errors that change the member’s numerator compliance (e.g., a numerator positive to a numerator negative). At the auditor’s discretion, noncritical errors may be allowed, such as a misidentified date that does not change numerator compliance for the member.</w:t>
            </w:r>
          </w:p>
        </w:tc>
      </w:tr>
      <w:tr w:rsidR="00CC0186" w:rsidRPr="006E757D" w:rsidTr="00931CDC">
        <w:tc>
          <w:tcPr>
            <w:tcW w:w="1440" w:type="dxa"/>
            <w:tcBorders>
              <w:top w:val="nil"/>
              <w:left w:val="nil"/>
              <w:bottom w:val="nil"/>
              <w:right w:val="nil"/>
            </w:tcBorders>
            <w:tcMar>
              <w:left w:w="115" w:type="dxa"/>
              <w:right w:w="115" w:type="dxa"/>
            </w:tcMar>
          </w:tcPr>
          <w:p w:rsidR="00CC0186" w:rsidRPr="006E757D" w:rsidRDefault="00CC0186" w:rsidP="00700622">
            <w:pPr>
              <w:pStyle w:val="MarginSubhead"/>
              <w:jc w:val="right"/>
              <w:rPr>
                <w:i/>
              </w:rPr>
            </w:pPr>
            <w:r w:rsidRPr="006E757D">
              <w:rPr>
                <w:i/>
              </w:rPr>
              <w:t>Step 5</w:t>
            </w:r>
          </w:p>
        </w:tc>
        <w:tc>
          <w:tcPr>
            <w:tcW w:w="8525" w:type="dxa"/>
            <w:tcBorders>
              <w:top w:val="nil"/>
              <w:left w:val="nil"/>
              <w:bottom w:val="nil"/>
              <w:right w:val="nil"/>
            </w:tcBorders>
            <w:tcMar>
              <w:left w:w="115" w:type="dxa"/>
              <w:right w:w="115" w:type="dxa"/>
            </w:tcMar>
          </w:tcPr>
          <w:p w:rsidR="00F30430" w:rsidRPr="00086B80" w:rsidRDefault="00F30430" w:rsidP="00F30430">
            <w:pPr>
              <w:pStyle w:val="Body"/>
            </w:pPr>
            <w:r w:rsidRPr="00086B80">
              <w:t>If no charts fail, the measure and the measure group pass the process.</w:t>
            </w:r>
            <w:r w:rsidR="00D862A8">
              <w:t xml:space="preserve"> </w:t>
            </w:r>
            <w:r w:rsidRPr="00086B80">
              <w:t>If errors are detected</w:t>
            </w:r>
            <w:r>
              <w:t>,</w:t>
            </w:r>
            <w:r w:rsidRPr="00086B80">
              <w:t xml:space="preserve"> the following rules apply.</w:t>
            </w:r>
          </w:p>
          <w:p w:rsidR="00F30430" w:rsidRPr="00086B80" w:rsidRDefault="00F30430" w:rsidP="00083F51">
            <w:pPr>
              <w:pStyle w:val="Body"/>
            </w:pPr>
            <w:r w:rsidRPr="00083F51">
              <w:t>Measures with one error</w:t>
            </w:r>
            <w:r w:rsidRPr="00086B80">
              <w:t xml:space="preserve"> do not pass the validation process, and the corresponding measure group is considered at risk for </w:t>
            </w:r>
            <w:r w:rsidRPr="00083F51">
              <w:t>Not Reportable (</w:t>
            </w:r>
            <w:r w:rsidRPr="003B0EC1">
              <w:rPr>
                <w:i/>
              </w:rPr>
              <w:t>NR</w:t>
            </w:r>
            <w:r w:rsidRPr="00083F51">
              <w:t>)</w:t>
            </w:r>
            <w:r w:rsidRPr="00086B80">
              <w:t xml:space="preserve"> audit results. The auditor is required to document the investigation of the error type and whether </w:t>
            </w:r>
            <w:r>
              <w:t>it</w:t>
            </w:r>
            <w:r w:rsidRPr="00086B80">
              <w:t xml:space="preserve"> could affect other measures in the group. </w:t>
            </w:r>
          </w:p>
          <w:p w:rsidR="00F30430" w:rsidRPr="00083F51" w:rsidRDefault="00F30430" w:rsidP="00083F51">
            <w:pPr>
              <w:pStyle w:val="Body"/>
            </w:pPr>
            <w:r w:rsidRPr="00083F51">
              <w:t xml:space="preserve">If only one error is found in the original </w:t>
            </w:r>
            <w:r w:rsidR="004D7C81">
              <w:t>MRR validation</w:t>
            </w:r>
            <w:r w:rsidRPr="00083F51">
              <w:t xml:space="preserve"> sample, the auditor may retest using a second </w:t>
            </w:r>
            <w:r w:rsidR="00254C21" w:rsidRPr="00083F51">
              <w:t xml:space="preserve">16-record </w:t>
            </w:r>
            <w:r w:rsidRPr="00083F51">
              <w:t xml:space="preserve">sample that does not include the original sampled records. </w:t>
            </w:r>
          </w:p>
          <w:p w:rsidR="005E388A" w:rsidRPr="00083F51" w:rsidRDefault="00F30430" w:rsidP="00B7342F">
            <w:pPr>
              <w:pStyle w:val="Body"/>
            </w:pPr>
            <w:r w:rsidRPr="00083F51">
              <w:t xml:space="preserve">If the second sample is free of errors, the measure and measure group pass. </w:t>
            </w:r>
          </w:p>
        </w:tc>
      </w:tr>
    </w:tbl>
    <w:p w:rsidR="00B7342F" w:rsidRDefault="00B7342F">
      <w:pPr>
        <w:sectPr w:rsidR="00B7342F" w:rsidSect="00C228DE">
          <w:headerReference w:type="even" r:id="rId31"/>
          <w:pgSz w:w="12240" w:h="15840" w:code="1"/>
          <w:pgMar w:top="1080" w:right="1080" w:bottom="1080" w:left="1440" w:header="720" w:footer="720" w:gutter="0"/>
          <w:paperSrc w:first="7" w:other="7"/>
          <w:cols w:space="720"/>
          <w:noEndnote/>
        </w:sectPr>
      </w:pPr>
    </w:p>
    <w:tbl>
      <w:tblPr>
        <w:tblW w:w="9965" w:type="dxa"/>
        <w:tblInd w:w="-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440"/>
        <w:gridCol w:w="8525"/>
      </w:tblGrid>
      <w:tr w:rsidR="00B7342F" w:rsidRPr="006E757D" w:rsidTr="00931CDC">
        <w:tc>
          <w:tcPr>
            <w:tcW w:w="1440" w:type="dxa"/>
            <w:tcBorders>
              <w:top w:val="nil"/>
              <w:left w:val="nil"/>
              <w:bottom w:val="nil"/>
              <w:right w:val="nil"/>
            </w:tcBorders>
            <w:tcMar>
              <w:left w:w="115" w:type="dxa"/>
              <w:right w:w="115" w:type="dxa"/>
            </w:tcMar>
          </w:tcPr>
          <w:p w:rsidR="00B7342F" w:rsidRPr="006E757D" w:rsidRDefault="00B7342F" w:rsidP="00700622">
            <w:pPr>
              <w:pStyle w:val="MarginSubhead"/>
              <w:jc w:val="right"/>
              <w:rPr>
                <w:i/>
              </w:rPr>
            </w:pPr>
          </w:p>
        </w:tc>
        <w:tc>
          <w:tcPr>
            <w:tcW w:w="8525" w:type="dxa"/>
            <w:tcBorders>
              <w:top w:val="nil"/>
              <w:left w:val="nil"/>
              <w:bottom w:val="nil"/>
              <w:right w:val="nil"/>
            </w:tcBorders>
            <w:tcMar>
              <w:left w:w="115" w:type="dxa"/>
              <w:right w:w="115" w:type="dxa"/>
            </w:tcMar>
          </w:tcPr>
          <w:p w:rsidR="00B7342F" w:rsidRDefault="00B7342F" w:rsidP="00B7342F">
            <w:pPr>
              <w:pStyle w:val="Body"/>
              <w:spacing w:before="0"/>
            </w:pPr>
            <w:r w:rsidRPr="00083F51">
              <w:t>If there are one or more errors in the second sample, the measure and measure group do not pass</w:t>
            </w:r>
            <w:r w:rsidRPr="00086B80">
              <w:t xml:space="preserve"> and cannot be reported until all errors are corrected and reviewed by the auditor. </w:t>
            </w:r>
          </w:p>
          <w:p w:rsidR="00B7342F" w:rsidRDefault="00B7342F" w:rsidP="00B7342F">
            <w:pPr>
              <w:pStyle w:val="Body"/>
            </w:pPr>
            <w:r w:rsidRPr="00EE13B3">
              <w:t>If two or more errors are found in the original sample,</w:t>
            </w:r>
            <w:r w:rsidRPr="00086B80">
              <w:t xml:space="preserve"> the auditor d</w:t>
            </w:r>
            <w:r>
              <w:t>oes</w:t>
            </w:r>
            <w:r w:rsidRPr="00086B80">
              <w:t xml:space="preserve"> not perform additional testing because the likelihood of the second sample failing is high. </w:t>
            </w:r>
            <w:r>
              <w:t>The measure and measure group do not pass until t</w:t>
            </w:r>
            <w:r w:rsidRPr="00086B80">
              <w:t>he plan correct</w:t>
            </w:r>
            <w:r>
              <w:t>s</w:t>
            </w:r>
            <w:r w:rsidRPr="00086B80">
              <w:t xml:space="preserve"> all errors and the auditor approves the charts.</w:t>
            </w:r>
          </w:p>
          <w:p w:rsidR="00B7342F" w:rsidRPr="003B0EC1" w:rsidRDefault="00B7342F" w:rsidP="00B7342F">
            <w:pPr>
              <w:pStyle w:val="Note"/>
            </w:pPr>
            <w:r w:rsidRPr="003B0EC1">
              <w:rPr>
                <w:b/>
              </w:rPr>
              <w:t>Note:</w:t>
            </w:r>
            <w:r w:rsidRPr="003B0EC1">
              <w:t xml:space="preserve"> The auditor may decide what follow-up items are required for correcting the errors. Follow-up requests may include reviewing policies and procedures for fixing the errors, a full review or a sample of re-abstracted charts</w:t>
            </w:r>
            <w:r>
              <w:t>,</w:t>
            </w:r>
            <w:r w:rsidRPr="003B0EC1">
              <w:t xml:space="preserve"> updated numerator counts, and a final hybrid rate review. </w:t>
            </w:r>
          </w:p>
          <w:p w:rsidR="00B7342F" w:rsidRDefault="00B7342F" w:rsidP="00B7342F">
            <w:pPr>
              <w:pStyle w:val="Body"/>
            </w:pPr>
            <w:r w:rsidRPr="00086B80">
              <w:t xml:space="preserve">If </w:t>
            </w:r>
            <w:r>
              <w:t xml:space="preserve">there is not enough </w:t>
            </w:r>
            <w:r w:rsidRPr="00086B80">
              <w:t xml:space="preserve">time </w:t>
            </w:r>
            <w:r>
              <w:t>to</w:t>
            </w:r>
            <w:r w:rsidRPr="00086B80">
              <w:t xml:space="preserve"> correct errors, the plan may not report the measure using the Hybrid Method. A plan with uncorrected </w:t>
            </w:r>
            <w:r w:rsidR="004D7C81">
              <w:t>MRR validation</w:t>
            </w:r>
            <w:r w:rsidRPr="00086B80">
              <w:t xml:space="preserve"> errors may report using only the administrative rate for the measure and the measure group, or an </w:t>
            </w:r>
            <w:r w:rsidRPr="003B0EC1">
              <w:t>NR</w:t>
            </w:r>
            <w:r w:rsidRPr="00086B80">
              <w:t xml:space="preserve"> audit result</w:t>
            </w:r>
            <w:r>
              <w:t xml:space="preserve"> must be reported.</w:t>
            </w:r>
          </w:p>
          <w:p w:rsidR="00B7342F" w:rsidRPr="00086B80" w:rsidRDefault="00B7342F" w:rsidP="00B7342F">
            <w:pPr>
              <w:pStyle w:val="Note"/>
            </w:pPr>
            <w:r w:rsidRPr="00BD47AE">
              <w:rPr>
                <w:b/>
              </w:rPr>
              <w:t>Note:</w:t>
            </w:r>
            <w:r>
              <w:t xml:space="preserve"> For any product line, if a hybrid measure is required to be reported and the audit result is NR, the auditor must select only one of two comments in IDSS: “the measure was materially biased” or “the plan chose not to report.” The plan may not unselect a required measure.</w:t>
            </w:r>
          </w:p>
        </w:tc>
      </w:tr>
      <w:tr w:rsidR="003B0EC1" w:rsidRPr="006E757D" w:rsidTr="00931CDC">
        <w:tc>
          <w:tcPr>
            <w:tcW w:w="1440" w:type="dxa"/>
            <w:tcBorders>
              <w:top w:val="nil"/>
              <w:left w:val="nil"/>
              <w:bottom w:val="nil"/>
              <w:right w:val="nil"/>
            </w:tcBorders>
            <w:tcMar>
              <w:left w:w="115" w:type="dxa"/>
              <w:right w:w="115" w:type="dxa"/>
            </w:tcMar>
          </w:tcPr>
          <w:p w:rsidR="003B0EC1" w:rsidRPr="006E757D" w:rsidRDefault="003B0EC1" w:rsidP="00700622">
            <w:pPr>
              <w:pStyle w:val="MarginSubhead"/>
              <w:jc w:val="right"/>
              <w:rPr>
                <w:i/>
              </w:rPr>
            </w:pPr>
            <w:r>
              <w:rPr>
                <w:i/>
              </w:rPr>
              <w:t>Step 6</w:t>
            </w:r>
          </w:p>
        </w:tc>
        <w:tc>
          <w:tcPr>
            <w:tcW w:w="8525" w:type="dxa"/>
            <w:tcBorders>
              <w:top w:val="nil"/>
              <w:left w:val="nil"/>
              <w:bottom w:val="nil"/>
              <w:right w:val="nil"/>
            </w:tcBorders>
            <w:tcMar>
              <w:left w:w="115" w:type="dxa"/>
              <w:right w:w="115" w:type="dxa"/>
            </w:tcMar>
          </w:tcPr>
          <w:p w:rsidR="003B0EC1" w:rsidRPr="00086B80" w:rsidRDefault="003B0EC1" w:rsidP="00630B48">
            <w:pPr>
              <w:pStyle w:val="Body"/>
            </w:pPr>
            <w:r w:rsidRPr="00086B80">
              <w:t>Testing the exclusion group follows the same process as testing measures, except that the auditor reviews a sample of 16 records of all hybrid measure exclusions. Exclusion errors affect the measure for which the exclusion was applied</w:t>
            </w:r>
            <w:r>
              <w:t xml:space="preserve"> (</w:t>
            </w:r>
            <w:r w:rsidRPr="00086B80">
              <w:t xml:space="preserve">and possibly </w:t>
            </w:r>
            <w:r>
              <w:t xml:space="preserve">affect </w:t>
            </w:r>
            <w:r w:rsidRPr="00086B80">
              <w:t>other</w:t>
            </w:r>
            <w:r>
              <w:t>,</w:t>
            </w:r>
            <w:r w:rsidRPr="00086B80">
              <w:t xml:space="preserve"> </w:t>
            </w:r>
            <w:r>
              <w:t xml:space="preserve">similar </w:t>
            </w:r>
            <w:r w:rsidRPr="00086B80">
              <w:t>measures</w:t>
            </w:r>
            <w:r>
              <w:t>)</w:t>
            </w:r>
            <w:r w:rsidRPr="00086B80">
              <w:t>, and their use is subject to the auditor’s review.</w:t>
            </w:r>
          </w:p>
          <w:p w:rsidR="003B0EC1" w:rsidRPr="00086B80" w:rsidRDefault="003B0EC1" w:rsidP="006A2A8C">
            <w:pPr>
              <w:pStyle w:val="Note"/>
            </w:pPr>
            <w:r w:rsidRPr="00F30430">
              <w:rPr>
                <w:b/>
              </w:rPr>
              <w:t>Note</w:t>
            </w:r>
            <w:r w:rsidRPr="00630B48">
              <w:rPr>
                <w:b/>
              </w:rPr>
              <w:t>:</w:t>
            </w:r>
            <w:r w:rsidRPr="00F30430">
              <w:t xml:space="preserve"> After the </w:t>
            </w:r>
            <w:r w:rsidR="004D7C81">
              <w:t>MRR validation</w:t>
            </w:r>
            <w:r w:rsidRPr="00F30430">
              <w:t xml:space="preserve"> process is complete the auditor may request additional corrective actions, based on subsequent audit findings, or may ask to review more measures.</w:t>
            </w:r>
          </w:p>
        </w:tc>
      </w:tr>
    </w:tbl>
    <w:p w:rsidR="00B7342F" w:rsidRDefault="00B7342F" w:rsidP="003B0EC1">
      <w:pPr>
        <w:sectPr w:rsidR="00B7342F" w:rsidSect="00C228DE">
          <w:pgSz w:w="12240" w:h="15840" w:code="1"/>
          <w:pgMar w:top="1080" w:right="1080" w:bottom="1080" w:left="1440" w:header="720" w:footer="720" w:gutter="0"/>
          <w:paperSrc w:first="7" w:other="7"/>
          <w:cols w:space="720"/>
          <w:noEndnote/>
        </w:sectPr>
      </w:pPr>
    </w:p>
    <w:p w:rsidR="001A103A" w:rsidRPr="00C0424B" w:rsidRDefault="00380DDF" w:rsidP="00B7342F">
      <w:pPr>
        <w:pStyle w:val="Heading3"/>
        <w:spacing w:before="0"/>
      </w:pPr>
      <w:r>
        <w:lastRenderedPageBreak/>
        <w:t xml:space="preserve">Table 1: </w:t>
      </w:r>
      <w:r w:rsidR="00F30430" w:rsidRPr="00C0424B">
        <w:t>MRR</w:t>
      </w:r>
      <w:r w:rsidR="004D7C81">
        <w:t xml:space="preserve"> </w:t>
      </w:r>
      <w:r w:rsidR="00F30430" w:rsidRPr="00C0424B">
        <w:t>V</w:t>
      </w:r>
      <w:r w:rsidR="004D7C81">
        <w:t>alidation</w:t>
      </w:r>
      <w:r w:rsidR="00F30430" w:rsidRPr="00C0424B">
        <w:t xml:space="preserve"> Measure Groups</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14"/>
        <w:gridCol w:w="3060"/>
        <w:gridCol w:w="3046"/>
      </w:tblGrid>
      <w:tr w:rsidR="00F30430" w:rsidRPr="0034196C" w:rsidTr="00D862A8">
        <w:tc>
          <w:tcPr>
            <w:tcW w:w="3614" w:type="dxa"/>
            <w:tcBorders>
              <w:bottom w:val="single" w:sz="4" w:space="0" w:color="auto"/>
              <w:right w:val="single" w:sz="6" w:space="0" w:color="FFFFFF"/>
            </w:tcBorders>
            <w:shd w:val="clear" w:color="auto" w:fill="000000"/>
            <w:vAlign w:val="bottom"/>
          </w:tcPr>
          <w:p w:rsidR="00F30430" w:rsidRPr="0034196C" w:rsidRDefault="00F30430" w:rsidP="00EB1D93">
            <w:pPr>
              <w:pStyle w:val="TableHead"/>
              <w:rPr>
                <w:color w:val="auto"/>
              </w:rPr>
            </w:pPr>
            <w:r>
              <w:rPr>
                <w:color w:val="auto"/>
              </w:rPr>
              <w:t>Group A: Biometrics</w:t>
            </w:r>
            <w:r>
              <w:rPr>
                <w:color w:val="auto"/>
              </w:rPr>
              <w:br/>
              <w:t xml:space="preserve">(BMI, BP) </w:t>
            </w:r>
            <w:r w:rsidR="00EB1D93">
              <w:rPr>
                <w:color w:val="auto"/>
              </w:rPr>
              <w:t>and</w:t>
            </w:r>
            <w:r>
              <w:rPr>
                <w:color w:val="auto"/>
              </w:rPr>
              <w:t xml:space="preserve"> Maternity</w:t>
            </w:r>
          </w:p>
        </w:tc>
        <w:tc>
          <w:tcPr>
            <w:tcW w:w="3060" w:type="dxa"/>
            <w:tcBorders>
              <w:left w:val="single" w:sz="6" w:space="0" w:color="FFFFFF"/>
              <w:bottom w:val="single" w:sz="4" w:space="0" w:color="auto"/>
              <w:right w:val="single" w:sz="6" w:space="0" w:color="FFFFFF"/>
            </w:tcBorders>
            <w:shd w:val="clear" w:color="auto" w:fill="000000"/>
            <w:vAlign w:val="bottom"/>
          </w:tcPr>
          <w:p w:rsidR="00F30430" w:rsidRPr="00CF640E" w:rsidRDefault="00EB1D93" w:rsidP="00F30430">
            <w:pPr>
              <w:pStyle w:val="TableHead"/>
              <w:rPr>
                <w:color w:val="FFFFFF" w:themeColor="background1"/>
              </w:rPr>
            </w:pPr>
            <w:r>
              <w:rPr>
                <w:color w:val="FFFFFF" w:themeColor="background1"/>
              </w:rPr>
              <w:t xml:space="preserve">Group B: Anticipatory Guidance </w:t>
            </w:r>
            <w:r>
              <w:rPr>
                <w:color w:val="FFFFFF" w:themeColor="background1"/>
              </w:rPr>
              <w:br/>
              <w:t>and</w:t>
            </w:r>
            <w:r w:rsidR="00F30430" w:rsidRPr="00CF640E">
              <w:rPr>
                <w:color w:val="FFFFFF" w:themeColor="background1"/>
              </w:rPr>
              <w:t xml:space="preserve"> Counseling</w:t>
            </w:r>
          </w:p>
        </w:tc>
        <w:tc>
          <w:tcPr>
            <w:tcW w:w="3046" w:type="dxa"/>
            <w:tcBorders>
              <w:left w:val="single" w:sz="6" w:space="0" w:color="FFFFFF"/>
              <w:bottom w:val="single" w:sz="4" w:space="0" w:color="auto"/>
              <w:right w:val="single" w:sz="6" w:space="0" w:color="FFFFFF"/>
            </w:tcBorders>
            <w:shd w:val="clear" w:color="auto" w:fill="000000"/>
            <w:vAlign w:val="bottom"/>
          </w:tcPr>
          <w:p w:rsidR="00F30430" w:rsidRPr="00E96CD2" w:rsidRDefault="00F30430" w:rsidP="00F30430">
            <w:pPr>
              <w:pStyle w:val="TableHead"/>
              <w:rPr>
                <w:color w:val="FFFFFF" w:themeColor="background1"/>
              </w:rPr>
            </w:pPr>
            <w:r w:rsidRPr="001B712C">
              <w:rPr>
                <w:color w:val="FFFFFF" w:themeColor="background1"/>
              </w:rPr>
              <w:t>Group C:</w:t>
            </w:r>
            <w:r w:rsidRPr="00E96CD2">
              <w:rPr>
                <w:color w:val="FFFFFF" w:themeColor="background1"/>
              </w:rPr>
              <w:t xml:space="preserve"> </w:t>
            </w:r>
            <w:r>
              <w:rPr>
                <w:color w:val="auto"/>
              </w:rPr>
              <w:t>Laboratory</w:t>
            </w:r>
          </w:p>
        </w:tc>
      </w:tr>
      <w:tr w:rsidR="00F30430" w:rsidRPr="0034196C" w:rsidTr="00D862A8">
        <w:tc>
          <w:tcPr>
            <w:tcW w:w="3614" w:type="dxa"/>
            <w:tcBorders>
              <w:right w:val="single" w:sz="4" w:space="0" w:color="auto"/>
            </w:tcBorders>
            <w:shd w:val="clear" w:color="auto" w:fill="auto"/>
          </w:tcPr>
          <w:p w:rsidR="00F30430" w:rsidRDefault="00F30430" w:rsidP="0047357B">
            <w:pPr>
              <w:pStyle w:val="StyleTableBulletAfter2pt"/>
              <w:numPr>
                <w:ilvl w:val="0"/>
                <w:numId w:val="3"/>
              </w:numPr>
              <w:ind w:hanging="158"/>
            </w:pPr>
            <w:r w:rsidRPr="001B712C">
              <w:t xml:space="preserve">Adult BMI Assessment (ABA) </w:t>
            </w:r>
          </w:p>
          <w:p w:rsidR="00F30430" w:rsidRPr="001B712C" w:rsidRDefault="00F30430" w:rsidP="0047357B">
            <w:pPr>
              <w:pStyle w:val="StyleTableBulletAfter2pt"/>
              <w:numPr>
                <w:ilvl w:val="0"/>
                <w:numId w:val="3"/>
              </w:numPr>
              <w:ind w:hanging="158"/>
            </w:pPr>
            <w:r w:rsidRPr="001B712C">
              <w:t>Weight Assessment and Counseling for Nutrition and Physical Activity for Children/Adolescents (WCC)—BMI</w:t>
            </w:r>
          </w:p>
          <w:p w:rsidR="00F30430" w:rsidRPr="006261A6" w:rsidRDefault="00F30430" w:rsidP="0047357B">
            <w:pPr>
              <w:pStyle w:val="StyleTableBulletAfter2pt"/>
              <w:numPr>
                <w:ilvl w:val="0"/>
                <w:numId w:val="3"/>
              </w:numPr>
              <w:ind w:hanging="158"/>
            </w:pPr>
            <w:r w:rsidRPr="006261A6">
              <w:t>Comprehensive Diabetes Care (CDC)—</w:t>
            </w:r>
            <w:r>
              <w:br/>
            </w:r>
            <w:r w:rsidRPr="006261A6">
              <w:t>BP &lt;140/80</w:t>
            </w:r>
            <w:r>
              <w:t xml:space="preserve"> </w:t>
            </w:r>
          </w:p>
          <w:p w:rsidR="00F30430" w:rsidRPr="001B712C" w:rsidRDefault="00F30430" w:rsidP="0047357B">
            <w:pPr>
              <w:pStyle w:val="StyleTableBulletAfter2pt"/>
              <w:numPr>
                <w:ilvl w:val="0"/>
                <w:numId w:val="3"/>
              </w:numPr>
              <w:ind w:hanging="158"/>
            </w:pPr>
            <w:r w:rsidRPr="001B712C">
              <w:t>Controlling High Blood Pressure (CBP)</w:t>
            </w:r>
          </w:p>
          <w:p w:rsidR="00F30430" w:rsidRPr="001B712C" w:rsidRDefault="00F30430" w:rsidP="0047357B">
            <w:pPr>
              <w:pStyle w:val="StyleTableBulletAfter2pt"/>
              <w:numPr>
                <w:ilvl w:val="0"/>
                <w:numId w:val="3"/>
              </w:numPr>
              <w:ind w:hanging="158"/>
            </w:pPr>
            <w:r w:rsidRPr="001B712C">
              <w:t>Prenatal and Postpartum Care (PPC)—Prenatal</w:t>
            </w:r>
          </w:p>
          <w:p w:rsidR="00F30430" w:rsidRPr="001B712C" w:rsidRDefault="00F30430" w:rsidP="0047357B">
            <w:pPr>
              <w:pStyle w:val="StyleTableBulletAfter2pt"/>
              <w:numPr>
                <w:ilvl w:val="0"/>
                <w:numId w:val="3"/>
              </w:numPr>
              <w:ind w:hanging="158"/>
            </w:pPr>
            <w:r w:rsidRPr="001B712C">
              <w:t>PPC—Postpartum</w:t>
            </w:r>
          </w:p>
          <w:p w:rsidR="00F30430" w:rsidRPr="006261A6" w:rsidRDefault="00F30430" w:rsidP="0047357B">
            <w:pPr>
              <w:pStyle w:val="StyleTableBulletAfter2pt"/>
              <w:numPr>
                <w:ilvl w:val="0"/>
                <w:numId w:val="3"/>
              </w:numPr>
              <w:ind w:hanging="158"/>
            </w:pPr>
            <w:r w:rsidRPr="001B712C">
              <w:t>Frequency of Ongoing Prenatal Care (FPC)</w:t>
            </w:r>
          </w:p>
        </w:tc>
        <w:tc>
          <w:tcPr>
            <w:tcW w:w="3060" w:type="dxa"/>
            <w:tcBorders>
              <w:left w:val="single" w:sz="4" w:space="0" w:color="auto"/>
              <w:right w:val="single" w:sz="4" w:space="0" w:color="auto"/>
            </w:tcBorders>
            <w:shd w:val="clear" w:color="auto" w:fill="auto"/>
          </w:tcPr>
          <w:p w:rsidR="00F30430" w:rsidRPr="001B712C" w:rsidRDefault="00F30430" w:rsidP="0047357B">
            <w:pPr>
              <w:pStyle w:val="StyleTableBulletAfter2pt"/>
              <w:numPr>
                <w:ilvl w:val="0"/>
                <w:numId w:val="3"/>
              </w:numPr>
              <w:ind w:hanging="158"/>
            </w:pPr>
            <w:r w:rsidRPr="001B712C">
              <w:t xml:space="preserve">Well-Child Visits in the First 15 Months of Life (W15) </w:t>
            </w:r>
          </w:p>
          <w:p w:rsidR="00F30430" w:rsidRPr="001B712C" w:rsidRDefault="00F30430" w:rsidP="0047357B">
            <w:pPr>
              <w:pStyle w:val="StyleTableBulletAfter2pt"/>
              <w:numPr>
                <w:ilvl w:val="0"/>
                <w:numId w:val="3"/>
              </w:numPr>
              <w:ind w:hanging="158"/>
            </w:pPr>
            <w:r w:rsidRPr="001B712C">
              <w:t xml:space="preserve">Well-Child Visits in the Third, Fourth, Fifth and Sixth Years of Life (W34) </w:t>
            </w:r>
          </w:p>
          <w:p w:rsidR="00F30430" w:rsidRPr="001B712C" w:rsidRDefault="00F30430" w:rsidP="0047357B">
            <w:pPr>
              <w:pStyle w:val="StyleTableBulletAfter2pt"/>
              <w:numPr>
                <w:ilvl w:val="0"/>
                <w:numId w:val="3"/>
              </w:numPr>
              <w:ind w:hanging="158"/>
            </w:pPr>
            <w:r w:rsidRPr="001B712C">
              <w:t>Adolescent Well-Care Visits (AWC)</w:t>
            </w:r>
          </w:p>
          <w:p w:rsidR="00F30430" w:rsidRPr="001B712C" w:rsidRDefault="00F30430" w:rsidP="0047357B">
            <w:pPr>
              <w:pStyle w:val="StyleTableBulletAfter2pt"/>
              <w:numPr>
                <w:ilvl w:val="0"/>
                <w:numId w:val="3"/>
              </w:numPr>
              <w:ind w:hanging="158"/>
            </w:pPr>
            <w:r w:rsidRPr="001B712C">
              <w:t>WCC—Nutrition</w:t>
            </w:r>
          </w:p>
          <w:p w:rsidR="00F30430" w:rsidRPr="006261A6" w:rsidRDefault="00F30430" w:rsidP="0047357B">
            <w:pPr>
              <w:pStyle w:val="StyleTableBulletAfter2pt"/>
              <w:numPr>
                <w:ilvl w:val="0"/>
                <w:numId w:val="3"/>
              </w:numPr>
              <w:ind w:hanging="158"/>
            </w:pPr>
            <w:r w:rsidRPr="001B712C">
              <w:t>WCC—Physical Activity</w:t>
            </w:r>
          </w:p>
        </w:tc>
        <w:tc>
          <w:tcPr>
            <w:tcW w:w="3046" w:type="dxa"/>
            <w:tcBorders>
              <w:left w:val="single" w:sz="4" w:space="0" w:color="auto"/>
              <w:bottom w:val="single" w:sz="4" w:space="0" w:color="auto"/>
              <w:right w:val="single" w:sz="4" w:space="0" w:color="auto"/>
            </w:tcBorders>
            <w:shd w:val="clear" w:color="auto" w:fill="auto"/>
          </w:tcPr>
          <w:p w:rsidR="00F30430" w:rsidRPr="009179F0" w:rsidRDefault="00F30430" w:rsidP="0047357B">
            <w:pPr>
              <w:pStyle w:val="StyleTableBulletAfter2pt"/>
              <w:numPr>
                <w:ilvl w:val="0"/>
                <w:numId w:val="3"/>
              </w:numPr>
              <w:ind w:hanging="158"/>
            </w:pPr>
            <w:r w:rsidRPr="009179F0">
              <w:t>CDC—HbA1c Rates</w:t>
            </w:r>
          </w:p>
          <w:p w:rsidR="00F30430" w:rsidRPr="009179F0" w:rsidRDefault="00F30430" w:rsidP="0047357B">
            <w:pPr>
              <w:pStyle w:val="StyleTableBulletAfter2pt"/>
              <w:numPr>
                <w:ilvl w:val="0"/>
                <w:numId w:val="3"/>
              </w:numPr>
              <w:ind w:hanging="158"/>
            </w:pPr>
            <w:r w:rsidRPr="009179F0">
              <w:t xml:space="preserve">CDC—LDL &lt;100 </w:t>
            </w:r>
          </w:p>
          <w:p w:rsidR="00F30430" w:rsidRPr="009179F0" w:rsidRDefault="00F30430" w:rsidP="0047357B">
            <w:pPr>
              <w:pStyle w:val="StyleTableBulletAfter2pt"/>
              <w:numPr>
                <w:ilvl w:val="0"/>
                <w:numId w:val="3"/>
              </w:numPr>
              <w:ind w:hanging="158"/>
            </w:pPr>
            <w:r w:rsidRPr="009179F0">
              <w:t>CDC—Nephropathy</w:t>
            </w:r>
          </w:p>
          <w:p w:rsidR="00F30430" w:rsidRPr="009179F0" w:rsidRDefault="00F30430" w:rsidP="0047357B">
            <w:pPr>
              <w:pStyle w:val="StyleTableBulletAfter2pt"/>
              <w:numPr>
                <w:ilvl w:val="0"/>
                <w:numId w:val="3"/>
              </w:numPr>
              <w:ind w:hanging="158"/>
            </w:pPr>
            <w:r w:rsidRPr="009179F0">
              <w:t>Cervical Cancer Screening</w:t>
            </w:r>
            <w:r w:rsidR="00D862A8">
              <w:t xml:space="preserve"> (CCS)</w:t>
            </w:r>
            <w:r w:rsidRPr="009179F0">
              <w:t xml:space="preserve"> </w:t>
            </w:r>
          </w:p>
          <w:p w:rsidR="00F30430" w:rsidRPr="009179F0" w:rsidRDefault="00F30430" w:rsidP="0047357B">
            <w:pPr>
              <w:pStyle w:val="StyleTableBulletAfter2pt"/>
              <w:numPr>
                <w:ilvl w:val="0"/>
                <w:numId w:val="3"/>
              </w:numPr>
              <w:ind w:hanging="158"/>
              <w:rPr>
                <w:rFonts w:ascii="Trebuchet MS" w:hAnsi="Trebuchet MS"/>
              </w:rPr>
            </w:pPr>
            <w:r w:rsidRPr="009179F0">
              <w:t xml:space="preserve">Cholesterol Management for Patients With Cardiovascular Conditions (CMC)—LDL-C &lt;100 </w:t>
            </w:r>
          </w:p>
          <w:p w:rsidR="00F30430" w:rsidRPr="009179F0" w:rsidRDefault="00F30430" w:rsidP="0047357B">
            <w:pPr>
              <w:pStyle w:val="StyleTableBulletAfter2pt"/>
              <w:numPr>
                <w:ilvl w:val="0"/>
                <w:numId w:val="3"/>
              </w:numPr>
              <w:ind w:hanging="158"/>
            </w:pPr>
            <w:r w:rsidRPr="009179F0">
              <w:t>Lead Screening in Children</w:t>
            </w:r>
            <w:r w:rsidR="00D862A8">
              <w:t xml:space="preserve"> (LSC)</w:t>
            </w:r>
          </w:p>
        </w:tc>
      </w:tr>
      <w:tr w:rsidR="00F30430" w:rsidRPr="0034196C" w:rsidTr="00D862A8">
        <w:tc>
          <w:tcPr>
            <w:tcW w:w="3614" w:type="dxa"/>
            <w:tcBorders>
              <w:bottom w:val="single" w:sz="4" w:space="0" w:color="auto"/>
              <w:right w:val="single" w:sz="6" w:space="0" w:color="FFFFFF"/>
            </w:tcBorders>
            <w:shd w:val="clear" w:color="auto" w:fill="000000"/>
            <w:vAlign w:val="bottom"/>
          </w:tcPr>
          <w:p w:rsidR="00F30430" w:rsidRPr="006261A6" w:rsidRDefault="00F30430" w:rsidP="00EB1D93">
            <w:pPr>
              <w:pStyle w:val="TableHead"/>
              <w:rPr>
                <w:color w:val="auto"/>
              </w:rPr>
            </w:pPr>
            <w:r>
              <w:rPr>
                <w:color w:val="auto"/>
              </w:rPr>
              <w:t>Group D</w:t>
            </w:r>
            <w:r w:rsidRPr="006261A6">
              <w:rPr>
                <w:color w:val="auto"/>
              </w:rPr>
              <w:t>: Immunizations</w:t>
            </w:r>
            <w:r>
              <w:rPr>
                <w:color w:val="auto"/>
              </w:rPr>
              <w:t xml:space="preserve"> </w:t>
            </w:r>
            <w:r w:rsidR="00EB1D93">
              <w:rPr>
                <w:color w:val="auto"/>
              </w:rPr>
              <w:t>and</w:t>
            </w:r>
            <w:r w:rsidR="00EB1D93">
              <w:rPr>
                <w:color w:val="auto"/>
              </w:rPr>
              <w:br/>
            </w:r>
            <w:r>
              <w:rPr>
                <w:color w:val="auto"/>
              </w:rPr>
              <w:t>Other Screenings</w:t>
            </w:r>
          </w:p>
        </w:tc>
        <w:tc>
          <w:tcPr>
            <w:tcW w:w="3060" w:type="dxa"/>
            <w:tcBorders>
              <w:left w:val="single" w:sz="6" w:space="0" w:color="FFFFFF"/>
              <w:bottom w:val="single" w:sz="4" w:space="0" w:color="auto"/>
              <w:right w:val="single" w:sz="6" w:space="0" w:color="FFFFFF"/>
            </w:tcBorders>
            <w:shd w:val="clear" w:color="auto" w:fill="000000"/>
            <w:vAlign w:val="bottom"/>
          </w:tcPr>
          <w:p w:rsidR="00F30430" w:rsidRPr="006261A6" w:rsidRDefault="00F30430" w:rsidP="00F30430">
            <w:pPr>
              <w:pStyle w:val="TableHead"/>
              <w:rPr>
                <w:color w:val="auto"/>
              </w:rPr>
            </w:pPr>
            <w:r>
              <w:rPr>
                <w:color w:val="auto"/>
              </w:rPr>
              <w:t>Group E</w:t>
            </w:r>
            <w:r w:rsidRPr="006261A6">
              <w:rPr>
                <w:color w:val="auto"/>
              </w:rPr>
              <w:t>: SNP</w:t>
            </w:r>
          </w:p>
        </w:tc>
        <w:tc>
          <w:tcPr>
            <w:tcW w:w="3046" w:type="dxa"/>
            <w:tcBorders>
              <w:left w:val="single" w:sz="6" w:space="0" w:color="FFFFFF"/>
              <w:bottom w:val="single" w:sz="4" w:space="0" w:color="auto"/>
              <w:right w:val="single" w:sz="4" w:space="0" w:color="auto"/>
            </w:tcBorders>
            <w:shd w:val="clear" w:color="auto" w:fill="000000"/>
            <w:vAlign w:val="bottom"/>
          </w:tcPr>
          <w:p w:rsidR="00F30430" w:rsidRPr="0034196C" w:rsidRDefault="00F30430" w:rsidP="00F30430">
            <w:pPr>
              <w:pStyle w:val="TableHead"/>
              <w:rPr>
                <w:color w:val="auto"/>
              </w:rPr>
            </w:pPr>
            <w:r>
              <w:rPr>
                <w:color w:val="auto"/>
              </w:rPr>
              <w:t>Group F: Exclusions</w:t>
            </w:r>
          </w:p>
        </w:tc>
      </w:tr>
      <w:tr w:rsidR="00F30430" w:rsidRPr="0034196C" w:rsidTr="00D862A8">
        <w:trPr>
          <w:trHeight w:val="1655"/>
        </w:trPr>
        <w:tc>
          <w:tcPr>
            <w:tcW w:w="3614" w:type="dxa"/>
            <w:tcBorders>
              <w:right w:val="single" w:sz="4" w:space="0" w:color="auto"/>
            </w:tcBorders>
            <w:shd w:val="clear" w:color="auto" w:fill="auto"/>
          </w:tcPr>
          <w:p w:rsidR="00F30430" w:rsidRPr="001B712C" w:rsidRDefault="00F30430" w:rsidP="0047357B">
            <w:pPr>
              <w:pStyle w:val="StyleTableBulletAfter2pt"/>
              <w:numPr>
                <w:ilvl w:val="0"/>
                <w:numId w:val="3"/>
              </w:numPr>
              <w:ind w:hanging="158"/>
            </w:pPr>
            <w:r w:rsidRPr="001B712C">
              <w:t>Childhood Immunization Status (CIS)</w:t>
            </w:r>
            <w:r w:rsidR="00386BCE">
              <w:t>**</w:t>
            </w:r>
          </w:p>
          <w:p w:rsidR="00F30430" w:rsidRPr="001B712C" w:rsidRDefault="00F30430" w:rsidP="0047357B">
            <w:pPr>
              <w:pStyle w:val="StyleTableBulletAfter2pt"/>
              <w:numPr>
                <w:ilvl w:val="0"/>
                <w:numId w:val="3"/>
              </w:numPr>
              <w:ind w:hanging="158"/>
            </w:pPr>
            <w:r w:rsidRPr="001B712C">
              <w:t>Immunizations for Adolescents (IMA)</w:t>
            </w:r>
            <w:r w:rsidR="00386BCE">
              <w:t>**</w:t>
            </w:r>
          </w:p>
          <w:p w:rsidR="00F30430" w:rsidRPr="001B712C" w:rsidRDefault="00F30430" w:rsidP="0047357B">
            <w:pPr>
              <w:pStyle w:val="StyleTableBulletAfter2pt"/>
              <w:numPr>
                <w:ilvl w:val="0"/>
                <w:numId w:val="3"/>
              </w:numPr>
              <w:ind w:hanging="158"/>
            </w:pPr>
            <w:r w:rsidRPr="001B712C">
              <w:t>Human Papillomavirus Vaccine for Female Adolescents (HPV)</w:t>
            </w:r>
          </w:p>
          <w:p w:rsidR="00F30430" w:rsidRPr="001B712C" w:rsidRDefault="00F30430" w:rsidP="0047357B">
            <w:pPr>
              <w:pStyle w:val="StyleTableBulletAfter2pt"/>
              <w:numPr>
                <w:ilvl w:val="0"/>
                <w:numId w:val="3"/>
              </w:numPr>
              <w:ind w:hanging="158"/>
            </w:pPr>
            <w:r w:rsidRPr="001B712C">
              <w:t>Colorectal Cancer Screening</w:t>
            </w:r>
            <w:r w:rsidR="00D862A8">
              <w:t xml:space="preserve"> (COL)</w:t>
            </w:r>
          </w:p>
          <w:p w:rsidR="00F30430" w:rsidRPr="006261A6" w:rsidRDefault="00F30430" w:rsidP="0047357B">
            <w:pPr>
              <w:pStyle w:val="StyleTableBulletAfter2pt"/>
              <w:numPr>
                <w:ilvl w:val="0"/>
                <w:numId w:val="3"/>
              </w:numPr>
              <w:ind w:hanging="158"/>
            </w:pPr>
            <w:r w:rsidRPr="001B712C">
              <w:t>CDC—Eye Exam</w:t>
            </w:r>
          </w:p>
        </w:tc>
        <w:tc>
          <w:tcPr>
            <w:tcW w:w="3060" w:type="dxa"/>
            <w:tcBorders>
              <w:left w:val="single" w:sz="4" w:space="0" w:color="auto"/>
              <w:right w:val="single" w:sz="4" w:space="0" w:color="auto"/>
            </w:tcBorders>
            <w:shd w:val="clear" w:color="auto" w:fill="auto"/>
          </w:tcPr>
          <w:p w:rsidR="00F30430" w:rsidRPr="001B712C" w:rsidRDefault="00F30430" w:rsidP="0047357B">
            <w:pPr>
              <w:pStyle w:val="StyleTableBulletAfter2pt"/>
              <w:numPr>
                <w:ilvl w:val="0"/>
                <w:numId w:val="3"/>
              </w:numPr>
              <w:ind w:hanging="158"/>
            </w:pPr>
            <w:r w:rsidRPr="001B712C">
              <w:t>Care for Older Adults (COA)—Advance Care Planning</w:t>
            </w:r>
          </w:p>
          <w:p w:rsidR="00F30430" w:rsidRPr="001B712C" w:rsidRDefault="00F30430" w:rsidP="0047357B">
            <w:pPr>
              <w:pStyle w:val="StyleTableBulletAfter2pt"/>
              <w:numPr>
                <w:ilvl w:val="0"/>
                <w:numId w:val="3"/>
              </w:numPr>
              <w:ind w:hanging="158"/>
            </w:pPr>
            <w:r w:rsidRPr="001B712C">
              <w:t>COA—Functional Status Assessment</w:t>
            </w:r>
          </w:p>
          <w:p w:rsidR="00F30430" w:rsidRPr="001B712C" w:rsidRDefault="00F30430" w:rsidP="0047357B">
            <w:pPr>
              <w:pStyle w:val="StyleTableBulletAfter2pt"/>
              <w:numPr>
                <w:ilvl w:val="0"/>
                <w:numId w:val="3"/>
              </w:numPr>
              <w:ind w:hanging="158"/>
            </w:pPr>
            <w:r w:rsidRPr="001B712C">
              <w:t>COA—Medication Review</w:t>
            </w:r>
          </w:p>
          <w:p w:rsidR="00F30430" w:rsidRPr="001B712C" w:rsidRDefault="00F30430" w:rsidP="0047357B">
            <w:pPr>
              <w:pStyle w:val="StyleTableBulletAfter2pt"/>
              <w:numPr>
                <w:ilvl w:val="0"/>
                <w:numId w:val="3"/>
              </w:numPr>
              <w:ind w:hanging="158"/>
            </w:pPr>
            <w:r w:rsidRPr="001B712C">
              <w:t xml:space="preserve">COA—Pain </w:t>
            </w:r>
            <w:r w:rsidR="000241C3">
              <w:t>S</w:t>
            </w:r>
            <w:r w:rsidRPr="001B712C">
              <w:t>creening</w:t>
            </w:r>
          </w:p>
          <w:p w:rsidR="00F30430" w:rsidRPr="006261A6" w:rsidRDefault="00F30430" w:rsidP="0047357B">
            <w:pPr>
              <w:pStyle w:val="StyleTableBulletAfter2pt"/>
              <w:numPr>
                <w:ilvl w:val="0"/>
                <w:numId w:val="3"/>
              </w:numPr>
              <w:ind w:hanging="158"/>
            </w:pPr>
            <w:r w:rsidRPr="001B712C">
              <w:t>Medication Reconciliation Post-Discharge (MRP)</w:t>
            </w:r>
          </w:p>
        </w:tc>
        <w:tc>
          <w:tcPr>
            <w:tcW w:w="3046" w:type="dxa"/>
            <w:tcBorders>
              <w:left w:val="single" w:sz="4" w:space="0" w:color="auto"/>
              <w:right w:val="single" w:sz="4" w:space="0" w:color="auto"/>
            </w:tcBorders>
            <w:shd w:val="clear" w:color="auto" w:fill="auto"/>
          </w:tcPr>
          <w:p w:rsidR="00F30430" w:rsidRPr="0034196C" w:rsidRDefault="00F30430" w:rsidP="00E75A94">
            <w:pPr>
              <w:pStyle w:val="StyleTableBulletAfter2pt"/>
              <w:numPr>
                <w:ilvl w:val="0"/>
                <w:numId w:val="3"/>
              </w:numPr>
              <w:ind w:hanging="158"/>
            </w:pPr>
            <w:r>
              <w:t xml:space="preserve">All </w:t>
            </w:r>
            <w:r w:rsidR="00E75A94">
              <w:t xml:space="preserve">medical record </w:t>
            </w:r>
            <w:r>
              <w:t>exclusions</w:t>
            </w:r>
            <w:r w:rsidR="00E75A94">
              <w:t>*</w:t>
            </w:r>
          </w:p>
        </w:tc>
      </w:tr>
    </w:tbl>
    <w:p w:rsidR="00E75A94" w:rsidRDefault="00E75A94" w:rsidP="00E75A94">
      <w:pPr>
        <w:rPr>
          <w:i/>
        </w:rPr>
      </w:pPr>
    </w:p>
    <w:p w:rsidR="00EB1D93" w:rsidRDefault="00B7342F" w:rsidP="00575210">
      <w:pPr>
        <w:ind w:left="202" w:hanging="202"/>
        <w:rPr>
          <w:i/>
        </w:rPr>
      </w:pPr>
      <w:r>
        <w:rPr>
          <w:i/>
        </w:rPr>
        <w:t xml:space="preserve"> </w:t>
      </w:r>
      <w:r w:rsidR="00575210">
        <w:rPr>
          <w:i/>
        </w:rPr>
        <w:t xml:space="preserve"> </w:t>
      </w:r>
      <w:r w:rsidR="00E75A94" w:rsidRPr="00E75A94">
        <w:rPr>
          <w:i/>
        </w:rPr>
        <w:t>*</w:t>
      </w:r>
      <w:r>
        <w:rPr>
          <w:i/>
        </w:rPr>
        <w:tab/>
      </w:r>
      <w:r w:rsidR="00E75A94" w:rsidRPr="00E75A94">
        <w:rPr>
          <w:i/>
        </w:rPr>
        <w:t xml:space="preserve">Group F includes all optional and required exclusions found during medical record review, and valid data errors. It does not include records excluded through administrative data or that belong to employees or their dependents. </w:t>
      </w:r>
      <w:r w:rsidR="00E75A94">
        <w:rPr>
          <w:i/>
        </w:rPr>
        <w:t>Other hybrid medical record exclusion</w:t>
      </w:r>
      <w:r>
        <w:rPr>
          <w:i/>
        </w:rPr>
        <w:t>s</w:t>
      </w:r>
      <w:r w:rsidR="00E75A94">
        <w:rPr>
          <w:i/>
        </w:rPr>
        <w:t xml:space="preserve"> that should not be reviewed in Group F are exclusions for the CDC</w:t>
      </w:r>
      <w:r>
        <w:rPr>
          <w:i/>
        </w:rPr>
        <w:t>—HbA1C &lt;</w:t>
      </w:r>
      <w:r w:rsidR="00E75A94">
        <w:rPr>
          <w:i/>
        </w:rPr>
        <w:t xml:space="preserve">7 indicator. Because of the large volume, auditors review exclusion rates for this indicator separately.  </w:t>
      </w:r>
    </w:p>
    <w:p w:rsidR="00386BCE" w:rsidRDefault="00386BCE" w:rsidP="00B7342F">
      <w:pPr>
        <w:ind w:left="180" w:hanging="180"/>
        <w:rPr>
          <w:i/>
        </w:rPr>
      </w:pPr>
      <w:r>
        <w:rPr>
          <w:i/>
        </w:rPr>
        <w:t>**</w:t>
      </w:r>
      <w:r w:rsidR="00B7342F">
        <w:rPr>
          <w:i/>
        </w:rPr>
        <w:tab/>
      </w:r>
      <w:r>
        <w:rPr>
          <w:i/>
        </w:rPr>
        <w:t>Selecti</w:t>
      </w:r>
      <w:r w:rsidR="00FD0A06">
        <w:rPr>
          <w:i/>
        </w:rPr>
        <w:t>ng</w:t>
      </w:r>
      <w:r>
        <w:rPr>
          <w:i/>
        </w:rPr>
        <w:t xml:space="preserve"> a comb</w:t>
      </w:r>
      <w:r w:rsidR="00B7342F">
        <w:rPr>
          <w:i/>
        </w:rPr>
        <w:t>ination</w:t>
      </w:r>
      <w:r w:rsidR="00FD0A06">
        <w:rPr>
          <w:i/>
        </w:rPr>
        <w:t xml:space="preserve"> rate</w:t>
      </w:r>
      <w:r>
        <w:rPr>
          <w:i/>
        </w:rPr>
        <w:t xml:space="preserve"> for these measures is preferred, but a single antigen may be selected at the auditor’s discretion.</w:t>
      </w:r>
    </w:p>
    <w:p w:rsidR="003B0EC1" w:rsidRDefault="003B0EC1" w:rsidP="00E75A94">
      <w:pPr>
        <w:rPr>
          <w:i/>
        </w:rPr>
      </w:pPr>
    </w:p>
    <w:p w:rsidR="003B0EC1" w:rsidRPr="00E75A94" w:rsidRDefault="003B0EC1" w:rsidP="00E75A94">
      <w:pPr>
        <w:rPr>
          <w:i/>
        </w:rPr>
        <w:sectPr w:rsidR="003B0EC1" w:rsidRPr="00E75A94" w:rsidSect="00C228DE">
          <w:pgSz w:w="12240" w:h="15840" w:code="1"/>
          <w:pgMar w:top="1080" w:right="1080" w:bottom="1080" w:left="1440" w:header="720" w:footer="720" w:gutter="0"/>
          <w:paperSrc w:first="7" w:other="7"/>
          <w:cols w:space="720"/>
          <w:noEndnote/>
        </w:sectPr>
      </w:pPr>
    </w:p>
    <w:p w:rsidR="0047357B" w:rsidRPr="00EB1D93" w:rsidRDefault="0047357B" w:rsidP="0030587C">
      <w:pPr>
        <w:pStyle w:val="Heading3"/>
        <w:spacing w:before="0"/>
      </w:pPr>
      <w:r w:rsidRPr="00EB1D93">
        <w:lastRenderedPageBreak/>
        <w:t>Sampling Flow Diagram</w:t>
      </w:r>
    </w:p>
    <w:p w:rsidR="00C0424B" w:rsidRDefault="008C3458" w:rsidP="00EB1D93">
      <w:pPr>
        <w:pStyle w:val="SubHead"/>
        <w:spacing w:before="0"/>
      </w:pPr>
      <w:r>
        <w:rPr>
          <w:noProof/>
        </w:rPr>
        <w:drawing>
          <wp:inline distT="0" distB="0" distL="0" distR="0">
            <wp:extent cx="5220860" cy="3615116"/>
            <wp:effectExtent l="19050" t="0" r="0" b="0"/>
            <wp:docPr id="1" name="Picture 1" descr="2.Test Flow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Test Flow Diagram.jpg"/>
                    <pic:cNvPicPr>
                      <a:picLocks noChangeAspect="1" noChangeArrowheads="1"/>
                    </pic:cNvPicPr>
                  </pic:nvPicPr>
                  <pic:blipFill>
                    <a:blip r:embed="rId32" cstate="print"/>
                    <a:srcRect t="4861" b="43098"/>
                    <a:stretch>
                      <a:fillRect/>
                    </a:stretch>
                  </pic:blipFill>
                  <pic:spPr bwMode="auto">
                    <a:xfrm>
                      <a:off x="0" y="0"/>
                      <a:ext cx="5220860" cy="3615116"/>
                    </a:xfrm>
                    <a:prstGeom prst="rect">
                      <a:avLst/>
                    </a:prstGeom>
                    <a:noFill/>
                    <a:ln w="9525">
                      <a:noFill/>
                      <a:miter lim="800000"/>
                      <a:headEnd/>
                      <a:tailEnd/>
                    </a:ln>
                  </pic:spPr>
                </pic:pic>
              </a:graphicData>
            </a:graphic>
          </wp:inline>
        </w:drawing>
      </w:r>
    </w:p>
    <w:p w:rsidR="00EB1D93" w:rsidRPr="00EB1D93" w:rsidRDefault="00C0424B" w:rsidP="00EB1D93">
      <w:pPr>
        <w:pStyle w:val="SubHead"/>
        <w:rPr>
          <w:i/>
        </w:rPr>
      </w:pPr>
      <w:r w:rsidRPr="00EB1D93">
        <w:rPr>
          <w:i/>
        </w:rPr>
        <w:t>Note</w:t>
      </w:r>
    </w:p>
    <w:p w:rsidR="00D862A8" w:rsidRPr="00EB1D93" w:rsidRDefault="00EB1D93" w:rsidP="00575210">
      <w:pPr>
        <w:pStyle w:val="Note"/>
        <w:ind w:left="202" w:hanging="202"/>
      </w:pPr>
      <w:r>
        <w:t xml:space="preserve">  </w:t>
      </w:r>
      <w:r w:rsidR="00D862A8" w:rsidRPr="00EB1D93">
        <w:t>*</w:t>
      </w:r>
      <w:r w:rsidR="00B7342F">
        <w:tab/>
      </w:r>
      <w:r w:rsidR="00D862A8" w:rsidRPr="00EB1D93">
        <w:t xml:space="preserve">Measures that fail the </w:t>
      </w:r>
      <w:r w:rsidR="00EE6A48">
        <w:t xml:space="preserve">validation </w:t>
      </w:r>
      <w:r w:rsidR="00D862A8" w:rsidRPr="00EB1D93">
        <w:t>may not use data collected using the Hybrid Method until all medical record errors are corrected and approved by the auditor</w:t>
      </w:r>
      <w:r w:rsidR="00C0424B" w:rsidRPr="00EB1D93">
        <w:t xml:space="preserve">. </w:t>
      </w:r>
    </w:p>
    <w:p w:rsidR="00C0424B" w:rsidRPr="00EB1D93" w:rsidRDefault="00D862A8" w:rsidP="00575210">
      <w:pPr>
        <w:pStyle w:val="Note"/>
        <w:spacing w:before="0"/>
        <w:ind w:left="202" w:hanging="202"/>
      </w:pPr>
      <w:r w:rsidRPr="00EB1D93">
        <w:t>**</w:t>
      </w:r>
      <w:r w:rsidR="00B7342F">
        <w:tab/>
      </w:r>
      <w:r w:rsidRPr="00EB1D93">
        <w:t>Measure groups with a failed measure are considered at risk for not using hybrid data until all errors are corrected and approved.</w:t>
      </w: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77"/>
        <w:gridCol w:w="7823"/>
      </w:tblGrid>
      <w:tr w:rsidR="004722CF" w:rsidRPr="006E757D" w:rsidTr="001A103A">
        <w:trPr>
          <w:cantSplit/>
        </w:trPr>
        <w:tc>
          <w:tcPr>
            <w:tcW w:w="2077" w:type="dxa"/>
            <w:tcBorders>
              <w:top w:val="nil"/>
              <w:left w:val="nil"/>
              <w:bottom w:val="nil"/>
              <w:right w:val="nil"/>
            </w:tcBorders>
            <w:tcMar>
              <w:left w:w="115" w:type="dxa"/>
              <w:right w:w="115" w:type="dxa"/>
            </w:tcMar>
          </w:tcPr>
          <w:p w:rsidR="004722CF" w:rsidRPr="006E757D" w:rsidRDefault="004722CF" w:rsidP="006D57A6">
            <w:pPr>
              <w:pStyle w:val="MarginSubhead"/>
              <w:spacing w:before="240"/>
            </w:pPr>
            <w:r w:rsidRPr="006E757D">
              <w:t>Extrapolating to other measures</w:t>
            </w:r>
          </w:p>
        </w:tc>
        <w:tc>
          <w:tcPr>
            <w:tcW w:w="7823" w:type="dxa"/>
            <w:tcBorders>
              <w:top w:val="nil"/>
              <w:left w:val="nil"/>
              <w:bottom w:val="nil"/>
              <w:right w:val="nil"/>
            </w:tcBorders>
            <w:tcMar>
              <w:left w:w="115" w:type="dxa"/>
              <w:right w:w="115" w:type="dxa"/>
            </w:tcMar>
          </w:tcPr>
          <w:p w:rsidR="008B2F43" w:rsidRPr="006E757D" w:rsidRDefault="004722CF" w:rsidP="006D57A6">
            <w:pPr>
              <w:pStyle w:val="Body"/>
              <w:spacing w:before="240"/>
            </w:pPr>
            <w:r w:rsidRPr="006E757D">
              <w:t>The results of the final statistical validation can be extrapolated to other</w:t>
            </w:r>
            <w:r w:rsidR="00C71356">
              <w:t>,</w:t>
            </w:r>
            <w:r w:rsidRPr="006E757D">
              <w:t xml:space="preserve"> similar measures</w:t>
            </w:r>
            <w:r w:rsidR="001954BE">
              <w:t>,</w:t>
            </w:r>
            <w:r w:rsidRPr="006E757D">
              <w:t xml:space="preserve"> </w:t>
            </w:r>
            <w:r w:rsidR="00176A37">
              <w:t xml:space="preserve">regardless of the </w:t>
            </w:r>
            <w:r w:rsidR="004D7C81">
              <w:t>MRR validation</w:t>
            </w:r>
            <w:r w:rsidR="00176A37">
              <w:t xml:space="preserve"> groups</w:t>
            </w:r>
            <w:r w:rsidR="001954BE">
              <w:t>,</w:t>
            </w:r>
            <w:r w:rsidR="00176A37">
              <w:t xml:space="preserve"> </w:t>
            </w:r>
            <w:r w:rsidRPr="006E757D">
              <w:t xml:space="preserve">when similarities exist based on logical groups, required data elements, medical record review staff and types of abstraction errors. As with the core-set expansion option, however, when significant problems are found during the validation, the auditor must determine if similar measures should be reviewed. Expanded validation measures are treated to the same scrutiny and </w:t>
            </w:r>
            <w:r w:rsidR="00176A37">
              <w:t xml:space="preserve">statistical </w:t>
            </w:r>
            <w:r w:rsidRPr="006E757D">
              <w:t>evaluation as the original measures.</w:t>
            </w:r>
          </w:p>
        </w:tc>
      </w:tr>
    </w:tbl>
    <w:p w:rsidR="001954BE" w:rsidRDefault="001954BE" w:rsidP="001954BE">
      <w:pPr>
        <w:sectPr w:rsidR="001954BE" w:rsidSect="00C228DE">
          <w:headerReference w:type="default" r:id="rId33"/>
          <w:pgSz w:w="12240" w:h="15840" w:code="1"/>
          <w:pgMar w:top="1080" w:right="1080" w:bottom="1080" w:left="1440" w:header="720" w:footer="720" w:gutter="0"/>
          <w:paperSrc w:first="7" w:other="7"/>
          <w:cols w:space="720"/>
          <w:noEndnote/>
        </w:sectPr>
      </w:pPr>
    </w:p>
    <w:p w:rsidR="00D1716E" w:rsidRPr="006E757D" w:rsidRDefault="00D1716E" w:rsidP="001954BE">
      <w:pPr>
        <w:pStyle w:val="StdHead"/>
        <w:spacing w:before="0"/>
        <w:rPr>
          <w:color w:val="auto"/>
        </w:rPr>
      </w:pPr>
      <w:r w:rsidRPr="006E757D">
        <w:rPr>
          <w:color w:val="auto"/>
        </w:rPr>
        <w:lastRenderedPageBreak/>
        <w:t>Measures With Special Considerations</w:t>
      </w:r>
    </w:p>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895"/>
      </w:tblGrid>
      <w:tr w:rsidR="00D1716E" w:rsidRPr="006E757D" w:rsidTr="00B7342F">
        <w:tc>
          <w:tcPr>
            <w:tcW w:w="1980" w:type="dxa"/>
            <w:tcBorders>
              <w:top w:val="nil"/>
              <w:left w:val="nil"/>
              <w:bottom w:val="nil"/>
              <w:right w:val="nil"/>
            </w:tcBorders>
            <w:tcMar>
              <w:left w:w="115" w:type="dxa"/>
              <w:right w:w="115" w:type="dxa"/>
            </w:tcMar>
          </w:tcPr>
          <w:p w:rsidR="00D1716E" w:rsidRPr="006E757D" w:rsidRDefault="00D1716E">
            <w:pPr>
              <w:pStyle w:val="MarginSubhead"/>
            </w:pPr>
            <w:r w:rsidRPr="006E757D">
              <w:rPr>
                <w:i/>
              </w:rPr>
              <w:t>Comprehensive Diabetes Care—HbA1c</w:t>
            </w:r>
            <w:r w:rsidR="00045A05" w:rsidRPr="006E757D">
              <w:rPr>
                <w:i/>
              </w:rPr>
              <w:t xml:space="preserve"> Poor</w:t>
            </w:r>
            <w:r w:rsidRPr="006E757D">
              <w:rPr>
                <w:i/>
              </w:rPr>
              <w:t xml:space="preserve"> </w:t>
            </w:r>
            <w:r w:rsidR="00DF168A" w:rsidRPr="006E757D">
              <w:rPr>
                <w:i/>
              </w:rPr>
              <w:t>C</w:t>
            </w:r>
            <w:r w:rsidRPr="006E757D">
              <w:rPr>
                <w:i/>
              </w:rPr>
              <w:t>ontrol</w:t>
            </w:r>
            <w:r w:rsidR="00045A05" w:rsidRPr="006E757D">
              <w:rPr>
                <w:i/>
              </w:rPr>
              <w:t xml:space="preserve"> (&gt;9.0%)</w:t>
            </w:r>
          </w:p>
        </w:tc>
        <w:tc>
          <w:tcPr>
            <w:tcW w:w="7895" w:type="dxa"/>
            <w:tcBorders>
              <w:top w:val="nil"/>
              <w:left w:val="nil"/>
              <w:bottom w:val="nil"/>
              <w:right w:val="nil"/>
            </w:tcBorders>
            <w:tcMar>
              <w:left w:w="115" w:type="dxa"/>
              <w:right w:w="115" w:type="dxa"/>
            </w:tcMar>
          </w:tcPr>
          <w:p w:rsidR="00D1716E" w:rsidRPr="006E757D" w:rsidRDefault="00D1716E">
            <w:pPr>
              <w:pStyle w:val="Body"/>
              <w:rPr>
                <w:b/>
              </w:rPr>
            </w:pPr>
            <w:r w:rsidRPr="006E757D">
              <w:t xml:space="preserve">This numerator is unique in that the calculated rate measures poor performance. Consequently, auditors must pull a sample of up to </w:t>
            </w:r>
            <w:r w:rsidR="00176A37">
              <w:t>16</w:t>
            </w:r>
            <w:r w:rsidRPr="006E757D">
              <w:t xml:space="preserve"> medical records that </w:t>
            </w:r>
            <w:r w:rsidRPr="006E757D">
              <w:rPr>
                <w:i/>
              </w:rPr>
              <w:t xml:space="preserve">do not </w:t>
            </w:r>
            <w:r w:rsidRPr="006E757D">
              <w:t>meet numerator criteria (i.e., selected from Box B in the table below).</w:t>
            </w:r>
            <w:r w:rsidR="000B39F8" w:rsidRPr="006E757D">
              <w:t xml:space="preserve"> </w:t>
            </w:r>
          </w:p>
        </w:tc>
      </w:tr>
    </w:tbl>
    <w:p w:rsidR="00D1716E" w:rsidRPr="006E757D" w:rsidRDefault="00D1716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0"/>
        <w:gridCol w:w="4860"/>
      </w:tblGrid>
      <w:tr w:rsidR="00D1716E" w:rsidRPr="006E757D" w:rsidTr="001A103A">
        <w:tc>
          <w:tcPr>
            <w:tcW w:w="4860" w:type="dxa"/>
            <w:tcBorders>
              <w:right w:val="single" w:sz="6" w:space="0" w:color="FFFFFF"/>
            </w:tcBorders>
            <w:shd w:val="clear" w:color="auto" w:fill="000000"/>
            <w:vAlign w:val="bottom"/>
          </w:tcPr>
          <w:p w:rsidR="00D1716E" w:rsidRPr="003F0C9C" w:rsidRDefault="00D1716E" w:rsidP="00AD247E">
            <w:pPr>
              <w:pStyle w:val="StyleTableHeadArialNarrow"/>
              <w:rPr>
                <w:color w:val="auto"/>
              </w:rPr>
            </w:pPr>
            <w:r w:rsidRPr="003F0C9C">
              <w:rPr>
                <w:color w:val="auto"/>
              </w:rPr>
              <w:t>Box A: Meet Numerator Criteria</w:t>
            </w:r>
          </w:p>
        </w:tc>
        <w:tc>
          <w:tcPr>
            <w:tcW w:w="4860" w:type="dxa"/>
            <w:tcBorders>
              <w:left w:val="single" w:sz="6" w:space="0" w:color="FFFFFF"/>
            </w:tcBorders>
            <w:shd w:val="clear" w:color="auto" w:fill="000000"/>
            <w:vAlign w:val="bottom"/>
          </w:tcPr>
          <w:p w:rsidR="00D1716E" w:rsidRPr="003F0C9C" w:rsidRDefault="00D1716E">
            <w:pPr>
              <w:pStyle w:val="TableHead"/>
              <w:rPr>
                <w:color w:val="auto"/>
              </w:rPr>
            </w:pPr>
            <w:r w:rsidRPr="003F0C9C">
              <w:rPr>
                <w:rStyle w:val="StyleTableHeadArialNarrowChar"/>
                <w:b/>
                <w:color w:val="auto"/>
              </w:rPr>
              <w:t xml:space="preserve">Box B: </w:t>
            </w:r>
            <w:r w:rsidRPr="003F0C9C">
              <w:rPr>
                <w:i/>
                <w:color w:val="auto"/>
              </w:rPr>
              <w:t xml:space="preserve">Do Not </w:t>
            </w:r>
            <w:r w:rsidRPr="003F0C9C">
              <w:rPr>
                <w:rStyle w:val="StyleTableHeadArialNarrowChar"/>
                <w:b/>
                <w:color w:val="auto"/>
              </w:rPr>
              <w:t>Meet Numerator Criteria</w:t>
            </w:r>
          </w:p>
        </w:tc>
      </w:tr>
      <w:tr w:rsidR="00D1716E" w:rsidRPr="008F32CC" w:rsidTr="001A103A">
        <w:tc>
          <w:tcPr>
            <w:tcW w:w="4860" w:type="dxa"/>
          </w:tcPr>
          <w:p w:rsidR="00D1716E" w:rsidRPr="008F32CC" w:rsidRDefault="00D1716E">
            <w:pPr>
              <w:pStyle w:val="TableBullet"/>
              <w:rPr>
                <w:szCs w:val="20"/>
              </w:rPr>
            </w:pPr>
            <w:r w:rsidRPr="008F32CC">
              <w:rPr>
                <w:szCs w:val="20"/>
              </w:rPr>
              <w:t xml:space="preserve">No HbA1c test, </w:t>
            </w:r>
            <w:r w:rsidRPr="008F32CC">
              <w:rPr>
                <w:b/>
                <w:bCs/>
                <w:i/>
                <w:iCs/>
                <w:szCs w:val="20"/>
              </w:rPr>
              <w:t>or</w:t>
            </w:r>
          </w:p>
          <w:p w:rsidR="00D1716E" w:rsidRPr="008F32CC" w:rsidRDefault="00D1716E">
            <w:pPr>
              <w:pStyle w:val="TableBullet"/>
              <w:rPr>
                <w:szCs w:val="20"/>
              </w:rPr>
            </w:pPr>
            <w:r w:rsidRPr="008F32CC">
              <w:rPr>
                <w:szCs w:val="20"/>
              </w:rPr>
              <w:t xml:space="preserve">No HbA1c lab value, </w:t>
            </w:r>
            <w:r w:rsidRPr="008F32CC">
              <w:rPr>
                <w:b/>
                <w:bCs/>
                <w:i/>
                <w:iCs/>
                <w:szCs w:val="20"/>
              </w:rPr>
              <w:t>or</w:t>
            </w:r>
          </w:p>
          <w:p w:rsidR="00D1716E" w:rsidRPr="008F32CC" w:rsidRDefault="00D1716E">
            <w:pPr>
              <w:pStyle w:val="TableBullet"/>
              <w:rPr>
                <w:szCs w:val="20"/>
              </w:rPr>
            </w:pPr>
            <w:r w:rsidRPr="008F32CC">
              <w:rPr>
                <w:szCs w:val="20"/>
              </w:rPr>
              <w:t>HbA1c lab value</w:t>
            </w:r>
            <w:r w:rsidR="00EE6A48">
              <w:rPr>
                <w:szCs w:val="20"/>
              </w:rPr>
              <w:t xml:space="preserve"> is equal or </w:t>
            </w:r>
            <w:r w:rsidR="003849D0">
              <w:rPr>
                <w:szCs w:val="20"/>
              </w:rPr>
              <w:t xml:space="preserve">greater </w:t>
            </w:r>
            <w:r w:rsidR="00EE6A48">
              <w:rPr>
                <w:szCs w:val="20"/>
              </w:rPr>
              <w:t xml:space="preserve">than </w:t>
            </w:r>
            <w:r w:rsidRPr="008F32CC">
              <w:rPr>
                <w:szCs w:val="20"/>
              </w:rPr>
              <w:t>9.0%</w:t>
            </w:r>
          </w:p>
          <w:p w:rsidR="00D1716E" w:rsidRPr="008F32CC" w:rsidRDefault="00D1716E">
            <w:pPr>
              <w:pStyle w:val="TableText2"/>
              <w:rPr>
                <w:b/>
                <w:sz w:val="20"/>
                <w:szCs w:val="20"/>
              </w:rPr>
            </w:pPr>
            <w:r w:rsidRPr="008F32CC">
              <w:rPr>
                <w:b/>
                <w:i/>
                <w:sz w:val="20"/>
                <w:szCs w:val="20"/>
              </w:rPr>
              <w:t>Note:</w:t>
            </w:r>
            <w:r w:rsidRPr="008F32CC">
              <w:rPr>
                <w:i/>
                <w:sz w:val="20"/>
                <w:szCs w:val="20"/>
              </w:rPr>
              <w:t xml:space="preserve"> If any criterion is met, the member is included in the numerator criteria.</w:t>
            </w:r>
          </w:p>
        </w:tc>
        <w:tc>
          <w:tcPr>
            <w:tcW w:w="4860" w:type="dxa"/>
          </w:tcPr>
          <w:p w:rsidR="00D1716E" w:rsidRPr="008F32CC" w:rsidRDefault="00D1716E">
            <w:pPr>
              <w:pStyle w:val="TableBullet"/>
              <w:rPr>
                <w:szCs w:val="20"/>
              </w:rPr>
            </w:pPr>
            <w:r w:rsidRPr="008F32CC">
              <w:rPr>
                <w:szCs w:val="20"/>
              </w:rPr>
              <w:t xml:space="preserve">Had HbA1c test, </w:t>
            </w:r>
            <w:r w:rsidRPr="008F32CC">
              <w:rPr>
                <w:b/>
                <w:bCs/>
                <w:i/>
                <w:iCs/>
                <w:szCs w:val="20"/>
              </w:rPr>
              <w:t>and</w:t>
            </w:r>
          </w:p>
          <w:p w:rsidR="00D1716E" w:rsidRPr="008F32CC" w:rsidRDefault="00D1716E">
            <w:pPr>
              <w:pStyle w:val="TableBullet"/>
              <w:rPr>
                <w:b/>
                <w:bCs/>
                <w:i/>
                <w:iCs/>
                <w:szCs w:val="20"/>
              </w:rPr>
            </w:pPr>
            <w:r w:rsidRPr="008F32CC">
              <w:rPr>
                <w:szCs w:val="20"/>
              </w:rPr>
              <w:t xml:space="preserve">Had HbA1c lab value, </w:t>
            </w:r>
            <w:r w:rsidRPr="008F32CC">
              <w:rPr>
                <w:b/>
                <w:bCs/>
                <w:i/>
                <w:iCs/>
                <w:szCs w:val="20"/>
              </w:rPr>
              <w:t>and</w:t>
            </w:r>
          </w:p>
          <w:p w:rsidR="00D1716E" w:rsidRPr="008F32CC" w:rsidRDefault="00D1716E">
            <w:pPr>
              <w:pStyle w:val="TableBullet"/>
              <w:rPr>
                <w:szCs w:val="20"/>
              </w:rPr>
            </w:pPr>
            <w:r w:rsidRPr="008F32CC">
              <w:rPr>
                <w:szCs w:val="20"/>
              </w:rPr>
              <w:t xml:space="preserve">HbA1c lab value </w:t>
            </w:r>
            <w:r w:rsidR="00EE6A48">
              <w:rPr>
                <w:szCs w:val="20"/>
              </w:rPr>
              <w:t xml:space="preserve">is equal or </w:t>
            </w:r>
            <w:r w:rsidR="003849D0">
              <w:rPr>
                <w:szCs w:val="20"/>
              </w:rPr>
              <w:t xml:space="preserve">less </w:t>
            </w:r>
            <w:r w:rsidR="00EE6A48">
              <w:rPr>
                <w:szCs w:val="20"/>
              </w:rPr>
              <w:t xml:space="preserve">than </w:t>
            </w:r>
            <w:r w:rsidRPr="008F32CC">
              <w:rPr>
                <w:szCs w:val="20"/>
              </w:rPr>
              <w:t>9.0%</w:t>
            </w:r>
          </w:p>
          <w:p w:rsidR="00D1716E" w:rsidRPr="008F32CC" w:rsidRDefault="00D1716E">
            <w:pPr>
              <w:pStyle w:val="TableText2"/>
              <w:rPr>
                <w:sz w:val="20"/>
                <w:szCs w:val="20"/>
              </w:rPr>
            </w:pPr>
            <w:r w:rsidRPr="008F32CC">
              <w:rPr>
                <w:b/>
                <w:i/>
                <w:sz w:val="20"/>
                <w:szCs w:val="20"/>
              </w:rPr>
              <w:t xml:space="preserve">Note: </w:t>
            </w:r>
            <w:r w:rsidRPr="008F32CC">
              <w:rPr>
                <w:i/>
                <w:sz w:val="20"/>
                <w:szCs w:val="20"/>
              </w:rPr>
              <w:t>All 3 criteria must be met for the member to be considered not meeting numerator criteria.</w:t>
            </w:r>
          </w:p>
        </w:tc>
      </w:tr>
    </w:tbl>
    <w:p w:rsidR="00BF742D" w:rsidRPr="006E757D" w:rsidRDefault="00BF742D"/>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895"/>
      </w:tblGrid>
      <w:tr w:rsidR="00D1716E" w:rsidRPr="006E757D" w:rsidTr="00B7342F">
        <w:tc>
          <w:tcPr>
            <w:tcW w:w="1980" w:type="dxa"/>
            <w:tcBorders>
              <w:top w:val="nil"/>
              <w:left w:val="nil"/>
              <w:bottom w:val="nil"/>
              <w:right w:val="nil"/>
            </w:tcBorders>
            <w:tcMar>
              <w:left w:w="115" w:type="dxa"/>
              <w:right w:w="115" w:type="dxa"/>
            </w:tcMar>
          </w:tcPr>
          <w:p w:rsidR="00D1716E" w:rsidRPr="006E757D" w:rsidRDefault="00D1716E">
            <w:pPr>
              <w:pStyle w:val="MarginSubhead"/>
            </w:pPr>
            <w:r w:rsidRPr="006E757D">
              <w:rPr>
                <w:i/>
              </w:rPr>
              <w:t xml:space="preserve">Controlling High Blood Pressure </w:t>
            </w:r>
            <w:r w:rsidRPr="006E757D">
              <w:t>denominator</w:t>
            </w:r>
          </w:p>
        </w:tc>
        <w:tc>
          <w:tcPr>
            <w:tcW w:w="7895" w:type="dxa"/>
            <w:tcBorders>
              <w:top w:val="nil"/>
              <w:left w:val="nil"/>
              <w:bottom w:val="nil"/>
              <w:right w:val="nil"/>
            </w:tcBorders>
            <w:tcMar>
              <w:left w:w="115" w:type="dxa"/>
              <w:right w:w="115" w:type="dxa"/>
            </w:tcMar>
          </w:tcPr>
          <w:p w:rsidR="00F30430" w:rsidRPr="006E757D" w:rsidRDefault="00D1716E" w:rsidP="003849D0">
            <w:pPr>
              <w:pStyle w:val="Body"/>
            </w:pPr>
            <w:r w:rsidRPr="006E757D">
              <w:t xml:space="preserve">Medical record review of this measure requires confirmation of the denominator and the numerator. If an unusual number of false-positive exclusions are reported by the </w:t>
            </w:r>
            <w:r w:rsidR="00202822" w:rsidRPr="006E757D">
              <w:t>organization</w:t>
            </w:r>
            <w:r w:rsidRPr="006E757D">
              <w:t xml:space="preserve">, the auditor should review the accuracy of the reported denominator by </w:t>
            </w:r>
            <w:r w:rsidR="00C97F3C" w:rsidRPr="006E757D">
              <w:t xml:space="preserve">a </w:t>
            </w:r>
            <w:r w:rsidRPr="006E757D">
              <w:t>random sampl</w:t>
            </w:r>
            <w:r w:rsidR="00C97F3C" w:rsidRPr="006E757D">
              <w:t xml:space="preserve">e of </w:t>
            </w:r>
            <w:r w:rsidR="008341FB">
              <w:t>16</w:t>
            </w:r>
            <w:r w:rsidRPr="006E757D">
              <w:t xml:space="preserve"> records from the denominator (i.e., confirmed hypertension medical records) and confirming the accuracy of the sample. The auditor should document the findings.</w:t>
            </w:r>
          </w:p>
        </w:tc>
      </w:tr>
    </w:tbl>
    <w:p w:rsidR="00EE0EC9" w:rsidRPr="006E757D" w:rsidRDefault="00EE0EC9" w:rsidP="00F34425">
      <w:pPr>
        <w:pStyle w:val="StdHead"/>
        <w:pBdr>
          <w:left w:val="single" w:sz="6" w:space="10" w:color="auto"/>
        </w:pBdr>
        <w:rPr>
          <w:color w:val="auto"/>
        </w:rPr>
      </w:pPr>
      <w:r w:rsidRPr="006E757D">
        <w:rPr>
          <w:color w:val="auto"/>
        </w:rPr>
        <w:t>Supplemental Data Validation</w:t>
      </w:r>
    </w:p>
    <w:p w:rsidR="00EE0EC9" w:rsidRPr="008341FB" w:rsidRDefault="00EE0EC9" w:rsidP="00EE0EC9">
      <w:pPr>
        <w:pStyle w:val="Body"/>
      </w:pPr>
      <w:r w:rsidRPr="008341FB">
        <w:rPr>
          <w:b/>
        </w:rPr>
        <w:t xml:space="preserve">Supplemental </w:t>
      </w:r>
      <w:r w:rsidR="004657FD" w:rsidRPr="008341FB">
        <w:rPr>
          <w:b/>
        </w:rPr>
        <w:t>d</w:t>
      </w:r>
      <w:r w:rsidRPr="008341FB">
        <w:rPr>
          <w:b/>
        </w:rPr>
        <w:t>ata validation</w:t>
      </w:r>
      <w:r w:rsidRPr="008341FB">
        <w:t xml:space="preserve"> is an important component of the audit. It tests that supplemental data collected or received by the organization meet audit standards for sound processes and that data are accurate. </w:t>
      </w:r>
      <w:r w:rsidR="0063190F" w:rsidRPr="008341FB">
        <w:t xml:space="preserve">All supplemental electronic data are subject to audit review and differ only in the degree of review required. </w:t>
      </w:r>
      <w:r w:rsidR="00870BB5" w:rsidRPr="008341FB">
        <w:t>For each source of supplemental data, t</w:t>
      </w:r>
      <w:r w:rsidRPr="008341FB">
        <w:t>he auditor must conduct separate validations</w:t>
      </w:r>
      <w:r w:rsidR="00CF30B2" w:rsidRPr="008341FB">
        <w:t>,</w:t>
      </w:r>
      <w:r w:rsidR="0073126A" w:rsidRPr="008341FB">
        <w:t xml:space="preserve"> which include</w:t>
      </w:r>
      <w:r w:rsidR="00AC49DD" w:rsidRPr="008341FB">
        <w:t>s</w:t>
      </w:r>
      <w:r w:rsidRPr="008341FB">
        <w:t xml:space="preserve"> </w:t>
      </w:r>
      <w:r w:rsidR="00CF30B2" w:rsidRPr="008341FB">
        <w:t xml:space="preserve">reviewing </w:t>
      </w:r>
      <w:r w:rsidRPr="008341FB">
        <w:t xml:space="preserve">policies and procedures, </w:t>
      </w:r>
      <w:r w:rsidR="0075226B" w:rsidRPr="008341FB">
        <w:t xml:space="preserve">data file formats and any </w:t>
      </w:r>
      <w:r w:rsidRPr="008341FB">
        <w:t>quality control process</w:t>
      </w:r>
      <w:r w:rsidR="0075226B" w:rsidRPr="008341FB">
        <w:t>es</w:t>
      </w:r>
      <w:r w:rsidR="00870BB5" w:rsidRPr="008341FB">
        <w:t>. Primary source validation may also be required.</w:t>
      </w:r>
    </w:p>
    <w:tbl>
      <w:tblPr>
        <w:tblW w:w="9810" w:type="dxa"/>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0"/>
        <w:gridCol w:w="7830"/>
      </w:tblGrid>
      <w:tr w:rsidR="00EE0EC9" w:rsidRPr="008341FB" w:rsidTr="00B7342F">
        <w:tc>
          <w:tcPr>
            <w:tcW w:w="1980" w:type="dxa"/>
            <w:tcBorders>
              <w:top w:val="nil"/>
              <w:left w:val="nil"/>
              <w:bottom w:val="nil"/>
              <w:right w:val="nil"/>
            </w:tcBorders>
            <w:tcMar>
              <w:left w:w="115" w:type="dxa"/>
              <w:right w:w="115" w:type="dxa"/>
            </w:tcMar>
          </w:tcPr>
          <w:p w:rsidR="00EE0EC9" w:rsidRPr="008341FB" w:rsidRDefault="00EE0EC9" w:rsidP="003E787B">
            <w:pPr>
              <w:pStyle w:val="MarginSubhead"/>
            </w:pPr>
            <w:r w:rsidRPr="008341FB">
              <w:t>Audit requirements</w:t>
            </w:r>
          </w:p>
        </w:tc>
        <w:tc>
          <w:tcPr>
            <w:tcW w:w="7830" w:type="dxa"/>
            <w:tcBorders>
              <w:top w:val="nil"/>
              <w:left w:val="nil"/>
              <w:bottom w:val="nil"/>
              <w:right w:val="nil"/>
            </w:tcBorders>
            <w:tcMar>
              <w:left w:w="115" w:type="dxa"/>
              <w:right w:w="115" w:type="dxa"/>
            </w:tcMar>
          </w:tcPr>
          <w:p w:rsidR="00EE0EC9" w:rsidRPr="008341FB" w:rsidRDefault="005D18D1" w:rsidP="005D18D1">
            <w:pPr>
              <w:pStyle w:val="Body"/>
              <w:rPr>
                <w:b/>
              </w:rPr>
            </w:pPr>
            <w:r w:rsidRPr="008341FB">
              <w:t>All supplemental electronic data are subject to audit review and differ only in the degree of review required.</w:t>
            </w:r>
          </w:p>
        </w:tc>
      </w:tr>
      <w:tr w:rsidR="00EE0EC9" w:rsidRPr="008341FB" w:rsidTr="00B7342F">
        <w:tc>
          <w:tcPr>
            <w:tcW w:w="1980" w:type="dxa"/>
            <w:tcBorders>
              <w:top w:val="nil"/>
              <w:left w:val="nil"/>
              <w:bottom w:val="nil"/>
              <w:right w:val="nil"/>
            </w:tcBorders>
            <w:tcMar>
              <w:left w:w="115" w:type="dxa"/>
              <w:right w:w="115" w:type="dxa"/>
            </w:tcMar>
          </w:tcPr>
          <w:p w:rsidR="00EE0EC9" w:rsidRPr="008341FB" w:rsidRDefault="00EE0EC9" w:rsidP="00612CE0">
            <w:pPr>
              <w:pStyle w:val="ProcessDash"/>
              <w:numPr>
                <w:ilvl w:val="0"/>
                <w:numId w:val="0"/>
              </w:numPr>
              <w:spacing w:before="180"/>
              <w:ind w:left="216"/>
              <w:jc w:val="right"/>
              <w:rPr>
                <w:b/>
              </w:rPr>
            </w:pPr>
            <w:r w:rsidRPr="008341FB">
              <w:rPr>
                <w:b/>
                <w:i/>
              </w:rPr>
              <w:t>…for standard files</w:t>
            </w:r>
          </w:p>
        </w:tc>
        <w:tc>
          <w:tcPr>
            <w:tcW w:w="7830" w:type="dxa"/>
            <w:tcBorders>
              <w:top w:val="nil"/>
              <w:left w:val="nil"/>
              <w:bottom w:val="nil"/>
              <w:right w:val="nil"/>
            </w:tcBorders>
            <w:tcMar>
              <w:left w:w="115" w:type="dxa"/>
              <w:right w:w="115" w:type="dxa"/>
            </w:tcMar>
          </w:tcPr>
          <w:p w:rsidR="00CF30B2" w:rsidRPr="008341FB" w:rsidRDefault="00AC49DD" w:rsidP="008341FB">
            <w:pPr>
              <w:pStyle w:val="Body"/>
            </w:pPr>
            <w:r w:rsidRPr="008341FB">
              <w:t>T</w:t>
            </w:r>
            <w:r w:rsidR="00EE0EC9" w:rsidRPr="008341FB">
              <w:t>he auditor is not required to conduct primary source verification to check the accuracy and validity of data obtained from standard files such as laboratory data, but must request documentation to ensure that the agency or organization responsible for the data has reasonable processes in place for data collection and accuracy.</w:t>
            </w:r>
            <w:r w:rsidR="00CF30B2" w:rsidRPr="008341FB">
              <w:t xml:space="preserve"> </w:t>
            </w:r>
          </w:p>
        </w:tc>
      </w:tr>
      <w:tr w:rsidR="00EE0EC9" w:rsidRPr="008341FB" w:rsidTr="00B7342F">
        <w:tc>
          <w:tcPr>
            <w:tcW w:w="1980" w:type="dxa"/>
            <w:tcBorders>
              <w:top w:val="nil"/>
              <w:left w:val="nil"/>
              <w:bottom w:val="nil"/>
              <w:right w:val="nil"/>
            </w:tcBorders>
            <w:tcMar>
              <w:left w:w="115" w:type="dxa"/>
              <w:right w:w="115" w:type="dxa"/>
            </w:tcMar>
          </w:tcPr>
          <w:p w:rsidR="00EE0EC9" w:rsidRPr="008341FB" w:rsidRDefault="00EE0EC9" w:rsidP="00612CE0">
            <w:pPr>
              <w:pStyle w:val="ProcessDash"/>
              <w:numPr>
                <w:ilvl w:val="0"/>
                <w:numId w:val="0"/>
              </w:numPr>
              <w:spacing w:before="180"/>
              <w:jc w:val="right"/>
              <w:rPr>
                <w:b/>
              </w:rPr>
            </w:pPr>
            <w:r w:rsidRPr="008341FB">
              <w:rPr>
                <w:b/>
                <w:i/>
              </w:rPr>
              <w:t>…for non-standard</w:t>
            </w:r>
            <w:r w:rsidR="0075226B" w:rsidRPr="008341FB">
              <w:rPr>
                <w:b/>
                <w:i/>
              </w:rPr>
              <w:t xml:space="preserve"> </w:t>
            </w:r>
            <w:r w:rsidR="00D337A9" w:rsidRPr="008341FB">
              <w:rPr>
                <w:b/>
                <w:i/>
              </w:rPr>
              <w:t>files</w:t>
            </w:r>
          </w:p>
        </w:tc>
        <w:tc>
          <w:tcPr>
            <w:tcW w:w="7830" w:type="dxa"/>
            <w:tcBorders>
              <w:top w:val="nil"/>
              <w:left w:val="nil"/>
              <w:bottom w:val="nil"/>
              <w:right w:val="nil"/>
            </w:tcBorders>
            <w:tcMar>
              <w:left w:w="115" w:type="dxa"/>
              <w:right w:w="115" w:type="dxa"/>
            </w:tcMar>
          </w:tcPr>
          <w:p w:rsidR="001C2ADD" w:rsidRDefault="005D18D1" w:rsidP="008341FB">
            <w:pPr>
              <w:pStyle w:val="Body"/>
            </w:pPr>
            <w:r w:rsidRPr="008341FB">
              <w:t>For internal or external nonstandard files, the auditor must perform primary source verification every year that the database is changed and the previous verification is not applicable</w:t>
            </w:r>
            <w:r w:rsidR="008341FB">
              <w:t>.</w:t>
            </w:r>
            <w:r w:rsidRPr="008341FB">
              <w:t xml:space="preserve"> If the auditor does not perform primary source verification, the work papers should include a database-specific explanation. Primary source verification involves the following tasks: </w:t>
            </w:r>
          </w:p>
          <w:p w:rsidR="001954BE" w:rsidRPr="008341FB" w:rsidRDefault="001954BE" w:rsidP="001954BE">
            <w:pPr>
              <w:pStyle w:val="Bullet"/>
            </w:pPr>
            <w:r w:rsidRPr="008341FB">
              <w:t xml:space="preserve">Create a randomly selected sample using acceptable methods (e.g., the sample feature in Excel). </w:t>
            </w:r>
            <w:r w:rsidRPr="008341FB">
              <w:rPr>
                <w:shd w:val="clear" w:color="auto" w:fill="FFFFFF"/>
              </w:rPr>
              <w:t>After evaluating the measures and databases, the auditor is responsible for selecting the appropriate number of records for primary source verification.</w:t>
            </w:r>
          </w:p>
          <w:p w:rsidR="001954BE" w:rsidRPr="008341FB" w:rsidRDefault="001954BE" w:rsidP="008341FB">
            <w:pPr>
              <w:pStyle w:val="Bullet"/>
              <w:widowControl w:val="0"/>
            </w:pPr>
            <w:r w:rsidRPr="008341FB">
              <w:t>Review the original paper record or the electronic record (e.g., EMR screen)</w:t>
            </w:r>
            <w:r>
              <w:t xml:space="preserve"> for each member in the sample.</w:t>
            </w:r>
          </w:p>
        </w:tc>
      </w:tr>
    </w:tbl>
    <w:p w:rsidR="008F32CC" w:rsidRPr="008341FB" w:rsidRDefault="008F32CC">
      <w:pPr>
        <w:sectPr w:rsidR="008F32CC" w:rsidRPr="008341FB" w:rsidSect="00C228DE">
          <w:headerReference w:type="even" r:id="rId34"/>
          <w:pgSz w:w="12240" w:h="15840" w:code="1"/>
          <w:pgMar w:top="1080" w:right="1080" w:bottom="1080" w:left="1440" w:header="720" w:footer="720" w:gutter="0"/>
          <w:paperSrc w:first="7" w:other="7"/>
          <w:cols w:space="720"/>
          <w:noEndnote/>
        </w:sectPr>
      </w:pPr>
    </w:p>
    <w:tbl>
      <w:tblPr>
        <w:tblW w:w="9907"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77"/>
        <w:gridCol w:w="7830"/>
      </w:tblGrid>
      <w:tr w:rsidR="008F32CC" w:rsidRPr="008341FB" w:rsidTr="00780609">
        <w:tc>
          <w:tcPr>
            <w:tcW w:w="2077" w:type="dxa"/>
            <w:tcBorders>
              <w:top w:val="nil"/>
              <w:left w:val="nil"/>
              <w:bottom w:val="nil"/>
              <w:right w:val="nil"/>
            </w:tcBorders>
            <w:tcMar>
              <w:left w:w="115" w:type="dxa"/>
              <w:right w:w="115" w:type="dxa"/>
            </w:tcMar>
          </w:tcPr>
          <w:p w:rsidR="008F32CC" w:rsidRPr="008341FB" w:rsidRDefault="008F32CC" w:rsidP="00612CE0">
            <w:pPr>
              <w:pStyle w:val="ProcessDash"/>
              <w:numPr>
                <w:ilvl w:val="0"/>
                <w:numId w:val="0"/>
              </w:numPr>
              <w:spacing w:before="180"/>
              <w:jc w:val="right"/>
              <w:rPr>
                <w:b/>
                <w:i/>
              </w:rPr>
            </w:pPr>
          </w:p>
        </w:tc>
        <w:tc>
          <w:tcPr>
            <w:tcW w:w="7830" w:type="dxa"/>
            <w:tcBorders>
              <w:top w:val="nil"/>
              <w:left w:val="nil"/>
              <w:bottom w:val="nil"/>
              <w:right w:val="nil"/>
            </w:tcBorders>
            <w:tcMar>
              <w:left w:w="115" w:type="dxa"/>
              <w:right w:w="115" w:type="dxa"/>
            </w:tcMar>
          </w:tcPr>
          <w:p w:rsidR="008F32CC" w:rsidRPr="008341FB" w:rsidRDefault="008F32CC" w:rsidP="001954BE">
            <w:pPr>
              <w:pStyle w:val="Body"/>
              <w:spacing w:before="0"/>
            </w:pPr>
            <w:r w:rsidRPr="008341FB">
              <w:t>The auditor must also consider variable factors when deciding how many records to review.</w:t>
            </w:r>
          </w:p>
          <w:p w:rsidR="008F32CC" w:rsidRPr="008341FB" w:rsidRDefault="008F32CC" w:rsidP="008F32CC">
            <w:pPr>
              <w:pStyle w:val="Bullet"/>
            </w:pPr>
            <w:r w:rsidRPr="008341FB">
              <w:rPr>
                <w:i/>
              </w:rPr>
              <w:t xml:space="preserve">Timing of access: </w:t>
            </w:r>
            <w:r w:rsidRPr="008341FB">
              <w:t>The audit review may occur before or after the database is used to help calculate measures. The auditor must assess the effect of the measures based on the timing of the review.</w:t>
            </w:r>
          </w:p>
          <w:p w:rsidR="008F32CC" w:rsidRPr="008341FB" w:rsidRDefault="008F32CC" w:rsidP="008F32CC">
            <w:pPr>
              <w:pStyle w:val="Bullet"/>
            </w:pPr>
            <w:r w:rsidRPr="008341FB">
              <w:rPr>
                <w:i/>
              </w:rPr>
              <w:t>Timing relevance:</w:t>
            </w:r>
            <w:r w:rsidRPr="008341FB">
              <w:t xml:space="preserve"> A supplemental database may be created and augmented across multiple years. The auditor must assess and review use of records pertaining only to the year being measured.</w:t>
            </w:r>
          </w:p>
          <w:p w:rsidR="008F32CC" w:rsidRPr="008341FB" w:rsidRDefault="008F32CC" w:rsidP="008F32CC">
            <w:pPr>
              <w:pStyle w:val="Bullet"/>
            </w:pPr>
            <w:r w:rsidRPr="008341FB">
              <w:rPr>
                <w:i/>
              </w:rPr>
              <w:t xml:space="preserve">Use for multiple measures: </w:t>
            </w:r>
            <w:r w:rsidRPr="008341FB">
              <w:t>The auditor must base determination of the primary source validation on the number of measures affected and the number of records affecting each measure.</w:t>
            </w:r>
          </w:p>
          <w:p w:rsidR="008F32CC" w:rsidRPr="008341FB" w:rsidRDefault="008F32CC" w:rsidP="00EC4C56">
            <w:pPr>
              <w:pStyle w:val="Body"/>
            </w:pPr>
            <w:r w:rsidRPr="008341FB">
              <w:t>The database may not be used if the auditor does not have access to the primary source. Because of the variety of files, sources and results, the auditor must assess the processes and their impact, perform primary source verification and determine the validity of the database for use in calculating the selected measures.</w:t>
            </w:r>
          </w:p>
        </w:tc>
      </w:tr>
      <w:tr w:rsidR="00EE0EC9" w:rsidRPr="006E757D" w:rsidTr="00780609">
        <w:tc>
          <w:tcPr>
            <w:tcW w:w="2077" w:type="dxa"/>
            <w:tcBorders>
              <w:top w:val="nil"/>
              <w:left w:val="nil"/>
              <w:bottom w:val="nil"/>
              <w:right w:val="nil"/>
            </w:tcBorders>
            <w:tcMar>
              <w:left w:w="115" w:type="dxa"/>
              <w:right w:w="115" w:type="dxa"/>
            </w:tcMar>
          </w:tcPr>
          <w:p w:rsidR="00EE0EC9" w:rsidRPr="008341FB" w:rsidRDefault="00EE0EC9" w:rsidP="008F32CC">
            <w:pPr>
              <w:pStyle w:val="ProcessDash"/>
              <w:numPr>
                <w:ilvl w:val="0"/>
                <w:numId w:val="0"/>
              </w:numPr>
              <w:spacing w:before="180"/>
              <w:ind w:left="216"/>
              <w:jc w:val="right"/>
              <w:rPr>
                <w:b/>
              </w:rPr>
            </w:pPr>
            <w:r w:rsidRPr="008341FB">
              <w:rPr>
                <w:b/>
                <w:i/>
              </w:rPr>
              <w:t>…for all files</w:t>
            </w:r>
          </w:p>
        </w:tc>
        <w:tc>
          <w:tcPr>
            <w:tcW w:w="7830" w:type="dxa"/>
            <w:tcBorders>
              <w:top w:val="nil"/>
              <w:left w:val="nil"/>
              <w:bottom w:val="nil"/>
              <w:right w:val="nil"/>
            </w:tcBorders>
            <w:tcMar>
              <w:left w:w="115" w:type="dxa"/>
              <w:right w:w="115" w:type="dxa"/>
            </w:tcMar>
          </w:tcPr>
          <w:p w:rsidR="008028DE" w:rsidRPr="008341FB" w:rsidRDefault="008028DE" w:rsidP="008F32CC">
            <w:pPr>
              <w:pStyle w:val="Body"/>
            </w:pPr>
            <w:r w:rsidRPr="008341FB" w:rsidDel="0024336C">
              <w:t>The auditor evaluate</w:t>
            </w:r>
            <w:r w:rsidR="00EC4C56" w:rsidRPr="008341FB">
              <w:t>s</w:t>
            </w:r>
            <w:r w:rsidRPr="008341FB" w:rsidDel="0024336C">
              <w:t xml:space="preserve"> the policies and procedures for collecting and managing, mapping, importing and reporting the data.</w:t>
            </w:r>
            <w:r w:rsidRPr="008341FB">
              <w:t xml:space="preserve"> </w:t>
            </w:r>
            <w:r w:rsidR="00AD3253" w:rsidRPr="008341FB">
              <w:t>The organization provides the auditor with the following documentation</w:t>
            </w:r>
            <w:r w:rsidR="00F532AB" w:rsidRPr="008341FB">
              <w:t xml:space="preserve">, and the auditor keeps a record of the details, </w:t>
            </w:r>
            <w:r w:rsidR="00AD3253" w:rsidRPr="008341FB">
              <w:t>f</w:t>
            </w:r>
            <w:r w:rsidRPr="008341FB">
              <w:t>or each supplemental database</w:t>
            </w:r>
            <w:r w:rsidR="00AD3253" w:rsidRPr="008341FB">
              <w:t>:</w:t>
            </w:r>
          </w:p>
          <w:p w:rsidR="008028DE" w:rsidRPr="008341FB" w:rsidRDefault="00AD3253" w:rsidP="008028DE">
            <w:pPr>
              <w:pStyle w:val="Bullet"/>
              <w:widowControl w:val="0"/>
            </w:pPr>
            <w:r w:rsidRPr="008341FB">
              <w:t>The m</w:t>
            </w:r>
            <w:r w:rsidR="008028DE" w:rsidRPr="008341FB">
              <w:t>ethod used to create supplemental database</w:t>
            </w:r>
            <w:r w:rsidRPr="008341FB">
              <w:t>.</w:t>
            </w:r>
          </w:p>
          <w:p w:rsidR="008028DE" w:rsidRPr="008341FB" w:rsidRDefault="008028DE" w:rsidP="008028DE">
            <w:pPr>
              <w:pStyle w:val="Bullet"/>
              <w:widowControl w:val="0"/>
            </w:pPr>
            <w:r w:rsidRPr="008341FB">
              <w:t>Quality assurance or oversight used</w:t>
            </w:r>
            <w:r w:rsidR="00AD3253" w:rsidRPr="008341FB">
              <w:t>.</w:t>
            </w:r>
          </w:p>
          <w:p w:rsidR="008028DE" w:rsidRPr="008341FB" w:rsidRDefault="008028DE" w:rsidP="008028DE">
            <w:pPr>
              <w:pStyle w:val="Bullet"/>
              <w:widowControl w:val="0"/>
            </w:pPr>
            <w:r w:rsidRPr="008341FB">
              <w:t>Data quality controls in place</w:t>
            </w:r>
            <w:r w:rsidR="00AD3253" w:rsidRPr="008341FB">
              <w:t>.</w:t>
            </w:r>
          </w:p>
          <w:p w:rsidR="008028DE" w:rsidRPr="008341FB" w:rsidRDefault="00AD3253" w:rsidP="008028DE">
            <w:pPr>
              <w:pStyle w:val="Bullet"/>
              <w:widowControl w:val="0"/>
            </w:pPr>
            <w:r w:rsidRPr="008341FB">
              <w:t>Data security in place.</w:t>
            </w:r>
          </w:p>
          <w:p w:rsidR="008028DE" w:rsidRPr="008341FB" w:rsidRDefault="00AD3253" w:rsidP="008028DE">
            <w:pPr>
              <w:pStyle w:val="Bullet"/>
              <w:widowControl w:val="0"/>
            </w:pPr>
            <w:r w:rsidRPr="008341FB">
              <w:t>Ongoing maintenance.</w:t>
            </w:r>
          </w:p>
          <w:p w:rsidR="00EE0EC9" w:rsidRPr="008341FB" w:rsidRDefault="00AD3253" w:rsidP="00FD1467">
            <w:pPr>
              <w:pStyle w:val="Bullet"/>
              <w:widowControl w:val="0"/>
            </w:pPr>
            <w:r w:rsidRPr="008341FB">
              <w:t>The m</w:t>
            </w:r>
            <w:r w:rsidR="008028DE" w:rsidRPr="008341FB">
              <w:t>ethod used to transmit the supplemental data file</w:t>
            </w:r>
            <w:r w:rsidRPr="008341FB">
              <w:t>.</w:t>
            </w:r>
          </w:p>
        </w:tc>
      </w:tr>
    </w:tbl>
    <w:p w:rsidR="008F32CC" w:rsidRPr="006E757D" w:rsidRDefault="008F32CC" w:rsidP="00B5680C">
      <w:pPr>
        <w:pStyle w:val="SubHead"/>
        <w:widowControl w:val="0"/>
        <w:spacing w:before="120"/>
        <w:rPr>
          <w:i/>
        </w:rPr>
      </w:pPr>
      <w:r w:rsidRPr="006E757D">
        <w:rPr>
          <w:i/>
        </w:rPr>
        <w:t>Note</w:t>
      </w:r>
    </w:p>
    <w:p w:rsidR="008F32CC" w:rsidRPr="006E757D" w:rsidRDefault="008F32CC" w:rsidP="005D18D1">
      <w:pPr>
        <w:pStyle w:val="ProcessBullet"/>
        <w:widowControl w:val="0"/>
        <w:rPr>
          <w:i/>
        </w:rPr>
      </w:pPr>
      <w:r w:rsidRPr="006E757D">
        <w:rPr>
          <w:i/>
        </w:rPr>
        <w:t xml:space="preserve">Data-request forms may not be sent for noncompliant members in the systematic sample for hybrid measures. All reviews for members in the sample must follow the hybrid measure chart review specifications described in Volume 2, </w:t>
      </w:r>
      <w:r w:rsidRPr="00B5680C">
        <w:rPr>
          <w:i/>
          <w:u w:val="single"/>
        </w:rPr>
        <w:t>General Guideline 40: Obtaining Information for the Systematic Sample</w:t>
      </w:r>
      <w:r w:rsidRPr="006E757D">
        <w:rPr>
          <w:i/>
        </w:rPr>
        <w:t xml:space="preserve">. </w:t>
      </w:r>
    </w:p>
    <w:p w:rsidR="008F32CC" w:rsidRPr="006E757D" w:rsidRDefault="008F32CC" w:rsidP="005D18D1">
      <w:pPr>
        <w:pStyle w:val="ProcessBullet"/>
        <w:widowControl w:val="0"/>
        <w:rPr>
          <w:i/>
        </w:rPr>
      </w:pPr>
      <w:r w:rsidRPr="006E757D">
        <w:rPr>
          <w:i/>
        </w:rPr>
        <w:t>Organizations should not create records or an ongoing database of exclusions for clinical conditions that might change.</w:t>
      </w:r>
    </w:p>
    <w:p w:rsidR="008F32CC" w:rsidRDefault="008F32CC">
      <w:pPr>
        <w:pStyle w:val="ProcessBullet"/>
        <w:rPr>
          <w:i/>
        </w:rPr>
      </w:pPr>
      <w:r w:rsidRPr="006E757D">
        <w:rPr>
          <w:i/>
        </w:rPr>
        <w:t>Data pulled from medical records for chart review for a hybrid measure may be added to a database and used in subsequent HEDIS reporting years, but the elements must comply with the guidelines for data element requirements and audit review.</w:t>
      </w:r>
    </w:p>
    <w:tbl>
      <w:tblPr>
        <w:tblW w:w="9907"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77"/>
        <w:gridCol w:w="7830"/>
      </w:tblGrid>
      <w:tr w:rsidR="006E4B55" w:rsidRPr="006E757D" w:rsidTr="00780609">
        <w:tc>
          <w:tcPr>
            <w:tcW w:w="2077" w:type="dxa"/>
            <w:tcBorders>
              <w:top w:val="nil"/>
              <w:left w:val="nil"/>
              <w:bottom w:val="nil"/>
              <w:right w:val="nil"/>
            </w:tcBorders>
            <w:tcMar>
              <w:left w:w="115" w:type="dxa"/>
              <w:right w:w="115" w:type="dxa"/>
            </w:tcMar>
          </w:tcPr>
          <w:p w:rsidR="006E4B55" w:rsidRPr="006E757D" w:rsidRDefault="006E4B55" w:rsidP="001954BE">
            <w:pPr>
              <w:pStyle w:val="MarginSubhead"/>
              <w:spacing w:before="240"/>
            </w:pPr>
            <w:r w:rsidRPr="006E757D">
              <w:t>Database bias assessment</w:t>
            </w:r>
          </w:p>
        </w:tc>
        <w:tc>
          <w:tcPr>
            <w:tcW w:w="7830" w:type="dxa"/>
            <w:tcBorders>
              <w:top w:val="nil"/>
              <w:left w:val="nil"/>
              <w:bottom w:val="nil"/>
              <w:right w:val="nil"/>
            </w:tcBorders>
            <w:tcMar>
              <w:left w:w="115" w:type="dxa"/>
              <w:right w:w="115" w:type="dxa"/>
            </w:tcMar>
          </w:tcPr>
          <w:p w:rsidR="006E4B55" w:rsidRPr="006E757D" w:rsidRDefault="006E4B55" w:rsidP="001954BE">
            <w:pPr>
              <w:pStyle w:val="Body"/>
              <w:spacing w:before="240"/>
            </w:pPr>
            <w:r w:rsidRPr="006E757D">
              <w:t>If the auditor determines that the supplemental data source is biased, the organization may not use these data for reporting. Bias determination is based on the degree of data completeness as determined by the auditor</w:t>
            </w:r>
            <w:r w:rsidR="00660316">
              <w:t>’</w:t>
            </w:r>
            <w:r w:rsidRPr="006E757D">
              <w:t xml:space="preserve">s review of the primary source documents. </w:t>
            </w:r>
          </w:p>
        </w:tc>
      </w:tr>
    </w:tbl>
    <w:p w:rsidR="006E4B55" w:rsidRPr="006E757D" w:rsidRDefault="006E4B55" w:rsidP="00B5680C">
      <w:pPr>
        <w:pStyle w:val="SubHead"/>
        <w:spacing w:before="120"/>
        <w:rPr>
          <w:i/>
        </w:rPr>
      </w:pPr>
      <w:r w:rsidRPr="006E757D">
        <w:rPr>
          <w:i/>
        </w:rPr>
        <w:t xml:space="preserve">Note </w:t>
      </w:r>
    </w:p>
    <w:p w:rsidR="001954BE" w:rsidRDefault="006E4B55" w:rsidP="006E4B55">
      <w:pPr>
        <w:pStyle w:val="ProcessBullet"/>
        <w:rPr>
          <w:i/>
        </w:rPr>
        <w:sectPr w:rsidR="001954BE" w:rsidSect="00C228DE">
          <w:headerReference w:type="default" r:id="rId35"/>
          <w:pgSz w:w="12240" w:h="15840" w:code="1"/>
          <w:pgMar w:top="1080" w:right="1080" w:bottom="1080" w:left="1440" w:header="720" w:footer="720" w:gutter="0"/>
          <w:paperSrc w:first="7" w:other="7"/>
          <w:cols w:space="720"/>
          <w:noEndnote/>
        </w:sectPr>
      </w:pPr>
      <w:r w:rsidRPr="006E757D">
        <w:rPr>
          <w:i/>
        </w:rPr>
        <w:t>Medical records collected as a part of supplemental data validation may be destroyed after the monitoring visit.</w:t>
      </w:r>
    </w:p>
    <w:p w:rsidR="00D1716E" w:rsidRPr="006E757D" w:rsidRDefault="00D1716E" w:rsidP="001954BE">
      <w:pPr>
        <w:pStyle w:val="StdHead"/>
        <w:spacing w:before="0"/>
        <w:rPr>
          <w:color w:val="auto"/>
        </w:rPr>
      </w:pPr>
      <w:r w:rsidRPr="006E757D">
        <w:rPr>
          <w:color w:val="auto"/>
        </w:rPr>
        <w:lastRenderedPageBreak/>
        <w:t>Planning the Onsite Visit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4025"/>
        <w:gridCol w:w="3780"/>
      </w:tblGrid>
      <w:tr w:rsidR="006B7EED" w:rsidRPr="006E757D" w:rsidTr="00D830E3">
        <w:tc>
          <w:tcPr>
            <w:tcW w:w="2095" w:type="dxa"/>
            <w:vMerge w:val="restart"/>
            <w:tcBorders>
              <w:top w:val="nil"/>
              <w:left w:val="nil"/>
              <w:right w:val="nil"/>
            </w:tcBorders>
            <w:tcMar>
              <w:left w:w="115" w:type="dxa"/>
              <w:right w:w="115" w:type="dxa"/>
            </w:tcMar>
          </w:tcPr>
          <w:p w:rsidR="006B7EED" w:rsidRPr="006E757D" w:rsidRDefault="006B7EED">
            <w:pPr>
              <w:pStyle w:val="MarginSubhead"/>
            </w:pPr>
            <w:r w:rsidRPr="006E757D">
              <w:t>The onsite audit team</w:t>
            </w:r>
          </w:p>
        </w:tc>
        <w:tc>
          <w:tcPr>
            <w:tcW w:w="7805" w:type="dxa"/>
            <w:gridSpan w:val="2"/>
            <w:tcBorders>
              <w:top w:val="nil"/>
              <w:left w:val="nil"/>
              <w:bottom w:val="nil"/>
              <w:right w:val="nil"/>
            </w:tcBorders>
            <w:tcMar>
              <w:left w:w="115" w:type="dxa"/>
              <w:right w:w="115" w:type="dxa"/>
            </w:tcMar>
          </w:tcPr>
          <w:p w:rsidR="006B7EED" w:rsidRPr="00B5680C" w:rsidRDefault="006B7EED" w:rsidP="00B5680C">
            <w:pPr>
              <w:pStyle w:val="Body"/>
            </w:pPr>
            <w:r w:rsidRPr="00B5680C">
              <w:t xml:space="preserve">After an initial Roadmap review and core-set selection, the auditor forms the onsite audit team. Two team members are recommended for the onsite visit—one of whom must be </w:t>
            </w:r>
            <w:r w:rsidR="00B5680C" w:rsidRPr="00B5680C">
              <w:t>a Certified HEDIS Compliance Auditor</w:t>
            </w:r>
            <w:r w:rsidRPr="00B5680C">
              <w:t xml:space="preserve"> (CHCA). The Certified Auditor bases team members selection on the unique characteristics of the entity being audited. Auditors on the team should have a mix of skills</w:t>
            </w:r>
            <w:r w:rsidR="001954BE" w:rsidRPr="00B5680C">
              <w:t>:</w:t>
            </w:r>
          </w:p>
        </w:tc>
      </w:tr>
      <w:tr w:rsidR="006B7EED" w:rsidRPr="006E757D" w:rsidTr="00D830E3">
        <w:tc>
          <w:tcPr>
            <w:tcW w:w="2095" w:type="dxa"/>
            <w:vMerge/>
            <w:tcBorders>
              <w:left w:val="nil"/>
              <w:right w:val="nil"/>
            </w:tcBorders>
            <w:tcMar>
              <w:left w:w="115" w:type="dxa"/>
              <w:right w:w="115" w:type="dxa"/>
            </w:tcMar>
          </w:tcPr>
          <w:p w:rsidR="006B7EED" w:rsidRPr="006E757D" w:rsidRDefault="006B7EED">
            <w:pPr>
              <w:pStyle w:val="MarginSubhead"/>
            </w:pPr>
          </w:p>
        </w:tc>
        <w:tc>
          <w:tcPr>
            <w:tcW w:w="4025" w:type="dxa"/>
            <w:tcBorders>
              <w:top w:val="nil"/>
              <w:left w:val="nil"/>
              <w:bottom w:val="nil"/>
              <w:right w:val="nil"/>
            </w:tcBorders>
            <w:tcMar>
              <w:left w:w="115" w:type="dxa"/>
              <w:right w:w="115" w:type="dxa"/>
            </w:tcMar>
          </w:tcPr>
          <w:p w:rsidR="006B7EED" w:rsidRPr="006E757D" w:rsidRDefault="00D25812" w:rsidP="0030587C">
            <w:pPr>
              <w:pStyle w:val="Bullet"/>
            </w:pPr>
            <w:r w:rsidRPr="006E757D">
              <w:t xml:space="preserve">Measure </w:t>
            </w:r>
            <w:r w:rsidR="006B7EED" w:rsidRPr="006E757D">
              <w:t>knowledge</w:t>
            </w:r>
            <w:r w:rsidR="001954BE">
              <w:t>.</w:t>
            </w:r>
          </w:p>
          <w:p w:rsidR="006B7EED" w:rsidRPr="006E757D" w:rsidRDefault="006B7EED" w:rsidP="0030587C">
            <w:pPr>
              <w:pStyle w:val="Bullet"/>
            </w:pPr>
            <w:r w:rsidRPr="006E757D">
              <w:t>Data modeling skills</w:t>
            </w:r>
            <w:r w:rsidR="001954BE">
              <w:t>.</w:t>
            </w:r>
          </w:p>
          <w:p w:rsidR="006B7EED" w:rsidRPr="006E757D" w:rsidRDefault="006B7EED" w:rsidP="0030587C">
            <w:pPr>
              <w:pStyle w:val="Bullet"/>
            </w:pPr>
            <w:r w:rsidRPr="006E757D">
              <w:t>Claims experience</w:t>
            </w:r>
            <w:r w:rsidR="001954BE">
              <w:t>.</w:t>
            </w:r>
          </w:p>
          <w:p w:rsidR="006B7EED" w:rsidRPr="006E757D" w:rsidRDefault="006B7EED" w:rsidP="0030587C">
            <w:pPr>
              <w:pStyle w:val="Bullet"/>
            </w:pPr>
            <w:r w:rsidRPr="006E757D">
              <w:t>Enrollment experience</w:t>
            </w:r>
            <w:r w:rsidR="001954BE">
              <w:t>.</w:t>
            </w:r>
          </w:p>
          <w:p w:rsidR="006B7EED" w:rsidRPr="006E757D" w:rsidRDefault="006B7EED" w:rsidP="0030587C">
            <w:pPr>
              <w:pStyle w:val="Bullet"/>
            </w:pPr>
            <w:r w:rsidRPr="006E757D">
              <w:t>Practitioner information experience</w:t>
            </w:r>
            <w:r w:rsidR="001954BE">
              <w:t>.</w:t>
            </w:r>
            <w:r w:rsidRPr="006E757D">
              <w:t xml:space="preserve"> </w:t>
            </w:r>
          </w:p>
          <w:p w:rsidR="006B7EED" w:rsidRPr="006E757D" w:rsidRDefault="006B7EED" w:rsidP="0030587C">
            <w:pPr>
              <w:pStyle w:val="Bullet"/>
            </w:pPr>
            <w:r w:rsidRPr="006E757D">
              <w:t>Information systems experience</w:t>
            </w:r>
            <w:r w:rsidR="001954BE">
              <w:t>.</w:t>
            </w:r>
          </w:p>
        </w:tc>
        <w:tc>
          <w:tcPr>
            <w:tcW w:w="3780" w:type="dxa"/>
            <w:tcBorders>
              <w:top w:val="nil"/>
              <w:left w:val="nil"/>
              <w:bottom w:val="nil"/>
              <w:right w:val="nil"/>
            </w:tcBorders>
            <w:tcMar>
              <w:left w:w="115" w:type="dxa"/>
              <w:right w:w="115" w:type="dxa"/>
            </w:tcMar>
          </w:tcPr>
          <w:p w:rsidR="006B7EED" w:rsidRPr="006E757D" w:rsidRDefault="006B7EED">
            <w:pPr>
              <w:pStyle w:val="ProcessBullet"/>
              <w:tabs>
                <w:tab w:val="left" w:pos="270"/>
              </w:tabs>
            </w:pPr>
            <w:r w:rsidRPr="006E757D">
              <w:t>Programming experience</w:t>
            </w:r>
            <w:r w:rsidR="001954BE">
              <w:t>.</w:t>
            </w:r>
          </w:p>
          <w:p w:rsidR="006B7EED" w:rsidRPr="006E757D" w:rsidRDefault="006B7EED">
            <w:pPr>
              <w:pStyle w:val="ProcessBullet"/>
              <w:tabs>
                <w:tab w:val="left" w:pos="270"/>
              </w:tabs>
            </w:pPr>
            <w:r w:rsidRPr="006E757D">
              <w:t>Interviewing skills</w:t>
            </w:r>
            <w:r w:rsidR="001954BE">
              <w:t>.</w:t>
            </w:r>
          </w:p>
          <w:p w:rsidR="006B7EED" w:rsidRPr="006E757D" w:rsidRDefault="006B7EED">
            <w:pPr>
              <w:pStyle w:val="ProcessBullet"/>
              <w:tabs>
                <w:tab w:val="left" w:pos="270"/>
              </w:tabs>
            </w:pPr>
            <w:r w:rsidRPr="006E757D">
              <w:t>Merger or acquisitions knowledge</w:t>
            </w:r>
            <w:r w:rsidR="001954BE">
              <w:t>.</w:t>
            </w:r>
          </w:p>
          <w:p w:rsidR="006B7EED" w:rsidRPr="006E757D" w:rsidRDefault="006B7EED">
            <w:pPr>
              <w:pStyle w:val="ProcessBullet"/>
              <w:tabs>
                <w:tab w:val="left" w:pos="270"/>
              </w:tabs>
            </w:pPr>
            <w:r w:rsidRPr="006E757D">
              <w:t>Data warehousing experience</w:t>
            </w:r>
            <w:r w:rsidR="001954BE">
              <w:t>.</w:t>
            </w:r>
          </w:p>
          <w:p w:rsidR="006B7EED" w:rsidRPr="006E757D" w:rsidRDefault="006B7EED">
            <w:pPr>
              <w:pStyle w:val="ProcessBullet"/>
              <w:tabs>
                <w:tab w:val="left" w:pos="270"/>
              </w:tabs>
            </w:pPr>
            <w:r w:rsidRPr="006E757D">
              <w:t>Medical record review experience</w:t>
            </w:r>
            <w:r w:rsidR="001954BE">
              <w:t>.</w:t>
            </w:r>
          </w:p>
        </w:tc>
      </w:tr>
      <w:tr w:rsidR="006B7EED" w:rsidRPr="006E757D" w:rsidTr="00D830E3">
        <w:tc>
          <w:tcPr>
            <w:tcW w:w="2095" w:type="dxa"/>
            <w:vMerge/>
            <w:tcBorders>
              <w:left w:val="nil"/>
              <w:bottom w:val="nil"/>
              <w:right w:val="nil"/>
            </w:tcBorders>
            <w:tcMar>
              <w:left w:w="115" w:type="dxa"/>
              <w:right w:w="115" w:type="dxa"/>
            </w:tcMar>
          </w:tcPr>
          <w:p w:rsidR="006B7EED" w:rsidRPr="006E757D" w:rsidRDefault="006B7EED">
            <w:pPr>
              <w:pStyle w:val="MarginSubhead"/>
            </w:pPr>
          </w:p>
        </w:tc>
        <w:tc>
          <w:tcPr>
            <w:tcW w:w="7805" w:type="dxa"/>
            <w:gridSpan w:val="2"/>
            <w:tcBorders>
              <w:top w:val="nil"/>
              <w:left w:val="nil"/>
              <w:bottom w:val="nil"/>
              <w:right w:val="nil"/>
            </w:tcBorders>
            <w:tcMar>
              <w:left w:w="115" w:type="dxa"/>
              <w:right w:w="115" w:type="dxa"/>
            </w:tcMar>
          </w:tcPr>
          <w:p w:rsidR="006B7EED" w:rsidRPr="006E757D" w:rsidRDefault="006B7EED" w:rsidP="00D616FF">
            <w:pPr>
              <w:pStyle w:val="Body"/>
            </w:pPr>
            <w:r w:rsidRPr="006E757D">
              <w:t>The lead auditor may base team structure on the number and types of locations that require</w:t>
            </w:r>
            <w:r w:rsidR="00514C24" w:rsidRPr="006E757D">
              <w:t xml:space="preserve"> onsite visit</w:t>
            </w:r>
            <w:r w:rsidRPr="006E757D">
              <w:t>s. Depending on the size and type of system to be reviewed during the visit, NCQA requires enough individuals for complete interviews and thorough system review and documentation, with the Certified Auditor serving as the team leader. At least one Certified Auditor is required per organization site visited.</w:t>
            </w:r>
          </w:p>
        </w:tc>
      </w:tr>
      <w:tr w:rsidR="00D1716E" w:rsidRPr="006E757D" w:rsidTr="00B766D4">
        <w:tc>
          <w:tcPr>
            <w:tcW w:w="2095" w:type="dxa"/>
            <w:tcBorders>
              <w:top w:val="nil"/>
              <w:left w:val="nil"/>
              <w:bottom w:val="nil"/>
              <w:right w:val="nil"/>
            </w:tcBorders>
            <w:tcMar>
              <w:left w:w="115" w:type="dxa"/>
              <w:right w:w="115" w:type="dxa"/>
            </w:tcMar>
          </w:tcPr>
          <w:p w:rsidR="00D1716E" w:rsidRPr="006E757D" w:rsidRDefault="00D1716E" w:rsidP="00603E22">
            <w:pPr>
              <w:pStyle w:val="MarginSubhead"/>
            </w:pPr>
            <w:r w:rsidRPr="006E757D">
              <w:t>Team structure examples</w:t>
            </w:r>
          </w:p>
        </w:tc>
        <w:tc>
          <w:tcPr>
            <w:tcW w:w="7805" w:type="dxa"/>
            <w:gridSpan w:val="2"/>
            <w:tcBorders>
              <w:top w:val="nil"/>
              <w:left w:val="nil"/>
              <w:bottom w:val="nil"/>
              <w:right w:val="nil"/>
            </w:tcBorders>
            <w:tcMar>
              <w:left w:w="115" w:type="dxa"/>
              <w:right w:w="115" w:type="dxa"/>
            </w:tcMar>
          </w:tcPr>
          <w:p w:rsidR="00D1716E" w:rsidRPr="006E757D" w:rsidRDefault="00D1716E" w:rsidP="00D93F25">
            <w:pPr>
              <w:pStyle w:val="Body"/>
            </w:pPr>
            <w:r w:rsidRPr="006E757D">
              <w:rPr>
                <w:i/>
              </w:rPr>
              <w:t>The audit of a single-</w:t>
            </w:r>
            <w:r w:rsidR="00603E22">
              <w:rPr>
                <w:i/>
              </w:rPr>
              <w:t>site</w:t>
            </w:r>
            <w:r w:rsidR="00603E22" w:rsidRPr="006E757D">
              <w:rPr>
                <w:i/>
              </w:rPr>
              <w:t xml:space="preserve"> </w:t>
            </w:r>
            <w:r w:rsidR="00202822" w:rsidRPr="006E757D">
              <w:rPr>
                <w:i/>
              </w:rPr>
              <w:t>organization</w:t>
            </w:r>
            <w:r w:rsidRPr="006E757D">
              <w:t xml:space="preserve"> may require a single team with a lead Certified Auditor and one or two assistant auditors for evaluating </w:t>
            </w:r>
            <w:r w:rsidR="00202822" w:rsidRPr="006E757D">
              <w:t>organization</w:t>
            </w:r>
            <w:r w:rsidRPr="006E757D">
              <w:t xml:space="preserve"> systems and processes. This audit may also be structured to have two Certified Auditors</w:t>
            </w:r>
            <w:r w:rsidR="00D93F25">
              <w:t>,</w:t>
            </w:r>
            <w:r w:rsidRPr="006E757D">
              <w:t xml:space="preserve"> with one or two assistant auditors simultaneously working in two teams</w:t>
            </w:r>
            <w:r w:rsidR="00D93F25">
              <w:t xml:space="preserve"> (</w:t>
            </w:r>
            <w:r w:rsidRPr="006E757D">
              <w:t>one addressing IS compliance and another evaluating HD compliance</w:t>
            </w:r>
            <w:r w:rsidR="00D93F25">
              <w:t>)</w:t>
            </w:r>
            <w:r w:rsidRPr="006E757D">
              <w:t>.</w:t>
            </w:r>
          </w:p>
          <w:p w:rsidR="00641683" w:rsidRPr="006E757D" w:rsidRDefault="00641683" w:rsidP="00D93F25">
            <w:pPr>
              <w:pStyle w:val="Body"/>
            </w:pPr>
            <w:r w:rsidRPr="006E757D">
              <w:rPr>
                <w:i/>
              </w:rPr>
              <w:t>The audit of a multi</w:t>
            </w:r>
            <w:r w:rsidR="00603E22">
              <w:rPr>
                <w:i/>
              </w:rPr>
              <w:t>-site</w:t>
            </w:r>
            <w:r w:rsidRPr="006E757D">
              <w:rPr>
                <w:i/>
              </w:rPr>
              <w:t xml:space="preserve"> </w:t>
            </w:r>
            <w:r w:rsidR="00202822" w:rsidRPr="006E757D">
              <w:rPr>
                <w:i/>
              </w:rPr>
              <w:t>organization</w:t>
            </w:r>
            <w:r w:rsidRPr="006E757D">
              <w:t xml:space="preserve"> may base</w:t>
            </w:r>
            <w:r w:rsidR="00D93F25">
              <w:t xml:space="preserve"> team selection </w:t>
            </w:r>
            <w:r w:rsidRPr="006E757D">
              <w:t>on the specialized nature of each site; therefore, the credentialing center audit team would differ from the audit team used to evaluate behavioral health or non</w:t>
            </w:r>
            <w:r w:rsidR="008D2B1F" w:rsidRPr="006E757D">
              <w:t>-</w:t>
            </w:r>
            <w:r w:rsidRPr="006E757D">
              <w:t>certified source code vendors.</w:t>
            </w:r>
          </w:p>
        </w:tc>
      </w:tr>
      <w:tr w:rsidR="00D1716E" w:rsidRPr="006E757D" w:rsidTr="00B766D4">
        <w:tc>
          <w:tcPr>
            <w:tcW w:w="2095" w:type="dxa"/>
            <w:tcBorders>
              <w:top w:val="nil"/>
              <w:left w:val="nil"/>
              <w:bottom w:val="nil"/>
              <w:right w:val="nil"/>
            </w:tcBorders>
            <w:tcMar>
              <w:left w:w="115" w:type="dxa"/>
              <w:right w:w="115" w:type="dxa"/>
            </w:tcMar>
          </w:tcPr>
          <w:p w:rsidR="00D1716E" w:rsidRPr="006E757D" w:rsidRDefault="00D10FF4" w:rsidP="00335B28">
            <w:pPr>
              <w:pStyle w:val="MarginSubhead"/>
            </w:pPr>
            <w:r w:rsidRPr="006E757D">
              <w:t xml:space="preserve">Audit </w:t>
            </w:r>
            <w:r w:rsidR="00B15628" w:rsidRPr="006E757D">
              <w:t>k</w:t>
            </w:r>
            <w:r w:rsidRPr="006E757D">
              <w:t xml:space="preserve">ick-off </w:t>
            </w:r>
            <w:r w:rsidR="00B15628" w:rsidRPr="006E757D">
              <w:t>d</w:t>
            </w:r>
            <w:r w:rsidRPr="006E757D">
              <w:t>iscussions</w:t>
            </w:r>
          </w:p>
        </w:tc>
        <w:tc>
          <w:tcPr>
            <w:tcW w:w="7805" w:type="dxa"/>
            <w:gridSpan w:val="2"/>
            <w:tcBorders>
              <w:top w:val="nil"/>
              <w:left w:val="nil"/>
              <w:bottom w:val="nil"/>
              <w:right w:val="nil"/>
            </w:tcBorders>
            <w:tcMar>
              <w:left w:w="115" w:type="dxa"/>
              <w:right w:w="115" w:type="dxa"/>
            </w:tcMar>
          </w:tcPr>
          <w:p w:rsidR="00D10FF4" w:rsidRPr="006E757D" w:rsidRDefault="00D10FF4" w:rsidP="00D31678">
            <w:pPr>
              <w:pStyle w:val="Body"/>
            </w:pPr>
            <w:r w:rsidRPr="006E757D">
              <w:t>After the audit team is organized, the lead auditor meets with the organization (in</w:t>
            </w:r>
            <w:r w:rsidR="00762021" w:rsidRPr="006E757D">
              <w:t xml:space="preserve"> </w:t>
            </w:r>
            <w:r w:rsidRPr="006E757D">
              <w:t xml:space="preserve">person, by phone or </w:t>
            </w:r>
            <w:r w:rsidR="00762021" w:rsidRPr="006E757D">
              <w:t>through</w:t>
            </w:r>
            <w:r w:rsidRPr="006E757D">
              <w:t xml:space="preserve"> Web presentation) to select the relevant</w:t>
            </w:r>
            <w:r w:rsidR="00514C24" w:rsidRPr="006E757D">
              <w:t xml:space="preserve"> onsite visit</w:t>
            </w:r>
            <w:r w:rsidRPr="006E757D">
              <w:t xml:space="preserve"> locations, identify offsite issues and make offsite requests, such as source code and supporting documentation f</w:t>
            </w:r>
            <w:r w:rsidR="00762021" w:rsidRPr="006E757D">
              <w:t>or the core set measures or non</w:t>
            </w:r>
            <w:r w:rsidRPr="006E757D">
              <w:t xml:space="preserve">certified measures. About two weeks before the onsite visit, the team contacts the organization to review the onsite agenda, resolve issues and ensure availability of requested documentation and staff. </w:t>
            </w:r>
          </w:p>
          <w:p w:rsidR="00D1716E" w:rsidRPr="006E757D" w:rsidRDefault="00D10FF4" w:rsidP="00D93F25">
            <w:pPr>
              <w:pStyle w:val="Body"/>
            </w:pPr>
            <w:r w:rsidRPr="006E757D">
              <w:t>For a single-location organization, NCQA recommends that the onsite visit last from one to four days. If the audit team will visit multiple locations, additional days may be necessary to evaluate information needed to complete the onsite visit. The audit team should develop an agenda that satisfies these requirements, addresses audit risk areas and accommodates the organization.</w:t>
            </w:r>
          </w:p>
        </w:tc>
      </w:tr>
    </w:tbl>
    <w:p w:rsidR="001874A5" w:rsidRDefault="001874A5">
      <w:pPr>
        <w:sectPr w:rsidR="001874A5" w:rsidSect="00C228DE">
          <w:headerReference w:type="even" r:id="rId36"/>
          <w:pgSz w:w="12240" w:h="15840" w:code="1"/>
          <w:pgMar w:top="1080" w:right="1080" w:bottom="1080" w:left="1440" w:header="720" w:footer="720" w:gutter="0"/>
          <w:paperSrc w:first="7" w:other="7"/>
          <w:cols w:space="720"/>
          <w:noEndnote/>
        </w:sect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60"/>
        <w:gridCol w:w="4860"/>
      </w:tblGrid>
      <w:tr w:rsidR="00D1716E" w:rsidRPr="006E757D" w:rsidTr="001874A5">
        <w:tc>
          <w:tcPr>
            <w:tcW w:w="9720" w:type="dxa"/>
            <w:gridSpan w:val="2"/>
            <w:shd w:val="pct15" w:color="000000" w:fill="000000"/>
            <w:vAlign w:val="center"/>
          </w:tcPr>
          <w:p w:rsidR="00D1716E" w:rsidRPr="006E757D" w:rsidRDefault="00D1716E">
            <w:pPr>
              <w:pStyle w:val="Heading3"/>
              <w:spacing w:before="60"/>
              <w:jc w:val="center"/>
            </w:pPr>
            <w:r w:rsidRPr="006E757D">
              <w:lastRenderedPageBreak/>
              <w:t>Sample Onsite Agenda</w:t>
            </w:r>
          </w:p>
        </w:tc>
      </w:tr>
      <w:tr w:rsidR="00D1716E" w:rsidRPr="006E757D" w:rsidTr="001874A5">
        <w:tc>
          <w:tcPr>
            <w:tcW w:w="9720" w:type="dxa"/>
            <w:gridSpan w:val="2"/>
          </w:tcPr>
          <w:p w:rsidR="00D1716E" w:rsidRPr="006E757D" w:rsidRDefault="00D1716E" w:rsidP="00C97F3C">
            <w:pPr>
              <w:pStyle w:val="Body"/>
              <w:spacing w:before="60" w:after="60"/>
              <w:jc w:val="center"/>
              <w:rPr>
                <w:b/>
                <w:smallCaps/>
              </w:rPr>
            </w:pPr>
            <w:r w:rsidRPr="006E757D">
              <w:rPr>
                <w:b/>
                <w:smallCaps/>
              </w:rPr>
              <w:t>Day One</w:t>
            </w:r>
          </w:p>
        </w:tc>
      </w:tr>
      <w:tr w:rsidR="00D1716E" w:rsidRPr="006E757D" w:rsidTr="001874A5">
        <w:tc>
          <w:tcPr>
            <w:tcW w:w="9720" w:type="dxa"/>
            <w:gridSpan w:val="2"/>
          </w:tcPr>
          <w:p w:rsidR="00D1716E" w:rsidRPr="006E757D" w:rsidRDefault="00D1716E">
            <w:pPr>
              <w:pStyle w:val="Body"/>
              <w:spacing w:before="60" w:after="60"/>
              <w:jc w:val="center"/>
              <w:rPr>
                <w:b/>
                <w:i/>
              </w:rPr>
            </w:pPr>
            <w:r w:rsidRPr="006E757D">
              <w:rPr>
                <w:b/>
                <w:i/>
              </w:rPr>
              <w:t>Both Process and Measure-Specific Teams</w:t>
            </w:r>
          </w:p>
        </w:tc>
      </w:tr>
      <w:tr w:rsidR="00D1716E" w:rsidRPr="006E757D" w:rsidTr="001874A5">
        <w:tc>
          <w:tcPr>
            <w:tcW w:w="9720" w:type="dxa"/>
            <w:gridSpan w:val="2"/>
          </w:tcPr>
          <w:p w:rsidR="00D1716E" w:rsidRPr="006E757D" w:rsidRDefault="00522625">
            <w:pPr>
              <w:pStyle w:val="Body"/>
              <w:spacing w:before="120"/>
              <w:ind w:left="432" w:hanging="360"/>
            </w:pPr>
            <w:r w:rsidRPr="006E757D">
              <w:t xml:space="preserve"> </w:t>
            </w:r>
            <w:r w:rsidR="00721C86" w:rsidRPr="006E757D">
              <w:t xml:space="preserve"> </w:t>
            </w:r>
            <w:r w:rsidR="00D1716E" w:rsidRPr="006E757D">
              <w:t>1.</w:t>
            </w:r>
            <w:r w:rsidR="00D1716E" w:rsidRPr="006E757D">
              <w:tab/>
              <w:t>Introductions</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2.</w:t>
            </w:r>
            <w:r w:rsidR="00D1716E" w:rsidRPr="006E757D">
              <w:tab/>
              <w:t xml:space="preserve">Overview of the </w:t>
            </w:r>
            <w:r w:rsidR="00202822" w:rsidRPr="006E757D">
              <w:t>organization</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3.</w:t>
            </w:r>
            <w:r w:rsidR="00D1716E" w:rsidRPr="006E757D">
              <w:tab/>
              <w:t>Explanation of the audit process</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4.</w:t>
            </w:r>
            <w:r w:rsidR="00D1716E" w:rsidRPr="006E757D">
              <w:tab/>
              <w:t>Overview of claims</w:t>
            </w:r>
            <w:r w:rsidR="0097168D" w:rsidRPr="006E757D">
              <w:t xml:space="preserve"> or </w:t>
            </w:r>
            <w:r w:rsidR="00D1716E" w:rsidRPr="006E757D">
              <w:t>encounter data system and processes</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5.</w:t>
            </w:r>
            <w:r w:rsidR="00D1716E" w:rsidRPr="006E757D">
              <w:tab/>
              <w:t>Overview of enrollment</w:t>
            </w:r>
            <w:r w:rsidR="0097168D" w:rsidRPr="006E757D">
              <w:t xml:space="preserve"> or </w:t>
            </w:r>
            <w:r w:rsidR="00D1716E" w:rsidRPr="006E757D">
              <w:t>membership data system and processes</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6.</w:t>
            </w:r>
            <w:r w:rsidR="00D1716E" w:rsidRPr="006E757D">
              <w:tab/>
              <w:t>Overview of practitioner data system and processes</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7.</w:t>
            </w:r>
            <w:r w:rsidR="00D1716E" w:rsidRPr="006E757D">
              <w:tab/>
              <w:t>Overview of vendor data systems and processes</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8.</w:t>
            </w:r>
            <w:r w:rsidR="00D1716E" w:rsidRPr="006E757D">
              <w:tab/>
              <w:t>Data warehousing</w:t>
            </w:r>
            <w:r w:rsidR="001874A5">
              <w:t>.</w:t>
            </w:r>
          </w:p>
          <w:p w:rsidR="00D1716E" w:rsidRPr="006E757D" w:rsidRDefault="00522625">
            <w:pPr>
              <w:pStyle w:val="Body"/>
              <w:spacing w:before="120"/>
              <w:ind w:left="432" w:hanging="360"/>
            </w:pPr>
            <w:r w:rsidRPr="006E757D">
              <w:t xml:space="preserve"> </w:t>
            </w:r>
            <w:r w:rsidR="00721C86" w:rsidRPr="006E757D">
              <w:t xml:space="preserve"> </w:t>
            </w:r>
            <w:r w:rsidR="00D1716E" w:rsidRPr="006E757D">
              <w:t>9.</w:t>
            </w:r>
            <w:r w:rsidR="00D1716E" w:rsidRPr="006E757D">
              <w:tab/>
              <w:t>Overview of information systems</w:t>
            </w:r>
            <w:r w:rsidR="0097168D" w:rsidRPr="006E757D">
              <w:t xml:space="preserve"> or </w:t>
            </w:r>
            <w:r w:rsidR="00D1716E" w:rsidRPr="006E757D">
              <w:t>decision support system</w:t>
            </w:r>
            <w:r w:rsidR="001874A5">
              <w:t>.</w:t>
            </w:r>
          </w:p>
          <w:p w:rsidR="00D1716E" w:rsidRPr="006E757D" w:rsidRDefault="00D1716E">
            <w:pPr>
              <w:pStyle w:val="Body"/>
              <w:spacing w:before="120"/>
              <w:ind w:left="432" w:hanging="360"/>
            </w:pPr>
            <w:r w:rsidRPr="006E757D">
              <w:t>10.</w:t>
            </w:r>
            <w:r w:rsidRPr="006E757D">
              <w:tab/>
              <w:t>Overview of processes for collecting measures</w:t>
            </w:r>
            <w:r w:rsidR="001874A5">
              <w:t>.</w:t>
            </w:r>
          </w:p>
          <w:p w:rsidR="00D1716E" w:rsidRPr="006E757D" w:rsidRDefault="00D1716E">
            <w:pPr>
              <w:pStyle w:val="Body"/>
              <w:spacing w:before="120"/>
              <w:ind w:left="432" w:hanging="360"/>
            </w:pPr>
            <w:r w:rsidRPr="006E757D">
              <w:t>11.</w:t>
            </w:r>
            <w:r w:rsidRPr="006E757D">
              <w:tab/>
              <w:t>Overview of medical record abstraction process</w:t>
            </w:r>
            <w:r w:rsidR="008321BA" w:rsidRPr="006E757D">
              <w:t xml:space="preserve"> and convenience sample</w:t>
            </w:r>
            <w:r w:rsidR="001874A5">
              <w:t>.</w:t>
            </w:r>
          </w:p>
          <w:p w:rsidR="00D1716E" w:rsidRPr="006E757D" w:rsidRDefault="00D1716E">
            <w:pPr>
              <w:pStyle w:val="Body"/>
              <w:spacing w:before="120"/>
              <w:ind w:left="432" w:hanging="360"/>
            </w:pPr>
            <w:r w:rsidRPr="006E757D">
              <w:t>12.</w:t>
            </w:r>
            <w:r w:rsidRPr="006E757D">
              <w:tab/>
              <w:t xml:space="preserve">Initial review of </w:t>
            </w:r>
            <w:r w:rsidR="00202822" w:rsidRPr="006E757D">
              <w:t>organization</w:t>
            </w:r>
            <w:r w:rsidRPr="006E757D">
              <w:t xml:space="preserve"> data systems</w:t>
            </w:r>
            <w:r w:rsidR="001874A5">
              <w:t>.</w:t>
            </w:r>
          </w:p>
          <w:p w:rsidR="00D1716E" w:rsidRPr="006E757D" w:rsidRDefault="00D1716E">
            <w:pPr>
              <w:pStyle w:val="Body"/>
              <w:spacing w:before="120"/>
              <w:ind w:left="432" w:hanging="360"/>
            </w:pPr>
            <w:r w:rsidRPr="006E757D">
              <w:t>13.</w:t>
            </w:r>
            <w:r w:rsidRPr="006E757D">
              <w:tab/>
              <w:t>Provision of supplemental documentation</w:t>
            </w:r>
            <w:r w:rsidR="001874A5">
              <w:t>.</w:t>
            </w:r>
          </w:p>
          <w:p w:rsidR="008321BA" w:rsidRPr="006E757D" w:rsidRDefault="008321BA">
            <w:pPr>
              <w:pStyle w:val="Body"/>
              <w:spacing w:before="120"/>
              <w:ind w:left="432" w:hanging="360"/>
            </w:pPr>
            <w:r w:rsidRPr="006E757D">
              <w:t>14.  Preliminary rate discussion or review</w:t>
            </w:r>
            <w:r w:rsidR="001874A5">
              <w:t>.</w:t>
            </w:r>
          </w:p>
          <w:p w:rsidR="00D1716E" w:rsidRPr="006E757D" w:rsidRDefault="00D1716E">
            <w:pPr>
              <w:pStyle w:val="Body"/>
              <w:spacing w:before="120" w:after="120"/>
              <w:ind w:left="432" w:hanging="360"/>
            </w:pPr>
            <w:r w:rsidRPr="006E757D">
              <w:t>1</w:t>
            </w:r>
            <w:r w:rsidR="008321BA" w:rsidRPr="006E757D">
              <w:t>5</w:t>
            </w:r>
            <w:r w:rsidRPr="006E757D">
              <w:t>.</w:t>
            </w:r>
            <w:r w:rsidRPr="006E757D">
              <w:tab/>
              <w:t>Team discussion of findings and outstanding data request</w:t>
            </w:r>
            <w:r w:rsidR="001874A5">
              <w:t>.</w:t>
            </w:r>
          </w:p>
        </w:tc>
      </w:tr>
      <w:tr w:rsidR="00D1716E" w:rsidRPr="006E757D" w:rsidTr="001874A5">
        <w:tc>
          <w:tcPr>
            <w:tcW w:w="9720" w:type="dxa"/>
            <w:gridSpan w:val="2"/>
            <w:shd w:val="clear" w:color="auto" w:fill="C0C0C0"/>
          </w:tcPr>
          <w:p w:rsidR="00D1716E" w:rsidRPr="006E757D" w:rsidRDefault="00D1716E">
            <w:pPr>
              <w:autoSpaceDE w:val="0"/>
              <w:autoSpaceDN w:val="0"/>
              <w:adjustRightInd w:val="0"/>
              <w:rPr>
                <w:rFonts w:ascii="TimesNewRoman" w:hAnsi="TimesNewRoman"/>
                <w:sz w:val="22"/>
              </w:rPr>
            </w:pPr>
          </w:p>
        </w:tc>
      </w:tr>
      <w:tr w:rsidR="00D1716E" w:rsidRPr="006E757D" w:rsidTr="001874A5">
        <w:tc>
          <w:tcPr>
            <w:tcW w:w="9720" w:type="dxa"/>
            <w:gridSpan w:val="2"/>
          </w:tcPr>
          <w:p w:rsidR="00D1716E" w:rsidRPr="006E757D" w:rsidRDefault="00D1716E" w:rsidP="00C97F3C">
            <w:pPr>
              <w:pStyle w:val="Body"/>
              <w:spacing w:before="60" w:after="60"/>
              <w:jc w:val="center"/>
              <w:rPr>
                <w:b/>
                <w:smallCaps/>
              </w:rPr>
            </w:pPr>
            <w:r w:rsidRPr="006E757D">
              <w:rPr>
                <w:b/>
                <w:smallCaps/>
              </w:rPr>
              <w:t>Day Two</w:t>
            </w:r>
          </w:p>
        </w:tc>
      </w:tr>
      <w:tr w:rsidR="00D1716E" w:rsidRPr="006E757D" w:rsidTr="001874A5">
        <w:trPr>
          <w:trHeight w:val="282"/>
        </w:trPr>
        <w:tc>
          <w:tcPr>
            <w:tcW w:w="4860" w:type="dxa"/>
            <w:vAlign w:val="center"/>
          </w:tcPr>
          <w:p w:rsidR="00D1716E" w:rsidRPr="006E757D" w:rsidRDefault="00D1716E">
            <w:pPr>
              <w:pStyle w:val="Body"/>
              <w:spacing w:before="60" w:after="60"/>
              <w:jc w:val="center"/>
              <w:rPr>
                <w:b/>
                <w:i/>
              </w:rPr>
            </w:pPr>
            <w:r w:rsidRPr="006E757D">
              <w:rPr>
                <w:b/>
                <w:i/>
              </w:rPr>
              <w:t>Process Team</w:t>
            </w:r>
          </w:p>
        </w:tc>
        <w:tc>
          <w:tcPr>
            <w:tcW w:w="4860" w:type="dxa"/>
            <w:vAlign w:val="center"/>
          </w:tcPr>
          <w:p w:rsidR="00D1716E" w:rsidRPr="006E757D" w:rsidRDefault="00D1716E">
            <w:pPr>
              <w:pStyle w:val="Body"/>
              <w:spacing w:before="60" w:after="60"/>
              <w:jc w:val="center"/>
              <w:rPr>
                <w:b/>
                <w:i/>
              </w:rPr>
            </w:pPr>
            <w:r w:rsidRPr="006E757D">
              <w:rPr>
                <w:b/>
                <w:i/>
              </w:rPr>
              <w:t>Measure-Specific Team</w:t>
            </w:r>
          </w:p>
        </w:tc>
      </w:tr>
      <w:tr w:rsidR="00D1716E" w:rsidRPr="006E757D" w:rsidTr="001874A5">
        <w:trPr>
          <w:trHeight w:val="282"/>
        </w:trPr>
        <w:tc>
          <w:tcPr>
            <w:tcW w:w="4860" w:type="dxa"/>
          </w:tcPr>
          <w:p w:rsidR="00D1716E" w:rsidRPr="006E757D" w:rsidRDefault="00D1716E">
            <w:pPr>
              <w:pStyle w:val="Body"/>
              <w:ind w:left="360" w:hanging="288"/>
            </w:pPr>
            <w:r w:rsidRPr="006E757D">
              <w:t>1.</w:t>
            </w:r>
            <w:r w:rsidRPr="006E757D">
              <w:tab/>
              <w:t>Detailed review of claims</w:t>
            </w:r>
            <w:r w:rsidR="00533996" w:rsidRPr="006E757D">
              <w:t xml:space="preserve"> or </w:t>
            </w:r>
            <w:r w:rsidRPr="006E757D">
              <w:t>encou</w:t>
            </w:r>
            <w:r w:rsidR="001874A5">
              <w:t>nter data systems and processes:</w:t>
            </w:r>
          </w:p>
          <w:p w:rsidR="00D1716E" w:rsidRPr="006E757D" w:rsidRDefault="007B6EA0">
            <w:pPr>
              <w:pStyle w:val="Bullet"/>
              <w:tabs>
                <w:tab w:val="clear" w:pos="576"/>
              </w:tabs>
            </w:pPr>
            <w:r w:rsidRPr="006E757D">
              <w:t>Forms and coding</w:t>
            </w:r>
            <w:r w:rsidR="001874A5">
              <w:t>.</w:t>
            </w:r>
          </w:p>
          <w:p w:rsidR="00D1716E" w:rsidRPr="006E757D" w:rsidRDefault="007B6EA0">
            <w:pPr>
              <w:pStyle w:val="Bullet"/>
              <w:tabs>
                <w:tab w:val="clear" w:pos="576"/>
              </w:tabs>
            </w:pPr>
            <w:r w:rsidRPr="006E757D">
              <w:t>Data entry (paper and electronic)</w:t>
            </w:r>
            <w:r w:rsidR="001874A5">
              <w:t>.</w:t>
            </w:r>
          </w:p>
          <w:p w:rsidR="00D1716E" w:rsidRPr="006E757D" w:rsidRDefault="007B6EA0">
            <w:pPr>
              <w:pStyle w:val="Bullet"/>
              <w:tabs>
                <w:tab w:val="clear" w:pos="576"/>
              </w:tabs>
            </w:pPr>
            <w:r w:rsidRPr="006E757D">
              <w:t>Claim</w:t>
            </w:r>
            <w:r w:rsidR="00D1716E" w:rsidRPr="006E757D">
              <w:t>s and encounter data flow</w:t>
            </w:r>
            <w:r w:rsidR="001874A5">
              <w:t>.</w:t>
            </w:r>
          </w:p>
          <w:p w:rsidR="00D1716E" w:rsidRPr="006E757D" w:rsidRDefault="00D1716E">
            <w:pPr>
              <w:pStyle w:val="Body"/>
              <w:ind w:left="360" w:hanging="288"/>
            </w:pPr>
            <w:r w:rsidRPr="006E757D">
              <w:t>2.</w:t>
            </w:r>
            <w:r w:rsidRPr="006E757D">
              <w:tab/>
              <w:t>Detailed review of enrollment</w:t>
            </w:r>
            <w:r w:rsidR="0097168D" w:rsidRPr="006E757D">
              <w:t xml:space="preserve"> or </w:t>
            </w:r>
            <w:r w:rsidRPr="006E757D">
              <w:t>membership data systems and processes</w:t>
            </w:r>
            <w:r w:rsidR="001874A5">
              <w:t>.</w:t>
            </w:r>
          </w:p>
          <w:p w:rsidR="00D1716E" w:rsidRPr="006E757D" w:rsidRDefault="00D1716E">
            <w:pPr>
              <w:pStyle w:val="Body"/>
              <w:ind w:left="360" w:hanging="288"/>
            </w:pPr>
            <w:r w:rsidRPr="006E757D">
              <w:t>3.</w:t>
            </w:r>
            <w:r w:rsidRPr="006E757D">
              <w:tab/>
              <w:t>Detailed review of practitioner data systems and processes</w:t>
            </w:r>
            <w:r w:rsidR="001874A5">
              <w:t>.</w:t>
            </w:r>
          </w:p>
          <w:p w:rsidR="00D1716E" w:rsidRPr="006E757D" w:rsidRDefault="00D1716E">
            <w:pPr>
              <w:pStyle w:val="Body"/>
              <w:spacing w:after="240"/>
              <w:ind w:left="360" w:hanging="288"/>
            </w:pPr>
            <w:r w:rsidRPr="006E757D">
              <w:t>4.</w:t>
            </w:r>
            <w:r w:rsidRPr="006E757D">
              <w:tab/>
              <w:t>Detailed review of data warehousing</w:t>
            </w:r>
            <w:r w:rsidR="001874A5">
              <w:t>.</w:t>
            </w:r>
          </w:p>
        </w:tc>
        <w:tc>
          <w:tcPr>
            <w:tcW w:w="4860" w:type="dxa"/>
          </w:tcPr>
          <w:p w:rsidR="00D1716E" w:rsidRPr="006E757D" w:rsidRDefault="00D1716E">
            <w:pPr>
              <w:pStyle w:val="Body"/>
              <w:ind w:left="360" w:hanging="288"/>
            </w:pPr>
            <w:r w:rsidRPr="006E757D">
              <w:t>1.</w:t>
            </w:r>
            <w:r w:rsidRPr="006E757D">
              <w:tab/>
              <w:t>Detailed review of m</w:t>
            </w:r>
            <w:r w:rsidR="001874A5">
              <w:t>easure-specific data collection:</w:t>
            </w:r>
          </w:p>
          <w:p w:rsidR="00D1716E" w:rsidRPr="006E757D" w:rsidRDefault="007B6EA0">
            <w:pPr>
              <w:pStyle w:val="Bullet"/>
            </w:pPr>
            <w:r w:rsidRPr="006E757D">
              <w:t xml:space="preserve">Review </w:t>
            </w:r>
            <w:r w:rsidR="00D1716E" w:rsidRPr="006E757D">
              <w:t xml:space="preserve">source code issues and output files with </w:t>
            </w:r>
            <w:r w:rsidR="0035359D" w:rsidRPr="006E757D">
              <w:t xml:space="preserve">measure </w:t>
            </w:r>
            <w:r w:rsidR="00D1716E" w:rsidRPr="006E757D">
              <w:t>programmer</w:t>
            </w:r>
            <w:r w:rsidR="001874A5">
              <w:t>.</w:t>
            </w:r>
          </w:p>
          <w:p w:rsidR="00D1716E" w:rsidRPr="006E757D" w:rsidRDefault="007B6EA0">
            <w:pPr>
              <w:pStyle w:val="Bullet"/>
            </w:pPr>
            <w:r w:rsidRPr="006E757D">
              <w:t xml:space="preserve">Run </w:t>
            </w:r>
            <w:r w:rsidR="00D1716E" w:rsidRPr="006E757D">
              <w:t>queries to assess results</w:t>
            </w:r>
            <w:r w:rsidR="001874A5">
              <w:t>.</w:t>
            </w:r>
          </w:p>
          <w:p w:rsidR="00D1716E" w:rsidRPr="006E757D" w:rsidRDefault="007B6EA0">
            <w:pPr>
              <w:pStyle w:val="Bullet"/>
            </w:pPr>
            <w:r w:rsidRPr="006E757D">
              <w:t xml:space="preserve">Assess </w:t>
            </w:r>
            <w:r w:rsidR="00D1716E" w:rsidRPr="006E757D">
              <w:t>MRR process, abstraction forms and findings</w:t>
            </w:r>
            <w:r w:rsidR="001874A5">
              <w:t>.</w:t>
            </w:r>
          </w:p>
          <w:p w:rsidR="00D1716E" w:rsidRPr="006E757D" w:rsidRDefault="007B6EA0">
            <w:pPr>
              <w:pStyle w:val="Bullet"/>
            </w:pPr>
            <w:r w:rsidRPr="006E757D">
              <w:t xml:space="preserve">Interview </w:t>
            </w:r>
            <w:r w:rsidR="00D1716E" w:rsidRPr="006E757D">
              <w:t>data collection staff</w:t>
            </w:r>
            <w:r w:rsidR="001874A5">
              <w:t>.</w:t>
            </w:r>
          </w:p>
          <w:p w:rsidR="00D1716E" w:rsidRPr="006E757D" w:rsidRDefault="007B6EA0">
            <w:pPr>
              <w:pStyle w:val="Bullet"/>
            </w:pPr>
            <w:r w:rsidRPr="006E757D">
              <w:t>Docu</w:t>
            </w:r>
            <w:r w:rsidR="00D1716E" w:rsidRPr="006E757D">
              <w:t>ment findings</w:t>
            </w:r>
            <w:r w:rsidR="001874A5">
              <w:t>.</w:t>
            </w:r>
          </w:p>
        </w:tc>
      </w:tr>
    </w:tbl>
    <w:p w:rsidR="00D1716E" w:rsidRPr="006E757D" w:rsidRDefault="00D1716E">
      <w:pPr>
        <w:autoSpaceDE w:val="0"/>
        <w:autoSpaceDN w:val="0"/>
        <w:adjustRightInd w:val="0"/>
        <w:rPr>
          <w:rFonts w:ascii="TimesNewRoman" w:hAnsi="TimesNewRoman"/>
          <w:sz w:val="22"/>
        </w:rPr>
      </w:pPr>
    </w:p>
    <w:p w:rsidR="00D1716E" w:rsidRPr="006E757D" w:rsidRDefault="00D1716E">
      <w:pPr>
        <w:autoSpaceDE w:val="0"/>
        <w:autoSpaceDN w:val="0"/>
        <w:adjustRightInd w:val="0"/>
        <w:rPr>
          <w:rFonts w:ascii="Arial,BoldItalic" w:hAnsi="Arial,BoldItalic"/>
          <w:b/>
          <w:i/>
        </w:rPr>
        <w:sectPr w:rsidR="00D1716E" w:rsidRPr="006E757D" w:rsidSect="00C228DE">
          <w:headerReference w:type="default" r:id="rId37"/>
          <w:pgSz w:w="12240" w:h="15840" w:code="1"/>
          <w:pgMar w:top="1080" w:right="1080" w:bottom="1080" w:left="1440" w:header="720" w:footer="720" w:gutter="0"/>
          <w:paperSrc w:first="7" w:other="7"/>
          <w:cols w:space="720"/>
          <w:noEndnote/>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3"/>
        <w:gridCol w:w="5357"/>
      </w:tblGrid>
      <w:tr w:rsidR="00D1716E" w:rsidRPr="006E757D">
        <w:tc>
          <w:tcPr>
            <w:tcW w:w="9720" w:type="dxa"/>
            <w:gridSpan w:val="2"/>
            <w:shd w:val="pct15" w:color="000000" w:fill="000000"/>
            <w:vAlign w:val="center"/>
          </w:tcPr>
          <w:p w:rsidR="00D1716E" w:rsidRPr="006E757D" w:rsidRDefault="00D1716E">
            <w:pPr>
              <w:pStyle w:val="Heading3"/>
              <w:spacing w:before="60"/>
              <w:jc w:val="center"/>
            </w:pPr>
            <w:r w:rsidRPr="006E757D">
              <w:lastRenderedPageBreak/>
              <w:t>Sample Onsite Agenda</w:t>
            </w:r>
          </w:p>
        </w:tc>
      </w:tr>
      <w:tr w:rsidR="00D1716E" w:rsidRPr="006E757D">
        <w:tc>
          <w:tcPr>
            <w:tcW w:w="9720" w:type="dxa"/>
            <w:gridSpan w:val="2"/>
          </w:tcPr>
          <w:p w:rsidR="00D1716E" w:rsidRPr="006E757D" w:rsidRDefault="00D1716E" w:rsidP="00090AF9">
            <w:pPr>
              <w:pStyle w:val="Body"/>
              <w:spacing w:before="60" w:after="60"/>
              <w:jc w:val="center"/>
              <w:rPr>
                <w:b/>
                <w:smallCaps/>
              </w:rPr>
            </w:pPr>
            <w:r w:rsidRPr="006E757D">
              <w:rPr>
                <w:b/>
                <w:smallCaps/>
              </w:rPr>
              <w:t xml:space="preserve">Day </w:t>
            </w:r>
            <w:r w:rsidR="00090AF9" w:rsidRPr="006E757D">
              <w:rPr>
                <w:b/>
                <w:smallCaps/>
              </w:rPr>
              <w:t>T</w:t>
            </w:r>
            <w:r w:rsidR="0017370C" w:rsidRPr="006E757D">
              <w:rPr>
                <w:b/>
                <w:smallCaps/>
              </w:rPr>
              <w:t>wo</w:t>
            </w:r>
          </w:p>
        </w:tc>
      </w:tr>
      <w:tr w:rsidR="00D1716E" w:rsidRPr="006E757D">
        <w:trPr>
          <w:cantSplit/>
          <w:trHeight w:val="282"/>
        </w:trPr>
        <w:tc>
          <w:tcPr>
            <w:tcW w:w="9720" w:type="dxa"/>
            <w:gridSpan w:val="2"/>
            <w:vAlign w:val="center"/>
          </w:tcPr>
          <w:p w:rsidR="00D1716E" w:rsidRPr="006E757D" w:rsidRDefault="00D1716E">
            <w:pPr>
              <w:pStyle w:val="Body"/>
              <w:spacing w:before="60" w:after="60"/>
              <w:jc w:val="center"/>
              <w:rPr>
                <w:b/>
                <w:i/>
              </w:rPr>
            </w:pPr>
            <w:r w:rsidRPr="006E757D">
              <w:rPr>
                <w:b/>
                <w:i/>
              </w:rPr>
              <w:t>Process Team</w:t>
            </w:r>
          </w:p>
        </w:tc>
      </w:tr>
      <w:tr w:rsidR="00D1716E" w:rsidRPr="006E757D">
        <w:trPr>
          <w:cantSplit/>
          <w:trHeight w:val="282"/>
        </w:trPr>
        <w:tc>
          <w:tcPr>
            <w:tcW w:w="9720" w:type="dxa"/>
            <w:gridSpan w:val="2"/>
            <w:vAlign w:val="center"/>
          </w:tcPr>
          <w:p w:rsidR="00D1716E" w:rsidRPr="006E757D" w:rsidRDefault="00D1716E" w:rsidP="000D1946">
            <w:pPr>
              <w:pStyle w:val="Body"/>
              <w:ind w:left="-18"/>
            </w:pPr>
            <w:r w:rsidRPr="006E757D">
              <w:t>Detailed review of information systems</w:t>
            </w:r>
            <w:r w:rsidR="0097168D" w:rsidRPr="006E757D">
              <w:t xml:space="preserve"> or </w:t>
            </w:r>
            <w:r w:rsidRPr="006E757D">
              <w:t>decision suppor</w:t>
            </w:r>
            <w:r w:rsidR="001874A5">
              <w:t>t systems:</w:t>
            </w:r>
          </w:p>
          <w:p w:rsidR="00D1716E" w:rsidRPr="006E757D" w:rsidRDefault="007B6EA0" w:rsidP="000D1946">
            <w:pPr>
              <w:pStyle w:val="Bullet"/>
            </w:pPr>
            <w:r w:rsidRPr="006E757D">
              <w:t xml:space="preserve">Creating </w:t>
            </w:r>
            <w:r w:rsidR="00D1716E" w:rsidRPr="006E757D">
              <w:t>data repository</w:t>
            </w:r>
            <w:r w:rsidR="001874A5">
              <w:t>.</w:t>
            </w:r>
          </w:p>
          <w:p w:rsidR="00D1716E" w:rsidRPr="006E757D" w:rsidRDefault="007B6EA0" w:rsidP="000D1946">
            <w:pPr>
              <w:pStyle w:val="Bullet"/>
            </w:pPr>
            <w:r w:rsidRPr="006E757D">
              <w:t xml:space="preserve">Incorporating </w:t>
            </w:r>
            <w:r w:rsidR="00D1716E" w:rsidRPr="006E757D">
              <w:t>ancillary and vendor data</w:t>
            </w:r>
            <w:r w:rsidR="001874A5">
              <w:t>.</w:t>
            </w:r>
          </w:p>
          <w:p w:rsidR="00D1716E" w:rsidRPr="006E757D" w:rsidRDefault="007B6EA0" w:rsidP="000D1946">
            <w:pPr>
              <w:pStyle w:val="Bullet"/>
              <w:spacing w:after="120"/>
              <w:rPr>
                <w:b/>
                <w:i/>
              </w:rPr>
            </w:pPr>
            <w:r w:rsidRPr="006E757D">
              <w:t>Dat</w:t>
            </w:r>
            <w:r w:rsidR="00D1716E" w:rsidRPr="006E757D">
              <w:t>a control</w:t>
            </w:r>
            <w:r w:rsidR="0097168D" w:rsidRPr="006E757D">
              <w:t xml:space="preserve"> or </w:t>
            </w:r>
            <w:r w:rsidR="00D1716E" w:rsidRPr="006E757D">
              <w:t>security procedures</w:t>
            </w:r>
            <w:r w:rsidR="001874A5">
              <w:t>.</w:t>
            </w:r>
          </w:p>
        </w:tc>
      </w:tr>
      <w:tr w:rsidR="00D1716E" w:rsidRPr="006E757D">
        <w:tc>
          <w:tcPr>
            <w:tcW w:w="9720" w:type="dxa"/>
            <w:gridSpan w:val="2"/>
          </w:tcPr>
          <w:p w:rsidR="00D1716E" w:rsidRPr="006E757D" w:rsidRDefault="00D1716E">
            <w:pPr>
              <w:pStyle w:val="Body"/>
              <w:spacing w:before="60" w:after="60"/>
              <w:jc w:val="center"/>
              <w:rPr>
                <w:b/>
                <w:i/>
              </w:rPr>
            </w:pPr>
            <w:r w:rsidRPr="006E757D">
              <w:rPr>
                <w:b/>
                <w:i/>
              </w:rPr>
              <w:t>Both Process and Measure-Specific Teams</w:t>
            </w:r>
          </w:p>
        </w:tc>
      </w:tr>
      <w:tr w:rsidR="00D1716E" w:rsidRPr="006E757D">
        <w:tc>
          <w:tcPr>
            <w:tcW w:w="9720" w:type="dxa"/>
            <w:gridSpan w:val="2"/>
          </w:tcPr>
          <w:p w:rsidR="00D1716E" w:rsidRPr="006E757D" w:rsidRDefault="00D1716E">
            <w:pPr>
              <w:pStyle w:val="Body"/>
              <w:spacing w:after="120"/>
            </w:pPr>
            <w:r w:rsidRPr="006E757D">
              <w:t>Joint team discussion of findings and outstanding data requests</w:t>
            </w:r>
            <w:r w:rsidR="001874A5">
              <w:t>.</w:t>
            </w:r>
          </w:p>
        </w:tc>
      </w:tr>
      <w:tr w:rsidR="00D1716E" w:rsidRPr="006E757D">
        <w:tc>
          <w:tcPr>
            <w:tcW w:w="9720" w:type="dxa"/>
            <w:gridSpan w:val="2"/>
            <w:shd w:val="clear" w:color="auto" w:fill="C0C0C0"/>
          </w:tcPr>
          <w:p w:rsidR="00D1716E" w:rsidRPr="006E757D" w:rsidRDefault="00D1716E">
            <w:pPr>
              <w:autoSpaceDE w:val="0"/>
              <w:autoSpaceDN w:val="0"/>
              <w:adjustRightInd w:val="0"/>
              <w:rPr>
                <w:rFonts w:ascii="TimesNewRoman" w:hAnsi="TimesNewRoman"/>
                <w:sz w:val="22"/>
              </w:rPr>
            </w:pPr>
          </w:p>
        </w:tc>
      </w:tr>
      <w:tr w:rsidR="00D1716E" w:rsidRPr="006E757D">
        <w:tc>
          <w:tcPr>
            <w:tcW w:w="9720" w:type="dxa"/>
            <w:gridSpan w:val="2"/>
          </w:tcPr>
          <w:p w:rsidR="00D1716E" w:rsidRPr="006E757D" w:rsidRDefault="00D1716E" w:rsidP="00090AF9">
            <w:pPr>
              <w:pStyle w:val="Body"/>
              <w:spacing w:before="60" w:after="60"/>
              <w:jc w:val="center"/>
              <w:rPr>
                <w:b/>
                <w:smallCaps/>
              </w:rPr>
            </w:pPr>
            <w:r w:rsidRPr="006E757D">
              <w:rPr>
                <w:b/>
                <w:smallCaps/>
              </w:rPr>
              <w:t xml:space="preserve">Day </w:t>
            </w:r>
            <w:r w:rsidR="0017370C" w:rsidRPr="006E757D">
              <w:rPr>
                <w:b/>
                <w:smallCaps/>
              </w:rPr>
              <w:t>Three</w:t>
            </w:r>
          </w:p>
        </w:tc>
      </w:tr>
      <w:tr w:rsidR="00D1716E" w:rsidRPr="006E757D">
        <w:trPr>
          <w:trHeight w:val="282"/>
        </w:trPr>
        <w:tc>
          <w:tcPr>
            <w:tcW w:w="4363" w:type="dxa"/>
            <w:vAlign w:val="center"/>
          </w:tcPr>
          <w:p w:rsidR="00D1716E" w:rsidRPr="006E757D" w:rsidRDefault="00D1716E">
            <w:pPr>
              <w:pStyle w:val="Body"/>
              <w:spacing w:before="60" w:after="60"/>
              <w:jc w:val="center"/>
              <w:rPr>
                <w:b/>
                <w:i/>
              </w:rPr>
            </w:pPr>
            <w:r w:rsidRPr="006E757D">
              <w:rPr>
                <w:b/>
                <w:i/>
              </w:rPr>
              <w:t>Process Team</w:t>
            </w:r>
          </w:p>
        </w:tc>
        <w:tc>
          <w:tcPr>
            <w:tcW w:w="5357" w:type="dxa"/>
            <w:vAlign w:val="center"/>
          </w:tcPr>
          <w:p w:rsidR="00D1716E" w:rsidRPr="006E757D" w:rsidRDefault="00D1716E">
            <w:pPr>
              <w:pStyle w:val="Body"/>
              <w:spacing w:before="60" w:after="60"/>
              <w:jc w:val="center"/>
              <w:rPr>
                <w:b/>
                <w:i/>
              </w:rPr>
            </w:pPr>
            <w:r w:rsidRPr="006E757D">
              <w:rPr>
                <w:b/>
                <w:i/>
              </w:rPr>
              <w:t>Measure-Specific Team</w:t>
            </w:r>
          </w:p>
        </w:tc>
      </w:tr>
      <w:tr w:rsidR="00D1716E" w:rsidRPr="006E757D">
        <w:trPr>
          <w:trHeight w:val="282"/>
        </w:trPr>
        <w:tc>
          <w:tcPr>
            <w:tcW w:w="4363" w:type="dxa"/>
          </w:tcPr>
          <w:p w:rsidR="00D1716E" w:rsidRPr="006E757D" w:rsidRDefault="00D1716E">
            <w:pPr>
              <w:pStyle w:val="Body"/>
              <w:spacing w:after="120"/>
            </w:pPr>
            <w:r w:rsidRPr="006E757D">
              <w:t>Detailed review of practitioner measure data collection</w:t>
            </w:r>
            <w:r w:rsidR="001874A5">
              <w:t>.</w:t>
            </w:r>
          </w:p>
        </w:tc>
        <w:tc>
          <w:tcPr>
            <w:tcW w:w="5357" w:type="dxa"/>
          </w:tcPr>
          <w:p w:rsidR="00D1716E" w:rsidRPr="006E757D" w:rsidRDefault="00D1716E">
            <w:pPr>
              <w:pStyle w:val="Body"/>
            </w:pPr>
            <w:r w:rsidRPr="006E757D">
              <w:t>Detailed review of measure-specific data collection</w:t>
            </w:r>
            <w:r w:rsidR="001874A5">
              <w:t>.</w:t>
            </w:r>
          </w:p>
        </w:tc>
      </w:tr>
      <w:tr w:rsidR="00D1716E" w:rsidRPr="006E757D">
        <w:tc>
          <w:tcPr>
            <w:tcW w:w="9720" w:type="dxa"/>
            <w:gridSpan w:val="2"/>
          </w:tcPr>
          <w:p w:rsidR="00D1716E" w:rsidRPr="006E757D" w:rsidRDefault="00D1716E">
            <w:pPr>
              <w:pStyle w:val="Body"/>
              <w:spacing w:before="60" w:after="60"/>
              <w:jc w:val="center"/>
              <w:rPr>
                <w:b/>
                <w:i/>
              </w:rPr>
            </w:pPr>
            <w:r w:rsidRPr="006E757D">
              <w:rPr>
                <w:b/>
                <w:i/>
              </w:rPr>
              <w:t>Both Process and Measure-Specific Teams</w:t>
            </w:r>
          </w:p>
        </w:tc>
      </w:tr>
      <w:tr w:rsidR="00D1716E" w:rsidRPr="006E757D">
        <w:tc>
          <w:tcPr>
            <w:tcW w:w="9720" w:type="dxa"/>
            <w:gridSpan w:val="2"/>
          </w:tcPr>
          <w:p w:rsidR="00D1716E" w:rsidRPr="006E757D" w:rsidRDefault="00D1716E">
            <w:pPr>
              <w:pStyle w:val="Body"/>
              <w:ind w:left="342" w:hanging="342"/>
            </w:pPr>
            <w:r w:rsidRPr="006E757D">
              <w:t>1.</w:t>
            </w:r>
            <w:r w:rsidRPr="006E757D">
              <w:tab/>
              <w:t>Audit team discussion of findings and measures</w:t>
            </w:r>
            <w:r w:rsidR="00721C86" w:rsidRPr="006E757D">
              <w:t xml:space="preserve"> at risk.</w:t>
            </w:r>
          </w:p>
          <w:p w:rsidR="00D1716E" w:rsidRPr="006E757D" w:rsidRDefault="007B6EA0" w:rsidP="000D1946">
            <w:pPr>
              <w:pStyle w:val="Bullet"/>
            </w:pPr>
            <w:r w:rsidRPr="006E757D">
              <w:t>Verify that all documents necessary to support findings are included for each measure</w:t>
            </w:r>
            <w:r w:rsidR="001874A5">
              <w:t>.</w:t>
            </w:r>
          </w:p>
          <w:p w:rsidR="00D1716E" w:rsidRPr="006E757D" w:rsidRDefault="007B6EA0">
            <w:pPr>
              <w:pStyle w:val="Bullet"/>
              <w:tabs>
                <w:tab w:val="num" w:pos="432"/>
              </w:tabs>
            </w:pPr>
            <w:r w:rsidRPr="006E757D">
              <w:t>Ve</w:t>
            </w:r>
            <w:r w:rsidR="00D1716E" w:rsidRPr="006E757D">
              <w:t xml:space="preserve">rify that all proprietary information is returned to </w:t>
            </w:r>
            <w:r w:rsidR="00202822" w:rsidRPr="006E757D">
              <w:t>organization</w:t>
            </w:r>
            <w:r w:rsidR="001874A5">
              <w:t>.</w:t>
            </w:r>
          </w:p>
          <w:p w:rsidR="00D1716E" w:rsidRPr="006E757D" w:rsidRDefault="00721C86">
            <w:pPr>
              <w:pStyle w:val="Body"/>
              <w:ind w:left="342" w:hanging="342"/>
            </w:pPr>
            <w:r w:rsidRPr="006E757D">
              <w:t xml:space="preserve">2. </w:t>
            </w:r>
            <w:r w:rsidRPr="006E757D">
              <w:tab/>
              <w:t xml:space="preserve">Closing session with </w:t>
            </w:r>
            <w:r w:rsidR="00202822" w:rsidRPr="006E757D">
              <w:t>organization</w:t>
            </w:r>
            <w:r w:rsidRPr="006E757D">
              <w:t>.</w:t>
            </w:r>
          </w:p>
          <w:p w:rsidR="00D1716E" w:rsidRPr="006E757D" w:rsidRDefault="007B6EA0" w:rsidP="000D1946">
            <w:pPr>
              <w:pStyle w:val="Bullet"/>
            </w:pPr>
            <w:r w:rsidRPr="006E757D">
              <w:t>Pres</w:t>
            </w:r>
            <w:r w:rsidR="00D1716E" w:rsidRPr="006E757D">
              <w:t>ent initial audit findings</w:t>
            </w:r>
            <w:r w:rsidR="001874A5">
              <w:t>.</w:t>
            </w:r>
          </w:p>
          <w:p w:rsidR="00D1716E" w:rsidRPr="006E757D" w:rsidRDefault="007B6EA0" w:rsidP="000D1946">
            <w:pPr>
              <w:pStyle w:val="Bullet"/>
            </w:pPr>
            <w:r w:rsidRPr="006E757D">
              <w:t>P</w:t>
            </w:r>
            <w:r w:rsidR="00A336B6" w:rsidRPr="006E757D">
              <w:t xml:space="preserve">otential </w:t>
            </w:r>
            <w:r w:rsidR="00A336B6" w:rsidRPr="006E757D">
              <w:rPr>
                <w:i/>
              </w:rPr>
              <w:t xml:space="preserve">NR </w:t>
            </w:r>
            <w:r w:rsidR="0032090C" w:rsidRPr="006E757D">
              <w:t>measure</w:t>
            </w:r>
            <w:r w:rsidR="000F5474" w:rsidRPr="006E757D">
              <w:t>s</w:t>
            </w:r>
            <w:r w:rsidR="0032090C" w:rsidRPr="006E757D">
              <w:t xml:space="preserve"> </w:t>
            </w:r>
            <w:r w:rsidR="00D1716E" w:rsidRPr="006E757D">
              <w:t>resulting from preliminary</w:t>
            </w:r>
            <w:r w:rsidR="00DE1E6F" w:rsidRPr="006E757D">
              <w:t xml:space="preserve"> rate review</w:t>
            </w:r>
            <w:r w:rsidR="00D1716E" w:rsidRPr="006E757D">
              <w:t xml:space="preserve"> findings</w:t>
            </w:r>
            <w:r w:rsidR="001874A5">
              <w:t>.</w:t>
            </w:r>
          </w:p>
          <w:p w:rsidR="003C2E3D" w:rsidRPr="006E757D" w:rsidRDefault="007B6EA0" w:rsidP="000D1946">
            <w:pPr>
              <w:pStyle w:val="Bullet"/>
              <w:spacing w:after="240"/>
            </w:pPr>
            <w:r w:rsidRPr="006E757D">
              <w:t>Dis</w:t>
            </w:r>
            <w:r w:rsidR="00D1716E" w:rsidRPr="006E757D">
              <w:t>cuss items for corrective action and follow-up, including target dates for completion</w:t>
            </w:r>
            <w:r w:rsidR="001874A5">
              <w:t>.</w:t>
            </w:r>
          </w:p>
        </w:tc>
      </w:tr>
    </w:tbl>
    <w:p w:rsidR="00D71268" w:rsidRPr="006E757D" w:rsidRDefault="00D71268" w:rsidP="00D71268">
      <w:pPr>
        <w:autoSpaceDE w:val="0"/>
        <w:autoSpaceDN w:val="0"/>
        <w:adjustRightInd w:val="0"/>
        <w:rPr>
          <w:rFonts w:ascii="Arial,Bold" w:hAnsi="Arial,Bold"/>
          <w:b/>
        </w:rPr>
      </w:pPr>
    </w:p>
    <w:p w:rsidR="003F0C9C" w:rsidRPr="006E757D" w:rsidRDefault="003F0C9C" w:rsidP="003F0C9C">
      <w:pPr>
        <w:rPr>
          <w:rFonts w:ascii="Arial,Bold" w:hAnsi="Arial,Bold"/>
        </w:rPr>
      </w:pPr>
    </w:p>
    <w:p w:rsidR="003F0C9C" w:rsidRPr="006E757D" w:rsidRDefault="003F0C9C" w:rsidP="003F0C9C">
      <w:pPr>
        <w:rPr>
          <w:rFonts w:ascii="Arial,Bold" w:hAnsi="Arial,Bold"/>
          <w:sz w:val="48"/>
        </w:rPr>
        <w:sectPr w:rsidR="003F0C9C" w:rsidRPr="006E757D" w:rsidSect="00C228DE">
          <w:headerReference w:type="even" r:id="rId38"/>
          <w:pgSz w:w="12240" w:h="15840" w:code="1"/>
          <w:pgMar w:top="1080" w:right="1080" w:bottom="1080" w:left="1440" w:header="720" w:footer="720" w:gutter="0"/>
          <w:paperSrc w:first="7" w:other="7"/>
          <w:cols w:space="720"/>
          <w:noEndnote/>
        </w:sectPr>
      </w:pPr>
    </w:p>
    <w:p w:rsidR="00C3773A" w:rsidRPr="006E757D" w:rsidRDefault="00C3773A" w:rsidP="00D71268">
      <w:pPr>
        <w:autoSpaceDE w:val="0"/>
        <w:autoSpaceDN w:val="0"/>
        <w:adjustRightInd w:val="0"/>
        <w:rPr>
          <w:rFonts w:ascii="Arial,Bold" w:hAnsi="Arial,Bold"/>
          <w:b/>
        </w:rPr>
      </w:pPr>
    </w:p>
    <w:p w:rsidR="00D71268" w:rsidRPr="006E757D" w:rsidRDefault="00D71268" w:rsidP="00D71268">
      <w:pPr>
        <w:rPr>
          <w:rFonts w:ascii="Arial,Bold" w:hAnsi="Arial,Bold"/>
        </w:rPr>
      </w:pPr>
    </w:p>
    <w:p w:rsidR="00D71D33" w:rsidRPr="006E757D" w:rsidRDefault="00D71D33" w:rsidP="00D71268">
      <w:pPr>
        <w:rPr>
          <w:rFonts w:ascii="Arial,Bold" w:hAnsi="Arial,Bold"/>
          <w:sz w:val="48"/>
        </w:rPr>
        <w:sectPr w:rsidR="00D71D33" w:rsidRPr="006E757D" w:rsidSect="00C228DE">
          <w:headerReference w:type="even" r:id="rId39"/>
          <w:pgSz w:w="12240" w:h="15840" w:code="1"/>
          <w:pgMar w:top="1080" w:right="1080" w:bottom="1080" w:left="1440" w:header="720" w:footer="720" w:gutter="0"/>
          <w:paperSrc w:first="7" w:other="7"/>
          <w:cols w:space="720"/>
          <w:noEndnote/>
        </w:sectPr>
      </w:pPr>
    </w:p>
    <w:p w:rsidR="00D1716E" w:rsidRPr="006E757D" w:rsidRDefault="00D1716E" w:rsidP="003313FD">
      <w:pPr>
        <w:pStyle w:val="Breakpage"/>
      </w:pPr>
    </w:p>
    <w:p w:rsidR="00D1716E" w:rsidRPr="006E757D" w:rsidRDefault="00D1716E" w:rsidP="003313FD">
      <w:pPr>
        <w:pStyle w:val="Breakpage"/>
      </w:pPr>
    </w:p>
    <w:p w:rsidR="00D1716E" w:rsidRPr="006E757D" w:rsidRDefault="00D1716E" w:rsidP="003313FD">
      <w:pPr>
        <w:pStyle w:val="Breakpage"/>
      </w:pPr>
    </w:p>
    <w:p w:rsidR="00D1716E" w:rsidRPr="006E757D" w:rsidRDefault="00D1716E" w:rsidP="003313FD">
      <w:pPr>
        <w:pStyle w:val="Breakpage"/>
      </w:pPr>
    </w:p>
    <w:p w:rsidR="00D1716E" w:rsidRPr="006E757D" w:rsidRDefault="00D1716E" w:rsidP="003313FD">
      <w:pPr>
        <w:pStyle w:val="Breakpage"/>
      </w:pPr>
    </w:p>
    <w:p w:rsidR="00D1716E" w:rsidRPr="006E757D" w:rsidRDefault="00D1716E" w:rsidP="003313FD">
      <w:pPr>
        <w:pStyle w:val="Breakpage"/>
      </w:pPr>
      <w:r w:rsidRPr="006E757D">
        <w:t>Audit Process:</w:t>
      </w:r>
    </w:p>
    <w:p w:rsidR="00D1716E" w:rsidRPr="006E757D" w:rsidRDefault="00D1716E" w:rsidP="003313FD">
      <w:pPr>
        <w:pStyle w:val="Breakpage"/>
      </w:pPr>
      <w:r w:rsidRPr="006E757D">
        <w:t>Onsite Methods</w:t>
      </w:r>
    </w:p>
    <w:p w:rsidR="00D1716E" w:rsidRPr="006E757D" w:rsidRDefault="00D1716E" w:rsidP="003313FD">
      <w:pPr>
        <w:pStyle w:val="Breakpage"/>
        <w:rPr>
          <w:rFonts w:ascii="Arial,BoldItalic" w:hAnsi="Arial,BoldItalic"/>
          <w:i/>
        </w:rPr>
        <w:sectPr w:rsidR="00D1716E" w:rsidRPr="006E757D" w:rsidSect="00C228DE">
          <w:headerReference w:type="even" r:id="rId40"/>
          <w:headerReference w:type="default" r:id="rId41"/>
          <w:footerReference w:type="even" r:id="rId42"/>
          <w:footerReference w:type="default" r:id="rId43"/>
          <w:pgSz w:w="12240" w:h="15840" w:code="1"/>
          <w:pgMar w:top="1080" w:right="1080" w:bottom="1080" w:left="1440" w:header="720" w:footer="720" w:gutter="0"/>
          <w:paperSrc w:first="7" w:other="7"/>
          <w:cols w:space="720"/>
          <w:noEndnote/>
        </w:sectPr>
      </w:pPr>
    </w:p>
    <w:p w:rsidR="00D1716E" w:rsidRPr="006E757D" w:rsidRDefault="00D1716E">
      <w:pPr>
        <w:autoSpaceDE w:val="0"/>
        <w:autoSpaceDN w:val="0"/>
        <w:adjustRightInd w:val="0"/>
        <w:rPr>
          <w:rFonts w:ascii="Arial,BoldItalic" w:hAnsi="Arial,BoldItalic"/>
          <w:b/>
          <w:i/>
        </w:rPr>
        <w:sectPr w:rsidR="00D1716E" w:rsidRPr="006E757D" w:rsidSect="00C228DE">
          <w:headerReference w:type="even" r:id="rId44"/>
          <w:headerReference w:type="default" r:id="rId45"/>
          <w:pgSz w:w="12240" w:h="15840" w:code="1"/>
          <w:pgMar w:top="1080" w:right="1080" w:bottom="1080" w:left="1440" w:header="720" w:footer="720" w:gutter="0"/>
          <w:paperSrc w:first="7" w:other="7"/>
          <w:cols w:space="720"/>
          <w:noEndnote/>
        </w:sectPr>
      </w:pPr>
    </w:p>
    <w:p w:rsidR="00D1716E" w:rsidRPr="006E757D" w:rsidRDefault="00D1716E" w:rsidP="00B36308">
      <w:pPr>
        <w:pStyle w:val="SectionHead"/>
        <w:spacing w:after="360"/>
      </w:pPr>
      <w:r w:rsidRPr="006E757D">
        <w:lastRenderedPageBreak/>
        <w:t>The Onsite Audit Process</w:t>
      </w:r>
    </w:p>
    <w:tbl>
      <w:tblPr>
        <w:tblW w:w="0" w:type="auto"/>
        <w:tblInd w:w="-72" w:type="dxa"/>
        <w:tblLayout w:type="fixed"/>
        <w:tblLook w:val="0000"/>
      </w:tblPr>
      <w:tblGrid>
        <w:gridCol w:w="1890"/>
        <w:gridCol w:w="8010"/>
      </w:tblGrid>
      <w:tr w:rsidR="00590594" w:rsidRPr="006E757D">
        <w:tc>
          <w:tcPr>
            <w:tcW w:w="1890" w:type="dxa"/>
            <w:tcMar>
              <w:left w:w="115" w:type="dxa"/>
              <w:right w:w="115" w:type="dxa"/>
            </w:tcMar>
          </w:tcPr>
          <w:p w:rsidR="00590594" w:rsidRPr="006E757D" w:rsidRDefault="00B33AC3" w:rsidP="006B7EED">
            <w:pPr>
              <w:pStyle w:val="MarginSubhead"/>
              <w:spacing w:before="0"/>
            </w:pPr>
            <w:r w:rsidRPr="006E757D">
              <w:t>S</w:t>
            </w:r>
            <w:r w:rsidR="00590594" w:rsidRPr="006E757D">
              <w:t>ite visit</w:t>
            </w:r>
          </w:p>
        </w:tc>
        <w:tc>
          <w:tcPr>
            <w:tcW w:w="8010" w:type="dxa"/>
            <w:tcMar>
              <w:left w:w="115" w:type="dxa"/>
              <w:right w:w="115" w:type="dxa"/>
            </w:tcMar>
          </w:tcPr>
          <w:p w:rsidR="00590594" w:rsidRPr="006E757D" w:rsidRDefault="00590594" w:rsidP="006B7EED">
            <w:pPr>
              <w:pStyle w:val="Body"/>
              <w:spacing w:before="0"/>
            </w:pPr>
            <w:r w:rsidRPr="006E757D">
              <w:t>The</w:t>
            </w:r>
            <w:r w:rsidR="00514C24" w:rsidRPr="006E757D">
              <w:t xml:space="preserve"> onsite visit</w:t>
            </w:r>
            <w:r w:rsidRPr="006E757D">
              <w:t xml:space="preserve">, a required part of the audit process, allows the auditor to investigate issues identified in the </w:t>
            </w:r>
            <w:r w:rsidR="007A1EB2" w:rsidRPr="006E757D">
              <w:t xml:space="preserve">Roadmap </w:t>
            </w:r>
            <w:r w:rsidRPr="006E757D">
              <w:t xml:space="preserve">and observe systems used to collect and produce </w:t>
            </w:r>
            <w:r w:rsidR="0035359D" w:rsidRPr="006E757D">
              <w:t xml:space="preserve">measure </w:t>
            </w:r>
            <w:r w:rsidRPr="006E757D">
              <w:t>data. A</w:t>
            </w:r>
            <w:r w:rsidR="00514C24" w:rsidRPr="006E757D">
              <w:t>n onsite visit</w:t>
            </w:r>
            <w:r w:rsidRPr="006E757D">
              <w:t xml:space="preserve"> can take </w:t>
            </w:r>
            <w:r w:rsidR="00AD5DA8" w:rsidRPr="006E757D">
              <w:t>up to</w:t>
            </w:r>
            <w:r w:rsidRPr="006E757D">
              <w:t xml:space="preserve"> four days and is conducted by an audit team</w:t>
            </w:r>
            <w:r w:rsidR="003313DF" w:rsidRPr="006E757D">
              <w:t>.</w:t>
            </w:r>
            <w:r w:rsidRPr="006E757D">
              <w:t xml:space="preserve"> </w:t>
            </w:r>
            <w:r w:rsidR="003313DF" w:rsidRPr="006E757D">
              <w:t>A</w:t>
            </w:r>
            <w:r w:rsidRPr="006E757D">
              <w:t>t least one Certified Auditor must be present to lead the</w:t>
            </w:r>
            <w:r w:rsidR="00514C24" w:rsidRPr="006E757D">
              <w:t xml:space="preserve"> onsite visit</w:t>
            </w:r>
            <w:r w:rsidRPr="006E757D">
              <w:t>; other team members do not need to be Certified Auditors.</w:t>
            </w:r>
            <w:r w:rsidR="009C078D">
              <w:t xml:space="preserve"> The auditor is required to keep a dated </w:t>
            </w:r>
            <w:r w:rsidR="00B53DAD">
              <w:t xml:space="preserve">attendance </w:t>
            </w:r>
            <w:r w:rsidR="009C078D">
              <w:t>sign-in sheet from the onsite visit.</w:t>
            </w:r>
          </w:p>
          <w:p w:rsidR="00590594" w:rsidRPr="006E757D" w:rsidRDefault="00590594" w:rsidP="00165611">
            <w:pPr>
              <w:pStyle w:val="Body"/>
            </w:pPr>
            <w:r w:rsidRPr="006E757D">
              <w:t xml:space="preserve">The audit team interviews </w:t>
            </w:r>
            <w:r w:rsidR="00202822" w:rsidRPr="006E757D">
              <w:t>organization</w:t>
            </w:r>
            <w:r w:rsidRPr="006E757D">
              <w:t xml:space="preserve"> staff members; reviews </w:t>
            </w:r>
            <w:r w:rsidR="00202822" w:rsidRPr="006E757D">
              <w:t>organization</w:t>
            </w:r>
            <w:r w:rsidRPr="006E757D">
              <w:t xml:space="preserve"> information system structure, protocols and processes; and reviews </w:t>
            </w:r>
            <w:r w:rsidR="00202822" w:rsidRPr="006E757D">
              <w:t>organization</w:t>
            </w:r>
            <w:r w:rsidRPr="006E757D">
              <w:t xml:space="preserve"> measure-specific data collection processes with the </w:t>
            </w:r>
            <w:r w:rsidR="00202822" w:rsidRPr="006E757D">
              <w:t>organization</w:t>
            </w:r>
            <w:r w:rsidRPr="006E757D">
              <w:t xml:space="preserve"> staff responsible for selected measures. The team concludes the</w:t>
            </w:r>
            <w:r w:rsidR="00514C24" w:rsidRPr="006E757D">
              <w:t xml:space="preserve"> onsite visit</w:t>
            </w:r>
            <w:r w:rsidRPr="006E757D">
              <w:t xml:space="preserve"> with a closing session, during which it shares initial findings and additional documents or corrective actions needed.</w:t>
            </w:r>
          </w:p>
          <w:p w:rsidR="00590594" w:rsidRPr="006E757D" w:rsidRDefault="00590594" w:rsidP="0043629E">
            <w:pPr>
              <w:pStyle w:val="Body"/>
            </w:pPr>
            <w:r w:rsidRPr="006E757D">
              <w:t>Additional</w:t>
            </w:r>
            <w:r w:rsidR="00514C24" w:rsidRPr="006E757D">
              <w:t xml:space="preserve"> onsite visit</w:t>
            </w:r>
            <w:r w:rsidRPr="006E757D">
              <w:t xml:space="preserve">s may be required for an </w:t>
            </w:r>
            <w:r w:rsidR="00202822" w:rsidRPr="006E757D">
              <w:t>organization</w:t>
            </w:r>
            <w:r w:rsidRPr="006E757D">
              <w:t xml:space="preserve"> with delegated vendors or offsite facilities relevant to </w:t>
            </w:r>
            <w:r w:rsidR="0035359D" w:rsidRPr="006E757D">
              <w:t xml:space="preserve">measure </w:t>
            </w:r>
            <w:r w:rsidRPr="006E757D">
              <w:t xml:space="preserve">production. For large national </w:t>
            </w:r>
            <w:r w:rsidR="00202822" w:rsidRPr="006E757D">
              <w:t>organization</w:t>
            </w:r>
            <w:r w:rsidRPr="006E757D">
              <w:t>s,</w:t>
            </w:r>
            <w:r w:rsidR="00514C24" w:rsidRPr="006E757D">
              <w:t xml:space="preserve"> onsite visit</w:t>
            </w:r>
            <w:r w:rsidRPr="006E757D">
              <w:t>s may take place at local offices, regional processing centers or corporate headquarters. The number and structure of onsite visits depend on</w:t>
            </w:r>
            <w:r w:rsidR="00641683" w:rsidRPr="006E757D">
              <w:t xml:space="preserve"> </w:t>
            </w:r>
            <w:r w:rsidRPr="006E757D">
              <w:t xml:space="preserve">the size and structure of the reporting </w:t>
            </w:r>
            <w:r w:rsidR="00202822" w:rsidRPr="006E757D">
              <w:t>organization</w:t>
            </w:r>
            <w:r w:rsidRPr="006E757D">
              <w:t>.</w:t>
            </w:r>
          </w:p>
        </w:tc>
      </w:tr>
      <w:tr w:rsidR="00B33AC3" w:rsidRPr="006E757D">
        <w:tc>
          <w:tcPr>
            <w:tcW w:w="1890" w:type="dxa"/>
            <w:tcMar>
              <w:left w:w="115" w:type="dxa"/>
              <w:right w:w="115" w:type="dxa"/>
            </w:tcMar>
          </w:tcPr>
          <w:p w:rsidR="00B33AC3" w:rsidRPr="006E757D" w:rsidRDefault="00B33AC3" w:rsidP="00DD257B">
            <w:pPr>
              <w:pStyle w:val="MarginSubhead"/>
            </w:pPr>
            <w:r w:rsidRPr="006E757D">
              <w:t>Opening meeting</w:t>
            </w:r>
          </w:p>
        </w:tc>
        <w:tc>
          <w:tcPr>
            <w:tcW w:w="8010" w:type="dxa"/>
            <w:tcMar>
              <w:left w:w="115" w:type="dxa"/>
              <w:right w:w="115" w:type="dxa"/>
            </w:tcMar>
          </w:tcPr>
          <w:p w:rsidR="00B33AC3" w:rsidRPr="006E757D" w:rsidRDefault="00B33AC3" w:rsidP="00B33AC3">
            <w:pPr>
              <w:pStyle w:val="Body"/>
            </w:pPr>
            <w:r w:rsidRPr="006E757D">
              <w:t xml:space="preserve">The opening meeting introduces the audit team to the </w:t>
            </w:r>
            <w:r w:rsidR="00202822" w:rsidRPr="006E757D">
              <w:t>organization</w:t>
            </w:r>
            <w:r w:rsidRPr="006E757D">
              <w:t xml:space="preserve"> staff in charge of </w:t>
            </w:r>
            <w:r w:rsidR="0035359D" w:rsidRPr="006E757D">
              <w:t xml:space="preserve">measure </w:t>
            </w:r>
            <w:r w:rsidRPr="006E757D">
              <w:t xml:space="preserve">development and reporting and gives the </w:t>
            </w:r>
            <w:r w:rsidR="00202822" w:rsidRPr="006E757D">
              <w:t>organization</w:t>
            </w:r>
            <w:r w:rsidRPr="006E757D">
              <w:t xml:space="preserve"> an opportunity to present an overview of the entire data collection process.</w:t>
            </w:r>
          </w:p>
          <w:p w:rsidR="00B33AC3" w:rsidRPr="006E757D" w:rsidRDefault="00B33AC3" w:rsidP="002D5B1E">
            <w:pPr>
              <w:pStyle w:val="Body"/>
              <w:tabs>
                <w:tab w:val="left" w:pos="2340"/>
              </w:tabs>
            </w:pPr>
            <w:r w:rsidRPr="006E757D">
              <w:t>The members of the audit team explain how they conduct an NCQA HEDIS Compliance Audit. They reiterate the audit</w:t>
            </w:r>
            <w:r w:rsidR="00660316">
              <w:t>’</w:t>
            </w:r>
            <w:r w:rsidRPr="006E757D">
              <w:t>s purpose, the scope of the work, the required documentation, the interviews and tests they will conduct. Before the end of the meeting, interviews may be scheduled and, the NCQA Certified HEDIS Compliance Auditors either receive or request additional information.</w:t>
            </w:r>
          </w:p>
        </w:tc>
      </w:tr>
    </w:tbl>
    <w:p w:rsidR="00D1716E" w:rsidRPr="006E757D" w:rsidRDefault="00D1716E">
      <w:pPr>
        <w:pStyle w:val="StdHead"/>
        <w:rPr>
          <w:color w:val="auto"/>
        </w:rPr>
      </w:pPr>
      <w:r w:rsidRPr="006E757D">
        <w:rPr>
          <w:color w:val="auto"/>
        </w:rPr>
        <w:t>Onsite Audit Methods</w:t>
      </w:r>
    </w:p>
    <w:p w:rsidR="00FC41FB" w:rsidRPr="006E757D" w:rsidRDefault="00FC41FB">
      <w:pPr>
        <w:pStyle w:val="Body"/>
        <w:tabs>
          <w:tab w:val="left" w:pos="2340"/>
        </w:tabs>
      </w:pPr>
      <w:r w:rsidRPr="006E757D">
        <w:t xml:space="preserve">The Certified Auditor assesses the ability of </w:t>
      </w:r>
      <w:r w:rsidR="00B53DAD">
        <w:t xml:space="preserve">the </w:t>
      </w:r>
      <w:r w:rsidR="00202822" w:rsidRPr="006E757D">
        <w:t>organization</w:t>
      </w:r>
      <w:r w:rsidR="00B53DAD">
        <w:t>’s</w:t>
      </w:r>
      <w:r w:rsidRPr="006E757D">
        <w:t xml:space="preserve"> systems and processes to produce reliable HEDIS</w:t>
      </w:r>
      <w:r w:rsidR="0035359D" w:rsidRPr="006E757D">
        <w:t xml:space="preserve"> or performance measure </w:t>
      </w:r>
      <w:r w:rsidRPr="006E757D">
        <w:t xml:space="preserve">results and the extent to which the </w:t>
      </w:r>
      <w:r w:rsidR="00202822" w:rsidRPr="006E757D">
        <w:t>organization</w:t>
      </w:r>
      <w:r w:rsidRPr="006E757D">
        <w:t xml:space="preserve"> staff has accurately interpreted the specifications. The auditor uses several tools and techniques, including interviewing, primary source verification, process review, system or program review, observation, data file content review and source code review.</w:t>
      </w:r>
    </w:p>
    <w:tbl>
      <w:tblPr>
        <w:tblW w:w="9900" w:type="dxa"/>
        <w:tblInd w:w="-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90"/>
        <w:gridCol w:w="8010"/>
      </w:tblGrid>
      <w:tr w:rsidR="00D1716E" w:rsidRPr="006E757D">
        <w:tc>
          <w:tcPr>
            <w:tcW w:w="1890" w:type="dxa"/>
            <w:tcBorders>
              <w:top w:val="nil"/>
              <w:left w:val="nil"/>
              <w:bottom w:val="nil"/>
              <w:right w:val="nil"/>
            </w:tcBorders>
            <w:tcMar>
              <w:left w:w="115" w:type="dxa"/>
              <w:right w:w="115" w:type="dxa"/>
            </w:tcMar>
          </w:tcPr>
          <w:p w:rsidR="00D1716E" w:rsidRPr="006E757D" w:rsidRDefault="00D1716E" w:rsidP="00DD257B">
            <w:pPr>
              <w:pStyle w:val="MarginSubhead"/>
            </w:pPr>
            <w:r w:rsidRPr="006E757D">
              <w:t>Interviewing</w:t>
            </w:r>
          </w:p>
        </w:tc>
        <w:tc>
          <w:tcPr>
            <w:tcW w:w="8010" w:type="dxa"/>
            <w:tcBorders>
              <w:top w:val="nil"/>
              <w:left w:val="nil"/>
              <w:bottom w:val="nil"/>
              <w:right w:val="nil"/>
            </w:tcBorders>
            <w:tcMar>
              <w:left w:w="115" w:type="dxa"/>
              <w:right w:w="115" w:type="dxa"/>
            </w:tcMar>
          </w:tcPr>
          <w:p w:rsidR="00D1716E" w:rsidRPr="006E757D" w:rsidRDefault="00D1716E">
            <w:pPr>
              <w:pStyle w:val="Body"/>
            </w:pPr>
            <w:r w:rsidRPr="006E757D">
              <w:t xml:space="preserve">Throughout the onsite visit, the audit team interviews </w:t>
            </w:r>
            <w:r w:rsidR="00202822" w:rsidRPr="006E757D">
              <w:t>organization</w:t>
            </w:r>
            <w:r w:rsidRPr="006E757D">
              <w:t xml:space="preserve"> staff to gain insight into the accuracy and reliability of the reported </w:t>
            </w:r>
            <w:r w:rsidR="0035359D" w:rsidRPr="006E757D">
              <w:t xml:space="preserve">measure </w:t>
            </w:r>
            <w:r w:rsidRPr="006E757D">
              <w:t>results. Members of</w:t>
            </w:r>
            <w:r w:rsidR="00641683" w:rsidRPr="006E757D">
              <w:t xml:space="preserve"> </w:t>
            </w:r>
            <w:r w:rsidRPr="006E757D">
              <w:t>the audit team may also accompany a staff member to another site where information is processed, or communicate via conference call with the staff located off site.</w:t>
            </w:r>
          </w:p>
          <w:p w:rsidR="00D1716E" w:rsidRPr="006E757D" w:rsidRDefault="00D1716E" w:rsidP="00D25812">
            <w:pPr>
              <w:pStyle w:val="Body"/>
            </w:pPr>
            <w:r w:rsidRPr="006E757D">
              <w:t xml:space="preserve">On site, the auditor verifies responses in the </w:t>
            </w:r>
            <w:r w:rsidR="007A1EB2" w:rsidRPr="006E757D">
              <w:t xml:space="preserve">Roadmap </w:t>
            </w:r>
            <w:r w:rsidRPr="006E757D">
              <w:t xml:space="preserve">and obtains more detail by interviewing staff members who are familiar with the </w:t>
            </w:r>
            <w:r w:rsidR="00202822" w:rsidRPr="006E757D">
              <w:t>organization</w:t>
            </w:r>
            <w:r w:rsidR="00660316">
              <w:t>’</w:t>
            </w:r>
            <w:r w:rsidRPr="006E757D">
              <w:t xml:space="preserve">s information systems and involved in the </w:t>
            </w:r>
            <w:r w:rsidR="0035359D" w:rsidRPr="006E757D">
              <w:t xml:space="preserve">measure </w:t>
            </w:r>
            <w:r w:rsidRPr="006E757D">
              <w:t>data collection process. The auditor records the name and title of everyone interviewed.</w:t>
            </w:r>
          </w:p>
        </w:tc>
      </w:tr>
    </w:tbl>
    <w:p w:rsidR="00FC41FB" w:rsidRPr="006E757D" w:rsidRDefault="00FC41FB">
      <w:pPr>
        <w:sectPr w:rsidR="00FC41FB" w:rsidRPr="006E757D" w:rsidSect="00C228DE">
          <w:headerReference w:type="even" r:id="rId46"/>
          <w:headerReference w:type="default" r:id="rId47"/>
          <w:footerReference w:type="default" r:id="rId48"/>
          <w:pgSz w:w="12240" w:h="15840" w:code="1"/>
          <w:pgMar w:top="1080" w:right="1080" w:bottom="1080" w:left="1440" w:header="720" w:footer="720" w:gutter="0"/>
          <w:paperSrc w:first="7" w:other="7"/>
          <w:cols w:space="72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0"/>
        <w:gridCol w:w="6390"/>
      </w:tblGrid>
      <w:tr w:rsidR="00D1716E" w:rsidRPr="006E757D">
        <w:tc>
          <w:tcPr>
            <w:tcW w:w="9720" w:type="dxa"/>
            <w:gridSpan w:val="2"/>
            <w:shd w:val="clear" w:color="auto" w:fill="000000"/>
          </w:tcPr>
          <w:p w:rsidR="00D1716E" w:rsidRPr="006E757D" w:rsidRDefault="00D1716E">
            <w:pPr>
              <w:pStyle w:val="TableHead"/>
              <w:rPr>
                <w:color w:val="auto"/>
              </w:rPr>
            </w:pPr>
            <w:r w:rsidRPr="006E757D">
              <w:rPr>
                <w:color w:val="auto"/>
              </w:rPr>
              <w:lastRenderedPageBreak/>
              <w:t xml:space="preserve">Discussion Topics and Recommended </w:t>
            </w:r>
            <w:r w:rsidR="003F5C4B" w:rsidRPr="006E757D">
              <w:rPr>
                <w:color w:val="auto"/>
              </w:rPr>
              <w:t>O</w:t>
            </w:r>
            <w:r w:rsidR="00202822" w:rsidRPr="006E757D">
              <w:rPr>
                <w:color w:val="auto"/>
              </w:rPr>
              <w:t>rganization</w:t>
            </w:r>
            <w:r w:rsidRPr="006E757D">
              <w:rPr>
                <w:color w:val="auto"/>
              </w:rPr>
              <w:t xml:space="preserve"> Personnel to Be Interviewed</w:t>
            </w:r>
          </w:p>
        </w:tc>
      </w:tr>
      <w:tr w:rsidR="00D1716E" w:rsidRPr="003313FD" w:rsidTr="00516737">
        <w:tc>
          <w:tcPr>
            <w:tcW w:w="3330" w:type="dxa"/>
          </w:tcPr>
          <w:p w:rsidR="00D1716E" w:rsidRPr="003313FD" w:rsidRDefault="00D1716E">
            <w:pPr>
              <w:pStyle w:val="TableText"/>
              <w:rPr>
                <w:rFonts w:cs="Arial"/>
                <w:szCs w:val="20"/>
              </w:rPr>
            </w:pPr>
            <w:r w:rsidRPr="003313FD">
              <w:rPr>
                <w:rFonts w:cs="Arial"/>
                <w:szCs w:val="20"/>
              </w:rPr>
              <w:t xml:space="preserve">HEDIS </w:t>
            </w:r>
            <w:r w:rsidR="0035359D" w:rsidRPr="003313FD">
              <w:rPr>
                <w:rFonts w:cs="Arial"/>
                <w:szCs w:val="20"/>
              </w:rPr>
              <w:t xml:space="preserve">or performance measure </w:t>
            </w:r>
            <w:r w:rsidRPr="003313FD">
              <w:rPr>
                <w:rFonts w:cs="Arial"/>
                <w:szCs w:val="20"/>
              </w:rPr>
              <w:t>team leader</w:t>
            </w:r>
          </w:p>
        </w:tc>
        <w:tc>
          <w:tcPr>
            <w:tcW w:w="6390" w:type="dxa"/>
          </w:tcPr>
          <w:p w:rsidR="00D1716E" w:rsidRPr="003313FD" w:rsidRDefault="00D1716E">
            <w:pPr>
              <w:pStyle w:val="TableBullet"/>
              <w:rPr>
                <w:rFonts w:cs="Arial"/>
                <w:szCs w:val="20"/>
              </w:rPr>
            </w:pPr>
            <w:r w:rsidRPr="003313FD">
              <w:rPr>
                <w:rFonts w:cs="Arial"/>
                <w:szCs w:val="20"/>
              </w:rPr>
              <w:t>Overall data collection and reporting</w:t>
            </w:r>
          </w:p>
          <w:p w:rsidR="00D1716E" w:rsidRPr="003313FD" w:rsidRDefault="00622CE5" w:rsidP="00067F91">
            <w:pPr>
              <w:pStyle w:val="TableBullet"/>
              <w:rPr>
                <w:rFonts w:cs="Arial"/>
                <w:szCs w:val="20"/>
              </w:rPr>
            </w:pPr>
            <w:r w:rsidRPr="003313FD">
              <w:rPr>
                <w:rFonts w:cs="Arial"/>
                <w:szCs w:val="20"/>
              </w:rPr>
              <w:t xml:space="preserve">Preliminary </w:t>
            </w:r>
            <w:r w:rsidR="00067F91" w:rsidRPr="003313FD">
              <w:rPr>
                <w:rFonts w:cs="Arial"/>
                <w:szCs w:val="20"/>
              </w:rPr>
              <w:t>r</w:t>
            </w:r>
            <w:r w:rsidRPr="003313FD">
              <w:rPr>
                <w:rFonts w:cs="Arial"/>
                <w:szCs w:val="20"/>
              </w:rPr>
              <w:t xml:space="preserve">ate </w:t>
            </w:r>
            <w:r w:rsidR="00067F91" w:rsidRPr="003313FD">
              <w:rPr>
                <w:rFonts w:cs="Arial"/>
                <w:szCs w:val="20"/>
              </w:rPr>
              <w:t>r</w:t>
            </w:r>
            <w:r w:rsidRPr="003313FD">
              <w:rPr>
                <w:rFonts w:cs="Arial"/>
                <w:szCs w:val="20"/>
              </w:rPr>
              <w:t>eview</w:t>
            </w:r>
            <w:r w:rsidR="00EF3499" w:rsidRPr="003313FD">
              <w:rPr>
                <w:rFonts w:cs="Arial"/>
                <w:i/>
                <w:szCs w:val="20"/>
              </w:rPr>
              <w:t xml:space="preserve"> </w:t>
            </w:r>
            <w:r w:rsidR="00EF3499" w:rsidRPr="003313FD">
              <w:rPr>
                <w:rFonts w:cs="Arial"/>
                <w:szCs w:val="20"/>
              </w:rPr>
              <w:t xml:space="preserve">and rationales </w:t>
            </w:r>
          </w:p>
        </w:tc>
      </w:tr>
      <w:tr w:rsidR="00D1716E" w:rsidRPr="003313FD" w:rsidTr="00516737">
        <w:tc>
          <w:tcPr>
            <w:tcW w:w="3330" w:type="dxa"/>
            <w:shd w:val="clear" w:color="auto" w:fill="E0E0E0"/>
          </w:tcPr>
          <w:p w:rsidR="00D1716E" w:rsidRPr="003313FD" w:rsidRDefault="00D1716E">
            <w:pPr>
              <w:pStyle w:val="TableText"/>
              <w:rPr>
                <w:rFonts w:cs="Arial"/>
                <w:szCs w:val="20"/>
              </w:rPr>
            </w:pPr>
            <w:r w:rsidRPr="003313FD">
              <w:rPr>
                <w:rFonts w:cs="Arial"/>
                <w:szCs w:val="20"/>
              </w:rPr>
              <w:t>Quality improvement director</w:t>
            </w:r>
          </w:p>
        </w:tc>
        <w:tc>
          <w:tcPr>
            <w:tcW w:w="6390" w:type="dxa"/>
            <w:shd w:val="clear" w:color="auto" w:fill="E0E0E0"/>
          </w:tcPr>
          <w:p w:rsidR="00D1716E" w:rsidRPr="003313FD" w:rsidRDefault="00D1716E">
            <w:pPr>
              <w:pStyle w:val="TableBullet"/>
              <w:rPr>
                <w:rFonts w:cs="Arial"/>
                <w:szCs w:val="20"/>
              </w:rPr>
            </w:pPr>
            <w:r w:rsidRPr="003313FD">
              <w:rPr>
                <w:rFonts w:cs="Arial"/>
                <w:szCs w:val="20"/>
              </w:rPr>
              <w:t xml:space="preserve">Use of </w:t>
            </w:r>
            <w:r w:rsidR="0035359D" w:rsidRPr="003313FD">
              <w:rPr>
                <w:rFonts w:cs="Arial"/>
                <w:szCs w:val="20"/>
              </w:rPr>
              <w:t xml:space="preserve">measure </w:t>
            </w:r>
            <w:r w:rsidRPr="003313FD">
              <w:rPr>
                <w:rFonts w:cs="Arial"/>
                <w:szCs w:val="20"/>
              </w:rPr>
              <w:t>information</w:t>
            </w:r>
          </w:p>
          <w:p w:rsidR="00D1716E" w:rsidRPr="003313FD" w:rsidRDefault="00D1716E">
            <w:pPr>
              <w:pStyle w:val="TableBullet"/>
              <w:rPr>
                <w:rFonts w:cs="Arial"/>
                <w:szCs w:val="20"/>
              </w:rPr>
            </w:pPr>
            <w:r w:rsidRPr="003313FD">
              <w:rPr>
                <w:rFonts w:cs="Arial"/>
                <w:szCs w:val="20"/>
              </w:rPr>
              <w:t>Underlying data issues</w:t>
            </w:r>
          </w:p>
        </w:tc>
      </w:tr>
      <w:tr w:rsidR="00D1716E" w:rsidRPr="003313FD" w:rsidTr="00516737">
        <w:tc>
          <w:tcPr>
            <w:tcW w:w="3330" w:type="dxa"/>
          </w:tcPr>
          <w:p w:rsidR="00D1716E" w:rsidRPr="003313FD" w:rsidRDefault="00D1716E">
            <w:pPr>
              <w:pStyle w:val="TableText"/>
              <w:rPr>
                <w:rFonts w:cs="Arial"/>
                <w:szCs w:val="20"/>
              </w:rPr>
            </w:pPr>
            <w:r w:rsidRPr="003313FD">
              <w:rPr>
                <w:rFonts w:cs="Arial"/>
                <w:szCs w:val="20"/>
              </w:rPr>
              <w:t>Medical record review supervisor</w:t>
            </w:r>
          </w:p>
        </w:tc>
        <w:tc>
          <w:tcPr>
            <w:tcW w:w="6390" w:type="dxa"/>
          </w:tcPr>
          <w:p w:rsidR="00D1716E" w:rsidRPr="003313FD" w:rsidRDefault="00D1716E">
            <w:pPr>
              <w:pStyle w:val="TableBullet"/>
              <w:rPr>
                <w:rFonts w:cs="Arial"/>
                <w:szCs w:val="20"/>
              </w:rPr>
            </w:pPr>
            <w:r w:rsidRPr="003313FD">
              <w:rPr>
                <w:rFonts w:cs="Arial"/>
                <w:szCs w:val="20"/>
              </w:rPr>
              <w:t>M</w:t>
            </w:r>
            <w:r w:rsidR="00BC58A7" w:rsidRPr="003313FD">
              <w:rPr>
                <w:rFonts w:cs="Arial"/>
                <w:szCs w:val="20"/>
              </w:rPr>
              <w:t>RR</w:t>
            </w:r>
            <w:r w:rsidRPr="003313FD">
              <w:rPr>
                <w:rFonts w:cs="Arial"/>
                <w:szCs w:val="20"/>
              </w:rPr>
              <w:t xml:space="preserve"> process, training, abstraction tools, audit procedures and results</w:t>
            </w:r>
          </w:p>
        </w:tc>
      </w:tr>
      <w:tr w:rsidR="00D1716E" w:rsidRPr="003313FD" w:rsidTr="00516737">
        <w:tc>
          <w:tcPr>
            <w:tcW w:w="3330" w:type="dxa"/>
            <w:shd w:val="clear" w:color="auto" w:fill="E0E0E0"/>
          </w:tcPr>
          <w:p w:rsidR="00D1716E" w:rsidRPr="003313FD" w:rsidRDefault="00D1716E">
            <w:pPr>
              <w:pStyle w:val="TableText"/>
              <w:rPr>
                <w:rFonts w:cs="Arial"/>
                <w:szCs w:val="20"/>
              </w:rPr>
            </w:pPr>
            <w:r w:rsidRPr="003313FD">
              <w:rPr>
                <w:rFonts w:cs="Arial"/>
                <w:szCs w:val="20"/>
              </w:rPr>
              <w:t>Operations management director</w:t>
            </w:r>
          </w:p>
        </w:tc>
        <w:tc>
          <w:tcPr>
            <w:tcW w:w="6390" w:type="dxa"/>
            <w:shd w:val="clear" w:color="auto" w:fill="E0E0E0"/>
          </w:tcPr>
          <w:p w:rsidR="00D1716E" w:rsidRPr="003313FD" w:rsidRDefault="00D1716E">
            <w:pPr>
              <w:pStyle w:val="TableBullet"/>
              <w:rPr>
                <w:rFonts w:cs="Arial"/>
                <w:szCs w:val="20"/>
              </w:rPr>
            </w:pPr>
            <w:r w:rsidRPr="003313FD">
              <w:rPr>
                <w:rFonts w:cs="Arial"/>
                <w:szCs w:val="20"/>
              </w:rPr>
              <w:t>Claims</w:t>
            </w:r>
            <w:r w:rsidR="0097168D" w:rsidRPr="003313FD">
              <w:rPr>
                <w:rFonts w:cs="Arial"/>
                <w:szCs w:val="20"/>
              </w:rPr>
              <w:t xml:space="preserve"> or </w:t>
            </w:r>
            <w:r w:rsidRPr="003313FD">
              <w:rPr>
                <w:rFonts w:cs="Arial"/>
                <w:szCs w:val="20"/>
              </w:rPr>
              <w:t>encounter processing, member services or call center management</w:t>
            </w:r>
          </w:p>
        </w:tc>
      </w:tr>
      <w:tr w:rsidR="000F5474" w:rsidRPr="003313FD" w:rsidTr="00516737">
        <w:tc>
          <w:tcPr>
            <w:tcW w:w="3330" w:type="dxa"/>
            <w:shd w:val="clear" w:color="auto" w:fill="auto"/>
          </w:tcPr>
          <w:p w:rsidR="000F5474" w:rsidRPr="003313FD" w:rsidRDefault="000F5474" w:rsidP="000A2D7A">
            <w:pPr>
              <w:pStyle w:val="TableText"/>
              <w:rPr>
                <w:rFonts w:cs="Arial"/>
                <w:szCs w:val="20"/>
              </w:rPr>
            </w:pPr>
            <w:r w:rsidRPr="003313FD">
              <w:rPr>
                <w:rFonts w:cs="Arial"/>
                <w:szCs w:val="20"/>
              </w:rPr>
              <w:t>Credentialing department supervisor</w:t>
            </w:r>
          </w:p>
        </w:tc>
        <w:tc>
          <w:tcPr>
            <w:tcW w:w="6390" w:type="dxa"/>
            <w:shd w:val="clear" w:color="auto" w:fill="auto"/>
          </w:tcPr>
          <w:p w:rsidR="000F5474" w:rsidRPr="003313FD" w:rsidRDefault="000F5474" w:rsidP="000A2D7A">
            <w:pPr>
              <w:pStyle w:val="TableBullet"/>
              <w:rPr>
                <w:rFonts w:cs="Arial"/>
                <w:szCs w:val="20"/>
              </w:rPr>
            </w:pPr>
            <w:r w:rsidRPr="003313FD">
              <w:rPr>
                <w:rFonts w:cs="Arial"/>
                <w:szCs w:val="20"/>
              </w:rPr>
              <w:t>Credentialing system used for maintaining practitioner data</w:t>
            </w:r>
          </w:p>
        </w:tc>
      </w:tr>
      <w:tr w:rsidR="00D1716E" w:rsidRPr="003313FD" w:rsidTr="00516737">
        <w:tc>
          <w:tcPr>
            <w:tcW w:w="3330" w:type="dxa"/>
            <w:shd w:val="clear" w:color="auto" w:fill="E0E0E0"/>
          </w:tcPr>
          <w:p w:rsidR="00D1716E" w:rsidRPr="003313FD" w:rsidRDefault="00D1716E">
            <w:pPr>
              <w:pStyle w:val="TableText"/>
              <w:rPr>
                <w:rFonts w:cs="Arial"/>
                <w:szCs w:val="20"/>
              </w:rPr>
            </w:pPr>
            <w:r w:rsidRPr="003313FD">
              <w:rPr>
                <w:rFonts w:cs="Arial"/>
                <w:szCs w:val="20"/>
              </w:rPr>
              <w:t>Information systems (services)</w:t>
            </w:r>
          </w:p>
        </w:tc>
        <w:tc>
          <w:tcPr>
            <w:tcW w:w="6390" w:type="dxa"/>
            <w:shd w:val="clear" w:color="auto" w:fill="E0E0E0"/>
          </w:tcPr>
          <w:p w:rsidR="00D1716E" w:rsidRPr="003313FD" w:rsidRDefault="00D1716E" w:rsidP="0035359D">
            <w:pPr>
              <w:pStyle w:val="TableBullet"/>
              <w:rPr>
                <w:rFonts w:cs="Arial"/>
                <w:szCs w:val="20"/>
              </w:rPr>
            </w:pPr>
            <w:r w:rsidRPr="003313FD">
              <w:rPr>
                <w:rFonts w:cs="Arial"/>
                <w:szCs w:val="20"/>
              </w:rPr>
              <w:t>All systems and databases supporting reporting</w:t>
            </w:r>
          </w:p>
        </w:tc>
      </w:tr>
      <w:tr w:rsidR="00641683" w:rsidRPr="003313FD" w:rsidTr="00516737">
        <w:tc>
          <w:tcPr>
            <w:tcW w:w="3330" w:type="dxa"/>
            <w:shd w:val="clear" w:color="auto" w:fill="auto"/>
          </w:tcPr>
          <w:p w:rsidR="00641683" w:rsidRPr="003313FD" w:rsidRDefault="00641683">
            <w:pPr>
              <w:pStyle w:val="TableText"/>
              <w:rPr>
                <w:rFonts w:cs="Arial"/>
                <w:szCs w:val="20"/>
              </w:rPr>
            </w:pPr>
            <w:r w:rsidRPr="003313FD">
              <w:rPr>
                <w:rFonts w:cs="Arial"/>
                <w:szCs w:val="20"/>
              </w:rPr>
              <w:t>Finance personn</w:t>
            </w:r>
            <w:r w:rsidR="006414FE" w:rsidRPr="003313FD">
              <w:rPr>
                <w:rFonts w:cs="Arial"/>
                <w:szCs w:val="20"/>
              </w:rPr>
              <w:t>el</w:t>
            </w:r>
          </w:p>
        </w:tc>
        <w:tc>
          <w:tcPr>
            <w:tcW w:w="6390" w:type="dxa"/>
            <w:shd w:val="clear" w:color="auto" w:fill="auto"/>
          </w:tcPr>
          <w:p w:rsidR="00641683" w:rsidRPr="003313FD" w:rsidRDefault="008D2B1F">
            <w:pPr>
              <w:pStyle w:val="TableBullet"/>
              <w:rPr>
                <w:rFonts w:cs="Arial"/>
                <w:szCs w:val="20"/>
              </w:rPr>
            </w:pPr>
            <w:r w:rsidRPr="003313FD">
              <w:rPr>
                <w:rFonts w:cs="Arial"/>
                <w:szCs w:val="20"/>
              </w:rPr>
              <w:t>Use of financial records for r</w:t>
            </w:r>
            <w:r w:rsidR="00CB7D6B" w:rsidRPr="003313FD">
              <w:rPr>
                <w:rFonts w:cs="Arial"/>
                <w:szCs w:val="20"/>
              </w:rPr>
              <w:t>elative resource u</w:t>
            </w:r>
            <w:r w:rsidR="00571720" w:rsidRPr="003313FD">
              <w:rPr>
                <w:rFonts w:cs="Arial"/>
                <w:szCs w:val="20"/>
              </w:rPr>
              <w:t>se</w:t>
            </w:r>
            <w:r w:rsidRPr="003313FD">
              <w:rPr>
                <w:rFonts w:cs="Arial"/>
                <w:szCs w:val="20"/>
              </w:rPr>
              <w:t xml:space="preserve"> measures</w:t>
            </w:r>
          </w:p>
        </w:tc>
      </w:tr>
    </w:tbl>
    <w:p w:rsidR="008A4E6E" w:rsidRPr="006E757D" w:rsidRDefault="008A4E6E"/>
    <w:p w:rsidR="009E590F" w:rsidRPr="006E757D" w:rsidRDefault="009E590F"/>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D1716E" w:rsidRPr="006E757D" w:rsidTr="009349C6">
        <w:tc>
          <w:tcPr>
            <w:tcW w:w="2095" w:type="dxa"/>
            <w:tcBorders>
              <w:top w:val="nil"/>
              <w:left w:val="nil"/>
              <w:bottom w:val="nil"/>
              <w:right w:val="nil"/>
            </w:tcBorders>
            <w:tcMar>
              <w:left w:w="115" w:type="dxa"/>
              <w:right w:w="115" w:type="dxa"/>
            </w:tcMar>
          </w:tcPr>
          <w:p w:rsidR="00D1716E" w:rsidRPr="006E757D" w:rsidRDefault="00D1716E">
            <w:pPr>
              <w:pStyle w:val="MarginSubhead"/>
              <w:spacing w:before="0"/>
            </w:pPr>
            <w:r w:rsidRPr="006E757D">
              <w:t xml:space="preserve">Interview questions </w:t>
            </w:r>
          </w:p>
        </w:tc>
        <w:tc>
          <w:tcPr>
            <w:tcW w:w="7805" w:type="dxa"/>
            <w:tcBorders>
              <w:top w:val="nil"/>
              <w:left w:val="nil"/>
              <w:bottom w:val="nil"/>
              <w:right w:val="nil"/>
            </w:tcBorders>
            <w:tcMar>
              <w:left w:w="115" w:type="dxa"/>
              <w:right w:w="115" w:type="dxa"/>
            </w:tcMar>
          </w:tcPr>
          <w:p w:rsidR="00D1716E" w:rsidRPr="006E757D" w:rsidRDefault="00D1716E">
            <w:pPr>
              <w:pStyle w:val="Body"/>
              <w:spacing w:before="0"/>
            </w:pPr>
            <w:r w:rsidRPr="006E757D">
              <w:t xml:space="preserve">Interviews are tailored to the </w:t>
            </w:r>
            <w:r w:rsidR="00202822" w:rsidRPr="006E757D">
              <w:t>organization</w:t>
            </w:r>
            <w:r w:rsidR="00660316">
              <w:t>’</w:t>
            </w:r>
            <w:r w:rsidRPr="006E757D">
              <w:t>s data production environment and issues raised by the</w:t>
            </w:r>
            <w:r w:rsidR="007A1EB2" w:rsidRPr="006E757D">
              <w:t xml:space="preserve"> Roadmap</w:t>
            </w:r>
            <w:r w:rsidRPr="006E757D">
              <w:t>.</w:t>
            </w:r>
          </w:p>
          <w:p w:rsidR="00D1716E" w:rsidRPr="006E757D" w:rsidRDefault="00D1716E" w:rsidP="00447954">
            <w:pPr>
              <w:pStyle w:val="Bullet"/>
              <w:rPr>
                <w:i/>
              </w:rPr>
            </w:pPr>
            <w:r w:rsidRPr="006E757D">
              <w:t>What coding methods are used and what degree of specificity is maintained?</w:t>
            </w:r>
          </w:p>
          <w:p w:rsidR="00D1716E" w:rsidRPr="006E757D" w:rsidRDefault="00D1716E" w:rsidP="00447954">
            <w:pPr>
              <w:pStyle w:val="Bullet"/>
              <w:rPr>
                <w:i/>
              </w:rPr>
            </w:pPr>
            <w:r w:rsidRPr="006E757D">
              <w:t xml:space="preserve">Is proprietary coding used? If so, how is it mapped to standard codes? </w:t>
            </w:r>
          </w:p>
          <w:p w:rsidR="00D1716E" w:rsidRPr="006E757D" w:rsidRDefault="00D1716E" w:rsidP="00447954">
            <w:pPr>
              <w:pStyle w:val="Bullet"/>
              <w:rPr>
                <w:i/>
              </w:rPr>
            </w:pPr>
            <w:r w:rsidRPr="006E757D">
              <w:t>On what forms are the clinical data captured and what formats are used for the delivery vehicle?</w:t>
            </w:r>
          </w:p>
          <w:p w:rsidR="00D1716E" w:rsidRPr="006E757D" w:rsidRDefault="00D1716E" w:rsidP="00447954">
            <w:pPr>
              <w:pStyle w:val="Bullet"/>
              <w:rPr>
                <w:i/>
              </w:rPr>
            </w:pPr>
            <w:r w:rsidRPr="006E757D">
              <w:t xml:space="preserve">How are data delivered to the </w:t>
            </w:r>
            <w:r w:rsidR="00202822" w:rsidRPr="006E757D">
              <w:t>organization</w:t>
            </w:r>
            <w:r w:rsidRPr="006E757D">
              <w:t xml:space="preserve"> and what are the proportions by delivery type (electronic, mail, courier, fax)? </w:t>
            </w:r>
          </w:p>
          <w:p w:rsidR="00D1716E" w:rsidRPr="006E757D" w:rsidRDefault="00D1716E" w:rsidP="00447954">
            <w:pPr>
              <w:pStyle w:val="Bullet"/>
              <w:rPr>
                <w:i/>
              </w:rPr>
            </w:pPr>
            <w:r w:rsidRPr="006E757D">
              <w:t xml:space="preserve">How are data manipulated to produce the </w:t>
            </w:r>
            <w:r w:rsidR="0035359D" w:rsidRPr="006E757D">
              <w:t xml:space="preserve">data </w:t>
            </w:r>
            <w:r w:rsidRPr="006E757D">
              <w:t>repository from the entry</w:t>
            </w:r>
            <w:r w:rsidR="0097168D" w:rsidRPr="006E757D">
              <w:t xml:space="preserve"> or </w:t>
            </w:r>
            <w:r w:rsidRPr="006E757D">
              <w:t>transaction files?</w:t>
            </w:r>
          </w:p>
          <w:p w:rsidR="00D1716E" w:rsidRPr="006E757D" w:rsidRDefault="00D1716E" w:rsidP="00447954">
            <w:pPr>
              <w:pStyle w:val="Bullet"/>
              <w:rPr>
                <w:b/>
              </w:rPr>
            </w:pPr>
            <w:r w:rsidRPr="006E757D">
              <w:t xml:space="preserve">What are the </w:t>
            </w:r>
            <w:r w:rsidR="00B33AC3" w:rsidRPr="006E757D">
              <w:t xml:space="preserve">procedures for </w:t>
            </w:r>
            <w:r w:rsidRPr="006E757D">
              <w:t xml:space="preserve">file </w:t>
            </w:r>
            <w:r w:rsidR="00B33AC3" w:rsidRPr="006E757D">
              <w:t>and system back-up,</w:t>
            </w:r>
            <w:r w:rsidRPr="006E757D">
              <w:t xml:space="preserve"> access security, power protection, system upgrade and system modification? </w:t>
            </w:r>
          </w:p>
        </w:tc>
      </w:tr>
      <w:tr w:rsidR="00D1716E" w:rsidRPr="006E757D" w:rsidTr="009349C6">
        <w:tc>
          <w:tcPr>
            <w:tcW w:w="2095" w:type="dxa"/>
            <w:tcBorders>
              <w:top w:val="nil"/>
              <w:left w:val="nil"/>
              <w:bottom w:val="nil"/>
              <w:right w:val="nil"/>
            </w:tcBorders>
            <w:tcMar>
              <w:left w:w="115" w:type="dxa"/>
              <w:right w:w="115" w:type="dxa"/>
            </w:tcMar>
          </w:tcPr>
          <w:p w:rsidR="00D1716E" w:rsidRPr="006E757D" w:rsidRDefault="00D1716E">
            <w:pPr>
              <w:pStyle w:val="MarginSubhead"/>
            </w:pPr>
            <w:r w:rsidRPr="006E757D">
              <w:t>Primary source verification</w:t>
            </w:r>
          </w:p>
        </w:tc>
        <w:tc>
          <w:tcPr>
            <w:tcW w:w="7805" w:type="dxa"/>
            <w:tcBorders>
              <w:top w:val="nil"/>
              <w:left w:val="nil"/>
              <w:bottom w:val="nil"/>
              <w:right w:val="nil"/>
            </w:tcBorders>
            <w:tcMar>
              <w:left w:w="115" w:type="dxa"/>
              <w:right w:w="115" w:type="dxa"/>
            </w:tcMar>
          </w:tcPr>
          <w:p w:rsidR="00D1716E" w:rsidRPr="006E757D" w:rsidRDefault="00D1716E">
            <w:pPr>
              <w:pStyle w:val="Body"/>
            </w:pPr>
            <w:r w:rsidRPr="006E757D">
              <w:t>This task confirms the validity of the source data described in the</w:t>
            </w:r>
            <w:r w:rsidR="007A1EB2" w:rsidRPr="006E757D">
              <w:t xml:space="preserve"> Roadmap</w:t>
            </w:r>
            <w:r w:rsidRPr="006E757D">
              <w:t>. The auditor examines all paper forms and other input media (e.g., claims</w:t>
            </w:r>
            <w:r w:rsidR="003D4B66" w:rsidRPr="006E757D">
              <w:t xml:space="preserve"> or </w:t>
            </w:r>
            <w:r w:rsidRPr="006E757D">
              <w:t>encounters, practitioner credentialing documents</w:t>
            </w:r>
            <w:r w:rsidR="003E68B1" w:rsidRPr="006E757D">
              <w:t xml:space="preserve">, </w:t>
            </w:r>
            <w:r w:rsidRPr="006E757D">
              <w:t xml:space="preserve">EDI protocols) used to </w:t>
            </w:r>
            <w:r w:rsidR="007427AA" w:rsidRPr="006E757D">
              <w:t xml:space="preserve">collect </w:t>
            </w:r>
            <w:r w:rsidR="0035359D" w:rsidRPr="006E757D">
              <w:t>data</w:t>
            </w:r>
            <w:r w:rsidRPr="006E757D">
              <w:t>.</w:t>
            </w:r>
          </w:p>
          <w:p w:rsidR="00D1716E" w:rsidRPr="006E757D" w:rsidRDefault="00D1716E">
            <w:pPr>
              <w:pStyle w:val="Body"/>
            </w:pPr>
            <w:r w:rsidRPr="006E757D">
              <w:t xml:space="preserve">The review verifies that the information from the primary source matches the output information used for reporting. The review addresses content and format and traces the movement of data from the originating source to the </w:t>
            </w:r>
            <w:r w:rsidR="0035359D" w:rsidRPr="006E757D">
              <w:t xml:space="preserve">data </w:t>
            </w:r>
            <w:r w:rsidRPr="006E757D">
              <w:t>repository to assess accuracy and completeness. This process is especially appropriate for electronic transmission of primary source data.</w:t>
            </w:r>
          </w:p>
          <w:p w:rsidR="00DF075E" w:rsidRPr="006E757D" w:rsidRDefault="00D1716E" w:rsidP="003313FD">
            <w:pPr>
              <w:pStyle w:val="Body"/>
            </w:pPr>
            <w:r w:rsidRPr="006E757D">
              <w:t xml:space="preserve">The auditor reviews the processes used to input, transmit and track the data, confirm entry and detect errors. For example, an answer in the </w:t>
            </w:r>
            <w:r w:rsidR="007A1EB2" w:rsidRPr="006E757D">
              <w:t xml:space="preserve">Roadmap </w:t>
            </w:r>
            <w:r w:rsidRPr="006E757D">
              <w:t xml:space="preserve">may state that all practitioner claims contain certain data (e.g., codes and dates) and the practitioner manual may state that the data </w:t>
            </w:r>
            <w:r w:rsidR="003313FD">
              <w:t>are</w:t>
            </w:r>
            <w:r w:rsidRPr="006E757D">
              <w:t xml:space="preserve"> required. The data entry process may provide for it and the data entry system may require it, but a review of actual claim forms may disclose that the data are often not submitted and replacement codes are used when the data are not present.</w:t>
            </w:r>
          </w:p>
        </w:tc>
      </w:tr>
    </w:tbl>
    <w:p w:rsidR="00447954" w:rsidRPr="006E757D" w:rsidRDefault="00447954">
      <w:pPr>
        <w:sectPr w:rsidR="00447954" w:rsidRPr="006E757D" w:rsidSect="00C228DE">
          <w:headerReference w:type="even" r:id="rId49"/>
          <w:pgSz w:w="12240" w:h="15840" w:code="1"/>
          <w:pgMar w:top="1080" w:right="1080" w:bottom="1080" w:left="1440" w:header="720" w:footer="720" w:gutter="0"/>
          <w:paperSrc w:first="7" w:other="7"/>
          <w:cols w:space="720"/>
        </w:sectPr>
      </w:pPr>
    </w:p>
    <w:tbl>
      <w:tblPr>
        <w:tblW w:w="98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4025"/>
        <w:gridCol w:w="3715"/>
      </w:tblGrid>
      <w:tr w:rsidR="009F65CF" w:rsidRPr="006E757D" w:rsidTr="003F0C9C">
        <w:tc>
          <w:tcPr>
            <w:tcW w:w="2095" w:type="dxa"/>
            <w:vMerge w:val="restart"/>
            <w:tcBorders>
              <w:top w:val="nil"/>
              <w:left w:val="nil"/>
              <w:right w:val="nil"/>
            </w:tcBorders>
            <w:tcMar>
              <w:left w:w="115" w:type="dxa"/>
              <w:right w:w="115" w:type="dxa"/>
            </w:tcMar>
          </w:tcPr>
          <w:p w:rsidR="009F65CF" w:rsidRPr="006E757D" w:rsidRDefault="009F65CF" w:rsidP="00447954">
            <w:pPr>
              <w:pStyle w:val="MarginSubhead"/>
              <w:spacing w:before="0"/>
            </w:pPr>
            <w:r w:rsidRPr="006E757D">
              <w:lastRenderedPageBreak/>
              <w:t xml:space="preserve">Forms and data </w:t>
            </w:r>
            <w:r w:rsidRPr="006E757D">
              <w:br/>
              <w:t>to review</w:t>
            </w:r>
          </w:p>
        </w:tc>
        <w:tc>
          <w:tcPr>
            <w:tcW w:w="7740" w:type="dxa"/>
            <w:gridSpan w:val="2"/>
            <w:tcBorders>
              <w:top w:val="nil"/>
              <w:left w:val="nil"/>
              <w:bottom w:val="nil"/>
              <w:right w:val="nil"/>
            </w:tcBorders>
            <w:tcMar>
              <w:left w:w="115" w:type="dxa"/>
              <w:right w:w="115" w:type="dxa"/>
            </w:tcMar>
          </w:tcPr>
          <w:p w:rsidR="009F65CF" w:rsidRPr="006E757D" w:rsidRDefault="009F65CF" w:rsidP="00B53DAD">
            <w:pPr>
              <w:pStyle w:val="Body"/>
              <w:spacing w:before="0"/>
              <w:rPr>
                <w:b/>
              </w:rPr>
            </w:pPr>
            <w:r w:rsidRPr="006E757D">
              <w:t xml:space="preserve">Examples of forms data </w:t>
            </w:r>
            <w:r w:rsidR="00CF61C5" w:rsidRPr="006E757D">
              <w:t xml:space="preserve">(including electronic submissions or EDI) </w:t>
            </w:r>
            <w:r w:rsidRPr="006E757D">
              <w:t xml:space="preserve">that typically contain </w:t>
            </w:r>
            <w:r w:rsidR="0035359D" w:rsidRPr="006E757D">
              <w:t>measure</w:t>
            </w:r>
            <w:r w:rsidRPr="006E757D">
              <w:t xml:space="preserve">-relevant data and should be reviewed </w:t>
            </w:r>
            <w:r w:rsidR="003941F4" w:rsidRPr="006E757D">
              <w:t>are</w:t>
            </w:r>
            <w:r w:rsidR="00B53DAD">
              <w:t>:</w:t>
            </w:r>
          </w:p>
        </w:tc>
      </w:tr>
      <w:tr w:rsidR="009F65CF" w:rsidRPr="006E757D" w:rsidTr="003F0C9C">
        <w:tc>
          <w:tcPr>
            <w:tcW w:w="2095" w:type="dxa"/>
            <w:vMerge/>
            <w:tcBorders>
              <w:left w:val="nil"/>
              <w:bottom w:val="nil"/>
              <w:right w:val="nil"/>
            </w:tcBorders>
            <w:tcMar>
              <w:left w:w="115" w:type="dxa"/>
              <w:right w:w="115" w:type="dxa"/>
            </w:tcMar>
          </w:tcPr>
          <w:p w:rsidR="009F65CF" w:rsidRPr="006E757D" w:rsidRDefault="009F65CF">
            <w:pPr>
              <w:pStyle w:val="MarginSubhead"/>
              <w:spacing w:before="0"/>
            </w:pPr>
          </w:p>
        </w:tc>
        <w:tc>
          <w:tcPr>
            <w:tcW w:w="4025" w:type="dxa"/>
            <w:tcBorders>
              <w:top w:val="nil"/>
              <w:left w:val="nil"/>
              <w:bottom w:val="nil"/>
              <w:right w:val="nil"/>
            </w:tcBorders>
            <w:tcMar>
              <w:left w:w="115" w:type="dxa"/>
              <w:right w:w="115" w:type="dxa"/>
            </w:tcMar>
          </w:tcPr>
          <w:p w:rsidR="009F65CF" w:rsidRPr="006E757D" w:rsidRDefault="009F65CF" w:rsidP="00437F57">
            <w:pPr>
              <w:pStyle w:val="Bullet"/>
            </w:pPr>
            <w:r w:rsidRPr="006E757D">
              <w:t>Practitioner claims and capitated practitioner encounters</w:t>
            </w:r>
            <w:r w:rsidR="00B53DAD">
              <w:t>.</w:t>
            </w:r>
          </w:p>
          <w:p w:rsidR="009F65CF" w:rsidRPr="006E757D" w:rsidRDefault="009F65CF" w:rsidP="00437F57">
            <w:pPr>
              <w:pStyle w:val="Bullet"/>
            </w:pPr>
            <w:r w:rsidRPr="006E757D">
              <w:t>Hospital claims and encounters</w:t>
            </w:r>
            <w:r w:rsidR="00B53DAD">
              <w:t>.</w:t>
            </w:r>
          </w:p>
          <w:p w:rsidR="009F65CF" w:rsidRPr="006E757D" w:rsidRDefault="009F65CF" w:rsidP="00437F57">
            <w:pPr>
              <w:pStyle w:val="Bullet"/>
            </w:pPr>
            <w:r w:rsidRPr="006E757D">
              <w:t>Prescription data</w:t>
            </w:r>
            <w:r w:rsidR="00B53DAD">
              <w:t>.</w:t>
            </w:r>
          </w:p>
          <w:p w:rsidR="009F65CF" w:rsidRPr="006E757D" w:rsidRDefault="009F65CF" w:rsidP="00437F57">
            <w:pPr>
              <w:pStyle w:val="Bullet"/>
            </w:pPr>
            <w:r w:rsidRPr="006E757D">
              <w:t>Lab result forms or files</w:t>
            </w:r>
            <w:r w:rsidR="00B53DAD">
              <w:t>.</w:t>
            </w:r>
          </w:p>
          <w:p w:rsidR="009F65CF" w:rsidRPr="006E757D" w:rsidRDefault="00B53DAD" w:rsidP="00437F57">
            <w:pPr>
              <w:pStyle w:val="Bullet"/>
            </w:pPr>
            <w:r>
              <w:t>Survey forms.</w:t>
            </w:r>
          </w:p>
          <w:p w:rsidR="009F65CF" w:rsidRPr="006E757D" w:rsidRDefault="009F65CF" w:rsidP="00437F57">
            <w:pPr>
              <w:pStyle w:val="Bullet"/>
            </w:pPr>
            <w:r w:rsidRPr="006E757D">
              <w:t>Employer-initiated enrollment data</w:t>
            </w:r>
            <w:r w:rsidR="00B53DAD">
              <w:t>.</w:t>
            </w:r>
          </w:p>
        </w:tc>
        <w:tc>
          <w:tcPr>
            <w:tcW w:w="3715" w:type="dxa"/>
            <w:tcBorders>
              <w:top w:val="nil"/>
              <w:left w:val="nil"/>
              <w:bottom w:val="nil"/>
              <w:right w:val="nil"/>
            </w:tcBorders>
            <w:tcMar>
              <w:left w:w="115" w:type="dxa"/>
              <w:right w:w="115" w:type="dxa"/>
            </w:tcMar>
          </w:tcPr>
          <w:p w:rsidR="009F65CF" w:rsidRPr="006E757D" w:rsidRDefault="009F65CF" w:rsidP="00447954">
            <w:pPr>
              <w:pStyle w:val="ProcessBullet"/>
            </w:pPr>
            <w:r w:rsidRPr="006E757D">
              <w:t>Member-initiated enrollment data</w:t>
            </w:r>
            <w:r w:rsidR="00B53DAD">
              <w:t>.</w:t>
            </w:r>
          </w:p>
          <w:p w:rsidR="009F65CF" w:rsidRPr="006E757D" w:rsidRDefault="009F65CF" w:rsidP="00447954">
            <w:pPr>
              <w:pStyle w:val="ProcessBullet"/>
            </w:pPr>
            <w:r w:rsidRPr="006E757D">
              <w:t>Practitioner demographic forms</w:t>
            </w:r>
            <w:r w:rsidR="00B53DAD">
              <w:t>.</w:t>
            </w:r>
          </w:p>
          <w:p w:rsidR="009F65CF" w:rsidRPr="006E757D" w:rsidRDefault="009F65CF" w:rsidP="00447954">
            <w:pPr>
              <w:pStyle w:val="ProcessBullet"/>
            </w:pPr>
            <w:r w:rsidRPr="006E757D">
              <w:t>Practitioner credentialing forms</w:t>
            </w:r>
            <w:r w:rsidR="00B53DAD">
              <w:t>.</w:t>
            </w:r>
          </w:p>
          <w:p w:rsidR="009F65CF" w:rsidRPr="006E757D" w:rsidRDefault="00B53DAD" w:rsidP="00447954">
            <w:pPr>
              <w:pStyle w:val="ProcessBullet"/>
            </w:pPr>
            <w:r>
              <w:t>Claims logs.</w:t>
            </w:r>
          </w:p>
          <w:p w:rsidR="00B8471A" w:rsidRPr="006E757D" w:rsidRDefault="009F65CF" w:rsidP="00447954">
            <w:pPr>
              <w:pStyle w:val="ProcessBullet"/>
            </w:pPr>
            <w:r w:rsidRPr="006E757D">
              <w:t>Call system reports (volume, time to answer)</w:t>
            </w:r>
            <w:r w:rsidR="00B53DAD">
              <w:t>.</w:t>
            </w:r>
          </w:p>
          <w:p w:rsidR="00046935" w:rsidRPr="006E757D" w:rsidRDefault="00B8471A" w:rsidP="003313FD">
            <w:pPr>
              <w:pStyle w:val="ProcessBullet"/>
            </w:pPr>
            <w:r w:rsidRPr="006E757D">
              <w:t>Supplemental data forms</w:t>
            </w:r>
            <w:r w:rsidR="00B53DAD">
              <w:t>.</w:t>
            </w:r>
          </w:p>
        </w:tc>
      </w:tr>
      <w:tr w:rsidR="00D1716E" w:rsidRPr="006E757D" w:rsidTr="00B51209">
        <w:tc>
          <w:tcPr>
            <w:tcW w:w="2095" w:type="dxa"/>
            <w:tcBorders>
              <w:top w:val="nil"/>
              <w:left w:val="nil"/>
              <w:bottom w:val="nil"/>
              <w:right w:val="nil"/>
            </w:tcBorders>
            <w:tcMar>
              <w:left w:w="115" w:type="dxa"/>
              <w:right w:w="115" w:type="dxa"/>
            </w:tcMar>
          </w:tcPr>
          <w:p w:rsidR="00D1716E" w:rsidRPr="006E757D" w:rsidRDefault="00D1716E" w:rsidP="004B5DC0">
            <w:pPr>
              <w:pStyle w:val="MarginSubhead"/>
            </w:pPr>
            <w:r w:rsidRPr="006E757D">
              <w:t>Process review</w:t>
            </w:r>
          </w:p>
        </w:tc>
        <w:tc>
          <w:tcPr>
            <w:tcW w:w="7740" w:type="dxa"/>
            <w:gridSpan w:val="2"/>
            <w:tcBorders>
              <w:top w:val="nil"/>
              <w:left w:val="nil"/>
              <w:bottom w:val="nil"/>
              <w:right w:val="nil"/>
            </w:tcBorders>
            <w:tcMar>
              <w:left w:w="115" w:type="dxa"/>
              <w:right w:w="115" w:type="dxa"/>
            </w:tcMar>
          </w:tcPr>
          <w:p w:rsidR="00D1716E" w:rsidRPr="006E757D" w:rsidRDefault="00D1716E" w:rsidP="004B5DC0">
            <w:pPr>
              <w:pStyle w:val="Body"/>
            </w:pPr>
            <w:r w:rsidRPr="006E757D">
              <w:t xml:space="preserve">The </w:t>
            </w:r>
            <w:r w:rsidR="00202822" w:rsidRPr="006E757D">
              <w:t>organization</w:t>
            </w:r>
            <w:r w:rsidRPr="006E757D">
              <w:t xml:space="preserve"> should have documentation describing the processes that apply to each IS standard: collecting, storing and reporting data. The auditor reviews the documents and explores </w:t>
            </w:r>
            <w:r w:rsidR="003313FD">
              <w:t>the organization</w:t>
            </w:r>
            <w:r w:rsidR="00660316">
              <w:t>’</w:t>
            </w:r>
            <w:r w:rsidR="003313FD">
              <w:t xml:space="preserve">s </w:t>
            </w:r>
            <w:r w:rsidRPr="006E757D">
              <w:t>methods to ensure that policies and procedures are followed</w:t>
            </w:r>
            <w:r w:rsidR="003E68B1" w:rsidRPr="006E757D">
              <w:t>, focusing</w:t>
            </w:r>
            <w:r w:rsidRPr="006E757D">
              <w:t xml:space="preserve"> on the integrity and completeness of the data required. Documentation describing incentives to perform procedures properly is critical.</w:t>
            </w:r>
          </w:p>
          <w:p w:rsidR="00D1716E" w:rsidRPr="006E757D" w:rsidRDefault="003313FD">
            <w:pPr>
              <w:pStyle w:val="Body"/>
            </w:pPr>
            <w:r>
              <w:t>D</w:t>
            </w:r>
            <w:r w:rsidR="00D1716E" w:rsidRPr="006E757D">
              <w:t>ocumentation processes and forms m</w:t>
            </w:r>
            <w:r>
              <w:t>ight</w:t>
            </w:r>
            <w:r w:rsidR="00D1716E" w:rsidRPr="006E757D">
              <w:t xml:space="preserve"> not change from year to year. For initial audits</w:t>
            </w:r>
            <w:r w:rsidR="00A548C4">
              <w:t>,</w:t>
            </w:r>
            <w:r w:rsidR="00D1716E" w:rsidRPr="006E757D">
              <w:t xml:space="preserve"> or </w:t>
            </w:r>
            <w:r w:rsidR="00A548C4">
              <w:t xml:space="preserve">in </w:t>
            </w:r>
            <w:r w:rsidR="00D1716E" w:rsidRPr="006E757D">
              <w:t xml:space="preserve">years where </w:t>
            </w:r>
            <w:r w:rsidR="00A548C4">
              <w:t xml:space="preserve">there were </w:t>
            </w:r>
            <w:r w:rsidR="00D1716E" w:rsidRPr="006E757D">
              <w:t xml:space="preserve">system or process changes, NCQA requires the auditor to review all applicable documentation. For subsequent audits, the auditor may exercise discretion when systems and processes have not changed. The auditor may observe certain procedures during the onsite visit. Examples of documents that </w:t>
            </w:r>
            <w:r w:rsidR="003E68B1" w:rsidRPr="006E757D">
              <w:t xml:space="preserve">might </w:t>
            </w:r>
            <w:r w:rsidR="00447954" w:rsidRPr="006E757D">
              <w:t>be examined include</w:t>
            </w:r>
            <w:r w:rsidR="00B53DAD">
              <w:t>:</w:t>
            </w:r>
          </w:p>
          <w:p w:rsidR="00AE4356" w:rsidRPr="006E757D" w:rsidRDefault="0062432C" w:rsidP="006A3277">
            <w:pPr>
              <w:pStyle w:val="Bullet"/>
            </w:pPr>
            <w:r w:rsidRPr="006E757D">
              <w:t>I</w:t>
            </w:r>
            <w:r w:rsidR="00D1716E" w:rsidRPr="006E757D">
              <w:t xml:space="preserve">nstructions and forms for submitting member-level information regarding </w:t>
            </w:r>
            <w:r w:rsidR="003E68B1" w:rsidRPr="006E757D">
              <w:t xml:space="preserve">enrollment </w:t>
            </w:r>
            <w:r w:rsidR="00D1716E" w:rsidRPr="006E757D">
              <w:t>additions, deletions and c</w:t>
            </w:r>
            <w:r w:rsidR="002D342C" w:rsidRPr="006E757D">
              <w:t>hanges</w:t>
            </w:r>
            <w:r w:rsidR="00B53DAD">
              <w:t>.</w:t>
            </w:r>
          </w:p>
          <w:p w:rsidR="00D1716E" w:rsidRPr="006E757D" w:rsidRDefault="00D1716E" w:rsidP="00AE4356">
            <w:pPr>
              <w:pStyle w:val="Dash"/>
            </w:pPr>
            <w:r w:rsidRPr="006E757D">
              <w:t>Documents should specify data required to open and update records</w:t>
            </w:r>
            <w:r w:rsidR="00A548C4">
              <w:t>,</w:t>
            </w:r>
            <w:r w:rsidRPr="006E757D">
              <w:t xml:space="preserve"> and</w:t>
            </w:r>
            <w:r w:rsidR="003E68B1" w:rsidRPr="006E757D">
              <w:t xml:space="preserve"> </w:t>
            </w:r>
            <w:r w:rsidRPr="006E757D">
              <w:t>problems</w:t>
            </w:r>
            <w:r w:rsidR="003E68B1" w:rsidRPr="006E757D">
              <w:t xml:space="preserve"> resulting from </w:t>
            </w:r>
            <w:r w:rsidR="002D342C" w:rsidRPr="006E757D">
              <w:t>noncompliance</w:t>
            </w:r>
            <w:r w:rsidR="00B53DAD">
              <w:t>.</w:t>
            </w:r>
          </w:p>
          <w:p w:rsidR="00AE4356" w:rsidRPr="006E757D" w:rsidRDefault="0062432C" w:rsidP="006A3277">
            <w:pPr>
              <w:pStyle w:val="Bullet"/>
            </w:pPr>
            <w:r w:rsidRPr="006E757D">
              <w:t>I</w:t>
            </w:r>
            <w:r w:rsidR="00D1716E" w:rsidRPr="006E757D">
              <w:t>nstructions and procedures for collecting and entering credentialing and</w:t>
            </w:r>
            <w:r w:rsidR="002D342C" w:rsidRPr="006E757D">
              <w:t xml:space="preserve"> other practitioner-level data</w:t>
            </w:r>
            <w:r w:rsidR="00B53DAD">
              <w:t>.</w:t>
            </w:r>
          </w:p>
          <w:p w:rsidR="00D1716E" w:rsidRPr="006E757D" w:rsidRDefault="00D1716E" w:rsidP="006A3277">
            <w:pPr>
              <w:pStyle w:val="Bullet"/>
            </w:pPr>
            <w:r w:rsidRPr="006E757D">
              <w:t>Instructions and procedures should specify the data required to properly open and update records</w:t>
            </w:r>
            <w:r w:rsidR="00A548C4">
              <w:t>,</w:t>
            </w:r>
            <w:r w:rsidRPr="006E757D">
              <w:t xml:space="preserve"> and problems </w:t>
            </w:r>
            <w:r w:rsidR="003E68B1" w:rsidRPr="006E757D">
              <w:t xml:space="preserve">resulting from </w:t>
            </w:r>
            <w:r w:rsidR="002D342C" w:rsidRPr="006E757D">
              <w:t>noncompliance</w:t>
            </w:r>
            <w:r w:rsidR="00B53DAD">
              <w:t>.</w:t>
            </w:r>
          </w:p>
          <w:p w:rsidR="00AE4356" w:rsidRPr="006E757D" w:rsidRDefault="0062432C" w:rsidP="006A3277">
            <w:pPr>
              <w:pStyle w:val="Bullet"/>
            </w:pPr>
            <w:r w:rsidRPr="006E757D">
              <w:t>T</w:t>
            </w:r>
            <w:r w:rsidR="00D1716E" w:rsidRPr="006E757D">
              <w:t>raining and procedure manuals for claims and encounter, membership and</w:t>
            </w:r>
            <w:r w:rsidR="002D342C" w:rsidRPr="006E757D">
              <w:t xml:space="preserve"> practitioner data</w:t>
            </w:r>
            <w:r w:rsidR="0073298F" w:rsidRPr="006E757D">
              <w:t xml:space="preserve"> </w:t>
            </w:r>
            <w:r w:rsidR="002D342C" w:rsidRPr="006E757D">
              <w:t>entry staff</w:t>
            </w:r>
            <w:r w:rsidR="00B53DAD">
              <w:t>.</w:t>
            </w:r>
          </w:p>
          <w:p w:rsidR="00D1716E" w:rsidRPr="006E757D" w:rsidRDefault="00D1716E" w:rsidP="00AE4356">
            <w:pPr>
              <w:pStyle w:val="Dash"/>
            </w:pPr>
            <w:r w:rsidRPr="006E757D">
              <w:t>Documentation should describe objectives, methods and processes</w:t>
            </w:r>
            <w:r w:rsidR="00A548C4">
              <w:t>;</w:t>
            </w:r>
            <w:r w:rsidRPr="006E757D">
              <w:t xml:space="preserve"> how performance is monitored and measured</w:t>
            </w:r>
            <w:r w:rsidR="00A548C4">
              <w:t>;</w:t>
            </w:r>
            <w:r w:rsidRPr="006E757D">
              <w:t xml:space="preserve"> how proper execution is rewarded</w:t>
            </w:r>
            <w:r w:rsidR="00B53DAD">
              <w:t>.</w:t>
            </w:r>
          </w:p>
          <w:p w:rsidR="00D1716E" w:rsidRPr="006E757D" w:rsidRDefault="0062432C" w:rsidP="006A3277">
            <w:pPr>
              <w:pStyle w:val="Bullet"/>
            </w:pPr>
            <w:r w:rsidRPr="006E757D">
              <w:t>M</w:t>
            </w:r>
            <w:r w:rsidR="00D1716E" w:rsidRPr="006E757D">
              <w:t>anuals for application system development methods, database development and design a</w:t>
            </w:r>
            <w:r w:rsidR="002D342C" w:rsidRPr="006E757D">
              <w:t>nd decision support system use</w:t>
            </w:r>
            <w:r w:rsidR="00B53DAD">
              <w:t>.</w:t>
            </w:r>
          </w:p>
          <w:p w:rsidR="00D1716E" w:rsidRPr="003F0C9C" w:rsidRDefault="0062432C" w:rsidP="006A3277">
            <w:pPr>
              <w:pStyle w:val="Bullet"/>
            </w:pPr>
            <w:r w:rsidRPr="006E757D">
              <w:t>P</w:t>
            </w:r>
            <w:r w:rsidR="00D1716E" w:rsidRPr="006E757D">
              <w:t>rocedures for monitoring hardware function, capa</w:t>
            </w:r>
            <w:r w:rsidR="002D342C" w:rsidRPr="006E757D">
              <w:t>city, physical state and access</w:t>
            </w:r>
            <w:r w:rsidR="00B53DAD">
              <w:t>.</w:t>
            </w:r>
          </w:p>
          <w:p w:rsidR="00D1716E" w:rsidRPr="006E757D" w:rsidRDefault="0062432C" w:rsidP="006A3277">
            <w:pPr>
              <w:pStyle w:val="Bullet"/>
            </w:pPr>
            <w:r w:rsidRPr="006E757D">
              <w:t>L</w:t>
            </w:r>
            <w:r w:rsidR="00D1716E" w:rsidRPr="006E757D">
              <w:t>og forms for all hardware activities, including back</w:t>
            </w:r>
            <w:r w:rsidR="003E68B1" w:rsidRPr="006E757D">
              <w:t>-</w:t>
            </w:r>
            <w:r w:rsidR="00D1716E" w:rsidRPr="006E757D">
              <w:t>up, failure response and recovery and system optimization techniques that clearly describe the data required and</w:t>
            </w:r>
            <w:r w:rsidR="002D342C" w:rsidRPr="006E757D">
              <w:t xml:space="preserve"> do not allow routine execution</w:t>
            </w:r>
            <w:r w:rsidR="00B53DAD">
              <w:t>.</w:t>
            </w:r>
          </w:p>
        </w:tc>
      </w:tr>
    </w:tbl>
    <w:p w:rsidR="00AE4356" w:rsidRPr="006E757D" w:rsidRDefault="00AE4356">
      <w:pPr>
        <w:sectPr w:rsidR="00AE4356" w:rsidRPr="006E757D" w:rsidSect="00C228DE">
          <w:headerReference w:type="default" r:id="rId50"/>
          <w:pgSz w:w="12240" w:h="15840" w:code="1"/>
          <w:pgMar w:top="1080" w:right="1080" w:bottom="1080" w:left="1440" w:header="720" w:footer="720" w:gutter="0"/>
          <w:paperSrc w:first="7" w:other="7"/>
          <w:cols w:space="720"/>
        </w:sectPr>
      </w:pPr>
    </w:p>
    <w:tbl>
      <w:tblPr>
        <w:tblW w:w="98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25"/>
        <w:gridCol w:w="8010"/>
      </w:tblGrid>
      <w:tr w:rsidR="00D1716E" w:rsidRPr="006E757D" w:rsidTr="00AE4356">
        <w:tc>
          <w:tcPr>
            <w:tcW w:w="1825" w:type="dxa"/>
            <w:tcBorders>
              <w:top w:val="nil"/>
              <w:left w:val="nil"/>
              <w:bottom w:val="nil"/>
              <w:right w:val="nil"/>
            </w:tcBorders>
            <w:tcMar>
              <w:left w:w="115" w:type="dxa"/>
              <w:right w:w="115" w:type="dxa"/>
            </w:tcMar>
          </w:tcPr>
          <w:p w:rsidR="00D1716E" w:rsidRPr="006E757D" w:rsidRDefault="00D1716E" w:rsidP="00AE4356">
            <w:pPr>
              <w:pStyle w:val="MarginSubhead"/>
              <w:spacing w:before="0"/>
            </w:pPr>
            <w:r w:rsidRPr="006E757D">
              <w:lastRenderedPageBreak/>
              <w:t>System or program review</w:t>
            </w:r>
          </w:p>
        </w:tc>
        <w:tc>
          <w:tcPr>
            <w:tcW w:w="8010" w:type="dxa"/>
            <w:tcBorders>
              <w:top w:val="nil"/>
              <w:left w:val="nil"/>
              <w:bottom w:val="nil"/>
              <w:right w:val="nil"/>
            </w:tcBorders>
            <w:tcMar>
              <w:left w:w="115" w:type="dxa"/>
              <w:right w:w="115" w:type="dxa"/>
            </w:tcMar>
          </w:tcPr>
          <w:p w:rsidR="00DF075E" w:rsidRPr="006E757D" w:rsidRDefault="00D1716E" w:rsidP="00AE4356">
            <w:pPr>
              <w:pStyle w:val="Body"/>
              <w:spacing w:before="0"/>
            </w:pPr>
            <w:r w:rsidRPr="006E757D">
              <w:t xml:space="preserve">To ascertain the accuracy of data in a file, the auditor must understand the systems and programs that govern the entry, transfer, editing and manipulation of the data. The </w:t>
            </w:r>
            <w:r w:rsidR="00202822" w:rsidRPr="006E757D">
              <w:t>organization</w:t>
            </w:r>
            <w:r w:rsidRPr="006E757D">
              <w:t xml:space="preserve"> supplies documents describing how particular computer systems or computerized files operate. Computer processes can be described </w:t>
            </w:r>
            <w:r w:rsidR="00AE4356" w:rsidRPr="006E757D">
              <w:t xml:space="preserve">by </w:t>
            </w:r>
            <w:r w:rsidRPr="006E757D">
              <w:t xml:space="preserve">text, code and flow charts. </w:t>
            </w:r>
            <w:r w:rsidR="00536FE4" w:rsidRPr="006E757D">
              <w:t xml:space="preserve">Electronic </w:t>
            </w:r>
            <w:r w:rsidRPr="006E757D">
              <w:t xml:space="preserve">files can be described by text, file layouts and data dictionaries. </w:t>
            </w:r>
          </w:p>
          <w:p w:rsidR="00AE4356" w:rsidRPr="006E757D" w:rsidRDefault="00562394" w:rsidP="00AE4356">
            <w:pPr>
              <w:pStyle w:val="Body"/>
            </w:pPr>
            <w:r>
              <w:t xml:space="preserve">Because </w:t>
            </w:r>
            <w:r w:rsidRPr="006E757D">
              <w:t>NCQA requires auditor</w:t>
            </w:r>
            <w:r>
              <w:t>s</w:t>
            </w:r>
            <w:r w:rsidRPr="006E757D">
              <w:t xml:space="preserve"> to review relevant systems and processes during an onsite visit</w:t>
            </w:r>
            <w:r>
              <w:t>, t</w:t>
            </w:r>
            <w:r w:rsidR="00AE4356" w:rsidRPr="006E757D">
              <w:t>he auditor must review and understand data and systems-oriented documents</w:t>
            </w:r>
            <w:r>
              <w:t>, for example:</w:t>
            </w:r>
          </w:p>
          <w:p w:rsidR="00AE4356" w:rsidRPr="006E757D" w:rsidRDefault="00AE4356" w:rsidP="006A3277">
            <w:pPr>
              <w:pStyle w:val="Bullet"/>
            </w:pPr>
            <w:r w:rsidRPr="006E757D">
              <w:t>Record file formats and descriptions for entry, intermediate and repository files that contain the information necessary for the auditor to perform a file scan and understand the results of the scan</w:t>
            </w:r>
            <w:r w:rsidR="00562394">
              <w:t>.</w:t>
            </w:r>
          </w:p>
          <w:p w:rsidR="00AE4356" w:rsidRPr="006E757D" w:rsidRDefault="00AE4356" w:rsidP="006A3277">
            <w:pPr>
              <w:pStyle w:val="Bullet"/>
            </w:pPr>
            <w:r w:rsidRPr="006E757D">
              <w:t>Documentation for data receipt, entry, transfer and manipulation, showing how programs interact with the operations</w:t>
            </w:r>
            <w:r w:rsidR="007E7C6C" w:rsidRPr="006E757D">
              <w:t>,</w:t>
            </w:r>
            <w:r w:rsidRPr="006E757D">
              <w:t xml:space="preserve"> if documentation is explicit about</w:t>
            </w:r>
            <w:r w:rsidR="00562394">
              <w:t xml:space="preserve"> user options and program paths.</w:t>
            </w:r>
          </w:p>
          <w:p w:rsidR="00AE4356" w:rsidRPr="006E757D" w:rsidRDefault="00AE4356" w:rsidP="006A3277">
            <w:pPr>
              <w:pStyle w:val="Bullet"/>
            </w:pPr>
            <w:r w:rsidRPr="006E757D">
              <w:t>Flow charts describing data flow and the systems involved, including review of automated call systems</w:t>
            </w:r>
            <w:r w:rsidR="00562394">
              <w:t>.</w:t>
            </w:r>
          </w:p>
          <w:p w:rsidR="00AE4356" w:rsidRPr="003F0C9C" w:rsidRDefault="00AE4356" w:rsidP="006A3277">
            <w:pPr>
              <w:pStyle w:val="Bullet"/>
            </w:pPr>
            <w:r w:rsidRPr="006E757D">
              <w:t xml:space="preserve">Descriptive documents of third-party code; date of receipt, </w:t>
            </w:r>
            <w:r w:rsidR="00864A90">
              <w:t xml:space="preserve">including </w:t>
            </w:r>
            <w:r w:rsidR="007E7C6C" w:rsidRPr="006E757D">
              <w:t>p</w:t>
            </w:r>
            <w:r w:rsidRPr="006E757D">
              <w:t xml:space="preserve">rocedure, </w:t>
            </w:r>
            <w:r w:rsidR="007E7C6C" w:rsidRPr="006E757D">
              <w:t>d</w:t>
            </w:r>
            <w:r w:rsidRPr="006E757D">
              <w:t>iagnos</w:t>
            </w:r>
            <w:r w:rsidR="007E7C6C" w:rsidRPr="006E757D">
              <w:t>is</w:t>
            </w:r>
            <w:r w:rsidRPr="006E757D">
              <w:t xml:space="preserve">, </w:t>
            </w:r>
            <w:r w:rsidR="007E7C6C" w:rsidRPr="006E757D">
              <w:t>r</w:t>
            </w:r>
            <w:r w:rsidRPr="006E757D">
              <w:t>evenue and other codes</w:t>
            </w:r>
            <w:r w:rsidR="00562394">
              <w:t>.</w:t>
            </w:r>
          </w:p>
          <w:p w:rsidR="00AE4356" w:rsidRPr="003F0C9C" w:rsidRDefault="00AE4356" w:rsidP="006A3277">
            <w:pPr>
              <w:pStyle w:val="Bullet"/>
            </w:pPr>
            <w:r w:rsidRPr="006E757D">
              <w:t>Control system documentation, including logs, flow charts and codes for back-up, recovery, archiving and other control functions</w:t>
            </w:r>
            <w:r w:rsidR="00562394">
              <w:t>.</w:t>
            </w:r>
          </w:p>
          <w:p w:rsidR="00AE4356" w:rsidRPr="006E757D" w:rsidRDefault="00AE4356" w:rsidP="006A3277">
            <w:pPr>
              <w:pStyle w:val="Bullet"/>
            </w:pPr>
            <w:r w:rsidRPr="006E757D">
              <w:t>Documentation of system upgrades and changes, including:</w:t>
            </w:r>
          </w:p>
          <w:p w:rsidR="00AE4356" w:rsidRPr="006E757D" w:rsidRDefault="00AE4356" w:rsidP="00AE4356">
            <w:pPr>
              <w:pStyle w:val="Dash"/>
            </w:pPr>
            <w:r w:rsidRPr="006E757D">
              <w:t>Project plans</w:t>
            </w:r>
            <w:r w:rsidR="00B53DAD">
              <w:t>.</w:t>
            </w:r>
          </w:p>
          <w:p w:rsidR="00AE4356" w:rsidRPr="006E757D" w:rsidRDefault="00AE4356" w:rsidP="00AE4356">
            <w:pPr>
              <w:pStyle w:val="Dash"/>
            </w:pPr>
            <w:r w:rsidRPr="006E757D">
              <w:t>Project milestones</w:t>
            </w:r>
            <w:r w:rsidR="00B53DAD">
              <w:t>.</w:t>
            </w:r>
            <w:r w:rsidRPr="006E757D">
              <w:t xml:space="preserve"> </w:t>
            </w:r>
          </w:p>
          <w:p w:rsidR="00AE4356" w:rsidRPr="006E757D" w:rsidRDefault="00AE4356" w:rsidP="00AE4356">
            <w:pPr>
              <w:pStyle w:val="Dash"/>
            </w:pPr>
            <w:r w:rsidRPr="006E757D">
              <w:t>Impact studies</w:t>
            </w:r>
            <w:r w:rsidR="00B53DAD">
              <w:t>.</w:t>
            </w:r>
          </w:p>
          <w:p w:rsidR="00AE4356" w:rsidRPr="006E757D" w:rsidRDefault="00AE4356" w:rsidP="00AE4356">
            <w:pPr>
              <w:pStyle w:val="Dash"/>
            </w:pPr>
            <w:r w:rsidRPr="006E757D">
              <w:t>Test plans</w:t>
            </w:r>
            <w:r w:rsidR="00B53DAD">
              <w:t>.</w:t>
            </w:r>
          </w:p>
          <w:p w:rsidR="00AE4356" w:rsidRPr="006E757D" w:rsidRDefault="00AE4356" w:rsidP="00AE4356">
            <w:pPr>
              <w:pStyle w:val="Dash"/>
            </w:pPr>
            <w:r w:rsidRPr="006E757D">
              <w:t>Test activity</w:t>
            </w:r>
            <w:r w:rsidR="00B53DAD">
              <w:t>.</w:t>
            </w:r>
          </w:p>
          <w:p w:rsidR="00AE4356" w:rsidRPr="006E757D" w:rsidRDefault="00AE4356" w:rsidP="00AE4356">
            <w:pPr>
              <w:pStyle w:val="Dash"/>
            </w:pPr>
            <w:r w:rsidRPr="006E757D">
              <w:t>Results</w:t>
            </w:r>
            <w:r w:rsidR="00B53DAD">
              <w:t>.</w:t>
            </w:r>
          </w:p>
          <w:p w:rsidR="00AE4356" w:rsidRPr="006E757D" w:rsidRDefault="00AE4356" w:rsidP="00AE4356">
            <w:pPr>
              <w:pStyle w:val="Dash"/>
            </w:pPr>
            <w:r w:rsidRPr="006E757D">
              <w:t>Sign-off</w:t>
            </w:r>
            <w:r w:rsidR="00562394">
              <w:t>.</w:t>
            </w:r>
          </w:p>
          <w:p w:rsidR="00AE4356" w:rsidRPr="006E757D" w:rsidRDefault="00AE4356" w:rsidP="00AE4356">
            <w:pPr>
              <w:pStyle w:val="Body"/>
            </w:pPr>
            <w:r w:rsidRPr="006E757D">
              <w:t>The auditor records all organization documentation received and examined and includes the record with the Final Audit Report. It may be necessary in the reporting process to refer to documents examined by the auditors and to pinpoint evidence sources by document and section or subsection.</w:t>
            </w:r>
          </w:p>
        </w:tc>
      </w:tr>
      <w:tr w:rsidR="00D1716E" w:rsidRPr="006E757D" w:rsidTr="00AE4356">
        <w:tc>
          <w:tcPr>
            <w:tcW w:w="1825" w:type="dxa"/>
            <w:tcBorders>
              <w:top w:val="nil"/>
              <w:left w:val="nil"/>
              <w:bottom w:val="nil"/>
              <w:right w:val="nil"/>
            </w:tcBorders>
            <w:tcMar>
              <w:left w:w="115" w:type="dxa"/>
              <w:right w:w="115" w:type="dxa"/>
            </w:tcMar>
          </w:tcPr>
          <w:p w:rsidR="00D1716E" w:rsidRPr="006E757D" w:rsidRDefault="00D1716E">
            <w:pPr>
              <w:pStyle w:val="MarginSubhead"/>
            </w:pPr>
            <w:r w:rsidRPr="006E757D">
              <w:t>Observation</w:t>
            </w:r>
          </w:p>
        </w:tc>
        <w:tc>
          <w:tcPr>
            <w:tcW w:w="8010" w:type="dxa"/>
            <w:tcBorders>
              <w:top w:val="nil"/>
              <w:left w:val="nil"/>
              <w:bottom w:val="nil"/>
              <w:right w:val="nil"/>
            </w:tcBorders>
            <w:tcMar>
              <w:left w:w="115" w:type="dxa"/>
              <w:right w:w="115" w:type="dxa"/>
            </w:tcMar>
          </w:tcPr>
          <w:p w:rsidR="00D1716E" w:rsidRPr="006E757D" w:rsidRDefault="00D1716E">
            <w:pPr>
              <w:pStyle w:val="Body"/>
            </w:pPr>
            <w:r w:rsidRPr="006E757D">
              <w:t xml:space="preserve">The auditor observes a process to ascertain the reliability and accuracy of reported information and </w:t>
            </w:r>
            <w:r w:rsidR="00A26CEB" w:rsidRPr="006E757D">
              <w:t xml:space="preserve">whether </w:t>
            </w:r>
            <w:r w:rsidRPr="006E757D">
              <w:t>procedures are followed. The observation may assess data entry or other data manipulation</w:t>
            </w:r>
            <w:r w:rsidR="007E7C6C" w:rsidRPr="006E757D">
              <w:t>:</w:t>
            </w:r>
          </w:p>
          <w:p w:rsidR="00D1716E" w:rsidRPr="006E757D" w:rsidRDefault="0026607E" w:rsidP="006A3277">
            <w:pPr>
              <w:pStyle w:val="Bullet"/>
            </w:pPr>
            <w:r w:rsidRPr="006E757D">
              <w:t>D</w:t>
            </w:r>
            <w:r w:rsidR="00D1716E" w:rsidRPr="006E757D">
              <w:t>ata entry of membership updates, claims</w:t>
            </w:r>
            <w:r w:rsidR="003D4B66" w:rsidRPr="006E757D">
              <w:t xml:space="preserve"> or </w:t>
            </w:r>
            <w:r w:rsidR="00D1716E" w:rsidRPr="006E757D">
              <w:t xml:space="preserve">encounters and practitioner data. The auditor should confirm that all </w:t>
            </w:r>
            <w:r w:rsidR="005B7A8B" w:rsidRPr="006E757D">
              <w:t xml:space="preserve">mandatory </w:t>
            </w:r>
            <w:r w:rsidR="00D1716E" w:rsidRPr="006E757D">
              <w:t xml:space="preserve">fields are entered with complete coding. </w:t>
            </w:r>
          </w:p>
          <w:p w:rsidR="00D1716E" w:rsidRPr="006E757D" w:rsidRDefault="0026607E" w:rsidP="006A3277">
            <w:pPr>
              <w:pStyle w:val="Bullet"/>
            </w:pPr>
            <w:r w:rsidRPr="006E757D">
              <w:t>C</w:t>
            </w:r>
            <w:r w:rsidR="00D1716E" w:rsidRPr="006E757D">
              <w:t xml:space="preserve">laims operations that may have overrides and exceptions and require explanations if they occur. </w:t>
            </w:r>
          </w:p>
          <w:p w:rsidR="00D1716E" w:rsidRPr="006E757D" w:rsidRDefault="0026607E" w:rsidP="006A3277">
            <w:pPr>
              <w:pStyle w:val="Bullet"/>
            </w:pPr>
            <w:r w:rsidRPr="006E757D">
              <w:t>C</w:t>
            </w:r>
            <w:r w:rsidR="00D1716E" w:rsidRPr="006E757D">
              <w:t>omputer operations and system security plans to confirm that prescribed procedures are followed.</w:t>
            </w:r>
          </w:p>
          <w:p w:rsidR="00D1716E" w:rsidRPr="006E757D" w:rsidRDefault="00D1716E" w:rsidP="00C72E85">
            <w:pPr>
              <w:pStyle w:val="Body"/>
              <w:numPr>
                <w:ilvl w:val="12"/>
                <w:numId w:val="0"/>
              </w:numPr>
            </w:pPr>
            <w:r w:rsidRPr="006E757D">
              <w:t xml:space="preserve">During the observation process, the auditor follows a systems operator through receipt and entry or processing of several types of source data and documents how well the operator adheres to procedural guidelines. </w:t>
            </w:r>
          </w:p>
        </w:tc>
      </w:tr>
    </w:tbl>
    <w:p w:rsidR="00773343" w:rsidRPr="006E757D" w:rsidRDefault="00773343">
      <w:pPr>
        <w:sectPr w:rsidR="00773343" w:rsidRPr="006E757D" w:rsidSect="00C228DE">
          <w:headerReference w:type="even" r:id="rId51"/>
          <w:pgSz w:w="12240" w:h="15840" w:code="1"/>
          <w:pgMar w:top="1080" w:right="1080" w:bottom="1080" w:left="1440" w:header="720" w:footer="720" w:gutter="0"/>
          <w:paperSrc w:first="7" w:other="7"/>
          <w:cols w:space="720"/>
        </w:sectPr>
      </w:pPr>
    </w:p>
    <w:tbl>
      <w:tblPr>
        <w:tblW w:w="98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8035"/>
      </w:tblGrid>
      <w:tr w:rsidR="00D1716E" w:rsidRPr="006E757D" w:rsidTr="000F545C">
        <w:tc>
          <w:tcPr>
            <w:tcW w:w="1800" w:type="dxa"/>
            <w:tcBorders>
              <w:top w:val="nil"/>
              <w:left w:val="nil"/>
              <w:bottom w:val="nil"/>
              <w:right w:val="nil"/>
            </w:tcBorders>
            <w:tcMar>
              <w:left w:w="115" w:type="dxa"/>
              <w:right w:w="115" w:type="dxa"/>
            </w:tcMar>
          </w:tcPr>
          <w:p w:rsidR="00D1716E" w:rsidRPr="006E757D" w:rsidRDefault="00D1716E">
            <w:pPr>
              <w:pStyle w:val="MarginSubhead"/>
              <w:numPr>
                <w:ilvl w:val="12"/>
                <w:numId w:val="0"/>
              </w:numPr>
              <w:spacing w:before="0"/>
              <w:ind w:left="187"/>
            </w:pPr>
          </w:p>
        </w:tc>
        <w:tc>
          <w:tcPr>
            <w:tcW w:w="8035" w:type="dxa"/>
            <w:tcBorders>
              <w:top w:val="nil"/>
              <w:left w:val="nil"/>
              <w:bottom w:val="nil"/>
              <w:right w:val="nil"/>
            </w:tcBorders>
            <w:tcMar>
              <w:left w:w="115" w:type="dxa"/>
              <w:right w:w="115" w:type="dxa"/>
            </w:tcMar>
          </w:tcPr>
          <w:p w:rsidR="00E172D8" w:rsidRPr="006E757D" w:rsidRDefault="00E172D8" w:rsidP="00E172D8">
            <w:pPr>
              <w:pStyle w:val="Body"/>
              <w:spacing w:before="0"/>
            </w:pPr>
            <w:r w:rsidRPr="006E757D">
              <w:t>The auditor has a prepared observation guide for each process and interviews the operator about the routine. The auditor may also use the observation guide to verify that all procedures ensure data integrity and may ask a claims processor</w:t>
            </w:r>
            <w:r w:rsidR="008C728B">
              <w:t xml:space="preserve"> to perform the following tasks:</w:t>
            </w:r>
          </w:p>
          <w:p w:rsidR="00C72E85" w:rsidRPr="006E757D" w:rsidRDefault="00C72E85" w:rsidP="006A3277">
            <w:pPr>
              <w:pStyle w:val="Bullet"/>
            </w:pPr>
            <w:r w:rsidRPr="006E757D">
              <w:t>Enter the required fields</w:t>
            </w:r>
            <w:r w:rsidR="008C728B">
              <w:t>.</w:t>
            </w:r>
          </w:p>
          <w:p w:rsidR="00C72E85" w:rsidRPr="006E757D" w:rsidRDefault="00C72E85" w:rsidP="006A3277">
            <w:pPr>
              <w:pStyle w:val="Bullet"/>
            </w:pPr>
            <w:r w:rsidRPr="006E757D">
              <w:t>Enter as many diagnosis codes as the system will accept</w:t>
            </w:r>
            <w:r w:rsidR="008C728B">
              <w:t>.</w:t>
            </w:r>
          </w:p>
          <w:p w:rsidR="00C72E85" w:rsidRPr="006E757D" w:rsidRDefault="00C72E85" w:rsidP="006A3277">
            <w:pPr>
              <w:pStyle w:val="Bullet"/>
            </w:pPr>
            <w:r w:rsidRPr="006E757D">
              <w:t>Enter procedure codes to the maximum number of digits</w:t>
            </w:r>
            <w:r w:rsidR="008C728B">
              <w:t>.</w:t>
            </w:r>
          </w:p>
          <w:p w:rsidR="00D1716E" w:rsidRPr="006E757D" w:rsidRDefault="00D1716E" w:rsidP="00C72E85">
            <w:pPr>
              <w:pStyle w:val="Body"/>
            </w:pPr>
            <w:r w:rsidRPr="006E757D">
              <w:t>The auditor should also observe situations where the data are processed inaccurately</w:t>
            </w:r>
            <w:r w:rsidR="00C72E85" w:rsidRPr="006E757D">
              <w:br/>
            </w:r>
            <w:r w:rsidRPr="006E757D">
              <w:t xml:space="preserve">or incompletely. </w:t>
            </w:r>
            <w:r w:rsidR="00907BF7">
              <w:t>While</w:t>
            </w:r>
            <w:r w:rsidR="00907BF7" w:rsidRPr="006E757D">
              <w:t xml:space="preserve"> </w:t>
            </w:r>
            <w:r w:rsidRPr="006E757D">
              <w:t>observing the claims process, the auditor may ask the claims processor to</w:t>
            </w:r>
            <w:r w:rsidR="004C2851">
              <w:t xml:space="preserve"> perform the following tasks:</w:t>
            </w:r>
          </w:p>
          <w:p w:rsidR="00D1716E" w:rsidRPr="006E757D" w:rsidRDefault="0026607E" w:rsidP="00C72E85">
            <w:pPr>
              <w:pStyle w:val="Bullet"/>
            </w:pPr>
            <w:r w:rsidRPr="006E757D">
              <w:t>E</w:t>
            </w:r>
            <w:r w:rsidR="00D1716E" w:rsidRPr="006E757D">
              <w:t>nter an incomplete member number</w:t>
            </w:r>
            <w:r w:rsidR="004C2851">
              <w:t>.</w:t>
            </w:r>
          </w:p>
          <w:p w:rsidR="00D1716E" w:rsidRPr="006E757D" w:rsidRDefault="0026607E" w:rsidP="00C72E85">
            <w:pPr>
              <w:pStyle w:val="Bullet"/>
            </w:pPr>
            <w:r w:rsidRPr="006E757D">
              <w:t>P</w:t>
            </w:r>
            <w:r w:rsidR="00D1716E" w:rsidRPr="006E757D">
              <w:t>rocess the claim without a provider ID</w:t>
            </w:r>
            <w:r w:rsidR="004C2851">
              <w:t>.</w:t>
            </w:r>
          </w:p>
          <w:p w:rsidR="00D1716E" w:rsidRPr="006E757D" w:rsidRDefault="0026607E" w:rsidP="00C72E85">
            <w:pPr>
              <w:pStyle w:val="Bullet"/>
            </w:pPr>
            <w:r w:rsidRPr="006E757D">
              <w:t>E</w:t>
            </w:r>
            <w:r w:rsidR="00D1716E" w:rsidRPr="006E757D">
              <w:t>nter an inconsistent member diagnosis combinatio</w:t>
            </w:r>
            <w:r w:rsidR="00C72E85" w:rsidRPr="006E757D">
              <w:t>n (e.g., male and hysterectomy)</w:t>
            </w:r>
            <w:r w:rsidR="004C2851">
              <w:t>.</w:t>
            </w:r>
          </w:p>
          <w:p w:rsidR="00D1716E" w:rsidRPr="006E757D" w:rsidRDefault="00D1716E" w:rsidP="0035359D">
            <w:pPr>
              <w:pStyle w:val="Bullet"/>
              <w:numPr>
                <w:ilvl w:val="12"/>
                <w:numId w:val="0"/>
              </w:numPr>
              <w:tabs>
                <w:tab w:val="left" w:pos="0"/>
              </w:tabs>
            </w:pPr>
            <w:r w:rsidRPr="006E757D">
              <w:t xml:space="preserve">NCQA requires the audit team to observe onsite the systems and processes necessary to ensure compliance with IS and HD standards. At a minimum, the audit team must ensure onsite that all systems and processes used to produce </w:t>
            </w:r>
            <w:r w:rsidR="0035359D" w:rsidRPr="006E757D">
              <w:t xml:space="preserve">measure data </w:t>
            </w:r>
            <w:r w:rsidRPr="006E757D">
              <w:t>are verified and understood.</w:t>
            </w:r>
          </w:p>
        </w:tc>
      </w:tr>
      <w:tr w:rsidR="00D1716E" w:rsidRPr="006E757D" w:rsidTr="000F545C">
        <w:tc>
          <w:tcPr>
            <w:tcW w:w="1800" w:type="dxa"/>
            <w:tcBorders>
              <w:top w:val="nil"/>
              <w:left w:val="nil"/>
              <w:bottom w:val="nil"/>
              <w:right w:val="nil"/>
            </w:tcBorders>
            <w:tcMar>
              <w:left w:w="115" w:type="dxa"/>
              <w:right w:w="115" w:type="dxa"/>
            </w:tcMar>
          </w:tcPr>
          <w:p w:rsidR="00D1716E" w:rsidRPr="006E757D" w:rsidRDefault="00D1716E">
            <w:pPr>
              <w:pStyle w:val="MarginSubhead"/>
              <w:numPr>
                <w:ilvl w:val="12"/>
                <w:numId w:val="0"/>
              </w:numPr>
              <w:ind w:left="187"/>
            </w:pPr>
            <w:r w:rsidRPr="006E757D">
              <w:t>Data file content review</w:t>
            </w:r>
          </w:p>
        </w:tc>
        <w:tc>
          <w:tcPr>
            <w:tcW w:w="8035" w:type="dxa"/>
            <w:tcBorders>
              <w:top w:val="nil"/>
              <w:left w:val="nil"/>
              <w:bottom w:val="nil"/>
              <w:right w:val="nil"/>
            </w:tcBorders>
            <w:tcMar>
              <w:left w:w="115" w:type="dxa"/>
              <w:right w:w="115" w:type="dxa"/>
            </w:tcMar>
          </w:tcPr>
          <w:p w:rsidR="00D1716E" w:rsidRPr="006E757D" w:rsidRDefault="00D1716E">
            <w:pPr>
              <w:pStyle w:val="Body"/>
              <w:numPr>
                <w:ilvl w:val="12"/>
                <w:numId w:val="0"/>
              </w:numPr>
            </w:pPr>
            <w:r w:rsidRPr="006E757D">
              <w:t xml:space="preserve">The </w:t>
            </w:r>
            <w:r w:rsidR="00A26CEB" w:rsidRPr="006E757D">
              <w:t>a</w:t>
            </w:r>
            <w:r w:rsidRPr="006E757D">
              <w:t>uditor also examines data files</w:t>
            </w:r>
            <w:r w:rsidR="00A26CEB" w:rsidRPr="006E757D">
              <w:t xml:space="preserve">, and </w:t>
            </w:r>
            <w:r w:rsidRPr="006E757D">
              <w:t xml:space="preserve">may review and validate a number of file types to verify that data are stored and processed properly and can be manipulated to produce accurate results. </w:t>
            </w:r>
            <w:r w:rsidR="00A26CEB" w:rsidRPr="006E757D">
              <w:t>F</w:t>
            </w:r>
            <w:r w:rsidRPr="006E757D">
              <w:t xml:space="preserve">iles </w:t>
            </w:r>
            <w:r w:rsidR="00A26CEB" w:rsidRPr="006E757D">
              <w:t xml:space="preserve">that might be examined </w:t>
            </w:r>
            <w:r w:rsidR="00C72E85" w:rsidRPr="006E757D">
              <w:t>include</w:t>
            </w:r>
            <w:r w:rsidR="003F10B8" w:rsidRPr="006E757D">
              <w:t>:</w:t>
            </w:r>
          </w:p>
          <w:p w:rsidR="00D1716E" w:rsidRPr="00907BF7" w:rsidRDefault="0026607E" w:rsidP="00907BF7">
            <w:pPr>
              <w:pStyle w:val="Bullet"/>
            </w:pPr>
            <w:r w:rsidRPr="006E757D">
              <w:t>T</w:t>
            </w:r>
            <w:r w:rsidR="00D1716E" w:rsidRPr="006E757D">
              <w:t>ra</w:t>
            </w:r>
            <w:r w:rsidR="00D1716E" w:rsidRPr="00907BF7">
              <w:t>nsaction files created to contain clinical events, membership and practitioner changes</w:t>
            </w:r>
            <w:r w:rsidR="00907BF7">
              <w:t>.</w:t>
            </w:r>
          </w:p>
          <w:p w:rsidR="00D1716E" w:rsidRPr="00907BF7" w:rsidRDefault="0026607E" w:rsidP="00907BF7">
            <w:pPr>
              <w:pStyle w:val="Bullet"/>
            </w:pPr>
            <w:r w:rsidRPr="00907BF7">
              <w:t>I</w:t>
            </w:r>
            <w:r w:rsidR="00D1716E" w:rsidRPr="00907BF7">
              <w:t>ntermediate files created by extracts, queries and analysis applications</w:t>
            </w:r>
            <w:r w:rsidR="00907BF7">
              <w:t>.</w:t>
            </w:r>
          </w:p>
          <w:p w:rsidR="00D1716E" w:rsidRPr="00907BF7" w:rsidRDefault="006A019D" w:rsidP="00907BF7">
            <w:pPr>
              <w:pStyle w:val="Bullet"/>
            </w:pPr>
            <w:r w:rsidRPr="00907BF7">
              <w:t xml:space="preserve">Data </w:t>
            </w:r>
            <w:r w:rsidR="00D1716E" w:rsidRPr="00907BF7">
              <w:t>repository files (i.e., input to measure computation programs)</w:t>
            </w:r>
            <w:r w:rsidR="00907BF7">
              <w:t>.</w:t>
            </w:r>
          </w:p>
          <w:p w:rsidR="00D1716E" w:rsidRPr="00907BF7" w:rsidRDefault="0026607E" w:rsidP="00907BF7">
            <w:pPr>
              <w:pStyle w:val="Bullet"/>
            </w:pPr>
            <w:r w:rsidRPr="00907BF7">
              <w:t>D</w:t>
            </w:r>
            <w:r w:rsidR="00D1716E" w:rsidRPr="00907BF7">
              <w:t>enominator files for measures</w:t>
            </w:r>
            <w:r w:rsidR="00907BF7">
              <w:t>.</w:t>
            </w:r>
            <w:r w:rsidR="00864A90" w:rsidRPr="00907BF7">
              <w:t>*</w:t>
            </w:r>
          </w:p>
          <w:p w:rsidR="00D1716E" w:rsidRPr="00907BF7" w:rsidRDefault="0026607E" w:rsidP="00907BF7">
            <w:pPr>
              <w:pStyle w:val="Bullet"/>
            </w:pPr>
            <w:r w:rsidRPr="00907BF7">
              <w:t>S</w:t>
            </w:r>
            <w:r w:rsidR="00D1716E" w:rsidRPr="00907BF7">
              <w:t xml:space="preserve">ample files randomly selected from denominator </w:t>
            </w:r>
            <w:r w:rsidR="00864A90">
              <w:t>files</w:t>
            </w:r>
            <w:r w:rsidR="00907BF7">
              <w:t>.</w:t>
            </w:r>
            <w:r w:rsidR="00864A90" w:rsidRPr="00907BF7">
              <w:t>*</w:t>
            </w:r>
          </w:p>
          <w:p w:rsidR="00D1716E" w:rsidRPr="006E757D" w:rsidRDefault="0026607E" w:rsidP="00907BF7">
            <w:pPr>
              <w:pStyle w:val="Bullet"/>
            </w:pPr>
            <w:r w:rsidRPr="00907BF7">
              <w:t>N</w:t>
            </w:r>
            <w:r w:rsidR="00D1716E" w:rsidRPr="00907BF7">
              <w:t>um</w:t>
            </w:r>
            <w:r w:rsidR="00D1716E" w:rsidRPr="006E757D">
              <w:t>erator files based on administrative data and the medical record review proc</w:t>
            </w:r>
            <w:r w:rsidR="00C72E85" w:rsidRPr="006E757D">
              <w:t>ess</w:t>
            </w:r>
            <w:r w:rsidR="003F10B8" w:rsidRPr="006E757D">
              <w:t>.</w:t>
            </w:r>
            <w:r w:rsidR="00D1716E" w:rsidRPr="006E757D">
              <w:t>*</w:t>
            </w:r>
          </w:p>
          <w:p w:rsidR="00D1716E" w:rsidRPr="006E757D" w:rsidRDefault="00D1716E">
            <w:pPr>
              <w:pStyle w:val="Note"/>
              <w:ind w:left="90" w:hanging="90"/>
            </w:pPr>
            <w:r w:rsidRPr="006E757D">
              <w:t xml:space="preserve">*This step is not necessary for measures where the </w:t>
            </w:r>
            <w:r w:rsidR="00202822" w:rsidRPr="006E757D">
              <w:t>organization</w:t>
            </w:r>
            <w:r w:rsidRPr="006E757D">
              <w:t xml:space="preserve"> uses </w:t>
            </w:r>
            <w:r w:rsidR="006D531A" w:rsidRPr="006E757D">
              <w:t>NCQA</w:t>
            </w:r>
            <w:r w:rsidR="00ED1760">
              <w:t>-</w:t>
            </w:r>
            <w:r w:rsidRPr="006E757D">
              <w:t>Certified software</w:t>
            </w:r>
            <w:r w:rsidR="004B5DC0" w:rsidRPr="006E757D">
              <w:t xml:space="preserve"> or </w:t>
            </w:r>
            <w:r w:rsidR="00A26CEB" w:rsidRPr="006E757D">
              <w:t>ASCR</w:t>
            </w:r>
            <w:r w:rsidRPr="006E757D">
              <w:t>.</w:t>
            </w:r>
          </w:p>
          <w:p w:rsidR="00D1716E" w:rsidRPr="006E757D" w:rsidRDefault="00D1716E">
            <w:pPr>
              <w:pStyle w:val="Body"/>
            </w:pPr>
            <w:r w:rsidRPr="006E757D">
              <w:t>The first three file types are related to the IS standards because they are associated with preserving the integrity of the data in the repository</w:t>
            </w:r>
            <w:r w:rsidR="008D3264" w:rsidRPr="006E757D">
              <w:t>; t</w:t>
            </w:r>
            <w:r w:rsidRPr="006E757D">
              <w:t xml:space="preserve">he last three pertain to the HD standards. The auditor confirms the integrity of files for all categories. </w:t>
            </w:r>
            <w:r w:rsidR="003941F4" w:rsidRPr="006E757D">
              <w:t xml:space="preserve">Review </w:t>
            </w:r>
            <w:r w:rsidRPr="006E757D">
              <w:t>methods depend on file type</w:t>
            </w:r>
            <w:r w:rsidR="003F10B8" w:rsidRPr="006E757D">
              <w:t>;</w:t>
            </w:r>
            <w:r w:rsidRPr="006E757D">
              <w:t xml:space="preserve"> potential for corruption</w:t>
            </w:r>
            <w:r w:rsidR="003F10B8" w:rsidRPr="006E757D">
              <w:t>;</w:t>
            </w:r>
            <w:r w:rsidRPr="006E757D">
              <w:t xml:space="preserve"> complexity of programs that build and update file</w:t>
            </w:r>
            <w:r w:rsidR="003941F4" w:rsidRPr="006E757D">
              <w:t>s</w:t>
            </w:r>
            <w:r w:rsidR="003F10B8" w:rsidRPr="006E757D">
              <w:t>;</w:t>
            </w:r>
            <w:r w:rsidRPr="006E757D">
              <w:t xml:space="preserve"> and file access capability. By examining file layouts, the auditor determines if certain</w:t>
            </w:r>
            <w:r w:rsidR="00E32B31" w:rsidRPr="006E757D">
              <w:t xml:space="preserve"> fields </w:t>
            </w:r>
            <w:r w:rsidR="003941F4" w:rsidRPr="006E757D">
              <w:t>ar</w:t>
            </w:r>
            <w:r w:rsidR="00E32B31" w:rsidRPr="006E757D">
              <w:t>e missing, such as</w:t>
            </w:r>
            <w:r w:rsidR="003F10B8" w:rsidRPr="006E757D">
              <w:t>:</w:t>
            </w:r>
          </w:p>
          <w:p w:rsidR="00D1716E" w:rsidRPr="006E757D" w:rsidRDefault="00773343">
            <w:pPr>
              <w:pStyle w:val="Bullet"/>
              <w:tabs>
                <w:tab w:val="num" w:pos="432"/>
              </w:tabs>
            </w:pPr>
            <w:r w:rsidRPr="006E757D">
              <w:t>Multiple practitioner locations</w:t>
            </w:r>
            <w:r w:rsidR="00907BF7">
              <w:t>.</w:t>
            </w:r>
          </w:p>
          <w:p w:rsidR="00D1716E" w:rsidRPr="006E757D" w:rsidRDefault="00773343">
            <w:pPr>
              <w:pStyle w:val="Bullet"/>
              <w:tabs>
                <w:tab w:val="num" w:pos="432"/>
              </w:tabs>
            </w:pPr>
            <w:r w:rsidRPr="006E757D">
              <w:t>Multiple practitioner specialties</w:t>
            </w:r>
            <w:r w:rsidR="00907BF7">
              <w:t>.</w:t>
            </w:r>
          </w:p>
          <w:p w:rsidR="00D1716E" w:rsidRPr="006E757D" w:rsidRDefault="00773343">
            <w:pPr>
              <w:pStyle w:val="Bullet"/>
              <w:tabs>
                <w:tab w:val="num" w:pos="432"/>
              </w:tabs>
            </w:pPr>
            <w:r w:rsidRPr="006E757D">
              <w:t>Number of prior member</w:t>
            </w:r>
            <w:r w:rsidR="00D1716E" w:rsidRPr="006E757D">
              <w:t>ship segments</w:t>
            </w:r>
            <w:r w:rsidR="00907BF7">
              <w:t>.</w:t>
            </w:r>
          </w:p>
          <w:p w:rsidR="00D1716E" w:rsidRPr="006E757D" w:rsidRDefault="00773343">
            <w:pPr>
              <w:pStyle w:val="Bullet"/>
              <w:tabs>
                <w:tab w:val="num" w:pos="432"/>
              </w:tabs>
            </w:pPr>
            <w:r w:rsidRPr="006E757D">
              <w:t>Pri</w:t>
            </w:r>
            <w:r w:rsidR="00D1716E" w:rsidRPr="006E757D">
              <w:t>or</w:t>
            </w:r>
            <w:r w:rsidR="00E32B31" w:rsidRPr="006E757D">
              <w:t xml:space="preserve"> membership ID</w:t>
            </w:r>
            <w:r w:rsidR="00907BF7">
              <w:t>.</w:t>
            </w:r>
          </w:p>
        </w:tc>
      </w:tr>
    </w:tbl>
    <w:p w:rsidR="00D1716E" w:rsidRPr="006E757D" w:rsidRDefault="00D1716E">
      <w:pPr>
        <w:sectPr w:rsidR="00D1716E" w:rsidRPr="006E757D" w:rsidSect="00C228DE">
          <w:headerReference w:type="default" r:id="rId52"/>
          <w:pgSz w:w="12240" w:h="15840" w:code="1"/>
          <w:pgMar w:top="1080" w:right="1080" w:bottom="1080" w:left="1440" w:header="720" w:footer="720" w:gutter="0"/>
          <w:paperSrc w:first="7" w:other="7"/>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25"/>
        <w:gridCol w:w="8075"/>
      </w:tblGrid>
      <w:tr w:rsidR="00D1716E" w:rsidRPr="006E757D" w:rsidTr="009349C6">
        <w:tc>
          <w:tcPr>
            <w:tcW w:w="1825" w:type="dxa"/>
            <w:tcBorders>
              <w:top w:val="nil"/>
              <w:left w:val="nil"/>
              <w:bottom w:val="nil"/>
              <w:right w:val="nil"/>
            </w:tcBorders>
            <w:tcMar>
              <w:left w:w="115" w:type="dxa"/>
              <w:right w:w="115" w:type="dxa"/>
            </w:tcMar>
          </w:tcPr>
          <w:p w:rsidR="00D1716E" w:rsidRPr="006E757D" w:rsidRDefault="00D1716E">
            <w:pPr>
              <w:pStyle w:val="MarginSubhead"/>
              <w:numPr>
                <w:ilvl w:val="12"/>
                <w:numId w:val="0"/>
              </w:numPr>
              <w:spacing w:before="0"/>
              <w:ind w:left="187"/>
            </w:pPr>
            <w:r w:rsidRPr="006E757D">
              <w:lastRenderedPageBreak/>
              <w:t>File content examination</w:t>
            </w:r>
            <w:r w:rsidR="00EE0665" w:rsidRPr="006E757D">
              <w:t xml:space="preserve"> methods</w:t>
            </w:r>
          </w:p>
        </w:tc>
        <w:tc>
          <w:tcPr>
            <w:tcW w:w="8075" w:type="dxa"/>
            <w:tcBorders>
              <w:top w:val="nil"/>
              <w:left w:val="nil"/>
              <w:bottom w:val="nil"/>
              <w:right w:val="nil"/>
            </w:tcBorders>
            <w:tcMar>
              <w:left w:w="115" w:type="dxa"/>
              <w:right w:w="115" w:type="dxa"/>
            </w:tcMar>
          </w:tcPr>
          <w:p w:rsidR="00D1716E" w:rsidRPr="006E757D" w:rsidRDefault="008D3264" w:rsidP="00EE0665">
            <w:pPr>
              <w:pStyle w:val="ProcessBullet"/>
              <w:spacing w:before="0"/>
              <w:rPr>
                <w:i/>
              </w:rPr>
            </w:pPr>
            <w:r w:rsidRPr="006E757D">
              <w:t xml:space="preserve">Request </w:t>
            </w:r>
            <w:r w:rsidR="00D1716E" w:rsidRPr="006E757D">
              <w:t>transaction file output and compare to a sample set of source documents</w:t>
            </w:r>
            <w:r w:rsidR="003F10B8" w:rsidRPr="006E757D">
              <w:t xml:space="preserve"> (e.g., 20 or 30 records)</w:t>
            </w:r>
            <w:r w:rsidR="00D1716E" w:rsidRPr="006E757D">
              <w:t>. The auditor compares the data entry result to the entry documents</w:t>
            </w:r>
            <w:r w:rsidR="00660316">
              <w:t>’</w:t>
            </w:r>
            <w:r w:rsidR="003F10B8" w:rsidRPr="006E757D">
              <w:t xml:space="preserve"> content</w:t>
            </w:r>
            <w:r w:rsidRPr="006E757D">
              <w:t xml:space="preserve"> and checks </w:t>
            </w:r>
            <w:r w:rsidR="00D1716E" w:rsidRPr="006E757D">
              <w:t xml:space="preserve">for completeness, accuracy and format. </w:t>
            </w:r>
          </w:p>
          <w:p w:rsidR="00D1716E" w:rsidRPr="006E757D" w:rsidRDefault="008D3264" w:rsidP="008D3264">
            <w:pPr>
              <w:pStyle w:val="ProcessBullet"/>
              <w:rPr>
                <w:i/>
              </w:rPr>
            </w:pPr>
            <w:r w:rsidRPr="006E757D">
              <w:t xml:space="preserve">Request </w:t>
            </w:r>
            <w:r w:rsidR="00D1716E" w:rsidRPr="006E757D">
              <w:t xml:space="preserve">a query to scan a file and produce a record whose contents match a given source document. </w:t>
            </w:r>
            <w:r w:rsidRPr="006E757D">
              <w:t>R</w:t>
            </w:r>
            <w:r w:rsidR="00D1716E" w:rsidRPr="006E757D">
              <w:t>epeat this process for 20 or 30 records</w:t>
            </w:r>
            <w:r w:rsidRPr="006E757D">
              <w:t xml:space="preserve"> </w:t>
            </w:r>
            <w:r w:rsidR="003E7E50" w:rsidRPr="006E757D">
              <w:t>to compare a source document with a transaction file</w:t>
            </w:r>
            <w:r w:rsidR="00D1716E" w:rsidRPr="006E757D">
              <w:t xml:space="preserve">. </w:t>
            </w:r>
          </w:p>
          <w:p w:rsidR="00D1716E" w:rsidRPr="006E757D" w:rsidRDefault="008D3264" w:rsidP="008D3264">
            <w:pPr>
              <w:pStyle w:val="ProcessBullet"/>
            </w:pPr>
            <w:r w:rsidRPr="006E757D">
              <w:t xml:space="preserve">Study </w:t>
            </w:r>
            <w:r w:rsidR="00D1716E" w:rsidRPr="006E757D">
              <w:t xml:space="preserve">the process that manipulates transaction files to produce an integrated repository record. </w:t>
            </w:r>
            <w:r w:rsidRPr="006E757D">
              <w:t>A</w:t>
            </w:r>
            <w:r w:rsidR="00D1716E" w:rsidRPr="006E757D">
              <w:t xml:space="preserve">ccess a sample of repository records and </w:t>
            </w:r>
            <w:r w:rsidRPr="006E757D">
              <w:t>look</w:t>
            </w:r>
            <w:r w:rsidR="00D1716E" w:rsidRPr="006E757D">
              <w:t xml:space="preserve"> in the transaction files for </w:t>
            </w:r>
            <w:r w:rsidRPr="006E757D">
              <w:t>data s</w:t>
            </w:r>
            <w:r w:rsidR="00D1716E" w:rsidRPr="006E757D">
              <w:t xml:space="preserve">ources that support the final </w:t>
            </w:r>
            <w:r w:rsidRPr="006E757D">
              <w:t xml:space="preserve">integration </w:t>
            </w:r>
            <w:r w:rsidR="00D1716E" w:rsidRPr="006E757D">
              <w:t>result</w:t>
            </w:r>
            <w:r w:rsidRPr="006E757D">
              <w:t>.</w:t>
            </w:r>
            <w:r w:rsidR="00D1716E" w:rsidRPr="006E757D">
              <w:t xml:space="preserve"> </w:t>
            </w:r>
          </w:p>
          <w:p w:rsidR="00D1716E" w:rsidRPr="006E757D" w:rsidRDefault="00EE0665" w:rsidP="008D3264">
            <w:pPr>
              <w:pStyle w:val="ProcessBullet"/>
            </w:pPr>
            <w:r w:rsidRPr="006E757D">
              <w:t xml:space="preserve">Simulate </w:t>
            </w:r>
            <w:r w:rsidR="00D1716E" w:rsidRPr="006E757D">
              <w:t xml:space="preserve">the actions </w:t>
            </w:r>
            <w:r w:rsidRPr="006E757D">
              <w:t>that</w:t>
            </w:r>
            <w:r w:rsidR="00D1716E" w:rsidRPr="006E757D">
              <w:t xml:space="preserve"> create numerator and denominator files by running queries against their predecessors. Since the programs producing the files may be complex, the auditor may run a query with some of the criteria and confirm that the output contains all records that resulted from a more rigorous filter. For example, the auditor might use age and sex criteria only to build a query and to confirm that the output has a related denominator file as a subset.</w:t>
            </w:r>
          </w:p>
          <w:p w:rsidR="00D1716E" w:rsidRPr="006E757D" w:rsidRDefault="00EE0665" w:rsidP="008D3264">
            <w:pPr>
              <w:pStyle w:val="ProcessBullet"/>
            </w:pPr>
            <w:r w:rsidRPr="006E757D">
              <w:t xml:space="preserve">Test </w:t>
            </w:r>
            <w:r w:rsidR="00D1716E" w:rsidRPr="006E757D">
              <w:t>for reasonableness (e.g., enrollment an</w:t>
            </w:r>
            <w:r w:rsidR="00D57637" w:rsidRPr="006E757D">
              <w:t>d membership data by age and gender</w:t>
            </w:r>
            <w:r w:rsidR="00D1716E" w:rsidRPr="006E757D">
              <w:t>).</w:t>
            </w:r>
          </w:p>
          <w:p w:rsidR="00D1716E" w:rsidRPr="006E757D" w:rsidRDefault="00EE0665" w:rsidP="00EE0665">
            <w:pPr>
              <w:pStyle w:val="ProcessBullet"/>
            </w:pPr>
            <w:r w:rsidRPr="006E757D">
              <w:t xml:space="preserve">Review </w:t>
            </w:r>
            <w:r w:rsidR="00D1716E" w:rsidRPr="006E757D">
              <w:t>third-party data.</w:t>
            </w:r>
            <w:r w:rsidRPr="006E757D">
              <w:t xml:space="preserve"> E</w:t>
            </w:r>
            <w:r w:rsidR="00D1716E" w:rsidRPr="006E757D">
              <w:t xml:space="preserve">xamine documentation that describes how the </w:t>
            </w:r>
            <w:r w:rsidRPr="006E757D">
              <w:t>mea</w:t>
            </w:r>
            <w:r w:rsidR="00D1716E" w:rsidRPr="006E757D">
              <w:t>sure (or part of the measure) is collected, if calculated by the vendor.</w:t>
            </w:r>
            <w:r w:rsidRPr="006E757D">
              <w:t xml:space="preserve"> I</w:t>
            </w:r>
            <w:r w:rsidR="00D1716E" w:rsidRPr="006E757D">
              <w:t xml:space="preserve">dentify how members are tracked from vendor classifications to </w:t>
            </w:r>
            <w:r w:rsidR="00202822" w:rsidRPr="006E757D">
              <w:t>organization</w:t>
            </w:r>
            <w:r w:rsidR="00D1716E" w:rsidRPr="006E757D">
              <w:t xml:space="preserve"> classifications.</w:t>
            </w:r>
          </w:p>
          <w:p w:rsidR="003F10B8" w:rsidRPr="006E757D" w:rsidRDefault="00EE0665" w:rsidP="008D3264">
            <w:pPr>
              <w:pStyle w:val="ProcessBullet"/>
            </w:pPr>
            <w:r w:rsidRPr="006E757D">
              <w:t xml:space="preserve">Verify </w:t>
            </w:r>
            <w:r w:rsidR="00D1716E" w:rsidRPr="006E757D">
              <w:t xml:space="preserve">codes used to identify members who meet the </w:t>
            </w:r>
            <w:r w:rsidR="006A019D" w:rsidRPr="006E757D">
              <w:t xml:space="preserve">measure </w:t>
            </w:r>
            <w:r w:rsidR="00D1716E" w:rsidRPr="006E757D">
              <w:t xml:space="preserve">criteria (denominator or numerator). </w:t>
            </w:r>
          </w:p>
          <w:p w:rsidR="00D1716E" w:rsidRPr="006E757D" w:rsidRDefault="00D1716E" w:rsidP="008D3264">
            <w:pPr>
              <w:pStyle w:val="ProcessBullet"/>
            </w:pPr>
            <w:r w:rsidRPr="006E757D">
              <w:t>Verify adherence to small eligible population guidelines.</w:t>
            </w:r>
          </w:p>
        </w:tc>
      </w:tr>
    </w:tbl>
    <w:p w:rsidR="00D1716E" w:rsidRPr="006E757D" w:rsidRDefault="00D1716E">
      <w:pPr>
        <w:pStyle w:val="StdHead"/>
        <w:rPr>
          <w:color w:val="auto"/>
        </w:rPr>
      </w:pPr>
      <w:r w:rsidRPr="006E757D">
        <w:rPr>
          <w:color w:val="auto"/>
        </w:rPr>
        <w:t>Data Completeness Findings and Impact Determination</w:t>
      </w:r>
    </w:p>
    <w:p w:rsidR="00EE0665" w:rsidRPr="006E757D" w:rsidRDefault="00EE0665">
      <w:pPr>
        <w:pStyle w:val="Body"/>
        <w:numPr>
          <w:ilvl w:val="12"/>
          <w:numId w:val="0"/>
        </w:numPr>
      </w:pPr>
      <w:r w:rsidRPr="006E757D">
        <w:t xml:space="preserve">Before the onsite visit, the Certified Auditor must review the </w:t>
      </w:r>
      <w:r w:rsidR="007A1EB2" w:rsidRPr="006E757D">
        <w:t>Roadmap</w:t>
      </w:r>
      <w:r w:rsidRPr="006E757D">
        <w:t xml:space="preserve"> and identify possible areas of concern. During the onsite component of the audit, the auditor should assess the </w:t>
      </w:r>
      <w:r w:rsidR="00202822" w:rsidRPr="006E757D">
        <w:t>organization</w:t>
      </w:r>
      <w:r w:rsidR="00660316">
        <w:t>’</w:t>
      </w:r>
      <w:r w:rsidRPr="006E757D">
        <w:t xml:space="preserve">s claims lag and encounter data submission rates, along with studies on data completeness that the </w:t>
      </w:r>
      <w:r w:rsidR="00202822" w:rsidRPr="006E757D">
        <w:t>organization</w:t>
      </w:r>
      <w:r w:rsidRPr="006E757D">
        <w:t xml:space="preserve"> may have performed. Data completeness issues must be quantified, and any </w:t>
      </w:r>
      <w:r w:rsidRPr="006E757D">
        <w:rPr>
          <w:i/>
        </w:rPr>
        <w:t>NR</w:t>
      </w:r>
      <w:r w:rsidRPr="006E757D">
        <w:t xml:space="preserve"> must be supported by a determination of material bias. </w:t>
      </w:r>
    </w:p>
    <w:p w:rsidR="00EE0665" w:rsidRPr="006E757D" w:rsidRDefault="00EE0665">
      <w:pPr>
        <w:pStyle w:val="Body"/>
        <w:numPr>
          <w:ilvl w:val="12"/>
          <w:numId w:val="0"/>
        </w:numPr>
      </w:pPr>
      <w:r w:rsidRPr="006E757D">
        <w:t xml:space="preserve">NCQA provides the auditor with </w:t>
      </w:r>
      <w:r w:rsidR="005B7A8B" w:rsidRPr="006E757D">
        <w:t>a</w:t>
      </w:r>
      <w:r w:rsidR="006A019D" w:rsidRPr="006E757D">
        <w:t xml:space="preserve">udit </w:t>
      </w:r>
      <w:r w:rsidRPr="006E757D">
        <w:t xml:space="preserve">means and percentiles by product line for nearly all </w:t>
      </w:r>
      <w:r w:rsidR="006A019D" w:rsidRPr="006E757D">
        <w:t xml:space="preserve">performance </w:t>
      </w:r>
      <w:r w:rsidRPr="006E757D">
        <w:t xml:space="preserve">measures. The auditor uses the means and percentiles to conduct reasonability assessments of the initial and final </w:t>
      </w:r>
      <w:r w:rsidR="00D25812" w:rsidRPr="006E757D">
        <w:t xml:space="preserve">measure </w:t>
      </w:r>
      <w:r w:rsidRPr="006E757D">
        <w:t xml:space="preserve">results calculated by the </w:t>
      </w:r>
      <w:r w:rsidR="00202822" w:rsidRPr="006E757D">
        <w:t>organization</w:t>
      </w:r>
      <w:r w:rsidRPr="006E757D">
        <w:t xml:space="preserve">. An </w:t>
      </w:r>
      <w:r w:rsidRPr="006E757D">
        <w:rPr>
          <w:i/>
        </w:rPr>
        <w:t>NR</w:t>
      </w:r>
      <w:r w:rsidRPr="006E757D">
        <w:t xml:space="preserve"> should not be assigned to a measure whose rate is either well below or well above the mean rate without further investigation of data completeness concerns for the reporting method used. </w:t>
      </w:r>
    </w:p>
    <w:p w:rsidR="00EE0665" w:rsidRPr="006E757D" w:rsidRDefault="003F10B8">
      <w:pPr>
        <w:pStyle w:val="Body"/>
        <w:numPr>
          <w:ilvl w:val="12"/>
          <w:numId w:val="0"/>
        </w:numPr>
        <w:sectPr w:rsidR="00EE0665" w:rsidRPr="006E757D" w:rsidSect="00C228DE">
          <w:headerReference w:type="even" r:id="rId53"/>
          <w:pgSz w:w="12240" w:h="15840" w:code="1"/>
          <w:pgMar w:top="1080" w:right="1080" w:bottom="1080" w:left="1440" w:header="720" w:footer="720" w:gutter="0"/>
          <w:paperSrc w:first="7" w:other="7"/>
          <w:cols w:space="720"/>
        </w:sectPr>
      </w:pPr>
      <w:r w:rsidRPr="006E757D">
        <w:t xml:space="preserve">For assessment of data completeness, </w:t>
      </w:r>
      <w:r w:rsidR="00EE0665" w:rsidRPr="006E757D">
        <w:t xml:space="preserve">NCQA provides the auditor with enrollment ratios of eligible members to product line. As with the means and percentiles, an </w:t>
      </w:r>
      <w:r w:rsidR="00EE0665" w:rsidRPr="006E757D">
        <w:rPr>
          <w:i/>
        </w:rPr>
        <w:t>NR</w:t>
      </w:r>
      <w:r w:rsidR="00EE0665" w:rsidRPr="006E757D">
        <w:t xml:space="preserve"> should not be assigned to a measure whose enrollment ratio is significantly above or below the mean enrollment ratio. Further investigation must be conducted to determine if data completeness issues affect the measure rate.</w:t>
      </w:r>
    </w:p>
    <w:p w:rsidR="00D1716E" w:rsidRPr="006E757D" w:rsidRDefault="00D1716E" w:rsidP="00C72E85">
      <w:pPr>
        <w:pStyle w:val="StdHead"/>
        <w:numPr>
          <w:ilvl w:val="12"/>
          <w:numId w:val="0"/>
        </w:numPr>
        <w:spacing w:before="0"/>
        <w:rPr>
          <w:color w:val="auto"/>
        </w:rPr>
      </w:pPr>
      <w:bookmarkStart w:id="0" w:name="_Toc435951271"/>
      <w:bookmarkStart w:id="1" w:name="_Toc435951809"/>
      <w:bookmarkStart w:id="2" w:name="_Toc435952918"/>
      <w:bookmarkStart w:id="3" w:name="_Toc436025130"/>
      <w:bookmarkStart w:id="4" w:name="_Toc436025238"/>
      <w:bookmarkStart w:id="5" w:name="_Toc438017995"/>
      <w:bookmarkStart w:id="6" w:name="_Toc438018900"/>
      <w:bookmarkStart w:id="7" w:name="_Toc435951272"/>
      <w:bookmarkStart w:id="8" w:name="_Toc435951810"/>
      <w:bookmarkStart w:id="9" w:name="_Toc435952919"/>
      <w:bookmarkStart w:id="10" w:name="_Toc436025131"/>
      <w:bookmarkStart w:id="11" w:name="_Toc436025239"/>
      <w:bookmarkStart w:id="12" w:name="_Toc438017996"/>
      <w:bookmarkStart w:id="13" w:name="_Toc438018901"/>
      <w:r w:rsidRPr="006E757D">
        <w:rPr>
          <w:color w:val="auto"/>
        </w:rPr>
        <w:lastRenderedPageBreak/>
        <w:t>Closing Conference and Follow-</w:t>
      </w:r>
      <w:r w:rsidR="00363A0D" w:rsidRPr="006E757D">
        <w:rPr>
          <w:color w:val="auto"/>
        </w:rPr>
        <w:t>U</w:t>
      </w:r>
      <w:r w:rsidRPr="006E757D">
        <w:rPr>
          <w:color w:val="auto"/>
        </w:rPr>
        <w:t>p Documentation</w:t>
      </w:r>
    </w:p>
    <w:p w:rsidR="00EE0665" w:rsidRPr="006E757D" w:rsidRDefault="00EE0665">
      <w:pPr>
        <w:pStyle w:val="Body"/>
        <w:numPr>
          <w:ilvl w:val="12"/>
          <w:numId w:val="0"/>
        </w:numPr>
      </w:pPr>
      <w:r w:rsidRPr="006E757D">
        <w:t xml:space="preserve">At the conclusion of the onsite visit, the audit team conducts a closing </w:t>
      </w:r>
      <w:r w:rsidR="00D57637" w:rsidRPr="006E757D">
        <w:t xml:space="preserve">conference </w:t>
      </w:r>
      <w:r w:rsidRPr="006E757D">
        <w:t>to summarize the visit and discuss preliminary findings and follow-up items.</w:t>
      </w:r>
    </w:p>
    <w:p w:rsidR="00EE0665" w:rsidRPr="006E757D" w:rsidRDefault="00E41EE8" w:rsidP="00EE0665">
      <w:pPr>
        <w:pStyle w:val="Body"/>
      </w:pPr>
      <w:r w:rsidRPr="006E757D">
        <w:t xml:space="preserve">During </w:t>
      </w:r>
      <w:r w:rsidR="00EE0665" w:rsidRPr="006E757D">
        <w:t xml:space="preserve">or after the onsite visit, the auditor prepares </w:t>
      </w:r>
      <w:r w:rsidR="00EE0665" w:rsidRPr="006E757D">
        <w:rPr>
          <w:i/>
        </w:rPr>
        <w:t>written</w:t>
      </w:r>
      <w:r w:rsidR="00EE0665" w:rsidRPr="006E757D">
        <w:t xml:space="preserve"> confirmation of the initial findings conveyed in the closing conference, giving the </w:t>
      </w:r>
      <w:r w:rsidR="00202822" w:rsidRPr="006E757D">
        <w:t>organization</w:t>
      </w:r>
      <w:r w:rsidR="00EE0665" w:rsidRPr="006E757D">
        <w:t xml:space="preserve"> reasonable time to review and respond. The documents contain these impor</w:t>
      </w:r>
      <w:r w:rsidR="00C72E85" w:rsidRPr="006E757D">
        <w:t>tant items</w:t>
      </w:r>
      <w:r w:rsidR="00907BF7">
        <w:t>:</w:t>
      </w:r>
    </w:p>
    <w:p w:rsidR="00EE0665" w:rsidRPr="006E757D" w:rsidRDefault="00EE0665" w:rsidP="009F65CF">
      <w:pPr>
        <w:pStyle w:val="Bullet"/>
      </w:pPr>
      <w:r w:rsidRPr="006E757D">
        <w:t xml:space="preserve">A list of unresolved questions and deficiencies found in the </w:t>
      </w:r>
      <w:r w:rsidR="007A1EB2" w:rsidRPr="006E757D">
        <w:t>Roadmap</w:t>
      </w:r>
      <w:r w:rsidR="00541DB7" w:rsidRPr="006E757D">
        <w:t xml:space="preserve">, </w:t>
      </w:r>
      <w:r w:rsidRPr="006E757D">
        <w:t>during the visit</w:t>
      </w:r>
      <w:r w:rsidR="00541DB7" w:rsidRPr="006E757D">
        <w:t xml:space="preserve"> or during preliminary rate review</w:t>
      </w:r>
      <w:r w:rsidRPr="006E757D">
        <w:t>, with corrective actions and their completion dates</w:t>
      </w:r>
      <w:r w:rsidR="00907BF7">
        <w:t>.</w:t>
      </w:r>
    </w:p>
    <w:p w:rsidR="00EE0665" w:rsidRPr="006E757D" w:rsidRDefault="00EE0665" w:rsidP="009F65CF">
      <w:pPr>
        <w:pStyle w:val="Bullet"/>
      </w:pPr>
      <w:r w:rsidRPr="006E757D">
        <w:t xml:space="preserve">A list of additional documents needed to complete the </w:t>
      </w:r>
      <w:r w:rsidR="007A1EB2" w:rsidRPr="006E757D">
        <w:t xml:space="preserve">Roadmap </w:t>
      </w:r>
      <w:r w:rsidRPr="006E757D">
        <w:t xml:space="preserve">or the onsite </w:t>
      </w:r>
      <w:r w:rsidR="00C72E85" w:rsidRPr="006E757D">
        <w:t>visit, with submission dates</w:t>
      </w:r>
      <w:r w:rsidR="00907BF7">
        <w:t>.</w:t>
      </w:r>
    </w:p>
    <w:p w:rsidR="00EE0665" w:rsidRPr="006E757D" w:rsidRDefault="00EE0665" w:rsidP="009F65CF">
      <w:pPr>
        <w:pStyle w:val="Bullet"/>
      </w:pPr>
      <w:r w:rsidRPr="006E757D">
        <w:t>The auditor</w:t>
      </w:r>
      <w:r w:rsidR="00660316">
        <w:t>’</w:t>
      </w:r>
      <w:r w:rsidRPr="006E757D">
        <w:t>s conclusions and preliminary assessments, with suppor</w:t>
      </w:r>
      <w:r w:rsidR="00C72E85" w:rsidRPr="006E757D">
        <w:t>ting evidence</w:t>
      </w:r>
      <w:r w:rsidR="00907BF7">
        <w:t>.</w:t>
      </w:r>
    </w:p>
    <w:p w:rsidR="00EE0665" w:rsidRPr="006E757D" w:rsidRDefault="00EE0665" w:rsidP="009F65CF">
      <w:pPr>
        <w:pStyle w:val="Bullet"/>
      </w:pPr>
      <w:r w:rsidRPr="006E757D">
        <w:t>The impact that these items have on data collection and reporting, specifically indicating the measures at risk</w:t>
      </w:r>
      <w:r w:rsidR="00907BF7">
        <w:t>.</w:t>
      </w:r>
    </w:p>
    <w:p w:rsidR="00EE0665" w:rsidRPr="006E757D" w:rsidRDefault="00EE0665" w:rsidP="009F65CF">
      <w:pPr>
        <w:pStyle w:val="Bullet"/>
      </w:pPr>
      <w:r w:rsidRPr="006E757D">
        <w:t>A timeline for finalizing the au</w:t>
      </w:r>
      <w:r w:rsidR="00C72E85" w:rsidRPr="006E757D">
        <w:t>dit</w:t>
      </w:r>
      <w:r w:rsidR="00907BF7">
        <w:t>.</w:t>
      </w:r>
    </w:p>
    <w:bookmarkEnd w:id="0"/>
    <w:bookmarkEnd w:id="1"/>
    <w:bookmarkEnd w:id="2"/>
    <w:bookmarkEnd w:id="3"/>
    <w:bookmarkEnd w:id="4"/>
    <w:bookmarkEnd w:id="5"/>
    <w:bookmarkEnd w:id="6"/>
    <w:p w:rsidR="00B766D4" w:rsidRPr="006E757D" w:rsidRDefault="004B675F" w:rsidP="00EE6D71">
      <w:pPr>
        <w:pStyle w:val="SubHead"/>
        <w:rPr>
          <w:i/>
        </w:rPr>
      </w:pPr>
      <w:r w:rsidRPr="006E757D">
        <w:rPr>
          <w:i/>
        </w:rPr>
        <w:t>Note</w:t>
      </w:r>
    </w:p>
    <w:p w:rsidR="00864A90" w:rsidRPr="00ED1760" w:rsidRDefault="007C7864" w:rsidP="00ED1760">
      <w:pPr>
        <w:pStyle w:val="ProcessBullet"/>
        <w:rPr>
          <w:i/>
        </w:rPr>
        <w:sectPr w:rsidR="00864A90" w:rsidRPr="00ED1760" w:rsidSect="00C228DE">
          <w:headerReference w:type="default" r:id="rId54"/>
          <w:pgSz w:w="12240" w:h="15840" w:code="1"/>
          <w:pgMar w:top="1080" w:right="1080" w:bottom="1080" w:left="1440" w:header="720" w:footer="720" w:gutter="0"/>
          <w:paperSrc w:first="7" w:other="7"/>
          <w:cols w:space="720"/>
        </w:sectPr>
      </w:pPr>
      <w:r w:rsidRPr="00ED1760">
        <w:rPr>
          <w:i/>
        </w:rPr>
        <w:t>If written confirmation is not presented at the closing conference, t</w:t>
      </w:r>
      <w:r w:rsidR="004B675F" w:rsidRPr="00ED1760">
        <w:rPr>
          <w:i/>
        </w:rPr>
        <w:t xml:space="preserve">he auditor must send the follow-up documentation no later than </w:t>
      </w:r>
      <w:r w:rsidR="00EE0665" w:rsidRPr="00ED1760">
        <w:rPr>
          <w:i/>
        </w:rPr>
        <w:t xml:space="preserve">10 </w:t>
      </w:r>
      <w:r w:rsidR="004B675F" w:rsidRPr="00ED1760">
        <w:rPr>
          <w:i/>
        </w:rPr>
        <w:t>business days after the onsite visit.</w:t>
      </w:r>
      <w:r w:rsidR="00864A90" w:rsidRPr="00ED1760">
        <w:rPr>
          <w:i/>
        </w:rPr>
        <w:t xml:space="preserve"> </w:t>
      </w:r>
    </w:p>
    <w:p w:rsidR="00F05546" w:rsidRDefault="00F05546" w:rsidP="00EE6D71">
      <w:pPr>
        <w:numPr>
          <w:ilvl w:val="12"/>
          <w:numId w:val="0"/>
        </w:numPr>
        <w:spacing w:before="180"/>
        <w:rPr>
          <w:i/>
        </w:rPr>
      </w:pPr>
    </w:p>
    <w:p w:rsidR="00864A90" w:rsidRPr="006E757D" w:rsidRDefault="00864A90" w:rsidP="00EE6D71">
      <w:pPr>
        <w:numPr>
          <w:ilvl w:val="12"/>
          <w:numId w:val="0"/>
        </w:numPr>
        <w:spacing w:before="180"/>
        <w:rPr>
          <w:i/>
        </w:rPr>
        <w:sectPr w:rsidR="00864A90" w:rsidRPr="006E757D" w:rsidSect="00C228DE">
          <w:headerReference w:type="even" r:id="rId55"/>
          <w:headerReference w:type="default" r:id="rId56"/>
          <w:pgSz w:w="12240" w:h="15840" w:code="1"/>
          <w:pgMar w:top="1080" w:right="1080" w:bottom="1080" w:left="1440" w:header="720" w:footer="720" w:gutter="0"/>
          <w:paperSrc w:first="7" w:other="7"/>
          <w:cols w:space="720"/>
        </w:sectPr>
      </w:pPr>
    </w:p>
    <w:p w:rsidR="00D1716E" w:rsidRDefault="00D1716E" w:rsidP="0009029A">
      <w:pPr>
        <w:pStyle w:val="Breakpage"/>
      </w:pPr>
    </w:p>
    <w:p w:rsidR="00ED1760" w:rsidRDefault="00ED1760" w:rsidP="0009029A">
      <w:pPr>
        <w:pStyle w:val="Breakpage"/>
      </w:pPr>
    </w:p>
    <w:p w:rsidR="00D1716E" w:rsidRPr="006E757D" w:rsidRDefault="00D1716E" w:rsidP="0009029A">
      <w:pPr>
        <w:pStyle w:val="Breakpage"/>
      </w:pPr>
    </w:p>
    <w:p w:rsidR="00D1716E" w:rsidRPr="006E757D" w:rsidRDefault="00D1716E" w:rsidP="0009029A">
      <w:pPr>
        <w:pStyle w:val="Breakpage"/>
      </w:pPr>
    </w:p>
    <w:p w:rsidR="00D1716E" w:rsidRPr="006E757D" w:rsidRDefault="00D1716E" w:rsidP="0009029A">
      <w:pPr>
        <w:pStyle w:val="Breakpage"/>
      </w:pPr>
    </w:p>
    <w:p w:rsidR="00864A90" w:rsidRPr="006E757D" w:rsidRDefault="00D1716E" w:rsidP="00864A90">
      <w:pPr>
        <w:pStyle w:val="Breakpage"/>
        <w:rPr>
          <w:i/>
        </w:rPr>
        <w:sectPr w:rsidR="00864A90" w:rsidRPr="006E757D" w:rsidSect="00C228DE">
          <w:headerReference w:type="default" r:id="rId57"/>
          <w:footerReference w:type="default" r:id="rId58"/>
          <w:pgSz w:w="12240" w:h="15840" w:code="1"/>
          <w:pgMar w:top="1080" w:right="1080" w:bottom="1080" w:left="1440" w:header="720" w:footer="720" w:gutter="0"/>
          <w:paperSrc w:first="7" w:other="7"/>
          <w:cols w:space="720"/>
        </w:sectPr>
      </w:pPr>
      <w:bookmarkStart w:id="14" w:name="_Toc435951273"/>
      <w:bookmarkEnd w:id="7"/>
      <w:r w:rsidRPr="006E757D">
        <w:t>Audit Process:</w:t>
      </w:r>
      <w:r w:rsidRPr="006E757D">
        <w:br/>
        <w:t>Post-Onsite and Reporting</w:t>
      </w:r>
      <w:bookmarkEnd w:id="8"/>
      <w:bookmarkEnd w:id="9"/>
      <w:bookmarkEnd w:id="10"/>
      <w:bookmarkEnd w:id="11"/>
      <w:bookmarkEnd w:id="12"/>
      <w:bookmarkEnd w:id="13"/>
      <w:bookmarkEnd w:id="14"/>
      <w:r w:rsidRPr="006E757D">
        <w:t xml:space="preserve"> </w:t>
      </w:r>
    </w:p>
    <w:p w:rsidR="00864A90" w:rsidRPr="006E757D" w:rsidRDefault="00864A90" w:rsidP="0009029A">
      <w:pPr>
        <w:pStyle w:val="Breakpage"/>
        <w:sectPr w:rsidR="00864A90" w:rsidRPr="006E757D" w:rsidSect="00C228DE">
          <w:headerReference w:type="even" r:id="rId59"/>
          <w:headerReference w:type="default" r:id="rId60"/>
          <w:footerReference w:type="default" r:id="rId61"/>
          <w:pgSz w:w="12240" w:h="15840" w:code="1"/>
          <w:pgMar w:top="1080" w:right="1080" w:bottom="1080" w:left="1440" w:header="720" w:footer="720" w:gutter="0"/>
          <w:paperSrc w:first="7" w:other="7"/>
          <w:cols w:space="720"/>
        </w:sectPr>
      </w:pPr>
    </w:p>
    <w:p w:rsidR="00D1716E" w:rsidRPr="006E757D" w:rsidRDefault="00096F6A" w:rsidP="00C72E85">
      <w:pPr>
        <w:pStyle w:val="SectionHead"/>
        <w:numPr>
          <w:ilvl w:val="12"/>
          <w:numId w:val="0"/>
        </w:numPr>
        <w:spacing w:after="360"/>
      </w:pPr>
      <w:bookmarkStart w:id="15" w:name="_Toc435951274"/>
      <w:bookmarkStart w:id="16" w:name="_Toc435951811"/>
      <w:bookmarkStart w:id="17" w:name="_Toc435952920"/>
      <w:bookmarkStart w:id="18" w:name="_Toc436025132"/>
      <w:bookmarkStart w:id="19" w:name="_Toc436025240"/>
      <w:bookmarkStart w:id="20" w:name="_Toc438017997"/>
      <w:bookmarkStart w:id="21" w:name="_Toc438018902"/>
      <w:r w:rsidRPr="006E757D">
        <w:lastRenderedPageBreak/>
        <w:t xml:space="preserve">The </w:t>
      </w:r>
      <w:r w:rsidR="00D1716E" w:rsidRPr="006E757D">
        <w:t>Post-Onsite and Reporting</w:t>
      </w:r>
      <w:r w:rsidRPr="006E757D">
        <w:t xml:space="preserve"> Process</w:t>
      </w:r>
    </w:p>
    <w:p w:rsidR="00D1716E" w:rsidRPr="006E757D" w:rsidRDefault="00D1716E">
      <w:pPr>
        <w:pStyle w:val="Body"/>
        <w:spacing w:before="0"/>
      </w:pPr>
      <w:r w:rsidRPr="006E757D">
        <w:t xml:space="preserve">The nature of post-onsite work depends on the outcome of the onsite visit. </w:t>
      </w:r>
      <w:r w:rsidR="008E6021" w:rsidRPr="006E757D">
        <w:t>W</w:t>
      </w:r>
      <w:r w:rsidRPr="006E757D">
        <w:t>hile on</w:t>
      </w:r>
      <w:r w:rsidR="003E7E50" w:rsidRPr="006E757D">
        <w:t xml:space="preserve"> </w:t>
      </w:r>
      <w:r w:rsidRPr="006E757D">
        <w:t xml:space="preserve">site, the </w:t>
      </w:r>
      <w:r w:rsidR="006D531A" w:rsidRPr="006E757D">
        <w:t xml:space="preserve">NCQA </w:t>
      </w:r>
      <w:r w:rsidRPr="006E757D">
        <w:t xml:space="preserve">Certified HEDIS Compliance Auditor </w:t>
      </w:r>
      <w:r w:rsidR="008E6021" w:rsidRPr="006E757D">
        <w:t xml:space="preserve">usually </w:t>
      </w:r>
      <w:r w:rsidRPr="006E757D">
        <w:t xml:space="preserve">finds issues that the </w:t>
      </w:r>
      <w:r w:rsidR="00202822" w:rsidRPr="006E757D">
        <w:t>organization</w:t>
      </w:r>
      <w:r w:rsidRPr="006E757D">
        <w:t xml:space="preserve"> can resolve before the Final Audit Report is issued. The auditor reviews and re</w:t>
      </w:r>
      <w:r w:rsidR="005C52A4">
        <w:t>-</w:t>
      </w:r>
      <w:r w:rsidRPr="006E757D">
        <w:t xml:space="preserve">audits these corrective actions and determines if they justify a change in the initial findings or audit </w:t>
      </w:r>
      <w:r w:rsidR="0032090C" w:rsidRPr="006E757D">
        <w:t>results</w:t>
      </w:r>
      <w:r w:rsidRPr="006E757D">
        <w:t xml:space="preserve">. </w:t>
      </w:r>
      <w:r w:rsidR="00FE5BEB" w:rsidRPr="006E757D">
        <w:t xml:space="preserve">The audit team sends the audit results to the </w:t>
      </w:r>
      <w:r w:rsidR="00202822" w:rsidRPr="006E757D">
        <w:t>organization</w:t>
      </w:r>
      <w:r w:rsidR="00FE5BEB" w:rsidRPr="006E757D">
        <w:t xml:space="preserve"> and NCQA in </w:t>
      </w:r>
      <w:r w:rsidRPr="006E757D">
        <w:t xml:space="preserve">the reporting phase of </w:t>
      </w:r>
      <w:r w:rsidR="008E6021" w:rsidRPr="006E757D">
        <w:t>the</w:t>
      </w:r>
      <w:r w:rsidRPr="006E757D">
        <w:t xml:space="preserve"> HEDIS Compliance Audit. </w:t>
      </w:r>
    </w:p>
    <w:p w:rsidR="00D1716E" w:rsidRPr="006E757D" w:rsidRDefault="00D1716E">
      <w:pPr>
        <w:pStyle w:val="StdHead"/>
        <w:numPr>
          <w:ilvl w:val="12"/>
          <w:numId w:val="0"/>
        </w:numPr>
        <w:rPr>
          <w:color w:val="auto"/>
        </w:rPr>
      </w:pPr>
      <w:r w:rsidRPr="006E757D">
        <w:rPr>
          <w:color w:val="auto"/>
        </w:rPr>
        <w:t>Corrective Actions and Reassessment</w:t>
      </w:r>
    </w:p>
    <w:p w:rsidR="00FE5BEB" w:rsidRPr="006E757D" w:rsidRDefault="00FE5BEB">
      <w:pPr>
        <w:pStyle w:val="Body"/>
        <w:numPr>
          <w:ilvl w:val="12"/>
          <w:numId w:val="0"/>
        </w:numPr>
      </w:pPr>
      <w:r w:rsidRPr="006E757D">
        <w:t xml:space="preserve">The post-onsite phase may be an iterative process </w:t>
      </w:r>
      <w:r w:rsidR="003E7E50" w:rsidRPr="006E757D">
        <w:t>where</w:t>
      </w:r>
      <w:r w:rsidRPr="006E757D">
        <w:t xml:space="preserve"> the </w:t>
      </w:r>
      <w:r w:rsidR="00202822" w:rsidRPr="006E757D">
        <w:t>organization</w:t>
      </w:r>
      <w:r w:rsidRPr="006E757D">
        <w:t xml:space="preserve"> responds to requests and the auditor incorporates the </w:t>
      </w:r>
      <w:r w:rsidR="00202822" w:rsidRPr="006E757D">
        <w:t>organization</w:t>
      </w:r>
      <w:r w:rsidR="00660316">
        <w:t>’</w:t>
      </w:r>
      <w:r w:rsidRPr="006E757D">
        <w:t>s documented comments and corrective actions, as appropriate. After the last review of material</w:t>
      </w:r>
      <w:r w:rsidR="008E6021" w:rsidRPr="006E757D">
        <w:t>s</w:t>
      </w:r>
      <w:r w:rsidRPr="006E757D">
        <w:t xml:space="preserve"> forwarded by the </w:t>
      </w:r>
      <w:r w:rsidR="00202822" w:rsidRPr="006E757D">
        <w:t>organization</w:t>
      </w:r>
      <w:r w:rsidRPr="006E757D">
        <w:t>, the auditor approves the final rates and results and produces the Final Audit Report.</w:t>
      </w:r>
      <w:r w:rsidR="007D5EB3" w:rsidRPr="006E757D">
        <w:t xml:space="preserve"> </w:t>
      </w:r>
      <w:r w:rsidRPr="006E757D">
        <w:t xml:space="preserve">For some measures initially assessed </w:t>
      </w:r>
      <w:r w:rsidRPr="006E757D">
        <w:rPr>
          <w:i/>
        </w:rPr>
        <w:t>NR</w:t>
      </w:r>
      <w:r w:rsidRPr="006E757D">
        <w:t xml:space="preserve">, the </w:t>
      </w:r>
      <w:r w:rsidR="00202822" w:rsidRPr="006E757D">
        <w:t>organization</w:t>
      </w:r>
      <w:r w:rsidRPr="006E757D">
        <w:t xml:space="preserve"> can follow the auditor</w:t>
      </w:r>
      <w:r w:rsidR="00660316">
        <w:t>’</w:t>
      </w:r>
      <w:r w:rsidRPr="006E757D">
        <w:t xml:space="preserve">s recommendations to improve the accuracy and reliability of the reported rate. The auditor reviews documents showing that the </w:t>
      </w:r>
      <w:r w:rsidR="00202822" w:rsidRPr="006E757D">
        <w:t>organization</w:t>
      </w:r>
      <w:r w:rsidRPr="006E757D">
        <w:t xml:space="preserve"> made the improvements and that the </w:t>
      </w:r>
      <w:r w:rsidR="00D25812" w:rsidRPr="006E757D">
        <w:t>mea</w:t>
      </w:r>
      <w:r w:rsidR="005B7A8B" w:rsidRPr="006E757D">
        <w:t>s</w:t>
      </w:r>
      <w:r w:rsidR="00D25812" w:rsidRPr="006E757D">
        <w:t xml:space="preserve">ure </w:t>
      </w:r>
      <w:r w:rsidRPr="006E757D">
        <w:t xml:space="preserve">rate accurately reflects </w:t>
      </w:r>
      <w:r w:rsidR="00202822" w:rsidRPr="006E757D">
        <w:t>organization</w:t>
      </w:r>
      <w:r w:rsidRPr="006E757D">
        <w:t xml:space="preserve"> performance. Corrective actions </w:t>
      </w:r>
      <w:r w:rsidR="00C72E85" w:rsidRPr="006E757D">
        <w:t>may include</w:t>
      </w:r>
      <w:r w:rsidR="008E6021" w:rsidRPr="006E757D">
        <w:t>:</w:t>
      </w:r>
    </w:p>
    <w:p w:rsidR="00FE5BEB" w:rsidRPr="006E757D" w:rsidRDefault="00C72E85" w:rsidP="00C72E85">
      <w:pPr>
        <w:pStyle w:val="Bullet"/>
      </w:pPr>
      <w:r w:rsidRPr="006E757D">
        <w:t>Change software programs</w:t>
      </w:r>
      <w:r w:rsidR="0009029A">
        <w:t>.</w:t>
      </w:r>
    </w:p>
    <w:p w:rsidR="00FE5BEB" w:rsidRPr="006E757D" w:rsidRDefault="00FE5BEB" w:rsidP="00C72E85">
      <w:pPr>
        <w:pStyle w:val="Bullet"/>
      </w:pPr>
      <w:r w:rsidRPr="006E757D">
        <w:t>Re</w:t>
      </w:r>
      <w:r w:rsidR="00C72E85" w:rsidRPr="006E757D">
        <w:t>calculate rates</w:t>
      </w:r>
      <w:r w:rsidR="0009029A">
        <w:t>.</w:t>
      </w:r>
    </w:p>
    <w:p w:rsidR="00FE5BEB" w:rsidRPr="006E757D" w:rsidRDefault="00FE5BEB" w:rsidP="00C72E85">
      <w:pPr>
        <w:pStyle w:val="Bullet"/>
      </w:pPr>
      <w:r w:rsidRPr="006E757D">
        <w:t>Repeat file extracts with logic or</w:t>
      </w:r>
      <w:r w:rsidR="00C72E85" w:rsidRPr="006E757D">
        <w:t xml:space="preserve"> parameter changes</w:t>
      </w:r>
      <w:r w:rsidR="0009029A">
        <w:t>.</w:t>
      </w:r>
    </w:p>
    <w:p w:rsidR="00FE5BEB" w:rsidRPr="006E757D" w:rsidRDefault="00FE5BEB" w:rsidP="00C72E85">
      <w:pPr>
        <w:pStyle w:val="Bullet"/>
      </w:pPr>
      <w:r w:rsidRPr="006E757D">
        <w:t>Re-review medical recor</w:t>
      </w:r>
      <w:r w:rsidR="00C72E85" w:rsidRPr="006E757D">
        <w:t>ds</w:t>
      </w:r>
      <w:r w:rsidR="0009029A">
        <w:t>.</w:t>
      </w:r>
    </w:p>
    <w:p w:rsidR="00FE5BEB" w:rsidRPr="006E757D" w:rsidRDefault="00FE5BEB" w:rsidP="00C72E85">
      <w:pPr>
        <w:pStyle w:val="Bullet"/>
      </w:pPr>
      <w:r w:rsidRPr="006E757D">
        <w:t>Modify documents to match onsite findings</w:t>
      </w:r>
      <w:r w:rsidR="0009029A">
        <w:t>.</w:t>
      </w:r>
    </w:p>
    <w:p w:rsidR="00FE5BEB" w:rsidRPr="006E757D" w:rsidRDefault="00FE5BEB" w:rsidP="00C72E85">
      <w:pPr>
        <w:pStyle w:val="Bullet"/>
      </w:pPr>
      <w:r w:rsidRPr="006E757D">
        <w:t>Initiate a new procedure and review its impact on reporting-year results</w:t>
      </w:r>
      <w:r w:rsidR="008E6021" w:rsidRPr="006E757D">
        <w:t>.</w:t>
      </w:r>
    </w:p>
    <w:p w:rsidR="00FE5BEB" w:rsidRPr="006E757D" w:rsidRDefault="00FE5BEB" w:rsidP="00F46B54">
      <w:pPr>
        <w:pStyle w:val="Body"/>
        <w:numPr>
          <w:ilvl w:val="12"/>
          <w:numId w:val="0"/>
        </w:numPr>
      </w:pPr>
      <w:r w:rsidRPr="006E757D">
        <w:t xml:space="preserve">The </w:t>
      </w:r>
      <w:r w:rsidR="00202822" w:rsidRPr="006E757D">
        <w:t>organization</w:t>
      </w:r>
      <w:r w:rsidRPr="006E757D">
        <w:t xml:space="preserve"> and the auditor agree on a completion date for corrective actions, usually </w:t>
      </w:r>
      <w:r w:rsidR="008E6021" w:rsidRPr="006E757D">
        <w:t xml:space="preserve">at least </w:t>
      </w:r>
      <w:r w:rsidRPr="006E757D">
        <w:t xml:space="preserve">two weeks before data submission to NCQA. On or before the completion date, the </w:t>
      </w:r>
      <w:r w:rsidR="00202822" w:rsidRPr="006E757D">
        <w:t>organization</w:t>
      </w:r>
      <w:r w:rsidRPr="006E757D">
        <w:t xml:space="preserve"> must give the results, supporting documentation and comments to the auditor, who determines </w:t>
      </w:r>
      <w:r w:rsidR="0009029A">
        <w:t>if</w:t>
      </w:r>
      <w:r w:rsidRPr="006E757D">
        <w:t xml:space="preserve"> modification</w:t>
      </w:r>
      <w:r w:rsidR="008E6021" w:rsidRPr="006E757D">
        <w:t xml:space="preserve"> </w:t>
      </w:r>
      <w:r w:rsidRPr="006E757D">
        <w:t xml:space="preserve">is necessary. If the </w:t>
      </w:r>
      <w:r w:rsidR="00202822" w:rsidRPr="006E757D">
        <w:t>organization</w:t>
      </w:r>
      <w:r w:rsidRPr="006E757D">
        <w:t xml:space="preserve"> declines to revise a noncompliant methodology, the auditor assesses</w:t>
      </w:r>
      <w:r w:rsidR="008E6021" w:rsidRPr="006E757D">
        <w:t xml:space="preserve"> </w:t>
      </w:r>
      <w:r w:rsidRPr="006E757D">
        <w:t xml:space="preserve">if noncompliance affects reporting and designates the </w:t>
      </w:r>
      <w:r w:rsidRPr="006E757D">
        <w:rPr>
          <w:i/>
          <w:iCs/>
        </w:rPr>
        <w:t xml:space="preserve">NR </w:t>
      </w:r>
      <w:r w:rsidRPr="006E757D">
        <w:t xml:space="preserve">measures. This information and the recommendations are included in the Final Audit Report. If the </w:t>
      </w:r>
      <w:r w:rsidR="00202822" w:rsidRPr="006E757D">
        <w:t>organization</w:t>
      </w:r>
      <w:r w:rsidRPr="006E757D">
        <w:t xml:space="preserve"> does not take corrective action and noncompliance does not significantly bias accuracy or comparability, this is noted and included in the Final Audit Report.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75"/>
        <w:gridCol w:w="7625"/>
      </w:tblGrid>
      <w:tr w:rsidR="00D1716E" w:rsidRPr="006E757D" w:rsidTr="009349C6">
        <w:trPr>
          <w:cantSplit/>
        </w:trPr>
        <w:tc>
          <w:tcPr>
            <w:tcW w:w="2275" w:type="dxa"/>
            <w:tcBorders>
              <w:top w:val="nil"/>
              <w:left w:val="nil"/>
              <w:bottom w:val="nil"/>
              <w:right w:val="nil"/>
            </w:tcBorders>
            <w:tcMar>
              <w:left w:w="115" w:type="dxa"/>
              <w:right w:w="115" w:type="dxa"/>
            </w:tcMar>
          </w:tcPr>
          <w:p w:rsidR="00D1716E" w:rsidRPr="006E757D" w:rsidRDefault="00D1716E" w:rsidP="004A3E38">
            <w:pPr>
              <w:pStyle w:val="MarginSubhead"/>
            </w:pPr>
            <w:r w:rsidRPr="006E757D">
              <w:t>Review for sufficient corrective action</w:t>
            </w:r>
          </w:p>
        </w:tc>
        <w:tc>
          <w:tcPr>
            <w:tcW w:w="7625" w:type="dxa"/>
            <w:tcBorders>
              <w:top w:val="nil"/>
              <w:left w:val="nil"/>
              <w:bottom w:val="nil"/>
              <w:right w:val="nil"/>
            </w:tcBorders>
            <w:tcMar>
              <w:left w:w="115" w:type="dxa"/>
              <w:right w:w="115" w:type="dxa"/>
            </w:tcMar>
          </w:tcPr>
          <w:p w:rsidR="00D1716E" w:rsidRPr="006E757D" w:rsidRDefault="00D1716E">
            <w:pPr>
              <w:pStyle w:val="Body"/>
              <w:numPr>
                <w:ilvl w:val="12"/>
                <w:numId w:val="0"/>
              </w:numPr>
            </w:pPr>
            <w:r w:rsidRPr="006E757D">
              <w:t xml:space="preserve">To determine if </w:t>
            </w:r>
            <w:r w:rsidR="00FE5BEB" w:rsidRPr="006E757D">
              <w:t xml:space="preserve">a </w:t>
            </w:r>
            <w:r w:rsidRPr="006E757D">
              <w:t>corrective action is sufficient, the auditor re</w:t>
            </w:r>
            <w:r w:rsidR="00C72E85" w:rsidRPr="006E757D">
              <w:t>views the following.</w:t>
            </w:r>
          </w:p>
          <w:p w:rsidR="00FE5BEB" w:rsidRPr="006E757D" w:rsidRDefault="00FE5BEB" w:rsidP="00C72E85">
            <w:pPr>
              <w:pStyle w:val="Bullet"/>
            </w:pPr>
            <w:r w:rsidRPr="006E757D">
              <w:t xml:space="preserve">Written </w:t>
            </w:r>
            <w:r w:rsidR="00D1716E" w:rsidRPr="006E757D">
              <w:t xml:space="preserve">or electronic documentation of revised numerator and denominator data and other data used in </w:t>
            </w:r>
            <w:r w:rsidR="00D25812" w:rsidRPr="006E757D">
              <w:t xml:space="preserve">measure </w:t>
            </w:r>
            <w:r w:rsidR="00D1716E" w:rsidRPr="006E757D">
              <w:t xml:space="preserve">determinations. </w:t>
            </w:r>
          </w:p>
          <w:p w:rsidR="00D1716E" w:rsidRPr="006E757D" w:rsidRDefault="00D1716E" w:rsidP="005C52A4">
            <w:pPr>
              <w:pStyle w:val="Dash"/>
            </w:pPr>
            <w:r w:rsidRPr="006E757D">
              <w:t xml:space="preserve">Undocumented verbal communication or statements made by the </w:t>
            </w:r>
            <w:r w:rsidR="00202822" w:rsidRPr="006E757D">
              <w:t>organization</w:t>
            </w:r>
            <w:r w:rsidRPr="006E757D">
              <w:t xml:space="preserve"> are insufficient for completing the assessment.</w:t>
            </w:r>
          </w:p>
          <w:p w:rsidR="00D1716E" w:rsidRPr="006E757D" w:rsidRDefault="00FE5BEB" w:rsidP="00C72E85">
            <w:pPr>
              <w:pStyle w:val="Bullet"/>
            </w:pPr>
            <w:r w:rsidRPr="006E757D">
              <w:t xml:space="preserve">The </w:t>
            </w:r>
            <w:r w:rsidR="00D1716E" w:rsidRPr="006E757D">
              <w:t>revised programming logic used in measurement computation.</w:t>
            </w:r>
          </w:p>
          <w:p w:rsidR="00D1716E" w:rsidRPr="006E757D" w:rsidRDefault="00FE5BEB" w:rsidP="00C72E85">
            <w:pPr>
              <w:pStyle w:val="Bullet"/>
            </w:pPr>
            <w:r w:rsidRPr="006E757D">
              <w:t xml:space="preserve">The </w:t>
            </w:r>
            <w:r w:rsidR="00D1716E" w:rsidRPr="006E757D">
              <w:t xml:space="preserve">primary data source, such as claims or encounter forms, summarized claim detail, medical records or enrollment forms. The auditor may also review other primary data sources that affect the </w:t>
            </w:r>
            <w:r w:rsidR="00202822" w:rsidRPr="006E757D">
              <w:t>organization</w:t>
            </w:r>
            <w:r w:rsidR="00660316">
              <w:t>’</w:t>
            </w:r>
            <w:r w:rsidR="00D1716E" w:rsidRPr="006E757D">
              <w:t>s data and algorithmic integrity.</w:t>
            </w:r>
          </w:p>
        </w:tc>
      </w:tr>
    </w:tbl>
    <w:p w:rsidR="00432E51" w:rsidRPr="006E757D" w:rsidRDefault="00432E51" w:rsidP="0009029A">
      <w:pPr>
        <w:pStyle w:val="SubHead"/>
        <w:spacing w:before="240"/>
        <w:rPr>
          <w:i/>
        </w:rPr>
      </w:pPr>
      <w:r w:rsidRPr="006E757D">
        <w:rPr>
          <w:i/>
        </w:rPr>
        <w:t>Note</w:t>
      </w:r>
    </w:p>
    <w:p w:rsidR="00432E51" w:rsidRPr="006E757D" w:rsidRDefault="00432E51" w:rsidP="00432E51">
      <w:pPr>
        <w:pStyle w:val="ProcessBullet"/>
        <w:rPr>
          <w:i/>
        </w:rPr>
      </w:pPr>
      <w:r w:rsidRPr="006E757D">
        <w:rPr>
          <w:i/>
        </w:rPr>
        <w:t>To meet the data submission deadline, all follow-up activities and corrective actions must be completed two weeks before data submission to NCQA.</w:t>
      </w:r>
    </w:p>
    <w:p w:rsidR="00432E51" w:rsidRPr="006E757D" w:rsidRDefault="00432E51">
      <w:pPr>
        <w:sectPr w:rsidR="00432E51" w:rsidRPr="006E757D" w:rsidSect="00C228DE">
          <w:headerReference w:type="even" r:id="rId62"/>
          <w:headerReference w:type="default" r:id="rId63"/>
          <w:footerReference w:type="default" r:id="rId64"/>
          <w:pgSz w:w="12240" w:h="15840" w:code="1"/>
          <w:pgMar w:top="1080" w:right="1080" w:bottom="1080" w:left="1440" w:header="720" w:footer="720" w:gutter="0"/>
          <w:paperSrc w:first="7" w:other="7"/>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430"/>
        <w:gridCol w:w="7470"/>
      </w:tblGrid>
      <w:tr w:rsidR="007D5EB3" w:rsidRPr="006E757D" w:rsidTr="00D10453">
        <w:trPr>
          <w:cantSplit/>
        </w:trPr>
        <w:tc>
          <w:tcPr>
            <w:tcW w:w="2430" w:type="dxa"/>
            <w:tcBorders>
              <w:top w:val="nil"/>
              <w:left w:val="nil"/>
              <w:bottom w:val="nil"/>
              <w:right w:val="nil"/>
            </w:tcBorders>
            <w:tcMar>
              <w:left w:w="115" w:type="dxa"/>
              <w:right w:w="115" w:type="dxa"/>
            </w:tcMar>
          </w:tcPr>
          <w:p w:rsidR="007D5EB3" w:rsidRPr="006E757D" w:rsidRDefault="007D5EB3" w:rsidP="004A3E38">
            <w:pPr>
              <w:pStyle w:val="MarginSubhead"/>
              <w:numPr>
                <w:ilvl w:val="12"/>
                <w:numId w:val="0"/>
              </w:numPr>
              <w:spacing w:before="0"/>
              <w:ind w:left="216"/>
            </w:pPr>
            <w:r w:rsidRPr="006E757D">
              <w:lastRenderedPageBreak/>
              <w:t>Determining bias</w:t>
            </w:r>
          </w:p>
        </w:tc>
        <w:tc>
          <w:tcPr>
            <w:tcW w:w="7470" w:type="dxa"/>
            <w:tcBorders>
              <w:top w:val="nil"/>
              <w:left w:val="nil"/>
              <w:bottom w:val="nil"/>
              <w:right w:val="nil"/>
            </w:tcBorders>
            <w:tcMar>
              <w:left w:w="115" w:type="dxa"/>
              <w:right w:w="115" w:type="dxa"/>
            </w:tcMar>
          </w:tcPr>
          <w:p w:rsidR="007D5EB3" w:rsidRPr="006E757D" w:rsidRDefault="0009029A" w:rsidP="0009029A">
            <w:pPr>
              <w:pStyle w:val="Body"/>
              <w:numPr>
                <w:ilvl w:val="12"/>
                <w:numId w:val="0"/>
              </w:numPr>
              <w:spacing w:before="0"/>
            </w:pPr>
            <w:r w:rsidRPr="006E757D">
              <w:t xml:space="preserve">Bias is based on the degree of data completeness for the data collection method used and depends on the measure or domain. </w:t>
            </w:r>
            <w:r w:rsidR="007D5EB3" w:rsidRPr="006E757D">
              <w:t xml:space="preserve">If the auditor determines that a measure is biased, the organization </w:t>
            </w:r>
            <w:r>
              <w:t xml:space="preserve">may </w:t>
            </w:r>
            <w:r w:rsidRPr="006E757D">
              <w:t xml:space="preserve">not </w:t>
            </w:r>
            <w:r w:rsidR="007D5EB3" w:rsidRPr="006E757D">
              <w:t>report a rate for that measure. T</w:t>
            </w:r>
            <w:r w:rsidR="00553193" w:rsidRPr="006E757D">
              <w:t xml:space="preserve">hree </w:t>
            </w:r>
            <w:r w:rsidR="007D5EB3" w:rsidRPr="006E757D">
              <w:t xml:space="preserve">assessments of bias are listed below. Refer to Appendix </w:t>
            </w:r>
            <w:r w:rsidR="007E123B" w:rsidRPr="006E757D">
              <w:t>9</w:t>
            </w:r>
            <w:r w:rsidR="007D5EB3" w:rsidRPr="006E757D">
              <w:t xml:space="preserve"> for a list </w:t>
            </w:r>
            <w:r w:rsidR="003E7E50" w:rsidRPr="006E757D">
              <w:t xml:space="preserve">of </w:t>
            </w:r>
            <w:r w:rsidR="007D5EB3" w:rsidRPr="006E757D">
              <w:t>measures and applicable assessments.</w:t>
            </w:r>
          </w:p>
        </w:tc>
      </w:tr>
      <w:tr w:rsidR="00432E51" w:rsidRPr="006E757D" w:rsidTr="00D10453">
        <w:trPr>
          <w:cantSplit/>
        </w:trPr>
        <w:tc>
          <w:tcPr>
            <w:tcW w:w="2430" w:type="dxa"/>
            <w:tcBorders>
              <w:top w:val="nil"/>
              <w:left w:val="nil"/>
              <w:bottom w:val="nil"/>
              <w:right w:val="nil"/>
            </w:tcBorders>
            <w:tcMar>
              <w:left w:w="115" w:type="dxa"/>
              <w:right w:w="115" w:type="dxa"/>
            </w:tcMar>
          </w:tcPr>
          <w:p w:rsidR="00432E51" w:rsidRPr="006E757D" w:rsidRDefault="00432E51" w:rsidP="00135E5B">
            <w:pPr>
              <w:pStyle w:val="MarginSubhead"/>
              <w:numPr>
                <w:ilvl w:val="12"/>
                <w:numId w:val="0"/>
              </w:numPr>
              <w:jc w:val="right"/>
              <w:rPr>
                <w:i/>
                <w:iCs/>
              </w:rPr>
            </w:pPr>
            <w:r w:rsidRPr="006E757D">
              <w:rPr>
                <w:i/>
                <w:iCs/>
              </w:rPr>
              <w:t>Bias determination 1:</w:t>
            </w:r>
          </w:p>
        </w:tc>
        <w:tc>
          <w:tcPr>
            <w:tcW w:w="7470" w:type="dxa"/>
            <w:tcBorders>
              <w:top w:val="nil"/>
              <w:left w:val="nil"/>
              <w:bottom w:val="nil"/>
              <w:right w:val="nil"/>
            </w:tcBorders>
            <w:tcMar>
              <w:left w:w="115" w:type="dxa"/>
              <w:right w:w="115" w:type="dxa"/>
            </w:tcMar>
          </w:tcPr>
          <w:p w:rsidR="00432E51" w:rsidRPr="006E757D" w:rsidRDefault="00432E51" w:rsidP="00135E5B">
            <w:pPr>
              <w:pStyle w:val="Body"/>
            </w:pPr>
            <w:r w:rsidRPr="006E757D">
              <w:t>An error causes a (+/</w:t>
            </w:r>
            <w:r w:rsidRPr="006E757D">
              <w:rPr>
                <w:rFonts w:cs="Arial"/>
                <w:szCs w:val="20"/>
              </w:rPr>
              <w:t>–</w:t>
            </w:r>
            <w:r w:rsidRPr="006E757D">
              <w:t>)5 percentage point difference in the reported rate.</w:t>
            </w:r>
          </w:p>
        </w:tc>
      </w:tr>
      <w:tr w:rsidR="00432E51" w:rsidRPr="006E757D" w:rsidTr="00D10453">
        <w:trPr>
          <w:cantSplit/>
        </w:trPr>
        <w:tc>
          <w:tcPr>
            <w:tcW w:w="2430" w:type="dxa"/>
            <w:tcBorders>
              <w:top w:val="nil"/>
              <w:left w:val="nil"/>
              <w:bottom w:val="nil"/>
              <w:right w:val="nil"/>
            </w:tcBorders>
            <w:tcMar>
              <w:left w:w="115" w:type="dxa"/>
              <w:right w:w="115" w:type="dxa"/>
            </w:tcMar>
          </w:tcPr>
          <w:p w:rsidR="00432E51" w:rsidRPr="006E757D" w:rsidRDefault="00432E51" w:rsidP="00135E5B">
            <w:pPr>
              <w:pStyle w:val="MarginSubhead"/>
              <w:numPr>
                <w:ilvl w:val="12"/>
                <w:numId w:val="0"/>
              </w:numPr>
              <w:jc w:val="right"/>
              <w:rPr>
                <w:i/>
                <w:iCs/>
              </w:rPr>
            </w:pPr>
            <w:r w:rsidRPr="006E757D">
              <w:rPr>
                <w:i/>
                <w:iCs/>
              </w:rPr>
              <w:t>Bias determination 2:</w:t>
            </w:r>
          </w:p>
        </w:tc>
        <w:tc>
          <w:tcPr>
            <w:tcW w:w="7470" w:type="dxa"/>
            <w:tcBorders>
              <w:top w:val="nil"/>
              <w:left w:val="nil"/>
              <w:bottom w:val="nil"/>
              <w:right w:val="nil"/>
            </w:tcBorders>
            <w:tcMar>
              <w:left w:w="115" w:type="dxa"/>
              <w:right w:w="115" w:type="dxa"/>
            </w:tcMar>
          </w:tcPr>
          <w:p w:rsidR="00D10453" w:rsidRPr="006E757D" w:rsidRDefault="00432E51" w:rsidP="00664FCE">
            <w:pPr>
              <w:pStyle w:val="Body"/>
            </w:pPr>
            <w:r w:rsidRPr="006E757D">
              <w:t>An error causes a (+/</w:t>
            </w:r>
            <w:r w:rsidRPr="006E757D">
              <w:rPr>
                <w:rFonts w:cs="Arial"/>
                <w:szCs w:val="20"/>
              </w:rPr>
              <w:t>–</w:t>
            </w:r>
            <w:r w:rsidRPr="006E757D">
              <w:t>)10 percent change in the reported rate.</w:t>
            </w:r>
          </w:p>
        </w:tc>
      </w:tr>
      <w:tr w:rsidR="00D10453" w:rsidRPr="006E757D" w:rsidTr="00D10453">
        <w:trPr>
          <w:cantSplit/>
        </w:trPr>
        <w:tc>
          <w:tcPr>
            <w:tcW w:w="2430" w:type="dxa"/>
            <w:tcBorders>
              <w:top w:val="nil"/>
              <w:left w:val="nil"/>
              <w:bottom w:val="nil"/>
              <w:right w:val="nil"/>
            </w:tcBorders>
            <w:tcMar>
              <w:left w:w="115" w:type="dxa"/>
              <w:right w:w="115" w:type="dxa"/>
            </w:tcMar>
          </w:tcPr>
          <w:p w:rsidR="00D10453" w:rsidRPr="006E757D" w:rsidRDefault="00D10453" w:rsidP="00135E5B">
            <w:pPr>
              <w:pStyle w:val="MarginSubhead"/>
              <w:numPr>
                <w:ilvl w:val="12"/>
                <w:numId w:val="0"/>
              </w:numPr>
              <w:jc w:val="right"/>
              <w:rPr>
                <w:i/>
                <w:iCs/>
              </w:rPr>
            </w:pPr>
            <w:r w:rsidRPr="006E757D">
              <w:rPr>
                <w:i/>
                <w:iCs/>
              </w:rPr>
              <w:t>Bias determination 3:</w:t>
            </w:r>
          </w:p>
        </w:tc>
        <w:tc>
          <w:tcPr>
            <w:tcW w:w="7470" w:type="dxa"/>
            <w:tcBorders>
              <w:top w:val="nil"/>
              <w:left w:val="nil"/>
              <w:bottom w:val="nil"/>
              <w:right w:val="nil"/>
            </w:tcBorders>
            <w:tcMar>
              <w:left w:w="115" w:type="dxa"/>
              <w:right w:w="115" w:type="dxa"/>
            </w:tcMar>
          </w:tcPr>
          <w:p w:rsidR="00D10453" w:rsidRPr="006E757D" w:rsidRDefault="00D10453" w:rsidP="00664FCE">
            <w:pPr>
              <w:pStyle w:val="Body"/>
            </w:pPr>
            <w:r w:rsidRPr="006E757D">
              <w:rPr>
                <w:rFonts w:cs="Arial"/>
                <w:szCs w:val="20"/>
              </w:rPr>
              <w:t>An error causes a (+/–)5 percent change in the reported rate.</w:t>
            </w:r>
          </w:p>
        </w:tc>
      </w:tr>
      <w:tr w:rsidR="00432E51" w:rsidRPr="006E757D" w:rsidTr="00D10453">
        <w:trPr>
          <w:cantSplit/>
        </w:trPr>
        <w:tc>
          <w:tcPr>
            <w:tcW w:w="2430" w:type="dxa"/>
            <w:tcBorders>
              <w:top w:val="nil"/>
              <w:left w:val="nil"/>
              <w:bottom w:val="nil"/>
              <w:right w:val="nil"/>
            </w:tcBorders>
            <w:tcMar>
              <w:left w:w="115" w:type="dxa"/>
              <w:right w:w="115" w:type="dxa"/>
            </w:tcMar>
          </w:tcPr>
          <w:p w:rsidR="00432E51" w:rsidRPr="006E757D" w:rsidRDefault="00D10453" w:rsidP="00135E5B">
            <w:pPr>
              <w:pStyle w:val="MarginSubhead"/>
              <w:numPr>
                <w:ilvl w:val="12"/>
                <w:numId w:val="0"/>
              </w:numPr>
              <w:jc w:val="right"/>
              <w:rPr>
                <w:i/>
                <w:iCs/>
              </w:rPr>
            </w:pPr>
            <w:r w:rsidRPr="006E757D">
              <w:rPr>
                <w:i/>
                <w:iCs/>
              </w:rPr>
              <w:t>Bias determination</w:t>
            </w:r>
            <w:r w:rsidR="000D6E87" w:rsidRPr="006E757D">
              <w:rPr>
                <w:i/>
                <w:iCs/>
              </w:rPr>
              <w:t xml:space="preserve"> </w:t>
            </w:r>
            <w:r w:rsidRPr="006E757D">
              <w:rPr>
                <w:i/>
                <w:iCs/>
              </w:rPr>
              <w:t>4:</w:t>
            </w:r>
          </w:p>
        </w:tc>
        <w:tc>
          <w:tcPr>
            <w:tcW w:w="7470" w:type="dxa"/>
            <w:tcBorders>
              <w:top w:val="nil"/>
              <w:left w:val="nil"/>
              <w:bottom w:val="nil"/>
              <w:right w:val="nil"/>
            </w:tcBorders>
            <w:tcMar>
              <w:left w:w="115" w:type="dxa"/>
              <w:right w:w="115" w:type="dxa"/>
            </w:tcMar>
          </w:tcPr>
          <w:p w:rsidR="00432E51" w:rsidRPr="006E757D" w:rsidRDefault="00D10453" w:rsidP="00664FCE">
            <w:pPr>
              <w:pStyle w:val="Body"/>
              <w:rPr>
                <w:rFonts w:cs="Arial"/>
                <w:szCs w:val="20"/>
              </w:rPr>
            </w:pPr>
            <w:r w:rsidRPr="006E757D">
              <w:rPr>
                <w:rFonts w:cs="Arial"/>
                <w:szCs w:val="20"/>
              </w:rPr>
              <w:t>An error that causes a (+/</w:t>
            </w:r>
            <w:r w:rsidR="006F6C3A" w:rsidRPr="006E757D">
              <w:rPr>
                <w:rFonts w:cs="Arial"/>
                <w:szCs w:val="20"/>
              </w:rPr>
              <w:t>–</w:t>
            </w:r>
            <w:r w:rsidRPr="006E757D">
              <w:rPr>
                <w:rFonts w:cs="Arial"/>
                <w:szCs w:val="20"/>
              </w:rPr>
              <w:t xml:space="preserve">)10 percent change in the index hospital stays </w:t>
            </w:r>
            <w:r w:rsidR="00664FCE">
              <w:rPr>
                <w:rFonts w:cs="Arial"/>
                <w:szCs w:val="20"/>
              </w:rPr>
              <w:t>(</w:t>
            </w:r>
            <w:r w:rsidRPr="006E757D">
              <w:rPr>
                <w:rFonts w:cs="Arial"/>
                <w:szCs w:val="20"/>
              </w:rPr>
              <w:t>numerator</w:t>
            </w:r>
            <w:r w:rsidR="00664FCE">
              <w:rPr>
                <w:rFonts w:cs="Arial"/>
                <w:szCs w:val="20"/>
              </w:rPr>
              <w:t>)</w:t>
            </w:r>
            <w:r w:rsidRPr="006E757D">
              <w:rPr>
                <w:rFonts w:cs="Arial"/>
                <w:szCs w:val="20"/>
              </w:rPr>
              <w:t>.</w:t>
            </w:r>
          </w:p>
        </w:tc>
      </w:tr>
    </w:tbl>
    <w:p w:rsidR="00D1716E" w:rsidRPr="006E757D" w:rsidRDefault="00D1716E">
      <w:pPr>
        <w:pStyle w:val="StdHead"/>
        <w:numPr>
          <w:ilvl w:val="12"/>
          <w:numId w:val="0"/>
        </w:numPr>
        <w:rPr>
          <w:color w:val="auto"/>
        </w:rPr>
      </w:pPr>
      <w:bookmarkStart w:id="22" w:name="_Toc438018000"/>
      <w:bookmarkStart w:id="23" w:name="_Toc438018905"/>
      <w:r w:rsidRPr="006E757D">
        <w:rPr>
          <w:color w:val="auto"/>
        </w:rPr>
        <w:t xml:space="preserve">Audit </w:t>
      </w:r>
      <w:r w:rsidR="0032090C" w:rsidRPr="006E757D">
        <w:rPr>
          <w:color w:val="auto"/>
        </w:rPr>
        <w:t>Results</w:t>
      </w:r>
    </w:p>
    <w:p w:rsidR="0094209A" w:rsidRPr="006E757D" w:rsidRDefault="00EF3499">
      <w:pPr>
        <w:pStyle w:val="Body"/>
        <w:numPr>
          <w:ilvl w:val="12"/>
          <w:numId w:val="0"/>
        </w:numPr>
      </w:pPr>
      <w:r w:rsidRPr="006E757D">
        <w:t xml:space="preserve">An NCQA audit </w:t>
      </w:r>
      <w:r w:rsidR="00903D99" w:rsidRPr="006E757D">
        <w:t>result</w:t>
      </w:r>
      <w:r w:rsidR="008B7BCC" w:rsidRPr="006E757D">
        <w:t>s</w:t>
      </w:r>
      <w:r w:rsidR="00903D99" w:rsidRPr="006E757D">
        <w:t xml:space="preserve"> in audited rates or calculations at the measure</w:t>
      </w:r>
      <w:r w:rsidR="00541DB7" w:rsidRPr="006E757D">
        <w:t xml:space="preserve"> </w:t>
      </w:r>
      <w:r w:rsidR="008B7BCC" w:rsidRPr="006E757D">
        <w:t xml:space="preserve">or indicator level </w:t>
      </w:r>
      <w:r w:rsidR="00903D99" w:rsidRPr="006E757D">
        <w:t>and indicate</w:t>
      </w:r>
      <w:r w:rsidRPr="006E757D">
        <w:t>s</w:t>
      </w:r>
      <w:r w:rsidR="00903D99" w:rsidRPr="006E757D">
        <w:t xml:space="preserve"> </w:t>
      </w:r>
      <w:r w:rsidR="00432E51" w:rsidRPr="006E757D">
        <w:t xml:space="preserve">whether </w:t>
      </w:r>
      <w:r w:rsidR="00903D99" w:rsidRPr="006E757D">
        <w:t xml:space="preserve">the measures can be publicly reported. All measures selected for reporting must have a final, audited result. A measure selected for reporting or required by a state or federal program can receive a rate of </w:t>
      </w:r>
      <w:r w:rsidR="00903D99" w:rsidRPr="006E757D">
        <w:rPr>
          <w:i/>
          <w:iCs/>
        </w:rPr>
        <w:t>NR</w:t>
      </w:r>
      <w:r w:rsidR="00903D99" w:rsidRPr="006E757D">
        <w:t xml:space="preserve"> if the auditor determines it is not reportable.</w:t>
      </w:r>
      <w:r w:rsidR="00C72E85" w:rsidRPr="006E757D">
        <w:t xml:space="preserve"> </w:t>
      </w:r>
      <w:r w:rsidR="007457D2" w:rsidRPr="006E757D">
        <w:t>Organization</w:t>
      </w:r>
      <w:r w:rsidR="008F03D0" w:rsidRPr="006E757D">
        <w:t>s with Medicare member</w:t>
      </w:r>
      <w:r w:rsidR="0094209A" w:rsidRPr="006E757D">
        <w:t xml:space="preserve">s must report all Medicare measures. If </w:t>
      </w:r>
      <w:r w:rsidR="007460C6" w:rsidRPr="006E757D">
        <w:t xml:space="preserve">a </w:t>
      </w:r>
      <w:r w:rsidR="0094209A" w:rsidRPr="006E757D">
        <w:t xml:space="preserve">measure result is </w:t>
      </w:r>
      <w:r w:rsidR="0094209A" w:rsidRPr="006E757D">
        <w:rPr>
          <w:i/>
        </w:rPr>
        <w:t>NR,</w:t>
      </w:r>
      <w:r w:rsidR="0094209A" w:rsidRPr="006E757D">
        <w:t xml:space="preserve"> the auditor should use the </w:t>
      </w:r>
      <w:r w:rsidR="00EE2DD6" w:rsidRPr="006E757D">
        <w:t>c</w:t>
      </w:r>
      <w:r w:rsidR="0094209A" w:rsidRPr="006E757D">
        <w:t xml:space="preserve">omment field in IDSS to indicate </w:t>
      </w:r>
      <w:r w:rsidR="00553193" w:rsidRPr="006E757D">
        <w:t>the reason; the default comment indicates the rate was biased</w:t>
      </w:r>
      <w:r w:rsidR="007457D2" w:rsidRPr="006E757D">
        <w:t>.</w:t>
      </w:r>
      <w:r w:rsidR="0094209A" w:rsidRPr="006E757D">
        <w:t xml:space="preserve"> </w:t>
      </w:r>
      <w:r w:rsidR="007457D2" w:rsidRPr="006E757D">
        <w:t>R</w:t>
      </w:r>
      <w:r w:rsidR="0094209A" w:rsidRPr="006E757D">
        <w:t xml:space="preserve">eporting </w:t>
      </w:r>
      <w:r w:rsidR="0094209A" w:rsidRPr="006E757D">
        <w:rPr>
          <w:i/>
        </w:rPr>
        <w:t>NR</w:t>
      </w:r>
      <w:r w:rsidR="0094209A" w:rsidRPr="006E757D">
        <w:t xml:space="preserve"> because the </w:t>
      </w:r>
      <w:r w:rsidR="00202822" w:rsidRPr="006E757D">
        <w:t>organization</w:t>
      </w:r>
      <w:r w:rsidR="0094209A" w:rsidRPr="006E757D">
        <w:t xml:space="preserve"> chose not to report puts </w:t>
      </w:r>
      <w:r w:rsidR="007460C6" w:rsidRPr="006E757D">
        <w:t xml:space="preserve">the organization </w:t>
      </w:r>
      <w:r w:rsidR="0094209A" w:rsidRPr="006E757D">
        <w:t>at risk of noncompliance with CMS regulations</w:t>
      </w:r>
      <w:r w:rsidR="00720D7D" w:rsidRPr="006E757D">
        <w:t xml:space="preserve">. </w:t>
      </w:r>
      <w:r w:rsidR="00903D99" w:rsidRPr="006E757D">
        <w:t>The auditor approves the rate or report status of each measure</w:t>
      </w:r>
      <w:r w:rsidR="00432E51" w:rsidRPr="006E757D">
        <w:t>,</w:t>
      </w:r>
      <w:r w:rsidR="00903D99" w:rsidRPr="006E757D">
        <w:t xml:space="preserve"> as shown in the following table. </w:t>
      </w:r>
    </w:p>
    <w:p w:rsidR="00AB7070" w:rsidRPr="006E757D" w:rsidRDefault="008D5D28" w:rsidP="00903D99">
      <w:pPr>
        <w:pStyle w:val="Heading3"/>
      </w:pPr>
      <w:r w:rsidRPr="006E757D">
        <w:t xml:space="preserve">For </w:t>
      </w:r>
      <w:r w:rsidR="00D25812" w:rsidRPr="006E757D">
        <w:t xml:space="preserve">Performance </w:t>
      </w:r>
      <w:r w:rsidRPr="006E757D">
        <w:t>Measures</w:t>
      </w: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170"/>
        <w:gridCol w:w="8659"/>
      </w:tblGrid>
      <w:tr w:rsidR="008F03D0" w:rsidRPr="006E757D">
        <w:trPr>
          <w:tblHeader/>
        </w:trPr>
        <w:tc>
          <w:tcPr>
            <w:tcW w:w="595" w:type="pct"/>
            <w:tcBorders>
              <w:left w:val="single" w:sz="6" w:space="0" w:color="000000"/>
              <w:right w:val="single" w:sz="6" w:space="0" w:color="FFFFFF"/>
            </w:tcBorders>
            <w:shd w:val="clear" w:color="auto" w:fill="000000"/>
          </w:tcPr>
          <w:p w:rsidR="008F03D0" w:rsidRPr="006E757D" w:rsidRDefault="008F03D0" w:rsidP="00AD247E">
            <w:pPr>
              <w:pStyle w:val="StyleTableHeadArialNarrow"/>
              <w:rPr>
                <w:color w:val="auto"/>
              </w:rPr>
            </w:pPr>
            <w:r w:rsidRPr="006E757D">
              <w:rPr>
                <w:color w:val="auto"/>
              </w:rPr>
              <w:t>Rate/Result</w:t>
            </w:r>
          </w:p>
        </w:tc>
        <w:tc>
          <w:tcPr>
            <w:tcW w:w="4405" w:type="pct"/>
            <w:tcBorders>
              <w:left w:val="single" w:sz="6" w:space="0" w:color="FFFFFF"/>
              <w:right w:val="single" w:sz="6" w:space="0" w:color="auto"/>
            </w:tcBorders>
            <w:shd w:val="clear" w:color="auto" w:fill="000000"/>
          </w:tcPr>
          <w:p w:rsidR="008F03D0" w:rsidRPr="006E757D" w:rsidRDefault="008F03D0" w:rsidP="00AD247E">
            <w:pPr>
              <w:pStyle w:val="StyleTableHeadArialNarrow"/>
              <w:rPr>
                <w:color w:val="auto"/>
              </w:rPr>
            </w:pPr>
            <w:r w:rsidRPr="006E757D">
              <w:rPr>
                <w:color w:val="auto"/>
              </w:rPr>
              <w:t>Comment</w:t>
            </w:r>
          </w:p>
        </w:tc>
      </w:tr>
      <w:tr w:rsidR="008F03D0" w:rsidRPr="0009029A">
        <w:tc>
          <w:tcPr>
            <w:tcW w:w="595" w:type="pct"/>
          </w:tcPr>
          <w:p w:rsidR="008F03D0" w:rsidRPr="0009029A" w:rsidRDefault="008F03D0" w:rsidP="00AD247E">
            <w:pPr>
              <w:pStyle w:val="TableText"/>
              <w:jc w:val="center"/>
              <w:rPr>
                <w:szCs w:val="20"/>
              </w:rPr>
            </w:pPr>
            <w:r w:rsidRPr="0009029A">
              <w:rPr>
                <w:i/>
                <w:iCs/>
                <w:szCs w:val="20"/>
              </w:rPr>
              <w:t>0–XXX</w:t>
            </w:r>
          </w:p>
        </w:tc>
        <w:tc>
          <w:tcPr>
            <w:tcW w:w="4405" w:type="pct"/>
          </w:tcPr>
          <w:p w:rsidR="008F03D0" w:rsidRPr="0009029A" w:rsidRDefault="006A019D" w:rsidP="006A019D">
            <w:pPr>
              <w:pStyle w:val="TableText"/>
              <w:rPr>
                <w:szCs w:val="20"/>
              </w:rPr>
            </w:pPr>
            <w:r w:rsidRPr="0009029A">
              <w:rPr>
                <w:i/>
                <w:szCs w:val="20"/>
              </w:rPr>
              <w:t>A rate or numeric result</w:t>
            </w:r>
            <w:r w:rsidRPr="0009029A">
              <w:rPr>
                <w:szCs w:val="20"/>
              </w:rPr>
              <w:t>. The organization followed the specifications and produced a reportable rate or result for the measure.</w:t>
            </w:r>
          </w:p>
        </w:tc>
      </w:tr>
      <w:tr w:rsidR="006A019D" w:rsidRPr="0009029A">
        <w:tc>
          <w:tcPr>
            <w:tcW w:w="595" w:type="pct"/>
            <w:shd w:val="clear" w:color="auto" w:fill="E0E0E0"/>
          </w:tcPr>
          <w:p w:rsidR="006A019D" w:rsidRPr="0009029A" w:rsidRDefault="006A019D" w:rsidP="00AD247E">
            <w:pPr>
              <w:pStyle w:val="TableText"/>
              <w:jc w:val="center"/>
              <w:rPr>
                <w:i/>
                <w:iCs/>
                <w:szCs w:val="20"/>
              </w:rPr>
            </w:pPr>
            <w:r w:rsidRPr="0009029A">
              <w:rPr>
                <w:i/>
                <w:iCs/>
                <w:szCs w:val="20"/>
              </w:rPr>
              <w:t>NA</w:t>
            </w:r>
          </w:p>
        </w:tc>
        <w:tc>
          <w:tcPr>
            <w:tcW w:w="4405" w:type="pct"/>
            <w:shd w:val="clear" w:color="auto" w:fill="E0E0E0"/>
          </w:tcPr>
          <w:p w:rsidR="006A019D" w:rsidRPr="0009029A" w:rsidRDefault="006A019D" w:rsidP="006A019D">
            <w:pPr>
              <w:pStyle w:val="TableText"/>
              <w:rPr>
                <w:szCs w:val="20"/>
              </w:rPr>
            </w:pPr>
            <w:r w:rsidRPr="0009029A">
              <w:rPr>
                <w:i/>
                <w:szCs w:val="20"/>
              </w:rPr>
              <w:t>Small Denominator</w:t>
            </w:r>
            <w:r w:rsidRPr="0009029A">
              <w:rPr>
                <w:szCs w:val="20"/>
              </w:rPr>
              <w:t>. The organization followed the specifications but the denominator was too small (&lt;30) to report a valid rate.</w:t>
            </w:r>
          </w:p>
        </w:tc>
      </w:tr>
      <w:tr w:rsidR="00D15744" w:rsidRPr="0009029A" w:rsidTr="00CB2E77">
        <w:tc>
          <w:tcPr>
            <w:tcW w:w="595" w:type="pct"/>
            <w:shd w:val="clear" w:color="auto" w:fill="FFFFFF"/>
          </w:tcPr>
          <w:p w:rsidR="00D15744" w:rsidRPr="0009029A" w:rsidRDefault="00D15744" w:rsidP="00AD247E">
            <w:pPr>
              <w:pStyle w:val="TableText"/>
              <w:jc w:val="center"/>
              <w:rPr>
                <w:i/>
                <w:iCs/>
                <w:szCs w:val="20"/>
              </w:rPr>
            </w:pPr>
            <w:r w:rsidRPr="0009029A">
              <w:rPr>
                <w:i/>
                <w:iCs/>
                <w:szCs w:val="20"/>
              </w:rPr>
              <w:t>NB</w:t>
            </w:r>
          </w:p>
        </w:tc>
        <w:tc>
          <w:tcPr>
            <w:tcW w:w="4405" w:type="pct"/>
            <w:shd w:val="clear" w:color="auto" w:fill="FFFFFF"/>
          </w:tcPr>
          <w:p w:rsidR="00D15744" w:rsidRPr="0009029A" w:rsidRDefault="00D15744" w:rsidP="00D15744">
            <w:pPr>
              <w:pStyle w:val="TableText"/>
              <w:rPr>
                <w:b/>
                <w:szCs w:val="20"/>
              </w:rPr>
            </w:pPr>
            <w:r w:rsidRPr="0009029A">
              <w:rPr>
                <w:i/>
                <w:szCs w:val="20"/>
              </w:rPr>
              <w:t>Benefit Not Offered</w:t>
            </w:r>
            <w:r w:rsidRPr="0009029A">
              <w:rPr>
                <w:szCs w:val="20"/>
              </w:rPr>
              <w:t>. The organization did not offer the health benefit required by the measure (e.g., mental health, chemical dependency).</w:t>
            </w:r>
          </w:p>
        </w:tc>
      </w:tr>
      <w:tr w:rsidR="00E57712" w:rsidRPr="0009029A">
        <w:tc>
          <w:tcPr>
            <w:tcW w:w="595" w:type="pct"/>
            <w:shd w:val="clear" w:color="auto" w:fill="E0E0E0"/>
          </w:tcPr>
          <w:p w:rsidR="00E57712" w:rsidRPr="0009029A" w:rsidRDefault="00F80FF6" w:rsidP="00AD247E">
            <w:pPr>
              <w:pStyle w:val="TableText"/>
              <w:jc w:val="center"/>
              <w:rPr>
                <w:i/>
                <w:iCs/>
                <w:szCs w:val="20"/>
              </w:rPr>
            </w:pPr>
            <w:r w:rsidRPr="0009029A">
              <w:rPr>
                <w:i/>
                <w:iCs/>
                <w:szCs w:val="20"/>
              </w:rPr>
              <w:t>N</w:t>
            </w:r>
            <w:r w:rsidR="00E57712" w:rsidRPr="0009029A">
              <w:rPr>
                <w:i/>
                <w:iCs/>
                <w:szCs w:val="20"/>
              </w:rPr>
              <w:t>R</w:t>
            </w:r>
          </w:p>
        </w:tc>
        <w:tc>
          <w:tcPr>
            <w:tcW w:w="4405" w:type="pct"/>
            <w:shd w:val="clear" w:color="auto" w:fill="E0E0E0"/>
          </w:tcPr>
          <w:p w:rsidR="00D15744" w:rsidRPr="0009029A" w:rsidRDefault="00D15744" w:rsidP="00D15744">
            <w:pPr>
              <w:pStyle w:val="TableText"/>
              <w:rPr>
                <w:szCs w:val="20"/>
              </w:rPr>
            </w:pPr>
            <w:r w:rsidRPr="0009029A">
              <w:rPr>
                <w:i/>
                <w:szCs w:val="20"/>
              </w:rPr>
              <w:t>Not Reportable</w:t>
            </w:r>
            <w:r w:rsidRPr="0009029A">
              <w:rPr>
                <w:szCs w:val="20"/>
              </w:rPr>
              <w:t xml:space="preserve">. </w:t>
            </w:r>
          </w:p>
          <w:p w:rsidR="00D15744" w:rsidRPr="0009029A" w:rsidRDefault="00D15744" w:rsidP="00CB2E77">
            <w:pPr>
              <w:pStyle w:val="TableBullet"/>
              <w:rPr>
                <w:szCs w:val="20"/>
              </w:rPr>
            </w:pPr>
            <w:r w:rsidRPr="0009029A">
              <w:rPr>
                <w:szCs w:val="20"/>
              </w:rPr>
              <w:t xml:space="preserve">The </w:t>
            </w:r>
            <w:r w:rsidR="005130CF" w:rsidRPr="0009029A">
              <w:rPr>
                <w:szCs w:val="20"/>
              </w:rPr>
              <w:t>c</w:t>
            </w:r>
            <w:r w:rsidRPr="0009029A">
              <w:rPr>
                <w:szCs w:val="20"/>
              </w:rPr>
              <w:t>alculated rate was materially biased</w:t>
            </w:r>
            <w:r w:rsidR="005D5764" w:rsidRPr="0009029A">
              <w:rPr>
                <w:szCs w:val="20"/>
              </w:rPr>
              <w:t>,</w:t>
            </w:r>
            <w:r w:rsidR="005D5764" w:rsidRPr="00D4266E">
              <w:rPr>
                <w:b/>
                <w:szCs w:val="20"/>
              </w:rPr>
              <w:t xml:space="preserve"> </w:t>
            </w:r>
            <w:r w:rsidR="005D5764" w:rsidRPr="00D4266E">
              <w:rPr>
                <w:b/>
                <w:i/>
                <w:szCs w:val="20"/>
              </w:rPr>
              <w:t>or</w:t>
            </w:r>
          </w:p>
          <w:p w:rsidR="00D15744" w:rsidRPr="0009029A" w:rsidRDefault="00D15744" w:rsidP="00CB2E77">
            <w:pPr>
              <w:pStyle w:val="TableBullet"/>
              <w:rPr>
                <w:szCs w:val="20"/>
              </w:rPr>
            </w:pPr>
            <w:r w:rsidRPr="0009029A">
              <w:rPr>
                <w:szCs w:val="20"/>
              </w:rPr>
              <w:t>The organization chose not to report the measure</w:t>
            </w:r>
            <w:r w:rsidR="005D5764" w:rsidRPr="0009029A">
              <w:rPr>
                <w:szCs w:val="20"/>
              </w:rPr>
              <w:t xml:space="preserve">, </w:t>
            </w:r>
            <w:r w:rsidR="005D5764" w:rsidRPr="00D4266E">
              <w:rPr>
                <w:b/>
                <w:i/>
                <w:szCs w:val="20"/>
              </w:rPr>
              <w:t>or</w:t>
            </w:r>
            <w:r w:rsidRPr="0009029A">
              <w:rPr>
                <w:szCs w:val="20"/>
              </w:rPr>
              <w:t xml:space="preserve"> </w:t>
            </w:r>
          </w:p>
          <w:p w:rsidR="00E57712" w:rsidRPr="0009029A" w:rsidRDefault="00D15744" w:rsidP="00CB2E77">
            <w:pPr>
              <w:pStyle w:val="TableBullet"/>
              <w:rPr>
                <w:szCs w:val="20"/>
              </w:rPr>
            </w:pPr>
            <w:r w:rsidRPr="0009029A">
              <w:rPr>
                <w:szCs w:val="20"/>
              </w:rPr>
              <w:t>The organization was not required to report the measure.</w:t>
            </w:r>
          </w:p>
        </w:tc>
      </w:tr>
    </w:tbl>
    <w:p w:rsidR="00D15744" w:rsidRPr="006E757D" w:rsidRDefault="00D15744" w:rsidP="00CB2E77">
      <w:pPr>
        <w:pStyle w:val="Heading3"/>
      </w:pPr>
      <w:r w:rsidRPr="006E757D">
        <w:t xml:space="preserve">For Survey </w:t>
      </w:r>
      <w:r w:rsidR="005130CF" w:rsidRPr="006E757D">
        <w:t>Sample Frames</w:t>
      </w: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170"/>
        <w:gridCol w:w="8659"/>
      </w:tblGrid>
      <w:tr w:rsidR="00D15744" w:rsidRPr="006E757D" w:rsidTr="00D15744">
        <w:trPr>
          <w:tblHeader/>
        </w:trPr>
        <w:tc>
          <w:tcPr>
            <w:tcW w:w="595" w:type="pct"/>
            <w:tcBorders>
              <w:left w:val="single" w:sz="6" w:space="0" w:color="000000"/>
              <w:right w:val="single" w:sz="6" w:space="0" w:color="FFFFFF"/>
            </w:tcBorders>
            <w:shd w:val="clear" w:color="auto" w:fill="000000"/>
          </w:tcPr>
          <w:p w:rsidR="00D15744" w:rsidRPr="006E757D" w:rsidRDefault="00D15744" w:rsidP="00D15744">
            <w:pPr>
              <w:pStyle w:val="StyleTableHeadArialNarrow"/>
              <w:rPr>
                <w:color w:val="auto"/>
              </w:rPr>
            </w:pPr>
            <w:r w:rsidRPr="006E757D">
              <w:rPr>
                <w:color w:val="auto"/>
              </w:rPr>
              <w:t>Rate/Result</w:t>
            </w:r>
          </w:p>
        </w:tc>
        <w:tc>
          <w:tcPr>
            <w:tcW w:w="4405" w:type="pct"/>
            <w:tcBorders>
              <w:left w:val="single" w:sz="6" w:space="0" w:color="FFFFFF"/>
              <w:right w:val="single" w:sz="6" w:space="0" w:color="auto"/>
            </w:tcBorders>
            <w:shd w:val="clear" w:color="auto" w:fill="000000"/>
          </w:tcPr>
          <w:p w:rsidR="00D15744" w:rsidRPr="006E757D" w:rsidRDefault="00D15744" w:rsidP="00D15744">
            <w:pPr>
              <w:pStyle w:val="StyleTableHeadArialNarrow"/>
              <w:rPr>
                <w:color w:val="auto"/>
              </w:rPr>
            </w:pPr>
            <w:r w:rsidRPr="006E757D">
              <w:rPr>
                <w:color w:val="auto"/>
              </w:rPr>
              <w:t>Comment</w:t>
            </w:r>
          </w:p>
        </w:tc>
      </w:tr>
      <w:tr w:rsidR="00D15744" w:rsidRPr="00D4266E" w:rsidTr="00D15744">
        <w:tc>
          <w:tcPr>
            <w:tcW w:w="595" w:type="pct"/>
          </w:tcPr>
          <w:p w:rsidR="00D15744" w:rsidRPr="00D4266E" w:rsidRDefault="00756CB5" w:rsidP="00D15744">
            <w:pPr>
              <w:pStyle w:val="TableText"/>
              <w:jc w:val="center"/>
              <w:rPr>
                <w:i/>
                <w:szCs w:val="20"/>
              </w:rPr>
            </w:pPr>
            <w:r w:rsidRPr="00D4266E">
              <w:rPr>
                <w:i/>
                <w:szCs w:val="20"/>
              </w:rPr>
              <w:t>SR</w:t>
            </w:r>
          </w:p>
        </w:tc>
        <w:tc>
          <w:tcPr>
            <w:tcW w:w="4405" w:type="pct"/>
          </w:tcPr>
          <w:p w:rsidR="00D15744" w:rsidRPr="00D4266E" w:rsidRDefault="00CB2E77" w:rsidP="00D15744">
            <w:pPr>
              <w:pStyle w:val="TableText"/>
              <w:rPr>
                <w:szCs w:val="20"/>
              </w:rPr>
            </w:pPr>
            <w:r w:rsidRPr="00D4266E">
              <w:rPr>
                <w:i/>
                <w:szCs w:val="20"/>
              </w:rPr>
              <w:t>Supports Reporting</w:t>
            </w:r>
            <w:r w:rsidRPr="00D4266E">
              <w:rPr>
                <w:szCs w:val="20"/>
              </w:rPr>
              <w:t>. The survey sample frame was reviewed and approved.</w:t>
            </w:r>
          </w:p>
        </w:tc>
      </w:tr>
      <w:tr w:rsidR="00D15744" w:rsidRPr="00D4266E" w:rsidTr="00D15744">
        <w:tc>
          <w:tcPr>
            <w:tcW w:w="595" w:type="pct"/>
            <w:shd w:val="clear" w:color="auto" w:fill="E0E0E0"/>
          </w:tcPr>
          <w:p w:rsidR="00D15744" w:rsidRPr="00D4266E" w:rsidRDefault="00311B1A" w:rsidP="00D15744">
            <w:pPr>
              <w:pStyle w:val="TableText"/>
              <w:jc w:val="center"/>
              <w:rPr>
                <w:i/>
                <w:iCs/>
                <w:szCs w:val="20"/>
              </w:rPr>
            </w:pPr>
            <w:r w:rsidRPr="00D4266E">
              <w:rPr>
                <w:i/>
                <w:iCs/>
                <w:szCs w:val="20"/>
              </w:rPr>
              <w:t>NR</w:t>
            </w:r>
          </w:p>
        </w:tc>
        <w:tc>
          <w:tcPr>
            <w:tcW w:w="4405" w:type="pct"/>
            <w:shd w:val="clear" w:color="auto" w:fill="E0E0E0"/>
          </w:tcPr>
          <w:p w:rsidR="00D15744" w:rsidRPr="00D4266E" w:rsidRDefault="00CB2E77" w:rsidP="00D4266E">
            <w:pPr>
              <w:pStyle w:val="TableText"/>
              <w:rPr>
                <w:szCs w:val="20"/>
              </w:rPr>
            </w:pPr>
            <w:r w:rsidRPr="00D4266E">
              <w:rPr>
                <w:i/>
                <w:szCs w:val="20"/>
              </w:rPr>
              <w:t>Not Reportable.</w:t>
            </w:r>
            <w:r w:rsidRPr="00D4266E">
              <w:rPr>
                <w:szCs w:val="20"/>
              </w:rPr>
              <w:t xml:space="preserve"> </w:t>
            </w:r>
            <w:r w:rsidR="00D4266E">
              <w:rPr>
                <w:szCs w:val="20"/>
              </w:rPr>
              <w:t>T</w:t>
            </w:r>
            <w:r w:rsidRPr="00D4266E">
              <w:rPr>
                <w:szCs w:val="20"/>
              </w:rPr>
              <w:t>he survey sample frame was incomplete or materially biased.</w:t>
            </w:r>
          </w:p>
        </w:tc>
      </w:tr>
    </w:tbl>
    <w:p w:rsidR="005B7A8B" w:rsidRPr="006E757D" w:rsidRDefault="005B7A8B" w:rsidP="001D2921">
      <w:pPr>
        <w:pStyle w:val="Heading3"/>
        <w:sectPr w:rsidR="005B7A8B" w:rsidRPr="006E757D" w:rsidSect="00D90934">
          <w:headerReference w:type="even" r:id="rId65"/>
          <w:pgSz w:w="12240" w:h="15840" w:code="1"/>
          <w:pgMar w:top="1080" w:right="1080" w:bottom="1080" w:left="1440" w:header="720" w:footer="720" w:gutter="0"/>
          <w:paperSrc w:first="7" w:other="7"/>
          <w:cols w:space="720"/>
          <w:docGrid w:linePitch="272"/>
        </w:sectPr>
      </w:pPr>
    </w:p>
    <w:p w:rsidR="001D2921" w:rsidRPr="006E757D" w:rsidRDefault="001D2921" w:rsidP="004805C1">
      <w:pPr>
        <w:pStyle w:val="Heading3"/>
        <w:spacing w:before="0"/>
      </w:pPr>
      <w:r w:rsidRPr="006E757D">
        <w:lastRenderedPageBreak/>
        <w:t>For WHP Measures</w:t>
      </w:r>
    </w:p>
    <w:tbl>
      <w:tblPr>
        <w:tblW w:w="9720" w:type="dxa"/>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170"/>
        <w:gridCol w:w="8550"/>
      </w:tblGrid>
      <w:tr w:rsidR="006A019D" w:rsidRPr="006E757D" w:rsidTr="005C52A4">
        <w:tc>
          <w:tcPr>
            <w:tcW w:w="1170" w:type="dxa"/>
            <w:tcBorders>
              <w:top w:val="single" w:sz="4" w:space="0" w:color="auto"/>
              <w:left w:val="single" w:sz="4" w:space="0" w:color="auto"/>
              <w:bottom w:val="single" w:sz="6" w:space="0" w:color="auto"/>
              <w:right w:val="single" w:sz="6" w:space="0" w:color="FFFFFF"/>
            </w:tcBorders>
            <w:shd w:val="clear" w:color="auto" w:fill="000000"/>
            <w:tcMar>
              <w:left w:w="115" w:type="dxa"/>
              <w:right w:w="115" w:type="dxa"/>
            </w:tcMar>
          </w:tcPr>
          <w:p w:rsidR="006A019D" w:rsidRPr="006E757D" w:rsidRDefault="006A019D" w:rsidP="006A019D">
            <w:pPr>
              <w:pStyle w:val="TableHead"/>
              <w:rPr>
                <w:color w:val="auto"/>
              </w:rPr>
            </w:pPr>
            <w:r w:rsidRPr="006E757D">
              <w:rPr>
                <w:color w:val="auto"/>
              </w:rPr>
              <w:t>Rate/Result</w:t>
            </w:r>
          </w:p>
        </w:tc>
        <w:tc>
          <w:tcPr>
            <w:tcW w:w="8550" w:type="dxa"/>
            <w:tcBorders>
              <w:top w:val="single" w:sz="4" w:space="0" w:color="auto"/>
              <w:left w:val="single" w:sz="6" w:space="0" w:color="FFFFFF"/>
              <w:bottom w:val="single" w:sz="6" w:space="0" w:color="auto"/>
              <w:right w:val="single" w:sz="4" w:space="0" w:color="auto"/>
            </w:tcBorders>
            <w:shd w:val="clear" w:color="auto" w:fill="000000"/>
            <w:tcMar>
              <w:left w:w="115" w:type="dxa"/>
              <w:right w:w="115" w:type="dxa"/>
            </w:tcMar>
          </w:tcPr>
          <w:p w:rsidR="006A019D" w:rsidRPr="006E757D" w:rsidRDefault="006A019D" w:rsidP="006A019D">
            <w:pPr>
              <w:pStyle w:val="TableHead"/>
              <w:rPr>
                <w:color w:val="auto"/>
              </w:rPr>
            </w:pPr>
            <w:r w:rsidRPr="006E757D">
              <w:rPr>
                <w:color w:val="auto"/>
              </w:rPr>
              <w:t>Comment</w:t>
            </w:r>
          </w:p>
        </w:tc>
      </w:tr>
      <w:tr w:rsidR="006A019D" w:rsidRPr="000E3410" w:rsidTr="005C52A4">
        <w:tc>
          <w:tcPr>
            <w:tcW w:w="1170" w:type="dxa"/>
            <w:tcBorders>
              <w:top w:val="single" w:sz="6" w:space="0" w:color="auto"/>
              <w:left w:val="single" w:sz="6" w:space="0" w:color="auto"/>
              <w:bottom w:val="single" w:sz="6" w:space="0" w:color="auto"/>
              <w:right w:val="single" w:sz="6" w:space="0" w:color="auto"/>
            </w:tcBorders>
            <w:tcMar>
              <w:left w:w="115" w:type="dxa"/>
              <w:right w:w="115" w:type="dxa"/>
            </w:tcMar>
          </w:tcPr>
          <w:p w:rsidR="006A019D" w:rsidRPr="000E3410" w:rsidRDefault="006A019D" w:rsidP="00CB2E77">
            <w:pPr>
              <w:pStyle w:val="TableText"/>
              <w:jc w:val="center"/>
              <w:rPr>
                <w:i/>
                <w:iCs/>
                <w:szCs w:val="20"/>
              </w:rPr>
            </w:pPr>
            <w:r w:rsidRPr="000E3410">
              <w:rPr>
                <w:i/>
                <w:iCs/>
                <w:szCs w:val="20"/>
              </w:rPr>
              <w:t>0–XXX</w:t>
            </w:r>
          </w:p>
        </w:tc>
        <w:tc>
          <w:tcPr>
            <w:tcW w:w="8550" w:type="dxa"/>
            <w:tcBorders>
              <w:top w:val="single" w:sz="6" w:space="0" w:color="auto"/>
              <w:left w:val="single" w:sz="6" w:space="0" w:color="auto"/>
              <w:bottom w:val="single" w:sz="6" w:space="0" w:color="auto"/>
              <w:right w:val="single" w:sz="6" w:space="0" w:color="auto"/>
            </w:tcBorders>
            <w:tcMar>
              <w:left w:w="115" w:type="dxa"/>
              <w:right w:w="115" w:type="dxa"/>
            </w:tcMar>
          </w:tcPr>
          <w:p w:rsidR="006A019D" w:rsidRPr="000E3410" w:rsidRDefault="004805C1" w:rsidP="006A019D">
            <w:pPr>
              <w:pStyle w:val="TableText"/>
              <w:rPr>
                <w:szCs w:val="20"/>
              </w:rPr>
            </w:pPr>
            <w:r w:rsidRPr="000E3410">
              <w:rPr>
                <w:i/>
                <w:szCs w:val="20"/>
              </w:rPr>
              <w:t>A rate or numeric result</w:t>
            </w:r>
            <w:r w:rsidRPr="000E3410">
              <w:rPr>
                <w:szCs w:val="20"/>
              </w:rPr>
              <w:t>. The organization followed the specifications and produced a reportable rate or result for the measure.</w:t>
            </w:r>
          </w:p>
        </w:tc>
      </w:tr>
      <w:tr w:rsidR="00CB2E77" w:rsidRPr="000E3410" w:rsidTr="005C52A4">
        <w:tc>
          <w:tcPr>
            <w:tcW w:w="1170" w:type="dxa"/>
            <w:tcBorders>
              <w:top w:val="single" w:sz="6" w:space="0" w:color="auto"/>
              <w:left w:val="single" w:sz="6" w:space="0" w:color="auto"/>
              <w:bottom w:val="single" w:sz="6" w:space="0" w:color="auto"/>
              <w:right w:val="single" w:sz="6" w:space="0" w:color="auto"/>
            </w:tcBorders>
            <w:shd w:val="clear" w:color="auto" w:fill="D9D9D9"/>
            <w:tcMar>
              <w:left w:w="115" w:type="dxa"/>
              <w:right w:w="115" w:type="dxa"/>
            </w:tcMar>
          </w:tcPr>
          <w:p w:rsidR="00CB2E77" w:rsidRPr="000E3410" w:rsidRDefault="00CB2E77" w:rsidP="00CB2E77">
            <w:pPr>
              <w:pStyle w:val="TableText"/>
              <w:jc w:val="center"/>
              <w:rPr>
                <w:i/>
                <w:iCs/>
                <w:szCs w:val="20"/>
              </w:rPr>
            </w:pPr>
            <w:r w:rsidRPr="000E3410">
              <w:rPr>
                <w:i/>
                <w:iCs/>
                <w:szCs w:val="20"/>
              </w:rPr>
              <w:t>NA</w:t>
            </w:r>
          </w:p>
        </w:tc>
        <w:tc>
          <w:tcPr>
            <w:tcW w:w="8550" w:type="dxa"/>
            <w:tcBorders>
              <w:top w:val="single" w:sz="6" w:space="0" w:color="auto"/>
              <w:left w:val="single" w:sz="6" w:space="0" w:color="auto"/>
              <w:bottom w:val="single" w:sz="6" w:space="0" w:color="auto"/>
              <w:right w:val="single" w:sz="6" w:space="0" w:color="auto"/>
            </w:tcBorders>
            <w:shd w:val="clear" w:color="auto" w:fill="D9D9D9"/>
            <w:tcMar>
              <w:left w:w="115" w:type="dxa"/>
              <w:right w:w="115" w:type="dxa"/>
            </w:tcMar>
          </w:tcPr>
          <w:p w:rsidR="00CB2E77" w:rsidRPr="000E3410" w:rsidRDefault="00CB2E77" w:rsidP="006A019D">
            <w:pPr>
              <w:pStyle w:val="TableText"/>
              <w:rPr>
                <w:i/>
                <w:szCs w:val="20"/>
              </w:rPr>
            </w:pPr>
            <w:r w:rsidRPr="000E3410">
              <w:rPr>
                <w:i/>
                <w:szCs w:val="20"/>
              </w:rPr>
              <w:t>Small Denominator</w:t>
            </w:r>
            <w:r w:rsidR="00664FCE">
              <w:rPr>
                <w:i/>
                <w:szCs w:val="20"/>
              </w:rPr>
              <w:t>.</w:t>
            </w:r>
            <w:r w:rsidRPr="000E3410">
              <w:rPr>
                <w:i/>
                <w:szCs w:val="20"/>
              </w:rPr>
              <w:t xml:space="preserve"> </w:t>
            </w:r>
            <w:r w:rsidRPr="000E3410">
              <w:rPr>
                <w:szCs w:val="20"/>
              </w:rPr>
              <w:t>The organization followed the specifications but the denominator was too small (&lt;100) to report a valid rate</w:t>
            </w:r>
            <w:r w:rsidR="004805C1" w:rsidRPr="000E3410">
              <w:rPr>
                <w:szCs w:val="20"/>
              </w:rPr>
              <w:t>.</w:t>
            </w:r>
          </w:p>
        </w:tc>
      </w:tr>
      <w:tr w:rsidR="006A019D" w:rsidRPr="000E3410" w:rsidTr="005C52A4">
        <w:tc>
          <w:tcPr>
            <w:tcW w:w="1170" w:type="dxa"/>
            <w:tcBorders>
              <w:top w:val="single" w:sz="6" w:space="0" w:color="auto"/>
              <w:left w:val="single" w:sz="6" w:space="0" w:color="auto"/>
              <w:bottom w:val="single" w:sz="6" w:space="0" w:color="auto"/>
              <w:right w:val="single" w:sz="6" w:space="0" w:color="auto"/>
            </w:tcBorders>
            <w:shd w:val="clear" w:color="auto" w:fill="FFFFFF"/>
            <w:tcMar>
              <w:left w:w="115" w:type="dxa"/>
              <w:right w:w="115" w:type="dxa"/>
            </w:tcMar>
          </w:tcPr>
          <w:p w:rsidR="006A019D" w:rsidRPr="000E3410" w:rsidRDefault="006A019D" w:rsidP="00CB2E77">
            <w:pPr>
              <w:pStyle w:val="TableText"/>
              <w:jc w:val="center"/>
              <w:rPr>
                <w:i/>
                <w:iCs/>
                <w:szCs w:val="20"/>
              </w:rPr>
            </w:pPr>
            <w:r w:rsidRPr="000E3410">
              <w:rPr>
                <w:i/>
                <w:iCs/>
                <w:szCs w:val="20"/>
              </w:rPr>
              <w:t>NR</w:t>
            </w:r>
          </w:p>
        </w:tc>
        <w:tc>
          <w:tcPr>
            <w:tcW w:w="8550" w:type="dxa"/>
            <w:tcBorders>
              <w:top w:val="single" w:sz="6" w:space="0" w:color="auto"/>
              <w:left w:val="single" w:sz="6" w:space="0" w:color="auto"/>
              <w:bottom w:val="single" w:sz="6" w:space="0" w:color="auto"/>
              <w:right w:val="single" w:sz="6" w:space="0" w:color="auto"/>
            </w:tcBorders>
            <w:shd w:val="clear" w:color="auto" w:fill="FFFFFF"/>
            <w:tcMar>
              <w:left w:w="115" w:type="dxa"/>
              <w:right w:w="115" w:type="dxa"/>
            </w:tcMar>
          </w:tcPr>
          <w:p w:rsidR="006A019D" w:rsidRPr="000E3410" w:rsidRDefault="006A019D" w:rsidP="006A019D">
            <w:pPr>
              <w:pStyle w:val="TableText"/>
              <w:rPr>
                <w:i/>
                <w:szCs w:val="20"/>
              </w:rPr>
            </w:pPr>
            <w:r w:rsidRPr="000E3410">
              <w:rPr>
                <w:i/>
                <w:szCs w:val="20"/>
              </w:rPr>
              <w:t>Not Report</w:t>
            </w:r>
            <w:r w:rsidR="00CB2E77" w:rsidRPr="000E3410">
              <w:rPr>
                <w:i/>
                <w:szCs w:val="20"/>
              </w:rPr>
              <w:t>able</w:t>
            </w:r>
            <w:r w:rsidR="004805C1" w:rsidRPr="000E3410">
              <w:rPr>
                <w:i/>
                <w:szCs w:val="20"/>
              </w:rPr>
              <w:t>.</w:t>
            </w:r>
          </w:p>
          <w:p w:rsidR="00CB2E77" w:rsidRPr="000E3410" w:rsidRDefault="00CB2E77" w:rsidP="00CB2E77">
            <w:pPr>
              <w:pStyle w:val="TableBullet"/>
              <w:rPr>
                <w:b/>
                <w:szCs w:val="20"/>
              </w:rPr>
            </w:pPr>
            <w:r w:rsidRPr="000E3410">
              <w:rPr>
                <w:szCs w:val="20"/>
              </w:rPr>
              <w:t>The calculated rate was materially biased</w:t>
            </w:r>
            <w:r w:rsidR="005D5764" w:rsidRPr="000E3410">
              <w:rPr>
                <w:szCs w:val="20"/>
              </w:rPr>
              <w:t xml:space="preserve">, </w:t>
            </w:r>
            <w:r w:rsidR="005D5764" w:rsidRPr="000E3410">
              <w:rPr>
                <w:b/>
                <w:i/>
                <w:szCs w:val="20"/>
              </w:rPr>
              <w:t>or</w:t>
            </w:r>
            <w:r w:rsidRPr="000E3410">
              <w:rPr>
                <w:b/>
                <w:szCs w:val="20"/>
              </w:rPr>
              <w:t xml:space="preserve"> </w:t>
            </w:r>
          </w:p>
          <w:p w:rsidR="006A019D" w:rsidRPr="000E3410" w:rsidRDefault="006A019D" w:rsidP="006A019D">
            <w:pPr>
              <w:pStyle w:val="TableBullet"/>
              <w:rPr>
                <w:b/>
                <w:szCs w:val="20"/>
              </w:rPr>
            </w:pPr>
            <w:r w:rsidRPr="000E3410">
              <w:rPr>
                <w:szCs w:val="20"/>
              </w:rPr>
              <w:t>The organization chose not to report</w:t>
            </w:r>
            <w:r w:rsidR="005D5764" w:rsidRPr="000E3410">
              <w:rPr>
                <w:szCs w:val="20"/>
              </w:rPr>
              <w:t xml:space="preserve">, </w:t>
            </w:r>
            <w:r w:rsidR="005D5764" w:rsidRPr="000E3410">
              <w:rPr>
                <w:b/>
                <w:i/>
                <w:szCs w:val="20"/>
              </w:rPr>
              <w:t>or</w:t>
            </w:r>
            <w:r w:rsidRPr="000E3410">
              <w:rPr>
                <w:b/>
                <w:szCs w:val="20"/>
              </w:rPr>
              <w:t xml:space="preserve"> </w:t>
            </w:r>
          </w:p>
          <w:p w:rsidR="006A019D" w:rsidRPr="000E3410" w:rsidRDefault="006A019D" w:rsidP="006A019D">
            <w:pPr>
              <w:pStyle w:val="TableBullet"/>
              <w:rPr>
                <w:szCs w:val="20"/>
              </w:rPr>
            </w:pPr>
            <w:r w:rsidRPr="000E3410">
              <w:rPr>
                <w:szCs w:val="20"/>
              </w:rPr>
              <w:t>The organization is not required to report</w:t>
            </w:r>
            <w:r w:rsidR="005D5764" w:rsidRPr="000E3410">
              <w:rPr>
                <w:szCs w:val="20"/>
              </w:rPr>
              <w:t>.</w:t>
            </w:r>
          </w:p>
        </w:tc>
      </w:tr>
    </w:tbl>
    <w:p w:rsidR="001D2921" w:rsidRPr="006E757D" w:rsidRDefault="001D2921" w:rsidP="001D2921">
      <w:pPr>
        <w:pStyle w:val="Heading3"/>
      </w:pPr>
      <w:r w:rsidRPr="006E757D">
        <w:t>For DM Measures</w:t>
      </w:r>
    </w:p>
    <w:tbl>
      <w:tblPr>
        <w:tblW w:w="4891"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170"/>
        <w:gridCol w:w="8549"/>
      </w:tblGrid>
      <w:tr w:rsidR="001D2921" w:rsidRPr="006E757D" w:rsidTr="005C52A4">
        <w:trPr>
          <w:tblHeader/>
        </w:trPr>
        <w:tc>
          <w:tcPr>
            <w:tcW w:w="602" w:type="pct"/>
            <w:tcBorders>
              <w:left w:val="single" w:sz="6" w:space="0" w:color="000000"/>
              <w:right w:val="single" w:sz="6" w:space="0" w:color="FFFFFF"/>
            </w:tcBorders>
            <w:shd w:val="clear" w:color="auto" w:fill="000000"/>
          </w:tcPr>
          <w:p w:rsidR="001D2921" w:rsidRPr="006E757D" w:rsidRDefault="001D2921" w:rsidP="006E0CFD">
            <w:pPr>
              <w:pStyle w:val="StyleTableHeadArialNarrow"/>
              <w:rPr>
                <w:color w:val="auto"/>
              </w:rPr>
            </w:pPr>
            <w:r w:rsidRPr="006E757D">
              <w:rPr>
                <w:color w:val="auto"/>
              </w:rPr>
              <w:t>Rate/Result</w:t>
            </w:r>
          </w:p>
        </w:tc>
        <w:tc>
          <w:tcPr>
            <w:tcW w:w="4398" w:type="pct"/>
            <w:tcBorders>
              <w:left w:val="single" w:sz="6" w:space="0" w:color="FFFFFF"/>
              <w:right w:val="single" w:sz="6" w:space="0" w:color="auto"/>
            </w:tcBorders>
            <w:shd w:val="clear" w:color="auto" w:fill="000000"/>
          </w:tcPr>
          <w:p w:rsidR="001D2921" w:rsidRPr="006E757D" w:rsidRDefault="001D2921" w:rsidP="006E0CFD">
            <w:pPr>
              <w:pStyle w:val="StyleTableHeadArialNarrow"/>
              <w:rPr>
                <w:color w:val="auto"/>
              </w:rPr>
            </w:pPr>
            <w:r w:rsidRPr="006E757D">
              <w:rPr>
                <w:color w:val="auto"/>
              </w:rPr>
              <w:t>Comment</w:t>
            </w:r>
          </w:p>
        </w:tc>
      </w:tr>
      <w:tr w:rsidR="004805C1" w:rsidRPr="000E3410" w:rsidTr="005C52A4">
        <w:tc>
          <w:tcPr>
            <w:tcW w:w="602" w:type="pct"/>
          </w:tcPr>
          <w:p w:rsidR="004805C1" w:rsidRPr="000E3410" w:rsidRDefault="004805C1" w:rsidP="006E0CFD">
            <w:pPr>
              <w:pStyle w:val="TableText"/>
              <w:jc w:val="center"/>
              <w:rPr>
                <w:szCs w:val="20"/>
              </w:rPr>
            </w:pPr>
            <w:r w:rsidRPr="000E3410">
              <w:rPr>
                <w:i/>
                <w:iCs/>
                <w:szCs w:val="20"/>
              </w:rPr>
              <w:t>0–XXX</w:t>
            </w:r>
          </w:p>
        </w:tc>
        <w:tc>
          <w:tcPr>
            <w:tcW w:w="4398" w:type="pct"/>
          </w:tcPr>
          <w:p w:rsidR="004805C1" w:rsidRPr="000E3410" w:rsidRDefault="004805C1" w:rsidP="006E0CFD">
            <w:pPr>
              <w:pStyle w:val="TableText"/>
              <w:rPr>
                <w:szCs w:val="20"/>
              </w:rPr>
            </w:pPr>
            <w:r w:rsidRPr="000E3410">
              <w:rPr>
                <w:i/>
                <w:szCs w:val="20"/>
              </w:rPr>
              <w:t>A rate or numeric result</w:t>
            </w:r>
            <w:r w:rsidRPr="000E3410">
              <w:rPr>
                <w:szCs w:val="20"/>
              </w:rPr>
              <w:t>. The organization followed the specifications and produced a reportable rate or result for the measure.</w:t>
            </w:r>
          </w:p>
        </w:tc>
      </w:tr>
      <w:tr w:rsidR="004805C1" w:rsidRPr="000E3410" w:rsidTr="005C52A4">
        <w:tc>
          <w:tcPr>
            <w:tcW w:w="602" w:type="pct"/>
            <w:shd w:val="clear" w:color="auto" w:fill="D9D9D9"/>
          </w:tcPr>
          <w:p w:rsidR="004805C1" w:rsidRPr="000E3410" w:rsidRDefault="004805C1" w:rsidP="006E0CFD">
            <w:pPr>
              <w:pStyle w:val="TableText"/>
              <w:jc w:val="center"/>
              <w:rPr>
                <w:i/>
                <w:iCs/>
                <w:szCs w:val="20"/>
              </w:rPr>
            </w:pPr>
            <w:r w:rsidRPr="000E3410">
              <w:rPr>
                <w:i/>
                <w:iCs/>
                <w:szCs w:val="20"/>
              </w:rPr>
              <w:t>NA</w:t>
            </w:r>
          </w:p>
        </w:tc>
        <w:tc>
          <w:tcPr>
            <w:tcW w:w="4398" w:type="pct"/>
            <w:shd w:val="clear" w:color="auto" w:fill="D9D9D9"/>
          </w:tcPr>
          <w:p w:rsidR="004805C1" w:rsidRPr="000E3410" w:rsidRDefault="004805C1" w:rsidP="006E0CFD">
            <w:pPr>
              <w:pStyle w:val="TableText"/>
              <w:rPr>
                <w:szCs w:val="20"/>
              </w:rPr>
            </w:pPr>
            <w:r w:rsidRPr="000E3410">
              <w:rPr>
                <w:i/>
                <w:szCs w:val="20"/>
              </w:rPr>
              <w:t>Small Denominator</w:t>
            </w:r>
            <w:r w:rsidRPr="000E3410">
              <w:rPr>
                <w:szCs w:val="20"/>
              </w:rPr>
              <w:t>. The organization followed the specifications but the denominator was too small (&lt;30) to report a valid rate.</w:t>
            </w:r>
          </w:p>
        </w:tc>
      </w:tr>
      <w:tr w:rsidR="004805C1" w:rsidRPr="000E3410" w:rsidTr="005C52A4">
        <w:tc>
          <w:tcPr>
            <w:tcW w:w="602" w:type="pct"/>
            <w:shd w:val="clear" w:color="auto" w:fill="FFFFFF"/>
          </w:tcPr>
          <w:p w:rsidR="004805C1" w:rsidRPr="000E3410" w:rsidRDefault="004805C1" w:rsidP="006E0CFD">
            <w:pPr>
              <w:pStyle w:val="TableText"/>
              <w:jc w:val="center"/>
              <w:rPr>
                <w:szCs w:val="20"/>
              </w:rPr>
            </w:pPr>
            <w:r w:rsidRPr="000E3410">
              <w:rPr>
                <w:i/>
                <w:iCs/>
                <w:szCs w:val="20"/>
              </w:rPr>
              <w:t>NB</w:t>
            </w:r>
          </w:p>
        </w:tc>
        <w:tc>
          <w:tcPr>
            <w:tcW w:w="4398" w:type="pct"/>
            <w:shd w:val="clear" w:color="auto" w:fill="FFFFFF"/>
          </w:tcPr>
          <w:p w:rsidR="004805C1" w:rsidRPr="000E3410" w:rsidRDefault="004805C1" w:rsidP="006E0CFD">
            <w:pPr>
              <w:pStyle w:val="TableText"/>
              <w:rPr>
                <w:szCs w:val="20"/>
              </w:rPr>
            </w:pPr>
            <w:r w:rsidRPr="000E3410">
              <w:rPr>
                <w:i/>
                <w:szCs w:val="20"/>
              </w:rPr>
              <w:t>Benefit Not Offered</w:t>
            </w:r>
            <w:r w:rsidRPr="000E3410">
              <w:rPr>
                <w:szCs w:val="20"/>
              </w:rPr>
              <w:t>. The organization did not offer the health benefit required by the measure (e.g., mental health, chemical dependency).</w:t>
            </w:r>
          </w:p>
        </w:tc>
      </w:tr>
      <w:tr w:rsidR="004805C1" w:rsidRPr="000E3410" w:rsidTr="005C52A4">
        <w:tc>
          <w:tcPr>
            <w:tcW w:w="602" w:type="pct"/>
            <w:shd w:val="clear" w:color="auto" w:fill="E0E0E0"/>
          </w:tcPr>
          <w:p w:rsidR="004805C1" w:rsidRPr="000E3410" w:rsidRDefault="004805C1" w:rsidP="006E0CFD">
            <w:pPr>
              <w:pStyle w:val="TableText"/>
              <w:jc w:val="center"/>
              <w:rPr>
                <w:i/>
                <w:iCs/>
                <w:szCs w:val="20"/>
              </w:rPr>
            </w:pPr>
            <w:r w:rsidRPr="000E3410">
              <w:rPr>
                <w:i/>
                <w:iCs/>
                <w:szCs w:val="20"/>
              </w:rPr>
              <w:t>NR</w:t>
            </w:r>
          </w:p>
        </w:tc>
        <w:tc>
          <w:tcPr>
            <w:tcW w:w="4398" w:type="pct"/>
            <w:shd w:val="clear" w:color="auto" w:fill="E0E0E0"/>
          </w:tcPr>
          <w:p w:rsidR="004805C1" w:rsidRPr="000E3410" w:rsidRDefault="004805C1" w:rsidP="004805C1">
            <w:pPr>
              <w:pStyle w:val="TableText"/>
              <w:rPr>
                <w:i/>
                <w:szCs w:val="20"/>
              </w:rPr>
            </w:pPr>
            <w:r w:rsidRPr="000E3410">
              <w:rPr>
                <w:i/>
                <w:szCs w:val="20"/>
              </w:rPr>
              <w:t>Not Reportable.</w:t>
            </w:r>
          </w:p>
          <w:p w:rsidR="004805C1" w:rsidRPr="000E3410" w:rsidRDefault="004805C1" w:rsidP="004805C1">
            <w:pPr>
              <w:pStyle w:val="TableBullet"/>
              <w:rPr>
                <w:b/>
                <w:szCs w:val="20"/>
              </w:rPr>
            </w:pPr>
            <w:r w:rsidRPr="000E3410">
              <w:rPr>
                <w:szCs w:val="20"/>
              </w:rPr>
              <w:t>The calculated rate was materially biased</w:t>
            </w:r>
            <w:r w:rsidR="005D5764" w:rsidRPr="000E3410">
              <w:rPr>
                <w:szCs w:val="20"/>
              </w:rPr>
              <w:t xml:space="preserve">, </w:t>
            </w:r>
            <w:r w:rsidR="005D5764" w:rsidRPr="000E3410">
              <w:rPr>
                <w:b/>
                <w:i/>
                <w:szCs w:val="20"/>
              </w:rPr>
              <w:t>or</w:t>
            </w:r>
            <w:r w:rsidRPr="000E3410">
              <w:rPr>
                <w:b/>
                <w:szCs w:val="20"/>
              </w:rPr>
              <w:t xml:space="preserve"> </w:t>
            </w:r>
          </w:p>
          <w:p w:rsidR="004805C1" w:rsidRPr="000E3410" w:rsidRDefault="004805C1" w:rsidP="004805C1">
            <w:pPr>
              <w:pStyle w:val="TableBullet"/>
              <w:rPr>
                <w:b/>
                <w:szCs w:val="20"/>
              </w:rPr>
            </w:pPr>
            <w:r w:rsidRPr="000E3410">
              <w:rPr>
                <w:szCs w:val="20"/>
              </w:rPr>
              <w:t>The organization chose not to report</w:t>
            </w:r>
            <w:r w:rsidR="005D5764" w:rsidRPr="000E3410">
              <w:rPr>
                <w:szCs w:val="20"/>
              </w:rPr>
              <w:t xml:space="preserve">, </w:t>
            </w:r>
            <w:r w:rsidR="005D5764" w:rsidRPr="000E3410">
              <w:rPr>
                <w:b/>
                <w:i/>
                <w:szCs w:val="20"/>
              </w:rPr>
              <w:t>or</w:t>
            </w:r>
            <w:r w:rsidRPr="000E3410">
              <w:rPr>
                <w:b/>
                <w:szCs w:val="20"/>
              </w:rPr>
              <w:t xml:space="preserve"> </w:t>
            </w:r>
          </w:p>
          <w:p w:rsidR="004805C1" w:rsidRPr="000E3410" w:rsidRDefault="004805C1" w:rsidP="004805C1">
            <w:pPr>
              <w:pStyle w:val="TableBullet"/>
              <w:rPr>
                <w:b/>
                <w:szCs w:val="20"/>
              </w:rPr>
            </w:pPr>
            <w:r w:rsidRPr="000E3410">
              <w:rPr>
                <w:szCs w:val="20"/>
              </w:rPr>
              <w:t>The organization is not required to report</w:t>
            </w:r>
            <w:r w:rsidR="005D5764" w:rsidRPr="000E3410">
              <w:rPr>
                <w:szCs w:val="20"/>
              </w:rPr>
              <w:t>.</w:t>
            </w:r>
          </w:p>
        </w:tc>
      </w:tr>
    </w:tbl>
    <w:p w:rsidR="00D1716E" w:rsidRPr="006E757D" w:rsidRDefault="00D1716E" w:rsidP="00432E51">
      <w:pPr>
        <w:pStyle w:val="StdHead"/>
        <w:rPr>
          <w:color w:val="auto"/>
        </w:rPr>
      </w:pPr>
      <w:r w:rsidRPr="006E757D">
        <w:rPr>
          <w:color w:val="auto"/>
        </w:rPr>
        <w:t>Public Reporting, Benchmarks and Accreditation</w:t>
      </w:r>
    </w:p>
    <w:tbl>
      <w:tblPr>
        <w:tblW w:w="0" w:type="auto"/>
        <w:tblInd w:w="18" w:type="dxa"/>
        <w:tblLayout w:type="fixed"/>
        <w:tblLook w:val="0000"/>
      </w:tblPr>
      <w:tblGrid>
        <w:gridCol w:w="1890"/>
        <w:gridCol w:w="7920"/>
      </w:tblGrid>
      <w:tr w:rsidR="00095C08" w:rsidRPr="006E757D" w:rsidTr="00BB2188">
        <w:tc>
          <w:tcPr>
            <w:tcW w:w="1890" w:type="dxa"/>
          </w:tcPr>
          <w:p w:rsidR="00095C08" w:rsidRPr="006E757D" w:rsidRDefault="00095C08" w:rsidP="00E42CD0">
            <w:pPr>
              <w:pStyle w:val="MarginSubhead"/>
            </w:pPr>
            <w:r w:rsidRPr="006E757D">
              <w:t xml:space="preserve">HEDIS data submission </w:t>
            </w:r>
            <w:r w:rsidR="00BB2188">
              <w:br/>
            </w:r>
            <w:r w:rsidRPr="006E757D">
              <w:t>to NCQA</w:t>
            </w:r>
          </w:p>
        </w:tc>
        <w:tc>
          <w:tcPr>
            <w:tcW w:w="7920" w:type="dxa"/>
          </w:tcPr>
          <w:p w:rsidR="00095C08" w:rsidRPr="006E757D" w:rsidRDefault="00E62172" w:rsidP="00165E1F">
            <w:pPr>
              <w:pStyle w:val="Body"/>
            </w:pPr>
            <w:r>
              <w:t xml:space="preserve">The </w:t>
            </w:r>
            <w:r w:rsidR="00202822" w:rsidRPr="006E757D">
              <w:t>organization</w:t>
            </w:r>
            <w:r w:rsidR="00095C08" w:rsidRPr="006E757D">
              <w:t xml:space="preserve"> </w:t>
            </w:r>
            <w:r>
              <w:t xml:space="preserve">must use the NCQA IDSS to </w:t>
            </w:r>
            <w:r w:rsidR="00095C08" w:rsidRPr="006E757D">
              <w:t xml:space="preserve">submit data to NCQA for accreditation, inclusion in the HEDIS database, public reporting or special NCQA projects. </w:t>
            </w:r>
          </w:p>
          <w:p w:rsidR="00095C08" w:rsidRPr="006E757D" w:rsidRDefault="00E62172" w:rsidP="00D25812">
            <w:pPr>
              <w:pStyle w:val="Body"/>
            </w:pPr>
            <w:r>
              <w:t>If HEDIS data are sent to a third party (e.g., state Medicaid agency) through IDSS, the organization</w:t>
            </w:r>
            <w:r w:rsidR="00095C08" w:rsidRPr="006E757D">
              <w:t xml:space="preserve"> must submit the data to NCQA under </w:t>
            </w:r>
            <w:r>
              <w:t xml:space="preserve">the </w:t>
            </w:r>
            <w:r w:rsidR="00095C08" w:rsidRPr="006E757D">
              <w:t xml:space="preserve">license agreement. If the </w:t>
            </w:r>
            <w:r w:rsidR="00202822" w:rsidRPr="006E757D">
              <w:t>organization</w:t>
            </w:r>
            <w:r w:rsidR="00095C08" w:rsidRPr="006E757D">
              <w:t xml:space="preserve"> does not use the IDSS</w:t>
            </w:r>
            <w:r>
              <w:t xml:space="preserve"> to send data</w:t>
            </w:r>
            <w:r w:rsidR="00095C08" w:rsidRPr="006E757D">
              <w:t>, the auditor must submit a record of the measure rates with the Final Audit Repo</w:t>
            </w:r>
            <w:bookmarkStart w:id="24" w:name="_GoBack"/>
            <w:bookmarkEnd w:id="24"/>
            <w:r w:rsidR="00095C08" w:rsidRPr="006E757D">
              <w:t xml:space="preserve">rt for the audit to be </w:t>
            </w:r>
            <w:r w:rsidR="000A78C8" w:rsidRPr="006E757D">
              <w:t xml:space="preserve">considered </w:t>
            </w:r>
            <w:r w:rsidR="00095C08" w:rsidRPr="006E757D">
              <w:t>a HEDIS audit.</w:t>
            </w:r>
          </w:p>
          <w:p w:rsidR="007F61B9" w:rsidRPr="006E757D" w:rsidRDefault="007F61B9" w:rsidP="005B7A8B">
            <w:pPr>
              <w:pStyle w:val="Note"/>
            </w:pPr>
            <w:r w:rsidRPr="006E757D">
              <w:rPr>
                <w:b/>
              </w:rPr>
              <w:t>Note:</w:t>
            </w:r>
            <w:r w:rsidRPr="006E757D">
              <w:t xml:space="preserve"> Data submission tools for WHP and DM are provided separately.</w:t>
            </w:r>
          </w:p>
        </w:tc>
      </w:tr>
      <w:tr w:rsidR="005768FA" w:rsidRPr="006E757D" w:rsidTr="00BB2188">
        <w:tc>
          <w:tcPr>
            <w:tcW w:w="1890" w:type="dxa"/>
          </w:tcPr>
          <w:p w:rsidR="005768FA" w:rsidRPr="006E757D" w:rsidRDefault="005768FA" w:rsidP="007D5EB3">
            <w:pPr>
              <w:pStyle w:val="MarginSubhead"/>
            </w:pPr>
            <w:r w:rsidRPr="006E757D">
              <w:t>NCQA national database submission</w:t>
            </w:r>
          </w:p>
        </w:tc>
        <w:tc>
          <w:tcPr>
            <w:tcW w:w="7920" w:type="dxa"/>
          </w:tcPr>
          <w:p w:rsidR="005768FA" w:rsidRPr="006E757D" w:rsidRDefault="005768FA" w:rsidP="007D5EB3">
            <w:pPr>
              <w:pStyle w:val="Body"/>
            </w:pPr>
            <w:r w:rsidRPr="006E757D">
              <w:t>The organization can submit its audited HEDIS data for inclusion in NCQA</w:t>
            </w:r>
            <w:r w:rsidR="00660316">
              <w:t>’</w:t>
            </w:r>
            <w:r w:rsidRPr="006E757D">
              <w:t>s national database to:</w:t>
            </w:r>
          </w:p>
          <w:p w:rsidR="005768FA" w:rsidRPr="006E757D" w:rsidRDefault="005768FA" w:rsidP="005B7A8B">
            <w:pPr>
              <w:pStyle w:val="Bullet"/>
            </w:pPr>
            <w:r w:rsidRPr="006E757D">
              <w:t xml:space="preserve">Contribute to national benchmarks and regional and national averages and be publicly reported through </w:t>
            </w:r>
            <w:r w:rsidRPr="00B42810">
              <w:rPr>
                <w:i/>
              </w:rPr>
              <w:t>Quality Compass</w:t>
            </w:r>
            <w:r w:rsidR="00E62172">
              <w:t>.</w:t>
            </w:r>
          </w:p>
          <w:p w:rsidR="005768FA" w:rsidRPr="006E757D" w:rsidRDefault="005768FA" w:rsidP="005B7A8B">
            <w:pPr>
              <w:pStyle w:val="Bullet"/>
            </w:pPr>
            <w:r w:rsidRPr="006E757D">
              <w:t xml:space="preserve">Contribute to national benchmarks and regional and national averages, but not be publicly reported through </w:t>
            </w:r>
            <w:r w:rsidRPr="00B42810">
              <w:rPr>
                <w:i/>
              </w:rPr>
              <w:t>Quality Compass</w:t>
            </w:r>
            <w:r w:rsidR="00E62172">
              <w:t>.</w:t>
            </w:r>
          </w:p>
          <w:p w:rsidR="005B7A8B" w:rsidRPr="006E757D" w:rsidRDefault="005B7A8B" w:rsidP="005B7A8B">
            <w:pPr>
              <w:pStyle w:val="Bullet"/>
            </w:pPr>
            <w:r w:rsidRPr="006E757D">
              <w:t>Satisfy NCQA Accreditation requirements (per the organization accreditation contract, NCQA may publicly report HEDIS measures required for accreditation).</w:t>
            </w:r>
          </w:p>
        </w:tc>
      </w:tr>
    </w:tbl>
    <w:p w:rsidR="00432E51" w:rsidRPr="006E757D" w:rsidRDefault="00432E51">
      <w:pPr>
        <w:sectPr w:rsidR="00432E51" w:rsidRPr="006E757D" w:rsidSect="00C228DE">
          <w:headerReference w:type="default" r:id="rId66"/>
          <w:pgSz w:w="12240" w:h="15840" w:code="1"/>
          <w:pgMar w:top="1080" w:right="1080" w:bottom="1080" w:left="1440" w:header="720" w:footer="720" w:gutter="0"/>
          <w:paperSrc w:first="7" w:other="7"/>
          <w:cols w:space="720"/>
        </w:sectPr>
      </w:pPr>
    </w:p>
    <w:p w:rsidR="00377A13" w:rsidRPr="006E757D" w:rsidRDefault="00377A13" w:rsidP="005B7A8B">
      <w:pPr>
        <w:pStyle w:val="StdHead"/>
        <w:spacing w:before="0"/>
        <w:rPr>
          <w:color w:val="auto"/>
        </w:rPr>
      </w:pPr>
      <w:r w:rsidRPr="006E757D">
        <w:rPr>
          <w:color w:val="auto"/>
        </w:rPr>
        <w:lastRenderedPageBreak/>
        <w:t>Final Audit Opinion and Statement</w:t>
      </w:r>
      <w:r w:rsidR="001D2921" w:rsidRPr="006E757D">
        <w:rPr>
          <w:color w:val="auto"/>
        </w:rPr>
        <w:t xml:space="preserve"> </w:t>
      </w:r>
      <w:r w:rsidR="001D2921" w:rsidRPr="006E757D">
        <w:rPr>
          <w:i/>
          <w:color w:val="auto"/>
        </w:rPr>
        <w:t>for HEDIS</w:t>
      </w:r>
    </w:p>
    <w:p w:rsidR="00072097" w:rsidRPr="006E757D" w:rsidRDefault="00377A13" w:rsidP="00377A13">
      <w:pPr>
        <w:pStyle w:val="Body"/>
        <w:widowControl w:val="0"/>
      </w:pPr>
      <w:r w:rsidRPr="006E757D">
        <w:t xml:space="preserve">At the close of the audit, the auditor renders the Final Audit Opinion, which contains a Final Audit Statement, measure rates and comments. The Final Audit Opinion must be submitted to NCQA </w:t>
      </w:r>
      <w:r w:rsidR="00E62172">
        <w:t xml:space="preserve">within </w:t>
      </w:r>
      <w:r w:rsidRPr="006E757D">
        <w:t xml:space="preserve">30 days after the reporting deadline. </w:t>
      </w:r>
    </w:p>
    <w:p w:rsidR="00072097" w:rsidRPr="006E757D" w:rsidRDefault="00072097" w:rsidP="00377A13">
      <w:pPr>
        <w:pStyle w:val="Body"/>
        <w:widowControl w:val="0"/>
      </w:pPr>
      <w:r w:rsidRPr="006E757D">
        <w:t xml:space="preserve">The </w:t>
      </w:r>
      <w:r w:rsidR="00377A13" w:rsidRPr="006E757D">
        <w:t>NCQA submission tool</w:t>
      </w:r>
      <w:r w:rsidRPr="006E757D">
        <w:t xml:space="preserve"> </w:t>
      </w:r>
      <w:r w:rsidR="00377A13" w:rsidRPr="006E757D">
        <w:t xml:space="preserve">includes rates and comments. </w:t>
      </w:r>
      <w:r w:rsidRPr="006E757D">
        <w:t xml:space="preserve">If the </w:t>
      </w:r>
      <w:r w:rsidR="00377A13" w:rsidRPr="006E757D">
        <w:t xml:space="preserve">organization does not submit </w:t>
      </w:r>
      <w:r w:rsidRPr="006E757D">
        <w:t>the</w:t>
      </w:r>
      <w:r w:rsidR="00377A13" w:rsidRPr="006E757D">
        <w:t xml:space="preserve"> submission tool, the auditor must send a list of measures, the rates and comments for each measure. The </w:t>
      </w:r>
      <w:r w:rsidR="00200E6C" w:rsidRPr="006E757D">
        <w:t>auditor must use</w:t>
      </w:r>
      <w:r w:rsidR="00377A13" w:rsidRPr="006E757D">
        <w:t xml:space="preserve"> the Final Audit Statement below</w:t>
      </w:r>
      <w:r w:rsidRPr="006E757D">
        <w:t xml:space="preserve"> and </w:t>
      </w:r>
      <w:r w:rsidR="00377A13" w:rsidRPr="006E757D">
        <w:t xml:space="preserve">submit </w:t>
      </w:r>
      <w:r w:rsidRPr="006E757D">
        <w:t xml:space="preserve">it to the NCQA audit coordinator </w:t>
      </w:r>
      <w:r w:rsidR="00377A13" w:rsidRPr="006E757D">
        <w:t>electronically or on paper.</w:t>
      </w:r>
    </w:p>
    <w:p w:rsidR="00072097" w:rsidRPr="006E757D" w:rsidRDefault="00072097" w:rsidP="00377A13">
      <w:pPr>
        <w:pStyle w:val="Body"/>
        <w:widowControl w:val="0"/>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blLayout w:type="fixed"/>
        <w:tblLook w:val="0000"/>
      </w:tblPr>
      <w:tblGrid>
        <w:gridCol w:w="9648"/>
      </w:tblGrid>
      <w:tr w:rsidR="00D1716E" w:rsidRPr="006E757D">
        <w:trPr>
          <w:jc w:val="center"/>
        </w:trPr>
        <w:tc>
          <w:tcPr>
            <w:tcW w:w="9648" w:type="dxa"/>
            <w:shd w:val="clear" w:color="auto" w:fill="E6E6E6"/>
          </w:tcPr>
          <w:p w:rsidR="00D1716E" w:rsidRPr="006E757D" w:rsidRDefault="00D1716E" w:rsidP="00D8796D">
            <w:pPr>
              <w:pStyle w:val="Heading2"/>
              <w:keepNext w:val="0"/>
              <w:widowControl w:val="0"/>
              <w:numPr>
                <w:ilvl w:val="12"/>
                <w:numId w:val="0"/>
              </w:numPr>
              <w:spacing w:before="240" w:after="240"/>
            </w:pPr>
            <w:r w:rsidRPr="006E757D">
              <w:rPr>
                <w:b w:val="0"/>
                <w:i w:val="0"/>
              </w:rPr>
              <w:br w:type="page"/>
            </w:r>
            <w:r w:rsidRPr="006E757D">
              <w:rPr>
                <w:i w:val="0"/>
              </w:rPr>
              <w:t>Final Audit Statement</w:t>
            </w:r>
          </w:p>
          <w:p w:rsidR="00D1716E" w:rsidRPr="006E757D" w:rsidRDefault="00D1716E" w:rsidP="00095C08">
            <w:pPr>
              <w:pStyle w:val="Body"/>
              <w:widowControl w:val="0"/>
              <w:numPr>
                <w:ilvl w:val="12"/>
                <w:numId w:val="0"/>
              </w:numPr>
              <w:spacing w:before="0"/>
            </w:pPr>
            <w:r w:rsidRPr="006E757D">
              <w:t>We have examined</w:t>
            </w:r>
            <w:r w:rsidR="00937A88" w:rsidRPr="006E757D">
              <w:t xml:space="preserve"> [</w:t>
            </w:r>
            <w:r w:rsidR="00202822" w:rsidRPr="006E757D">
              <w:rPr>
                <w:i/>
              </w:rPr>
              <w:t>organization</w:t>
            </w:r>
            <w:r w:rsidR="00660316">
              <w:rPr>
                <w:i/>
              </w:rPr>
              <w:t>’</w:t>
            </w:r>
            <w:r w:rsidR="00072097" w:rsidRPr="006E757D">
              <w:rPr>
                <w:i/>
              </w:rPr>
              <w:t>s</w:t>
            </w:r>
            <w:r w:rsidRPr="006E757D">
              <w:t>]</w:t>
            </w:r>
            <w:r w:rsidR="00937A88" w:rsidRPr="006E757D">
              <w:t xml:space="preserve"> submitted measures</w:t>
            </w:r>
            <w:r w:rsidRPr="006E757D">
              <w:t xml:space="preserve"> for conformity with the </w:t>
            </w:r>
            <w:r w:rsidR="00CB56A9" w:rsidRPr="006E757D">
              <w:t>Healthcare</w:t>
            </w:r>
            <w:r w:rsidRPr="006E757D">
              <w:t xml:space="preserve"> E</w:t>
            </w:r>
            <w:r w:rsidR="00B168EE" w:rsidRPr="006E757D">
              <w:t xml:space="preserve">ffectiveness </w:t>
            </w:r>
            <w:r w:rsidRPr="006E757D">
              <w:t xml:space="preserve">Data and Information Set (HEDIS) Technical Specifications. This audit </w:t>
            </w:r>
            <w:r w:rsidR="006C78F3" w:rsidRPr="006E757D">
              <w:t xml:space="preserve">followed </w:t>
            </w:r>
            <w:r w:rsidRPr="006E757D">
              <w:t xml:space="preserve">the NCQA HEDIS Compliance Audit standards and policies and procedures. Audit planning and testing was constructed to measure conformance to the HEDIS Technical Specifications for all measures presented at the time of our audit. </w:t>
            </w:r>
          </w:p>
          <w:p w:rsidR="00D1716E" w:rsidRPr="006E757D" w:rsidRDefault="00D1716E" w:rsidP="00095C08">
            <w:pPr>
              <w:pStyle w:val="Body"/>
              <w:widowControl w:val="0"/>
              <w:numPr>
                <w:ilvl w:val="12"/>
                <w:numId w:val="0"/>
              </w:numPr>
            </w:pPr>
            <w:r w:rsidRPr="006E757D">
              <w:t xml:space="preserve">This report is </w:t>
            </w:r>
            <w:r w:rsidR="009A3298" w:rsidRPr="006E757D">
              <w:t>[</w:t>
            </w:r>
            <w:r w:rsidR="00200E6C" w:rsidRPr="006E757D">
              <w:rPr>
                <w:i/>
              </w:rPr>
              <w:t>organization</w:t>
            </w:r>
            <w:r w:rsidR="009A3298" w:rsidRPr="006E757D">
              <w:t>]</w:t>
            </w:r>
            <w:r w:rsidRPr="006E757D">
              <w:t xml:space="preserve"> management</w:t>
            </w:r>
            <w:r w:rsidR="00660316">
              <w:t>’</w:t>
            </w:r>
            <w:r w:rsidRPr="006E757D">
              <w:t xml:space="preserve">s responsibility. Our responsibility is to express an opinion on the report based on our examination. Our examination included procedures to obtain reasonable assurance that the </w:t>
            </w:r>
            <w:r w:rsidR="009A3298" w:rsidRPr="006E757D">
              <w:t xml:space="preserve">submission </w:t>
            </w:r>
            <w:r w:rsidRPr="006E757D">
              <w:t xml:space="preserve">presents fairly, in all material respects, the </w:t>
            </w:r>
            <w:r w:rsidR="00202822" w:rsidRPr="006E757D">
              <w:t>organization</w:t>
            </w:r>
            <w:r w:rsidR="00660316">
              <w:t>’</w:t>
            </w:r>
            <w:r w:rsidRPr="006E757D">
              <w:t xml:space="preserve">s performance with respect to the HEDIS Technical Specifications. Our examination was made according to HEDIS Compliance Audit standards and policies and procedures, and accordingly included procedures we considered necessary to obtain a reasonable basis for rendering our opinion. Our opinion does not constitute a warranty or any other form of assurance as to the nature or quality of the health services provided by or arranged by the </w:t>
            </w:r>
            <w:r w:rsidR="00202822" w:rsidRPr="006E757D">
              <w:t>organization</w:t>
            </w:r>
            <w:r w:rsidRPr="006E757D">
              <w:t>.</w:t>
            </w:r>
          </w:p>
          <w:p w:rsidR="00D1716E" w:rsidRPr="006E757D" w:rsidRDefault="00D1716E" w:rsidP="00095C08">
            <w:pPr>
              <w:pStyle w:val="Body"/>
              <w:widowControl w:val="0"/>
              <w:numPr>
                <w:ilvl w:val="12"/>
                <w:numId w:val="0"/>
              </w:numPr>
            </w:pPr>
            <w:r w:rsidRPr="006E757D">
              <w:t>In our opinion, [</w:t>
            </w:r>
            <w:r w:rsidR="00200E6C" w:rsidRPr="006E757D">
              <w:rPr>
                <w:i/>
              </w:rPr>
              <w:t>organization</w:t>
            </w:r>
            <w:r w:rsidRPr="006E757D">
              <w:t xml:space="preserve">] </w:t>
            </w:r>
            <w:r w:rsidR="009A3298" w:rsidRPr="006E757D">
              <w:t xml:space="preserve">submitted measures </w:t>
            </w:r>
            <w:r w:rsidRPr="006E757D">
              <w:t>w</w:t>
            </w:r>
            <w:r w:rsidR="001759DE" w:rsidRPr="006E757D">
              <w:t>ere</w:t>
            </w:r>
            <w:r w:rsidRPr="006E757D">
              <w:t xml:space="preserve"> prepared according to the HEDIS Technical Specifications and present fairly, in all material respects, the </w:t>
            </w:r>
            <w:r w:rsidR="00202822" w:rsidRPr="006E757D">
              <w:t>organization</w:t>
            </w:r>
            <w:r w:rsidR="00660316">
              <w:t>’</w:t>
            </w:r>
            <w:r w:rsidRPr="006E757D">
              <w:t>s performance with respect to these specifications.</w:t>
            </w:r>
          </w:p>
          <w:p w:rsidR="00D1716E" w:rsidRPr="006E757D" w:rsidRDefault="00D1716E" w:rsidP="00095C08">
            <w:pPr>
              <w:pStyle w:val="Body"/>
              <w:widowControl w:val="0"/>
              <w:numPr>
                <w:ilvl w:val="12"/>
                <w:numId w:val="0"/>
              </w:numPr>
            </w:pPr>
            <w:r w:rsidRPr="006E757D">
              <w:t>We understand that if the signatures we submit below are electronic, they have the same legal effect, validity and enforceability as original signatures submitted on paper.</w:t>
            </w:r>
          </w:p>
          <w:p w:rsidR="00D1716E" w:rsidRPr="006E757D" w:rsidRDefault="00D1716E" w:rsidP="00095C08">
            <w:pPr>
              <w:pStyle w:val="Body"/>
              <w:widowControl w:val="0"/>
              <w:numPr>
                <w:ilvl w:val="12"/>
                <w:numId w:val="0"/>
              </w:numPr>
            </w:pPr>
            <w:r w:rsidRPr="006E757D">
              <w:t>________________________________________</w:t>
            </w:r>
            <w:r w:rsidRPr="006E757D">
              <w:tab/>
            </w:r>
            <w:r w:rsidRPr="006E757D">
              <w:tab/>
              <w:t>____________________________</w:t>
            </w:r>
          </w:p>
          <w:p w:rsidR="00D1716E" w:rsidRPr="006E757D" w:rsidRDefault="00D1716E" w:rsidP="005A5F91">
            <w:pPr>
              <w:pStyle w:val="Body"/>
              <w:widowControl w:val="0"/>
              <w:numPr>
                <w:ilvl w:val="12"/>
                <w:numId w:val="0"/>
              </w:numPr>
              <w:spacing w:before="60"/>
            </w:pPr>
            <w:r w:rsidRPr="006E757D">
              <w:t>(</w:t>
            </w:r>
            <w:r w:rsidR="006D531A" w:rsidRPr="006E757D">
              <w:t xml:space="preserve">NCQA </w:t>
            </w:r>
            <w:r w:rsidRPr="006E757D">
              <w:t>Certified HEDIS Compliance Auditor)</w:t>
            </w:r>
            <w:r w:rsidRPr="006E757D">
              <w:tab/>
            </w:r>
            <w:r w:rsidRPr="006E757D">
              <w:tab/>
            </w:r>
            <w:r w:rsidRPr="006E757D">
              <w:tab/>
              <w:t>(Date)</w:t>
            </w:r>
          </w:p>
          <w:p w:rsidR="00D1716E" w:rsidRPr="006E757D" w:rsidRDefault="00D1716E" w:rsidP="00095C08">
            <w:pPr>
              <w:pStyle w:val="Body"/>
              <w:widowControl w:val="0"/>
              <w:numPr>
                <w:ilvl w:val="12"/>
                <w:numId w:val="0"/>
              </w:numPr>
              <w:spacing w:before="240"/>
            </w:pPr>
            <w:r w:rsidRPr="006E757D">
              <w:t>________________________________________</w:t>
            </w:r>
            <w:r w:rsidRPr="006E757D">
              <w:tab/>
            </w:r>
            <w:r w:rsidRPr="006E757D">
              <w:tab/>
              <w:t>____________________________</w:t>
            </w:r>
          </w:p>
          <w:p w:rsidR="00D1716E" w:rsidRPr="006E757D" w:rsidRDefault="005A5F91" w:rsidP="009F65CF">
            <w:pPr>
              <w:pStyle w:val="Body"/>
              <w:widowControl w:val="0"/>
              <w:numPr>
                <w:ilvl w:val="12"/>
                <w:numId w:val="0"/>
              </w:numPr>
              <w:tabs>
                <w:tab w:val="left" w:pos="5796"/>
              </w:tabs>
              <w:spacing w:before="60"/>
            </w:pPr>
            <w:r w:rsidRPr="006E757D">
              <w:t>(Responsible Officer)</w:t>
            </w:r>
            <w:r w:rsidRPr="006E757D">
              <w:tab/>
            </w:r>
            <w:r w:rsidR="00D1716E" w:rsidRPr="006E757D">
              <w:t>(Date)</w:t>
            </w:r>
          </w:p>
          <w:p w:rsidR="00D1716E" w:rsidRPr="006E757D" w:rsidRDefault="00D1716E" w:rsidP="00D8796D">
            <w:pPr>
              <w:pStyle w:val="Body"/>
              <w:widowControl w:val="0"/>
              <w:numPr>
                <w:ilvl w:val="12"/>
                <w:numId w:val="0"/>
              </w:numPr>
              <w:spacing w:before="360" w:after="240"/>
            </w:pPr>
            <w:r w:rsidRPr="006E757D">
              <w:t xml:space="preserve">Organization ID: </w:t>
            </w:r>
            <w:r w:rsidR="00D8796D" w:rsidRPr="006E757D">
              <w:t>_______________________</w:t>
            </w:r>
            <w:r w:rsidR="00D8796D" w:rsidRPr="006E757D">
              <w:tab/>
            </w:r>
            <w:r w:rsidR="00D8796D" w:rsidRPr="006E757D">
              <w:tab/>
              <w:t>Submission ID: ______________________</w:t>
            </w:r>
          </w:p>
        </w:tc>
      </w:tr>
    </w:tbl>
    <w:p w:rsidR="00A9134D" w:rsidRPr="006E757D" w:rsidRDefault="00A9134D" w:rsidP="007D5EB3">
      <w:pPr>
        <w:sectPr w:rsidR="00A9134D" w:rsidRPr="006E757D" w:rsidSect="00C228DE">
          <w:headerReference w:type="even" r:id="rId67"/>
          <w:pgSz w:w="12240" w:h="15840" w:code="1"/>
          <w:pgMar w:top="1080" w:right="1080" w:bottom="1080" w:left="1440" w:header="720" w:footer="720" w:gutter="0"/>
          <w:paperSrc w:first="7" w:other="7"/>
          <w:cols w:space="720"/>
        </w:sectPr>
      </w:pPr>
    </w:p>
    <w:p w:rsidR="00631C4D" w:rsidRPr="006E757D" w:rsidRDefault="00631C4D" w:rsidP="00A9134D">
      <w:pPr>
        <w:pStyle w:val="StdHead"/>
        <w:spacing w:before="0"/>
        <w:rPr>
          <w:color w:val="auto"/>
        </w:rPr>
      </w:pPr>
      <w:r w:rsidRPr="006E757D">
        <w:rPr>
          <w:color w:val="auto"/>
        </w:rPr>
        <w:lastRenderedPageBreak/>
        <w:t xml:space="preserve">Final Audit Opinion and Statement </w:t>
      </w:r>
      <w:r w:rsidRPr="006E757D">
        <w:rPr>
          <w:i/>
          <w:color w:val="auto"/>
        </w:rPr>
        <w:t>for DM</w:t>
      </w:r>
    </w:p>
    <w:p w:rsidR="00631C4D" w:rsidRPr="006E757D" w:rsidRDefault="00631C4D" w:rsidP="00631C4D">
      <w:pPr>
        <w:pStyle w:val="Body"/>
        <w:widowControl w:val="0"/>
      </w:pPr>
      <w:r w:rsidRPr="006E757D">
        <w:t>At the close of the audit, the auditor renders the Final Audit Opinion, which contains a Final Audit Statement</w:t>
      </w:r>
      <w:r w:rsidR="00471A87" w:rsidRPr="006E757D">
        <w:t xml:space="preserve"> and the DM data submission tool with </w:t>
      </w:r>
      <w:r w:rsidRPr="006E757D">
        <w:t>measure rates and comments. The Final Audit Opinion must be submitted to NCQA</w:t>
      </w:r>
      <w:r w:rsidR="00E62172" w:rsidRPr="00E62172">
        <w:t xml:space="preserve"> </w:t>
      </w:r>
      <w:r w:rsidR="00E62172">
        <w:t>within</w:t>
      </w:r>
      <w:r w:rsidRPr="006E757D">
        <w:t xml:space="preserve"> 30 days after the reporting deadline. </w:t>
      </w:r>
    </w:p>
    <w:p w:rsidR="00631C4D" w:rsidRPr="006E757D" w:rsidRDefault="00631C4D" w:rsidP="00631C4D">
      <w:pPr>
        <w:pStyle w:val="Body"/>
        <w:widowControl w:val="0"/>
      </w:pPr>
      <w:r w:rsidRPr="006E757D">
        <w:t>The auditor must use the Final Audit Statement below and submit it to the NCQA audit coordinator electronically or on paper.</w:t>
      </w:r>
    </w:p>
    <w:p w:rsidR="00631C4D" w:rsidRPr="006E757D" w:rsidRDefault="00631C4D" w:rsidP="00631C4D">
      <w:pPr>
        <w:pStyle w:val="Body"/>
        <w:widowControl w:val="0"/>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blLayout w:type="fixed"/>
        <w:tblLook w:val="0000"/>
      </w:tblPr>
      <w:tblGrid>
        <w:gridCol w:w="9648"/>
      </w:tblGrid>
      <w:tr w:rsidR="00631C4D" w:rsidRPr="006E757D" w:rsidTr="00631C4D">
        <w:trPr>
          <w:jc w:val="center"/>
        </w:trPr>
        <w:tc>
          <w:tcPr>
            <w:tcW w:w="9648" w:type="dxa"/>
            <w:shd w:val="clear" w:color="auto" w:fill="E6E6E6"/>
          </w:tcPr>
          <w:p w:rsidR="00631C4D" w:rsidRPr="006E757D" w:rsidRDefault="00631C4D" w:rsidP="00631C4D">
            <w:pPr>
              <w:pStyle w:val="Heading2"/>
              <w:keepNext w:val="0"/>
              <w:widowControl w:val="0"/>
              <w:numPr>
                <w:ilvl w:val="12"/>
                <w:numId w:val="0"/>
              </w:numPr>
              <w:spacing w:before="240" w:after="240"/>
            </w:pPr>
            <w:r w:rsidRPr="006E757D">
              <w:rPr>
                <w:b w:val="0"/>
                <w:i w:val="0"/>
              </w:rPr>
              <w:br w:type="page"/>
            </w:r>
            <w:r w:rsidRPr="006E757D">
              <w:rPr>
                <w:i w:val="0"/>
              </w:rPr>
              <w:t>Final Audit Statement</w:t>
            </w:r>
          </w:p>
          <w:p w:rsidR="00631C4D" w:rsidRPr="006E757D" w:rsidRDefault="00631C4D" w:rsidP="00631C4D">
            <w:pPr>
              <w:pStyle w:val="Body"/>
              <w:widowControl w:val="0"/>
              <w:numPr>
                <w:ilvl w:val="12"/>
                <w:numId w:val="0"/>
              </w:numPr>
              <w:spacing w:before="0"/>
            </w:pPr>
            <w:r w:rsidRPr="006E757D">
              <w:t>We have examined [</w:t>
            </w:r>
            <w:r w:rsidRPr="006E757D">
              <w:rPr>
                <w:i/>
              </w:rPr>
              <w:t>organization</w:t>
            </w:r>
            <w:r w:rsidR="00660316">
              <w:rPr>
                <w:i/>
              </w:rPr>
              <w:t>’</w:t>
            </w:r>
            <w:r w:rsidRPr="006E757D">
              <w:rPr>
                <w:i/>
              </w:rPr>
              <w:t>s</w:t>
            </w:r>
            <w:r w:rsidRPr="006E757D">
              <w:t xml:space="preserve">] submitted measures for conformity with the </w:t>
            </w:r>
            <w:r w:rsidR="001C2ADD" w:rsidRPr="006E757D">
              <w:t>Disease Management</w:t>
            </w:r>
            <w:r w:rsidR="00A9134D" w:rsidRPr="006E757D">
              <w:t xml:space="preserve"> </w:t>
            </w:r>
            <w:r w:rsidR="001C2ADD" w:rsidRPr="006E757D">
              <w:t>Technical Specifications</w:t>
            </w:r>
            <w:r w:rsidRPr="006E757D">
              <w:t xml:space="preserve">. This audit followed the NCQA HEDIS Compliance Audit standards and policies and procedures. Audit planning and testing was constructed to measure conformance to the </w:t>
            </w:r>
            <w:r w:rsidR="001C2ADD" w:rsidRPr="006E757D">
              <w:t>DM Technical Specifications</w:t>
            </w:r>
            <w:r w:rsidRPr="006E757D">
              <w:t xml:space="preserve"> for all measures presented at the time of our audit. </w:t>
            </w:r>
          </w:p>
          <w:p w:rsidR="00631C4D" w:rsidRPr="006E757D" w:rsidRDefault="00631C4D" w:rsidP="00631C4D">
            <w:pPr>
              <w:pStyle w:val="Body"/>
              <w:widowControl w:val="0"/>
              <w:numPr>
                <w:ilvl w:val="12"/>
                <w:numId w:val="0"/>
              </w:numPr>
            </w:pPr>
            <w:r w:rsidRPr="006E757D">
              <w:t>This report is [</w:t>
            </w:r>
            <w:r w:rsidRPr="006E757D">
              <w:rPr>
                <w:i/>
              </w:rPr>
              <w:t>organization</w:t>
            </w:r>
            <w:r w:rsidRPr="006E757D">
              <w:t>] management</w:t>
            </w:r>
            <w:r w:rsidR="00660316">
              <w:t>’</w:t>
            </w:r>
            <w:r w:rsidRPr="006E757D">
              <w:t>s responsibility. Our responsibility is to express an opinion on the report based on our examination. Our examination included procedures to obtain reasonable assurance that the submission presents fairly, in all material respects, the organization</w:t>
            </w:r>
            <w:r w:rsidR="00660316">
              <w:t>’</w:t>
            </w:r>
            <w:r w:rsidRPr="006E757D">
              <w:t xml:space="preserve">s performance with respect to the </w:t>
            </w:r>
            <w:r w:rsidR="001C2ADD" w:rsidRPr="006E757D">
              <w:t>DM Technical Specifications</w:t>
            </w:r>
            <w:r w:rsidRPr="006E757D">
              <w:t>. Our examination was made according to HEDIS Compliance Audit standards and policies and procedures, and accordingly included procedures we considered necessary to obtain a reasonable basis for rendering our opinion. Our opinion does not constitute a warranty or any other form of assurance as to the nature or quality of the health services provided by or arranged by the organization.</w:t>
            </w:r>
          </w:p>
          <w:p w:rsidR="00631C4D" w:rsidRPr="006E757D" w:rsidRDefault="00631C4D" w:rsidP="00631C4D">
            <w:pPr>
              <w:pStyle w:val="Body"/>
              <w:widowControl w:val="0"/>
              <w:numPr>
                <w:ilvl w:val="12"/>
                <w:numId w:val="0"/>
              </w:numPr>
            </w:pPr>
            <w:r w:rsidRPr="006E757D">
              <w:t>In our opinion, [</w:t>
            </w:r>
            <w:r w:rsidRPr="006E757D">
              <w:rPr>
                <w:i/>
              </w:rPr>
              <w:t>organization</w:t>
            </w:r>
            <w:r w:rsidRPr="006E757D">
              <w:t xml:space="preserve">] submitted measures were prepared according to the </w:t>
            </w:r>
            <w:r w:rsidR="001C2ADD" w:rsidRPr="006E757D">
              <w:t>DM Technical Specifications</w:t>
            </w:r>
            <w:r w:rsidRPr="006E757D">
              <w:t xml:space="preserve"> and present fairly, in all material respects, the organization</w:t>
            </w:r>
            <w:r w:rsidR="00660316">
              <w:t>’</w:t>
            </w:r>
            <w:r w:rsidRPr="006E757D">
              <w:t>s performance with respect to these specifications.</w:t>
            </w:r>
          </w:p>
          <w:p w:rsidR="00631C4D" w:rsidRPr="006E757D" w:rsidRDefault="00631C4D" w:rsidP="00631C4D">
            <w:pPr>
              <w:pStyle w:val="Body"/>
              <w:widowControl w:val="0"/>
              <w:numPr>
                <w:ilvl w:val="12"/>
                <w:numId w:val="0"/>
              </w:numPr>
            </w:pPr>
            <w:r w:rsidRPr="006E757D">
              <w:t>We understand that if the signatures we submit below are electronic, they have the same legal effect, validity and enforceability as original signatures submitted on paper.</w:t>
            </w:r>
          </w:p>
          <w:p w:rsidR="00A9134D" w:rsidRPr="006E757D" w:rsidRDefault="00A9134D" w:rsidP="00A9134D">
            <w:pPr>
              <w:pStyle w:val="Body"/>
              <w:widowControl w:val="0"/>
              <w:numPr>
                <w:ilvl w:val="12"/>
                <w:numId w:val="0"/>
              </w:numPr>
            </w:pPr>
            <w:r w:rsidRPr="006E757D">
              <w:t>________________________________________</w:t>
            </w:r>
            <w:r w:rsidRPr="006E757D">
              <w:tab/>
            </w:r>
            <w:r w:rsidRPr="006E757D">
              <w:tab/>
              <w:t>____________________________</w:t>
            </w:r>
          </w:p>
          <w:p w:rsidR="00A9134D" w:rsidRPr="006E757D" w:rsidRDefault="00A9134D" w:rsidP="00A9134D">
            <w:pPr>
              <w:pStyle w:val="Body"/>
              <w:widowControl w:val="0"/>
              <w:numPr>
                <w:ilvl w:val="12"/>
                <w:numId w:val="0"/>
              </w:numPr>
              <w:spacing w:before="60"/>
            </w:pPr>
            <w:r w:rsidRPr="006E757D">
              <w:t>(NCQA Certified HEDIS Compliance Auditor)</w:t>
            </w:r>
            <w:r w:rsidRPr="006E757D">
              <w:tab/>
            </w:r>
            <w:r w:rsidRPr="006E757D">
              <w:tab/>
            </w:r>
            <w:r w:rsidRPr="006E757D">
              <w:tab/>
              <w:t>(Date)</w:t>
            </w:r>
          </w:p>
          <w:p w:rsidR="00A9134D" w:rsidRPr="006E757D" w:rsidRDefault="00A9134D" w:rsidP="00A9134D">
            <w:pPr>
              <w:pStyle w:val="Body"/>
              <w:widowControl w:val="0"/>
              <w:numPr>
                <w:ilvl w:val="12"/>
                <w:numId w:val="0"/>
              </w:numPr>
              <w:spacing w:before="240"/>
            </w:pPr>
            <w:r w:rsidRPr="006E757D">
              <w:t>________________________________________</w:t>
            </w:r>
            <w:r w:rsidRPr="006E757D">
              <w:tab/>
            </w:r>
            <w:r w:rsidRPr="006E757D">
              <w:tab/>
              <w:t>____________________________</w:t>
            </w:r>
          </w:p>
          <w:p w:rsidR="00A9134D" w:rsidRPr="006E757D" w:rsidRDefault="00A9134D" w:rsidP="00A9134D">
            <w:pPr>
              <w:pStyle w:val="Body"/>
              <w:widowControl w:val="0"/>
              <w:numPr>
                <w:ilvl w:val="12"/>
                <w:numId w:val="0"/>
              </w:numPr>
              <w:tabs>
                <w:tab w:val="left" w:pos="5796"/>
              </w:tabs>
              <w:spacing w:before="60"/>
            </w:pPr>
            <w:r w:rsidRPr="006E757D">
              <w:t>(Responsible Officer)</w:t>
            </w:r>
            <w:r w:rsidRPr="006E757D">
              <w:tab/>
              <w:t>(Date)</w:t>
            </w:r>
          </w:p>
          <w:p w:rsidR="00631C4D" w:rsidRPr="006E757D" w:rsidRDefault="00A9134D" w:rsidP="00631C4D">
            <w:pPr>
              <w:pStyle w:val="Body"/>
              <w:widowControl w:val="0"/>
              <w:numPr>
                <w:ilvl w:val="12"/>
                <w:numId w:val="0"/>
              </w:numPr>
              <w:spacing w:before="360" w:after="240"/>
            </w:pPr>
            <w:r w:rsidRPr="006E757D">
              <w:t>Organization ID: _______________________</w:t>
            </w:r>
            <w:r w:rsidRPr="006E757D">
              <w:tab/>
            </w:r>
            <w:r w:rsidRPr="006E757D">
              <w:tab/>
              <w:t>Submission ID: ______________________</w:t>
            </w:r>
          </w:p>
        </w:tc>
      </w:tr>
    </w:tbl>
    <w:p w:rsidR="009C6C23" w:rsidRPr="006E757D" w:rsidRDefault="009C6C23">
      <w:pPr>
        <w:pStyle w:val="Body"/>
        <w:widowControl w:val="0"/>
        <w:sectPr w:rsidR="009C6C23" w:rsidRPr="006E757D" w:rsidSect="00C228DE">
          <w:headerReference w:type="default" r:id="rId68"/>
          <w:pgSz w:w="12240" w:h="15840" w:code="1"/>
          <w:pgMar w:top="1080" w:right="1080" w:bottom="1080" w:left="1440" w:header="720" w:footer="720" w:gutter="0"/>
          <w:paperSrc w:first="7" w:other="7"/>
          <w:cols w:space="720"/>
        </w:sectPr>
      </w:pPr>
    </w:p>
    <w:p w:rsidR="009C6C23" w:rsidRPr="006E757D" w:rsidRDefault="009C6C23" w:rsidP="009C6C23">
      <w:pPr>
        <w:pStyle w:val="StdHead"/>
        <w:spacing w:before="0"/>
        <w:rPr>
          <w:color w:val="auto"/>
        </w:rPr>
      </w:pPr>
      <w:r w:rsidRPr="006E757D">
        <w:rPr>
          <w:color w:val="auto"/>
        </w:rPr>
        <w:lastRenderedPageBreak/>
        <w:t xml:space="preserve">Final Audit Opinion and Statement </w:t>
      </w:r>
      <w:r w:rsidRPr="006E757D">
        <w:rPr>
          <w:i/>
          <w:color w:val="auto"/>
        </w:rPr>
        <w:t>for WHP</w:t>
      </w:r>
    </w:p>
    <w:p w:rsidR="001D2921" w:rsidRPr="006E757D" w:rsidRDefault="001D2921" w:rsidP="001D2921">
      <w:pPr>
        <w:pStyle w:val="Body"/>
        <w:widowControl w:val="0"/>
      </w:pPr>
      <w:r w:rsidRPr="006E757D">
        <w:t>At the close of the audit, the auditor renders the Final Audit Opinion, which contains a Final Audit Statement</w:t>
      </w:r>
      <w:r w:rsidR="00471A87" w:rsidRPr="006E757D">
        <w:t xml:space="preserve"> and the WHP data submission tool with</w:t>
      </w:r>
      <w:r w:rsidRPr="006E757D">
        <w:t xml:space="preserve"> measure rates and comments. The Final Audit Opinion must be submitted to NCQA </w:t>
      </w:r>
      <w:r w:rsidR="00E62172">
        <w:t xml:space="preserve">within </w:t>
      </w:r>
      <w:r w:rsidRPr="006E757D">
        <w:t xml:space="preserve">30 days after the WHP reporting deadline. </w:t>
      </w:r>
    </w:p>
    <w:p w:rsidR="001D2921" w:rsidRPr="006E757D" w:rsidRDefault="001D2921" w:rsidP="001D2921">
      <w:pPr>
        <w:pStyle w:val="Body"/>
        <w:widowControl w:val="0"/>
      </w:pPr>
      <w:r w:rsidRPr="006E757D">
        <w:t>The auditor must use the Final Audit Statement below and submit it to the NCQA audit coordinator electronically or on paper.</w:t>
      </w:r>
    </w:p>
    <w:p w:rsidR="001D2921" w:rsidRPr="006E757D" w:rsidRDefault="001D2921" w:rsidP="001D2921">
      <w:pPr>
        <w:pStyle w:val="Body"/>
        <w:widowControl w:val="0"/>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blLayout w:type="fixed"/>
        <w:tblLook w:val="0000"/>
      </w:tblPr>
      <w:tblGrid>
        <w:gridCol w:w="9648"/>
      </w:tblGrid>
      <w:tr w:rsidR="001D2921" w:rsidRPr="006E757D" w:rsidTr="006E0CFD">
        <w:trPr>
          <w:jc w:val="center"/>
        </w:trPr>
        <w:tc>
          <w:tcPr>
            <w:tcW w:w="9648" w:type="dxa"/>
            <w:shd w:val="clear" w:color="auto" w:fill="E6E6E6"/>
          </w:tcPr>
          <w:p w:rsidR="001D2921" w:rsidRPr="006E757D" w:rsidRDefault="001D2921" w:rsidP="006E0CFD">
            <w:pPr>
              <w:pStyle w:val="Heading2"/>
              <w:keepNext w:val="0"/>
              <w:widowControl w:val="0"/>
              <w:numPr>
                <w:ilvl w:val="12"/>
                <w:numId w:val="0"/>
              </w:numPr>
              <w:spacing w:before="240" w:after="240"/>
            </w:pPr>
            <w:r w:rsidRPr="006E757D">
              <w:rPr>
                <w:b w:val="0"/>
                <w:i w:val="0"/>
              </w:rPr>
              <w:br w:type="page"/>
            </w:r>
            <w:r w:rsidRPr="006E757D">
              <w:rPr>
                <w:i w:val="0"/>
              </w:rPr>
              <w:t>Final Audit Statement</w:t>
            </w:r>
          </w:p>
          <w:p w:rsidR="001D2921" w:rsidRPr="006E757D" w:rsidRDefault="001D2921" w:rsidP="006E0CFD">
            <w:pPr>
              <w:pStyle w:val="Body"/>
              <w:widowControl w:val="0"/>
              <w:numPr>
                <w:ilvl w:val="12"/>
                <w:numId w:val="0"/>
              </w:numPr>
              <w:spacing w:before="0"/>
            </w:pPr>
            <w:r w:rsidRPr="006E757D">
              <w:t>We have examined [</w:t>
            </w:r>
            <w:r w:rsidRPr="006E757D">
              <w:rPr>
                <w:i/>
              </w:rPr>
              <w:t>organization</w:t>
            </w:r>
            <w:r w:rsidR="00660316">
              <w:rPr>
                <w:i/>
              </w:rPr>
              <w:t>’</w:t>
            </w:r>
            <w:r w:rsidRPr="006E757D">
              <w:rPr>
                <w:i/>
              </w:rPr>
              <w:t>s</w:t>
            </w:r>
            <w:r w:rsidRPr="006E757D">
              <w:t xml:space="preserve">] submitted measures for conformity with the Wellness and Health Promotion (WHP) Technical Specifications. This audit followed the NCQA HEDIS Compliance Audit standards and policies and procedures. Audit planning and testing was constructed to measure conformance to the WHP Technical Specifications for all measures presented at the time of our audit. </w:t>
            </w:r>
          </w:p>
          <w:p w:rsidR="001D2921" w:rsidRPr="006E757D" w:rsidRDefault="001D2921" w:rsidP="006E0CFD">
            <w:pPr>
              <w:pStyle w:val="Body"/>
              <w:widowControl w:val="0"/>
              <w:numPr>
                <w:ilvl w:val="12"/>
                <w:numId w:val="0"/>
              </w:numPr>
            </w:pPr>
            <w:r w:rsidRPr="006E757D">
              <w:t>This report is [</w:t>
            </w:r>
            <w:r w:rsidRPr="006E757D">
              <w:rPr>
                <w:i/>
              </w:rPr>
              <w:t>organization</w:t>
            </w:r>
            <w:r w:rsidRPr="006E757D">
              <w:t>] management</w:t>
            </w:r>
            <w:r w:rsidR="00660316">
              <w:t>’</w:t>
            </w:r>
            <w:r w:rsidRPr="006E757D">
              <w:t>s responsibility. Our responsibility is to express an opinion on the report based on our examination. Our examination included procedures to obtain reasonable assurance that the submission presents fairly, in all material respects, the organization</w:t>
            </w:r>
            <w:r w:rsidR="00660316">
              <w:t>’</w:t>
            </w:r>
            <w:r w:rsidRPr="006E757D">
              <w:t>s performance with respect to the WHP Technical Specifications. Our examination was made according to HEDIS Compliance Audit standards and policies and procedures, and accordingly included procedures we considered necessary to obtain a reasonable basis for rendering our opinion. Our opinion does not constitute a warranty or any other form of assurance as to the nature or quality of the health services provided by or arranged by the organization.</w:t>
            </w:r>
          </w:p>
          <w:p w:rsidR="001D2921" w:rsidRPr="006E757D" w:rsidRDefault="001D2921" w:rsidP="006E0CFD">
            <w:pPr>
              <w:pStyle w:val="Body"/>
              <w:widowControl w:val="0"/>
              <w:numPr>
                <w:ilvl w:val="12"/>
                <w:numId w:val="0"/>
              </w:numPr>
            </w:pPr>
            <w:r w:rsidRPr="006E757D">
              <w:t>In our opinion, [</w:t>
            </w:r>
            <w:r w:rsidRPr="006E757D">
              <w:rPr>
                <w:i/>
              </w:rPr>
              <w:t>organization</w:t>
            </w:r>
            <w:r w:rsidRPr="006E757D">
              <w:t>] submitted measures were prepared according to the WHP Technical Specifications and present fairly, in all material respects, the organization</w:t>
            </w:r>
            <w:r w:rsidR="00660316">
              <w:t>’</w:t>
            </w:r>
            <w:r w:rsidRPr="006E757D">
              <w:t>s performance with respect to these specifications.</w:t>
            </w:r>
          </w:p>
          <w:p w:rsidR="001D2921" w:rsidRPr="006E757D" w:rsidRDefault="001D2921" w:rsidP="006E0CFD">
            <w:pPr>
              <w:pStyle w:val="Body"/>
              <w:widowControl w:val="0"/>
              <w:numPr>
                <w:ilvl w:val="12"/>
                <w:numId w:val="0"/>
              </w:numPr>
            </w:pPr>
            <w:r w:rsidRPr="006E757D">
              <w:t>We understand that if the signatures we submit below are electronic, they have the same legal effect, validity and enforceability as original signatures submitted on paper.</w:t>
            </w:r>
          </w:p>
          <w:p w:rsidR="001D2921" w:rsidRPr="006E757D" w:rsidRDefault="001D2921" w:rsidP="006E0CFD">
            <w:pPr>
              <w:pStyle w:val="Body"/>
              <w:widowControl w:val="0"/>
              <w:numPr>
                <w:ilvl w:val="12"/>
                <w:numId w:val="0"/>
              </w:numPr>
            </w:pPr>
            <w:r w:rsidRPr="006E757D">
              <w:t>________________________________________</w:t>
            </w:r>
            <w:r w:rsidRPr="006E757D">
              <w:tab/>
            </w:r>
            <w:r w:rsidRPr="006E757D">
              <w:tab/>
              <w:t>____________________________</w:t>
            </w:r>
          </w:p>
          <w:p w:rsidR="001D2921" w:rsidRPr="006E757D" w:rsidRDefault="001D2921" w:rsidP="006E0CFD">
            <w:pPr>
              <w:pStyle w:val="Body"/>
              <w:widowControl w:val="0"/>
              <w:numPr>
                <w:ilvl w:val="12"/>
                <w:numId w:val="0"/>
              </w:numPr>
              <w:spacing w:before="60"/>
            </w:pPr>
            <w:r w:rsidRPr="006E757D">
              <w:t>(</w:t>
            </w:r>
            <w:r w:rsidR="006D531A" w:rsidRPr="006E757D">
              <w:t xml:space="preserve">NCQA </w:t>
            </w:r>
            <w:r w:rsidRPr="006E757D">
              <w:t>Certified HEDIS Compliance Auditor)</w:t>
            </w:r>
            <w:r w:rsidRPr="006E757D">
              <w:tab/>
            </w:r>
            <w:r w:rsidRPr="006E757D">
              <w:tab/>
            </w:r>
            <w:r w:rsidRPr="006E757D">
              <w:tab/>
              <w:t xml:space="preserve"> (Date)</w:t>
            </w:r>
          </w:p>
          <w:p w:rsidR="001D2921" w:rsidRPr="006E757D" w:rsidRDefault="001D2921" w:rsidP="006E0CFD">
            <w:pPr>
              <w:pStyle w:val="Body"/>
              <w:widowControl w:val="0"/>
              <w:numPr>
                <w:ilvl w:val="12"/>
                <w:numId w:val="0"/>
              </w:numPr>
              <w:spacing w:before="240"/>
            </w:pPr>
            <w:r w:rsidRPr="006E757D">
              <w:t>________________________________________</w:t>
            </w:r>
            <w:r w:rsidRPr="006E757D">
              <w:tab/>
            </w:r>
            <w:r w:rsidRPr="006E757D">
              <w:tab/>
              <w:t>____________________________</w:t>
            </w:r>
          </w:p>
          <w:p w:rsidR="001D2921" w:rsidRPr="006E757D" w:rsidRDefault="001D2921" w:rsidP="006E0CFD">
            <w:pPr>
              <w:pStyle w:val="Body"/>
              <w:widowControl w:val="0"/>
              <w:numPr>
                <w:ilvl w:val="12"/>
                <w:numId w:val="0"/>
              </w:numPr>
              <w:tabs>
                <w:tab w:val="left" w:pos="5796"/>
              </w:tabs>
              <w:spacing w:before="60"/>
            </w:pPr>
            <w:r w:rsidRPr="006E757D">
              <w:t>(Responsible Officer)</w:t>
            </w:r>
            <w:r w:rsidRPr="006E757D">
              <w:tab/>
              <w:t>(Date)</w:t>
            </w:r>
          </w:p>
          <w:p w:rsidR="001D2921" w:rsidRPr="006E757D" w:rsidRDefault="001D2921" w:rsidP="006E0CFD">
            <w:pPr>
              <w:pStyle w:val="Body"/>
              <w:widowControl w:val="0"/>
              <w:numPr>
                <w:ilvl w:val="12"/>
                <w:numId w:val="0"/>
              </w:numPr>
              <w:spacing w:before="360" w:after="240"/>
            </w:pPr>
            <w:r w:rsidRPr="006E757D">
              <w:t>Organization ID: _______________________</w:t>
            </w:r>
            <w:r w:rsidRPr="006E757D">
              <w:tab/>
            </w:r>
            <w:r w:rsidRPr="006E757D">
              <w:tab/>
              <w:t>Submission ID: ______________________</w:t>
            </w:r>
          </w:p>
        </w:tc>
      </w:tr>
    </w:tbl>
    <w:p w:rsidR="001D2921" w:rsidRPr="006E757D" w:rsidRDefault="001D2921" w:rsidP="007D5EB3">
      <w:pPr>
        <w:sectPr w:rsidR="001D2921" w:rsidRPr="006E757D" w:rsidSect="00C228DE">
          <w:headerReference w:type="even" r:id="rId69"/>
          <w:pgSz w:w="12240" w:h="15840" w:code="1"/>
          <w:pgMar w:top="1080" w:right="1080" w:bottom="1080" w:left="1440" w:header="720" w:footer="720" w:gutter="0"/>
          <w:paperSrc w:first="7" w:other="7"/>
          <w:cols w:space="720"/>
        </w:sectPr>
      </w:pPr>
    </w:p>
    <w:p w:rsidR="00D1716E" w:rsidRPr="006E757D" w:rsidRDefault="00D1716E" w:rsidP="009B78FB">
      <w:pPr>
        <w:pStyle w:val="StdHead"/>
        <w:spacing w:before="0"/>
        <w:rPr>
          <w:color w:val="auto"/>
        </w:rPr>
      </w:pPr>
      <w:r w:rsidRPr="006E757D">
        <w:rPr>
          <w:color w:val="auto"/>
        </w:rPr>
        <w:lastRenderedPageBreak/>
        <w:t>Final Audit Report</w:t>
      </w:r>
      <w:r w:rsidR="00EE2DD6" w:rsidRPr="006E757D">
        <w:rPr>
          <w:color w:val="auto"/>
        </w:rPr>
        <w:t xml:space="preserve"> </w:t>
      </w:r>
      <w:r w:rsidR="001D2921" w:rsidRPr="006E757D">
        <w:rPr>
          <w:i/>
          <w:color w:val="auto"/>
        </w:rPr>
        <w:t>for HEDIS</w:t>
      </w:r>
      <w:r w:rsidR="00471A87" w:rsidRPr="006E757D">
        <w:rPr>
          <w:i/>
          <w:color w:val="auto"/>
        </w:rPr>
        <w:t xml:space="preserve"> </w:t>
      </w:r>
      <w:r w:rsidR="00F139E3" w:rsidRPr="006E757D">
        <w:rPr>
          <w:i/>
          <w:color w:val="auto"/>
        </w:rPr>
        <w:t>and</w:t>
      </w:r>
      <w:r w:rsidR="00471A87" w:rsidRPr="006E757D">
        <w:rPr>
          <w:i/>
          <w:color w:val="auto"/>
        </w:rPr>
        <w:t xml:space="preserve"> DM </w:t>
      </w:r>
    </w:p>
    <w:p w:rsidR="000938DB" w:rsidRPr="006E757D" w:rsidRDefault="000938DB">
      <w:pPr>
        <w:pStyle w:val="Body"/>
        <w:numPr>
          <w:ilvl w:val="12"/>
          <w:numId w:val="0"/>
        </w:numPr>
      </w:pPr>
      <w:r w:rsidRPr="006E757D">
        <w:t>When the audit is complete, the auditor prepares a</w:t>
      </w:r>
      <w:r w:rsidR="00BB2188">
        <w:t xml:space="preserve"> </w:t>
      </w:r>
      <w:r w:rsidR="00694FC2">
        <w:t xml:space="preserve">plan-specific </w:t>
      </w:r>
      <w:r w:rsidRPr="006E757D">
        <w:t>Final Audit Report</w:t>
      </w:r>
      <w:r w:rsidR="005C285E" w:rsidRPr="006E757D">
        <w:t xml:space="preserve">. </w:t>
      </w:r>
      <w:r w:rsidRPr="006E757D">
        <w:t>Th</w:t>
      </w:r>
      <w:r w:rsidR="005C285E" w:rsidRPr="006E757D">
        <w:t>is report is a summary of all audit activities</w:t>
      </w:r>
      <w:r w:rsidR="00694FC2">
        <w:t xml:space="preserve"> for the audited plan</w:t>
      </w:r>
      <w:r w:rsidR="005C285E" w:rsidRPr="006E757D">
        <w:t xml:space="preserve">: audit detail is contained in the Information Systems (IS) Tool and the rate review documents. </w:t>
      </w:r>
    </w:p>
    <w:p w:rsidR="005C285E" w:rsidRPr="006E757D" w:rsidRDefault="005C285E" w:rsidP="005C285E">
      <w:pPr>
        <w:pStyle w:val="Body"/>
        <w:numPr>
          <w:ilvl w:val="12"/>
          <w:numId w:val="0"/>
        </w:numPr>
      </w:pPr>
      <w:r w:rsidRPr="006E757D">
        <w:t xml:space="preserve">Within 30 days of the HEDIS </w:t>
      </w:r>
      <w:r w:rsidR="00471A87" w:rsidRPr="006E757D">
        <w:t xml:space="preserve">or DM </w:t>
      </w:r>
      <w:r w:rsidRPr="006E757D">
        <w:t>reporting deadline</w:t>
      </w:r>
      <w:r w:rsidR="00471A87" w:rsidRPr="006E757D">
        <w:t>s</w:t>
      </w:r>
      <w:r w:rsidRPr="006E757D">
        <w:t xml:space="preserve">, the auditor must submit copies of the report to the organization and to NCQA, which uses it to ensure that all HEDIS audits are conducted according to guidelines. The report must provide enough </w:t>
      </w:r>
      <w:r w:rsidR="00694FC2">
        <w:t xml:space="preserve">plan-specific </w:t>
      </w:r>
      <w:r w:rsidRPr="006E757D">
        <w:t xml:space="preserve">information for NCQA to evaluate and conclude that the results are supported and specific to the organization.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D1716E" w:rsidRPr="001C6E9A" w:rsidTr="009349C6">
        <w:tc>
          <w:tcPr>
            <w:tcW w:w="2095" w:type="dxa"/>
            <w:tcBorders>
              <w:top w:val="nil"/>
              <w:left w:val="nil"/>
              <w:bottom w:val="nil"/>
              <w:right w:val="nil"/>
            </w:tcBorders>
            <w:tcMar>
              <w:left w:w="115" w:type="dxa"/>
              <w:right w:w="115" w:type="dxa"/>
            </w:tcMar>
          </w:tcPr>
          <w:p w:rsidR="00D1716E" w:rsidRPr="001C6E9A" w:rsidRDefault="000938DB">
            <w:pPr>
              <w:pStyle w:val="MarginSubhead"/>
              <w:numPr>
                <w:ilvl w:val="12"/>
                <w:numId w:val="0"/>
              </w:numPr>
              <w:ind w:left="187"/>
            </w:pPr>
            <w:r w:rsidRPr="001C6E9A">
              <w:t>Report contents</w:t>
            </w:r>
          </w:p>
        </w:tc>
        <w:tc>
          <w:tcPr>
            <w:tcW w:w="7805" w:type="dxa"/>
            <w:tcBorders>
              <w:top w:val="nil"/>
              <w:left w:val="nil"/>
              <w:bottom w:val="nil"/>
              <w:right w:val="nil"/>
            </w:tcBorders>
            <w:tcMar>
              <w:left w:w="115" w:type="dxa"/>
              <w:right w:w="115" w:type="dxa"/>
            </w:tcMar>
          </w:tcPr>
          <w:p w:rsidR="00D1716E" w:rsidRPr="001C6E9A" w:rsidRDefault="00D1716E" w:rsidP="005C176C">
            <w:pPr>
              <w:pStyle w:val="ProcessBullet"/>
              <w:spacing w:before="180"/>
            </w:pPr>
            <w:r w:rsidRPr="001C6E9A">
              <w:t>Licensed Organization</w:t>
            </w:r>
            <w:r w:rsidR="000938DB" w:rsidRPr="001C6E9A">
              <w:t xml:space="preserve"> </w:t>
            </w:r>
            <w:r w:rsidRPr="001C6E9A">
              <w:t>name and address of the office responsible for the audit project</w:t>
            </w:r>
            <w:r w:rsidR="00E62172" w:rsidRPr="001C6E9A">
              <w:t>.</w:t>
            </w:r>
          </w:p>
          <w:p w:rsidR="00D1716E" w:rsidRPr="001C6E9A" w:rsidRDefault="000938DB" w:rsidP="000938DB">
            <w:pPr>
              <w:pStyle w:val="ProcessBullet"/>
            </w:pPr>
            <w:r w:rsidRPr="001C6E9A">
              <w:t>C</w:t>
            </w:r>
            <w:r w:rsidR="00D1716E" w:rsidRPr="001C6E9A">
              <w:t>ompany officer responsible for the audit</w:t>
            </w:r>
            <w:r w:rsidR="00E62172" w:rsidRPr="001C6E9A">
              <w:t>.</w:t>
            </w:r>
          </w:p>
          <w:p w:rsidR="00D1716E" w:rsidRPr="001C6E9A" w:rsidRDefault="000938DB" w:rsidP="000938DB">
            <w:pPr>
              <w:pStyle w:val="ProcessBullet"/>
            </w:pPr>
            <w:r w:rsidRPr="001C6E9A">
              <w:t>A</w:t>
            </w:r>
            <w:r w:rsidR="00D1716E" w:rsidRPr="001C6E9A">
              <w:t>udit team information:</w:t>
            </w:r>
          </w:p>
          <w:p w:rsidR="00D1716E" w:rsidRPr="001C6E9A" w:rsidRDefault="00D1716E" w:rsidP="000938DB">
            <w:pPr>
              <w:pStyle w:val="ProcessDash"/>
            </w:pPr>
            <w:r w:rsidRPr="001C6E9A">
              <w:t>Certified Auditor leading the audit</w:t>
            </w:r>
            <w:r w:rsidR="00BB2188">
              <w:t>.</w:t>
            </w:r>
          </w:p>
          <w:p w:rsidR="00D1716E" w:rsidRPr="001C6E9A" w:rsidRDefault="000938DB" w:rsidP="000938DB">
            <w:pPr>
              <w:pStyle w:val="ProcessDash"/>
            </w:pPr>
            <w:r w:rsidRPr="001C6E9A">
              <w:t>R</w:t>
            </w:r>
            <w:r w:rsidR="00D1716E" w:rsidRPr="001C6E9A">
              <w:t>ole of each team member, including dates of involvement and level of effort</w:t>
            </w:r>
            <w:r w:rsidR="00BB2188">
              <w:t>.</w:t>
            </w:r>
          </w:p>
          <w:p w:rsidR="00D1716E" w:rsidRPr="001C6E9A" w:rsidRDefault="000938DB" w:rsidP="000938DB">
            <w:pPr>
              <w:pStyle w:val="ProcessDash"/>
            </w:pPr>
            <w:r w:rsidRPr="001C6E9A">
              <w:t>T</w:t>
            </w:r>
            <w:r w:rsidR="00D1716E" w:rsidRPr="001C6E9A">
              <w:t>eam structure (</w:t>
            </w:r>
            <w:r w:rsidRPr="001C6E9A">
              <w:t xml:space="preserve">e.g., </w:t>
            </w:r>
            <w:r w:rsidR="00D1716E" w:rsidRPr="001C6E9A">
              <w:t>Certified Auditor, direct reports, others)</w:t>
            </w:r>
            <w:r w:rsidR="00BB2188">
              <w:t>.</w:t>
            </w:r>
          </w:p>
          <w:p w:rsidR="00D1716E" w:rsidRPr="001C6E9A" w:rsidRDefault="000938DB" w:rsidP="000938DB">
            <w:pPr>
              <w:pStyle w:val="ProcessDash"/>
            </w:pPr>
            <w:r w:rsidRPr="001C6E9A">
              <w:t>Q</w:t>
            </w:r>
            <w:r w:rsidR="00D1716E" w:rsidRPr="001C6E9A">
              <w:t>ualifications of each team member, including education, years of HEDIS experience and years of audit experience</w:t>
            </w:r>
            <w:r w:rsidR="00E62172" w:rsidRPr="001C6E9A">
              <w:t>.</w:t>
            </w:r>
          </w:p>
          <w:p w:rsidR="00D1716E" w:rsidRPr="001C6E9A" w:rsidRDefault="00222CCD" w:rsidP="000938DB">
            <w:pPr>
              <w:pStyle w:val="ProcessBullet"/>
            </w:pPr>
            <w:r w:rsidRPr="001C6E9A">
              <w:t>O</w:t>
            </w:r>
            <w:r w:rsidR="00202822" w:rsidRPr="001C6E9A">
              <w:t>rganization</w:t>
            </w:r>
            <w:r w:rsidR="00D1716E" w:rsidRPr="001C6E9A">
              <w:t xml:space="preserve"> information:</w:t>
            </w:r>
          </w:p>
          <w:p w:rsidR="00D1716E" w:rsidRPr="001C6E9A" w:rsidRDefault="00222CCD" w:rsidP="000938DB">
            <w:pPr>
              <w:pStyle w:val="ProcessDash"/>
            </w:pPr>
            <w:r w:rsidRPr="001C6E9A">
              <w:t>O</w:t>
            </w:r>
            <w:r w:rsidR="00202822" w:rsidRPr="001C6E9A">
              <w:t>rganization</w:t>
            </w:r>
            <w:r w:rsidR="00D1716E" w:rsidRPr="001C6E9A">
              <w:t xml:space="preserve"> names and addresses</w:t>
            </w:r>
            <w:r w:rsidR="00BB2188">
              <w:t>.</w:t>
            </w:r>
          </w:p>
          <w:p w:rsidR="00D1716E" w:rsidRPr="001C6E9A" w:rsidRDefault="000938DB" w:rsidP="000938DB">
            <w:pPr>
              <w:pStyle w:val="ProcessDash"/>
            </w:pPr>
            <w:r w:rsidRPr="001C6E9A">
              <w:t xml:space="preserve">Organization </w:t>
            </w:r>
            <w:r w:rsidR="00D1716E" w:rsidRPr="001C6E9A">
              <w:t xml:space="preserve">and submission </w:t>
            </w:r>
            <w:r w:rsidRPr="001C6E9A">
              <w:t>IDs</w:t>
            </w:r>
            <w:r w:rsidR="00BB2188">
              <w:t>.</w:t>
            </w:r>
          </w:p>
          <w:p w:rsidR="00D1716E" w:rsidRPr="001C6E9A" w:rsidRDefault="000938DB" w:rsidP="000938DB">
            <w:pPr>
              <w:pStyle w:val="ProcessDash"/>
            </w:pPr>
            <w:r w:rsidRPr="001C6E9A">
              <w:t>Name</w:t>
            </w:r>
            <w:r w:rsidR="00D1716E" w:rsidRPr="001C6E9A">
              <w:t xml:space="preserve">, position and address of the individual at the </w:t>
            </w:r>
            <w:r w:rsidR="00202822" w:rsidRPr="001C6E9A">
              <w:t>organization</w:t>
            </w:r>
            <w:r w:rsidR="00D1716E" w:rsidRPr="001C6E9A">
              <w:t xml:space="preserve"> responsible for HEDIS reporting (i.e., sign-off authority)</w:t>
            </w:r>
            <w:r w:rsidR="00BB2188">
              <w:t>.</w:t>
            </w:r>
          </w:p>
          <w:p w:rsidR="00D1716E" w:rsidRPr="001C6E9A" w:rsidRDefault="000938DB" w:rsidP="000938DB">
            <w:pPr>
              <w:pStyle w:val="ProcessDash"/>
            </w:pPr>
            <w:r w:rsidRPr="001C6E9A">
              <w:t xml:space="preserve">Locations </w:t>
            </w:r>
            <w:r w:rsidR="00D1716E" w:rsidRPr="001C6E9A">
              <w:t>of HEDIS report preparation activity with contact name and address for each location</w:t>
            </w:r>
            <w:r w:rsidR="00E62172" w:rsidRPr="001C6E9A">
              <w:t>.</w:t>
            </w:r>
          </w:p>
          <w:p w:rsidR="00D1716E" w:rsidRPr="001C6E9A" w:rsidRDefault="005C176C" w:rsidP="000938DB">
            <w:pPr>
              <w:pStyle w:val="ProcessBullet"/>
            </w:pPr>
            <w:r w:rsidRPr="001C6E9A">
              <w:t>A</w:t>
            </w:r>
            <w:r w:rsidR="00D1716E" w:rsidRPr="001C6E9A">
              <w:t>udit information:</w:t>
            </w:r>
          </w:p>
          <w:p w:rsidR="00D1716E" w:rsidRPr="001C6E9A" w:rsidRDefault="000938DB" w:rsidP="000938DB">
            <w:pPr>
              <w:pStyle w:val="ProcessDash"/>
            </w:pPr>
            <w:r w:rsidRPr="001C6E9A">
              <w:t>Product lines or products reported</w:t>
            </w:r>
            <w:r w:rsidR="0087792F" w:rsidRPr="001C6E9A">
              <w:t xml:space="preserve"> and a list of measures for each product</w:t>
            </w:r>
            <w:r w:rsidR="00BB2188">
              <w:t>.</w:t>
            </w:r>
          </w:p>
          <w:p w:rsidR="00D1716E" w:rsidRPr="001C6E9A" w:rsidRDefault="00222CCD" w:rsidP="005C285E">
            <w:pPr>
              <w:pStyle w:val="ProcessDash"/>
            </w:pPr>
            <w:r w:rsidRPr="001C6E9A">
              <w:t>Audit timeline</w:t>
            </w:r>
            <w:r w:rsidR="00975209" w:rsidRPr="001C6E9A">
              <w:t xml:space="preserve"> (proposed and actual dates)</w:t>
            </w:r>
            <w:r w:rsidR="005C285E" w:rsidRPr="001C6E9A">
              <w:t xml:space="preserve">; </w:t>
            </w:r>
            <w:r w:rsidR="00EE2DD6" w:rsidRPr="001C6E9A">
              <w:t>optional</w:t>
            </w:r>
            <w:r w:rsidR="005C285E" w:rsidRPr="001C6E9A">
              <w:t xml:space="preserve"> </w:t>
            </w:r>
            <w:r w:rsidR="000938DB" w:rsidRPr="001C6E9A">
              <w:t>auditor strategy and considerations</w:t>
            </w:r>
            <w:r w:rsidR="00E62172" w:rsidRPr="001C6E9A">
              <w:t>.</w:t>
            </w:r>
          </w:p>
          <w:p w:rsidR="00A347A0" w:rsidRPr="001C6E9A" w:rsidRDefault="006E1A47" w:rsidP="008179C0">
            <w:pPr>
              <w:pStyle w:val="ProcessBullet"/>
            </w:pPr>
            <w:r w:rsidRPr="001C6E9A">
              <w:t>Survey s</w:t>
            </w:r>
            <w:r w:rsidR="00A347A0" w:rsidRPr="001C6E9A">
              <w:t xml:space="preserve">ample </w:t>
            </w:r>
            <w:r w:rsidRPr="001C6E9A">
              <w:t>f</w:t>
            </w:r>
            <w:r w:rsidR="00A347A0" w:rsidRPr="001C6E9A">
              <w:t xml:space="preserve">rame </w:t>
            </w:r>
            <w:r w:rsidRPr="001C6E9A">
              <w:t>f</w:t>
            </w:r>
            <w:r w:rsidR="00A347A0" w:rsidRPr="001C6E9A">
              <w:t>indings</w:t>
            </w:r>
            <w:r w:rsidR="003D5B31">
              <w:t xml:space="preserve"> (if applicable)</w:t>
            </w:r>
            <w:r w:rsidR="00E62172" w:rsidRPr="001C6E9A">
              <w:t>:</w:t>
            </w:r>
          </w:p>
          <w:p w:rsidR="00A347A0" w:rsidRPr="001C6E9A" w:rsidRDefault="006E1A47" w:rsidP="005C285E">
            <w:pPr>
              <w:pStyle w:val="ProcessDash"/>
            </w:pPr>
            <w:r w:rsidRPr="001C6E9A">
              <w:t xml:space="preserve">Survey </w:t>
            </w:r>
            <w:r w:rsidR="00C450CD" w:rsidRPr="001C6E9A">
              <w:t>v</w:t>
            </w:r>
            <w:r w:rsidRPr="001C6E9A">
              <w:t xml:space="preserve">endor </w:t>
            </w:r>
            <w:r w:rsidR="00290E90" w:rsidRPr="001C6E9A">
              <w:t>information</w:t>
            </w:r>
            <w:r w:rsidR="00BB2188">
              <w:t>.</w:t>
            </w:r>
          </w:p>
          <w:p w:rsidR="00A347A0" w:rsidRPr="001C6E9A" w:rsidRDefault="00290E90" w:rsidP="005C285E">
            <w:pPr>
              <w:pStyle w:val="ProcessDash"/>
            </w:pPr>
            <w:r w:rsidRPr="001C6E9A">
              <w:t>Organization</w:t>
            </w:r>
            <w:r w:rsidR="00660316" w:rsidRPr="001C6E9A">
              <w:t>’</w:t>
            </w:r>
            <w:r w:rsidRPr="001C6E9A">
              <w:t>s survey reporting intentions</w:t>
            </w:r>
            <w:r w:rsidR="00BB2188">
              <w:t>.</w:t>
            </w:r>
          </w:p>
          <w:p w:rsidR="005C285E" w:rsidRPr="001C6E9A" w:rsidRDefault="005C285E" w:rsidP="005C285E">
            <w:pPr>
              <w:pStyle w:val="ProcessDash"/>
            </w:pPr>
            <w:r w:rsidRPr="001C6E9A">
              <w:t>Source-code-review and process results</w:t>
            </w:r>
            <w:r w:rsidR="00BB2188">
              <w:t>.</w:t>
            </w:r>
          </w:p>
          <w:p w:rsidR="005C285E" w:rsidRPr="001C6E9A" w:rsidRDefault="005C285E" w:rsidP="005C285E">
            <w:pPr>
              <w:pStyle w:val="ProcessDash"/>
            </w:pPr>
            <w:r w:rsidRPr="001C6E9A">
              <w:t>Reasonability checks results</w:t>
            </w:r>
            <w:r w:rsidR="00E62172" w:rsidRPr="001C6E9A">
              <w:t>.</w:t>
            </w:r>
          </w:p>
          <w:p w:rsidR="005E6E07" w:rsidRPr="001C6E9A" w:rsidRDefault="005E6E07" w:rsidP="008179C0">
            <w:pPr>
              <w:pStyle w:val="ProcessBullet"/>
            </w:pPr>
            <w:r w:rsidRPr="001C6E9A">
              <w:t>Supplemental database findings</w:t>
            </w:r>
            <w:r w:rsidR="00E62172" w:rsidRPr="001C6E9A">
              <w:t>:</w:t>
            </w:r>
          </w:p>
          <w:p w:rsidR="00290E90" w:rsidRPr="001C6E9A" w:rsidRDefault="00290E90" w:rsidP="008179C0">
            <w:pPr>
              <w:pStyle w:val="ProcessDash"/>
            </w:pPr>
            <w:r w:rsidRPr="001C6E9A">
              <w:t>Policies and procedures reviewed</w:t>
            </w:r>
            <w:r w:rsidR="00BB2188">
              <w:t>.</w:t>
            </w:r>
          </w:p>
          <w:p w:rsidR="00290E90" w:rsidRPr="001C6E9A" w:rsidRDefault="00290E90" w:rsidP="008179C0">
            <w:pPr>
              <w:pStyle w:val="ProcessDash"/>
            </w:pPr>
            <w:r w:rsidRPr="001C6E9A">
              <w:t>Databases reviewed</w:t>
            </w:r>
            <w:r w:rsidR="00BB2188">
              <w:t>.</w:t>
            </w:r>
          </w:p>
          <w:p w:rsidR="00290E90" w:rsidRPr="001C6E9A" w:rsidRDefault="00290E90" w:rsidP="008179C0">
            <w:pPr>
              <w:pStyle w:val="ProcessDash"/>
            </w:pPr>
            <w:r w:rsidRPr="001C6E9A">
              <w:t>Primary source verification</w:t>
            </w:r>
            <w:r w:rsidR="00750AEF" w:rsidRPr="001C6E9A">
              <w:t xml:space="preserve"> (PSV)</w:t>
            </w:r>
            <w:r w:rsidR="00BB2188">
              <w:t>.</w:t>
            </w:r>
          </w:p>
          <w:p w:rsidR="005C285E" w:rsidRPr="001C6E9A" w:rsidRDefault="005C285E" w:rsidP="008179C0">
            <w:pPr>
              <w:pStyle w:val="ProcessDash"/>
            </w:pPr>
            <w:r w:rsidRPr="001C6E9A">
              <w:t>PSV exemption rationale</w:t>
            </w:r>
            <w:r w:rsidR="00BB2188">
              <w:t>.</w:t>
            </w:r>
          </w:p>
          <w:p w:rsidR="005E6E07" w:rsidRPr="001C6E9A" w:rsidRDefault="00290E90" w:rsidP="008179C0">
            <w:pPr>
              <w:pStyle w:val="ProcessDash"/>
            </w:pPr>
            <w:r w:rsidRPr="001C6E9A">
              <w:t xml:space="preserve">Audit </w:t>
            </w:r>
            <w:r w:rsidR="005E6E07" w:rsidRPr="001C6E9A">
              <w:t>results</w:t>
            </w:r>
            <w:r w:rsidR="00E62172" w:rsidRPr="001C6E9A">
              <w:t>.</w:t>
            </w:r>
          </w:p>
          <w:p w:rsidR="00A347A0" w:rsidRPr="001C6E9A" w:rsidRDefault="006E1A47" w:rsidP="008179C0">
            <w:pPr>
              <w:pStyle w:val="ProcessBullet"/>
            </w:pPr>
            <w:r w:rsidRPr="001C6E9A">
              <w:t>Source c</w:t>
            </w:r>
            <w:r w:rsidR="00A347A0" w:rsidRPr="001C6E9A">
              <w:t xml:space="preserve">ode </w:t>
            </w:r>
            <w:r w:rsidRPr="001C6E9A">
              <w:t>r</w:t>
            </w:r>
            <w:r w:rsidR="00A347A0" w:rsidRPr="001C6E9A">
              <w:t xml:space="preserve">eview </w:t>
            </w:r>
            <w:r w:rsidRPr="001C6E9A">
              <w:t>f</w:t>
            </w:r>
            <w:r w:rsidR="00A347A0" w:rsidRPr="001C6E9A">
              <w:t>indings</w:t>
            </w:r>
            <w:r w:rsidR="00E62172" w:rsidRPr="001C6E9A">
              <w:t>:</w:t>
            </w:r>
          </w:p>
          <w:p w:rsidR="00A347A0" w:rsidRPr="001C6E9A" w:rsidRDefault="006E1A47" w:rsidP="008179C0">
            <w:pPr>
              <w:pStyle w:val="ProcessDash"/>
            </w:pPr>
            <w:r w:rsidRPr="001C6E9A">
              <w:t>Vendor u</w:t>
            </w:r>
            <w:r w:rsidR="00A347A0" w:rsidRPr="001C6E9A">
              <w:t>sed, if applicable</w:t>
            </w:r>
            <w:r w:rsidR="00BB2188">
              <w:t>.</w:t>
            </w:r>
          </w:p>
          <w:p w:rsidR="00A347A0" w:rsidRPr="001C6E9A" w:rsidRDefault="00A347A0" w:rsidP="008179C0">
            <w:pPr>
              <w:pStyle w:val="ProcessDash"/>
            </w:pPr>
            <w:r w:rsidRPr="001C6E9A">
              <w:t>Core set selected and results</w:t>
            </w:r>
            <w:r w:rsidR="001F2E29" w:rsidRPr="001C6E9A">
              <w:t>, if applicable</w:t>
            </w:r>
            <w:r w:rsidR="00BB2188">
              <w:t>.</w:t>
            </w:r>
          </w:p>
          <w:p w:rsidR="00D1716E" w:rsidRPr="001C6E9A" w:rsidRDefault="00A347A0" w:rsidP="00306E99">
            <w:pPr>
              <w:pStyle w:val="ProcessDash"/>
            </w:pPr>
            <w:r w:rsidRPr="001C6E9A">
              <w:t>Source code review results</w:t>
            </w:r>
            <w:r w:rsidR="00E62172" w:rsidRPr="001C6E9A">
              <w:t>.</w:t>
            </w:r>
          </w:p>
        </w:tc>
      </w:tr>
    </w:tbl>
    <w:p w:rsidR="00306E99" w:rsidRPr="001C6E9A" w:rsidRDefault="00306E99">
      <w:pPr>
        <w:sectPr w:rsidR="00306E99" w:rsidRPr="001C6E9A" w:rsidSect="00C228DE">
          <w:headerReference w:type="default" r:id="rId70"/>
          <w:pgSz w:w="12240" w:h="15840" w:code="1"/>
          <w:pgMar w:top="1080" w:right="1080" w:bottom="1080" w:left="1440" w:header="720" w:footer="720" w:gutter="0"/>
          <w:paperSrc w:first="7" w:other="7"/>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306E99" w:rsidRPr="006E757D" w:rsidTr="009E422E">
        <w:tc>
          <w:tcPr>
            <w:tcW w:w="2095" w:type="dxa"/>
            <w:tcBorders>
              <w:top w:val="nil"/>
              <w:left w:val="nil"/>
              <w:bottom w:val="nil"/>
              <w:right w:val="nil"/>
            </w:tcBorders>
            <w:tcMar>
              <w:left w:w="115" w:type="dxa"/>
              <w:right w:w="115" w:type="dxa"/>
            </w:tcMar>
          </w:tcPr>
          <w:p w:rsidR="00306E99" w:rsidRPr="001C6E9A" w:rsidRDefault="00306E99">
            <w:pPr>
              <w:pStyle w:val="MarginSubhead"/>
              <w:numPr>
                <w:ilvl w:val="12"/>
                <w:numId w:val="0"/>
              </w:numPr>
              <w:ind w:left="187"/>
            </w:pPr>
          </w:p>
        </w:tc>
        <w:tc>
          <w:tcPr>
            <w:tcW w:w="7805" w:type="dxa"/>
            <w:tcBorders>
              <w:top w:val="nil"/>
              <w:left w:val="nil"/>
              <w:bottom w:val="nil"/>
              <w:right w:val="nil"/>
            </w:tcBorders>
            <w:tcMar>
              <w:left w:w="115" w:type="dxa"/>
              <w:right w:w="115" w:type="dxa"/>
            </w:tcMar>
          </w:tcPr>
          <w:p w:rsidR="00306E99" w:rsidRPr="001C6E9A" w:rsidRDefault="00306E99" w:rsidP="00306E99">
            <w:pPr>
              <w:pStyle w:val="ProcessBullet"/>
              <w:spacing w:before="0"/>
            </w:pPr>
            <w:r w:rsidRPr="001C6E9A">
              <w:t>MRR</w:t>
            </w:r>
            <w:r w:rsidR="00122147">
              <w:t xml:space="preserve"> validation</w:t>
            </w:r>
            <w:r w:rsidRPr="001C6E9A">
              <w:t xml:space="preserve"> findings:</w:t>
            </w:r>
          </w:p>
          <w:p w:rsidR="00306E99" w:rsidRPr="001C6E9A" w:rsidRDefault="00306E99" w:rsidP="00306E99">
            <w:pPr>
              <w:pStyle w:val="ProcessDash"/>
            </w:pPr>
            <w:r w:rsidRPr="001C6E9A">
              <w:t xml:space="preserve">Results and rationales for the measures </w:t>
            </w:r>
            <w:r w:rsidR="001C6E9A">
              <w:t xml:space="preserve">selected from each group </w:t>
            </w:r>
            <w:r w:rsidRPr="001C6E9A">
              <w:t>(including expansions, if applicable)</w:t>
            </w:r>
            <w:r w:rsidR="004D38B6">
              <w:t>.</w:t>
            </w:r>
          </w:p>
          <w:p w:rsidR="00306E99" w:rsidRPr="001C6E9A" w:rsidRDefault="00306E99" w:rsidP="00306E99">
            <w:pPr>
              <w:pStyle w:val="ProcessDash"/>
            </w:pPr>
            <w:r w:rsidRPr="001C6E9A">
              <w:t>Summary of MRR process</w:t>
            </w:r>
            <w:r w:rsidR="005C285E" w:rsidRPr="001C6E9A">
              <w:t xml:space="preserve"> review</w:t>
            </w:r>
            <w:r w:rsidR="004D38B6">
              <w:t>.</w:t>
            </w:r>
          </w:p>
          <w:p w:rsidR="00306E99" w:rsidRPr="001C6E9A" w:rsidRDefault="00306E99" w:rsidP="00306E99">
            <w:pPr>
              <w:pStyle w:val="ProcessDash"/>
            </w:pPr>
            <w:r w:rsidRPr="001C6E9A">
              <w:t>Auditor findings: results of final statistical validation</w:t>
            </w:r>
            <w:r w:rsidR="0040571C">
              <w:t xml:space="preserve"> and a record of any corrective actions</w:t>
            </w:r>
            <w:r w:rsidR="00E62172" w:rsidRPr="001C6E9A">
              <w:t>.</w:t>
            </w:r>
          </w:p>
          <w:p w:rsidR="00306E99" w:rsidRPr="001C6E9A" w:rsidRDefault="00306E99" w:rsidP="00306E99">
            <w:pPr>
              <w:pStyle w:val="ProcessBullet"/>
            </w:pPr>
            <w:r w:rsidRPr="001C6E9A">
              <w:t xml:space="preserve">IS Standards </w:t>
            </w:r>
            <w:r w:rsidR="00E62172" w:rsidRPr="001C6E9A">
              <w:t>c</w:t>
            </w:r>
            <w:r w:rsidRPr="001C6E9A">
              <w:t xml:space="preserve">ompliance </w:t>
            </w:r>
            <w:r w:rsidR="00E62172" w:rsidRPr="001C6E9A">
              <w:t>f</w:t>
            </w:r>
            <w:r w:rsidRPr="001C6E9A">
              <w:t>indings:</w:t>
            </w:r>
          </w:p>
          <w:p w:rsidR="00306E99" w:rsidRPr="001C6E9A" w:rsidRDefault="00E62172" w:rsidP="00306E99">
            <w:pPr>
              <w:pStyle w:val="ProcessDash"/>
            </w:pPr>
            <w:r w:rsidRPr="001C6E9A">
              <w:t>S</w:t>
            </w:r>
            <w:r w:rsidR="00306E99" w:rsidRPr="001C6E9A">
              <w:t>ummary of the auditor</w:t>
            </w:r>
            <w:r w:rsidR="00660316" w:rsidRPr="001C6E9A">
              <w:t>’</w:t>
            </w:r>
            <w:r w:rsidR="00306E99" w:rsidRPr="001C6E9A">
              <w:t xml:space="preserve">s findings from the </w:t>
            </w:r>
            <w:r w:rsidR="00660316" w:rsidRPr="001C6E9A">
              <w:t>“</w:t>
            </w:r>
            <w:r w:rsidR="00306E99" w:rsidRPr="001C6E9A">
              <w:t>Describe Impact on HEDIS Reporting Capability</w:t>
            </w:r>
            <w:r w:rsidR="00660316" w:rsidRPr="001C6E9A">
              <w:t>”</w:t>
            </w:r>
            <w:r w:rsidR="00306E99" w:rsidRPr="001C6E9A">
              <w:t xml:space="preserve"> column of the IS compliance tool (</w:t>
            </w:r>
            <w:r w:rsidR="007E123B" w:rsidRPr="001C6E9A">
              <w:t>Appendix 5</w:t>
            </w:r>
            <w:r w:rsidR="00D337A9" w:rsidRPr="001C6E9A">
              <w:t>)</w:t>
            </w:r>
            <w:r w:rsidR="004D38B6">
              <w:t>.</w:t>
            </w:r>
          </w:p>
          <w:p w:rsidR="00306E99" w:rsidRPr="001C6E9A" w:rsidRDefault="00306E99" w:rsidP="00306E99">
            <w:pPr>
              <w:pStyle w:val="ProcessDash"/>
            </w:pPr>
            <w:r w:rsidRPr="001C6E9A">
              <w:t>Assessment of organization performance on each IS standard and its impact on HEDIS reporting</w:t>
            </w:r>
            <w:r w:rsidR="00E62172" w:rsidRPr="001C6E9A">
              <w:t>.</w:t>
            </w:r>
          </w:p>
          <w:p w:rsidR="00306E99" w:rsidRPr="001C6E9A" w:rsidRDefault="00306E99" w:rsidP="00306E99">
            <w:pPr>
              <w:pStyle w:val="ProcessBullet"/>
            </w:pPr>
            <w:r w:rsidRPr="001C6E9A">
              <w:t>Final Audit Opinion, composed of:</w:t>
            </w:r>
          </w:p>
          <w:p w:rsidR="00306E99" w:rsidRPr="001C6E9A" w:rsidRDefault="00306E99" w:rsidP="00306E99">
            <w:pPr>
              <w:pStyle w:val="ProcessDash"/>
            </w:pPr>
            <w:r w:rsidRPr="001C6E9A">
              <w:t>Audit Statement</w:t>
            </w:r>
            <w:r w:rsidR="004D38B6">
              <w:t>.</w:t>
            </w:r>
          </w:p>
          <w:p w:rsidR="001D2921" w:rsidRPr="001C6E9A" w:rsidRDefault="00306E99" w:rsidP="001D2921">
            <w:pPr>
              <w:pStyle w:val="ProcessDash"/>
            </w:pPr>
            <w:r w:rsidRPr="001C6E9A">
              <w:t>Audit results and associated rates (e.g., a copy of the ART)</w:t>
            </w:r>
            <w:r w:rsidR="00E62172" w:rsidRPr="001C6E9A">
              <w:t>.</w:t>
            </w:r>
          </w:p>
        </w:tc>
      </w:tr>
    </w:tbl>
    <w:p w:rsidR="001D2921" w:rsidRPr="006E757D" w:rsidRDefault="001D2921" w:rsidP="001D2921">
      <w:pPr>
        <w:pStyle w:val="StdHead"/>
        <w:rPr>
          <w:color w:val="auto"/>
        </w:rPr>
      </w:pPr>
      <w:r w:rsidRPr="006E757D">
        <w:rPr>
          <w:color w:val="auto"/>
        </w:rPr>
        <w:t xml:space="preserve">Final Audit Report </w:t>
      </w:r>
      <w:r w:rsidRPr="006E757D">
        <w:rPr>
          <w:i/>
          <w:color w:val="auto"/>
        </w:rPr>
        <w:t>for WHP</w:t>
      </w:r>
    </w:p>
    <w:p w:rsidR="001D2921" w:rsidRPr="006E757D" w:rsidRDefault="001D2921" w:rsidP="001D2921">
      <w:pPr>
        <w:pStyle w:val="Body"/>
        <w:numPr>
          <w:ilvl w:val="12"/>
          <w:numId w:val="0"/>
        </w:numPr>
      </w:pPr>
      <w:r w:rsidRPr="006E757D">
        <w:t xml:space="preserve">When the audit is complete, the auditor prepares a </w:t>
      </w:r>
      <w:r w:rsidR="00694FC2">
        <w:t xml:space="preserve">WHP-specific </w:t>
      </w:r>
      <w:r w:rsidRPr="006E757D">
        <w:t>Final Audit Report that includes the Summary Report and the IS Assessment</w:t>
      </w:r>
      <w:r w:rsidR="00694FC2">
        <w:t xml:space="preserve"> for the WHP</w:t>
      </w:r>
      <w:r w:rsidRPr="006E757D">
        <w:t xml:space="preserve">. Within 30 days after the WHP reporting deadline, the auditor must submit copies of the report to the organization and to NCQA, which uses it to evaluate the audit process and ensure that all WHP audits are conducted according to guidelines. The report must provide enough </w:t>
      </w:r>
      <w:r w:rsidR="00694FC2">
        <w:t xml:space="preserve">WHP-specific </w:t>
      </w:r>
      <w:r w:rsidRPr="006E757D">
        <w:t>information for NCQA to evaluate and conclude that the auditor</w:t>
      </w:r>
      <w:r w:rsidR="00660316">
        <w:t>’</w:t>
      </w:r>
      <w:r w:rsidRPr="006E757D">
        <w:t xml:space="preserve">s results are supported. </w:t>
      </w:r>
    </w:p>
    <w:tbl>
      <w:tblPr>
        <w:tblW w:w="99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1D2921" w:rsidRPr="006E757D" w:rsidTr="006E0CFD">
        <w:tc>
          <w:tcPr>
            <w:tcW w:w="2095" w:type="dxa"/>
            <w:tcBorders>
              <w:top w:val="nil"/>
              <w:left w:val="nil"/>
              <w:bottom w:val="nil"/>
              <w:right w:val="nil"/>
            </w:tcBorders>
            <w:tcMar>
              <w:left w:w="115" w:type="dxa"/>
              <w:right w:w="115" w:type="dxa"/>
            </w:tcMar>
          </w:tcPr>
          <w:p w:rsidR="001D2921" w:rsidRPr="006E757D" w:rsidRDefault="001D2921" w:rsidP="006E0CFD">
            <w:pPr>
              <w:pStyle w:val="MarginSubhead"/>
              <w:numPr>
                <w:ilvl w:val="12"/>
                <w:numId w:val="0"/>
              </w:numPr>
              <w:ind w:left="187"/>
            </w:pPr>
            <w:r w:rsidRPr="006E757D">
              <w:t>Report contents</w:t>
            </w:r>
          </w:p>
        </w:tc>
        <w:tc>
          <w:tcPr>
            <w:tcW w:w="7805" w:type="dxa"/>
            <w:tcBorders>
              <w:top w:val="nil"/>
              <w:left w:val="nil"/>
              <w:bottom w:val="nil"/>
              <w:right w:val="nil"/>
            </w:tcBorders>
            <w:tcMar>
              <w:left w:w="115" w:type="dxa"/>
              <w:right w:w="115" w:type="dxa"/>
            </w:tcMar>
          </w:tcPr>
          <w:p w:rsidR="001D2921" w:rsidRPr="006E757D" w:rsidRDefault="001D2921" w:rsidP="006E0CFD">
            <w:pPr>
              <w:pStyle w:val="ProcessBullet"/>
              <w:spacing w:before="180"/>
            </w:pPr>
            <w:r w:rsidRPr="006E757D">
              <w:t>Licensed Organization name and address of the office responsible for the audit project</w:t>
            </w:r>
            <w:r w:rsidR="00E62172">
              <w:t>.</w:t>
            </w:r>
          </w:p>
          <w:p w:rsidR="001D2921" w:rsidRPr="006E757D" w:rsidRDefault="001D2921" w:rsidP="006E0CFD">
            <w:pPr>
              <w:pStyle w:val="ProcessBullet"/>
            </w:pPr>
            <w:r w:rsidRPr="006E757D">
              <w:t>Company officer responsible for the audit</w:t>
            </w:r>
            <w:r w:rsidR="00E62172">
              <w:t>.</w:t>
            </w:r>
          </w:p>
          <w:p w:rsidR="001D2921" w:rsidRPr="006E757D" w:rsidRDefault="001D2921" w:rsidP="006E0CFD">
            <w:pPr>
              <w:pStyle w:val="ProcessBullet"/>
            </w:pPr>
            <w:r w:rsidRPr="006E757D">
              <w:t>Audit team information:</w:t>
            </w:r>
          </w:p>
          <w:p w:rsidR="001D2921" w:rsidRPr="006E757D" w:rsidRDefault="001D2921" w:rsidP="006E0CFD">
            <w:pPr>
              <w:pStyle w:val="ProcessDash"/>
            </w:pPr>
            <w:r w:rsidRPr="006E757D">
              <w:t>Certified Auditor leading the audit</w:t>
            </w:r>
            <w:r w:rsidR="004D38B6">
              <w:t>.</w:t>
            </w:r>
          </w:p>
          <w:p w:rsidR="001D2921" w:rsidRPr="006E757D" w:rsidRDefault="001D2921" w:rsidP="006E0CFD">
            <w:pPr>
              <w:pStyle w:val="ProcessDash"/>
            </w:pPr>
            <w:r w:rsidRPr="006E757D">
              <w:t>Role of each team member, including dates of involvement and level of effort</w:t>
            </w:r>
            <w:r w:rsidR="004D38B6">
              <w:t>.</w:t>
            </w:r>
          </w:p>
          <w:p w:rsidR="001D2921" w:rsidRPr="006E757D" w:rsidRDefault="001D2921" w:rsidP="006E0CFD">
            <w:pPr>
              <w:pStyle w:val="ProcessDash"/>
            </w:pPr>
            <w:r w:rsidRPr="006E757D">
              <w:t>Team structure (e.g., Certified Auditor, direct reports, others)</w:t>
            </w:r>
            <w:r w:rsidR="004D38B6">
              <w:t>.</w:t>
            </w:r>
          </w:p>
          <w:p w:rsidR="001D2921" w:rsidRPr="006E757D" w:rsidRDefault="001D2921" w:rsidP="006E0CFD">
            <w:pPr>
              <w:pStyle w:val="ProcessDash"/>
            </w:pPr>
            <w:r w:rsidRPr="006E757D">
              <w:t>Qualifications of each team member, including education, years of WHP experience and years of audit experience</w:t>
            </w:r>
            <w:r w:rsidR="00E62172">
              <w:t>.</w:t>
            </w:r>
          </w:p>
          <w:p w:rsidR="001D2921" w:rsidRPr="006E757D" w:rsidRDefault="001D2921" w:rsidP="006E0CFD">
            <w:pPr>
              <w:pStyle w:val="ProcessBullet"/>
            </w:pPr>
            <w:r w:rsidRPr="006E757D">
              <w:t>Organization information:</w:t>
            </w:r>
          </w:p>
          <w:p w:rsidR="001D2921" w:rsidRPr="006E757D" w:rsidRDefault="001D2921" w:rsidP="006E0CFD">
            <w:pPr>
              <w:pStyle w:val="ProcessDash"/>
            </w:pPr>
            <w:r w:rsidRPr="006E757D">
              <w:t>Organization names and addresses</w:t>
            </w:r>
            <w:r w:rsidR="004D38B6">
              <w:t>.</w:t>
            </w:r>
          </w:p>
          <w:p w:rsidR="001D2921" w:rsidRPr="006E757D" w:rsidRDefault="001D2921" w:rsidP="006E0CFD">
            <w:pPr>
              <w:pStyle w:val="ProcessDash"/>
            </w:pPr>
            <w:r w:rsidRPr="006E757D">
              <w:t>Organization and submission IDs</w:t>
            </w:r>
            <w:r w:rsidR="004D38B6">
              <w:t>.</w:t>
            </w:r>
          </w:p>
          <w:p w:rsidR="001D2921" w:rsidRPr="006E757D" w:rsidRDefault="001D2921" w:rsidP="006E0CFD">
            <w:pPr>
              <w:pStyle w:val="ProcessDash"/>
            </w:pPr>
            <w:r w:rsidRPr="006E757D">
              <w:t>Name, position and address of the individual at the organization responsible for WHP reporting (i.e., sign-off authority)</w:t>
            </w:r>
            <w:r w:rsidR="004D38B6">
              <w:t>.</w:t>
            </w:r>
          </w:p>
          <w:p w:rsidR="001D2921" w:rsidRPr="006E757D" w:rsidRDefault="001D2921" w:rsidP="006E0CFD">
            <w:pPr>
              <w:pStyle w:val="ProcessDash"/>
            </w:pPr>
            <w:r w:rsidRPr="006E757D">
              <w:t>Locations of WHP report preparation activity with contact name and address for each location</w:t>
            </w:r>
            <w:r w:rsidR="00E62172">
              <w:t>.</w:t>
            </w:r>
          </w:p>
          <w:p w:rsidR="001D2921" w:rsidRPr="006E757D" w:rsidRDefault="001D2921" w:rsidP="006E0CFD">
            <w:pPr>
              <w:pStyle w:val="ProcessBullet"/>
            </w:pPr>
            <w:r w:rsidRPr="006E757D">
              <w:t>Audit information:</w:t>
            </w:r>
          </w:p>
          <w:p w:rsidR="001D2921" w:rsidRPr="006E757D" w:rsidRDefault="001D2921" w:rsidP="006E0CFD">
            <w:pPr>
              <w:pStyle w:val="ProcessDash"/>
            </w:pPr>
            <w:r w:rsidRPr="006E757D">
              <w:t>Product lines or products reported and a list of measures for each product</w:t>
            </w:r>
            <w:r w:rsidR="004D38B6">
              <w:t>.</w:t>
            </w:r>
          </w:p>
          <w:p w:rsidR="001D2921" w:rsidRPr="006E757D" w:rsidRDefault="001D2921" w:rsidP="006E0CFD">
            <w:pPr>
              <w:pStyle w:val="ProcessDash"/>
            </w:pPr>
            <w:r w:rsidRPr="006E757D">
              <w:t>Audit timeline</w:t>
            </w:r>
            <w:r w:rsidR="004D38B6">
              <w:t>.</w:t>
            </w:r>
          </w:p>
          <w:p w:rsidR="001D2921" w:rsidRPr="006E757D" w:rsidRDefault="001D2921" w:rsidP="006E0CFD">
            <w:pPr>
              <w:pStyle w:val="ProcessDash"/>
            </w:pPr>
            <w:r w:rsidRPr="006E757D">
              <w:t>Summary of offsite activities, including auditor strategy and considerations</w:t>
            </w:r>
            <w:r w:rsidR="00E62172">
              <w:t>.</w:t>
            </w:r>
          </w:p>
        </w:tc>
      </w:tr>
    </w:tbl>
    <w:p w:rsidR="008F11C0" w:rsidRPr="006E757D" w:rsidRDefault="008F11C0">
      <w:pPr>
        <w:sectPr w:rsidR="008F11C0" w:rsidRPr="006E757D" w:rsidSect="00C228DE">
          <w:headerReference w:type="even" r:id="rId71"/>
          <w:pgSz w:w="12240" w:h="15840" w:code="1"/>
          <w:pgMar w:top="1080" w:right="1080" w:bottom="1080" w:left="1440" w:header="720" w:footer="720" w:gutter="0"/>
          <w:paperSrc w:first="7" w:other="7"/>
          <w:cols w:space="720"/>
          <w:docGrid w:linePitch="360"/>
        </w:sectPr>
      </w:pPr>
    </w:p>
    <w:tbl>
      <w:tblPr>
        <w:tblW w:w="9965" w:type="dxa"/>
        <w:tblInd w:w="-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160"/>
        <w:gridCol w:w="7805"/>
      </w:tblGrid>
      <w:tr w:rsidR="001D2921" w:rsidRPr="006E757D" w:rsidTr="002335AE">
        <w:tc>
          <w:tcPr>
            <w:tcW w:w="2160" w:type="dxa"/>
            <w:tcBorders>
              <w:top w:val="nil"/>
              <w:left w:val="nil"/>
              <w:bottom w:val="nil"/>
              <w:right w:val="nil"/>
            </w:tcBorders>
            <w:tcMar>
              <w:left w:w="115" w:type="dxa"/>
              <w:right w:w="115" w:type="dxa"/>
            </w:tcMar>
          </w:tcPr>
          <w:p w:rsidR="001D2921" w:rsidRPr="006E757D" w:rsidRDefault="001D2921" w:rsidP="006E0CFD">
            <w:pPr>
              <w:pStyle w:val="MarginSubhead"/>
              <w:numPr>
                <w:ilvl w:val="12"/>
                <w:numId w:val="0"/>
              </w:numPr>
              <w:ind w:left="187"/>
            </w:pPr>
          </w:p>
        </w:tc>
        <w:tc>
          <w:tcPr>
            <w:tcW w:w="7805" w:type="dxa"/>
            <w:tcBorders>
              <w:top w:val="nil"/>
              <w:left w:val="nil"/>
              <w:bottom w:val="nil"/>
              <w:right w:val="nil"/>
            </w:tcBorders>
            <w:tcMar>
              <w:left w:w="115" w:type="dxa"/>
              <w:right w:w="115" w:type="dxa"/>
            </w:tcMar>
          </w:tcPr>
          <w:p w:rsidR="001D2921" w:rsidRPr="006E757D" w:rsidRDefault="001D2921" w:rsidP="008F11C0">
            <w:pPr>
              <w:pStyle w:val="ProcessBullet"/>
              <w:spacing w:before="0"/>
            </w:pPr>
            <w:r w:rsidRPr="006E757D">
              <w:t>IS Standards Compliance Findings:</w:t>
            </w:r>
          </w:p>
          <w:p w:rsidR="001D2921" w:rsidRPr="006E757D" w:rsidRDefault="001D2921" w:rsidP="006E0CFD">
            <w:pPr>
              <w:pStyle w:val="ProcessDash"/>
            </w:pPr>
            <w:r w:rsidRPr="006E757D">
              <w:t>A summary of the auditor</w:t>
            </w:r>
            <w:r w:rsidR="00660316">
              <w:t>’</w:t>
            </w:r>
            <w:r w:rsidRPr="006E757D">
              <w:t xml:space="preserve">s findings from the Describe Impact on </w:t>
            </w:r>
            <w:r w:rsidR="00D25812" w:rsidRPr="006E757D">
              <w:t xml:space="preserve">WHP </w:t>
            </w:r>
            <w:r w:rsidRPr="006E757D">
              <w:t>Reporting Capability column of the IS compliance tool (A</w:t>
            </w:r>
            <w:r w:rsidR="007E123B" w:rsidRPr="006E757D">
              <w:t>ppendix 5</w:t>
            </w:r>
            <w:r w:rsidRPr="006E757D">
              <w:t>)</w:t>
            </w:r>
            <w:r w:rsidR="004D38B6">
              <w:t>.</w:t>
            </w:r>
          </w:p>
          <w:p w:rsidR="001D2921" w:rsidRPr="006E757D" w:rsidRDefault="001D2921" w:rsidP="006E0CFD">
            <w:pPr>
              <w:pStyle w:val="ProcessDash"/>
            </w:pPr>
            <w:r w:rsidRPr="006E757D">
              <w:t xml:space="preserve">Assessment of organization performance on each IS standard and its impact on </w:t>
            </w:r>
            <w:r w:rsidR="00D25812" w:rsidRPr="006E757D">
              <w:t>WHP</w:t>
            </w:r>
            <w:r w:rsidRPr="006E757D">
              <w:t xml:space="preserve"> reporting</w:t>
            </w:r>
            <w:r w:rsidR="00E62172">
              <w:t>.</w:t>
            </w:r>
          </w:p>
          <w:p w:rsidR="001D2921" w:rsidRPr="006E757D" w:rsidRDefault="001D2921" w:rsidP="006E0CFD">
            <w:pPr>
              <w:pStyle w:val="ProcessBullet"/>
            </w:pPr>
            <w:r w:rsidRPr="006E757D">
              <w:t>Final Audit Opinion, co</w:t>
            </w:r>
            <w:r w:rsidR="00CA77F8" w:rsidRPr="006E757D">
              <w:t>m</w:t>
            </w:r>
            <w:r w:rsidRPr="006E757D">
              <w:t>posed of:</w:t>
            </w:r>
          </w:p>
          <w:p w:rsidR="001D2921" w:rsidRPr="006E757D" w:rsidRDefault="001D2921" w:rsidP="006E0CFD">
            <w:pPr>
              <w:pStyle w:val="ProcessDash"/>
            </w:pPr>
            <w:r w:rsidRPr="006E757D">
              <w:t>Audit Statement</w:t>
            </w:r>
            <w:r w:rsidR="004D38B6">
              <w:t>.</w:t>
            </w:r>
          </w:p>
          <w:p w:rsidR="001D2921" w:rsidRPr="006E757D" w:rsidRDefault="001D2921" w:rsidP="006E0CFD">
            <w:pPr>
              <w:pStyle w:val="ProcessDash"/>
            </w:pPr>
            <w:r w:rsidRPr="006E757D">
              <w:t>Audit results and associated rates (e.g., a copy of the submission tool)</w:t>
            </w:r>
            <w:r w:rsidR="00E62172">
              <w:t>.</w:t>
            </w:r>
          </w:p>
        </w:tc>
      </w:tr>
    </w:tbl>
    <w:p w:rsidR="00D1716E" w:rsidRPr="006E757D" w:rsidRDefault="00D1716E" w:rsidP="000F545C">
      <w:pPr>
        <w:pStyle w:val="StdHead"/>
        <w:rPr>
          <w:color w:val="auto"/>
        </w:rPr>
      </w:pPr>
      <w:r w:rsidRPr="006E757D">
        <w:rPr>
          <w:color w:val="auto"/>
        </w:rPr>
        <w:t>Other Reporting Requirements</w:t>
      </w:r>
    </w:p>
    <w:tbl>
      <w:tblPr>
        <w:tblW w:w="0" w:type="auto"/>
        <w:tblInd w:w="-65" w:type="dxa"/>
        <w:tblLayout w:type="fixed"/>
        <w:tblLook w:val="0000"/>
      </w:tblPr>
      <w:tblGrid>
        <w:gridCol w:w="2160"/>
        <w:gridCol w:w="7733"/>
        <w:gridCol w:w="7"/>
      </w:tblGrid>
      <w:tr w:rsidR="00D1716E" w:rsidRPr="006E757D" w:rsidTr="009E422E">
        <w:trPr>
          <w:gridAfter w:val="1"/>
          <w:wAfter w:w="7" w:type="dxa"/>
        </w:trPr>
        <w:tc>
          <w:tcPr>
            <w:tcW w:w="2160" w:type="dxa"/>
            <w:tcMar>
              <w:left w:w="115" w:type="dxa"/>
              <w:right w:w="115" w:type="dxa"/>
            </w:tcMar>
          </w:tcPr>
          <w:p w:rsidR="00D1716E" w:rsidRPr="006E757D" w:rsidRDefault="00D1716E">
            <w:pPr>
              <w:pStyle w:val="MarginSubhead"/>
              <w:numPr>
                <w:ilvl w:val="12"/>
                <w:numId w:val="0"/>
              </w:numPr>
              <w:ind w:left="187"/>
            </w:pPr>
            <w:r w:rsidRPr="006E757D">
              <w:t>Portability of audit opinions</w:t>
            </w:r>
          </w:p>
        </w:tc>
        <w:tc>
          <w:tcPr>
            <w:tcW w:w="7733" w:type="dxa"/>
            <w:tcMar>
              <w:left w:w="115" w:type="dxa"/>
              <w:right w:w="115" w:type="dxa"/>
            </w:tcMar>
          </w:tcPr>
          <w:p w:rsidR="009E422E" w:rsidRPr="006E757D" w:rsidRDefault="00D1716E">
            <w:pPr>
              <w:pStyle w:val="Body"/>
            </w:pPr>
            <w:r w:rsidRPr="006E757D">
              <w:t>Because audit accountability at the measure level is crucial to maintaining audit integrity, NCQA allows a</w:t>
            </w:r>
            <w:r w:rsidR="009E422E" w:rsidRPr="006E757D">
              <w:t xml:space="preserve"> measure</w:t>
            </w:r>
            <w:r w:rsidR="00660316">
              <w:t>’</w:t>
            </w:r>
            <w:r w:rsidR="00D25812" w:rsidRPr="006E757D">
              <w:t>s</w:t>
            </w:r>
            <w:r w:rsidR="009E422E" w:rsidRPr="006E757D">
              <w:t xml:space="preserve"> </w:t>
            </w:r>
            <w:r w:rsidRPr="006E757D">
              <w:t xml:space="preserve">audit </w:t>
            </w:r>
            <w:r w:rsidR="0083007F" w:rsidRPr="006E757D">
              <w:t xml:space="preserve">result </w:t>
            </w:r>
            <w:r w:rsidRPr="006E757D">
              <w:t>rendered by one Licensed Organization to be used in another Licensed Organization</w:t>
            </w:r>
            <w:r w:rsidR="00660316">
              <w:t>’</w:t>
            </w:r>
            <w:r w:rsidRPr="006E757D">
              <w:t xml:space="preserve">s opinion without further review. </w:t>
            </w:r>
          </w:p>
          <w:p w:rsidR="00D1716E" w:rsidRPr="006E757D" w:rsidRDefault="00D1716E" w:rsidP="00B42810">
            <w:pPr>
              <w:pStyle w:val="Body"/>
            </w:pPr>
            <w:r w:rsidRPr="006E757D">
              <w:t>NCQA does not</w:t>
            </w:r>
            <w:r w:rsidR="00A411A1" w:rsidRPr="006E757D">
              <w:t xml:space="preserve"> </w:t>
            </w:r>
            <w:r w:rsidRPr="006E757D">
              <w:t xml:space="preserve">allow portability of audit opinions at the process level (e.g., IS review, </w:t>
            </w:r>
            <w:r w:rsidR="00A411A1" w:rsidRPr="006E757D">
              <w:t>MRR</w:t>
            </w:r>
            <w:r w:rsidR="00287397">
              <w:t xml:space="preserve"> validation</w:t>
            </w:r>
            <w:r w:rsidRPr="006E757D">
              <w:t>)</w:t>
            </w:r>
            <w:r w:rsidR="00A411A1" w:rsidRPr="006E757D">
              <w:t>; t</w:t>
            </w:r>
            <w:r w:rsidRPr="006E757D">
              <w:t>his includes vendor assessment. A Licensed Organization</w:t>
            </w:r>
            <w:r w:rsidR="00660316">
              <w:t>’</w:t>
            </w:r>
            <w:r w:rsidRPr="006E757D">
              <w:t xml:space="preserve">s assessment of vendor information systems </w:t>
            </w:r>
            <w:r w:rsidR="0031317B" w:rsidRPr="006E757D">
              <w:t>may not be transferred</w:t>
            </w:r>
            <w:r w:rsidR="00C83A2C" w:rsidRPr="006E757D">
              <w:br/>
            </w:r>
            <w:r w:rsidRPr="006E757D">
              <w:t xml:space="preserve">to another Licensed Organization. </w:t>
            </w:r>
          </w:p>
        </w:tc>
      </w:tr>
      <w:tr w:rsidR="00D1716E" w:rsidRPr="006E757D" w:rsidTr="009E422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rPr>
          <w:gridAfter w:val="1"/>
          <w:wAfter w:w="7" w:type="dxa"/>
        </w:trPr>
        <w:tc>
          <w:tcPr>
            <w:tcW w:w="2160" w:type="dxa"/>
            <w:tcBorders>
              <w:top w:val="nil"/>
              <w:left w:val="nil"/>
              <w:bottom w:val="nil"/>
              <w:right w:val="nil"/>
            </w:tcBorders>
            <w:tcMar>
              <w:left w:w="115" w:type="dxa"/>
              <w:right w:w="115" w:type="dxa"/>
            </w:tcMar>
          </w:tcPr>
          <w:p w:rsidR="00D1716E" w:rsidRPr="006E757D" w:rsidRDefault="00D1716E">
            <w:pPr>
              <w:pStyle w:val="MarginSubhead"/>
              <w:numPr>
                <w:ilvl w:val="12"/>
                <w:numId w:val="0"/>
              </w:numPr>
              <w:ind w:left="187"/>
            </w:pPr>
            <w:r w:rsidRPr="006E757D">
              <w:t xml:space="preserve">Rates and </w:t>
            </w:r>
            <w:r w:rsidR="00AB7070" w:rsidRPr="006E757D">
              <w:t>results</w:t>
            </w:r>
          </w:p>
        </w:tc>
        <w:tc>
          <w:tcPr>
            <w:tcW w:w="7733" w:type="dxa"/>
            <w:tcBorders>
              <w:top w:val="nil"/>
              <w:left w:val="nil"/>
              <w:bottom w:val="nil"/>
              <w:right w:val="nil"/>
            </w:tcBorders>
            <w:tcMar>
              <w:left w:w="115" w:type="dxa"/>
              <w:right w:w="115" w:type="dxa"/>
            </w:tcMar>
          </w:tcPr>
          <w:p w:rsidR="00D1716E" w:rsidRPr="006E757D" w:rsidRDefault="00D1716E" w:rsidP="00AF34F8">
            <w:pPr>
              <w:pStyle w:val="Body"/>
            </w:pPr>
            <w:r w:rsidRPr="006E757D">
              <w:t>NCQA</w:t>
            </w:r>
            <w:r w:rsidR="00660316">
              <w:t>’</w:t>
            </w:r>
            <w:r w:rsidRPr="006E757D">
              <w:t xml:space="preserve">s standardized applications for submitting data are provided to </w:t>
            </w:r>
            <w:r w:rsidR="00202822" w:rsidRPr="006E757D">
              <w:t>organization</w:t>
            </w:r>
            <w:r w:rsidRPr="006E757D">
              <w:t xml:space="preserve">s no later than April </w:t>
            </w:r>
            <w:r w:rsidR="00AB7070" w:rsidRPr="006E757D">
              <w:t>of the reporting year</w:t>
            </w:r>
            <w:r w:rsidRPr="006E757D">
              <w:t xml:space="preserve">. The </w:t>
            </w:r>
            <w:r w:rsidRPr="006E757D">
              <w:rPr>
                <w:i/>
                <w:iCs/>
              </w:rPr>
              <w:t>User</w:t>
            </w:r>
            <w:r w:rsidR="00660316">
              <w:rPr>
                <w:i/>
                <w:iCs/>
              </w:rPr>
              <w:t>’</w:t>
            </w:r>
            <w:r w:rsidRPr="006E757D">
              <w:rPr>
                <w:i/>
                <w:iCs/>
              </w:rPr>
              <w:t>s Guide</w:t>
            </w:r>
            <w:r w:rsidRPr="006E757D">
              <w:t xml:space="preserve"> contain</w:t>
            </w:r>
            <w:r w:rsidR="00684166" w:rsidRPr="006E757D">
              <w:t>s</w:t>
            </w:r>
            <w:r w:rsidR="000F545C" w:rsidRPr="006E757D">
              <w:t xml:space="preserve"> </w:t>
            </w:r>
            <w:r w:rsidRPr="006E757D">
              <w:t xml:space="preserve">a description of </w:t>
            </w:r>
            <w:r w:rsidR="00202822" w:rsidRPr="006E757D">
              <w:t>organization</w:t>
            </w:r>
            <w:r w:rsidRPr="006E757D">
              <w:t xml:space="preserve"> and auditor responsibilities.</w:t>
            </w:r>
          </w:p>
          <w:p w:rsidR="00D1716E" w:rsidRPr="006E757D" w:rsidRDefault="00D1716E" w:rsidP="00AF34F8">
            <w:pPr>
              <w:pStyle w:val="Body"/>
            </w:pPr>
            <w:r w:rsidRPr="006E757D">
              <w:t xml:space="preserve">When the audit is complete, the </w:t>
            </w:r>
            <w:r w:rsidR="00202822" w:rsidRPr="006E757D">
              <w:t>organization</w:t>
            </w:r>
            <w:r w:rsidRPr="006E757D">
              <w:t xml:space="preserve"> and auditor finalize the submission tool by verifying the data, checking the Audit Table</w:t>
            </w:r>
            <w:r w:rsidR="00AB7070" w:rsidRPr="006E757D">
              <w:t>s</w:t>
            </w:r>
            <w:r w:rsidRPr="006E757D">
              <w:t xml:space="preserve"> for accuracy and completeness, locking the tool and </w:t>
            </w:r>
            <w:r w:rsidR="001F2E29" w:rsidRPr="006E757D">
              <w:t xml:space="preserve">marking </w:t>
            </w:r>
            <w:r w:rsidRPr="006E757D">
              <w:t xml:space="preserve">the submission </w:t>
            </w:r>
            <w:r w:rsidR="00660316">
              <w:t>“</w:t>
            </w:r>
            <w:r w:rsidRPr="006E757D">
              <w:t>fi</w:t>
            </w:r>
            <w:r w:rsidR="001F2E29" w:rsidRPr="006E757D">
              <w:t>nal</w:t>
            </w:r>
            <w:r w:rsidRPr="006E757D">
              <w:t>.</w:t>
            </w:r>
            <w:r w:rsidR="00660316">
              <w:t>”</w:t>
            </w:r>
            <w:r w:rsidRPr="006E757D">
              <w:t xml:space="preserve"> The </w:t>
            </w:r>
            <w:r w:rsidR="0043629E">
              <w:t>organization</w:t>
            </w:r>
            <w:r w:rsidR="0043629E" w:rsidRPr="006E757D">
              <w:t xml:space="preserve"> </w:t>
            </w:r>
            <w:r w:rsidRPr="006E757D">
              <w:t xml:space="preserve">is responsible for completing the submission tool and the Attestation Form. For version control and auditor independence, the auditor only reviews information the </w:t>
            </w:r>
            <w:r w:rsidR="0043629E">
              <w:t>organization</w:t>
            </w:r>
            <w:r w:rsidR="0043629E" w:rsidRPr="006E757D">
              <w:t xml:space="preserve"> </w:t>
            </w:r>
            <w:r w:rsidRPr="006E757D">
              <w:t>has provided in the form</w:t>
            </w:r>
            <w:r w:rsidR="00684166" w:rsidRPr="006E757D">
              <w:t xml:space="preserve"> and</w:t>
            </w:r>
            <w:r w:rsidRPr="006E757D">
              <w:t xml:space="preserve"> may not enter it for the </w:t>
            </w:r>
            <w:r w:rsidR="00202822" w:rsidRPr="006E757D">
              <w:t>organization</w:t>
            </w:r>
            <w:r w:rsidRPr="006E757D">
              <w:t>. The Audit Table must be completed by the auditor</w:t>
            </w:r>
            <w:r w:rsidR="00E62172">
              <w:t>; the organization may not complete it</w:t>
            </w:r>
            <w:r w:rsidRPr="006E757D">
              <w:t xml:space="preserve">. By </w:t>
            </w:r>
            <w:r w:rsidR="00AB7070" w:rsidRPr="006E757D">
              <w:t xml:space="preserve">approving a measure </w:t>
            </w:r>
            <w:r w:rsidRPr="006E757D">
              <w:t>on this table, the auditor validates all activities that culminate in a rate.</w:t>
            </w:r>
          </w:p>
          <w:p w:rsidR="00615B87" w:rsidRPr="006E757D" w:rsidRDefault="00D1716E" w:rsidP="00B766D4">
            <w:pPr>
              <w:pStyle w:val="Body"/>
            </w:pPr>
            <w:r w:rsidRPr="006E757D">
              <w:t xml:space="preserve">Full instructions for all tasks accompany the tools. The </w:t>
            </w:r>
            <w:r w:rsidR="00202822" w:rsidRPr="006E757D">
              <w:t>organization</w:t>
            </w:r>
            <w:r w:rsidRPr="006E757D">
              <w:t xml:space="preserve"> finalizes the tool, completes an Attestation Form and sends it to the </w:t>
            </w:r>
            <w:r w:rsidR="00684166" w:rsidRPr="006E757D">
              <w:t>data submission a</w:t>
            </w:r>
            <w:r w:rsidRPr="006E757D">
              <w:t xml:space="preserve">ccount </w:t>
            </w:r>
            <w:r w:rsidR="00684166" w:rsidRPr="006E757D">
              <w:t>m</w:t>
            </w:r>
            <w:r w:rsidRPr="006E757D">
              <w:t>anager in NCQA</w:t>
            </w:r>
            <w:r w:rsidR="00660316">
              <w:t>’</w:t>
            </w:r>
            <w:r w:rsidRPr="006E757D">
              <w:t>s Data Collection Department.</w:t>
            </w:r>
          </w:p>
        </w:tc>
      </w:tr>
      <w:tr w:rsidR="00D1716E" w:rsidRPr="006E757D" w:rsidTr="009E422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2160" w:type="dxa"/>
            <w:tcBorders>
              <w:top w:val="nil"/>
              <w:left w:val="nil"/>
              <w:bottom w:val="nil"/>
              <w:right w:val="nil"/>
            </w:tcBorders>
            <w:tcMar>
              <w:left w:w="115" w:type="dxa"/>
              <w:right w:w="115" w:type="dxa"/>
            </w:tcMar>
          </w:tcPr>
          <w:p w:rsidR="00D1716E" w:rsidRPr="006E757D" w:rsidRDefault="00D1716E" w:rsidP="000C3D06">
            <w:pPr>
              <w:pStyle w:val="MarginSubhead"/>
              <w:numPr>
                <w:ilvl w:val="12"/>
                <w:numId w:val="0"/>
              </w:numPr>
              <w:spacing w:before="240"/>
              <w:ind w:left="187"/>
            </w:pPr>
            <w:r w:rsidRPr="006E757D">
              <w:t>Final date for submission</w:t>
            </w:r>
          </w:p>
        </w:tc>
        <w:tc>
          <w:tcPr>
            <w:tcW w:w="7740" w:type="dxa"/>
            <w:gridSpan w:val="2"/>
            <w:tcBorders>
              <w:top w:val="nil"/>
              <w:left w:val="nil"/>
              <w:bottom w:val="nil"/>
              <w:right w:val="nil"/>
            </w:tcBorders>
            <w:tcMar>
              <w:left w:w="115" w:type="dxa"/>
              <w:right w:w="115" w:type="dxa"/>
            </w:tcMar>
          </w:tcPr>
          <w:p w:rsidR="00D1716E" w:rsidRPr="006E757D" w:rsidRDefault="00D1716E" w:rsidP="000C3D06">
            <w:pPr>
              <w:pStyle w:val="Body"/>
              <w:numPr>
                <w:ilvl w:val="12"/>
                <w:numId w:val="0"/>
              </w:numPr>
              <w:spacing w:before="240"/>
            </w:pPr>
            <w:r w:rsidRPr="006E757D">
              <w:t xml:space="preserve">The final date for audited HEDIS data submission to NCQA is the HEDIS reporting deadline. </w:t>
            </w:r>
          </w:p>
        </w:tc>
      </w:tr>
      <w:tr w:rsidR="00D1716E" w:rsidRPr="006E757D" w:rsidTr="009E422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2160" w:type="dxa"/>
            <w:tcBorders>
              <w:top w:val="nil"/>
              <w:left w:val="nil"/>
              <w:bottom w:val="nil"/>
              <w:right w:val="nil"/>
            </w:tcBorders>
            <w:tcMar>
              <w:left w:w="115" w:type="dxa"/>
              <w:right w:w="115" w:type="dxa"/>
            </w:tcMar>
          </w:tcPr>
          <w:p w:rsidR="00D1716E" w:rsidRPr="006E757D" w:rsidRDefault="00D1716E">
            <w:pPr>
              <w:pStyle w:val="MarginSubhead"/>
            </w:pPr>
            <w:r w:rsidRPr="006E757D">
              <w:br w:type="page"/>
              <w:t xml:space="preserve">Audit seal </w:t>
            </w:r>
          </w:p>
        </w:tc>
        <w:tc>
          <w:tcPr>
            <w:tcW w:w="7740" w:type="dxa"/>
            <w:gridSpan w:val="2"/>
            <w:tcBorders>
              <w:top w:val="nil"/>
              <w:left w:val="nil"/>
              <w:bottom w:val="nil"/>
              <w:right w:val="nil"/>
            </w:tcBorders>
            <w:tcMar>
              <w:left w:w="115" w:type="dxa"/>
              <w:right w:w="115" w:type="dxa"/>
            </w:tcMar>
          </w:tcPr>
          <w:p w:rsidR="000F51BB" w:rsidRPr="006E757D" w:rsidRDefault="00D1716E" w:rsidP="0044057A">
            <w:pPr>
              <w:pStyle w:val="Body"/>
            </w:pPr>
            <w:r w:rsidRPr="006E757D">
              <w:t xml:space="preserve">When NCQA receives and approves the Final Audit Report, it sends the audit seal directly to the </w:t>
            </w:r>
            <w:r w:rsidR="00202822" w:rsidRPr="006E757D">
              <w:t>organization</w:t>
            </w:r>
            <w:r w:rsidR="0044057A">
              <w:t xml:space="preserve"> to use </w:t>
            </w:r>
            <w:r w:rsidRPr="006E757D">
              <w:t>for advertising and marketing.</w:t>
            </w:r>
          </w:p>
        </w:tc>
      </w:tr>
    </w:tbl>
    <w:p w:rsidR="00C83A2C" w:rsidRPr="006E757D" w:rsidRDefault="00C83A2C" w:rsidP="004A3E38">
      <w:pPr>
        <w:pStyle w:val="SubHead"/>
        <w:spacing w:before="120"/>
        <w:rPr>
          <w:i/>
        </w:rPr>
      </w:pPr>
      <w:r w:rsidRPr="006E757D">
        <w:rPr>
          <w:i/>
        </w:rPr>
        <w:t>Note</w:t>
      </w:r>
    </w:p>
    <w:p w:rsidR="00C83A2C" w:rsidRPr="006E757D" w:rsidRDefault="002B6BEC" w:rsidP="002335AE">
      <w:pPr>
        <w:pStyle w:val="ProcessBullet"/>
        <w:rPr>
          <w:i/>
          <w:iCs/>
        </w:rPr>
      </w:pPr>
      <w:r>
        <w:rPr>
          <w:i/>
          <w:iCs/>
        </w:rPr>
        <w:t>If the</w:t>
      </w:r>
      <w:r w:rsidR="00C83A2C" w:rsidRPr="006E757D">
        <w:rPr>
          <w:i/>
          <w:iCs/>
        </w:rPr>
        <w:t xml:space="preserve"> organization does not submit the submission tool to NCQA</w:t>
      </w:r>
      <w:r>
        <w:rPr>
          <w:i/>
          <w:iCs/>
        </w:rPr>
        <w:t>, it</w:t>
      </w:r>
      <w:r w:rsidR="00C83A2C" w:rsidRPr="006E757D">
        <w:rPr>
          <w:i/>
          <w:iCs/>
        </w:rPr>
        <w:t xml:space="preserve"> must give the auditor a report that records the rate. The auditor approves the reported measures and submits the report, with the Final Audit Statement, to the audit coordinator at NCQA.</w:t>
      </w:r>
    </w:p>
    <w:p w:rsidR="00C83A2C" w:rsidRPr="006E757D" w:rsidRDefault="00C83A2C" w:rsidP="00673A27">
      <w:pPr>
        <w:pStyle w:val="ProcessBullet"/>
        <w:rPr>
          <w:rFonts w:ascii="Times New Roman" w:hAnsi="Times New Roman"/>
          <w:sz w:val="24"/>
        </w:rPr>
      </w:pPr>
      <w:r w:rsidRPr="006E757D">
        <w:rPr>
          <w:i/>
          <w:iCs/>
        </w:rPr>
        <w:t>For Medicare submissions, the auditor reviews totals for each measure in the Patient-Level Detail File to provide assurances that the data are accurate and audited as required in the Medicare Reporting Requirements document.</w:t>
      </w:r>
    </w:p>
    <w:p w:rsidR="00BA7465" w:rsidRPr="006E757D" w:rsidRDefault="00AC1811" w:rsidP="00BA7465">
      <w:pPr>
        <w:pStyle w:val="StdHead"/>
        <w:rPr>
          <w:color w:val="auto"/>
        </w:rPr>
      </w:pPr>
      <w:r>
        <w:rPr>
          <w:color w:val="auto"/>
        </w:rPr>
        <w:lastRenderedPageBreak/>
        <w:t>Work Papers and Documentation</w:t>
      </w:r>
    </w:p>
    <w:p w:rsidR="00CF7A12" w:rsidRDefault="00AC1811" w:rsidP="00CF7A12">
      <w:pPr>
        <w:pStyle w:val="Body"/>
      </w:pPr>
      <w:r w:rsidRPr="006E757D">
        <w:t>Certified Auditors must retain all work papers</w:t>
      </w:r>
      <w:r>
        <w:t>, including</w:t>
      </w:r>
      <w:r w:rsidR="00BA7465" w:rsidRPr="006E757D">
        <w:t xml:space="preserve"> the Final Audit Report submitted to NCQA</w:t>
      </w:r>
      <w:r w:rsidR="008B448E" w:rsidRPr="006E757D">
        <w:t>.</w:t>
      </w:r>
      <w:r w:rsidR="00BA7465" w:rsidRPr="006E757D">
        <w:t xml:space="preserve"> </w:t>
      </w:r>
      <w:r w:rsidR="00CF7A12" w:rsidRPr="006E757D">
        <w:t xml:space="preserve">NCQA recommends that </w:t>
      </w:r>
      <w:r w:rsidR="00202822" w:rsidRPr="006E757D">
        <w:t>organization</w:t>
      </w:r>
      <w:r w:rsidR="00CF7A12" w:rsidRPr="006E757D">
        <w:t>s and Licensed Organizations retain audit documentation for three years</w:t>
      </w:r>
      <w:r w:rsidR="00067090" w:rsidRPr="006E757D">
        <w:t xml:space="preserve">. </w:t>
      </w:r>
      <w:r w:rsidR="008B448E" w:rsidRPr="006E757D">
        <w:t>At a minimum, w</w:t>
      </w:r>
      <w:r w:rsidR="00CE2B58" w:rsidRPr="006E757D">
        <w:t>ork paper</w:t>
      </w:r>
      <w:r w:rsidR="008B448E" w:rsidRPr="006E757D">
        <w:t>s</w:t>
      </w:r>
      <w:r w:rsidR="00CE2B58" w:rsidRPr="006E757D">
        <w:t xml:space="preserve"> </w:t>
      </w:r>
      <w:r w:rsidR="00694FC2">
        <w:t xml:space="preserve">must </w:t>
      </w:r>
      <w:r w:rsidR="00CE2B58" w:rsidRPr="006E757D">
        <w:t>include the documents listed below.</w:t>
      </w:r>
    </w:p>
    <w:p w:rsidR="002335AE" w:rsidRPr="002335AE" w:rsidRDefault="00570670" w:rsidP="002335AE">
      <w:pPr>
        <w:pStyle w:val="SubHead"/>
        <w:spacing w:before="240"/>
        <w:rPr>
          <w:i/>
        </w:rPr>
      </w:pPr>
      <w:r w:rsidRPr="002335AE">
        <w:rPr>
          <w:i/>
        </w:rPr>
        <w:t>Note</w:t>
      </w:r>
    </w:p>
    <w:p w:rsidR="00570670" w:rsidRPr="002335AE" w:rsidRDefault="00570670" w:rsidP="002335AE">
      <w:pPr>
        <w:pStyle w:val="ProcessBullet"/>
        <w:rPr>
          <w:i/>
        </w:rPr>
      </w:pPr>
      <w:r w:rsidRPr="002335AE">
        <w:rPr>
          <w:i/>
        </w:rPr>
        <w:t xml:space="preserve">All Licensed Organizations are required to provide </w:t>
      </w:r>
      <w:r w:rsidRPr="002335AE">
        <w:rPr>
          <w:b/>
          <w:i/>
        </w:rPr>
        <w:t>either</w:t>
      </w:r>
      <w:r w:rsidRPr="002335AE">
        <w:rPr>
          <w:i/>
        </w:rPr>
        <w:t>:</w:t>
      </w:r>
    </w:p>
    <w:p w:rsidR="00570670" w:rsidRPr="002335AE" w:rsidRDefault="00570670" w:rsidP="002335AE">
      <w:pPr>
        <w:pStyle w:val="ProcessDash"/>
        <w:rPr>
          <w:i/>
        </w:rPr>
      </w:pPr>
      <w:r w:rsidRPr="002335AE">
        <w:rPr>
          <w:i/>
        </w:rPr>
        <w:t xml:space="preserve">Access to their full e-mail system, </w:t>
      </w:r>
      <w:r w:rsidRPr="002335AE">
        <w:rPr>
          <w:b/>
          <w:i/>
        </w:rPr>
        <w:t>or</w:t>
      </w:r>
    </w:p>
    <w:p w:rsidR="00570670" w:rsidRPr="002335AE" w:rsidRDefault="00570670" w:rsidP="002335AE">
      <w:pPr>
        <w:pStyle w:val="ProcessDash"/>
        <w:rPr>
          <w:i/>
        </w:rPr>
      </w:pPr>
      <w:r w:rsidRPr="002335AE">
        <w:rPr>
          <w:i/>
        </w:rPr>
        <w:t xml:space="preserve">All clients’ e-mails, collected in a client folder and loaded into an Adobe PDF file, with links and attachments enabled. </w:t>
      </w:r>
    </w:p>
    <w:p w:rsidR="005C285E" w:rsidRPr="006E757D" w:rsidRDefault="005C285E" w:rsidP="005C285E">
      <w:pPr>
        <w:pStyle w:val="SubHead"/>
        <w:spacing w:before="240"/>
      </w:pPr>
      <w:r w:rsidRPr="006E757D">
        <w:t>Licensed Organization Information</w:t>
      </w:r>
    </w:p>
    <w:p w:rsidR="005C285E" w:rsidRPr="006E757D" w:rsidRDefault="005C285E" w:rsidP="002335AE">
      <w:pPr>
        <w:pStyle w:val="ProcessBullet"/>
      </w:pPr>
      <w:r w:rsidRPr="006E757D">
        <w:t>Copies of all current audit contracts or letters of intent</w:t>
      </w:r>
      <w:r w:rsidR="0068633D" w:rsidRPr="006E757D">
        <w:t>.</w:t>
      </w:r>
      <w:r w:rsidRPr="006E757D">
        <w:t xml:space="preserve"> </w:t>
      </w:r>
    </w:p>
    <w:p w:rsidR="005C285E" w:rsidRPr="006E757D" w:rsidRDefault="005C285E" w:rsidP="005C285E">
      <w:pPr>
        <w:pStyle w:val="ProcessBullet"/>
      </w:pPr>
      <w:r w:rsidRPr="006E757D">
        <w:t>Copies of all contracts with independent auditors.</w:t>
      </w:r>
    </w:p>
    <w:p w:rsidR="005C285E" w:rsidRPr="006E757D" w:rsidRDefault="005C285E" w:rsidP="005C285E">
      <w:pPr>
        <w:pStyle w:val="ProcessBullet"/>
      </w:pPr>
      <w:r w:rsidRPr="006E757D">
        <w:t xml:space="preserve">A list of all auditing and consulting activities or relationships between the Licensed Organization and audit clients or affiliates for the past three years (e.g., IS </w:t>
      </w:r>
      <w:r w:rsidRPr="006E757D" w:rsidDel="00616618">
        <w:t>consulting,</w:t>
      </w:r>
      <w:r w:rsidRPr="006E757D">
        <w:t xml:space="preserve"> HEDIS consulting, HEDIS projects or </w:t>
      </w:r>
      <w:r w:rsidRPr="006E757D" w:rsidDel="00616618">
        <w:t>information systems</w:t>
      </w:r>
      <w:r w:rsidRPr="006E757D">
        <w:t xml:space="preserve"> work.</w:t>
      </w:r>
    </w:p>
    <w:p w:rsidR="005C285E" w:rsidRPr="006E757D" w:rsidRDefault="005C285E" w:rsidP="005C285E">
      <w:pPr>
        <w:pStyle w:val="ProcessBullet"/>
      </w:pPr>
      <w:r w:rsidRPr="006E757D">
        <w:t xml:space="preserve">A list of all auditing and consulting activities or relationships between the employed or contracted auditors and audit clients or any affiliates for the past three years (e.g., IS consulting, HEDIS consulting, HEDIS projects or </w:t>
      </w:r>
      <w:r w:rsidRPr="006E757D" w:rsidDel="00616618">
        <w:t>information systems</w:t>
      </w:r>
      <w:r w:rsidRPr="006E757D">
        <w:t xml:space="preserve"> work.</w:t>
      </w:r>
    </w:p>
    <w:p w:rsidR="00A347A0" w:rsidRPr="006E757D" w:rsidRDefault="005C285E" w:rsidP="008B448E">
      <w:pPr>
        <w:pStyle w:val="SubHead"/>
        <w:spacing w:before="240"/>
      </w:pPr>
      <w:r w:rsidRPr="006E757D">
        <w:t xml:space="preserve">Organization-Specific </w:t>
      </w:r>
      <w:r w:rsidR="00A347A0" w:rsidRPr="006E757D">
        <w:t>Information</w:t>
      </w:r>
    </w:p>
    <w:bookmarkEnd w:id="22"/>
    <w:bookmarkEnd w:id="23"/>
    <w:p w:rsidR="00BA7465" w:rsidRPr="006E757D" w:rsidRDefault="00BA7465" w:rsidP="002335AE">
      <w:pPr>
        <w:pStyle w:val="ProcessBullet"/>
      </w:pPr>
      <w:r w:rsidRPr="006E757D">
        <w:t>C</w:t>
      </w:r>
      <w:r w:rsidRPr="006E757D" w:rsidDel="00616618">
        <w:t xml:space="preserve">urrent </w:t>
      </w:r>
      <w:r w:rsidR="000F736C" w:rsidRPr="006E757D">
        <w:t>health</w:t>
      </w:r>
      <w:r w:rsidR="00040033" w:rsidRPr="006E757D">
        <w:t xml:space="preserve"> </w:t>
      </w:r>
      <w:r w:rsidR="000F736C" w:rsidRPr="006E757D">
        <w:t xml:space="preserve">care </w:t>
      </w:r>
      <w:r w:rsidR="00202822" w:rsidRPr="006E757D">
        <w:t>organization</w:t>
      </w:r>
      <w:r w:rsidRPr="006E757D">
        <w:t xml:space="preserve"> and Licensed Organization information:</w:t>
      </w:r>
      <w:r w:rsidR="005C285E" w:rsidRPr="006E757D">
        <w:t xml:space="preserve"> a copy of a Final Audit Report</w:t>
      </w:r>
      <w:r w:rsidR="0068633D" w:rsidRPr="006E757D">
        <w:t>.</w:t>
      </w:r>
    </w:p>
    <w:p w:rsidR="00BA7465" w:rsidRPr="006E757D" w:rsidRDefault="00A347A0" w:rsidP="003D02B5">
      <w:pPr>
        <w:pStyle w:val="ProcessDash"/>
      </w:pPr>
      <w:r w:rsidRPr="006E757D">
        <w:t>O</w:t>
      </w:r>
      <w:r w:rsidR="00202822" w:rsidRPr="006E757D">
        <w:t>rganization</w:t>
      </w:r>
      <w:r w:rsidR="00BA7465" w:rsidRPr="006E757D">
        <w:t xml:space="preserve"> name, address, primary contact, additional audit participants</w:t>
      </w:r>
      <w:r w:rsidR="003849D0">
        <w:t>’</w:t>
      </w:r>
      <w:r w:rsidR="00BA7465" w:rsidRPr="006E757D">
        <w:t xml:space="preserve"> names and titles</w:t>
      </w:r>
      <w:r w:rsidR="004D38B6">
        <w:t>.</w:t>
      </w:r>
    </w:p>
    <w:p w:rsidR="000C3D06" w:rsidRPr="006E757D" w:rsidRDefault="00BA7465" w:rsidP="003D02B5">
      <w:pPr>
        <w:pStyle w:val="ProcessDash"/>
      </w:pPr>
      <w:r w:rsidRPr="006E757D">
        <w:t xml:space="preserve">Audit team members, titles, skills and audit responsibilities, auditing and consulting history or relationship between the Licensed Organization and the </w:t>
      </w:r>
      <w:r w:rsidR="00202822" w:rsidRPr="006E757D">
        <w:t>organization</w:t>
      </w:r>
      <w:r w:rsidRPr="006E757D">
        <w:t xml:space="preserve"> or any </w:t>
      </w:r>
      <w:r w:rsidR="00202822" w:rsidRPr="006E757D">
        <w:t>organization</w:t>
      </w:r>
      <w:r w:rsidRPr="006E757D">
        <w:t xml:space="preserve"> affiliates for the past three years (e.g., IS </w:t>
      </w:r>
      <w:r w:rsidRPr="006E757D" w:rsidDel="00616618">
        <w:t xml:space="preserve">consulting, </w:t>
      </w:r>
      <w:r w:rsidRPr="006E757D">
        <w:t xml:space="preserve">or HEDIS consulting, HEDIS or </w:t>
      </w:r>
      <w:r w:rsidRPr="006E757D" w:rsidDel="00616618">
        <w:t>information systems</w:t>
      </w:r>
      <w:r w:rsidR="004D38B6">
        <w:t>.</w:t>
      </w:r>
    </w:p>
    <w:p w:rsidR="00BA7465" w:rsidRPr="006E757D" w:rsidRDefault="005227B2" w:rsidP="00BA7465">
      <w:pPr>
        <w:pStyle w:val="ProcessBullet"/>
      </w:pPr>
      <w:r w:rsidRPr="006E757D">
        <w:t>C</w:t>
      </w:r>
      <w:r w:rsidR="00BA7465" w:rsidRPr="006E757D">
        <w:t>op</w:t>
      </w:r>
      <w:r w:rsidRPr="006E757D">
        <w:t>ies</w:t>
      </w:r>
      <w:r w:rsidR="00BA7465" w:rsidRPr="006E757D">
        <w:t xml:space="preserve"> of </w:t>
      </w:r>
      <w:r w:rsidRPr="006E757D">
        <w:t xml:space="preserve">all </w:t>
      </w:r>
      <w:r w:rsidR="00BA7465" w:rsidRPr="006E757D">
        <w:t>current audit contract</w:t>
      </w:r>
      <w:r w:rsidRPr="006E757D">
        <w:t>s</w:t>
      </w:r>
      <w:r w:rsidR="00BA7465" w:rsidRPr="006E757D">
        <w:t xml:space="preserve"> or letter</w:t>
      </w:r>
      <w:r w:rsidRPr="006E757D">
        <w:t>s</w:t>
      </w:r>
      <w:r w:rsidR="00BA7465" w:rsidRPr="006E757D">
        <w:t xml:space="preserve"> o</w:t>
      </w:r>
      <w:r w:rsidR="00094E68" w:rsidRPr="006E757D">
        <w:t>f intent, including contracts with independent auditors.</w:t>
      </w:r>
    </w:p>
    <w:p w:rsidR="00BA7465" w:rsidRPr="006E757D" w:rsidRDefault="00BA7465" w:rsidP="00BA7465">
      <w:pPr>
        <w:pStyle w:val="ProcessBullet"/>
      </w:pPr>
      <w:r w:rsidRPr="006E757D">
        <w:t xml:space="preserve">An audit timeline </w:t>
      </w:r>
      <w:r w:rsidR="005C285E" w:rsidRPr="006E757D">
        <w:t>(if not already specific enough in the F</w:t>
      </w:r>
      <w:r w:rsidR="00CB2CDB">
        <w:t xml:space="preserve">inal </w:t>
      </w:r>
      <w:r w:rsidR="005C285E" w:rsidRPr="006E757D">
        <w:t>A</w:t>
      </w:r>
      <w:r w:rsidR="00CB2CDB">
        <w:t xml:space="preserve">udit </w:t>
      </w:r>
      <w:r w:rsidR="005C285E" w:rsidRPr="006E757D">
        <w:t>R</w:t>
      </w:r>
      <w:r w:rsidR="00CB2CDB">
        <w:t>eport</w:t>
      </w:r>
      <w:r w:rsidR="005C285E" w:rsidRPr="006E757D">
        <w:t xml:space="preserve">) </w:t>
      </w:r>
      <w:r w:rsidRPr="006E757D">
        <w:t>that includes negotiated and actual dates for at least:</w:t>
      </w:r>
    </w:p>
    <w:p w:rsidR="00BA7465" w:rsidRPr="006E757D" w:rsidRDefault="00BA7465" w:rsidP="003D02B5">
      <w:pPr>
        <w:pStyle w:val="ProcessDash"/>
      </w:pPr>
      <w:r w:rsidRPr="006E757D">
        <w:t>Opening meetings or conference calls</w:t>
      </w:r>
      <w:r w:rsidR="004D38B6">
        <w:t>.</w:t>
      </w:r>
    </w:p>
    <w:p w:rsidR="00BA7465" w:rsidRPr="006E757D" w:rsidRDefault="00BA7465" w:rsidP="003D02B5">
      <w:pPr>
        <w:pStyle w:val="ProcessDash"/>
      </w:pPr>
      <w:r w:rsidRPr="006E757D">
        <w:t xml:space="preserve">Receipt of </w:t>
      </w:r>
      <w:r w:rsidR="004D38B6">
        <w:t>Roadmap.</w:t>
      </w:r>
    </w:p>
    <w:p w:rsidR="00BA7465" w:rsidRPr="006E757D" w:rsidRDefault="00BA7465" w:rsidP="003D02B5">
      <w:pPr>
        <w:pStyle w:val="ProcessDash"/>
      </w:pPr>
      <w:r w:rsidRPr="006E757D">
        <w:t xml:space="preserve">Core set selection and delivery to the </w:t>
      </w:r>
      <w:r w:rsidR="00202822" w:rsidRPr="006E757D">
        <w:t>organization</w:t>
      </w:r>
      <w:r w:rsidR="004D38B6">
        <w:t>.</w:t>
      </w:r>
    </w:p>
    <w:p w:rsidR="00BA7465" w:rsidRPr="006E757D" w:rsidRDefault="00BA7465" w:rsidP="003D02B5">
      <w:pPr>
        <w:pStyle w:val="ProcessDash"/>
      </w:pPr>
      <w:r w:rsidRPr="006E757D">
        <w:t>Offsite data requests and subsequent deliveries</w:t>
      </w:r>
      <w:r w:rsidR="004D38B6">
        <w:t>.</w:t>
      </w:r>
    </w:p>
    <w:p w:rsidR="00BA7465" w:rsidRPr="006E757D" w:rsidRDefault="00BA7465" w:rsidP="003D02B5">
      <w:pPr>
        <w:pStyle w:val="ProcessDash"/>
      </w:pPr>
      <w:r w:rsidRPr="006E757D">
        <w:t>Onsite visits for each location</w:t>
      </w:r>
      <w:r w:rsidR="004D38B6">
        <w:t>.</w:t>
      </w:r>
    </w:p>
    <w:p w:rsidR="00BA7465" w:rsidRPr="006E757D" w:rsidRDefault="00BA7465" w:rsidP="003D02B5">
      <w:pPr>
        <w:pStyle w:val="ProcessDash"/>
      </w:pPr>
      <w:r w:rsidRPr="006E757D">
        <w:t>Offsite activities such as source code review, MRR</w:t>
      </w:r>
      <w:r w:rsidR="00CB2CDB">
        <w:t xml:space="preserve"> validation</w:t>
      </w:r>
      <w:r w:rsidRPr="006E757D">
        <w:t>, document review, conference calls</w:t>
      </w:r>
      <w:r w:rsidR="004D38B6">
        <w:t>.</w:t>
      </w:r>
    </w:p>
    <w:p w:rsidR="00BA7465" w:rsidRPr="006E757D" w:rsidRDefault="00BA7465" w:rsidP="003D02B5">
      <w:pPr>
        <w:pStyle w:val="ProcessDash"/>
      </w:pPr>
      <w:r w:rsidRPr="006E757D">
        <w:t xml:space="preserve">Follow-up documentation to the </w:t>
      </w:r>
      <w:r w:rsidR="00202822" w:rsidRPr="006E757D">
        <w:t>organization</w:t>
      </w:r>
      <w:r w:rsidR="004D38B6">
        <w:t>.</w:t>
      </w:r>
    </w:p>
    <w:p w:rsidR="00BA7465" w:rsidRPr="006E757D" w:rsidRDefault="0031317B" w:rsidP="003D02B5">
      <w:pPr>
        <w:pStyle w:val="ProcessDash"/>
      </w:pPr>
      <w:r w:rsidRPr="006E757D">
        <w:t>O</w:t>
      </w:r>
      <w:r w:rsidR="00202822" w:rsidRPr="006E757D">
        <w:t>rganization</w:t>
      </w:r>
      <w:r w:rsidR="00BA7465" w:rsidRPr="006E757D">
        <w:t xml:space="preserve"> responses</w:t>
      </w:r>
      <w:r w:rsidR="004D38B6">
        <w:t>.</w:t>
      </w:r>
    </w:p>
    <w:p w:rsidR="00BA7465" w:rsidRPr="006E757D" w:rsidRDefault="005C285E" w:rsidP="003D02B5">
      <w:pPr>
        <w:pStyle w:val="ProcessDash"/>
      </w:pPr>
      <w:r w:rsidRPr="006E757D">
        <w:t xml:space="preserve">Data </w:t>
      </w:r>
      <w:r w:rsidR="00BA7465" w:rsidRPr="006E757D">
        <w:t xml:space="preserve">submission by </w:t>
      </w:r>
      <w:r w:rsidR="00202822" w:rsidRPr="006E757D">
        <w:t>organization</w:t>
      </w:r>
      <w:r w:rsidR="00BA7465" w:rsidRPr="006E757D">
        <w:t xml:space="preserve"> to the Licensed Organization</w:t>
      </w:r>
      <w:r w:rsidR="004D38B6">
        <w:t>.</w:t>
      </w:r>
    </w:p>
    <w:p w:rsidR="00BA7465" w:rsidRPr="006E757D" w:rsidRDefault="00BA7465" w:rsidP="003D02B5">
      <w:pPr>
        <w:pStyle w:val="ProcessDash"/>
      </w:pPr>
      <w:r w:rsidRPr="006E757D">
        <w:t xml:space="preserve">Final </w:t>
      </w:r>
      <w:r w:rsidR="005C285E" w:rsidRPr="006E757D">
        <w:t xml:space="preserve">data </w:t>
      </w:r>
      <w:r w:rsidRPr="006E757D">
        <w:t>submission</w:t>
      </w:r>
      <w:r w:rsidR="00AC1811">
        <w:t>.</w:t>
      </w:r>
    </w:p>
    <w:p w:rsidR="00257D78" w:rsidRPr="006E757D" w:rsidRDefault="00257D78" w:rsidP="00257D78">
      <w:pPr>
        <w:pStyle w:val="ProcessBullet"/>
      </w:pPr>
      <w:r w:rsidRPr="006E757D">
        <w:t xml:space="preserve">Audit correspondence (e-mail): </w:t>
      </w:r>
    </w:p>
    <w:p w:rsidR="00257D78" w:rsidRPr="006E757D" w:rsidRDefault="007C21A9" w:rsidP="008D2904">
      <w:pPr>
        <w:pStyle w:val="ProcessDash"/>
      </w:pPr>
      <w:r>
        <w:t xml:space="preserve">All </w:t>
      </w:r>
      <w:r w:rsidR="00257D78" w:rsidRPr="006E757D">
        <w:t>correspondence among team members</w:t>
      </w:r>
      <w:r w:rsidR="004D38B6">
        <w:t>.</w:t>
      </w:r>
    </w:p>
    <w:p w:rsidR="007C21A9" w:rsidRDefault="007C21A9" w:rsidP="007C21A9">
      <w:pPr>
        <w:pStyle w:val="ProcessDash"/>
      </w:pPr>
      <w:r>
        <w:t xml:space="preserve">All </w:t>
      </w:r>
      <w:r w:rsidR="00257D78" w:rsidRPr="006E757D">
        <w:t>correspondence between auditors and the organization</w:t>
      </w:r>
      <w:r w:rsidR="00AC1811">
        <w:t>.</w:t>
      </w:r>
    </w:p>
    <w:p w:rsidR="004D38B6" w:rsidRDefault="004D38B6" w:rsidP="002B3024">
      <w:pPr>
        <w:pStyle w:val="ProcessDash"/>
        <w:numPr>
          <w:ilvl w:val="0"/>
          <w:numId w:val="0"/>
        </w:numPr>
        <w:ind w:left="432" w:hanging="216"/>
        <w:sectPr w:rsidR="004D38B6" w:rsidSect="00C228DE">
          <w:headerReference w:type="even" r:id="rId72"/>
          <w:headerReference w:type="default" r:id="rId73"/>
          <w:pgSz w:w="12240" w:h="15840" w:code="1"/>
          <w:pgMar w:top="1080" w:right="1080" w:bottom="1080" w:left="1440" w:header="720" w:footer="720" w:gutter="0"/>
          <w:paperSrc w:first="7" w:other="7"/>
          <w:cols w:space="720"/>
          <w:docGrid w:linePitch="360"/>
        </w:sectPr>
      </w:pPr>
    </w:p>
    <w:p w:rsidR="00BA7465" w:rsidRPr="006E757D" w:rsidRDefault="000F736C" w:rsidP="002B6FF5">
      <w:pPr>
        <w:pStyle w:val="SubHead"/>
        <w:spacing w:before="0"/>
      </w:pPr>
      <w:r w:rsidRPr="006E757D">
        <w:lastRenderedPageBreak/>
        <w:t xml:space="preserve">Offsite </w:t>
      </w:r>
      <w:r w:rsidR="00D010A8" w:rsidRPr="006E757D">
        <w:t>Activity Files</w:t>
      </w:r>
    </w:p>
    <w:p w:rsidR="005E6E07" w:rsidRPr="006E757D" w:rsidRDefault="00BA7465" w:rsidP="002335AE">
      <w:pPr>
        <w:pStyle w:val="ProcessBullet"/>
      </w:pPr>
      <w:r w:rsidRPr="006E757D">
        <w:t xml:space="preserve">The </w:t>
      </w:r>
      <w:r w:rsidR="00CF5086" w:rsidRPr="006E757D">
        <w:t xml:space="preserve">Roadmap </w:t>
      </w:r>
      <w:r w:rsidR="005E6E07" w:rsidRPr="006E757D">
        <w:t>papers:</w:t>
      </w:r>
    </w:p>
    <w:p w:rsidR="00BA7465" w:rsidRPr="006E757D" w:rsidRDefault="005E6E07" w:rsidP="008D2904">
      <w:pPr>
        <w:pStyle w:val="ProcessDash"/>
      </w:pPr>
      <w:r w:rsidRPr="006E757D">
        <w:t xml:space="preserve">The </w:t>
      </w:r>
      <w:r w:rsidR="00CF5086" w:rsidRPr="006E757D">
        <w:t xml:space="preserve">Roadmap </w:t>
      </w:r>
      <w:r w:rsidR="00BA7465" w:rsidRPr="006E757D">
        <w:t xml:space="preserve">as executed by the </w:t>
      </w:r>
      <w:r w:rsidR="00202822" w:rsidRPr="006E757D">
        <w:t>organization</w:t>
      </w:r>
      <w:r w:rsidR="00BA7465" w:rsidRPr="006E757D">
        <w:t xml:space="preserve"> and certified software vendor, if applicable</w:t>
      </w:r>
      <w:r w:rsidR="004D38B6">
        <w:t>.</w:t>
      </w:r>
    </w:p>
    <w:p w:rsidR="005E6E07" w:rsidRPr="006E757D" w:rsidRDefault="005E6E07" w:rsidP="00C75E81">
      <w:pPr>
        <w:pStyle w:val="ProcessDash"/>
      </w:pPr>
      <w:r w:rsidRPr="006E757D">
        <w:t xml:space="preserve">A paper or electronic copy of </w:t>
      </w:r>
      <w:r w:rsidR="00C641B7" w:rsidRPr="006E757D">
        <w:t xml:space="preserve">the </w:t>
      </w:r>
      <w:r w:rsidR="00D4795D" w:rsidRPr="006E757D">
        <w:t>Roadmap Attestation</w:t>
      </w:r>
      <w:r w:rsidR="00C641B7" w:rsidRPr="006E757D">
        <w:t>,</w:t>
      </w:r>
      <w:r w:rsidR="00D4795D" w:rsidRPr="006E757D">
        <w:t xml:space="preserve"> </w:t>
      </w:r>
      <w:r w:rsidR="001E5420" w:rsidRPr="006E757D">
        <w:t>with the appropriate signature and date</w:t>
      </w:r>
      <w:r w:rsidR="004D38B6">
        <w:t>.</w:t>
      </w:r>
    </w:p>
    <w:p w:rsidR="00BA7465" w:rsidRPr="006E757D" w:rsidRDefault="00BA7465" w:rsidP="00C75E81">
      <w:pPr>
        <w:pStyle w:val="ProcessDash"/>
      </w:pPr>
      <w:r w:rsidRPr="006E757D">
        <w:t>Auditor notes from reviewing the</w:t>
      </w:r>
      <w:r w:rsidR="00CF5086" w:rsidRPr="006E757D">
        <w:t xml:space="preserve"> Roadmap</w:t>
      </w:r>
      <w:r w:rsidRPr="006E757D">
        <w:t>, including all preliminary issues and items to discuss before or during the onsite visit</w:t>
      </w:r>
      <w:r w:rsidR="004D38B6">
        <w:t>.</w:t>
      </w:r>
    </w:p>
    <w:p w:rsidR="00BA7465" w:rsidRPr="006E757D" w:rsidRDefault="00BA7465" w:rsidP="00C75E81">
      <w:pPr>
        <w:pStyle w:val="ProcessDash"/>
      </w:pPr>
      <w:r w:rsidRPr="006E757D">
        <w:t>All requested documents</w:t>
      </w:r>
      <w:r w:rsidR="004D38B6">
        <w:t>.</w:t>
      </w:r>
      <w:r w:rsidRPr="006E757D">
        <w:t xml:space="preserve"> </w:t>
      </w:r>
    </w:p>
    <w:p w:rsidR="005227B2" w:rsidRPr="006E757D" w:rsidRDefault="00BA7465" w:rsidP="00C75E81">
      <w:pPr>
        <w:pStyle w:val="ProcessDash"/>
      </w:pPr>
      <w:r w:rsidRPr="006E757D">
        <w:t xml:space="preserve">All documents received from the </w:t>
      </w:r>
      <w:r w:rsidR="00202822" w:rsidRPr="006E757D">
        <w:t>organization</w:t>
      </w:r>
      <w:r w:rsidRPr="006E757D">
        <w:t xml:space="preserve"> (before the onsite visit) and auditor</w:t>
      </w:r>
      <w:r w:rsidR="00660316">
        <w:t>’</w:t>
      </w:r>
      <w:r w:rsidRPr="006E757D">
        <w:t>s notes and analysis for each, including</w:t>
      </w:r>
      <w:r w:rsidR="00C641B7" w:rsidRPr="006E757D">
        <w:t xml:space="preserve"> whether</w:t>
      </w:r>
      <w:r w:rsidRPr="006E757D">
        <w:t xml:space="preserve"> the issue is resolved or </w:t>
      </w:r>
      <w:r w:rsidR="00C641B7" w:rsidRPr="006E757D">
        <w:t xml:space="preserve">is </w:t>
      </w:r>
      <w:r w:rsidRPr="006E757D">
        <w:t>under discussion</w:t>
      </w:r>
      <w:r w:rsidR="00AC1811">
        <w:t>.</w:t>
      </w:r>
    </w:p>
    <w:p w:rsidR="001E5420" w:rsidRPr="006E757D" w:rsidRDefault="001E5420" w:rsidP="00881452">
      <w:pPr>
        <w:pStyle w:val="ProcessBullet"/>
      </w:pPr>
      <w:r w:rsidRPr="006E757D">
        <w:t>Survey sample frame files:</w:t>
      </w:r>
    </w:p>
    <w:p w:rsidR="001E5420" w:rsidRPr="006E757D" w:rsidRDefault="001E5420" w:rsidP="00C75E81">
      <w:pPr>
        <w:pStyle w:val="ProcessDash"/>
      </w:pPr>
      <w:r w:rsidRPr="006E757D">
        <w:t>Source code (if appropriate) and sample files with content</w:t>
      </w:r>
      <w:r w:rsidR="004D38B6">
        <w:t>.</w:t>
      </w:r>
    </w:p>
    <w:p w:rsidR="001E5420" w:rsidRPr="006E757D" w:rsidRDefault="001E5420" w:rsidP="00C75E81">
      <w:pPr>
        <w:pStyle w:val="ProcessDash"/>
      </w:pPr>
      <w:r w:rsidRPr="006E757D">
        <w:t>Source code review results (e.g., HD grids for the survey)</w:t>
      </w:r>
      <w:r w:rsidR="004D38B6">
        <w:t>.</w:t>
      </w:r>
    </w:p>
    <w:p w:rsidR="001F2E29" w:rsidRPr="006E757D" w:rsidRDefault="001F2E29" w:rsidP="00C75E81">
      <w:pPr>
        <w:pStyle w:val="ProcessDash"/>
      </w:pPr>
      <w:r w:rsidRPr="006E757D">
        <w:t>Results of the survey sample frame</w:t>
      </w:r>
      <w:r w:rsidR="00987AD1" w:rsidRPr="006E757D">
        <w:t xml:space="preserve"> analysis</w:t>
      </w:r>
      <w:r w:rsidRPr="006E757D">
        <w:t xml:space="preserve">, including statistics </w:t>
      </w:r>
      <w:r w:rsidR="00C641B7" w:rsidRPr="006E757D">
        <w:t xml:space="preserve">(e.g., </w:t>
      </w:r>
      <w:r w:rsidRPr="006E757D">
        <w:t>on age</w:t>
      </w:r>
      <w:r w:rsidR="00C641B7" w:rsidRPr="006E757D">
        <w:t>,</w:t>
      </w:r>
      <w:r w:rsidRPr="006E757D">
        <w:t xml:space="preserve"> gender, flags</w:t>
      </w:r>
      <w:r w:rsidR="00C641B7" w:rsidRPr="006E757D">
        <w:t>)</w:t>
      </w:r>
      <w:r w:rsidR="004D38B6">
        <w:t>.</w:t>
      </w:r>
    </w:p>
    <w:p w:rsidR="00094E68" w:rsidRPr="006E757D" w:rsidRDefault="00094E68" w:rsidP="00C75E81">
      <w:pPr>
        <w:pStyle w:val="ProcessDash"/>
      </w:pPr>
      <w:r w:rsidRPr="006E757D">
        <w:t xml:space="preserve">Survey Sample Frame </w:t>
      </w:r>
      <w:r w:rsidR="00AE53EF" w:rsidRPr="006E757D">
        <w:t>approval documents</w:t>
      </w:r>
      <w:r w:rsidR="00AC1811">
        <w:t>.</w:t>
      </w:r>
    </w:p>
    <w:p w:rsidR="001E5420" w:rsidRPr="006E757D" w:rsidRDefault="001E5420" w:rsidP="001E5420">
      <w:pPr>
        <w:pStyle w:val="ProcessBullet"/>
      </w:pPr>
      <w:r w:rsidRPr="006E757D">
        <w:t>MRR validation:</w:t>
      </w:r>
    </w:p>
    <w:p w:rsidR="001E5420" w:rsidRPr="006E757D" w:rsidRDefault="001E5420" w:rsidP="00C75E81">
      <w:pPr>
        <w:pStyle w:val="ProcessDash"/>
      </w:pPr>
      <w:r w:rsidRPr="006E757D">
        <w:t>Organization documents supporting the MRR process, including training and abstraction instructions</w:t>
      </w:r>
      <w:r w:rsidR="004D38B6">
        <w:t>.</w:t>
      </w:r>
    </w:p>
    <w:p w:rsidR="001E5420" w:rsidRPr="006E757D" w:rsidRDefault="001E5420" w:rsidP="00C75E81">
      <w:pPr>
        <w:pStyle w:val="ProcessDash"/>
      </w:pPr>
      <w:r w:rsidRPr="006E757D">
        <w:t>Organization documents and reports describing quality oversight, including interrater reliability checks, rater-to-standard tests or any other quality control programs, and the staff subject to each version of quality control</w:t>
      </w:r>
      <w:r w:rsidR="004D38B6">
        <w:t>.</w:t>
      </w:r>
    </w:p>
    <w:p w:rsidR="001E5420" w:rsidRPr="006E757D" w:rsidRDefault="001E5420" w:rsidP="00C75E81">
      <w:pPr>
        <w:pStyle w:val="ProcessDash"/>
      </w:pPr>
      <w:r w:rsidRPr="006E757D">
        <w:t>Documents describing tool review and results</w:t>
      </w:r>
      <w:r w:rsidR="004D38B6">
        <w:t>.</w:t>
      </w:r>
      <w:r w:rsidRPr="006E757D">
        <w:t xml:space="preserve"> </w:t>
      </w:r>
    </w:p>
    <w:p w:rsidR="001E5420" w:rsidRPr="006E757D" w:rsidRDefault="001E5420" w:rsidP="00C75E81">
      <w:pPr>
        <w:pStyle w:val="ProcessDash"/>
      </w:pPr>
      <w:r w:rsidRPr="006E757D">
        <w:t>Documentation of convenience sample determination</w:t>
      </w:r>
      <w:r w:rsidR="00C641B7" w:rsidRPr="006E757D">
        <w:t>,</w:t>
      </w:r>
      <w:r w:rsidRPr="006E757D">
        <w:t xml:space="preserve"> or why a convenience sample was not used</w:t>
      </w:r>
      <w:r w:rsidR="004D38B6">
        <w:t>.</w:t>
      </w:r>
    </w:p>
    <w:p w:rsidR="001E5420" w:rsidRPr="006E757D" w:rsidRDefault="001E5420" w:rsidP="00C75E81">
      <w:pPr>
        <w:pStyle w:val="ProcessDash"/>
      </w:pPr>
      <w:r w:rsidRPr="006E757D">
        <w:t xml:space="preserve">Documents describing an exemption from </w:t>
      </w:r>
      <w:r w:rsidR="004D7C81">
        <w:t>MRR validation</w:t>
      </w:r>
      <w:r w:rsidR="00C641B7" w:rsidRPr="006E757D">
        <w:t>,</w:t>
      </w:r>
      <w:r w:rsidRPr="006E757D">
        <w:t xml:space="preserve"> if applicable</w:t>
      </w:r>
      <w:r w:rsidR="004D38B6">
        <w:t>.</w:t>
      </w:r>
    </w:p>
    <w:p w:rsidR="001E5420" w:rsidRPr="006E757D" w:rsidRDefault="001E5420" w:rsidP="00C75E81">
      <w:pPr>
        <w:pStyle w:val="ProcessDash"/>
      </w:pPr>
      <w:r w:rsidRPr="006E757D">
        <w:t xml:space="preserve">Systematic </w:t>
      </w:r>
      <w:r w:rsidR="004D38B6">
        <w:t>sample source code and HD grids.</w:t>
      </w:r>
    </w:p>
    <w:p w:rsidR="001E5420" w:rsidRPr="006E757D" w:rsidRDefault="001E5420" w:rsidP="00C75E81">
      <w:pPr>
        <w:pStyle w:val="ProcessDash"/>
      </w:pPr>
      <w:r w:rsidRPr="006E757D">
        <w:t xml:space="preserve">Documents describing the logic and rationale used to determine the </w:t>
      </w:r>
      <w:r w:rsidR="004D7C81">
        <w:t>MRR validation</w:t>
      </w:r>
      <w:r w:rsidRPr="006E757D">
        <w:t xml:space="preserve"> selections (plans, product lines and measures)</w:t>
      </w:r>
      <w:r w:rsidR="004D38B6">
        <w:t>.</w:t>
      </w:r>
    </w:p>
    <w:p w:rsidR="001E5420" w:rsidRPr="006E757D" w:rsidRDefault="001E5420" w:rsidP="00C75E81">
      <w:pPr>
        <w:pStyle w:val="ProcessDash"/>
      </w:pPr>
      <w:r w:rsidRPr="006E757D">
        <w:t xml:space="preserve">Documentation of the </w:t>
      </w:r>
      <w:r w:rsidR="004D7C81">
        <w:t>MRR validation</w:t>
      </w:r>
      <w:r w:rsidRPr="006E757D">
        <w:t xml:space="preserve"> process, including the validation process (where, when and by whom); the numerator positive </w:t>
      </w:r>
      <w:r w:rsidR="00C451BF" w:rsidRPr="006E757D">
        <w:t xml:space="preserve">counts </w:t>
      </w:r>
      <w:r w:rsidRPr="006E757D">
        <w:t xml:space="preserve">and the </w:t>
      </w:r>
      <w:r w:rsidR="00C451BF" w:rsidRPr="006E757D">
        <w:t xml:space="preserve">list of </w:t>
      </w:r>
      <w:r w:rsidRPr="006E757D">
        <w:t xml:space="preserve">selected records; the </w:t>
      </w:r>
      <w:r w:rsidR="00C451BF" w:rsidRPr="006E757D">
        <w:t xml:space="preserve">results of the </w:t>
      </w:r>
      <w:r w:rsidRPr="006E757D">
        <w:t xml:space="preserve">medical records reviewed; </w:t>
      </w:r>
      <w:r w:rsidR="00C451BF" w:rsidRPr="006E757D">
        <w:t xml:space="preserve">and </w:t>
      </w:r>
      <w:r w:rsidRPr="006E757D">
        <w:t>the T-test</w:t>
      </w:r>
      <w:r w:rsidR="00C451BF" w:rsidRPr="006E757D">
        <w:t xml:space="preserve"> and results</w:t>
      </w:r>
      <w:r w:rsidRPr="006E757D">
        <w:t>, if appropriate</w:t>
      </w:r>
      <w:r w:rsidR="004D38B6">
        <w:t>.</w:t>
      </w:r>
    </w:p>
    <w:p w:rsidR="001E5420" w:rsidRPr="006E757D" w:rsidRDefault="001E5420" w:rsidP="00C75E81">
      <w:pPr>
        <w:pStyle w:val="ProcessDash"/>
      </w:pPr>
      <w:r w:rsidRPr="006E757D">
        <w:t>Documentation describing assessment of appropriate medical record substitution</w:t>
      </w:r>
      <w:r w:rsidR="004D38B6">
        <w:t>.</w:t>
      </w:r>
      <w:r w:rsidRPr="006E757D">
        <w:t xml:space="preserve"> </w:t>
      </w:r>
    </w:p>
    <w:p w:rsidR="001E5420" w:rsidRPr="006E757D" w:rsidRDefault="001E5420" w:rsidP="00C75E81">
      <w:pPr>
        <w:pStyle w:val="ProcessDash"/>
      </w:pPr>
      <w:r w:rsidRPr="006E757D">
        <w:t>Final statistical validation notification</w:t>
      </w:r>
      <w:r w:rsidR="00AC1811">
        <w:t>.</w:t>
      </w:r>
    </w:p>
    <w:p w:rsidR="005C285E" w:rsidRPr="006E757D" w:rsidRDefault="005C285E" w:rsidP="00AF72FF">
      <w:pPr>
        <w:pStyle w:val="ProcessDash"/>
        <w:numPr>
          <w:ilvl w:val="0"/>
          <w:numId w:val="0"/>
        </w:numPr>
        <w:ind w:left="432"/>
        <w:rPr>
          <w:i/>
        </w:rPr>
      </w:pPr>
      <w:r w:rsidRPr="006E757D">
        <w:rPr>
          <w:b/>
          <w:i/>
        </w:rPr>
        <w:t xml:space="preserve">Note: </w:t>
      </w:r>
      <w:r w:rsidRPr="006E757D">
        <w:rPr>
          <w:i/>
        </w:rPr>
        <w:t xml:space="preserve">NCQA </w:t>
      </w:r>
      <w:r w:rsidRPr="006E757D">
        <w:rPr>
          <w:bCs/>
          <w:i/>
        </w:rPr>
        <w:t>does not</w:t>
      </w:r>
      <w:r w:rsidRPr="006E757D">
        <w:rPr>
          <w:i/>
        </w:rPr>
        <w:t xml:space="preserve"> require data or charts for each plan selected for review, but reserves the right to request data or charts used in </w:t>
      </w:r>
      <w:r w:rsidR="004D7C81">
        <w:rPr>
          <w:i/>
        </w:rPr>
        <w:t>MRR validation</w:t>
      </w:r>
      <w:r w:rsidRPr="006E757D">
        <w:rPr>
          <w:i/>
        </w:rPr>
        <w:t>, selected at random from an auditor, plan or measure. NCQA will notify the practice leader of this request when the list of selected plans is provided. Data or Medical records collected as a part of the documentation above may be destroyed after the monitoring visit.</w:t>
      </w:r>
    </w:p>
    <w:p w:rsidR="001E5420" w:rsidRPr="006E757D" w:rsidRDefault="006E1A47" w:rsidP="00257D78">
      <w:pPr>
        <w:pStyle w:val="ProcessBullet"/>
      </w:pPr>
      <w:r w:rsidRPr="006E757D">
        <w:t>Source c</w:t>
      </w:r>
      <w:r w:rsidR="001E5420" w:rsidRPr="006E757D">
        <w:t xml:space="preserve">ode </w:t>
      </w:r>
      <w:r w:rsidRPr="006E757D">
        <w:t>r</w:t>
      </w:r>
      <w:r w:rsidR="001E5420" w:rsidRPr="006E757D">
        <w:t>eview:</w:t>
      </w:r>
    </w:p>
    <w:p w:rsidR="001E5420" w:rsidRPr="006E757D" w:rsidRDefault="001E5420" w:rsidP="008D2904">
      <w:pPr>
        <w:pStyle w:val="ProcessDash"/>
      </w:pPr>
      <w:r w:rsidRPr="006E757D">
        <w:t>If the organization does not use certified software, or for measures not covered under certification, the auditor</w:t>
      </w:r>
      <w:r w:rsidR="00660316">
        <w:t>’</w:t>
      </w:r>
      <w:r w:rsidRPr="006E757D">
        <w:t>s review notes (including reviewers, location, work dates and level of effort) and source code review reports for:</w:t>
      </w:r>
    </w:p>
    <w:p w:rsidR="001E5420" w:rsidRPr="006E757D" w:rsidRDefault="001E5420" w:rsidP="008D2904">
      <w:pPr>
        <w:pStyle w:val="Bullet"/>
        <w:tabs>
          <w:tab w:val="clear" w:pos="576"/>
        </w:tabs>
        <w:spacing w:before="60"/>
        <w:ind w:left="648"/>
      </w:pPr>
      <w:r w:rsidRPr="006E757D">
        <w:t>Repository creation and extraction programs</w:t>
      </w:r>
      <w:r w:rsidR="004D38B6">
        <w:t>.</w:t>
      </w:r>
    </w:p>
    <w:p w:rsidR="001E5420" w:rsidRPr="006E757D" w:rsidRDefault="001E5420" w:rsidP="008D2904">
      <w:pPr>
        <w:pStyle w:val="Bullet"/>
        <w:tabs>
          <w:tab w:val="clear" w:pos="576"/>
        </w:tabs>
        <w:spacing w:before="60"/>
        <w:ind w:left="648"/>
      </w:pPr>
      <w:r w:rsidRPr="006E757D">
        <w:t>MRR entry and transfer programs</w:t>
      </w:r>
      <w:r w:rsidR="004D38B6">
        <w:t>.</w:t>
      </w:r>
    </w:p>
    <w:p w:rsidR="00257D78" w:rsidRPr="006E757D" w:rsidRDefault="00257D78" w:rsidP="002C367B">
      <w:pPr>
        <w:pStyle w:val="Bullet"/>
        <w:tabs>
          <w:tab w:val="clear" w:pos="576"/>
        </w:tabs>
        <w:spacing w:before="60"/>
        <w:ind w:left="648"/>
      </w:pPr>
      <w:r w:rsidRPr="006E757D">
        <w:t>Core set selection documents including rationales and results</w:t>
      </w:r>
      <w:r w:rsidR="004D38B6">
        <w:t>.</w:t>
      </w:r>
    </w:p>
    <w:p w:rsidR="002335AE" w:rsidRDefault="002C367B" w:rsidP="002C367B">
      <w:pPr>
        <w:pStyle w:val="Bullet"/>
        <w:tabs>
          <w:tab w:val="clear" w:pos="576"/>
        </w:tabs>
        <w:spacing w:before="60"/>
        <w:ind w:left="648"/>
        <w:sectPr w:rsidR="002335AE" w:rsidSect="00C228DE">
          <w:headerReference w:type="even" r:id="rId74"/>
          <w:headerReference w:type="default" r:id="rId75"/>
          <w:pgSz w:w="12240" w:h="15840" w:code="1"/>
          <w:pgMar w:top="1080" w:right="1080" w:bottom="1080" w:left="1440" w:header="720" w:footer="720" w:gutter="0"/>
          <w:paperSrc w:first="7" w:other="7"/>
          <w:cols w:space="720"/>
          <w:docGrid w:linePitch="360"/>
        </w:sectPr>
      </w:pPr>
      <w:r w:rsidRPr="006E757D">
        <w:t xml:space="preserve">HEDIS Determination documents </w:t>
      </w:r>
      <w:r w:rsidR="00B53C6B" w:rsidRPr="006E757D">
        <w:t xml:space="preserve">for each measure </w:t>
      </w:r>
      <w:r w:rsidRPr="006E757D">
        <w:t xml:space="preserve">in </w:t>
      </w:r>
      <w:r w:rsidR="00B53C6B" w:rsidRPr="006E757D">
        <w:t>the core set, and measures in any expansion of the core set, with reference to applicable HD standards and comments on the compliance with each standard</w:t>
      </w:r>
      <w:r w:rsidR="004D38B6">
        <w:t>.</w:t>
      </w:r>
    </w:p>
    <w:p w:rsidR="00B53C6B" w:rsidRPr="006E757D" w:rsidRDefault="00B53C6B" w:rsidP="002335AE">
      <w:pPr>
        <w:pStyle w:val="ProcessDash"/>
        <w:spacing w:before="0"/>
      </w:pPr>
      <w:r w:rsidRPr="006E757D">
        <w:lastRenderedPageBreak/>
        <w:t xml:space="preserve">For plans with certified software or </w:t>
      </w:r>
      <w:r w:rsidR="007D3D2B">
        <w:t>ASCR</w:t>
      </w:r>
      <w:r w:rsidRPr="006E757D">
        <w:t xml:space="preserve">, </w:t>
      </w:r>
      <w:r w:rsidR="002C367B" w:rsidRPr="006E757D">
        <w:t xml:space="preserve">HEDIS Determination documents </w:t>
      </w:r>
      <w:r w:rsidRPr="006E757D">
        <w:t>for each measure not covered in the Software Certification Report</w:t>
      </w:r>
      <w:r w:rsidR="006F3C75">
        <w:t>.</w:t>
      </w:r>
    </w:p>
    <w:p w:rsidR="00881452" w:rsidRPr="006E757D" w:rsidRDefault="00B53C6B" w:rsidP="008D2904">
      <w:pPr>
        <w:pStyle w:val="ProcessDash"/>
      </w:pPr>
      <w:r w:rsidRPr="006E757D">
        <w:t xml:space="preserve">Certified </w:t>
      </w:r>
      <w:r w:rsidR="000F736C" w:rsidRPr="006E757D">
        <w:t>S</w:t>
      </w:r>
      <w:r w:rsidRPr="006E757D">
        <w:t xml:space="preserve">oftware </w:t>
      </w:r>
      <w:r w:rsidR="000F736C" w:rsidRPr="006E757D">
        <w:t>V</w:t>
      </w:r>
      <w:r w:rsidRPr="006E757D">
        <w:t>endor</w:t>
      </w:r>
      <w:r w:rsidR="00660316">
        <w:t>’</w:t>
      </w:r>
      <w:r w:rsidRPr="006E757D">
        <w:t>s Final Certification Report, if applicable</w:t>
      </w:r>
      <w:r w:rsidR="006F3C75">
        <w:t>.</w:t>
      </w:r>
    </w:p>
    <w:p w:rsidR="00B53C6B" w:rsidRPr="006E757D" w:rsidRDefault="00B53C6B" w:rsidP="002B6FF5">
      <w:pPr>
        <w:pStyle w:val="ProcessDash"/>
      </w:pPr>
      <w:r w:rsidRPr="006E757D">
        <w:t xml:space="preserve">Documents that validate activities for measures where the certified software vendor status was </w:t>
      </w:r>
      <w:r w:rsidRPr="006E757D">
        <w:rPr>
          <w:i/>
          <w:iCs/>
        </w:rPr>
        <w:t>Pass With Qualifications</w:t>
      </w:r>
      <w:r w:rsidRPr="006E757D">
        <w:t xml:space="preserve"> or </w:t>
      </w:r>
      <w:r w:rsidRPr="006E757D">
        <w:rPr>
          <w:i/>
          <w:iCs/>
        </w:rPr>
        <w:t>Fail</w:t>
      </w:r>
      <w:r w:rsidR="00AC1811">
        <w:rPr>
          <w:i/>
          <w:iCs/>
        </w:rPr>
        <w:t>.</w:t>
      </w:r>
    </w:p>
    <w:p w:rsidR="008A0EC7" w:rsidRPr="006E757D" w:rsidRDefault="008A0EC7" w:rsidP="00881452">
      <w:pPr>
        <w:pStyle w:val="ProcessBullet"/>
      </w:pPr>
      <w:r w:rsidRPr="006E757D">
        <w:t>Supplemental database findings:</w:t>
      </w:r>
    </w:p>
    <w:p w:rsidR="0060415F" w:rsidRDefault="0060415F" w:rsidP="008A0EC7">
      <w:pPr>
        <w:pStyle w:val="ProcessDash"/>
      </w:pPr>
      <w:r>
        <w:t xml:space="preserve">A complete list of all databases, including type, process, measures affected, applicable </w:t>
      </w:r>
      <w:r w:rsidR="006F3C75">
        <w:t>incentives, issues and findings.</w:t>
      </w:r>
    </w:p>
    <w:p w:rsidR="008A0EC7" w:rsidRPr="006E757D" w:rsidRDefault="008A0EC7" w:rsidP="008A0EC7">
      <w:pPr>
        <w:pStyle w:val="ProcessDash"/>
      </w:pPr>
      <w:r w:rsidRPr="006E757D">
        <w:t>Source code (if appropriate)</w:t>
      </w:r>
      <w:r w:rsidR="006F3C75">
        <w:t>.</w:t>
      </w:r>
    </w:p>
    <w:p w:rsidR="008A0EC7" w:rsidRPr="006E757D" w:rsidRDefault="006F3C75" w:rsidP="008A0EC7">
      <w:pPr>
        <w:pStyle w:val="ProcessDash"/>
      </w:pPr>
      <w:r>
        <w:t>Source code review results.</w:t>
      </w:r>
    </w:p>
    <w:p w:rsidR="008A0EC7" w:rsidRPr="006E757D" w:rsidRDefault="008A0EC7" w:rsidP="008A0EC7">
      <w:pPr>
        <w:pStyle w:val="ProcessDash"/>
      </w:pPr>
      <w:r w:rsidRPr="006E757D">
        <w:t>Policies and procedures documents</w:t>
      </w:r>
      <w:r w:rsidR="006F3C75">
        <w:t>.</w:t>
      </w:r>
    </w:p>
    <w:p w:rsidR="005C285E" w:rsidRPr="006E757D" w:rsidRDefault="005C285E" w:rsidP="005C285E">
      <w:pPr>
        <w:pStyle w:val="ProcessDash"/>
      </w:pPr>
      <w:r w:rsidRPr="006E757D">
        <w:t>Data mapping and integration assessment</w:t>
      </w:r>
      <w:r w:rsidR="006F3C75">
        <w:t>.</w:t>
      </w:r>
    </w:p>
    <w:p w:rsidR="008A0EC7" w:rsidRPr="006E757D" w:rsidRDefault="008A0EC7" w:rsidP="008A0EC7">
      <w:pPr>
        <w:pStyle w:val="ProcessDash"/>
      </w:pPr>
      <w:r w:rsidRPr="006E757D">
        <w:t>Sample files with format and content</w:t>
      </w:r>
      <w:r w:rsidR="005C285E" w:rsidRPr="006E757D">
        <w:t xml:space="preserve"> information (samples only)</w:t>
      </w:r>
      <w:r w:rsidR="006F3C75">
        <w:t>.</w:t>
      </w:r>
    </w:p>
    <w:p w:rsidR="008A0EC7" w:rsidRPr="006E757D" w:rsidRDefault="008A0EC7" w:rsidP="008A0EC7">
      <w:pPr>
        <w:pStyle w:val="ProcessDash"/>
      </w:pPr>
      <w:r w:rsidRPr="006E757D">
        <w:t>Primary source verification</w:t>
      </w:r>
      <w:r w:rsidR="00CB2CDB">
        <w:t xml:space="preserve"> (PSV)</w:t>
      </w:r>
      <w:r w:rsidRPr="006E757D">
        <w:t xml:space="preserve"> </w:t>
      </w:r>
      <w:r w:rsidR="005C285E" w:rsidRPr="006E757D">
        <w:t xml:space="preserve">notes, </w:t>
      </w:r>
      <w:r w:rsidRPr="006E757D">
        <w:t>results</w:t>
      </w:r>
      <w:r w:rsidR="005C285E" w:rsidRPr="006E757D">
        <w:t xml:space="preserve"> or exemption rationale</w:t>
      </w:r>
      <w:r w:rsidR="00AC1811">
        <w:t>.</w:t>
      </w:r>
    </w:p>
    <w:p w:rsidR="005C285E" w:rsidRPr="006E757D" w:rsidRDefault="005C285E" w:rsidP="002B6FF5">
      <w:pPr>
        <w:pStyle w:val="ProcessDash"/>
        <w:numPr>
          <w:ilvl w:val="0"/>
          <w:numId w:val="0"/>
        </w:numPr>
        <w:spacing w:before="120"/>
        <w:ind w:left="432"/>
        <w:rPr>
          <w:i/>
        </w:rPr>
      </w:pPr>
      <w:r w:rsidRPr="006E757D">
        <w:rPr>
          <w:b/>
          <w:i/>
        </w:rPr>
        <w:t xml:space="preserve">Note: </w:t>
      </w:r>
      <w:r w:rsidRPr="006E757D">
        <w:rPr>
          <w:i/>
        </w:rPr>
        <w:t xml:space="preserve">NCQA </w:t>
      </w:r>
      <w:r w:rsidRPr="006E757D">
        <w:rPr>
          <w:bCs/>
          <w:i/>
        </w:rPr>
        <w:t>does not</w:t>
      </w:r>
      <w:r w:rsidRPr="006E757D">
        <w:rPr>
          <w:i/>
        </w:rPr>
        <w:t xml:space="preserve"> require PSV files with data or charts for each plan selected for review, but reserves the right to request the data or charts used for the supplemental database validation, selected at random from an auditor, plan or measure. NCQA will notify the practice leader of this request when the list of selected plans is provided. Data or charts collected as a part of the documentation above may be destroyed after the monitoring visit.</w:t>
      </w:r>
    </w:p>
    <w:p w:rsidR="008A0EC7" w:rsidRPr="006E757D" w:rsidRDefault="008A0EC7" w:rsidP="008A0EC7">
      <w:pPr>
        <w:pStyle w:val="ProcessBullet"/>
      </w:pPr>
      <w:r w:rsidRPr="006E757D">
        <w:t xml:space="preserve">Interim versions of the IS standards compliance tool (refer to the sample in Appendix </w:t>
      </w:r>
      <w:r w:rsidR="000F51BB" w:rsidRPr="006E757D">
        <w:t>5</w:t>
      </w:r>
      <w:r w:rsidRPr="006E757D">
        <w:t>)</w:t>
      </w:r>
      <w:r w:rsidR="00AC1811">
        <w:t>.</w:t>
      </w:r>
    </w:p>
    <w:p w:rsidR="00257D78" w:rsidRPr="006E757D" w:rsidRDefault="00257D78" w:rsidP="008A0EC7">
      <w:pPr>
        <w:pStyle w:val="ProcessBullet"/>
      </w:pPr>
      <w:r w:rsidRPr="006E757D">
        <w:t xml:space="preserve">Audit correspondence (e-mail): </w:t>
      </w:r>
    </w:p>
    <w:p w:rsidR="00257D78" w:rsidRPr="006E757D" w:rsidRDefault="007C21A9" w:rsidP="005B307A">
      <w:pPr>
        <w:pStyle w:val="ProcessDash"/>
      </w:pPr>
      <w:r>
        <w:t xml:space="preserve">All </w:t>
      </w:r>
      <w:r w:rsidR="00257D78" w:rsidRPr="006E757D">
        <w:t>correspondence among team members</w:t>
      </w:r>
      <w:r w:rsidR="006F3C75">
        <w:t>.</w:t>
      </w:r>
    </w:p>
    <w:p w:rsidR="00257D78" w:rsidRDefault="007C21A9" w:rsidP="005B307A">
      <w:pPr>
        <w:pStyle w:val="ProcessDash"/>
      </w:pPr>
      <w:r>
        <w:t xml:space="preserve">All </w:t>
      </w:r>
      <w:r w:rsidR="00257D78" w:rsidRPr="006E757D">
        <w:t>correspondence between auditors and the organization</w:t>
      </w:r>
      <w:r w:rsidR="00AC1811">
        <w:t>.</w:t>
      </w:r>
    </w:p>
    <w:p w:rsidR="00257D78" w:rsidRPr="006E757D" w:rsidRDefault="00257D78" w:rsidP="00D010A8">
      <w:pPr>
        <w:pStyle w:val="SubHead"/>
      </w:pPr>
      <w:r w:rsidRPr="006E757D">
        <w:t>Onsite Activities</w:t>
      </w:r>
    </w:p>
    <w:p w:rsidR="007C21A9" w:rsidRDefault="007C21A9" w:rsidP="002335AE">
      <w:pPr>
        <w:pStyle w:val="ProcessBullet"/>
      </w:pPr>
      <w:r>
        <w:t xml:space="preserve">A </w:t>
      </w:r>
      <w:r w:rsidR="00624795">
        <w:t xml:space="preserve">participant </w:t>
      </w:r>
      <w:r>
        <w:t>sign-in sheet, including the partici</w:t>
      </w:r>
      <w:r w:rsidR="00DA6A98">
        <w:t>p</w:t>
      </w:r>
      <w:r>
        <w:t>ant</w:t>
      </w:r>
      <w:r w:rsidR="00624795">
        <w:t xml:space="preserve"> name</w:t>
      </w:r>
      <w:r>
        <w:t xml:space="preserve">, the date and the location. </w:t>
      </w:r>
      <w:r w:rsidR="002B3024">
        <w:t>Onsite p</w:t>
      </w:r>
      <w:r>
        <w:t>articipants must sign the sh</w:t>
      </w:r>
      <w:r w:rsidR="0060415F">
        <w:t xml:space="preserve">eet; participants </w:t>
      </w:r>
      <w:r w:rsidR="00403AB3">
        <w:t>who phone</w:t>
      </w:r>
      <w:r w:rsidR="0060415F">
        <w:t xml:space="preserve"> in </w:t>
      </w:r>
      <w:r w:rsidR="00403AB3">
        <w:t xml:space="preserve">may </w:t>
      </w:r>
      <w:r>
        <w:t>be listed</w:t>
      </w:r>
      <w:r w:rsidR="0060415F">
        <w:t>.</w:t>
      </w:r>
    </w:p>
    <w:p w:rsidR="00257D78" w:rsidRPr="006E757D" w:rsidRDefault="00257D78" w:rsidP="00D857F3">
      <w:pPr>
        <w:pStyle w:val="ProcessBullet"/>
        <w:spacing w:before="180"/>
      </w:pPr>
      <w:r w:rsidRPr="006E757D">
        <w:t>A complete record of onsite activities, including agenda, participants and supplements to the</w:t>
      </w:r>
      <w:r w:rsidR="00CF5086" w:rsidRPr="006E757D">
        <w:t xml:space="preserve"> Roadmap</w:t>
      </w:r>
      <w:r w:rsidR="00AC1811">
        <w:t>.</w:t>
      </w:r>
    </w:p>
    <w:p w:rsidR="00257D78" w:rsidRPr="006E757D" w:rsidRDefault="00257D78" w:rsidP="00257D78">
      <w:pPr>
        <w:pStyle w:val="ProcessBullet"/>
      </w:pPr>
      <w:r w:rsidRPr="006E757D">
        <w:t>Comprehensive interview and demonstration notes or tools with participants, dates and times of sessions, other participants present during sessions and any issues discovered during the session</w:t>
      </w:r>
      <w:r w:rsidR="00AC1811">
        <w:t>.</w:t>
      </w:r>
    </w:p>
    <w:p w:rsidR="00257D78" w:rsidRPr="006E757D" w:rsidRDefault="00257D78" w:rsidP="00257D78">
      <w:pPr>
        <w:pStyle w:val="ProcessBullet"/>
      </w:pPr>
      <w:r w:rsidRPr="006E757D">
        <w:t>A summary of the visit, including follow-up documentation and follow-up requirements with target dates</w:t>
      </w:r>
      <w:r w:rsidR="00AC1811">
        <w:t>.</w:t>
      </w:r>
      <w:r w:rsidRPr="006E757D">
        <w:t xml:space="preserve"> </w:t>
      </w:r>
    </w:p>
    <w:p w:rsidR="00B53C6B" w:rsidRDefault="00B53C6B" w:rsidP="00B53C6B">
      <w:pPr>
        <w:pStyle w:val="ProcessBullet"/>
      </w:pPr>
      <w:r w:rsidRPr="006E757D">
        <w:t>Interim versions of the IS standards compliance tool with preliminary audit findings (indicate measures at risk)</w:t>
      </w:r>
      <w:r w:rsidR="00AC1811">
        <w:t>.</w:t>
      </w:r>
    </w:p>
    <w:p w:rsidR="0043629E" w:rsidRDefault="0060415F" w:rsidP="00B53C6B">
      <w:pPr>
        <w:pStyle w:val="ProcessBullet"/>
        <w:sectPr w:rsidR="0043629E" w:rsidSect="00C228DE">
          <w:pgSz w:w="12240" w:h="15840" w:code="1"/>
          <w:pgMar w:top="1080" w:right="1080" w:bottom="1080" w:left="1440" w:header="720" w:footer="720" w:gutter="0"/>
          <w:paperSrc w:first="7" w:other="7"/>
          <w:cols w:space="720"/>
          <w:docGrid w:linePitch="360"/>
        </w:sectPr>
      </w:pPr>
      <w:r>
        <w:t xml:space="preserve">Copies of documents collected on site; photos or scanned versions are acceptable. Alternatively, onsite papers </w:t>
      </w:r>
      <w:r w:rsidR="00403AB3">
        <w:t xml:space="preserve">may be uploaded </w:t>
      </w:r>
      <w:r>
        <w:t xml:space="preserve">to the </w:t>
      </w:r>
      <w:r w:rsidR="00403AB3">
        <w:t xml:space="preserve">Licensed Organization’s </w:t>
      </w:r>
      <w:r>
        <w:t xml:space="preserve">FTP site, but </w:t>
      </w:r>
      <w:r w:rsidR="00403AB3">
        <w:t xml:space="preserve">papers </w:t>
      </w:r>
      <w:r>
        <w:t xml:space="preserve">should be clearly marked as pertaining to the onsite visit. </w:t>
      </w:r>
    </w:p>
    <w:p w:rsidR="00257D78" w:rsidRPr="006E757D" w:rsidRDefault="000F736C" w:rsidP="0043629E">
      <w:pPr>
        <w:pStyle w:val="SubHead"/>
        <w:spacing w:before="0"/>
      </w:pPr>
      <w:r w:rsidRPr="006E757D">
        <w:lastRenderedPageBreak/>
        <w:t xml:space="preserve">Audit </w:t>
      </w:r>
      <w:r w:rsidR="00D010A8" w:rsidRPr="006E757D">
        <w:t>Result Files</w:t>
      </w:r>
    </w:p>
    <w:p w:rsidR="00BA7465" w:rsidRPr="006E757D" w:rsidRDefault="00BA7465" w:rsidP="00BA7465">
      <w:pPr>
        <w:pStyle w:val="ProcessBullet"/>
      </w:pPr>
      <w:r w:rsidRPr="006E757D">
        <w:t xml:space="preserve">Standard compliance tools: </w:t>
      </w:r>
    </w:p>
    <w:p w:rsidR="00BA7465" w:rsidRDefault="00BA7465" w:rsidP="005B307A">
      <w:pPr>
        <w:pStyle w:val="ProcessDash"/>
      </w:pPr>
      <w:r w:rsidRPr="006E757D">
        <w:t xml:space="preserve">A </w:t>
      </w:r>
      <w:r w:rsidR="005C285E" w:rsidRPr="006E757D">
        <w:t>f</w:t>
      </w:r>
      <w:r w:rsidR="004867F0" w:rsidRPr="006E757D">
        <w:t>inal</w:t>
      </w:r>
      <w:r w:rsidR="000B16E1" w:rsidRPr="006E757D">
        <w:t>,</w:t>
      </w:r>
      <w:r w:rsidR="004867F0" w:rsidRPr="006E757D">
        <w:t xml:space="preserve"> </w:t>
      </w:r>
      <w:r w:rsidR="005C285E" w:rsidRPr="006E757D">
        <w:t xml:space="preserve">organization-specific </w:t>
      </w:r>
      <w:r w:rsidRPr="006E757D">
        <w:t xml:space="preserve">IS </w:t>
      </w:r>
      <w:r w:rsidR="004867F0" w:rsidRPr="006E757D">
        <w:t>S</w:t>
      </w:r>
      <w:r w:rsidRPr="006E757D">
        <w:t xml:space="preserve">tandards </w:t>
      </w:r>
      <w:r w:rsidR="004867F0" w:rsidRPr="006E757D">
        <w:t>C</w:t>
      </w:r>
      <w:r w:rsidRPr="006E757D">
        <w:t xml:space="preserve">ompliance </w:t>
      </w:r>
      <w:r w:rsidR="004867F0" w:rsidRPr="006E757D">
        <w:t>T</w:t>
      </w:r>
      <w:r w:rsidRPr="006E757D">
        <w:t>ool, with auditor</w:t>
      </w:r>
      <w:r w:rsidR="00660316">
        <w:t>’</w:t>
      </w:r>
      <w:r w:rsidRPr="006E757D">
        <w:t>s notes on the adequacy of data collection, storage and manipulation of key fil</w:t>
      </w:r>
      <w:r w:rsidR="00CB2CDB">
        <w:t>es to produce accurate measures. It must also contain documentation of</w:t>
      </w:r>
      <w:r w:rsidRPr="006E757D">
        <w:t xml:space="preserve"> issues</w:t>
      </w:r>
      <w:r w:rsidR="005C285E" w:rsidRPr="006E757D">
        <w:t xml:space="preserve">, resolutions, </w:t>
      </w:r>
      <w:r w:rsidRPr="006E757D">
        <w:t>possible problem areas</w:t>
      </w:r>
      <w:r w:rsidR="005C285E" w:rsidRPr="006E757D">
        <w:t xml:space="preserve">, </w:t>
      </w:r>
      <w:r w:rsidRPr="006E757D">
        <w:t xml:space="preserve">comments on compliance with each standard as it affects </w:t>
      </w:r>
      <w:r w:rsidR="00D25812" w:rsidRPr="006E757D">
        <w:t>measure</w:t>
      </w:r>
      <w:r w:rsidRPr="006E757D">
        <w:t xml:space="preserve"> reporting</w:t>
      </w:r>
      <w:r w:rsidR="004867F0" w:rsidRPr="006E757D">
        <w:t xml:space="preserve">; </w:t>
      </w:r>
      <w:r w:rsidR="005C285E" w:rsidRPr="006E757D">
        <w:t xml:space="preserve">recommendations for improvement, </w:t>
      </w:r>
      <w:r w:rsidR="004867F0" w:rsidRPr="006E757D">
        <w:t>and sufficient evidence to support audit results for all measures</w:t>
      </w:r>
      <w:r w:rsidR="0043629E">
        <w:t>.</w:t>
      </w:r>
    </w:p>
    <w:p w:rsidR="0060415F" w:rsidRPr="006E757D" w:rsidRDefault="0060415F" w:rsidP="005B307A">
      <w:pPr>
        <w:pStyle w:val="ProcessDash"/>
      </w:pPr>
      <w:r>
        <w:t>A final timeline with actual completion dates</w:t>
      </w:r>
      <w:r w:rsidR="0043629E">
        <w:t>.</w:t>
      </w:r>
    </w:p>
    <w:p w:rsidR="00BA7465" w:rsidRPr="006E757D" w:rsidRDefault="00CF7A12" w:rsidP="005B307A">
      <w:pPr>
        <w:pStyle w:val="ProcessDash"/>
      </w:pPr>
      <w:r w:rsidRPr="006E757D">
        <w:t>P</w:t>
      </w:r>
      <w:r w:rsidR="00BA7465" w:rsidRPr="006E757D">
        <w:t xml:space="preserve">reliminary </w:t>
      </w:r>
      <w:r w:rsidR="00B53C6B" w:rsidRPr="006E757D">
        <w:t xml:space="preserve">rate </w:t>
      </w:r>
      <w:r w:rsidR="00BA7465" w:rsidRPr="006E757D">
        <w:t xml:space="preserve">submission tool </w:t>
      </w:r>
      <w:r w:rsidR="00B53C6B" w:rsidRPr="006E757D">
        <w:t xml:space="preserve">with </w:t>
      </w:r>
      <w:r w:rsidR="00BA7465" w:rsidRPr="006E757D">
        <w:t>review notes, including this year</w:t>
      </w:r>
      <w:r w:rsidR="003D4B66" w:rsidRPr="006E757D">
        <w:t xml:space="preserve"> or </w:t>
      </w:r>
      <w:r w:rsidR="00BA7465" w:rsidRPr="006E757D">
        <w:t>last year comparison, benchmark comparison, auditor</w:t>
      </w:r>
      <w:r w:rsidR="00660316">
        <w:t>’</w:t>
      </w:r>
      <w:r w:rsidR="00BA7465" w:rsidRPr="006E757D">
        <w:t>s notes, questions and requests for additional information</w:t>
      </w:r>
      <w:r w:rsidR="0043629E">
        <w:t>.</w:t>
      </w:r>
    </w:p>
    <w:p w:rsidR="00BA7465" w:rsidRPr="006E757D" w:rsidRDefault="00CF7A12" w:rsidP="005B307A">
      <w:pPr>
        <w:pStyle w:val="ProcessDash"/>
      </w:pPr>
      <w:r w:rsidRPr="006E757D">
        <w:t>T</w:t>
      </w:r>
      <w:r w:rsidR="00BA7465" w:rsidRPr="006E757D">
        <w:t xml:space="preserve">he </w:t>
      </w:r>
      <w:r w:rsidR="00202822" w:rsidRPr="006E757D">
        <w:t>organization</w:t>
      </w:r>
      <w:r w:rsidR="00660316">
        <w:t>’</w:t>
      </w:r>
      <w:r w:rsidR="00BA7465" w:rsidRPr="006E757D">
        <w:t>s response to preliminary submission tool issues</w:t>
      </w:r>
      <w:r w:rsidR="004867F0" w:rsidRPr="006E757D">
        <w:t xml:space="preserve"> and rates</w:t>
      </w:r>
      <w:r w:rsidR="0043629E">
        <w:t>.</w:t>
      </w:r>
    </w:p>
    <w:p w:rsidR="005C285E" w:rsidRPr="006E757D" w:rsidRDefault="005C285E" w:rsidP="005B307A">
      <w:pPr>
        <w:pStyle w:val="ProcessDash"/>
      </w:pPr>
      <w:r w:rsidRPr="006E757D">
        <w:t>Final rate submission tool with organization and auditor notes and final auditor approval</w:t>
      </w:r>
      <w:r w:rsidR="0043629E">
        <w:t>.</w:t>
      </w:r>
    </w:p>
    <w:p w:rsidR="002B6FF5" w:rsidRDefault="00CF7A12" w:rsidP="005B307A">
      <w:pPr>
        <w:pStyle w:val="ProcessDash"/>
      </w:pPr>
      <w:r w:rsidRPr="006E757D">
        <w:t>F</w:t>
      </w:r>
      <w:r w:rsidR="00BA7465" w:rsidRPr="006E757D">
        <w:t>inal locked submission</w:t>
      </w:r>
      <w:r w:rsidR="006120BF" w:rsidRPr="006E757D">
        <w:t>, including the Audit Review Table</w:t>
      </w:r>
      <w:r w:rsidR="00AC1811">
        <w:t>.</w:t>
      </w:r>
      <w:r w:rsidR="006120BF" w:rsidRPr="006E757D">
        <w:t xml:space="preserve"> </w:t>
      </w:r>
    </w:p>
    <w:p w:rsidR="00257D78" w:rsidRPr="006E757D" w:rsidRDefault="00257D78" w:rsidP="0043629E">
      <w:pPr>
        <w:pStyle w:val="ProcessBullet"/>
      </w:pPr>
      <w:r w:rsidRPr="006E757D">
        <w:t xml:space="preserve">Audit correspondence (e-mail): </w:t>
      </w:r>
    </w:p>
    <w:p w:rsidR="00257D78" w:rsidRPr="006E757D" w:rsidRDefault="0060415F" w:rsidP="005B307A">
      <w:pPr>
        <w:pStyle w:val="ProcessDash"/>
      </w:pPr>
      <w:r>
        <w:t xml:space="preserve">All </w:t>
      </w:r>
      <w:r w:rsidR="00257D78" w:rsidRPr="006E757D">
        <w:t>correspondence among team members</w:t>
      </w:r>
      <w:r w:rsidR="0043629E">
        <w:t>.</w:t>
      </w:r>
    </w:p>
    <w:p w:rsidR="00257D78" w:rsidRDefault="0060415F" w:rsidP="005B307A">
      <w:pPr>
        <w:pStyle w:val="ProcessDash"/>
      </w:pPr>
      <w:r>
        <w:t>All</w:t>
      </w:r>
      <w:r w:rsidRPr="006E757D">
        <w:t xml:space="preserve"> </w:t>
      </w:r>
      <w:r w:rsidR="00257D78" w:rsidRPr="006E757D">
        <w:t>correspondence between auditors and the organization</w:t>
      </w:r>
      <w:r w:rsidR="00AC1811">
        <w:t>.</w:t>
      </w:r>
    </w:p>
    <w:bookmarkEnd w:id="15"/>
    <w:bookmarkEnd w:id="16"/>
    <w:bookmarkEnd w:id="17"/>
    <w:bookmarkEnd w:id="18"/>
    <w:bookmarkEnd w:id="19"/>
    <w:bookmarkEnd w:id="20"/>
    <w:bookmarkEnd w:id="21"/>
    <w:p w:rsidR="00E537FC" w:rsidRPr="006E757D" w:rsidRDefault="00CE2B58" w:rsidP="00881452">
      <w:pPr>
        <w:pStyle w:val="Body"/>
        <w:sectPr w:rsidR="00E537FC" w:rsidRPr="006E757D" w:rsidSect="00C228DE">
          <w:headerReference w:type="default" r:id="rId76"/>
          <w:pgSz w:w="12240" w:h="15840" w:code="1"/>
          <w:pgMar w:top="1080" w:right="1080" w:bottom="1080" w:left="1440" w:header="720" w:footer="720" w:gutter="0"/>
          <w:paperSrc w:first="7" w:other="7"/>
          <w:cols w:space="720"/>
          <w:docGrid w:linePitch="360"/>
        </w:sectPr>
      </w:pPr>
      <w:r w:rsidRPr="006E757D">
        <w:t>The NCQA monitoring program includes a review of these papers and ensures adherence to program policies and procedures. Licensed Organizations must provide a complet</w:t>
      </w:r>
      <w:r w:rsidR="00570670">
        <w:t>e set of work papers for review</w:t>
      </w:r>
    </w:p>
    <w:p w:rsidR="00D1716E" w:rsidRPr="006E757D" w:rsidRDefault="00D1716E" w:rsidP="00881452">
      <w:pPr>
        <w:pStyle w:val="Body"/>
      </w:pPr>
    </w:p>
    <w:sectPr w:rsidR="00D1716E" w:rsidRPr="006E757D" w:rsidSect="00C228DE">
      <w:headerReference w:type="even" r:id="rId77"/>
      <w:pgSz w:w="12240" w:h="15840" w:code="1"/>
      <w:pgMar w:top="1080" w:right="1080" w:bottom="1080" w:left="1440"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16D" w:rsidRDefault="0007016D">
      <w:r>
        <w:separator/>
      </w:r>
    </w:p>
  </w:endnote>
  <w:endnote w:type="continuationSeparator" w:id="0">
    <w:p w:rsidR="0007016D" w:rsidRDefault="000701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Arial,BoldItalic">
    <w:panose1 w:val="00000000000000000000"/>
    <w:charset w:val="00"/>
    <w:family w:val="swiss"/>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D955E9">
    <w:pPr>
      <w:pStyle w:val="Footer"/>
      <w:ind w:right="360"/>
    </w:pPr>
    <w:r>
      <w:t>HEDIS 2006, Volume 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0D1946">
    <w:pPr>
      <w:pStyle w:val="Footer"/>
      <w:jc w:val="right"/>
    </w:pPr>
    <w:r>
      <w:t>HEDIS 2013, Volume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Footer"/>
      <w:pBdr>
        <w:top w:val="none" w:sz="0" w:space="0" w:color="auto"/>
      </w:pBd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Footer"/>
    </w:pPr>
    <w:r>
      <w:t>HEDIS 2013, Volume 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003BC1">
    <w:pPr>
      <w:pStyle w:val="Footer"/>
      <w:tabs>
        <w:tab w:val="right" w:pos="9360"/>
      </w:tabs>
      <w:jc w:val="right"/>
    </w:pPr>
    <w:r>
      <w:tab/>
      <w:t>HEDIS 2013, Volume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Footer"/>
    </w:pPr>
    <w:r>
      <w:t>HEDIS 2013, Volume 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Pr="00120239" w:rsidRDefault="0007016D" w:rsidP="00120239"/>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Footer"/>
    </w:pPr>
    <w:r>
      <w:tab/>
      <w:t>HEDIS 2013, Volume 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60" w:rsidRPr="00ED1760" w:rsidRDefault="00ED1760" w:rsidP="00ED176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Footer"/>
      <w:pBdr>
        <w:top w:val="none" w:sz="0" w:space="0" w:color="auto"/>
      </w:pBd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16D" w:rsidRDefault="0007016D">
      <w:r>
        <w:separator/>
      </w:r>
    </w:p>
  </w:footnote>
  <w:footnote w:type="continuationSeparator" w:id="0">
    <w:p w:rsidR="0007016D" w:rsidRDefault="000701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B20B12">
    <w:pPr>
      <w:pStyle w:val="Header"/>
      <w:tabs>
        <w:tab w:val="left" w:pos="7020"/>
      </w:tabs>
    </w:pPr>
    <w:r>
      <w:tab/>
    </w:r>
    <w:r>
      <w:rPr>
        <w:rStyle w:val="PageNumber"/>
      </w:rPr>
      <w:t>Audit Process: Offsite</w:t>
    </w:r>
    <w:r>
      <w:tab/>
    </w:r>
    <w:fldSimple w:instr=" PAGE ">
      <w:r w:rsidR="0079769B">
        <w:rPr>
          <w:noProof/>
        </w:rPr>
        <w:t>55</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58</w:t>
      </w:r>
    </w:fldSimple>
    <w:r w:rsidR="0007016D">
      <w:rPr>
        <w:rStyle w:val="PageNumber"/>
      </w:rPr>
      <w:tab/>
      <w:t>Audit Process: Offsite</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B20B12">
    <w:pPr>
      <w:pStyle w:val="Header"/>
      <w:tabs>
        <w:tab w:val="left" w:pos="7020"/>
      </w:tabs>
    </w:pPr>
    <w:r>
      <w:tab/>
    </w:r>
    <w:r>
      <w:rPr>
        <w:rStyle w:val="PageNumber"/>
      </w:rPr>
      <w:t>Audit Process: Offsite</w:t>
    </w:r>
    <w:r>
      <w:tab/>
    </w:r>
    <w:fldSimple w:instr=" PAGE ">
      <w:r w:rsidR="0079769B">
        <w:rPr>
          <w:noProof/>
        </w:rPr>
        <w:t>57</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C228DE">
    <w:pPr>
      <w:pStyle w:val="Header"/>
      <w:tabs>
        <w:tab w:val="left" w:pos="7020"/>
      </w:tabs>
    </w:pPr>
    <w:r>
      <w:tab/>
    </w:r>
    <w:r>
      <w:rPr>
        <w:rStyle w:val="PageNumber"/>
      </w:rPr>
      <w:tab/>
      <w:t>Audit Process: Offsite</w:t>
    </w:r>
    <w:r>
      <w:tab/>
    </w:r>
    <w:fldSimple w:instr=" PAGE ">
      <w:r w:rsidR="0079769B">
        <w:rPr>
          <w:noProof/>
        </w:rPr>
        <w:t>63</w:t>
      </w:r>
    </w:fldSimple>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60</w:t>
      </w:r>
    </w:fldSimple>
    <w:r w:rsidR="0007016D">
      <w:rPr>
        <w:rStyle w:val="PageNumber"/>
      </w:rPr>
      <w:tab/>
      <w:t>Audit Process: Offsite</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64</w:t>
      </w:r>
    </w:fldSimple>
    <w:r w:rsidR="0007016D">
      <w:rPr>
        <w:rStyle w:val="PageNumber"/>
      </w:rPr>
      <w:tab/>
      <w:t>Audit Process: Offsite</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C228DE">
    <w:pPr>
      <w:pStyle w:val="Header"/>
      <w:tabs>
        <w:tab w:val="left" w:pos="7020"/>
      </w:tabs>
    </w:pPr>
    <w:r>
      <w:tab/>
    </w:r>
    <w:r>
      <w:rPr>
        <w:rStyle w:val="PageNumber"/>
      </w:rPr>
      <w:tab/>
      <w:t>Audit Process: Offsite</w:t>
    </w:r>
    <w:r>
      <w:tab/>
    </w:r>
    <w:fldSimple w:instr=" PAGE ">
      <w:r w:rsidR="0079769B">
        <w:rPr>
          <w:noProof/>
        </w:rPr>
        <w:t>65</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66</w:t>
      </w:r>
    </w:fldSimple>
    <w:r w:rsidR="0007016D">
      <w:rPr>
        <w:rStyle w:val="PageNumber"/>
      </w:rPr>
      <w:tab/>
      <w:t>Audit Process: Offsite</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C228DE">
    <w:pPr>
      <w:pStyle w:val="Header"/>
      <w:tabs>
        <w:tab w:val="left" w:pos="7020"/>
      </w:tabs>
    </w:pPr>
    <w:r>
      <w:tab/>
    </w:r>
    <w:r>
      <w:rPr>
        <w:rStyle w:val="PageNumber"/>
      </w:rPr>
      <w:tab/>
      <w:t>Audit Process: Offsite</w:t>
    </w:r>
    <w:r>
      <w:tab/>
    </w:r>
    <w:fldSimple w:instr=" PAGE ">
      <w:r w:rsidR="0079769B">
        <w:rPr>
          <w:noProof/>
        </w:rPr>
        <w:t>67</w:t>
      </w:r>
    </w:fldSimple>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68</w:t>
      </w:r>
    </w:fldSimple>
    <w:r w:rsidR="0007016D">
      <w:rPr>
        <w:rStyle w:val="PageNumber"/>
      </w:rPr>
      <w:tab/>
      <w:t>Audit Process: Offsite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pPr>
    <w:fldSimple w:instr=" PAGE ">
      <w:r w:rsidR="0079769B">
        <w:rPr>
          <w:noProof/>
        </w:rPr>
        <w:t>50</w:t>
      </w:r>
    </w:fldSimple>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C228DE">
    <w:pPr>
      <w:pStyle w:val="Header"/>
      <w:tabs>
        <w:tab w:val="left" w:pos="7020"/>
      </w:tabs>
    </w:pPr>
    <w:r>
      <w:tab/>
    </w:r>
    <w:r>
      <w:rPr>
        <w:rStyle w:val="PageNumber"/>
      </w:rPr>
      <w:tab/>
      <w:t>Audit Process: Offsite</w:t>
    </w:r>
    <w:r>
      <w:tab/>
    </w:r>
    <w:fldSimple w:instr=" PAGE ">
      <w:r w:rsidR="0079769B">
        <w:rPr>
          <w:noProof/>
        </w:rPr>
        <w:t>69</w:t>
      </w:r>
    </w:fldSimple>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B7342F">
        <w:rPr>
          <w:noProof/>
        </w:rPr>
        <w:t>72</w:t>
      </w:r>
    </w:fldSimple>
    <w:r w:rsidR="0007016D">
      <w:rPr>
        <w:rStyle w:val="PageNumber"/>
      </w:rPr>
      <w:tab/>
      <w:t>Audit Process: Offsite</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70</w:t>
      </w:r>
    </w:fldSimple>
    <w:r w:rsidR="0007016D">
      <w:rPr>
        <w:rStyle w:val="PageNumber"/>
      </w:rPr>
      <w:tab/>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Pr="00D71D33" w:rsidRDefault="0007016D" w:rsidP="00D71D33">
    <w:pPr>
      <w:pStyle w:val="Header"/>
      <w:pBdr>
        <w:bottom w:val="none" w:sz="0" w:space="0" w:color="auto"/>
      </w:pBd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Pr="00120239" w:rsidRDefault="0007016D" w:rsidP="00120239"/>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Pr="00890911" w:rsidRDefault="00DA5A6A" w:rsidP="00FC41FB">
    <w:pPr>
      <w:pStyle w:val="Header"/>
      <w:ind w:left="720" w:hanging="720"/>
    </w:pPr>
    <w:fldSimple w:instr=" PAGE ">
      <w:r w:rsidR="0079769B">
        <w:rPr>
          <w:noProof/>
        </w:rPr>
        <w:t>72</w:t>
      </w:r>
    </w:fldSimple>
    <w:r w:rsidR="0007016D" w:rsidRPr="00890911">
      <w:rPr>
        <w:rStyle w:val="PageNumber"/>
      </w:rPr>
      <w:tab/>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pPr>
    <w:r>
      <w:rPr>
        <w:rStyle w:val="PageNumber"/>
      </w:rPr>
      <w:fldChar w:fldCharType="begin"/>
    </w:r>
    <w:r w:rsidR="0007016D">
      <w:rPr>
        <w:rStyle w:val="PageNumber"/>
      </w:rPr>
      <w:instrText xml:space="preserve"> PAGE </w:instrText>
    </w:r>
    <w:r>
      <w:rPr>
        <w:rStyle w:val="PageNumber"/>
      </w:rPr>
      <w:fldChar w:fldCharType="separate"/>
    </w:r>
    <w:r w:rsidR="00B7342F">
      <w:rPr>
        <w:rStyle w:val="PageNumber"/>
        <w:noProof/>
      </w:rPr>
      <w:t>75</w:t>
    </w:r>
    <w:r>
      <w:rPr>
        <w:rStyle w:val="PageNumber"/>
      </w:rPr>
      <w:fldChar w:fldCharType="end"/>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D71D33">
    <w:pPr>
      <w:pStyle w:val="Header"/>
      <w:ind w:left="720" w:hanging="720"/>
    </w:pPr>
    <w:r>
      <w:rPr>
        <w:rStyle w:val="PageNumber"/>
      </w:rPr>
      <w:fldChar w:fldCharType="begin"/>
    </w:r>
    <w:r w:rsidR="0007016D">
      <w:rPr>
        <w:rStyle w:val="PageNumber"/>
      </w:rPr>
      <w:instrText xml:space="preserve"> PAGE </w:instrText>
    </w:r>
    <w:r>
      <w:rPr>
        <w:rStyle w:val="PageNumber"/>
      </w:rPr>
      <w:fldChar w:fldCharType="separate"/>
    </w:r>
    <w:r w:rsidR="00B7342F">
      <w:rPr>
        <w:rStyle w:val="PageNumber"/>
        <w:noProof/>
      </w:rPr>
      <w:t>76</w:t>
    </w:r>
    <w:r>
      <w:rPr>
        <w:rStyle w:val="PageNumber"/>
      </w:rPr>
      <w:fldChar w:fldCharType="end"/>
    </w:r>
    <w:r w:rsidR="0007016D">
      <w:rPr>
        <w:rStyle w:val="PageNumber"/>
      </w:rPr>
      <w:tab/>
      <w:t>The Onsite Audit Process</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Pr>
    <w:r>
      <w:rPr>
        <w:rStyle w:val="PageNumber"/>
      </w:rPr>
      <w:tab/>
      <w:t>Audit Process: Onsite</w:t>
    </w:r>
    <w:r>
      <w:rPr>
        <w:rStyle w:val="PageNumber"/>
      </w:rPr>
      <w:tab/>
    </w:r>
    <w:fldSimple w:instr=" PAGE ">
      <w:r w:rsidR="0079769B">
        <w:rPr>
          <w:noProof/>
        </w:rPr>
        <w:t>73</w:t>
      </w:r>
    </w:fldSimple>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FC41FB">
    <w:pPr>
      <w:pStyle w:val="Header"/>
      <w:ind w:left="720" w:hanging="720"/>
    </w:pPr>
    <w:fldSimple w:instr=" PAGE ">
      <w:r w:rsidR="0079769B">
        <w:rPr>
          <w:noProof/>
        </w:rPr>
        <w:t>74</w:t>
      </w:r>
    </w:fldSimple>
    <w:r w:rsidR="0007016D">
      <w:rPr>
        <w:rStyle w:val="PageNumber"/>
      </w:rPr>
      <w:tab/>
      <w:t>Audit Process:</w:t>
    </w:r>
    <w:r w:rsidR="0007016D" w:rsidRPr="00C228DE">
      <w:rPr>
        <w:rStyle w:val="PageNumber"/>
      </w:rPr>
      <w:t xml:space="preserve"> </w:t>
    </w:r>
    <w:r w:rsidR="0007016D">
      <w:rPr>
        <w:rStyle w:val="PageNumber"/>
      </w:rPr>
      <w:t>Onsite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Pr>
    <w:r>
      <w:rPr>
        <w:rStyle w:val="PageNumber"/>
      </w:rPr>
      <w:tab/>
      <w:t>Audit Process: Onsite</w:t>
    </w:r>
    <w:r>
      <w:rPr>
        <w:rStyle w:val="PageNumber"/>
      </w:rPr>
      <w:tab/>
    </w:r>
    <w:fldSimple w:instr=" PAGE ">
      <w:r w:rsidR="0079769B">
        <w:rPr>
          <w:noProof/>
        </w:rPr>
        <w:t>75</w:t>
      </w:r>
    </w:fldSimple>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FC41FB">
    <w:pPr>
      <w:pStyle w:val="Header"/>
      <w:ind w:left="720" w:hanging="720"/>
    </w:pPr>
    <w:fldSimple w:instr=" PAGE ">
      <w:r w:rsidR="0079769B">
        <w:rPr>
          <w:noProof/>
        </w:rPr>
        <w:t>76</w:t>
      </w:r>
    </w:fldSimple>
    <w:r w:rsidR="0007016D">
      <w:rPr>
        <w:rStyle w:val="PageNumber"/>
      </w:rPr>
      <w:tab/>
      <w:t>Audit Process:</w:t>
    </w:r>
    <w:r w:rsidR="0007016D" w:rsidRPr="00C228DE">
      <w:rPr>
        <w:rStyle w:val="PageNumber"/>
      </w:rPr>
      <w:t xml:space="preserve"> </w:t>
    </w:r>
    <w:r w:rsidR="0007016D">
      <w:rPr>
        <w:rStyle w:val="PageNumber"/>
      </w:rPr>
      <w:t>Onsite</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Pr>
    <w:r>
      <w:rPr>
        <w:rStyle w:val="PageNumber"/>
      </w:rPr>
      <w:tab/>
      <w:t>Audit Process: Onsite</w:t>
    </w:r>
    <w:r>
      <w:rPr>
        <w:rStyle w:val="PageNumber"/>
      </w:rPr>
      <w:tab/>
    </w:r>
    <w:fldSimple w:instr=" PAGE ">
      <w:r w:rsidR="0079769B">
        <w:rPr>
          <w:noProof/>
        </w:rPr>
        <w:t>77</w:t>
      </w:r>
    </w:fldSimple>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FC41FB">
    <w:pPr>
      <w:pStyle w:val="Header"/>
      <w:ind w:left="720" w:hanging="720"/>
    </w:pPr>
    <w:fldSimple w:instr=" PAGE ">
      <w:r w:rsidR="0079769B">
        <w:rPr>
          <w:noProof/>
        </w:rPr>
        <w:t>78</w:t>
      </w:r>
    </w:fldSimple>
    <w:r w:rsidR="0007016D">
      <w:rPr>
        <w:rStyle w:val="PageNumber"/>
      </w:rPr>
      <w:tab/>
      <w:t>Audit Process:</w:t>
    </w:r>
    <w:r w:rsidR="0007016D" w:rsidRPr="00C228DE">
      <w:rPr>
        <w:rStyle w:val="PageNumber"/>
      </w:rPr>
      <w:t xml:space="preserve"> </w:t>
    </w:r>
    <w:r w:rsidR="0007016D">
      <w:rPr>
        <w:rStyle w:val="PageNumber"/>
      </w:rPr>
      <w:t>Onsite</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Pr>
    <w:r>
      <w:rPr>
        <w:rStyle w:val="PageNumber"/>
      </w:rPr>
      <w:tab/>
      <w:t>Audit Process: Onsite</w:t>
    </w:r>
    <w:r>
      <w:rPr>
        <w:rStyle w:val="PageNumber"/>
      </w:rPr>
      <w:tab/>
    </w:r>
    <w:fldSimple w:instr=" PAGE ">
      <w:r w:rsidR="0079769B">
        <w:rPr>
          <w:noProof/>
        </w:rPr>
        <w:t>79</w:t>
      </w:r>
    </w:fldSimple>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60" w:rsidRDefault="00DA5A6A" w:rsidP="00FC41FB">
    <w:pPr>
      <w:pStyle w:val="Header"/>
      <w:ind w:left="720" w:hanging="720"/>
    </w:pPr>
    <w:fldSimple w:instr=" PAGE ">
      <w:r w:rsidR="0079769B">
        <w:rPr>
          <w:noProof/>
        </w:rPr>
        <w:t>80</w:t>
      </w:r>
    </w:fldSimple>
    <w:r w:rsidR="00ED1760">
      <w:rPr>
        <w:rStyle w:val="PageNumber"/>
      </w:rPr>
      <w:tab/>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Pr>
    <w:r>
      <w:rPr>
        <w:rStyle w:val="PageNumber"/>
      </w:rPr>
      <w:tab/>
      <w:t>Audit Process: Onsite</w:t>
    </w:r>
    <w:r>
      <w:rPr>
        <w:rStyle w:val="PageNumber"/>
      </w:rPr>
      <w:tab/>
    </w:r>
    <w:fldSimple w:instr=" PAGE ">
      <w:r w:rsidR="00B7342F">
        <w:rPr>
          <w:noProof/>
        </w:rPr>
        <w:t>83</w:t>
      </w:r>
    </w:fldSimple>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Pr="00ED1760" w:rsidRDefault="0007016D" w:rsidP="00ED1760"/>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4514C1">
    <w:pPr>
      <w:pStyle w:val="Header"/>
      <w:numPr>
        <w:ilvl w:val="12"/>
        <w:numId w:val="0"/>
      </w:numPr>
      <w:tabs>
        <w:tab w:val="clear" w:pos="9000"/>
        <w:tab w:val="clear" w:pos="9720"/>
        <w:tab w:val="left" w:pos="871"/>
      </w:tabs>
    </w:pPr>
    <w:fldSimple w:instr=" PAGE ">
      <w:r w:rsidR="0079769B">
        <w:rPr>
          <w:noProof/>
        </w:rPr>
        <w:t>82</w:t>
      </w:r>
    </w:fldSimple>
    <w:r w:rsidR="0007016D">
      <w:t xml:space="preserve"> </w:t>
    </w:r>
    <w:r w:rsidR="0007016D">
      <w:tab/>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numPr>
        <w:ilvl w:val="12"/>
        <w:numId w:val="0"/>
      </w:numP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tabs>
        <w:tab w:val="left" w:pos="720"/>
      </w:tabs>
    </w:pPr>
    <w:r>
      <w:rPr>
        <w:rStyle w:val="PageNumber"/>
      </w:rPr>
      <w:t>56</w:t>
    </w:r>
    <w:r>
      <w:rPr>
        <w:rStyle w:val="PageNumber"/>
      </w:rPr>
      <w:tab/>
      <w:t>Audit Process: Offsite</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numPr>
        <w:ilvl w:val="12"/>
        <w:numId w:val="0"/>
      </w:numPr>
      <w:tabs>
        <w:tab w:val="left" w:pos="720"/>
      </w:tabs>
    </w:pPr>
    <w:fldSimple w:instr=" PAGE ">
      <w:r w:rsidR="00B7342F">
        <w:rPr>
          <w:noProof/>
        </w:rPr>
        <w:t>86</w:t>
      </w:r>
    </w:fldSimple>
    <w:r w:rsidR="0007016D">
      <w:tab/>
      <w:t xml:space="preserve">Audit Process: Post-Onsite and Reporting </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4514C1">
    <w:pPr>
      <w:pStyle w:val="Header"/>
    </w:pPr>
    <w:r>
      <w:tab/>
      <w:t xml:space="preserve">Audit Process: Post-Onsite and Reporting </w:t>
    </w:r>
    <w:r>
      <w:tab/>
    </w:r>
    <w:fldSimple w:instr=" PAGE ">
      <w:r w:rsidR="0079769B">
        <w:rPr>
          <w:noProof/>
        </w:rPr>
        <w:t>83</w:t>
      </w:r>
    </w:fldSimple>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D90934">
    <w:pPr>
      <w:pStyle w:val="Header"/>
      <w:ind w:left="720" w:hanging="720"/>
    </w:pPr>
    <w:fldSimple w:instr=" PAGE ">
      <w:r w:rsidR="0079769B">
        <w:rPr>
          <w:noProof/>
        </w:rPr>
        <w:t>84</w:t>
      </w:r>
    </w:fldSimple>
    <w:r w:rsidR="0007016D">
      <w:tab/>
      <w:t xml:space="preserve">Audit Process: Post-Onsite and Reporting </w:t>
    </w:r>
    <w:r w:rsidR="0007016D">
      <w:tab/>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D90934">
    <w:pPr>
      <w:pStyle w:val="Header"/>
    </w:pPr>
    <w:r>
      <w:tab/>
      <w:t xml:space="preserve">Audit Process: Post-Onsite and Reporting </w:t>
    </w:r>
    <w:r>
      <w:tab/>
    </w:r>
    <w:fldSimple w:instr=" PAGE ">
      <w:r w:rsidR="0079769B">
        <w:rPr>
          <w:noProof/>
        </w:rPr>
        <w:t>85</w:t>
      </w:r>
    </w:fldSimple>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rsidP="00D90934">
    <w:pPr>
      <w:pStyle w:val="Header"/>
      <w:ind w:left="720" w:hanging="720"/>
    </w:pPr>
    <w:fldSimple w:instr=" PAGE ">
      <w:r w:rsidR="0079769B">
        <w:rPr>
          <w:noProof/>
        </w:rPr>
        <w:t>86</w:t>
      </w:r>
    </w:fldSimple>
    <w:r w:rsidR="0007016D">
      <w:tab/>
      <w:t>Audit Process: Post-Onsite and Reporting</w:t>
    </w:r>
    <w:r w:rsidR="0007016D">
      <w:tab/>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4514C1">
    <w:pPr>
      <w:pStyle w:val="Header"/>
    </w:pPr>
    <w:r>
      <w:tab/>
      <w:t xml:space="preserve">Audit Process: Post-Onsite and Reporting </w:t>
    </w:r>
    <w:r>
      <w:tab/>
    </w:r>
    <w:fldSimple w:instr=" PAGE ">
      <w:r w:rsidR="0079769B">
        <w:rPr>
          <w:noProof/>
        </w:rPr>
        <w:t>87</w:t>
      </w:r>
    </w:fldSimple>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numPr>
        <w:ilvl w:val="12"/>
        <w:numId w:val="0"/>
      </w:numPr>
      <w:tabs>
        <w:tab w:val="left" w:pos="720"/>
      </w:tabs>
    </w:pPr>
    <w:fldSimple w:instr=" PAGE ">
      <w:r w:rsidR="0079769B">
        <w:rPr>
          <w:noProof/>
        </w:rPr>
        <w:t>88</w:t>
      </w:r>
    </w:fldSimple>
    <w:r w:rsidR="0007016D">
      <w:tab/>
      <w:t xml:space="preserve">Audit Process: Post-Onsite and Reporting </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4514C1">
    <w:pPr>
      <w:pStyle w:val="Header"/>
    </w:pPr>
    <w:r>
      <w:tab/>
      <w:t xml:space="preserve">Audit Process: Post-Onsite and Reporting </w:t>
    </w:r>
    <w:r>
      <w:tab/>
    </w:r>
    <w:fldSimple w:instr=" PAGE ">
      <w:r w:rsidR="0079769B">
        <w:rPr>
          <w:noProof/>
        </w:rPr>
        <w:t>89</w:t>
      </w:r>
    </w:fldSimple>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numPr>
        <w:ilvl w:val="12"/>
        <w:numId w:val="0"/>
      </w:numPr>
      <w:tabs>
        <w:tab w:val="left" w:pos="720"/>
      </w:tabs>
    </w:pPr>
    <w:fldSimple w:instr=" PAGE ">
      <w:r w:rsidR="0079769B">
        <w:rPr>
          <w:noProof/>
        </w:rPr>
        <w:t>90</w:t>
      </w:r>
    </w:fldSimple>
    <w:r w:rsidR="0007016D">
      <w:tab/>
      <w:t xml:space="preserve">Audit Process: Post-Onsite and Reporting </w: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numPr>
        <w:ilvl w:val="12"/>
        <w:numId w:val="0"/>
      </w:numPr>
      <w:tabs>
        <w:tab w:val="left" w:pos="720"/>
      </w:tabs>
    </w:pPr>
    <w:fldSimple w:instr=" PAGE ">
      <w:r w:rsidR="0079769B">
        <w:rPr>
          <w:noProof/>
        </w:rPr>
        <w:t>92</w:t>
      </w:r>
    </w:fldSimple>
    <w:r w:rsidR="0007016D">
      <w:tab/>
      <w:t xml:space="preserve">Audit Process: Post-Onsite and Reporting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B20B12">
    <w:pPr>
      <w:pStyle w:val="Header"/>
      <w:tabs>
        <w:tab w:val="left" w:pos="7020"/>
      </w:tabs>
    </w:pPr>
    <w:r>
      <w:tab/>
    </w:r>
    <w:r>
      <w:rPr>
        <w:rStyle w:val="PageNumber"/>
      </w:rPr>
      <w:t>Audit Process: Offsite</w:t>
    </w:r>
    <w:r>
      <w:tab/>
    </w:r>
    <w:fldSimple w:instr=" PAGE ">
      <w:r w:rsidR="0079769B">
        <w:rPr>
          <w:noProof/>
        </w:rPr>
        <w:t>51</w:t>
      </w:r>
    </w:fldSimple>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4514C1">
    <w:pPr>
      <w:pStyle w:val="Header"/>
    </w:pPr>
    <w:r>
      <w:tab/>
      <w:t xml:space="preserve">Audit Process: Post-Onsite and Reporting </w:t>
    </w:r>
    <w:r>
      <w:tab/>
    </w:r>
    <w:fldSimple w:instr=" PAGE ">
      <w:r w:rsidR="0079769B">
        <w:rPr>
          <w:noProof/>
        </w:rPr>
        <w:t>91</w:t>
      </w:r>
    </w:fldSimple>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numPr>
        <w:ilvl w:val="12"/>
        <w:numId w:val="0"/>
      </w:numPr>
      <w:tabs>
        <w:tab w:val="left" w:pos="720"/>
      </w:tabs>
    </w:pPr>
    <w:fldSimple w:instr=" PAGE ">
      <w:r w:rsidR="0079769B">
        <w:rPr>
          <w:noProof/>
        </w:rPr>
        <w:t>94</w:t>
      </w:r>
    </w:fldSimple>
    <w:r w:rsidR="0007016D">
      <w:tab/>
      <w:t xml:space="preserve">Audit Process: Post-Onsite and Reporting </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4514C1">
    <w:pPr>
      <w:pStyle w:val="Header"/>
    </w:pPr>
    <w:r>
      <w:tab/>
      <w:t xml:space="preserve">Audit Process: Post-Onsite and Reporting </w:t>
    </w:r>
    <w:r>
      <w:tab/>
    </w:r>
    <w:fldSimple w:instr=" PAGE ">
      <w:r w:rsidR="0079769B">
        <w:rPr>
          <w:noProof/>
        </w:rPr>
        <w:t>93</w:t>
      </w:r>
    </w:fldSimple>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4514C1">
    <w:pPr>
      <w:pStyle w:val="Header"/>
    </w:pPr>
    <w:r>
      <w:tab/>
      <w:t xml:space="preserve">Audit Process: Post-Onsite and Reporting </w:t>
    </w:r>
    <w:r>
      <w:tab/>
    </w:r>
    <w:fldSimple w:instr=" PAGE ">
      <w:r w:rsidR="0079769B">
        <w:rPr>
          <w:noProof/>
        </w:rPr>
        <w:t>95</w:t>
      </w:r>
    </w:fldSimple>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numPr>
        <w:ilvl w:val="12"/>
        <w:numId w:val="0"/>
      </w:numPr>
      <w:tabs>
        <w:tab w:val="left" w:pos="720"/>
      </w:tabs>
    </w:pPr>
    <w:fldSimple w:instr=" PAGE ">
      <w:r w:rsidR="0079769B">
        <w:rPr>
          <w:noProof/>
        </w:rPr>
        <w:t>96</w:t>
      </w:r>
    </w:fldSimple>
    <w:r w:rsidR="0007016D">
      <w:tab/>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52</w:t>
      </w:r>
    </w:fldSimple>
    <w:r w:rsidR="0007016D">
      <w:rPr>
        <w:rStyle w:val="PageNumber"/>
      </w:rPr>
      <w:tab/>
      <w:t>Audit Process: Offsite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pPr>
      <w:pStyle w:val="Header"/>
      <w:pBdr>
        <w:bottom w:val="none" w:sz="0" w:space="0" w:color="auto"/>
      </w:pBdr>
    </w:pPr>
  </w:p>
  <w:p w:rsidR="0007016D" w:rsidRDefault="0007016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07016D" w:rsidP="00B20B12">
    <w:pPr>
      <w:pStyle w:val="Header"/>
      <w:tabs>
        <w:tab w:val="left" w:pos="7020"/>
      </w:tabs>
    </w:pPr>
    <w:r>
      <w:tab/>
    </w:r>
    <w:r>
      <w:rPr>
        <w:rStyle w:val="PageNumber"/>
      </w:rPr>
      <w:t>Audit Process: Offsite</w:t>
    </w:r>
    <w:r>
      <w:tab/>
    </w:r>
    <w:fldSimple w:instr=" PAGE ">
      <w:r w:rsidR="0079769B">
        <w:rPr>
          <w:noProof/>
        </w:rPr>
        <w:t>53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6D" w:rsidRDefault="00DA5A6A">
    <w:pPr>
      <w:pStyle w:val="Header"/>
      <w:tabs>
        <w:tab w:val="left" w:pos="720"/>
      </w:tabs>
    </w:pPr>
    <w:fldSimple w:instr=" PAGE ">
      <w:r w:rsidR="0079769B">
        <w:rPr>
          <w:noProof/>
        </w:rPr>
        <w:t>54</w:t>
      </w:r>
    </w:fldSimple>
    <w:r w:rsidR="0007016D">
      <w:rPr>
        <w:rStyle w:val="PageNumber"/>
      </w:rPr>
      <w:tab/>
      <w:t>Audit Process: Offsite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F212110"/>
    <w:multiLevelType w:val="hybridMultilevel"/>
    <w:tmpl w:val="2A349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8163AC4"/>
    <w:multiLevelType w:val="hybridMultilevel"/>
    <w:tmpl w:val="1B60AB60"/>
    <w:lvl w:ilvl="0" w:tplc="04963614">
      <w:start w:val="1"/>
      <w:numFmt w:val="bullet"/>
      <w:pStyle w:val="Dash"/>
      <w:lvlText w:val="–"/>
      <w:lvlJc w:val="left"/>
      <w:pPr>
        <w:tabs>
          <w:tab w:val="num" w:pos="792"/>
        </w:tabs>
        <w:ind w:left="792" w:hanging="21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A4E619C"/>
    <w:multiLevelType w:val="hybridMultilevel"/>
    <w:tmpl w:val="4E3CBCA8"/>
    <w:lvl w:ilvl="0" w:tplc="6978B910">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7">
    <w:nsid w:val="4B5A049A"/>
    <w:multiLevelType w:val="hybridMultilevel"/>
    <w:tmpl w:val="69E61390"/>
    <w:lvl w:ilvl="0" w:tplc="0409000F">
      <w:start w:val="1"/>
      <w:numFmt w:val="decimal"/>
      <w:lvlText w:val="%1."/>
      <w:lvlJc w:val="left"/>
      <w:pPr>
        <w:tabs>
          <w:tab w:val="num" w:pos="360"/>
        </w:tabs>
        <w:ind w:left="360" w:hanging="360"/>
      </w:pPr>
      <w:rPr>
        <w:rFont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0DC1C7E"/>
    <w:multiLevelType w:val="hybridMultilevel"/>
    <w:tmpl w:val="AE9AD99C"/>
    <w:lvl w:ilvl="0" w:tplc="0409000F">
      <w:start w:val="1"/>
      <w:numFmt w:val="decimal"/>
      <w:lvlText w:val="%1."/>
      <w:lvlJc w:val="left"/>
      <w:pPr>
        <w:tabs>
          <w:tab w:val="num" w:pos="360"/>
        </w:tabs>
        <w:ind w:left="360" w:hanging="360"/>
      </w:pPr>
      <w:rPr>
        <w:rFont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4"/>
  </w:num>
  <w:num w:numId="4">
    <w:abstractNumId w:val="11"/>
  </w:num>
  <w:num w:numId="5">
    <w:abstractNumId w:val="15"/>
  </w:num>
  <w:num w:numId="6">
    <w:abstractNumId w:val="13"/>
  </w:num>
  <w:num w:numId="7">
    <w:abstractNumId w:val="19"/>
  </w:num>
  <w:num w:numId="8">
    <w:abstractNumId w:val="17"/>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 w:numId="21">
    <w:abstractNumId w:val="18"/>
  </w:num>
  <w:num w:numId="22">
    <w:abstractNumId w:val="18"/>
  </w:num>
  <w:num w:numId="23">
    <w:abstractNumId w:val="18"/>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8"/>
  </w:num>
  <w:num w:numId="34">
    <w:abstractNumId w:val="18"/>
  </w:num>
  <w:num w:numId="35">
    <w:abstractNumId w:val="18"/>
  </w:num>
  <w:num w:numId="36">
    <w:abstractNumId w:val="18"/>
  </w:num>
  <w:num w:numId="37">
    <w:abstractNumId w:val="18"/>
  </w:num>
  <w:num w:numId="38">
    <w:abstractNumId w:val="12"/>
  </w:num>
  <w:num w:numId="39">
    <w:abstractNumId w:val="18"/>
  </w:num>
  <w:num w:numId="40">
    <w:abstractNumId w:val="18"/>
  </w:num>
  <w:num w:numId="41">
    <w:abstractNumId w:val="18"/>
  </w:num>
  <w:num w:numId="42">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TrueTypeFonts/>
  <w:embedSystemFonts/>
  <w:saveSubsetFonts/>
  <w:mirrorMargins/>
  <w:proofState w:spelling="clean"/>
  <w:attachedTemplate r:id="rId1"/>
  <w:stylePaneFormatFilter w:val="3F01"/>
  <w:doNotTrackFormatting/>
  <w:defaultTabStop w:val="720"/>
  <w:evenAndOddHeaders/>
  <w:drawingGridHorizontalSpacing w:val="100"/>
  <w:displayHorizontalDrawingGridEvery w:val="0"/>
  <w:displayVerticalDrawingGridEvery w:val="0"/>
  <w:noPunctuationKerning/>
  <w:characterSpacingControl w:val="doNotCompress"/>
  <w:hdrShapeDefaults>
    <o:shapedefaults v:ext="edit" spidmax="173057"/>
  </w:hdrShapeDefaults>
  <w:footnotePr>
    <w:footnote w:id="-1"/>
    <w:footnote w:id="0"/>
  </w:footnotePr>
  <w:endnotePr>
    <w:endnote w:id="-1"/>
    <w:endnote w:id="0"/>
  </w:endnotePr>
  <w:compat/>
  <w:rsids>
    <w:rsidRoot w:val="00AD0BCA"/>
    <w:rsid w:val="00000DB7"/>
    <w:rsid w:val="000013CE"/>
    <w:rsid w:val="00003BC1"/>
    <w:rsid w:val="0000796F"/>
    <w:rsid w:val="00007A7A"/>
    <w:rsid w:val="00012C24"/>
    <w:rsid w:val="000135F8"/>
    <w:rsid w:val="00013871"/>
    <w:rsid w:val="00015A5B"/>
    <w:rsid w:val="00016C30"/>
    <w:rsid w:val="0002065C"/>
    <w:rsid w:val="00020BE5"/>
    <w:rsid w:val="000241C3"/>
    <w:rsid w:val="00024E50"/>
    <w:rsid w:val="000259A8"/>
    <w:rsid w:val="0002635D"/>
    <w:rsid w:val="00027352"/>
    <w:rsid w:val="00030809"/>
    <w:rsid w:val="00032405"/>
    <w:rsid w:val="000328DC"/>
    <w:rsid w:val="00034A60"/>
    <w:rsid w:val="00034D59"/>
    <w:rsid w:val="00040033"/>
    <w:rsid w:val="000457C7"/>
    <w:rsid w:val="00045A05"/>
    <w:rsid w:val="00046935"/>
    <w:rsid w:val="0004721F"/>
    <w:rsid w:val="0005319B"/>
    <w:rsid w:val="0005349F"/>
    <w:rsid w:val="00057A71"/>
    <w:rsid w:val="00061658"/>
    <w:rsid w:val="000641B6"/>
    <w:rsid w:val="00065313"/>
    <w:rsid w:val="000657BB"/>
    <w:rsid w:val="00067090"/>
    <w:rsid w:val="00067F91"/>
    <w:rsid w:val="00070104"/>
    <w:rsid w:val="0007016D"/>
    <w:rsid w:val="00071DB3"/>
    <w:rsid w:val="00072097"/>
    <w:rsid w:val="000734F6"/>
    <w:rsid w:val="00074F82"/>
    <w:rsid w:val="000750F8"/>
    <w:rsid w:val="00075254"/>
    <w:rsid w:val="000801CC"/>
    <w:rsid w:val="00080925"/>
    <w:rsid w:val="000833A8"/>
    <w:rsid w:val="0008365B"/>
    <w:rsid w:val="00083F51"/>
    <w:rsid w:val="00084FDC"/>
    <w:rsid w:val="00085D8C"/>
    <w:rsid w:val="0009029A"/>
    <w:rsid w:val="00090AF9"/>
    <w:rsid w:val="00090CBA"/>
    <w:rsid w:val="000938DB"/>
    <w:rsid w:val="00094E68"/>
    <w:rsid w:val="00095C08"/>
    <w:rsid w:val="00096F6A"/>
    <w:rsid w:val="000A09C0"/>
    <w:rsid w:val="000A2D7A"/>
    <w:rsid w:val="000A35F5"/>
    <w:rsid w:val="000A4DA9"/>
    <w:rsid w:val="000A78C8"/>
    <w:rsid w:val="000B16E1"/>
    <w:rsid w:val="000B2FC1"/>
    <w:rsid w:val="000B39F8"/>
    <w:rsid w:val="000B4511"/>
    <w:rsid w:val="000C182E"/>
    <w:rsid w:val="000C3D06"/>
    <w:rsid w:val="000C5B1B"/>
    <w:rsid w:val="000D0617"/>
    <w:rsid w:val="000D1946"/>
    <w:rsid w:val="000D4728"/>
    <w:rsid w:val="000D5E49"/>
    <w:rsid w:val="000D6E87"/>
    <w:rsid w:val="000E15A3"/>
    <w:rsid w:val="000E3410"/>
    <w:rsid w:val="000E78BE"/>
    <w:rsid w:val="000F0602"/>
    <w:rsid w:val="000F0C89"/>
    <w:rsid w:val="000F2266"/>
    <w:rsid w:val="000F3AB7"/>
    <w:rsid w:val="000F51BB"/>
    <w:rsid w:val="000F545C"/>
    <w:rsid w:val="000F5474"/>
    <w:rsid w:val="000F70DE"/>
    <w:rsid w:val="000F736C"/>
    <w:rsid w:val="00100BAC"/>
    <w:rsid w:val="0010108E"/>
    <w:rsid w:val="001026E6"/>
    <w:rsid w:val="00103300"/>
    <w:rsid w:val="001104A8"/>
    <w:rsid w:val="00110CC1"/>
    <w:rsid w:val="0011241C"/>
    <w:rsid w:val="00113B4B"/>
    <w:rsid w:val="00116930"/>
    <w:rsid w:val="001170E4"/>
    <w:rsid w:val="00120239"/>
    <w:rsid w:val="00122147"/>
    <w:rsid w:val="001228E6"/>
    <w:rsid w:val="001229D1"/>
    <w:rsid w:val="00126EE0"/>
    <w:rsid w:val="00127226"/>
    <w:rsid w:val="00127AFF"/>
    <w:rsid w:val="00127CD0"/>
    <w:rsid w:val="001322DD"/>
    <w:rsid w:val="001323A9"/>
    <w:rsid w:val="0013589D"/>
    <w:rsid w:val="00135E5B"/>
    <w:rsid w:val="00141D0A"/>
    <w:rsid w:val="00150E94"/>
    <w:rsid w:val="0015495E"/>
    <w:rsid w:val="0015779A"/>
    <w:rsid w:val="00164659"/>
    <w:rsid w:val="00165611"/>
    <w:rsid w:val="00165E1F"/>
    <w:rsid w:val="00171A42"/>
    <w:rsid w:val="0017370C"/>
    <w:rsid w:val="001759DE"/>
    <w:rsid w:val="00176A37"/>
    <w:rsid w:val="0017728A"/>
    <w:rsid w:val="0018293F"/>
    <w:rsid w:val="00183475"/>
    <w:rsid w:val="00184A03"/>
    <w:rsid w:val="00184CB5"/>
    <w:rsid w:val="00185582"/>
    <w:rsid w:val="001874A5"/>
    <w:rsid w:val="00190006"/>
    <w:rsid w:val="001946D1"/>
    <w:rsid w:val="001954BE"/>
    <w:rsid w:val="001956DF"/>
    <w:rsid w:val="001A103A"/>
    <w:rsid w:val="001A18EE"/>
    <w:rsid w:val="001A487B"/>
    <w:rsid w:val="001A5334"/>
    <w:rsid w:val="001A61D5"/>
    <w:rsid w:val="001B34E6"/>
    <w:rsid w:val="001C0954"/>
    <w:rsid w:val="001C2AC2"/>
    <w:rsid w:val="001C2ADD"/>
    <w:rsid w:val="001C5682"/>
    <w:rsid w:val="001C6E9A"/>
    <w:rsid w:val="001C6F05"/>
    <w:rsid w:val="001C7E91"/>
    <w:rsid w:val="001D0DF5"/>
    <w:rsid w:val="001D2921"/>
    <w:rsid w:val="001D2C1B"/>
    <w:rsid w:val="001D63CE"/>
    <w:rsid w:val="001E3FE8"/>
    <w:rsid w:val="001E5420"/>
    <w:rsid w:val="001E6EC5"/>
    <w:rsid w:val="001E75DB"/>
    <w:rsid w:val="001F0788"/>
    <w:rsid w:val="001F0CBD"/>
    <w:rsid w:val="001F0F35"/>
    <w:rsid w:val="001F110F"/>
    <w:rsid w:val="001F2E29"/>
    <w:rsid w:val="001F3059"/>
    <w:rsid w:val="001F5CCB"/>
    <w:rsid w:val="001F68D6"/>
    <w:rsid w:val="00200E6C"/>
    <w:rsid w:val="00200F22"/>
    <w:rsid w:val="00202081"/>
    <w:rsid w:val="00202822"/>
    <w:rsid w:val="00203593"/>
    <w:rsid w:val="0020481E"/>
    <w:rsid w:val="00205849"/>
    <w:rsid w:val="00212139"/>
    <w:rsid w:val="00213296"/>
    <w:rsid w:val="00215341"/>
    <w:rsid w:val="002204AB"/>
    <w:rsid w:val="002226B3"/>
    <w:rsid w:val="00222CCD"/>
    <w:rsid w:val="00222D67"/>
    <w:rsid w:val="0022409E"/>
    <w:rsid w:val="00225804"/>
    <w:rsid w:val="0022773D"/>
    <w:rsid w:val="00230C1A"/>
    <w:rsid w:val="00231F32"/>
    <w:rsid w:val="00233470"/>
    <w:rsid w:val="002335AE"/>
    <w:rsid w:val="00234255"/>
    <w:rsid w:val="00234A05"/>
    <w:rsid w:val="00236B7B"/>
    <w:rsid w:val="002413ED"/>
    <w:rsid w:val="00244597"/>
    <w:rsid w:val="0024626F"/>
    <w:rsid w:val="0024725E"/>
    <w:rsid w:val="00250AF4"/>
    <w:rsid w:val="00250BD0"/>
    <w:rsid w:val="00252404"/>
    <w:rsid w:val="00254C21"/>
    <w:rsid w:val="00257409"/>
    <w:rsid w:val="002574B4"/>
    <w:rsid w:val="00257D78"/>
    <w:rsid w:val="00260870"/>
    <w:rsid w:val="002620FE"/>
    <w:rsid w:val="002628FD"/>
    <w:rsid w:val="0026607E"/>
    <w:rsid w:val="002729C3"/>
    <w:rsid w:val="00273126"/>
    <w:rsid w:val="00275DB1"/>
    <w:rsid w:val="00280225"/>
    <w:rsid w:val="00280E7D"/>
    <w:rsid w:val="00281C75"/>
    <w:rsid w:val="0028460E"/>
    <w:rsid w:val="00287397"/>
    <w:rsid w:val="00287EF3"/>
    <w:rsid w:val="00290E86"/>
    <w:rsid w:val="00290E90"/>
    <w:rsid w:val="00292823"/>
    <w:rsid w:val="002940F3"/>
    <w:rsid w:val="00294642"/>
    <w:rsid w:val="002A129F"/>
    <w:rsid w:val="002A2E73"/>
    <w:rsid w:val="002A35BE"/>
    <w:rsid w:val="002A3BCE"/>
    <w:rsid w:val="002A6E13"/>
    <w:rsid w:val="002A72FD"/>
    <w:rsid w:val="002B2208"/>
    <w:rsid w:val="002B265D"/>
    <w:rsid w:val="002B3024"/>
    <w:rsid w:val="002B4347"/>
    <w:rsid w:val="002B4A1B"/>
    <w:rsid w:val="002B6BEC"/>
    <w:rsid w:val="002B6FF5"/>
    <w:rsid w:val="002B7348"/>
    <w:rsid w:val="002C072B"/>
    <w:rsid w:val="002C331D"/>
    <w:rsid w:val="002C367B"/>
    <w:rsid w:val="002C36F9"/>
    <w:rsid w:val="002C5C56"/>
    <w:rsid w:val="002C6FC1"/>
    <w:rsid w:val="002D2B84"/>
    <w:rsid w:val="002D30B4"/>
    <w:rsid w:val="002D342C"/>
    <w:rsid w:val="002D4150"/>
    <w:rsid w:val="002D5B1E"/>
    <w:rsid w:val="002D60DC"/>
    <w:rsid w:val="002E12EC"/>
    <w:rsid w:val="002E3262"/>
    <w:rsid w:val="002E3A01"/>
    <w:rsid w:val="002E3EE7"/>
    <w:rsid w:val="002E73D8"/>
    <w:rsid w:val="002F5EA7"/>
    <w:rsid w:val="0030587C"/>
    <w:rsid w:val="00306E99"/>
    <w:rsid w:val="00310A22"/>
    <w:rsid w:val="00311B1A"/>
    <w:rsid w:val="003123C7"/>
    <w:rsid w:val="0031317B"/>
    <w:rsid w:val="003137C5"/>
    <w:rsid w:val="00314E26"/>
    <w:rsid w:val="00315556"/>
    <w:rsid w:val="0031673E"/>
    <w:rsid w:val="00317893"/>
    <w:rsid w:val="0032090C"/>
    <w:rsid w:val="00325179"/>
    <w:rsid w:val="003253DC"/>
    <w:rsid w:val="00325F84"/>
    <w:rsid w:val="003313DF"/>
    <w:rsid w:val="003313FD"/>
    <w:rsid w:val="00332BDF"/>
    <w:rsid w:val="0033334D"/>
    <w:rsid w:val="00334C77"/>
    <w:rsid w:val="00335B28"/>
    <w:rsid w:val="003360A1"/>
    <w:rsid w:val="00336A37"/>
    <w:rsid w:val="00350002"/>
    <w:rsid w:val="00350970"/>
    <w:rsid w:val="0035359D"/>
    <w:rsid w:val="00354056"/>
    <w:rsid w:val="00356655"/>
    <w:rsid w:val="00360910"/>
    <w:rsid w:val="00361A0B"/>
    <w:rsid w:val="00363A0D"/>
    <w:rsid w:val="00366905"/>
    <w:rsid w:val="0037457B"/>
    <w:rsid w:val="003759FA"/>
    <w:rsid w:val="0037687D"/>
    <w:rsid w:val="00377A13"/>
    <w:rsid w:val="00380DDF"/>
    <w:rsid w:val="003811DF"/>
    <w:rsid w:val="003849D0"/>
    <w:rsid w:val="0038585F"/>
    <w:rsid w:val="00386BCE"/>
    <w:rsid w:val="00386FA5"/>
    <w:rsid w:val="00392CD6"/>
    <w:rsid w:val="003941F4"/>
    <w:rsid w:val="00394ACE"/>
    <w:rsid w:val="003A1344"/>
    <w:rsid w:val="003A1BA0"/>
    <w:rsid w:val="003A2E82"/>
    <w:rsid w:val="003B0EC1"/>
    <w:rsid w:val="003B421C"/>
    <w:rsid w:val="003B5EAF"/>
    <w:rsid w:val="003B7B46"/>
    <w:rsid w:val="003C2E3D"/>
    <w:rsid w:val="003C3750"/>
    <w:rsid w:val="003D02B5"/>
    <w:rsid w:val="003D0E05"/>
    <w:rsid w:val="003D23BF"/>
    <w:rsid w:val="003D3E8A"/>
    <w:rsid w:val="003D4A3C"/>
    <w:rsid w:val="003D4B66"/>
    <w:rsid w:val="003D5B31"/>
    <w:rsid w:val="003E2A76"/>
    <w:rsid w:val="003E311B"/>
    <w:rsid w:val="003E39EF"/>
    <w:rsid w:val="003E4A84"/>
    <w:rsid w:val="003E68B1"/>
    <w:rsid w:val="003E787B"/>
    <w:rsid w:val="003E7E50"/>
    <w:rsid w:val="003F0599"/>
    <w:rsid w:val="003F0C9C"/>
    <w:rsid w:val="003F10B8"/>
    <w:rsid w:val="003F1B85"/>
    <w:rsid w:val="003F2CD0"/>
    <w:rsid w:val="003F3DDB"/>
    <w:rsid w:val="003F5C4B"/>
    <w:rsid w:val="003F6DE7"/>
    <w:rsid w:val="004015D2"/>
    <w:rsid w:val="00403AB3"/>
    <w:rsid w:val="0040571C"/>
    <w:rsid w:val="004104D1"/>
    <w:rsid w:val="00412112"/>
    <w:rsid w:val="00412CCE"/>
    <w:rsid w:val="00416A01"/>
    <w:rsid w:val="00420B67"/>
    <w:rsid w:val="00422C97"/>
    <w:rsid w:val="004234B8"/>
    <w:rsid w:val="00423F5F"/>
    <w:rsid w:val="004256C3"/>
    <w:rsid w:val="00426497"/>
    <w:rsid w:val="00427120"/>
    <w:rsid w:val="00430486"/>
    <w:rsid w:val="00432E51"/>
    <w:rsid w:val="00433B6A"/>
    <w:rsid w:val="004361A3"/>
    <w:rsid w:val="0043629E"/>
    <w:rsid w:val="00437926"/>
    <w:rsid w:val="00437F57"/>
    <w:rsid w:val="0044057A"/>
    <w:rsid w:val="0044212C"/>
    <w:rsid w:val="004425C3"/>
    <w:rsid w:val="00443931"/>
    <w:rsid w:val="0044519D"/>
    <w:rsid w:val="00447954"/>
    <w:rsid w:val="00447F74"/>
    <w:rsid w:val="00450E8A"/>
    <w:rsid w:val="004514C1"/>
    <w:rsid w:val="00454954"/>
    <w:rsid w:val="00455526"/>
    <w:rsid w:val="004641F3"/>
    <w:rsid w:val="004657FD"/>
    <w:rsid w:val="00471A87"/>
    <w:rsid w:val="004722CF"/>
    <w:rsid w:val="0047230A"/>
    <w:rsid w:val="0047357B"/>
    <w:rsid w:val="004752FA"/>
    <w:rsid w:val="004761D2"/>
    <w:rsid w:val="00476C9D"/>
    <w:rsid w:val="00477043"/>
    <w:rsid w:val="004805C1"/>
    <w:rsid w:val="0048096D"/>
    <w:rsid w:val="00481566"/>
    <w:rsid w:val="00482FDA"/>
    <w:rsid w:val="004849BC"/>
    <w:rsid w:val="004867F0"/>
    <w:rsid w:val="004871BA"/>
    <w:rsid w:val="00487C84"/>
    <w:rsid w:val="00490AF5"/>
    <w:rsid w:val="00491225"/>
    <w:rsid w:val="00493B22"/>
    <w:rsid w:val="00493EE1"/>
    <w:rsid w:val="004A206E"/>
    <w:rsid w:val="004A3BDF"/>
    <w:rsid w:val="004A3E38"/>
    <w:rsid w:val="004B5C0B"/>
    <w:rsid w:val="004B5DC0"/>
    <w:rsid w:val="004B675F"/>
    <w:rsid w:val="004C0E3C"/>
    <w:rsid w:val="004C2851"/>
    <w:rsid w:val="004C37EF"/>
    <w:rsid w:val="004C3F74"/>
    <w:rsid w:val="004C6089"/>
    <w:rsid w:val="004C791C"/>
    <w:rsid w:val="004D0A37"/>
    <w:rsid w:val="004D38B6"/>
    <w:rsid w:val="004D5725"/>
    <w:rsid w:val="004D7C81"/>
    <w:rsid w:val="004E2897"/>
    <w:rsid w:val="004E29C3"/>
    <w:rsid w:val="004E5D2D"/>
    <w:rsid w:val="004E7983"/>
    <w:rsid w:val="004F0CA1"/>
    <w:rsid w:val="004F6C72"/>
    <w:rsid w:val="00501AEE"/>
    <w:rsid w:val="00504463"/>
    <w:rsid w:val="00504876"/>
    <w:rsid w:val="0050743A"/>
    <w:rsid w:val="00507454"/>
    <w:rsid w:val="0051148C"/>
    <w:rsid w:val="00511535"/>
    <w:rsid w:val="00511E34"/>
    <w:rsid w:val="00511E4F"/>
    <w:rsid w:val="005130CF"/>
    <w:rsid w:val="005130FA"/>
    <w:rsid w:val="00514392"/>
    <w:rsid w:val="00514C24"/>
    <w:rsid w:val="00515558"/>
    <w:rsid w:val="005155E1"/>
    <w:rsid w:val="005156F7"/>
    <w:rsid w:val="005159F9"/>
    <w:rsid w:val="00515CFA"/>
    <w:rsid w:val="00516737"/>
    <w:rsid w:val="00516E8C"/>
    <w:rsid w:val="005202EA"/>
    <w:rsid w:val="005207BA"/>
    <w:rsid w:val="00520CAD"/>
    <w:rsid w:val="00522625"/>
    <w:rsid w:val="005227B2"/>
    <w:rsid w:val="00522A20"/>
    <w:rsid w:val="00526654"/>
    <w:rsid w:val="00527749"/>
    <w:rsid w:val="0053201C"/>
    <w:rsid w:val="00533996"/>
    <w:rsid w:val="0053472C"/>
    <w:rsid w:val="00536FE4"/>
    <w:rsid w:val="005411EB"/>
    <w:rsid w:val="00541DB7"/>
    <w:rsid w:val="005427B3"/>
    <w:rsid w:val="00544603"/>
    <w:rsid w:val="00544C00"/>
    <w:rsid w:val="005455A2"/>
    <w:rsid w:val="00545AAB"/>
    <w:rsid w:val="00547842"/>
    <w:rsid w:val="00550A3D"/>
    <w:rsid w:val="0055227E"/>
    <w:rsid w:val="005526CB"/>
    <w:rsid w:val="00552B52"/>
    <w:rsid w:val="00553193"/>
    <w:rsid w:val="0055602D"/>
    <w:rsid w:val="0056010A"/>
    <w:rsid w:val="00561FA4"/>
    <w:rsid w:val="00562394"/>
    <w:rsid w:val="005625A9"/>
    <w:rsid w:val="00562C97"/>
    <w:rsid w:val="00567362"/>
    <w:rsid w:val="00570670"/>
    <w:rsid w:val="00571720"/>
    <w:rsid w:val="00575210"/>
    <w:rsid w:val="005755D8"/>
    <w:rsid w:val="005768FA"/>
    <w:rsid w:val="00584D12"/>
    <w:rsid w:val="00590594"/>
    <w:rsid w:val="00594276"/>
    <w:rsid w:val="0059553C"/>
    <w:rsid w:val="005A26EF"/>
    <w:rsid w:val="005A3AD7"/>
    <w:rsid w:val="005A5F91"/>
    <w:rsid w:val="005B307A"/>
    <w:rsid w:val="005B3AE5"/>
    <w:rsid w:val="005B3C1C"/>
    <w:rsid w:val="005B4AC5"/>
    <w:rsid w:val="005B59B3"/>
    <w:rsid w:val="005B7A8B"/>
    <w:rsid w:val="005B7FDA"/>
    <w:rsid w:val="005C0364"/>
    <w:rsid w:val="005C176C"/>
    <w:rsid w:val="005C285E"/>
    <w:rsid w:val="005C3771"/>
    <w:rsid w:val="005C52A4"/>
    <w:rsid w:val="005D1297"/>
    <w:rsid w:val="005D18D1"/>
    <w:rsid w:val="005D5764"/>
    <w:rsid w:val="005E03CA"/>
    <w:rsid w:val="005E0A90"/>
    <w:rsid w:val="005E388A"/>
    <w:rsid w:val="005E3C9D"/>
    <w:rsid w:val="005E6E07"/>
    <w:rsid w:val="005F1370"/>
    <w:rsid w:val="005F2255"/>
    <w:rsid w:val="005F4B8E"/>
    <w:rsid w:val="005F4DCC"/>
    <w:rsid w:val="005F62B4"/>
    <w:rsid w:val="005F6C30"/>
    <w:rsid w:val="00600EFF"/>
    <w:rsid w:val="00603E22"/>
    <w:rsid w:val="006040DE"/>
    <w:rsid w:val="0060415F"/>
    <w:rsid w:val="006047E3"/>
    <w:rsid w:val="006050D0"/>
    <w:rsid w:val="00610ED8"/>
    <w:rsid w:val="00611F22"/>
    <w:rsid w:val="006120BF"/>
    <w:rsid w:val="00612914"/>
    <w:rsid w:val="00612CE0"/>
    <w:rsid w:val="00614159"/>
    <w:rsid w:val="0061464E"/>
    <w:rsid w:val="00615B87"/>
    <w:rsid w:val="00616618"/>
    <w:rsid w:val="00616D6E"/>
    <w:rsid w:val="00617929"/>
    <w:rsid w:val="006212F8"/>
    <w:rsid w:val="00622CE5"/>
    <w:rsid w:val="0062432C"/>
    <w:rsid w:val="00624795"/>
    <w:rsid w:val="00627C67"/>
    <w:rsid w:val="0063011C"/>
    <w:rsid w:val="00630B48"/>
    <w:rsid w:val="0063190F"/>
    <w:rsid w:val="00631C4D"/>
    <w:rsid w:val="0063543E"/>
    <w:rsid w:val="00636AAE"/>
    <w:rsid w:val="00641231"/>
    <w:rsid w:val="006414FE"/>
    <w:rsid w:val="00641683"/>
    <w:rsid w:val="00643DD1"/>
    <w:rsid w:val="006444D1"/>
    <w:rsid w:val="00646415"/>
    <w:rsid w:val="00650D5D"/>
    <w:rsid w:val="006516C7"/>
    <w:rsid w:val="006550E4"/>
    <w:rsid w:val="00655333"/>
    <w:rsid w:val="00655E2E"/>
    <w:rsid w:val="0065739A"/>
    <w:rsid w:val="00660316"/>
    <w:rsid w:val="00664929"/>
    <w:rsid w:val="00664FCE"/>
    <w:rsid w:val="00665EBF"/>
    <w:rsid w:val="0066782B"/>
    <w:rsid w:val="00667ABC"/>
    <w:rsid w:val="00667B7E"/>
    <w:rsid w:val="006702EE"/>
    <w:rsid w:val="00670329"/>
    <w:rsid w:val="00673A27"/>
    <w:rsid w:val="00674965"/>
    <w:rsid w:val="006809D8"/>
    <w:rsid w:val="00680E2C"/>
    <w:rsid w:val="006813EB"/>
    <w:rsid w:val="00681D48"/>
    <w:rsid w:val="00684166"/>
    <w:rsid w:val="0068633D"/>
    <w:rsid w:val="00686C59"/>
    <w:rsid w:val="0068774C"/>
    <w:rsid w:val="00687D7A"/>
    <w:rsid w:val="00690043"/>
    <w:rsid w:val="00690D3D"/>
    <w:rsid w:val="006919D4"/>
    <w:rsid w:val="00694FC2"/>
    <w:rsid w:val="006962F5"/>
    <w:rsid w:val="006A019D"/>
    <w:rsid w:val="006A2A8C"/>
    <w:rsid w:val="006A2C52"/>
    <w:rsid w:val="006A2E90"/>
    <w:rsid w:val="006A3277"/>
    <w:rsid w:val="006A35F1"/>
    <w:rsid w:val="006A3DE3"/>
    <w:rsid w:val="006B0DA3"/>
    <w:rsid w:val="006B3EE5"/>
    <w:rsid w:val="006B7931"/>
    <w:rsid w:val="006B7EED"/>
    <w:rsid w:val="006C297C"/>
    <w:rsid w:val="006C39D2"/>
    <w:rsid w:val="006C78F3"/>
    <w:rsid w:val="006C7F81"/>
    <w:rsid w:val="006D2339"/>
    <w:rsid w:val="006D531A"/>
    <w:rsid w:val="006D57A6"/>
    <w:rsid w:val="006E0CFD"/>
    <w:rsid w:val="006E1A47"/>
    <w:rsid w:val="006E1EA2"/>
    <w:rsid w:val="006E319B"/>
    <w:rsid w:val="006E36FF"/>
    <w:rsid w:val="006E3911"/>
    <w:rsid w:val="006E4B55"/>
    <w:rsid w:val="006E4CF6"/>
    <w:rsid w:val="006E55E4"/>
    <w:rsid w:val="006E602E"/>
    <w:rsid w:val="006E6F2A"/>
    <w:rsid w:val="006E757D"/>
    <w:rsid w:val="006E7E78"/>
    <w:rsid w:val="006F0680"/>
    <w:rsid w:val="006F1161"/>
    <w:rsid w:val="006F30DE"/>
    <w:rsid w:val="006F3C75"/>
    <w:rsid w:val="006F600B"/>
    <w:rsid w:val="006F6C3A"/>
    <w:rsid w:val="00700622"/>
    <w:rsid w:val="0070165A"/>
    <w:rsid w:val="00702341"/>
    <w:rsid w:val="00703F6F"/>
    <w:rsid w:val="007041B8"/>
    <w:rsid w:val="0070595B"/>
    <w:rsid w:val="00706C71"/>
    <w:rsid w:val="00707B9A"/>
    <w:rsid w:val="007117D7"/>
    <w:rsid w:val="00712759"/>
    <w:rsid w:val="00713992"/>
    <w:rsid w:val="00713C88"/>
    <w:rsid w:val="00715A6D"/>
    <w:rsid w:val="00717CA0"/>
    <w:rsid w:val="00720D7D"/>
    <w:rsid w:val="007216DE"/>
    <w:rsid w:val="00721C86"/>
    <w:rsid w:val="00723673"/>
    <w:rsid w:val="00723CA6"/>
    <w:rsid w:val="007262BB"/>
    <w:rsid w:val="0073126A"/>
    <w:rsid w:val="00731D63"/>
    <w:rsid w:val="0073298F"/>
    <w:rsid w:val="007336BA"/>
    <w:rsid w:val="0074059A"/>
    <w:rsid w:val="007405E6"/>
    <w:rsid w:val="00741D9F"/>
    <w:rsid w:val="007427AA"/>
    <w:rsid w:val="00744DB0"/>
    <w:rsid w:val="007457D2"/>
    <w:rsid w:val="007460C6"/>
    <w:rsid w:val="007475DD"/>
    <w:rsid w:val="00750995"/>
    <w:rsid w:val="00750AEF"/>
    <w:rsid w:val="0075226B"/>
    <w:rsid w:val="007529D1"/>
    <w:rsid w:val="00752DEB"/>
    <w:rsid w:val="00756953"/>
    <w:rsid w:val="00756CB5"/>
    <w:rsid w:val="007607CE"/>
    <w:rsid w:val="00760FCC"/>
    <w:rsid w:val="00762021"/>
    <w:rsid w:val="007620CD"/>
    <w:rsid w:val="00767047"/>
    <w:rsid w:val="00770EB3"/>
    <w:rsid w:val="00771DAC"/>
    <w:rsid w:val="00773343"/>
    <w:rsid w:val="007735F5"/>
    <w:rsid w:val="007746CC"/>
    <w:rsid w:val="00776020"/>
    <w:rsid w:val="00776247"/>
    <w:rsid w:val="00777C99"/>
    <w:rsid w:val="00780609"/>
    <w:rsid w:val="007813D3"/>
    <w:rsid w:val="00785AC1"/>
    <w:rsid w:val="007865E6"/>
    <w:rsid w:val="00786DCD"/>
    <w:rsid w:val="0078732B"/>
    <w:rsid w:val="0079017B"/>
    <w:rsid w:val="007904F6"/>
    <w:rsid w:val="00790BBB"/>
    <w:rsid w:val="007936E6"/>
    <w:rsid w:val="0079507E"/>
    <w:rsid w:val="007950FA"/>
    <w:rsid w:val="0079769B"/>
    <w:rsid w:val="007A0159"/>
    <w:rsid w:val="007A1EB2"/>
    <w:rsid w:val="007A3745"/>
    <w:rsid w:val="007A5108"/>
    <w:rsid w:val="007A5D4D"/>
    <w:rsid w:val="007B3C10"/>
    <w:rsid w:val="007B6EA0"/>
    <w:rsid w:val="007C1A75"/>
    <w:rsid w:val="007C21A9"/>
    <w:rsid w:val="007C5E36"/>
    <w:rsid w:val="007C7864"/>
    <w:rsid w:val="007C7EA1"/>
    <w:rsid w:val="007D12B7"/>
    <w:rsid w:val="007D1C8D"/>
    <w:rsid w:val="007D3282"/>
    <w:rsid w:val="007D3D2B"/>
    <w:rsid w:val="007D3D7C"/>
    <w:rsid w:val="007D489C"/>
    <w:rsid w:val="007D5EB3"/>
    <w:rsid w:val="007E123B"/>
    <w:rsid w:val="007E3489"/>
    <w:rsid w:val="007E7AD4"/>
    <w:rsid w:val="007E7C6C"/>
    <w:rsid w:val="007F52C7"/>
    <w:rsid w:val="007F61B9"/>
    <w:rsid w:val="007F6836"/>
    <w:rsid w:val="007F6DEC"/>
    <w:rsid w:val="007F78C1"/>
    <w:rsid w:val="00800354"/>
    <w:rsid w:val="008028DE"/>
    <w:rsid w:val="008057E1"/>
    <w:rsid w:val="008143E6"/>
    <w:rsid w:val="00815FA3"/>
    <w:rsid w:val="008179C0"/>
    <w:rsid w:val="00821BE1"/>
    <w:rsid w:val="00822588"/>
    <w:rsid w:val="00823BA7"/>
    <w:rsid w:val="0082609E"/>
    <w:rsid w:val="0083007F"/>
    <w:rsid w:val="008321BA"/>
    <w:rsid w:val="0083270C"/>
    <w:rsid w:val="00832876"/>
    <w:rsid w:val="008341FB"/>
    <w:rsid w:val="00835B07"/>
    <w:rsid w:val="0083677C"/>
    <w:rsid w:val="00837D1B"/>
    <w:rsid w:val="008401B7"/>
    <w:rsid w:val="00841D7C"/>
    <w:rsid w:val="0084344A"/>
    <w:rsid w:val="00843E95"/>
    <w:rsid w:val="00845A19"/>
    <w:rsid w:val="008525DF"/>
    <w:rsid w:val="00855B00"/>
    <w:rsid w:val="00860346"/>
    <w:rsid w:val="00860AD3"/>
    <w:rsid w:val="00861399"/>
    <w:rsid w:val="00861F64"/>
    <w:rsid w:val="00863938"/>
    <w:rsid w:val="00864A90"/>
    <w:rsid w:val="00865FAC"/>
    <w:rsid w:val="00866D1F"/>
    <w:rsid w:val="00870BB5"/>
    <w:rsid w:val="0087170A"/>
    <w:rsid w:val="00871E6B"/>
    <w:rsid w:val="00874F0B"/>
    <w:rsid w:val="0087792F"/>
    <w:rsid w:val="00881452"/>
    <w:rsid w:val="00882632"/>
    <w:rsid w:val="00890911"/>
    <w:rsid w:val="008951F1"/>
    <w:rsid w:val="00897638"/>
    <w:rsid w:val="008A067C"/>
    <w:rsid w:val="008A0EC7"/>
    <w:rsid w:val="008A1FCF"/>
    <w:rsid w:val="008A325C"/>
    <w:rsid w:val="008A47E7"/>
    <w:rsid w:val="008A4E6E"/>
    <w:rsid w:val="008B1ADF"/>
    <w:rsid w:val="008B2F43"/>
    <w:rsid w:val="008B448E"/>
    <w:rsid w:val="008B7412"/>
    <w:rsid w:val="008B7BCC"/>
    <w:rsid w:val="008C30CE"/>
    <w:rsid w:val="008C3401"/>
    <w:rsid w:val="008C3458"/>
    <w:rsid w:val="008C61B8"/>
    <w:rsid w:val="008C6423"/>
    <w:rsid w:val="008C728B"/>
    <w:rsid w:val="008D12E3"/>
    <w:rsid w:val="008D2904"/>
    <w:rsid w:val="008D2B1F"/>
    <w:rsid w:val="008D2FD2"/>
    <w:rsid w:val="008D3177"/>
    <w:rsid w:val="008D3264"/>
    <w:rsid w:val="008D5D28"/>
    <w:rsid w:val="008E224D"/>
    <w:rsid w:val="008E6021"/>
    <w:rsid w:val="008E6598"/>
    <w:rsid w:val="008E78DF"/>
    <w:rsid w:val="008F03D0"/>
    <w:rsid w:val="008F11C0"/>
    <w:rsid w:val="008F2362"/>
    <w:rsid w:val="008F32CC"/>
    <w:rsid w:val="008F4B14"/>
    <w:rsid w:val="009013A4"/>
    <w:rsid w:val="00902554"/>
    <w:rsid w:val="00902B44"/>
    <w:rsid w:val="00903D99"/>
    <w:rsid w:val="0090572E"/>
    <w:rsid w:val="00907BF7"/>
    <w:rsid w:val="00912E6D"/>
    <w:rsid w:val="00915881"/>
    <w:rsid w:val="00917AA5"/>
    <w:rsid w:val="009221A2"/>
    <w:rsid w:val="009273AA"/>
    <w:rsid w:val="00927E11"/>
    <w:rsid w:val="0093061E"/>
    <w:rsid w:val="00930EF5"/>
    <w:rsid w:val="00931CDC"/>
    <w:rsid w:val="009349C6"/>
    <w:rsid w:val="0093561D"/>
    <w:rsid w:val="00936680"/>
    <w:rsid w:val="00937A88"/>
    <w:rsid w:val="0094209A"/>
    <w:rsid w:val="00943BC9"/>
    <w:rsid w:val="00946196"/>
    <w:rsid w:val="009478A0"/>
    <w:rsid w:val="00950A09"/>
    <w:rsid w:val="009546CF"/>
    <w:rsid w:val="00955781"/>
    <w:rsid w:val="00960024"/>
    <w:rsid w:val="009613EB"/>
    <w:rsid w:val="00966324"/>
    <w:rsid w:val="0097024B"/>
    <w:rsid w:val="0097168D"/>
    <w:rsid w:val="00971BA6"/>
    <w:rsid w:val="00974A70"/>
    <w:rsid w:val="00975209"/>
    <w:rsid w:val="00977842"/>
    <w:rsid w:val="009811E2"/>
    <w:rsid w:val="00981323"/>
    <w:rsid w:val="009824AC"/>
    <w:rsid w:val="00982E10"/>
    <w:rsid w:val="00982F4F"/>
    <w:rsid w:val="0098683B"/>
    <w:rsid w:val="00987AD1"/>
    <w:rsid w:val="0099262F"/>
    <w:rsid w:val="00993916"/>
    <w:rsid w:val="00994D69"/>
    <w:rsid w:val="009A297C"/>
    <w:rsid w:val="009A3298"/>
    <w:rsid w:val="009B0065"/>
    <w:rsid w:val="009B1B10"/>
    <w:rsid w:val="009B55E1"/>
    <w:rsid w:val="009B7837"/>
    <w:rsid w:val="009B78FB"/>
    <w:rsid w:val="009C078D"/>
    <w:rsid w:val="009C5782"/>
    <w:rsid w:val="009C6C23"/>
    <w:rsid w:val="009D0ABF"/>
    <w:rsid w:val="009D35A8"/>
    <w:rsid w:val="009D4E67"/>
    <w:rsid w:val="009E1777"/>
    <w:rsid w:val="009E23A8"/>
    <w:rsid w:val="009E3985"/>
    <w:rsid w:val="009E39DF"/>
    <w:rsid w:val="009E422E"/>
    <w:rsid w:val="009E590F"/>
    <w:rsid w:val="009E5D59"/>
    <w:rsid w:val="009E7C97"/>
    <w:rsid w:val="009F0559"/>
    <w:rsid w:val="009F0F1E"/>
    <w:rsid w:val="009F1FA0"/>
    <w:rsid w:val="009F65CF"/>
    <w:rsid w:val="00A068EA"/>
    <w:rsid w:val="00A13FD2"/>
    <w:rsid w:val="00A16641"/>
    <w:rsid w:val="00A17B8F"/>
    <w:rsid w:val="00A20628"/>
    <w:rsid w:val="00A2101B"/>
    <w:rsid w:val="00A22ABC"/>
    <w:rsid w:val="00A24AA1"/>
    <w:rsid w:val="00A2509D"/>
    <w:rsid w:val="00A26CEB"/>
    <w:rsid w:val="00A27F7A"/>
    <w:rsid w:val="00A336B6"/>
    <w:rsid w:val="00A34143"/>
    <w:rsid w:val="00A347A0"/>
    <w:rsid w:val="00A34810"/>
    <w:rsid w:val="00A34ED4"/>
    <w:rsid w:val="00A372DD"/>
    <w:rsid w:val="00A40AE1"/>
    <w:rsid w:val="00A411A1"/>
    <w:rsid w:val="00A434FD"/>
    <w:rsid w:val="00A45D1E"/>
    <w:rsid w:val="00A4727D"/>
    <w:rsid w:val="00A5194E"/>
    <w:rsid w:val="00A53773"/>
    <w:rsid w:val="00A548C4"/>
    <w:rsid w:val="00A573EF"/>
    <w:rsid w:val="00A60DD0"/>
    <w:rsid w:val="00A63631"/>
    <w:rsid w:val="00A64558"/>
    <w:rsid w:val="00A65A35"/>
    <w:rsid w:val="00A711D6"/>
    <w:rsid w:val="00A73B34"/>
    <w:rsid w:val="00A7573E"/>
    <w:rsid w:val="00A80792"/>
    <w:rsid w:val="00A80A31"/>
    <w:rsid w:val="00A80EFC"/>
    <w:rsid w:val="00A83345"/>
    <w:rsid w:val="00A8518C"/>
    <w:rsid w:val="00A85468"/>
    <w:rsid w:val="00A9134D"/>
    <w:rsid w:val="00A92F76"/>
    <w:rsid w:val="00A9370C"/>
    <w:rsid w:val="00A94204"/>
    <w:rsid w:val="00A966FF"/>
    <w:rsid w:val="00A97CAF"/>
    <w:rsid w:val="00AA1088"/>
    <w:rsid w:val="00AB070F"/>
    <w:rsid w:val="00AB2C2D"/>
    <w:rsid w:val="00AB521C"/>
    <w:rsid w:val="00AB7070"/>
    <w:rsid w:val="00AB7D3A"/>
    <w:rsid w:val="00AC1811"/>
    <w:rsid w:val="00AC3347"/>
    <w:rsid w:val="00AC49DD"/>
    <w:rsid w:val="00AC58C6"/>
    <w:rsid w:val="00AD0BCA"/>
    <w:rsid w:val="00AD247E"/>
    <w:rsid w:val="00AD3253"/>
    <w:rsid w:val="00AD5043"/>
    <w:rsid w:val="00AD5DA8"/>
    <w:rsid w:val="00AD736D"/>
    <w:rsid w:val="00AE0681"/>
    <w:rsid w:val="00AE3B68"/>
    <w:rsid w:val="00AE4356"/>
    <w:rsid w:val="00AE53EF"/>
    <w:rsid w:val="00AE5A6A"/>
    <w:rsid w:val="00AE6765"/>
    <w:rsid w:val="00AF0099"/>
    <w:rsid w:val="00AF11A5"/>
    <w:rsid w:val="00AF34F8"/>
    <w:rsid w:val="00AF4FCF"/>
    <w:rsid w:val="00AF52C4"/>
    <w:rsid w:val="00AF72FF"/>
    <w:rsid w:val="00B00FA7"/>
    <w:rsid w:val="00B0165D"/>
    <w:rsid w:val="00B0472E"/>
    <w:rsid w:val="00B0762A"/>
    <w:rsid w:val="00B10492"/>
    <w:rsid w:val="00B11DAB"/>
    <w:rsid w:val="00B1270A"/>
    <w:rsid w:val="00B13AFA"/>
    <w:rsid w:val="00B15628"/>
    <w:rsid w:val="00B168EE"/>
    <w:rsid w:val="00B20B12"/>
    <w:rsid w:val="00B229FA"/>
    <w:rsid w:val="00B233C2"/>
    <w:rsid w:val="00B27154"/>
    <w:rsid w:val="00B33AC3"/>
    <w:rsid w:val="00B34C52"/>
    <w:rsid w:val="00B36308"/>
    <w:rsid w:val="00B402BC"/>
    <w:rsid w:val="00B40488"/>
    <w:rsid w:val="00B41229"/>
    <w:rsid w:val="00B42141"/>
    <w:rsid w:val="00B42810"/>
    <w:rsid w:val="00B42D44"/>
    <w:rsid w:val="00B43F62"/>
    <w:rsid w:val="00B472C8"/>
    <w:rsid w:val="00B51209"/>
    <w:rsid w:val="00B51952"/>
    <w:rsid w:val="00B53C6B"/>
    <w:rsid w:val="00B53DAD"/>
    <w:rsid w:val="00B5492A"/>
    <w:rsid w:val="00B5680C"/>
    <w:rsid w:val="00B57384"/>
    <w:rsid w:val="00B61185"/>
    <w:rsid w:val="00B63879"/>
    <w:rsid w:val="00B63BAA"/>
    <w:rsid w:val="00B643ED"/>
    <w:rsid w:val="00B6498C"/>
    <w:rsid w:val="00B65C7A"/>
    <w:rsid w:val="00B67F61"/>
    <w:rsid w:val="00B71D40"/>
    <w:rsid w:val="00B72D10"/>
    <w:rsid w:val="00B7342F"/>
    <w:rsid w:val="00B73EF0"/>
    <w:rsid w:val="00B74022"/>
    <w:rsid w:val="00B766D4"/>
    <w:rsid w:val="00B77E3F"/>
    <w:rsid w:val="00B8020D"/>
    <w:rsid w:val="00B8471A"/>
    <w:rsid w:val="00B847D9"/>
    <w:rsid w:val="00B853E0"/>
    <w:rsid w:val="00B87FBC"/>
    <w:rsid w:val="00B9264F"/>
    <w:rsid w:val="00B937E5"/>
    <w:rsid w:val="00B93979"/>
    <w:rsid w:val="00B940EB"/>
    <w:rsid w:val="00B944B1"/>
    <w:rsid w:val="00B950E3"/>
    <w:rsid w:val="00BA3871"/>
    <w:rsid w:val="00BA40FF"/>
    <w:rsid w:val="00BA5D62"/>
    <w:rsid w:val="00BA7465"/>
    <w:rsid w:val="00BA7926"/>
    <w:rsid w:val="00BA7BAD"/>
    <w:rsid w:val="00BB1F91"/>
    <w:rsid w:val="00BB2188"/>
    <w:rsid w:val="00BB42C7"/>
    <w:rsid w:val="00BB49DE"/>
    <w:rsid w:val="00BB5F58"/>
    <w:rsid w:val="00BB6A7A"/>
    <w:rsid w:val="00BC19F2"/>
    <w:rsid w:val="00BC3E38"/>
    <w:rsid w:val="00BC58A7"/>
    <w:rsid w:val="00BC5B66"/>
    <w:rsid w:val="00BC6604"/>
    <w:rsid w:val="00BD1854"/>
    <w:rsid w:val="00BD1BED"/>
    <w:rsid w:val="00BD47AE"/>
    <w:rsid w:val="00BE6ACD"/>
    <w:rsid w:val="00BF166C"/>
    <w:rsid w:val="00BF2778"/>
    <w:rsid w:val="00BF5050"/>
    <w:rsid w:val="00BF6345"/>
    <w:rsid w:val="00BF7301"/>
    <w:rsid w:val="00BF742D"/>
    <w:rsid w:val="00C00DC4"/>
    <w:rsid w:val="00C00F9A"/>
    <w:rsid w:val="00C0424B"/>
    <w:rsid w:val="00C052F6"/>
    <w:rsid w:val="00C1107A"/>
    <w:rsid w:val="00C11573"/>
    <w:rsid w:val="00C15689"/>
    <w:rsid w:val="00C17676"/>
    <w:rsid w:val="00C202DD"/>
    <w:rsid w:val="00C20781"/>
    <w:rsid w:val="00C21847"/>
    <w:rsid w:val="00C2230D"/>
    <w:rsid w:val="00C228DE"/>
    <w:rsid w:val="00C24010"/>
    <w:rsid w:val="00C303AA"/>
    <w:rsid w:val="00C32233"/>
    <w:rsid w:val="00C325E5"/>
    <w:rsid w:val="00C35902"/>
    <w:rsid w:val="00C372B1"/>
    <w:rsid w:val="00C3773A"/>
    <w:rsid w:val="00C4234E"/>
    <w:rsid w:val="00C435B5"/>
    <w:rsid w:val="00C450CD"/>
    <w:rsid w:val="00C451BF"/>
    <w:rsid w:val="00C4777C"/>
    <w:rsid w:val="00C47D9E"/>
    <w:rsid w:val="00C520B5"/>
    <w:rsid w:val="00C52734"/>
    <w:rsid w:val="00C548B7"/>
    <w:rsid w:val="00C56027"/>
    <w:rsid w:val="00C57AF1"/>
    <w:rsid w:val="00C62E5C"/>
    <w:rsid w:val="00C641B7"/>
    <w:rsid w:val="00C670E1"/>
    <w:rsid w:val="00C712E5"/>
    <w:rsid w:val="00C71356"/>
    <w:rsid w:val="00C72E85"/>
    <w:rsid w:val="00C75E81"/>
    <w:rsid w:val="00C80772"/>
    <w:rsid w:val="00C82D5C"/>
    <w:rsid w:val="00C83897"/>
    <w:rsid w:val="00C83A2C"/>
    <w:rsid w:val="00C90615"/>
    <w:rsid w:val="00C919AF"/>
    <w:rsid w:val="00C93054"/>
    <w:rsid w:val="00C94237"/>
    <w:rsid w:val="00C971A8"/>
    <w:rsid w:val="00C97F3C"/>
    <w:rsid w:val="00CA228C"/>
    <w:rsid w:val="00CA77F8"/>
    <w:rsid w:val="00CA7B23"/>
    <w:rsid w:val="00CB084B"/>
    <w:rsid w:val="00CB09B3"/>
    <w:rsid w:val="00CB0A2B"/>
    <w:rsid w:val="00CB1EDD"/>
    <w:rsid w:val="00CB2CDB"/>
    <w:rsid w:val="00CB2E77"/>
    <w:rsid w:val="00CB56A9"/>
    <w:rsid w:val="00CB79A3"/>
    <w:rsid w:val="00CB7D6B"/>
    <w:rsid w:val="00CC0186"/>
    <w:rsid w:val="00CC2A69"/>
    <w:rsid w:val="00CC39E1"/>
    <w:rsid w:val="00CC6BFE"/>
    <w:rsid w:val="00CC790B"/>
    <w:rsid w:val="00CC7ED1"/>
    <w:rsid w:val="00CC7F86"/>
    <w:rsid w:val="00CD2907"/>
    <w:rsid w:val="00CD4968"/>
    <w:rsid w:val="00CD55DB"/>
    <w:rsid w:val="00CE1E53"/>
    <w:rsid w:val="00CE2B58"/>
    <w:rsid w:val="00CE4F14"/>
    <w:rsid w:val="00CE55DD"/>
    <w:rsid w:val="00CE7835"/>
    <w:rsid w:val="00CF30B2"/>
    <w:rsid w:val="00CF5086"/>
    <w:rsid w:val="00CF5E6E"/>
    <w:rsid w:val="00CF61C5"/>
    <w:rsid w:val="00CF699D"/>
    <w:rsid w:val="00CF7A12"/>
    <w:rsid w:val="00CF7EC4"/>
    <w:rsid w:val="00D00E4C"/>
    <w:rsid w:val="00D010A8"/>
    <w:rsid w:val="00D03FD8"/>
    <w:rsid w:val="00D05849"/>
    <w:rsid w:val="00D10453"/>
    <w:rsid w:val="00D10CD5"/>
    <w:rsid w:val="00D10FF4"/>
    <w:rsid w:val="00D11A5C"/>
    <w:rsid w:val="00D11C4E"/>
    <w:rsid w:val="00D122E5"/>
    <w:rsid w:val="00D13F23"/>
    <w:rsid w:val="00D1566B"/>
    <w:rsid w:val="00D15744"/>
    <w:rsid w:val="00D164F4"/>
    <w:rsid w:val="00D1716E"/>
    <w:rsid w:val="00D173A7"/>
    <w:rsid w:val="00D17654"/>
    <w:rsid w:val="00D2083A"/>
    <w:rsid w:val="00D221EE"/>
    <w:rsid w:val="00D2436B"/>
    <w:rsid w:val="00D2469D"/>
    <w:rsid w:val="00D25812"/>
    <w:rsid w:val="00D27015"/>
    <w:rsid w:val="00D31678"/>
    <w:rsid w:val="00D337A9"/>
    <w:rsid w:val="00D33A6E"/>
    <w:rsid w:val="00D33D4A"/>
    <w:rsid w:val="00D35384"/>
    <w:rsid w:val="00D357A5"/>
    <w:rsid w:val="00D37368"/>
    <w:rsid w:val="00D37BB8"/>
    <w:rsid w:val="00D41B1D"/>
    <w:rsid w:val="00D4266E"/>
    <w:rsid w:val="00D43AE4"/>
    <w:rsid w:val="00D450F5"/>
    <w:rsid w:val="00D454ED"/>
    <w:rsid w:val="00D47946"/>
    <w:rsid w:val="00D4795D"/>
    <w:rsid w:val="00D57637"/>
    <w:rsid w:val="00D616FF"/>
    <w:rsid w:val="00D640D5"/>
    <w:rsid w:val="00D661D3"/>
    <w:rsid w:val="00D66D86"/>
    <w:rsid w:val="00D678F2"/>
    <w:rsid w:val="00D71268"/>
    <w:rsid w:val="00D71D33"/>
    <w:rsid w:val="00D830E3"/>
    <w:rsid w:val="00D845FF"/>
    <w:rsid w:val="00D857F3"/>
    <w:rsid w:val="00D862A8"/>
    <w:rsid w:val="00D875F5"/>
    <w:rsid w:val="00D8796D"/>
    <w:rsid w:val="00D90934"/>
    <w:rsid w:val="00D92F56"/>
    <w:rsid w:val="00D93F25"/>
    <w:rsid w:val="00D942DA"/>
    <w:rsid w:val="00D955E9"/>
    <w:rsid w:val="00D96945"/>
    <w:rsid w:val="00DA19ED"/>
    <w:rsid w:val="00DA1D7C"/>
    <w:rsid w:val="00DA2CB5"/>
    <w:rsid w:val="00DA5A6A"/>
    <w:rsid w:val="00DA6562"/>
    <w:rsid w:val="00DA6A98"/>
    <w:rsid w:val="00DA7035"/>
    <w:rsid w:val="00DB4616"/>
    <w:rsid w:val="00DB6B4C"/>
    <w:rsid w:val="00DC1379"/>
    <w:rsid w:val="00DC348E"/>
    <w:rsid w:val="00DC55C6"/>
    <w:rsid w:val="00DC6620"/>
    <w:rsid w:val="00DD257B"/>
    <w:rsid w:val="00DD4727"/>
    <w:rsid w:val="00DD69E1"/>
    <w:rsid w:val="00DD7303"/>
    <w:rsid w:val="00DE1E6F"/>
    <w:rsid w:val="00DE1F71"/>
    <w:rsid w:val="00DE6D5D"/>
    <w:rsid w:val="00DF075E"/>
    <w:rsid w:val="00DF168A"/>
    <w:rsid w:val="00DF3010"/>
    <w:rsid w:val="00DF3BD6"/>
    <w:rsid w:val="00DF4520"/>
    <w:rsid w:val="00E04A11"/>
    <w:rsid w:val="00E05E70"/>
    <w:rsid w:val="00E063E9"/>
    <w:rsid w:val="00E0761B"/>
    <w:rsid w:val="00E10335"/>
    <w:rsid w:val="00E11EAF"/>
    <w:rsid w:val="00E12309"/>
    <w:rsid w:val="00E15AA5"/>
    <w:rsid w:val="00E16757"/>
    <w:rsid w:val="00E172D8"/>
    <w:rsid w:val="00E22C0A"/>
    <w:rsid w:val="00E2455A"/>
    <w:rsid w:val="00E27145"/>
    <w:rsid w:val="00E2796F"/>
    <w:rsid w:val="00E32B31"/>
    <w:rsid w:val="00E35BB5"/>
    <w:rsid w:val="00E41EE8"/>
    <w:rsid w:val="00E42CD0"/>
    <w:rsid w:val="00E45708"/>
    <w:rsid w:val="00E537FC"/>
    <w:rsid w:val="00E575E2"/>
    <w:rsid w:val="00E57712"/>
    <w:rsid w:val="00E57E00"/>
    <w:rsid w:val="00E62172"/>
    <w:rsid w:val="00E62C42"/>
    <w:rsid w:val="00E70FC2"/>
    <w:rsid w:val="00E7225E"/>
    <w:rsid w:val="00E72579"/>
    <w:rsid w:val="00E75511"/>
    <w:rsid w:val="00E75A94"/>
    <w:rsid w:val="00E75B92"/>
    <w:rsid w:val="00E75CA1"/>
    <w:rsid w:val="00E76D7A"/>
    <w:rsid w:val="00E81D56"/>
    <w:rsid w:val="00E83234"/>
    <w:rsid w:val="00E83DA1"/>
    <w:rsid w:val="00E85BE4"/>
    <w:rsid w:val="00E85F50"/>
    <w:rsid w:val="00E87422"/>
    <w:rsid w:val="00E87AC0"/>
    <w:rsid w:val="00E950FF"/>
    <w:rsid w:val="00E95B6F"/>
    <w:rsid w:val="00EA2B51"/>
    <w:rsid w:val="00EA4233"/>
    <w:rsid w:val="00EA426D"/>
    <w:rsid w:val="00EA4282"/>
    <w:rsid w:val="00EA452D"/>
    <w:rsid w:val="00EA5BD0"/>
    <w:rsid w:val="00EB1D93"/>
    <w:rsid w:val="00EB38A3"/>
    <w:rsid w:val="00EB693B"/>
    <w:rsid w:val="00EB79D6"/>
    <w:rsid w:val="00EC012F"/>
    <w:rsid w:val="00EC33CF"/>
    <w:rsid w:val="00EC4C56"/>
    <w:rsid w:val="00EC7E20"/>
    <w:rsid w:val="00ED1760"/>
    <w:rsid w:val="00ED44C8"/>
    <w:rsid w:val="00ED6EFE"/>
    <w:rsid w:val="00ED7585"/>
    <w:rsid w:val="00ED770F"/>
    <w:rsid w:val="00EE0665"/>
    <w:rsid w:val="00EE0EC9"/>
    <w:rsid w:val="00EE13B3"/>
    <w:rsid w:val="00EE2DD6"/>
    <w:rsid w:val="00EE3E0B"/>
    <w:rsid w:val="00EE6543"/>
    <w:rsid w:val="00EE6A48"/>
    <w:rsid w:val="00EE6D71"/>
    <w:rsid w:val="00EF1FB0"/>
    <w:rsid w:val="00EF3322"/>
    <w:rsid w:val="00EF3499"/>
    <w:rsid w:val="00EF6D05"/>
    <w:rsid w:val="00F003D0"/>
    <w:rsid w:val="00F012D0"/>
    <w:rsid w:val="00F02F83"/>
    <w:rsid w:val="00F0398E"/>
    <w:rsid w:val="00F03B34"/>
    <w:rsid w:val="00F04DC1"/>
    <w:rsid w:val="00F05546"/>
    <w:rsid w:val="00F05614"/>
    <w:rsid w:val="00F10185"/>
    <w:rsid w:val="00F101DC"/>
    <w:rsid w:val="00F10678"/>
    <w:rsid w:val="00F107BF"/>
    <w:rsid w:val="00F109BB"/>
    <w:rsid w:val="00F11066"/>
    <w:rsid w:val="00F11FE3"/>
    <w:rsid w:val="00F12302"/>
    <w:rsid w:val="00F12C45"/>
    <w:rsid w:val="00F139E3"/>
    <w:rsid w:val="00F151D7"/>
    <w:rsid w:val="00F152F4"/>
    <w:rsid w:val="00F20A46"/>
    <w:rsid w:val="00F237A4"/>
    <w:rsid w:val="00F26670"/>
    <w:rsid w:val="00F279F6"/>
    <w:rsid w:val="00F30430"/>
    <w:rsid w:val="00F32269"/>
    <w:rsid w:val="00F3292C"/>
    <w:rsid w:val="00F32CC2"/>
    <w:rsid w:val="00F33D64"/>
    <w:rsid w:val="00F34425"/>
    <w:rsid w:val="00F36DC6"/>
    <w:rsid w:val="00F37BEE"/>
    <w:rsid w:val="00F37C41"/>
    <w:rsid w:val="00F37F36"/>
    <w:rsid w:val="00F40913"/>
    <w:rsid w:val="00F4464D"/>
    <w:rsid w:val="00F452D6"/>
    <w:rsid w:val="00F46B54"/>
    <w:rsid w:val="00F532AB"/>
    <w:rsid w:val="00F5341D"/>
    <w:rsid w:val="00F54455"/>
    <w:rsid w:val="00F65D17"/>
    <w:rsid w:val="00F66071"/>
    <w:rsid w:val="00F665E8"/>
    <w:rsid w:val="00F72984"/>
    <w:rsid w:val="00F74441"/>
    <w:rsid w:val="00F74BCA"/>
    <w:rsid w:val="00F77BA9"/>
    <w:rsid w:val="00F80FF6"/>
    <w:rsid w:val="00F8107C"/>
    <w:rsid w:val="00F82260"/>
    <w:rsid w:val="00F82A37"/>
    <w:rsid w:val="00F854AE"/>
    <w:rsid w:val="00F87717"/>
    <w:rsid w:val="00F921C8"/>
    <w:rsid w:val="00F92ABC"/>
    <w:rsid w:val="00F945C3"/>
    <w:rsid w:val="00F946D9"/>
    <w:rsid w:val="00F96A05"/>
    <w:rsid w:val="00FA201B"/>
    <w:rsid w:val="00FA365A"/>
    <w:rsid w:val="00FA4A08"/>
    <w:rsid w:val="00FA7122"/>
    <w:rsid w:val="00FB07C4"/>
    <w:rsid w:val="00FB7EA7"/>
    <w:rsid w:val="00FC0A9D"/>
    <w:rsid w:val="00FC3BE6"/>
    <w:rsid w:val="00FC41FB"/>
    <w:rsid w:val="00FC57EC"/>
    <w:rsid w:val="00FC5BA2"/>
    <w:rsid w:val="00FC6BE3"/>
    <w:rsid w:val="00FD0A06"/>
    <w:rsid w:val="00FD1467"/>
    <w:rsid w:val="00FD1876"/>
    <w:rsid w:val="00FD2F76"/>
    <w:rsid w:val="00FD482F"/>
    <w:rsid w:val="00FD5BC1"/>
    <w:rsid w:val="00FE0296"/>
    <w:rsid w:val="00FE2D79"/>
    <w:rsid w:val="00FE3800"/>
    <w:rsid w:val="00FE5BEB"/>
    <w:rsid w:val="00FE6D38"/>
    <w:rsid w:val="00FF4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52A4"/>
    <w:rPr>
      <w:rFonts w:ascii="Arial" w:hAnsi="Arial"/>
      <w:szCs w:val="24"/>
    </w:rPr>
  </w:style>
  <w:style w:type="paragraph" w:styleId="Heading1">
    <w:name w:val="heading 1"/>
    <w:aliases w:val="H1-Sec.Head"/>
    <w:basedOn w:val="Normal"/>
    <w:next w:val="Normal"/>
    <w:link w:val="Heading1Char"/>
    <w:qFormat/>
    <w:rsid w:val="005C52A4"/>
    <w:pPr>
      <w:keepNext/>
      <w:spacing w:after="360"/>
      <w:jc w:val="center"/>
      <w:outlineLvl w:val="0"/>
    </w:pPr>
    <w:rPr>
      <w:b/>
      <w:bCs/>
      <w:kern w:val="32"/>
      <w:sz w:val="32"/>
      <w:szCs w:val="32"/>
    </w:rPr>
  </w:style>
  <w:style w:type="paragraph" w:styleId="Heading2">
    <w:name w:val="heading 2"/>
    <w:aliases w:val="H2-Sec. Head"/>
    <w:basedOn w:val="Normal"/>
    <w:next w:val="Normal"/>
    <w:link w:val="Heading2Char"/>
    <w:qFormat/>
    <w:rsid w:val="00D337A9"/>
    <w:pPr>
      <w:keepNext/>
      <w:spacing w:after="360"/>
      <w:jc w:val="center"/>
      <w:outlineLvl w:val="1"/>
    </w:pPr>
    <w:rPr>
      <w:b/>
      <w:i/>
      <w:sz w:val="28"/>
    </w:rPr>
  </w:style>
  <w:style w:type="paragraph" w:styleId="Heading3">
    <w:name w:val="heading 3"/>
    <w:aliases w:val="H3-Sec. Head"/>
    <w:basedOn w:val="Normal"/>
    <w:next w:val="Normal"/>
    <w:qFormat/>
    <w:rsid w:val="005C52A4"/>
    <w:pPr>
      <w:keepNext/>
      <w:spacing w:before="240" w:after="60"/>
      <w:outlineLvl w:val="2"/>
    </w:pPr>
    <w:rPr>
      <w:rFonts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rsid w:val="005C52A4"/>
    <w:pPr>
      <w:spacing w:before="180"/>
    </w:pPr>
    <w:rPr>
      <w:rFonts w:ascii="Arial" w:hAnsi="Arial"/>
      <w:szCs w:val="24"/>
    </w:rPr>
  </w:style>
  <w:style w:type="character" w:customStyle="1" w:styleId="BodyChar">
    <w:name w:val="Body Char"/>
    <w:basedOn w:val="DefaultParagraphFont"/>
    <w:link w:val="Body"/>
    <w:rsid w:val="00AF34F8"/>
    <w:rPr>
      <w:rFonts w:ascii="Arial" w:hAnsi="Arial"/>
      <w:szCs w:val="24"/>
    </w:rPr>
  </w:style>
  <w:style w:type="paragraph" w:customStyle="1" w:styleId="Bullet">
    <w:name w:val="Bullet"/>
    <w:link w:val="BulletChar"/>
    <w:rsid w:val="005C52A4"/>
    <w:pPr>
      <w:numPr>
        <w:numId w:val="1"/>
      </w:numPr>
      <w:tabs>
        <w:tab w:val="left" w:pos="576"/>
      </w:tabs>
      <w:spacing w:before="120"/>
      <w:ind w:left="576"/>
    </w:pPr>
    <w:rPr>
      <w:rFonts w:ascii="Arial" w:hAnsi="Arial"/>
      <w:szCs w:val="24"/>
    </w:rPr>
  </w:style>
  <w:style w:type="character" w:customStyle="1" w:styleId="BulletChar">
    <w:name w:val="Bullet Char"/>
    <w:basedOn w:val="DefaultParagraphFont"/>
    <w:link w:val="Bullet"/>
    <w:rsid w:val="00EE0EC9"/>
    <w:rPr>
      <w:rFonts w:ascii="Arial" w:hAnsi="Arial"/>
      <w:szCs w:val="24"/>
    </w:rPr>
  </w:style>
  <w:style w:type="paragraph" w:customStyle="1" w:styleId="Dash">
    <w:name w:val="Dash"/>
    <w:rsid w:val="005C52A4"/>
    <w:pPr>
      <w:numPr>
        <w:numId w:val="2"/>
      </w:numPr>
      <w:spacing w:before="60"/>
    </w:pPr>
    <w:rPr>
      <w:rFonts w:ascii="Arial" w:hAnsi="Arial"/>
      <w:szCs w:val="24"/>
    </w:rPr>
  </w:style>
  <w:style w:type="paragraph" w:customStyle="1" w:styleId="ProcessBullet">
    <w:name w:val="Process Bullet"/>
    <w:link w:val="ProcessBulletChar"/>
    <w:rsid w:val="005C52A4"/>
    <w:pPr>
      <w:numPr>
        <w:numId w:val="5"/>
      </w:numPr>
      <w:spacing w:before="120"/>
    </w:pPr>
    <w:rPr>
      <w:rFonts w:ascii="Arial" w:hAnsi="Arial"/>
      <w:szCs w:val="24"/>
    </w:rPr>
  </w:style>
  <w:style w:type="character" w:customStyle="1" w:styleId="ProcessBulletChar">
    <w:name w:val="Process Bullet Char"/>
    <w:basedOn w:val="DefaultParagraphFont"/>
    <w:link w:val="ProcessBullet"/>
    <w:rsid w:val="00CF7A12"/>
    <w:rPr>
      <w:rFonts w:ascii="Arial" w:hAnsi="Arial"/>
      <w:szCs w:val="24"/>
    </w:rPr>
  </w:style>
  <w:style w:type="paragraph" w:customStyle="1" w:styleId="TableBullet">
    <w:name w:val="Table Bullet"/>
    <w:rsid w:val="005C52A4"/>
    <w:pPr>
      <w:numPr>
        <w:numId w:val="3"/>
      </w:numPr>
      <w:tabs>
        <w:tab w:val="clear" w:pos="216"/>
      </w:tabs>
      <w:spacing w:before="40" w:after="40" w:line="200" w:lineRule="exact"/>
      <w:ind w:left="158" w:hanging="158"/>
    </w:pPr>
    <w:rPr>
      <w:rFonts w:ascii="Arial Narrow" w:hAnsi="Arial Narrow"/>
      <w:szCs w:val="24"/>
    </w:rPr>
  </w:style>
  <w:style w:type="paragraph" w:customStyle="1" w:styleId="TableText">
    <w:name w:val="Table Text"/>
    <w:link w:val="TableTextChar"/>
    <w:rsid w:val="005C52A4"/>
    <w:pPr>
      <w:spacing w:before="40" w:after="40" w:line="200" w:lineRule="exact"/>
    </w:pPr>
    <w:rPr>
      <w:rFonts w:ascii="Arial Narrow" w:hAnsi="Arial Narrow"/>
      <w:szCs w:val="19"/>
    </w:rPr>
  </w:style>
  <w:style w:type="paragraph" w:customStyle="1" w:styleId="StandardTitle">
    <w:name w:val="Standard Title"/>
    <w:basedOn w:val="MainHead"/>
    <w:rsid w:val="00D337A9"/>
    <w:pPr>
      <w:pBdr>
        <w:bottom w:val="none" w:sz="0" w:space="0" w:color="auto"/>
      </w:pBdr>
      <w:spacing w:before="0"/>
    </w:pPr>
    <w:rPr>
      <w:sz w:val="28"/>
    </w:rPr>
  </w:style>
  <w:style w:type="paragraph" w:customStyle="1" w:styleId="MainHead">
    <w:name w:val="Main Head"/>
    <w:rsid w:val="00D337A9"/>
    <w:pPr>
      <w:pBdr>
        <w:bottom w:val="single" w:sz="12" w:space="1" w:color="auto"/>
      </w:pBdr>
      <w:spacing w:before="240"/>
      <w:outlineLvl w:val="2"/>
    </w:pPr>
    <w:rPr>
      <w:rFonts w:ascii="Arial" w:hAnsi="Arial"/>
      <w:b/>
      <w:kern w:val="28"/>
      <w:sz w:val="24"/>
    </w:rPr>
  </w:style>
  <w:style w:type="paragraph" w:customStyle="1" w:styleId="StdTitle">
    <w:name w:val="Std Title"/>
    <w:basedOn w:val="SectionHead"/>
    <w:rsid w:val="00D337A9"/>
    <w:pPr>
      <w:tabs>
        <w:tab w:val="right" w:pos="9720"/>
      </w:tabs>
      <w:spacing w:after="0"/>
      <w:jc w:val="left"/>
    </w:pPr>
    <w:rPr>
      <w:sz w:val="28"/>
    </w:rPr>
  </w:style>
  <w:style w:type="paragraph" w:customStyle="1" w:styleId="SectionHead">
    <w:name w:val="Section Head"/>
    <w:basedOn w:val="Heading1"/>
    <w:rsid w:val="00D337A9"/>
    <w:pPr>
      <w:spacing w:after="240"/>
    </w:pPr>
  </w:style>
  <w:style w:type="paragraph" w:styleId="Date">
    <w:name w:val="Date"/>
    <w:basedOn w:val="Normal"/>
    <w:next w:val="Normal"/>
    <w:rsid w:val="00D337A9"/>
    <w:rPr>
      <w:rFonts w:ascii="Times New Roman" w:hAnsi="Times New Roman"/>
    </w:rPr>
  </w:style>
  <w:style w:type="paragraph" w:customStyle="1" w:styleId="StdHead">
    <w:name w:val="Std Head"/>
    <w:link w:val="StdHeadChar"/>
    <w:rsid w:val="005C52A4"/>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character" w:customStyle="1" w:styleId="StdHeadChar">
    <w:name w:val="Std Head Char"/>
    <w:basedOn w:val="DefaultParagraphFont"/>
    <w:link w:val="StdHead"/>
    <w:rsid w:val="00723CA6"/>
    <w:rPr>
      <w:rFonts w:ascii="Arial" w:hAnsi="Arial"/>
      <w:b/>
      <w:color w:val="FFFFFF"/>
      <w:sz w:val="22"/>
      <w:szCs w:val="28"/>
      <w:shd w:val="clear" w:color="auto" w:fill="000000"/>
    </w:rPr>
  </w:style>
  <w:style w:type="paragraph" w:customStyle="1" w:styleId="MarginSubhead">
    <w:name w:val="Margin Subhead"/>
    <w:rsid w:val="005C52A4"/>
    <w:pPr>
      <w:spacing w:before="180"/>
      <w:ind w:left="216"/>
    </w:pPr>
    <w:rPr>
      <w:rFonts w:ascii="Arial" w:hAnsi="Arial"/>
      <w:b/>
      <w:szCs w:val="24"/>
    </w:rPr>
  </w:style>
  <w:style w:type="paragraph" w:customStyle="1" w:styleId="MarginHead">
    <w:name w:val="Margin Head"/>
    <w:rsid w:val="005C52A4"/>
    <w:pPr>
      <w:spacing w:before="180"/>
    </w:pPr>
    <w:rPr>
      <w:rFonts w:ascii="Arial" w:hAnsi="Arial"/>
      <w:b/>
      <w:sz w:val="22"/>
      <w:szCs w:val="24"/>
    </w:rPr>
  </w:style>
  <w:style w:type="paragraph" w:customStyle="1" w:styleId="Note">
    <w:name w:val="Note"/>
    <w:link w:val="NoteChar"/>
    <w:rsid w:val="005C52A4"/>
    <w:pPr>
      <w:spacing w:before="120"/>
    </w:pPr>
    <w:rPr>
      <w:rFonts w:ascii="Arial" w:hAnsi="Arial"/>
      <w:i/>
      <w:szCs w:val="24"/>
    </w:rPr>
  </w:style>
  <w:style w:type="character" w:customStyle="1" w:styleId="NoteChar">
    <w:name w:val="Note Char"/>
    <w:basedOn w:val="DefaultParagraphFont"/>
    <w:link w:val="Note"/>
    <w:rsid w:val="00F66071"/>
    <w:rPr>
      <w:rFonts w:ascii="Arial" w:hAnsi="Arial"/>
      <w:i/>
      <w:szCs w:val="24"/>
    </w:rPr>
  </w:style>
  <w:style w:type="paragraph" w:customStyle="1" w:styleId="TableHead">
    <w:name w:val="Table Head"/>
    <w:link w:val="TableHeadChar"/>
    <w:rsid w:val="005C52A4"/>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AD247E"/>
    <w:rPr>
      <w:rFonts w:ascii="Arial Narrow" w:hAnsi="Arial Narrow"/>
      <w:b/>
      <w:color w:val="FFFFFF"/>
    </w:rPr>
  </w:style>
  <w:style w:type="paragraph" w:customStyle="1" w:styleId="TableText2">
    <w:name w:val="Table Text 2"/>
    <w:basedOn w:val="Normal"/>
    <w:rsid w:val="00D337A9"/>
    <w:pPr>
      <w:spacing w:before="40" w:after="40" w:line="200" w:lineRule="exact"/>
    </w:pPr>
    <w:rPr>
      <w:rFonts w:ascii="Arial Narrow" w:hAnsi="Arial Narrow"/>
      <w:sz w:val="19"/>
    </w:rPr>
  </w:style>
  <w:style w:type="paragraph" w:customStyle="1" w:styleId="IndentNormal">
    <w:name w:val="Indent Normal"/>
    <w:basedOn w:val="Normal"/>
    <w:next w:val="Normal"/>
    <w:rsid w:val="00D337A9"/>
    <w:pPr>
      <w:spacing w:before="60" w:after="60"/>
    </w:pPr>
    <w:rPr>
      <w:rFonts w:ascii="Times New Roman" w:hAnsi="Times New Roman"/>
      <w:sz w:val="22"/>
    </w:rPr>
  </w:style>
  <w:style w:type="paragraph" w:customStyle="1" w:styleId="IndentBullet">
    <w:name w:val="Indent Bullet"/>
    <w:basedOn w:val="Body"/>
    <w:rsid w:val="00D337A9"/>
    <w:pPr>
      <w:spacing w:before="20" w:after="20"/>
      <w:ind w:left="993" w:hanging="187"/>
    </w:pPr>
  </w:style>
  <w:style w:type="character" w:styleId="Hyperlink">
    <w:name w:val="Hyperlink"/>
    <w:basedOn w:val="DefaultParagraphFont"/>
    <w:rsid w:val="00D337A9"/>
    <w:rPr>
      <w:color w:val="0000FF"/>
      <w:u w:val="single"/>
    </w:rPr>
  </w:style>
  <w:style w:type="character" w:styleId="PageNumber">
    <w:name w:val="page number"/>
    <w:basedOn w:val="DefaultParagraphFont"/>
    <w:rsid w:val="00D337A9"/>
  </w:style>
  <w:style w:type="paragraph" w:styleId="Header">
    <w:name w:val="header"/>
    <w:rsid w:val="005C52A4"/>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5C52A4"/>
    <w:pPr>
      <w:pBdr>
        <w:top w:val="single" w:sz="8" w:space="1" w:color="auto"/>
      </w:pBdr>
      <w:tabs>
        <w:tab w:val="right" w:pos="9720"/>
      </w:tabs>
      <w:spacing w:before="240" w:after="120" w:line="260" w:lineRule="exact"/>
    </w:pPr>
    <w:rPr>
      <w:b/>
      <w:szCs w:val="20"/>
    </w:rPr>
  </w:style>
  <w:style w:type="character" w:styleId="FollowedHyperlink">
    <w:name w:val="FollowedHyperlink"/>
    <w:basedOn w:val="DefaultParagraphFont"/>
    <w:rsid w:val="00D337A9"/>
    <w:rPr>
      <w:color w:val="800080"/>
      <w:u w:val="single"/>
    </w:rPr>
  </w:style>
  <w:style w:type="paragraph" w:styleId="BalloonText">
    <w:name w:val="Balloon Text"/>
    <w:basedOn w:val="Normal"/>
    <w:semiHidden/>
    <w:rsid w:val="00D337A9"/>
    <w:rPr>
      <w:rFonts w:cs="Tahoma"/>
      <w:sz w:val="16"/>
      <w:szCs w:val="16"/>
    </w:rPr>
  </w:style>
  <w:style w:type="paragraph" w:customStyle="1" w:styleId="StdText">
    <w:name w:val="Std Text"/>
    <w:basedOn w:val="Body"/>
    <w:rsid w:val="00D337A9"/>
    <w:rPr>
      <w:b/>
    </w:rPr>
  </w:style>
  <w:style w:type="paragraph" w:customStyle="1" w:styleId="SubHead">
    <w:name w:val="Sub Head"/>
    <w:rsid w:val="005C52A4"/>
    <w:pPr>
      <w:pBdr>
        <w:bottom w:val="single" w:sz="6" w:space="2" w:color="auto"/>
      </w:pBdr>
      <w:spacing w:before="360"/>
    </w:pPr>
    <w:rPr>
      <w:rFonts w:ascii="Arial" w:hAnsi="Arial"/>
      <w:b/>
      <w:sz w:val="22"/>
      <w:szCs w:val="24"/>
    </w:rPr>
  </w:style>
  <w:style w:type="paragraph" w:customStyle="1" w:styleId="AnswerText">
    <w:name w:val="Answer Text"/>
    <w:basedOn w:val="Normal"/>
    <w:rsid w:val="00D337A9"/>
    <w:pPr>
      <w:widowControl w:val="0"/>
      <w:tabs>
        <w:tab w:val="left" w:pos="994"/>
        <w:tab w:val="left" w:pos="1627"/>
        <w:tab w:val="left" w:pos="2074"/>
      </w:tabs>
      <w:ind w:left="547"/>
    </w:pPr>
    <w:rPr>
      <w:sz w:val="24"/>
    </w:rPr>
  </w:style>
  <w:style w:type="paragraph" w:customStyle="1" w:styleId="ProcessDash">
    <w:name w:val="Process Dash"/>
    <w:rsid w:val="005C52A4"/>
    <w:pPr>
      <w:numPr>
        <w:numId w:val="6"/>
      </w:numPr>
      <w:tabs>
        <w:tab w:val="clear" w:pos="432"/>
        <w:tab w:val="left" w:pos="216"/>
      </w:tabs>
      <w:spacing w:before="60"/>
    </w:pPr>
    <w:rPr>
      <w:rFonts w:ascii="Arial" w:hAnsi="Arial"/>
      <w:szCs w:val="24"/>
    </w:rPr>
  </w:style>
  <w:style w:type="paragraph" w:customStyle="1" w:styleId="ScoringGuideline">
    <w:name w:val="Scoring Guideline"/>
    <w:basedOn w:val="Heading1"/>
    <w:rsid w:val="00D337A9"/>
    <w:pPr>
      <w:spacing w:after="120"/>
    </w:pPr>
    <w:rPr>
      <w:smallCaps/>
    </w:rPr>
  </w:style>
  <w:style w:type="paragraph" w:customStyle="1" w:styleId="MoreInfo">
    <w:name w:val="More Info"/>
    <w:basedOn w:val="Normal"/>
    <w:rsid w:val="00D337A9"/>
    <w:pPr>
      <w:spacing w:before="240"/>
      <w:jc w:val="center"/>
    </w:pPr>
    <w:rPr>
      <w:b/>
      <w:i/>
      <w:sz w:val="22"/>
    </w:rPr>
  </w:style>
  <w:style w:type="paragraph" w:customStyle="1" w:styleId="ElementNumber">
    <w:name w:val="Element Number"/>
    <w:basedOn w:val="Body"/>
    <w:rsid w:val="00D337A9"/>
    <w:pPr>
      <w:ind w:left="720" w:hanging="360"/>
    </w:pPr>
    <w:rPr>
      <w:b/>
    </w:rPr>
  </w:style>
  <w:style w:type="paragraph" w:customStyle="1" w:styleId="Question">
    <w:name w:val="Question"/>
    <w:basedOn w:val="Normal"/>
    <w:rsid w:val="00D337A9"/>
    <w:pPr>
      <w:widowControl w:val="0"/>
      <w:tabs>
        <w:tab w:val="left" w:pos="547"/>
      </w:tabs>
      <w:spacing w:before="240" w:after="120"/>
      <w:ind w:left="547" w:hanging="547"/>
    </w:pPr>
    <w:rPr>
      <w:b/>
      <w:sz w:val="24"/>
    </w:rPr>
  </w:style>
  <w:style w:type="paragraph" w:customStyle="1" w:styleId="QuestionText">
    <w:name w:val="Question Text"/>
    <w:basedOn w:val="Question"/>
    <w:rsid w:val="00D337A9"/>
    <w:pPr>
      <w:spacing w:before="120" w:after="0"/>
      <w:ind w:left="0" w:firstLine="0"/>
    </w:pPr>
  </w:style>
  <w:style w:type="paragraph" w:customStyle="1" w:styleId="ColumnHead">
    <w:name w:val="Column Head"/>
    <w:basedOn w:val="Normal"/>
    <w:rsid w:val="00D337A9"/>
    <w:pPr>
      <w:pBdr>
        <w:bottom w:val="single" w:sz="12" w:space="1" w:color="auto"/>
      </w:pBdr>
      <w:jc w:val="center"/>
    </w:pPr>
    <w:rPr>
      <w:b/>
      <w:sz w:val="26"/>
    </w:rPr>
  </w:style>
  <w:style w:type="paragraph" w:customStyle="1" w:styleId="TableDash">
    <w:name w:val="Table Dash"/>
    <w:rsid w:val="005C52A4"/>
    <w:pPr>
      <w:numPr>
        <w:numId w:val="4"/>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AF0099"/>
    <w:pPr>
      <w:numPr>
        <w:numId w:val="0"/>
      </w:numPr>
      <w:spacing w:line="220" w:lineRule="exact"/>
    </w:pPr>
    <w:rPr>
      <w:sz w:val="22"/>
    </w:rPr>
  </w:style>
  <w:style w:type="character" w:styleId="CommentReference">
    <w:name w:val="annotation reference"/>
    <w:basedOn w:val="DefaultParagraphFont"/>
    <w:semiHidden/>
    <w:rsid w:val="00D337A9"/>
    <w:rPr>
      <w:sz w:val="16"/>
      <w:szCs w:val="16"/>
    </w:rPr>
  </w:style>
  <w:style w:type="paragraph" w:styleId="CommentText">
    <w:name w:val="annotation text"/>
    <w:basedOn w:val="Normal"/>
    <w:semiHidden/>
    <w:rsid w:val="00D337A9"/>
    <w:rPr>
      <w:szCs w:val="20"/>
    </w:rPr>
  </w:style>
  <w:style w:type="paragraph" w:styleId="CommentSubject">
    <w:name w:val="annotation subject"/>
    <w:basedOn w:val="CommentText"/>
    <w:next w:val="CommentText"/>
    <w:semiHidden/>
    <w:rsid w:val="00D337A9"/>
    <w:rPr>
      <w:b/>
      <w:bCs/>
    </w:rPr>
  </w:style>
  <w:style w:type="character" w:customStyle="1" w:styleId="EmailStyle61">
    <w:name w:val="EmailStyle61"/>
    <w:basedOn w:val="DefaultParagraphFont"/>
    <w:semiHidden/>
    <w:rsid w:val="00D337A9"/>
    <w:rPr>
      <w:rFonts w:ascii="Arial" w:hAnsi="Arial" w:cs="Arial"/>
      <w:color w:val="auto"/>
      <w:sz w:val="20"/>
      <w:szCs w:val="20"/>
    </w:rPr>
  </w:style>
  <w:style w:type="paragraph" w:customStyle="1" w:styleId="StyleTableHeadArialNarrow">
    <w:name w:val="Style Table Head + Arial Narrow"/>
    <w:basedOn w:val="TableHead"/>
    <w:link w:val="StyleTableHeadArialNarrowChar"/>
    <w:rsid w:val="00AD247E"/>
    <w:rPr>
      <w:bCs/>
    </w:rPr>
  </w:style>
  <w:style w:type="character" w:customStyle="1" w:styleId="StyleTableHeadArialNarrowChar">
    <w:name w:val="Style Table Head + Arial Narrow Char"/>
    <w:basedOn w:val="TableHeadChar"/>
    <w:link w:val="StyleTableHeadArialNarrow"/>
    <w:rsid w:val="00AD247E"/>
    <w:rPr>
      <w:rFonts w:ascii="Arial Narrow" w:hAnsi="Arial Narrow"/>
      <w:b/>
      <w:bCs/>
      <w:color w:val="FFFFFF"/>
    </w:rPr>
  </w:style>
  <w:style w:type="paragraph" w:customStyle="1" w:styleId="DRPDash">
    <w:name w:val="DRP Dash"/>
    <w:basedOn w:val="Normal"/>
    <w:rsid w:val="00776247"/>
    <w:pPr>
      <w:spacing w:before="30"/>
      <w:ind w:left="864" w:hanging="216"/>
    </w:pPr>
  </w:style>
  <w:style w:type="paragraph" w:customStyle="1" w:styleId="marginsubhead0">
    <w:name w:val="marginsubhead"/>
    <w:basedOn w:val="Normal"/>
    <w:rsid w:val="00D10FF4"/>
    <w:pPr>
      <w:spacing w:before="180"/>
      <w:ind w:left="216"/>
    </w:pPr>
    <w:rPr>
      <w:rFonts w:cs="Arial"/>
      <w:b/>
      <w:bCs/>
      <w:szCs w:val="20"/>
    </w:rPr>
  </w:style>
  <w:style w:type="character" w:customStyle="1" w:styleId="BodyChar1">
    <w:name w:val="Body Char1"/>
    <w:basedOn w:val="DefaultParagraphFont"/>
    <w:rsid w:val="00F66071"/>
    <w:rPr>
      <w:rFonts w:ascii="Arial" w:hAnsi="Arial"/>
      <w:szCs w:val="24"/>
      <w:lang w:val="en-US" w:eastAsia="en-US" w:bidi="ar-SA"/>
    </w:rPr>
  </w:style>
  <w:style w:type="paragraph" w:styleId="Revision">
    <w:name w:val="Revision"/>
    <w:hidden/>
    <w:uiPriority w:val="99"/>
    <w:semiHidden/>
    <w:rsid w:val="005F6C30"/>
    <w:rPr>
      <w:rFonts w:ascii="Arial" w:hAnsi="Arial"/>
      <w:szCs w:val="24"/>
    </w:rPr>
  </w:style>
  <w:style w:type="character" w:customStyle="1" w:styleId="Heading2Char">
    <w:name w:val="Heading 2 Char"/>
    <w:aliases w:val="H2-Sec. Head Char"/>
    <w:basedOn w:val="DefaultParagraphFont"/>
    <w:link w:val="Heading2"/>
    <w:rsid w:val="001D2921"/>
    <w:rPr>
      <w:rFonts w:ascii="Arial" w:hAnsi="Arial"/>
      <w:b/>
      <w:i/>
      <w:sz w:val="28"/>
      <w:szCs w:val="24"/>
    </w:rPr>
  </w:style>
  <w:style w:type="paragraph" w:customStyle="1" w:styleId="StdIndent1">
    <w:name w:val="Std Indent 1"/>
    <w:basedOn w:val="StdText"/>
    <w:rsid w:val="0015495E"/>
    <w:pPr>
      <w:ind w:left="1714" w:hanging="994"/>
    </w:pPr>
  </w:style>
  <w:style w:type="paragraph" w:customStyle="1" w:styleId="Default">
    <w:name w:val="Default"/>
    <w:rsid w:val="001F110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10CC1"/>
    <w:pPr>
      <w:ind w:left="720"/>
    </w:pPr>
    <w:rPr>
      <w:rFonts w:ascii="Calibri" w:eastAsiaTheme="minorHAnsi" w:hAnsi="Calibri"/>
      <w:sz w:val="22"/>
      <w:szCs w:val="22"/>
    </w:rPr>
  </w:style>
  <w:style w:type="paragraph" w:customStyle="1" w:styleId="Breakpage">
    <w:name w:val="Break page"/>
    <w:basedOn w:val="Body"/>
    <w:qFormat/>
    <w:rsid w:val="005C52A4"/>
    <w:pPr>
      <w:spacing w:before="0"/>
      <w:jc w:val="right"/>
    </w:pPr>
    <w:rPr>
      <w:b/>
      <w:sz w:val="48"/>
    </w:rPr>
  </w:style>
  <w:style w:type="character" w:customStyle="1" w:styleId="Heading1Char">
    <w:name w:val="Heading 1 Char"/>
    <w:aliases w:val="H1-Sec.Head Char"/>
    <w:basedOn w:val="DefaultParagraphFont"/>
    <w:link w:val="Heading1"/>
    <w:rsid w:val="005C52A4"/>
    <w:rPr>
      <w:rFonts w:ascii="Arial" w:hAnsi="Arial"/>
      <w:b/>
      <w:bCs/>
      <w:kern w:val="32"/>
      <w:sz w:val="32"/>
      <w:szCs w:val="32"/>
    </w:rPr>
  </w:style>
  <w:style w:type="paragraph" w:customStyle="1" w:styleId="Memo">
    <w:name w:val="Memo"/>
    <w:basedOn w:val="Body"/>
    <w:rsid w:val="005C52A4"/>
    <w:rPr>
      <w:rFonts w:ascii="Times New Roman" w:hAnsi="Times New Roman"/>
      <w:sz w:val="24"/>
    </w:rPr>
  </w:style>
  <w:style w:type="paragraph" w:customStyle="1" w:styleId="Letter">
    <w:name w:val="Letter"/>
    <w:qFormat/>
    <w:rsid w:val="00F30430"/>
    <w:pPr>
      <w:spacing w:before="180"/>
    </w:pPr>
    <w:rPr>
      <w:sz w:val="24"/>
      <w:szCs w:val="24"/>
    </w:rPr>
  </w:style>
  <w:style w:type="paragraph" w:customStyle="1" w:styleId="StyleTableBulletAfter2pt">
    <w:name w:val="Style Table Bullet + After:  2 pt"/>
    <w:basedOn w:val="TableBullet"/>
    <w:rsid w:val="00F30430"/>
    <w:pPr>
      <w:numPr>
        <w:numId w:val="0"/>
      </w:numPr>
      <w:tabs>
        <w:tab w:val="num" w:pos="576"/>
      </w:tabs>
      <w:ind w:left="936" w:hanging="216"/>
    </w:pPr>
    <w:rPr>
      <w:szCs w:val="20"/>
    </w:rPr>
  </w:style>
  <w:style w:type="character" w:customStyle="1" w:styleId="TableTextChar">
    <w:name w:val="Table Text Char"/>
    <w:basedOn w:val="DefaultParagraphFont"/>
    <w:link w:val="TableText"/>
    <w:rsid w:val="004849BC"/>
    <w:rPr>
      <w:rFonts w:ascii="Arial Narrow" w:hAnsi="Arial Narrow"/>
      <w:szCs w:val="19"/>
    </w:rPr>
  </w:style>
  <w:style w:type="table" w:styleId="TableGrid">
    <w:name w:val="Table Grid"/>
    <w:basedOn w:val="TableNormal"/>
    <w:rsid w:val="004849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2614700">
      <w:bodyDiv w:val="1"/>
      <w:marLeft w:val="0"/>
      <w:marRight w:val="0"/>
      <w:marTop w:val="0"/>
      <w:marBottom w:val="0"/>
      <w:divBdr>
        <w:top w:val="none" w:sz="0" w:space="0" w:color="auto"/>
        <w:left w:val="none" w:sz="0" w:space="0" w:color="auto"/>
        <w:bottom w:val="none" w:sz="0" w:space="0" w:color="auto"/>
        <w:right w:val="none" w:sz="0" w:space="0" w:color="auto"/>
      </w:divBdr>
    </w:div>
    <w:div w:id="522598210">
      <w:bodyDiv w:val="1"/>
      <w:marLeft w:val="0"/>
      <w:marRight w:val="0"/>
      <w:marTop w:val="0"/>
      <w:marBottom w:val="0"/>
      <w:divBdr>
        <w:top w:val="none" w:sz="0" w:space="0" w:color="auto"/>
        <w:left w:val="none" w:sz="0" w:space="0" w:color="auto"/>
        <w:bottom w:val="none" w:sz="0" w:space="0" w:color="auto"/>
        <w:right w:val="none" w:sz="0" w:space="0" w:color="auto"/>
      </w:divBdr>
    </w:div>
    <w:div w:id="890922095">
      <w:bodyDiv w:val="1"/>
      <w:marLeft w:val="0"/>
      <w:marRight w:val="0"/>
      <w:marTop w:val="0"/>
      <w:marBottom w:val="0"/>
      <w:divBdr>
        <w:top w:val="none" w:sz="0" w:space="0" w:color="auto"/>
        <w:left w:val="none" w:sz="0" w:space="0" w:color="auto"/>
        <w:bottom w:val="none" w:sz="0" w:space="0" w:color="auto"/>
        <w:right w:val="none" w:sz="0" w:space="0" w:color="auto"/>
      </w:divBdr>
    </w:div>
    <w:div w:id="1187866370">
      <w:bodyDiv w:val="1"/>
      <w:marLeft w:val="0"/>
      <w:marRight w:val="0"/>
      <w:marTop w:val="0"/>
      <w:marBottom w:val="0"/>
      <w:divBdr>
        <w:top w:val="none" w:sz="0" w:space="0" w:color="auto"/>
        <w:left w:val="none" w:sz="0" w:space="0" w:color="auto"/>
        <w:bottom w:val="none" w:sz="0" w:space="0" w:color="auto"/>
        <w:right w:val="none" w:sz="0" w:space="0" w:color="auto"/>
      </w:divBdr>
    </w:div>
    <w:div w:id="172263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2.xml"/><Relationship Id="rId21" Type="http://schemas.openxmlformats.org/officeDocument/2006/relationships/header" Target="header6.xml"/><Relationship Id="rId34" Type="http://schemas.openxmlformats.org/officeDocument/2006/relationships/header" Target="header17.xml"/><Relationship Id="rId42" Type="http://schemas.openxmlformats.org/officeDocument/2006/relationships/footer" Target="footer5.xml"/><Relationship Id="rId47" Type="http://schemas.openxmlformats.org/officeDocument/2006/relationships/header" Target="header28.xml"/><Relationship Id="rId50" Type="http://schemas.openxmlformats.org/officeDocument/2006/relationships/header" Target="header30.xml"/><Relationship Id="rId55" Type="http://schemas.openxmlformats.org/officeDocument/2006/relationships/header" Target="header35.xml"/><Relationship Id="rId63" Type="http://schemas.openxmlformats.org/officeDocument/2006/relationships/header" Target="header41.xml"/><Relationship Id="rId68" Type="http://schemas.openxmlformats.org/officeDocument/2006/relationships/header" Target="header45.xml"/><Relationship Id="rId76" Type="http://schemas.openxmlformats.org/officeDocument/2006/relationships/header" Target="header53.xml"/><Relationship Id="rId7" Type="http://schemas.openxmlformats.org/officeDocument/2006/relationships/settings" Target="settings.xml"/><Relationship Id="rId71" Type="http://schemas.openxmlformats.org/officeDocument/2006/relationships/header" Target="header48.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ncqa.org/pcs" TargetMode="Externa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image" Target="media/image1.jpeg"/><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6.xml"/><Relationship Id="rId53" Type="http://schemas.openxmlformats.org/officeDocument/2006/relationships/header" Target="header33.xml"/><Relationship Id="rId58" Type="http://schemas.openxmlformats.org/officeDocument/2006/relationships/footer" Target="footer8.xml"/><Relationship Id="rId66" Type="http://schemas.openxmlformats.org/officeDocument/2006/relationships/header" Target="header43.xml"/><Relationship Id="rId74" Type="http://schemas.openxmlformats.org/officeDocument/2006/relationships/header" Target="header5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5.xml"/><Relationship Id="rId44" Type="http://schemas.openxmlformats.org/officeDocument/2006/relationships/header" Target="header25.xml"/><Relationship Id="rId52" Type="http://schemas.openxmlformats.org/officeDocument/2006/relationships/header" Target="header32.xml"/><Relationship Id="rId60" Type="http://schemas.openxmlformats.org/officeDocument/2006/relationships/header" Target="header39.xml"/><Relationship Id="rId65" Type="http://schemas.openxmlformats.org/officeDocument/2006/relationships/header" Target="header42.xml"/><Relationship Id="rId73" Type="http://schemas.openxmlformats.org/officeDocument/2006/relationships/header" Target="header50.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8.xml"/><Relationship Id="rId43" Type="http://schemas.openxmlformats.org/officeDocument/2006/relationships/footer" Target="footer6.xml"/><Relationship Id="rId48" Type="http://schemas.openxmlformats.org/officeDocument/2006/relationships/footer" Target="footer7.xml"/><Relationship Id="rId56" Type="http://schemas.openxmlformats.org/officeDocument/2006/relationships/header" Target="header36.xml"/><Relationship Id="rId64" Type="http://schemas.openxmlformats.org/officeDocument/2006/relationships/footer" Target="footer10.xml"/><Relationship Id="rId69" Type="http://schemas.openxmlformats.org/officeDocument/2006/relationships/header" Target="header46.xml"/><Relationship Id="rId77" Type="http://schemas.openxmlformats.org/officeDocument/2006/relationships/header" Target="header54.xml"/><Relationship Id="rId8" Type="http://schemas.openxmlformats.org/officeDocument/2006/relationships/webSettings" Target="webSettings.xml"/><Relationship Id="rId51" Type="http://schemas.openxmlformats.org/officeDocument/2006/relationships/header" Target="header31.xml"/><Relationship Id="rId72" Type="http://schemas.openxmlformats.org/officeDocument/2006/relationships/header" Target="header49.xml"/><Relationship Id="rId80" Type="http://schemas.microsoft.com/office/2007/relationships/stylesWithEffects" Target="stylesWithEffect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ncqa.org" TargetMode="Externa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7.xml"/><Relationship Id="rId59" Type="http://schemas.openxmlformats.org/officeDocument/2006/relationships/header" Target="header38.xml"/><Relationship Id="rId67" Type="http://schemas.openxmlformats.org/officeDocument/2006/relationships/header" Target="header44.xml"/><Relationship Id="rId20" Type="http://schemas.openxmlformats.org/officeDocument/2006/relationships/footer" Target="footer4.xml"/><Relationship Id="rId41" Type="http://schemas.openxmlformats.org/officeDocument/2006/relationships/header" Target="header24.xml"/><Relationship Id="rId54" Type="http://schemas.openxmlformats.org/officeDocument/2006/relationships/header" Target="header34.xml"/><Relationship Id="rId62" Type="http://schemas.openxmlformats.org/officeDocument/2006/relationships/header" Target="header40.xml"/><Relationship Id="rId70" Type="http://schemas.openxmlformats.org/officeDocument/2006/relationships/header" Target="header47.xml"/><Relationship Id="rId75" Type="http://schemas.openxmlformats.org/officeDocument/2006/relationships/header" Target="header5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19.xml"/><Relationship Id="rId49" Type="http://schemas.openxmlformats.org/officeDocument/2006/relationships/header" Target="header29.xml"/><Relationship Id="rId57" Type="http://schemas.openxmlformats.org/officeDocument/2006/relationships/header" Target="header37.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931D52-B4F8-457C-813A-C24C62DA9652}">
  <ds:schemaRefs>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CF7A34C-19E8-4CA6-AF25-F9EB2902A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B40CBF7-26CE-4A6B-857C-6506696295F0}">
  <ds:schemaRefs>
    <ds:schemaRef ds:uri="http://schemas.microsoft.com/sharepoint/v3/contenttype/forms"/>
  </ds:schemaRefs>
</ds:datastoreItem>
</file>

<file path=customXml/itemProps4.xml><?xml version="1.0" encoding="utf-8"?>
<ds:datastoreItem xmlns:ds="http://schemas.openxmlformats.org/officeDocument/2006/customXml" ds:itemID="{B66C39CA-E248-4FC6-8C46-7BF24D1A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 Publications</Template>
  <TotalTime>105</TotalTime>
  <Pages>48</Pages>
  <Words>14852</Words>
  <Characters>83297</Characters>
  <Application>Microsoft Office Word</Application>
  <DocSecurity>2</DocSecurity>
  <Lines>694</Lines>
  <Paragraphs>195</Paragraphs>
  <ScaleCrop>false</ScaleCrop>
  <HeadingPairs>
    <vt:vector size="2" baseType="variant">
      <vt:variant>
        <vt:lpstr>Title</vt:lpstr>
      </vt:variant>
      <vt:variant>
        <vt:i4>1</vt:i4>
      </vt:variant>
    </vt:vector>
  </HeadingPairs>
  <TitlesOfParts>
    <vt:vector size="1" baseType="lpstr">
      <vt:lpstr>Audit Process:</vt:lpstr>
    </vt:vector>
  </TitlesOfParts>
  <Company>NCQA</Company>
  <LinksUpToDate>false</LinksUpToDate>
  <CharactersWithSpaces>97954</CharactersWithSpaces>
  <SharedDoc>false</SharedDoc>
  <HLinks>
    <vt:vector size="12" baseType="variant">
      <vt:variant>
        <vt:i4>65565</vt:i4>
      </vt:variant>
      <vt:variant>
        <vt:i4>6</vt:i4>
      </vt:variant>
      <vt:variant>
        <vt:i4>0</vt:i4>
      </vt:variant>
      <vt:variant>
        <vt:i4>5</vt:i4>
      </vt:variant>
      <vt:variant>
        <vt:lpwstr>http://app04.ncqa.org/pcs</vt:lpwstr>
      </vt:variant>
      <vt:variant>
        <vt:lpwstr/>
      </vt:variant>
      <vt:variant>
        <vt:i4>4653146</vt:i4>
      </vt:variant>
      <vt:variant>
        <vt:i4>0</vt:i4>
      </vt:variant>
      <vt:variant>
        <vt:i4>0</vt:i4>
      </vt:variant>
      <vt:variant>
        <vt:i4>5</vt:i4>
      </vt:variant>
      <vt:variant>
        <vt:lpwstr>http://www.ncqa.org/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Process:</dc:title>
  <dc:creator>Lauren Niles</dc:creator>
  <cp:lastModifiedBy>Judy Lacourciere</cp:lastModifiedBy>
  <cp:revision>15</cp:revision>
  <cp:lastPrinted>2007-10-15T19:47:00Z</cp:lastPrinted>
  <dcterms:created xsi:type="dcterms:W3CDTF">2012-10-09T19:18:00Z</dcterms:created>
  <dcterms:modified xsi:type="dcterms:W3CDTF">2012-10-10T15:36:00Z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0x010100BAFB6B28ABDB5A4786FC2FA37372CA3C</vt:lpwstr>
  </property>
</Properties>
</file>