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322A28" w:rsidRDefault="00B103CA" w:rsidP="00B7187F">
      <w:pPr>
        <w:suppressAutoHyphens/>
        <w:jc w:val="center"/>
        <w:rPr>
          <w:rFonts w:ascii="Times New Roman" w:hAnsi="Times New Roman"/>
          <w:szCs w:val="24"/>
        </w:rPr>
      </w:pPr>
      <w:r w:rsidRPr="00322A28">
        <w:rPr>
          <w:rFonts w:ascii="Times New Roman" w:hAnsi="Times New Roman"/>
          <w:b/>
          <w:szCs w:val="24"/>
        </w:rPr>
        <w:t xml:space="preserve">FEDERAL PERKINS LOAN PROGRAM </w:t>
      </w:r>
    </w:p>
    <w:p w:rsidR="00386054" w:rsidRPr="00322A28" w:rsidRDefault="00386054">
      <w:pPr>
        <w:tabs>
          <w:tab w:val="left" w:pos="0"/>
        </w:tabs>
        <w:suppressAutoHyphens/>
        <w:rPr>
          <w:rFonts w:ascii="Times New Roman" w:hAnsi="Times New Roman"/>
          <w:b/>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Pr="00322A28" w:rsidRDefault="00386054">
      <w:pPr>
        <w:tabs>
          <w:tab w:val="left" w:pos="0"/>
        </w:tabs>
        <w:suppressAutoHyphens/>
        <w:rPr>
          <w:rFonts w:ascii="Times New Roman" w:hAnsi="Times New Roman"/>
          <w:szCs w:val="24"/>
        </w:rPr>
      </w:pPr>
    </w:p>
    <w:p w:rsidR="00B103CA" w:rsidRPr="00322A28" w:rsidRDefault="00B103CA" w:rsidP="00B103CA">
      <w:pPr>
        <w:pStyle w:val="BodyTextIndent"/>
      </w:pPr>
      <w:r w:rsidRPr="00322A28">
        <w:t>The Higher Education Act of 1965, as amended (HEA), established the Federal Perkins Loan Program</w:t>
      </w:r>
      <w:r w:rsidR="00C97FA3" w:rsidRPr="00322A28">
        <w:t xml:space="preserve"> (Perkins </w:t>
      </w:r>
      <w:r w:rsidR="003456B4" w:rsidRPr="00322A28">
        <w:t>L</w:t>
      </w:r>
      <w:r w:rsidR="00C97FA3" w:rsidRPr="00322A28">
        <w:t>oan)</w:t>
      </w:r>
      <w:r w:rsidRPr="00322A28">
        <w:t xml:space="preserve">.  The </w:t>
      </w:r>
      <w:r w:rsidR="00C97FA3" w:rsidRPr="00322A28">
        <w:t xml:space="preserve">Perkins </w:t>
      </w:r>
      <w:r w:rsidR="003456B4" w:rsidRPr="00322A28">
        <w:t>L</w:t>
      </w:r>
      <w:r w:rsidR="00C97FA3" w:rsidRPr="00322A28">
        <w:t>oan p</w:t>
      </w:r>
      <w:r w:rsidRPr="00322A28">
        <w:t xml:space="preserve">rogram provides </w:t>
      </w:r>
      <w:r w:rsidR="00F12358" w:rsidRPr="00322A28">
        <w:t xml:space="preserve">low cost Title IV, HEA </w:t>
      </w:r>
      <w:r w:rsidRPr="00322A28">
        <w:t xml:space="preserve">loans </w:t>
      </w:r>
      <w:r w:rsidR="00F12358" w:rsidRPr="00322A28">
        <w:t>for eligible</w:t>
      </w:r>
      <w:r w:rsidRPr="00322A28">
        <w:t xml:space="preserve"> students to pay the costs of a student's attendance at an </w:t>
      </w:r>
      <w:r w:rsidR="00F12358" w:rsidRPr="00322A28">
        <w:t xml:space="preserve">eligible </w:t>
      </w:r>
      <w:r w:rsidRPr="00322A28">
        <w:t xml:space="preserve">institution of higher education.  The regulations </w:t>
      </w:r>
      <w:r w:rsidR="00F12358" w:rsidRPr="00322A28">
        <w:t xml:space="preserve">implementing </w:t>
      </w:r>
      <w:r w:rsidRPr="00322A28">
        <w:t>the Perkins Loan Program are in 34 CFR Part 674.</w:t>
      </w:r>
    </w:p>
    <w:p w:rsidR="00111843" w:rsidRPr="00322A28" w:rsidRDefault="00111843" w:rsidP="00B103CA">
      <w:pPr>
        <w:pStyle w:val="BodyTextIndent"/>
      </w:pPr>
    </w:p>
    <w:p w:rsidR="00111843" w:rsidRDefault="00111843" w:rsidP="00B103CA">
      <w:pPr>
        <w:pStyle w:val="BodyTextIndent"/>
      </w:pPr>
      <w:r w:rsidRPr="00322A28">
        <w:t xml:space="preserve">For the Federal Perkins Loan Program, the regulations would add a new §674.19(f) with the heading “enrollment reporting process.”   §674.19(f)(1) would provide that upon receipt of an enrollment report from the Secretary, an institution must update all information included in the report and return the report to the Secretary in the manner and format prescribed by the Secretary and within the timeframe prescribed by the Secretary.  §674.19(f)(2) would provide that unless it expects to submit its subsequent updated enrollment report to the Secretary within the next 60 days, an institution must notify the Secretary within 30 days after; 1. </w:t>
      </w:r>
      <w:proofErr w:type="gramStart"/>
      <w:r w:rsidRPr="00322A28">
        <w:t>the</w:t>
      </w:r>
      <w:proofErr w:type="gramEnd"/>
      <w:r w:rsidRPr="00322A28">
        <w:t xml:space="preserve"> date the school discovers that a loan under title IV of the HEA was made to a student who was enrolled or accepted for enrollment at the institution, and the student has ceased to be enrolled on at least a half-time basis, 2. </w:t>
      </w:r>
      <w:proofErr w:type="gramStart"/>
      <w:r w:rsidRPr="00322A28">
        <w:t>or</w:t>
      </w:r>
      <w:proofErr w:type="gramEnd"/>
      <w:r w:rsidRPr="00322A28">
        <w:t xml:space="preserve"> failed to enroll on at least a half-time basis for the period for which the loan was intended, 3. </w:t>
      </w:r>
      <w:proofErr w:type="gramStart"/>
      <w:r w:rsidRPr="00322A28">
        <w:t>or</w:t>
      </w:r>
      <w:proofErr w:type="gramEnd"/>
      <w:r w:rsidRPr="00322A28">
        <w:t xml:space="preserve"> discovers that a student who is enrolled at the institution and who received a loan under title IV of the HEA has changed his or her permanent address.  Because the Secretary already receives enrollment reporting information on Federal Perkins Loan borrowers who also have a FFEL loan or a Direct Loan, the additional burden associated with sending enrollment reports to institutions for the Federal Perkins Loan Program is only associated with those Federal Perkins Loan borrowers whose only loan received under title IV of the HEA is a Federal Perkins Loan and who are enrolled on at least a half-time basis.</w:t>
      </w:r>
    </w:p>
    <w:p w:rsidR="00161DB3" w:rsidRPr="00322A28" w:rsidRDefault="00161DB3" w:rsidP="00B103CA">
      <w:pPr>
        <w:pStyle w:val="BodyTextIndent"/>
      </w:pPr>
      <w:r>
        <w:t xml:space="preserve">Under §674.34, institutions that participate in the Perkins Loan program (or their servicers) would be required to use the same eligibility criteria that lenders and the </w:t>
      </w:r>
      <w:r>
        <w:lastRenderedPageBreak/>
        <w:t xml:space="preserve">Department use in the FFEL and Direct Loan programs, respectively, to define an eligible graduate fellowship program and to establish the eligibility of a Perkins Loan borrower for a graduate fellowship deferment.  </w:t>
      </w:r>
      <w:r w:rsidRPr="00161DB3">
        <w:t xml:space="preserve">The regulations would require that a borrower provide the institution with a statement from an authorized official of the borrower’s graduate fellowship program certifying a.) </w:t>
      </w:r>
      <w:proofErr w:type="gramStart"/>
      <w:r w:rsidRPr="00161DB3">
        <w:t>that</w:t>
      </w:r>
      <w:proofErr w:type="gramEnd"/>
      <w:r w:rsidRPr="00161DB3">
        <w:t xml:space="preserve"> the borrower holds at least a bachelor’s degree and b.) </w:t>
      </w:r>
      <w:proofErr w:type="gramStart"/>
      <w:r w:rsidRPr="00161DB3">
        <w:t>the</w:t>
      </w:r>
      <w:proofErr w:type="gramEnd"/>
      <w:r w:rsidRPr="00161DB3">
        <w:t xml:space="preserve"> borrower’s anticipated completion date of the program.</w:t>
      </w:r>
    </w:p>
    <w:p w:rsidR="00B103CA" w:rsidRPr="00322A28" w:rsidRDefault="00B103CA" w:rsidP="00B103CA">
      <w:pPr>
        <w:pStyle w:val="BodyTextIndent"/>
        <w:ind w:left="0"/>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3456B4" w:rsidRPr="00322A28" w:rsidRDefault="00B103CA" w:rsidP="00B103CA">
      <w:pPr>
        <w:ind w:left="720"/>
        <w:rPr>
          <w:rFonts w:ascii="Times New Roman" w:hAnsi="Times New Roman"/>
          <w:szCs w:val="24"/>
        </w:rPr>
      </w:pPr>
      <w:r w:rsidRPr="00322A28">
        <w:rPr>
          <w:rFonts w:ascii="Times New Roman" w:hAnsi="Times New Roman"/>
          <w:szCs w:val="24"/>
        </w:rPr>
        <w:t xml:space="preserve">There is no change to the purpose and use of the collection of information on the </w:t>
      </w:r>
      <w:r w:rsidR="00F12358" w:rsidRPr="00322A28">
        <w:rPr>
          <w:rFonts w:ascii="Times New Roman" w:hAnsi="Times New Roman"/>
          <w:szCs w:val="24"/>
        </w:rPr>
        <w:t xml:space="preserve">Perkins Loan </w:t>
      </w:r>
      <w:r w:rsidR="00D42944" w:rsidRPr="00322A28">
        <w:rPr>
          <w:rFonts w:ascii="Times New Roman" w:hAnsi="Times New Roman"/>
          <w:szCs w:val="24"/>
        </w:rPr>
        <w:t>program</w:t>
      </w:r>
      <w:r w:rsidRPr="00322A28">
        <w:rPr>
          <w:rFonts w:ascii="Times New Roman" w:hAnsi="Times New Roman"/>
          <w:szCs w:val="24"/>
        </w:rPr>
        <w:t xml:space="preserve">. </w:t>
      </w:r>
      <w:r w:rsidR="00F12358" w:rsidRPr="00322A28">
        <w:rPr>
          <w:rFonts w:ascii="Times New Roman" w:hAnsi="Times New Roman"/>
          <w:szCs w:val="24"/>
        </w:rPr>
        <w:t xml:space="preserve"> </w:t>
      </w:r>
      <w:r w:rsidRPr="00322A28">
        <w:rPr>
          <w:rFonts w:ascii="Times New Roman" w:hAnsi="Times New Roman"/>
          <w:szCs w:val="24"/>
        </w:rPr>
        <w:t xml:space="preserve">The </w:t>
      </w:r>
      <w:r w:rsidR="00D42944" w:rsidRPr="00322A28">
        <w:rPr>
          <w:rFonts w:ascii="Times New Roman" w:hAnsi="Times New Roman"/>
          <w:szCs w:val="24"/>
        </w:rPr>
        <w:t xml:space="preserve">regulations </w:t>
      </w:r>
      <w:r w:rsidR="00111843" w:rsidRPr="00322A28">
        <w:rPr>
          <w:rFonts w:ascii="Times New Roman" w:hAnsi="Times New Roman"/>
          <w:szCs w:val="24"/>
        </w:rPr>
        <w:t>related to school enrollment status reporting to reflect current terminology and procedures.  In addition these changes to the Perkins reporting would make it consistent with FFEL and Direct Loan statu</w:t>
      </w:r>
      <w:r w:rsidR="00161DB3">
        <w:rPr>
          <w:rFonts w:ascii="Times New Roman" w:hAnsi="Times New Roman"/>
          <w:szCs w:val="24"/>
        </w:rPr>
        <w:t>s</w:t>
      </w:r>
      <w:r w:rsidR="00111843" w:rsidRPr="00322A28">
        <w:rPr>
          <w:rFonts w:ascii="Times New Roman" w:hAnsi="Times New Roman"/>
          <w:szCs w:val="24"/>
        </w:rPr>
        <w:t xml:space="preserve"> reporting requirements. </w:t>
      </w:r>
      <w:r w:rsidR="00161DB3">
        <w:rPr>
          <w:rFonts w:ascii="Times New Roman" w:hAnsi="Times New Roman"/>
          <w:szCs w:val="24"/>
        </w:rPr>
        <w:t xml:space="preserve"> The change to the graduate fellowship deferment serves to provide equitable treatment for this deferment across the Title IV, HEA loan programs.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AD016B" w:rsidRPr="00322A28" w:rsidRDefault="00602307" w:rsidP="00B103CA">
      <w:pPr>
        <w:tabs>
          <w:tab w:val="left" w:pos="-720"/>
        </w:tabs>
        <w:suppressAutoHyphens/>
        <w:ind w:left="720"/>
        <w:rPr>
          <w:rFonts w:ascii="Times New Roman" w:hAnsi="Times New Roman"/>
          <w:szCs w:val="24"/>
        </w:rPr>
      </w:pPr>
      <w:r w:rsidRPr="00322A28">
        <w:rPr>
          <w:rFonts w:ascii="Times New Roman" w:hAnsi="Times New Roman"/>
          <w:szCs w:val="24"/>
        </w:rPr>
        <w:t>School enrollment status reports are generated by the Department six times per year and sent to institutions via NSLDS.  Institutions open the report and subsequently provide status reporting data which is returned to the Department via NSLDS.</w:t>
      </w:r>
      <w:r w:rsidR="00D42944" w:rsidRPr="00322A28">
        <w:rPr>
          <w:rFonts w:ascii="Times New Roman" w:hAnsi="Times New Roman"/>
          <w:szCs w:val="24"/>
        </w:rPr>
        <w:t xml:space="preserve"> </w:t>
      </w:r>
      <w:r w:rsidR="00161DB3">
        <w:rPr>
          <w:rFonts w:ascii="Times New Roman" w:hAnsi="Times New Roman"/>
          <w:szCs w:val="24"/>
        </w:rPr>
        <w:t xml:space="preserve"> The change to the graduate fellowship deferment procedures is a manual process where the borrower obtains a written statement from an authorized official of the borrower’s graduate program certifying that the borrower already possesses a bachelor’s degree and the borrower’s anticipated graduation date from the graduate program.</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t>The</w:t>
      </w:r>
      <w:r w:rsidR="007B0762" w:rsidRPr="00322A28">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lastRenderedPageBreak/>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602307" w:rsidP="007B0762">
      <w:pPr>
        <w:pStyle w:val="BodyTextIndent"/>
      </w:pPr>
      <w:r w:rsidRPr="00322A28">
        <w:t>Absent th</w:t>
      </w:r>
      <w:r w:rsidR="00161DB3">
        <w:t>e</w:t>
      </w:r>
      <w:r w:rsidRPr="00322A28">
        <w:t xml:space="preserve"> requirement</w:t>
      </w:r>
      <w:r w:rsidR="00161DB3">
        <w:t xml:space="preserve"> on student enrollment status information reporting for Perkins only borrowers</w:t>
      </w:r>
      <w:r w:rsidRPr="00322A28">
        <w:t xml:space="preserve">, the Department would not have vital student eligibility information regarding when a student ceased to be enrolled on at least a half-time basis, </w:t>
      </w:r>
      <w:r w:rsidR="00697E95">
        <w:t>when a borrower</w:t>
      </w:r>
      <w:r w:rsidRPr="00322A28">
        <w:t xml:space="preserve"> failed to enroll on at least a half-time basis for the period for which the Perkins loan was intended</w:t>
      </w:r>
      <w:r w:rsidR="00697E95">
        <w:t>, and other changes to the borrower’s enrollment status</w:t>
      </w:r>
      <w:r w:rsidRPr="00322A28">
        <w:t xml:space="preserve">. </w:t>
      </w:r>
      <w:r w:rsidR="00017119" w:rsidRPr="00322A28">
        <w:t xml:space="preserve"> In addition, under this requirement, the institution would provide information to the Department whenever a student who is enrolled at the institution and received a loan under Title IV of the HEA has changed his or her permanent address.</w:t>
      </w:r>
      <w:r w:rsidR="007B0762" w:rsidRPr="00322A28">
        <w:t xml:space="preserve"> </w:t>
      </w:r>
      <w:r w:rsidR="00697E95">
        <w:t xml:space="preserve"> The change to the deferment of repayment for a borrower engaged in a graduate fellowship program requires that the same criteria used for the establishment of such a deferment under either the FFEL or Direct Loan program </w:t>
      </w:r>
      <w:proofErr w:type="gramStart"/>
      <w:r w:rsidR="00697E95">
        <w:t>be</w:t>
      </w:r>
      <w:proofErr w:type="gramEnd"/>
      <w:r w:rsidR="00697E95">
        <w:t xml:space="preserve"> used thus providing for equal treatment throughout the Title IV, HEA loan programs.</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proofErr w:type="gramStart"/>
      <w:r w:rsidRPr="00322A28">
        <w:rPr>
          <w:rFonts w:ascii="Times New Roman" w:hAnsi="Times New Roman"/>
          <w:szCs w:val="24"/>
        </w:rPr>
        <w:t>requiring</w:t>
      </w:r>
      <w:proofErr w:type="gramEnd"/>
      <w:r w:rsidRPr="00322A28">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 xml:space="preserve">required by 5 CFR 1320.8(d), soliciting comments on the information collection prior to submission to OMB.  Summarize public comments received in response to that notice and </w:t>
      </w:r>
      <w:r w:rsidR="00386054" w:rsidRPr="00322A28">
        <w:rPr>
          <w:rFonts w:ascii="Times New Roman" w:hAnsi="Times New Roman"/>
          <w:szCs w:val="24"/>
        </w:rPr>
        <w:lastRenderedPageBreak/>
        <w:t>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D91AC6" w:rsidRPr="00322A28">
        <w:rPr>
          <w:rFonts w:ascii="Times New Roman" w:hAnsi="Times New Roman"/>
          <w:szCs w:val="24"/>
        </w:rPr>
        <w:t>regulations</w:t>
      </w:r>
      <w:r w:rsidR="0009794E" w:rsidRPr="00322A28">
        <w:rPr>
          <w:rFonts w:ascii="Times New Roman" w:hAnsi="Times New Roman"/>
          <w:szCs w:val="24"/>
        </w:rPr>
        <w:t xml:space="preserve"> were developed through the Negotiated Rulemaking process where the public provided its input and </w:t>
      </w:r>
      <w:r w:rsidRPr="00322A28">
        <w:rPr>
          <w:rFonts w:ascii="Times New Roman" w:hAnsi="Times New Roman"/>
          <w:szCs w:val="24"/>
        </w:rPr>
        <w:t xml:space="preserve">in consultation with schools, </w:t>
      </w:r>
      <w:r w:rsidR="00D91AC6">
        <w:rPr>
          <w:rFonts w:ascii="Times New Roman" w:hAnsi="Times New Roman"/>
          <w:szCs w:val="24"/>
        </w:rPr>
        <w:t>and a variety of professional associations and</w:t>
      </w:r>
      <w:r w:rsidR="00C97C49" w:rsidRPr="00322A28">
        <w:rPr>
          <w:rFonts w:ascii="Times New Roman" w:hAnsi="Times New Roman"/>
          <w:szCs w:val="24"/>
        </w:rPr>
        <w:t xml:space="preserve"> other interested parties</w:t>
      </w:r>
      <w:r w:rsidRPr="00322A28">
        <w:rPr>
          <w:rFonts w:ascii="Times New Roman" w:hAnsi="Times New Roman"/>
          <w:szCs w:val="24"/>
        </w:rPr>
        <w:t>.</w:t>
      </w:r>
      <w:r w:rsidR="00C97C49" w:rsidRPr="00322A28">
        <w:rPr>
          <w:rFonts w:ascii="Times New Roman" w:hAnsi="Times New Roman"/>
          <w:szCs w:val="24"/>
        </w:rPr>
        <w:t xml:space="preserve">  </w:t>
      </w:r>
      <w:r w:rsidR="00D91AC6">
        <w:rPr>
          <w:rFonts w:ascii="Times New Roman" w:hAnsi="Times New Roman"/>
          <w:szCs w:val="24"/>
        </w:rPr>
        <w:t xml:space="preserve">The comment period for the burden associated with these </w:t>
      </w:r>
      <w:r w:rsidR="007723B5">
        <w:rPr>
          <w:rFonts w:ascii="Times New Roman" w:hAnsi="Times New Roman"/>
          <w:szCs w:val="24"/>
        </w:rPr>
        <w:t xml:space="preserve">final </w:t>
      </w:r>
      <w:r w:rsidR="00D91AC6">
        <w:rPr>
          <w:rFonts w:ascii="Times New Roman" w:hAnsi="Times New Roman"/>
          <w:szCs w:val="24"/>
        </w:rPr>
        <w:t xml:space="preserve">regulations will run concurrently with the comment period for the </w:t>
      </w:r>
      <w:r w:rsidR="007723B5">
        <w:rPr>
          <w:rFonts w:ascii="Times New Roman" w:hAnsi="Times New Roman"/>
          <w:szCs w:val="24"/>
        </w:rPr>
        <w:t>final</w:t>
      </w:r>
      <w:r w:rsidR="00D91AC6">
        <w:rPr>
          <w:rFonts w:ascii="Times New Roman" w:hAnsi="Times New Roman"/>
          <w:szCs w:val="24"/>
        </w:rPr>
        <w:t xml:space="preserve"> regulations.  </w:t>
      </w:r>
      <w:r w:rsidR="007723B5">
        <w:rPr>
          <w:rFonts w:ascii="Times New Roman" w:hAnsi="Times New Roman"/>
          <w:szCs w:val="24"/>
        </w:rPr>
        <w:t>During the initial 60 day comment period there were no specific comments on the burden calculations provided.  This release is for the 30 day comment period.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proofErr w:type="gramStart"/>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roofErr w:type="gramEnd"/>
    </w:p>
    <w:p w:rsidR="00386054" w:rsidRPr="00322A28" w:rsidRDefault="00386054">
      <w:pPr>
        <w:tabs>
          <w:tab w:val="left" w:pos="-720"/>
        </w:tabs>
        <w:suppressAutoHyphens/>
        <w:rPr>
          <w:rFonts w:ascii="Times New Roman" w:hAnsi="Times New Roman"/>
          <w:szCs w:val="24"/>
        </w:rPr>
      </w:pPr>
    </w:p>
    <w:p w:rsidR="00386054" w:rsidRDefault="00017119" w:rsidP="00AA1C4A">
      <w:pPr>
        <w:tabs>
          <w:tab w:val="left" w:pos="-720"/>
        </w:tabs>
        <w:suppressAutoHyphens/>
        <w:ind w:left="720"/>
        <w:rPr>
          <w:rFonts w:ascii="Times New Roman" w:hAnsi="Times New Roman"/>
          <w:szCs w:val="24"/>
        </w:rPr>
      </w:pPr>
      <w:r w:rsidRPr="00322A28">
        <w:rPr>
          <w:rFonts w:ascii="Times New Roman" w:hAnsi="Times New Roman"/>
          <w:szCs w:val="24"/>
        </w:rPr>
        <w:t>Privacy protected information is not being collected, rather the Department is providing information about students with Title IV, HEA program assistance as listed on our NSLDS system and the institution would be providing enrollment status information about the students to the Department via NSLDS.  Additionally, changes to borrower’s permanent address information would be provided by the institution to the Department.</w:t>
      </w:r>
    </w:p>
    <w:p w:rsidR="00AA1C4A" w:rsidRPr="00322A28" w:rsidRDefault="00AA1C4A" w:rsidP="00AA1C4A">
      <w:pPr>
        <w:tabs>
          <w:tab w:val="left" w:pos="-720"/>
        </w:tabs>
        <w:suppressAutoHyphens/>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22A28" w:rsidRDefault="00386054">
      <w:pPr>
        <w:suppressAutoHyphens/>
        <w:rPr>
          <w:rFonts w:ascii="Times New Roman" w:hAnsi="Times New Roman"/>
          <w:szCs w:val="24"/>
        </w:rPr>
      </w:pPr>
    </w:p>
    <w:p w:rsidR="00697E95" w:rsidRPr="00697E95" w:rsidRDefault="00697E95" w:rsidP="00322A28">
      <w:pPr>
        <w:ind w:left="720"/>
        <w:rPr>
          <w:rFonts w:ascii="Times New Roman" w:hAnsi="Times New Roman"/>
          <w:szCs w:val="24"/>
          <w:u w:val="single"/>
        </w:rPr>
      </w:pPr>
      <w:r w:rsidRPr="00697E95">
        <w:rPr>
          <w:rFonts w:ascii="Times New Roman" w:hAnsi="Times New Roman"/>
          <w:szCs w:val="24"/>
          <w:u w:val="single"/>
        </w:rPr>
        <w:t>Section 674.19 – School Enrollment Status Reporting Requirements</w:t>
      </w:r>
    </w:p>
    <w:p w:rsidR="00697E95" w:rsidRDefault="00697E95" w:rsidP="00322A28">
      <w:pPr>
        <w:ind w:left="720"/>
        <w:rPr>
          <w:rFonts w:ascii="Times New Roman" w:hAnsi="Times New Roman"/>
          <w:szCs w:val="24"/>
        </w:rPr>
      </w:pPr>
    </w:p>
    <w:p w:rsidR="00322A28" w:rsidRPr="00322A28" w:rsidRDefault="00322A28" w:rsidP="00322A28">
      <w:pPr>
        <w:ind w:left="720"/>
        <w:rPr>
          <w:rFonts w:ascii="Times New Roman" w:hAnsi="Times New Roman"/>
          <w:szCs w:val="24"/>
        </w:rPr>
      </w:pPr>
      <w:r w:rsidRPr="00322A28">
        <w:rPr>
          <w:rFonts w:ascii="Times New Roman" w:hAnsi="Times New Roman"/>
          <w:szCs w:val="24"/>
        </w:rPr>
        <w:t>In the 2011 calendar year, there were 2,070,514 Federal Perkins Loan borrowers.  Of the 2,070,514 Federal Perkins Loan borrowers</w:t>
      </w:r>
      <w:r>
        <w:rPr>
          <w:rFonts w:ascii="Times New Roman" w:hAnsi="Times New Roman"/>
          <w:szCs w:val="24"/>
        </w:rPr>
        <w:t>,</w:t>
      </w:r>
      <w:r w:rsidRPr="00322A28">
        <w:rPr>
          <w:rFonts w:ascii="Times New Roman" w:hAnsi="Times New Roman"/>
          <w:szCs w:val="24"/>
        </w:rPr>
        <w:t xml:space="preserve"> 240,959 borrowers have a Federal Perkins Loans as the only loan received under title IV of the HEA.  Of the 240,959 borrowers, 53 percent (127,708 borrowers) were enrolled on at least a half-time basis</w:t>
      </w:r>
      <w:r w:rsidR="00924D2E">
        <w:rPr>
          <w:rFonts w:ascii="Times New Roman" w:hAnsi="Times New Roman"/>
          <w:szCs w:val="24"/>
        </w:rPr>
        <w:t xml:space="preserve"> or had recently changed enrollment status</w:t>
      </w:r>
      <w:r w:rsidRPr="00322A28">
        <w:rPr>
          <w:rFonts w:ascii="Times New Roman" w:hAnsi="Times New Roman"/>
          <w:szCs w:val="24"/>
        </w:rPr>
        <w:t xml:space="preserve">.  The Secretary will be sending enrollment reports to each of the institutions approximately every 60 days or 6 reports per year.  We estimate that on average the completion and submission of an enrollment report would take .05 hours (3 minutes) per borrower.  Burden would increase by 38,312 hours (127,708 borrowers </w:t>
      </w:r>
      <w:r w:rsidRPr="00322A28">
        <w:rPr>
          <w:rFonts w:ascii="Times New Roman" w:hAnsi="Times New Roman"/>
          <w:szCs w:val="24"/>
        </w:rPr>
        <w:lastRenderedPageBreak/>
        <w:t>multiplied by .05 hours per borrower multiplied by 6 reports per year) under OMB Control Number 1845-0019.</w:t>
      </w:r>
    </w:p>
    <w:p w:rsidR="00697E95" w:rsidRDefault="00697E95" w:rsidP="00697E95">
      <w:pPr>
        <w:ind w:left="720"/>
        <w:rPr>
          <w:rFonts w:ascii="Times New Roman" w:hAnsi="Times New Roman"/>
          <w:szCs w:val="24"/>
        </w:rPr>
      </w:pPr>
    </w:p>
    <w:p w:rsidR="00322A28" w:rsidRPr="00322A28" w:rsidRDefault="00322A28" w:rsidP="00697E95">
      <w:pPr>
        <w:ind w:left="720"/>
        <w:rPr>
          <w:rFonts w:ascii="Times New Roman" w:hAnsi="Times New Roman"/>
          <w:szCs w:val="24"/>
        </w:rPr>
      </w:pPr>
      <w:r w:rsidRPr="00322A28">
        <w:rPr>
          <w:rFonts w:ascii="Times New Roman" w:hAnsi="Times New Roman"/>
          <w:szCs w:val="24"/>
        </w:rPr>
        <w:t>For the 2011 calendar year 51 percent of the Federal Perkins loan borrowers were at public institutions, therefore we estimate that burden would increase for public institutions by 19,539 hours (38,312 multiplied by .51) under OMB 1845-0019.</w:t>
      </w:r>
    </w:p>
    <w:p w:rsidR="00697E95" w:rsidRDefault="00697E95" w:rsidP="00697E95">
      <w:pPr>
        <w:ind w:left="720"/>
        <w:rPr>
          <w:rFonts w:ascii="Times New Roman" w:hAnsi="Times New Roman"/>
          <w:szCs w:val="24"/>
        </w:rPr>
      </w:pPr>
    </w:p>
    <w:p w:rsidR="00322A28" w:rsidRPr="00322A28" w:rsidRDefault="00322A28" w:rsidP="00697E95">
      <w:pPr>
        <w:ind w:left="720"/>
        <w:rPr>
          <w:rFonts w:ascii="Times New Roman" w:hAnsi="Times New Roman"/>
          <w:szCs w:val="24"/>
        </w:rPr>
      </w:pPr>
      <w:r w:rsidRPr="00322A28">
        <w:rPr>
          <w:rFonts w:ascii="Times New Roman" w:hAnsi="Times New Roman"/>
          <w:szCs w:val="24"/>
        </w:rPr>
        <w:t>For the 2011 calendar year 45 percent of the Federal Perkins loan borrowers were at private not-for-profit institutions, therefore we estimate that burden would increase for private not-for-profit institutions by 17,240 hours (38,312 multiplied by .45) under OMB 1845-0019.</w:t>
      </w:r>
    </w:p>
    <w:p w:rsidR="00697E95" w:rsidRDefault="00697E95" w:rsidP="00697E95">
      <w:pPr>
        <w:ind w:left="720"/>
        <w:rPr>
          <w:rFonts w:ascii="Times New Roman" w:hAnsi="Times New Roman"/>
          <w:szCs w:val="24"/>
        </w:rPr>
      </w:pPr>
    </w:p>
    <w:p w:rsidR="00322A28" w:rsidRPr="00322A28" w:rsidRDefault="00322A28" w:rsidP="00697E95">
      <w:pPr>
        <w:ind w:left="720"/>
        <w:rPr>
          <w:rFonts w:ascii="Times New Roman" w:hAnsi="Times New Roman"/>
          <w:szCs w:val="24"/>
        </w:rPr>
      </w:pPr>
      <w:r w:rsidRPr="00322A28">
        <w:rPr>
          <w:rFonts w:ascii="Times New Roman" w:hAnsi="Times New Roman"/>
          <w:szCs w:val="24"/>
        </w:rPr>
        <w:t>For the 2011 calendar year 4 percent of the Federal Perkins loan borrowers were at proprietary institutions, therefore we estimate that burden would increase for private for-profit institutions by 1,533 hours (38,312 multiplied by .04) under OMB 1845-0019.</w:t>
      </w:r>
    </w:p>
    <w:p w:rsidR="00697E95" w:rsidRDefault="00697E95" w:rsidP="00697E95">
      <w:pPr>
        <w:ind w:left="720"/>
        <w:rPr>
          <w:rFonts w:ascii="Times New Roman" w:hAnsi="Times New Roman"/>
          <w:szCs w:val="24"/>
        </w:rPr>
      </w:pPr>
    </w:p>
    <w:p w:rsidR="00322A28" w:rsidRDefault="00322A28" w:rsidP="00697E95">
      <w:pPr>
        <w:ind w:left="720"/>
        <w:rPr>
          <w:rFonts w:ascii="Times New Roman" w:hAnsi="Times New Roman"/>
          <w:szCs w:val="24"/>
        </w:rPr>
      </w:pPr>
      <w:r w:rsidRPr="00322A28">
        <w:rPr>
          <w:rFonts w:ascii="Times New Roman" w:hAnsi="Times New Roman"/>
          <w:szCs w:val="24"/>
        </w:rPr>
        <w:t>Collectively, the regulatory changes to §674.19 would increase burden by 38,312 hours under OMB 1845-0019.</w:t>
      </w:r>
    </w:p>
    <w:p w:rsidR="00697E95" w:rsidRDefault="00697E95" w:rsidP="00924D2E">
      <w:pPr>
        <w:ind w:left="720" w:firstLine="72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Pr>
          <w:rFonts w:ascii="Times New Roman" w:hAnsi="Times New Roman"/>
          <w:szCs w:val="24"/>
          <w:u w:val="single"/>
        </w:rPr>
        <w:t>Section 674.19 - New Burden</w:t>
      </w:r>
      <w:r w:rsidRPr="00322A28">
        <w:rPr>
          <w:rFonts w:ascii="Times New Roman" w:hAnsi="Times New Roman"/>
          <w:szCs w:val="24"/>
          <w:u w:val="single"/>
        </w:rPr>
        <w:t>:</w:t>
      </w:r>
    </w:p>
    <w:p w:rsidR="00697E95" w:rsidRPr="00322A28" w:rsidRDefault="00697E95" w:rsidP="00697E95">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127,708</w:t>
      </w:r>
      <w:r w:rsidRPr="00322A28">
        <w:rPr>
          <w:rFonts w:ascii="Times New Roman" w:hAnsi="Times New Roman"/>
          <w:szCs w:val="24"/>
        </w:rPr>
        <w:tab/>
      </w:r>
      <w:r>
        <w:rPr>
          <w:rFonts w:ascii="Times New Roman" w:hAnsi="Times New Roman"/>
          <w:szCs w:val="24"/>
        </w:rPr>
        <w:t xml:space="preserve">          127,708</w:t>
      </w:r>
      <w:r w:rsidRPr="00322A28">
        <w:rPr>
          <w:rFonts w:ascii="Times New Roman" w:hAnsi="Times New Roman"/>
          <w:szCs w:val="24"/>
        </w:rPr>
        <w:tab/>
      </w:r>
      <w:r w:rsidRPr="00322A28">
        <w:rPr>
          <w:rFonts w:ascii="Times New Roman" w:hAnsi="Times New Roman"/>
          <w:szCs w:val="24"/>
        </w:rPr>
        <w:tab/>
        <w:t xml:space="preserve">  .0</w:t>
      </w:r>
      <w:r>
        <w:rPr>
          <w:rFonts w:ascii="Times New Roman" w:hAnsi="Times New Roman"/>
          <w:szCs w:val="24"/>
        </w:rPr>
        <w:t>5</w:t>
      </w:r>
      <w:r w:rsidRPr="00322A28">
        <w:rPr>
          <w:rFonts w:ascii="Times New Roman" w:hAnsi="Times New Roman"/>
          <w:szCs w:val="24"/>
        </w:rPr>
        <w:t xml:space="preserve"> </w:t>
      </w:r>
      <w:proofErr w:type="spellStart"/>
      <w:r w:rsidRPr="00322A28">
        <w:rPr>
          <w:rFonts w:ascii="Times New Roman" w:hAnsi="Times New Roman"/>
          <w:szCs w:val="24"/>
        </w:rPr>
        <w:t>hrs</w:t>
      </w:r>
      <w:proofErr w:type="spellEnd"/>
      <w:r w:rsidRPr="00322A28">
        <w:rPr>
          <w:rFonts w:ascii="Times New Roman" w:hAnsi="Times New Roman"/>
          <w:szCs w:val="24"/>
        </w:rPr>
        <w:tab/>
        <w:t xml:space="preserve">      </w:t>
      </w:r>
      <w:r>
        <w:rPr>
          <w:rFonts w:ascii="Times New Roman" w:hAnsi="Times New Roman"/>
          <w:szCs w:val="24"/>
        </w:rPr>
        <w:t xml:space="preserve">  38,312</w:t>
      </w:r>
    </w:p>
    <w:p w:rsidR="00697E95" w:rsidRDefault="00697E95" w:rsidP="00924D2E">
      <w:pPr>
        <w:ind w:left="720" w:firstLine="720"/>
        <w:rPr>
          <w:rFonts w:ascii="Times New Roman" w:hAnsi="Times New Roman"/>
          <w:szCs w:val="24"/>
        </w:rPr>
      </w:pPr>
    </w:p>
    <w:p w:rsidR="00697E95" w:rsidRDefault="00697E95" w:rsidP="00697E95">
      <w:pPr>
        <w:rPr>
          <w:rFonts w:ascii="Times New Roman" w:hAnsi="Times New Roman"/>
          <w:szCs w:val="24"/>
        </w:rPr>
      </w:pPr>
    </w:p>
    <w:p w:rsidR="00697E95" w:rsidRPr="00697E95" w:rsidRDefault="00697E95" w:rsidP="00697E95">
      <w:pPr>
        <w:rPr>
          <w:rFonts w:ascii="Times New Roman" w:hAnsi="Times New Roman"/>
          <w:szCs w:val="24"/>
          <w:u w:val="single"/>
        </w:rPr>
      </w:pPr>
      <w:r>
        <w:rPr>
          <w:rFonts w:ascii="Times New Roman" w:hAnsi="Times New Roman"/>
          <w:szCs w:val="24"/>
        </w:rPr>
        <w:tab/>
      </w:r>
      <w:r w:rsidRPr="00697E95">
        <w:rPr>
          <w:rFonts w:ascii="Times New Roman" w:hAnsi="Times New Roman"/>
          <w:szCs w:val="24"/>
          <w:u w:val="single"/>
        </w:rPr>
        <w:t>Section 674.34 – Deferment of Repayment – Federal Perkins Loans</w:t>
      </w:r>
    </w:p>
    <w:p w:rsidR="00697E95" w:rsidRPr="00322A28" w:rsidRDefault="00697E95" w:rsidP="00697E95">
      <w:pPr>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 xml:space="preserve">In calendar year 2011 there were 1,104 Perkins borrowers who applied for a graduate fellowship deferment.  We estimate that on average it would take the borrower .25 hours (15 minutes) to obtain the certification from an authorized official of the graduate fellowship program and to complete and submit the Perkins loan deferment form multiplied by an estimated 1,104 deferment applications equals 276 hours of increased burden </w:t>
      </w:r>
      <w:r w:rsidR="00AA1C4A">
        <w:rPr>
          <w:rFonts w:ascii="Times New Roman" w:hAnsi="Times New Roman"/>
          <w:szCs w:val="24"/>
        </w:rPr>
        <w:t xml:space="preserve">to the borrowers </w:t>
      </w:r>
      <w:r w:rsidRPr="00697E95">
        <w:rPr>
          <w:rFonts w:ascii="Times New Roman" w:hAnsi="Times New Roman"/>
          <w:szCs w:val="24"/>
        </w:rPr>
        <w:t>under OMB Control Number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For the 2011 calendar year</w:t>
      </w:r>
      <w:r w:rsidR="00AA1C4A">
        <w:rPr>
          <w:rFonts w:ascii="Times New Roman" w:hAnsi="Times New Roman"/>
          <w:szCs w:val="24"/>
        </w:rPr>
        <w:t>,</w:t>
      </w:r>
      <w:r w:rsidRPr="00697E95">
        <w:rPr>
          <w:rFonts w:ascii="Times New Roman" w:hAnsi="Times New Roman"/>
          <w:szCs w:val="24"/>
        </w:rPr>
        <w:t xml:space="preserve"> 51 percent of the Federal Perkins loan borrowers or 563 affected borrowers were at public institutions, therefore we estimate that burden would increase for public institutions </w:t>
      </w:r>
      <w:r w:rsidR="00AA1C4A">
        <w:rPr>
          <w:rFonts w:ascii="Times New Roman" w:hAnsi="Times New Roman"/>
          <w:szCs w:val="24"/>
        </w:rPr>
        <w:t xml:space="preserve">and their authorized officials </w:t>
      </w:r>
      <w:r w:rsidRPr="00697E95">
        <w:rPr>
          <w:rFonts w:ascii="Times New Roman" w:hAnsi="Times New Roman"/>
          <w:szCs w:val="24"/>
        </w:rPr>
        <w:t>by 141 hours (</w:t>
      </w:r>
      <w:r w:rsidR="00AA1C4A">
        <w:rPr>
          <w:rFonts w:ascii="Times New Roman" w:hAnsi="Times New Roman"/>
          <w:szCs w:val="24"/>
        </w:rPr>
        <w:t>1,104 applications multiplied by .51 multiplied by .25 hours per certification</w:t>
      </w:r>
      <w:r w:rsidRPr="00697E95">
        <w:rPr>
          <w:rFonts w:ascii="Times New Roman" w:hAnsi="Times New Roman"/>
          <w:szCs w:val="24"/>
        </w:rPr>
        <w:t>) under OMB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For the 2011 calendar year</w:t>
      </w:r>
      <w:r w:rsidR="00AA1C4A">
        <w:rPr>
          <w:rFonts w:ascii="Times New Roman" w:hAnsi="Times New Roman"/>
          <w:szCs w:val="24"/>
        </w:rPr>
        <w:t>,</w:t>
      </w:r>
      <w:r w:rsidRPr="00697E95">
        <w:rPr>
          <w:rFonts w:ascii="Times New Roman" w:hAnsi="Times New Roman"/>
          <w:szCs w:val="24"/>
        </w:rPr>
        <w:t xml:space="preserve"> 45 percent of the Federal Perkins loan borrowers or 497 affected borrowers were at private not-for-profit institutions, therefore we estimate that burden would increase for private not-for-profit institutions</w:t>
      </w:r>
      <w:r w:rsidR="00AA1C4A">
        <w:rPr>
          <w:rFonts w:ascii="Times New Roman" w:hAnsi="Times New Roman"/>
          <w:szCs w:val="24"/>
        </w:rPr>
        <w:t xml:space="preserve"> and their authorizing officials</w:t>
      </w:r>
      <w:r w:rsidRPr="00697E95">
        <w:rPr>
          <w:rFonts w:ascii="Times New Roman" w:hAnsi="Times New Roman"/>
          <w:szCs w:val="24"/>
        </w:rPr>
        <w:t xml:space="preserve"> by 124 hours (</w:t>
      </w:r>
      <w:r w:rsidR="00AA1C4A">
        <w:rPr>
          <w:rFonts w:ascii="Times New Roman" w:hAnsi="Times New Roman"/>
          <w:szCs w:val="24"/>
        </w:rPr>
        <w:t xml:space="preserve">1,104 applications multiplied by </w:t>
      </w:r>
      <w:r w:rsidRPr="00697E95">
        <w:rPr>
          <w:rFonts w:ascii="Times New Roman" w:hAnsi="Times New Roman"/>
          <w:szCs w:val="24"/>
        </w:rPr>
        <w:t>.45</w:t>
      </w:r>
      <w:r w:rsidR="00AA1C4A">
        <w:rPr>
          <w:rFonts w:ascii="Times New Roman" w:hAnsi="Times New Roman"/>
          <w:szCs w:val="24"/>
        </w:rPr>
        <w:t xml:space="preserve"> multiplied by .25 hours per certification</w:t>
      </w:r>
      <w:r w:rsidRPr="00697E95">
        <w:rPr>
          <w:rFonts w:ascii="Times New Roman" w:hAnsi="Times New Roman"/>
          <w:szCs w:val="24"/>
        </w:rPr>
        <w:t>) under OMB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lastRenderedPageBreak/>
        <w:t>For the 2011 calendar year</w:t>
      </w:r>
      <w:r w:rsidR="00AA1C4A">
        <w:rPr>
          <w:rFonts w:ascii="Times New Roman" w:hAnsi="Times New Roman"/>
          <w:szCs w:val="24"/>
        </w:rPr>
        <w:t>,</w:t>
      </w:r>
      <w:r w:rsidRPr="00697E95">
        <w:rPr>
          <w:rFonts w:ascii="Times New Roman" w:hAnsi="Times New Roman"/>
          <w:szCs w:val="24"/>
        </w:rPr>
        <w:t xml:space="preserve"> 4 percent of the Federal Perkins loan borrowers or 44 affected borrowers were at proprietary institutions, therefore we estimate that burden would increase for private not-for-profit institutions</w:t>
      </w:r>
      <w:r w:rsidR="00AA1C4A">
        <w:rPr>
          <w:rFonts w:ascii="Times New Roman" w:hAnsi="Times New Roman"/>
          <w:szCs w:val="24"/>
        </w:rPr>
        <w:t xml:space="preserve"> and their authorizing officials</w:t>
      </w:r>
      <w:r w:rsidRPr="00697E95">
        <w:rPr>
          <w:rFonts w:ascii="Times New Roman" w:hAnsi="Times New Roman"/>
          <w:szCs w:val="24"/>
        </w:rPr>
        <w:t xml:space="preserve"> by 11 hours (</w:t>
      </w:r>
      <w:r w:rsidR="00AA1C4A">
        <w:rPr>
          <w:rFonts w:ascii="Times New Roman" w:hAnsi="Times New Roman"/>
          <w:szCs w:val="24"/>
        </w:rPr>
        <w:t xml:space="preserve">1,104 applications multiplied </w:t>
      </w:r>
      <w:r w:rsidRPr="00697E95">
        <w:rPr>
          <w:rFonts w:ascii="Times New Roman" w:hAnsi="Times New Roman"/>
          <w:szCs w:val="24"/>
        </w:rPr>
        <w:t>.04</w:t>
      </w:r>
      <w:r w:rsidR="00AA1C4A">
        <w:rPr>
          <w:rFonts w:ascii="Times New Roman" w:hAnsi="Times New Roman"/>
          <w:szCs w:val="24"/>
        </w:rPr>
        <w:t xml:space="preserve"> multiplied by .25 hours per certification</w:t>
      </w:r>
      <w:r w:rsidRPr="00697E95">
        <w:rPr>
          <w:rFonts w:ascii="Times New Roman" w:hAnsi="Times New Roman"/>
          <w:szCs w:val="24"/>
        </w:rPr>
        <w:t>) under OMB 1845-0019.</w:t>
      </w:r>
    </w:p>
    <w:p w:rsidR="00697E95" w:rsidRDefault="00697E95" w:rsidP="00697E95">
      <w:pPr>
        <w:ind w:left="720"/>
        <w:rPr>
          <w:rFonts w:ascii="Times New Roman" w:hAnsi="Times New Roman"/>
          <w:szCs w:val="24"/>
        </w:rPr>
      </w:pPr>
    </w:p>
    <w:p w:rsidR="00697E95" w:rsidRPr="00697E95" w:rsidRDefault="00697E95" w:rsidP="00697E95">
      <w:pPr>
        <w:ind w:left="720"/>
        <w:rPr>
          <w:rFonts w:ascii="Times New Roman" w:hAnsi="Times New Roman"/>
          <w:szCs w:val="24"/>
        </w:rPr>
      </w:pPr>
      <w:r w:rsidRPr="00697E95">
        <w:rPr>
          <w:rFonts w:ascii="Times New Roman" w:hAnsi="Times New Roman"/>
          <w:szCs w:val="24"/>
        </w:rPr>
        <w:t xml:space="preserve">Collectively, the regulatory changes to §674.34 would increase burden by </w:t>
      </w:r>
      <w:r w:rsidR="00AA1C4A">
        <w:rPr>
          <w:rFonts w:ascii="Times New Roman" w:hAnsi="Times New Roman"/>
          <w:szCs w:val="24"/>
        </w:rPr>
        <w:t>552</w:t>
      </w:r>
      <w:r w:rsidRPr="00697E95">
        <w:rPr>
          <w:rFonts w:ascii="Times New Roman" w:hAnsi="Times New Roman"/>
          <w:szCs w:val="24"/>
        </w:rPr>
        <w:t xml:space="preserve"> hours under OMB 1845-0019.</w:t>
      </w:r>
    </w:p>
    <w:p w:rsidR="00DC66FA" w:rsidRPr="00322A28" w:rsidRDefault="00DC66FA" w:rsidP="00F8317C">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Pr>
          <w:rFonts w:ascii="Times New Roman" w:hAnsi="Times New Roman"/>
          <w:szCs w:val="24"/>
          <w:u w:val="single"/>
        </w:rPr>
        <w:t>Section 674.34 - New Burden</w:t>
      </w:r>
      <w:r w:rsidRPr="00322A28">
        <w:rPr>
          <w:rFonts w:ascii="Times New Roman" w:hAnsi="Times New Roman"/>
          <w:szCs w:val="24"/>
          <w:u w:val="single"/>
        </w:rPr>
        <w:t>:</w:t>
      </w:r>
    </w:p>
    <w:p w:rsidR="00697E95" w:rsidRPr="00322A28" w:rsidRDefault="00697E95" w:rsidP="00697E95">
      <w:pPr>
        <w:suppressAutoHyphens/>
        <w:ind w:left="700"/>
        <w:rPr>
          <w:rFonts w:ascii="Times New Roman" w:hAnsi="Times New Roman"/>
          <w:szCs w:val="24"/>
        </w:rPr>
      </w:pPr>
    </w:p>
    <w:p w:rsidR="00697E95" w:rsidRPr="00322A28" w:rsidRDefault="00697E95" w:rsidP="00697E95">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DC66FA" w:rsidRPr="00322A28" w:rsidRDefault="00697E95" w:rsidP="00F8317C">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AA1C4A">
        <w:rPr>
          <w:rFonts w:ascii="Times New Roman" w:hAnsi="Times New Roman"/>
          <w:szCs w:val="24"/>
        </w:rPr>
        <w:t>2</w:t>
      </w:r>
      <w:r>
        <w:rPr>
          <w:rFonts w:ascii="Times New Roman" w:hAnsi="Times New Roman"/>
          <w:szCs w:val="24"/>
        </w:rPr>
        <w:t>,</w:t>
      </w:r>
      <w:r w:rsidR="00AA1C4A">
        <w:rPr>
          <w:rFonts w:ascii="Times New Roman" w:hAnsi="Times New Roman"/>
          <w:szCs w:val="24"/>
        </w:rPr>
        <w:t>208</w:t>
      </w:r>
      <w:r>
        <w:rPr>
          <w:rFonts w:ascii="Times New Roman" w:hAnsi="Times New Roman"/>
          <w:szCs w:val="24"/>
        </w:rPr>
        <w:tab/>
        <w:t xml:space="preserve">            </w:t>
      </w:r>
      <w:r w:rsidR="00AA1C4A">
        <w:rPr>
          <w:rFonts w:ascii="Times New Roman" w:hAnsi="Times New Roman"/>
          <w:szCs w:val="24"/>
        </w:rPr>
        <w:t>2</w:t>
      </w:r>
      <w:r>
        <w:rPr>
          <w:rFonts w:ascii="Times New Roman" w:hAnsi="Times New Roman"/>
          <w:szCs w:val="24"/>
        </w:rPr>
        <w:t>,</w:t>
      </w:r>
      <w:r w:rsidR="00AA1C4A">
        <w:rPr>
          <w:rFonts w:ascii="Times New Roman" w:hAnsi="Times New Roman"/>
          <w:szCs w:val="24"/>
        </w:rPr>
        <w:t>208</w:t>
      </w:r>
      <w:r>
        <w:rPr>
          <w:rFonts w:ascii="Times New Roman" w:hAnsi="Times New Roman"/>
          <w:szCs w:val="24"/>
        </w:rPr>
        <w:tab/>
      </w:r>
      <w:r>
        <w:rPr>
          <w:rFonts w:ascii="Times New Roman" w:hAnsi="Times New Roman"/>
          <w:szCs w:val="24"/>
        </w:rPr>
        <w:tab/>
      </w:r>
      <w:r w:rsidR="00DD123C">
        <w:rPr>
          <w:rFonts w:ascii="Times New Roman" w:hAnsi="Times New Roman"/>
          <w:szCs w:val="24"/>
        </w:rPr>
        <w:t xml:space="preserve"> </w:t>
      </w:r>
      <w:r>
        <w:rPr>
          <w:rFonts w:ascii="Times New Roman" w:hAnsi="Times New Roman"/>
          <w:szCs w:val="24"/>
        </w:rPr>
        <w:t xml:space="preserve">.25 </w:t>
      </w:r>
      <w:proofErr w:type="spellStart"/>
      <w:r>
        <w:rPr>
          <w:rFonts w:ascii="Times New Roman" w:hAnsi="Times New Roman"/>
          <w:szCs w:val="24"/>
        </w:rPr>
        <w:t>hrs</w:t>
      </w:r>
      <w:proofErr w:type="spellEnd"/>
      <w:r>
        <w:rPr>
          <w:rFonts w:ascii="Times New Roman" w:hAnsi="Times New Roman"/>
          <w:szCs w:val="24"/>
        </w:rPr>
        <w:tab/>
      </w:r>
      <w:r>
        <w:rPr>
          <w:rFonts w:ascii="Times New Roman" w:hAnsi="Times New Roman"/>
          <w:szCs w:val="24"/>
        </w:rPr>
        <w:tab/>
        <w:t xml:space="preserve">         </w:t>
      </w:r>
      <w:r w:rsidR="00AA1C4A">
        <w:rPr>
          <w:rFonts w:ascii="Times New Roman" w:hAnsi="Times New Roman"/>
          <w:szCs w:val="24"/>
        </w:rPr>
        <w:t>552</w:t>
      </w:r>
    </w:p>
    <w:p w:rsidR="006972E6" w:rsidRDefault="006972E6" w:rsidP="00F8317C">
      <w:pPr>
        <w:suppressAutoHyphens/>
        <w:ind w:left="700"/>
        <w:rPr>
          <w:rFonts w:ascii="Times New Roman" w:hAnsi="Times New Roman"/>
          <w:szCs w:val="24"/>
        </w:rPr>
      </w:pPr>
    </w:p>
    <w:p w:rsidR="0030742F" w:rsidRPr="00322A28" w:rsidRDefault="0030742F" w:rsidP="0030742F">
      <w:pPr>
        <w:suppressAutoHyphens/>
        <w:ind w:left="700"/>
        <w:rPr>
          <w:rFonts w:ascii="Times New Roman" w:hAnsi="Times New Roman"/>
          <w:szCs w:val="24"/>
          <w:u w:val="single"/>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22A28">
        <w:rPr>
          <w:rFonts w:ascii="Times New Roman" w:hAnsi="Times New Roman"/>
          <w:szCs w:val="24"/>
          <w:u w:val="single"/>
        </w:rPr>
        <w:t>:</w:t>
      </w:r>
    </w:p>
    <w:p w:rsidR="0030742F" w:rsidRPr="00322A28" w:rsidRDefault="0030742F" w:rsidP="0030742F">
      <w:pPr>
        <w:suppressAutoHyphens/>
        <w:ind w:left="720" w:firstLine="720"/>
        <w:rPr>
          <w:rFonts w:ascii="Times New Roman" w:hAnsi="Times New Roman"/>
          <w:szCs w:val="24"/>
          <w:u w:val="single"/>
        </w:rPr>
      </w:pPr>
      <w:r w:rsidRPr="00322A28">
        <w:rPr>
          <w:rFonts w:ascii="Times New Roman" w:hAnsi="Times New Roman"/>
          <w:szCs w:val="24"/>
        </w:rPr>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11,486,794              11,486,794                                         6,208,288</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p>
    <w:p w:rsidR="0030742F" w:rsidRPr="00322A28" w:rsidRDefault="0030742F" w:rsidP="0030742F">
      <w:pPr>
        <w:suppressAutoHyphens/>
        <w:ind w:left="700"/>
        <w:rPr>
          <w:rFonts w:ascii="Times New Roman" w:hAnsi="Times New Roman"/>
          <w:szCs w:val="24"/>
        </w:rPr>
      </w:pPr>
      <w:r>
        <w:rPr>
          <w:rFonts w:ascii="Times New Roman" w:hAnsi="Times New Roman"/>
          <w:szCs w:val="24"/>
          <w:u w:val="single"/>
        </w:rPr>
        <w:t>New Burden</w:t>
      </w:r>
      <w:r w:rsidRPr="00322A28">
        <w:rPr>
          <w:rFonts w:ascii="Times New Roman" w:hAnsi="Times New Roman"/>
          <w:szCs w:val="24"/>
          <w:u w:val="single"/>
        </w:rPr>
        <w:t>:</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xml:space="preserve"># </w:t>
      </w:r>
      <w:proofErr w:type="gramStart"/>
      <w:r w:rsidRPr="00322A28">
        <w:rPr>
          <w:rFonts w:ascii="Times New Roman" w:hAnsi="Times New Roman"/>
          <w:szCs w:val="24"/>
        </w:rPr>
        <w:t>of</w:t>
      </w:r>
      <w:proofErr w:type="gramEnd"/>
      <w:r w:rsidRPr="00322A28">
        <w:rPr>
          <w:rFonts w:ascii="Times New Roman" w:hAnsi="Times New Roman"/>
          <w:szCs w:val="24"/>
        </w:rPr>
        <w:t xml:space="preserve"> Respondents</w:t>
      </w:r>
      <w:r w:rsidRPr="00322A28">
        <w:rPr>
          <w:rFonts w:ascii="Times New Roman" w:hAnsi="Times New Roman"/>
          <w:szCs w:val="24"/>
        </w:rPr>
        <w:tab/>
        <w:t># of Responses    Hours/Response    Burden Hours</w:t>
      </w:r>
    </w:p>
    <w:p w:rsidR="0030742F" w:rsidRPr="00322A28" w:rsidRDefault="0030742F" w:rsidP="0030742F">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12</w:t>
      </w:r>
      <w:r w:rsidR="0021171B">
        <w:rPr>
          <w:rFonts w:ascii="Times New Roman" w:hAnsi="Times New Roman"/>
          <w:szCs w:val="24"/>
        </w:rPr>
        <w:t>9</w:t>
      </w:r>
      <w:r>
        <w:rPr>
          <w:rFonts w:ascii="Times New Roman" w:hAnsi="Times New Roman"/>
          <w:szCs w:val="24"/>
        </w:rPr>
        <w:t>,</w:t>
      </w:r>
      <w:r w:rsidR="0021171B">
        <w:rPr>
          <w:rFonts w:ascii="Times New Roman" w:hAnsi="Times New Roman"/>
          <w:szCs w:val="24"/>
        </w:rPr>
        <w:t>916</w:t>
      </w:r>
      <w:r w:rsidRPr="00322A28">
        <w:rPr>
          <w:rFonts w:ascii="Times New Roman" w:hAnsi="Times New Roman"/>
          <w:szCs w:val="24"/>
        </w:rPr>
        <w:tab/>
      </w:r>
      <w:r>
        <w:rPr>
          <w:rFonts w:ascii="Times New Roman" w:hAnsi="Times New Roman"/>
          <w:szCs w:val="24"/>
        </w:rPr>
        <w:t xml:space="preserve">          </w:t>
      </w:r>
      <w:r w:rsidR="0021171B">
        <w:rPr>
          <w:rFonts w:ascii="Times New Roman" w:hAnsi="Times New Roman"/>
          <w:szCs w:val="24"/>
        </w:rPr>
        <w:t>129,916</w:t>
      </w:r>
      <w:r w:rsidRPr="00322A28">
        <w:rPr>
          <w:rFonts w:ascii="Times New Roman" w:hAnsi="Times New Roman"/>
          <w:szCs w:val="24"/>
        </w:rPr>
        <w:tab/>
      </w:r>
      <w:r w:rsidRPr="00322A28">
        <w:rPr>
          <w:rFonts w:ascii="Times New Roman" w:hAnsi="Times New Roman"/>
          <w:szCs w:val="24"/>
        </w:rPr>
        <w:tab/>
        <w:t xml:space="preserve">  </w:t>
      </w:r>
      <w:r>
        <w:rPr>
          <w:rFonts w:ascii="Times New Roman" w:hAnsi="Times New Roman"/>
          <w:szCs w:val="24"/>
        </w:rPr>
        <w:t xml:space="preserve">           </w:t>
      </w:r>
      <w:r w:rsidRPr="00322A28">
        <w:rPr>
          <w:rFonts w:ascii="Times New Roman" w:hAnsi="Times New Roman"/>
          <w:szCs w:val="24"/>
        </w:rPr>
        <w:tab/>
        <w:t xml:space="preserve">      </w:t>
      </w:r>
      <w:r>
        <w:rPr>
          <w:rFonts w:ascii="Times New Roman" w:hAnsi="Times New Roman"/>
          <w:szCs w:val="24"/>
        </w:rPr>
        <w:t xml:space="preserve">  38,</w:t>
      </w:r>
      <w:r w:rsidR="0021171B">
        <w:rPr>
          <w:rFonts w:ascii="Times New Roman" w:hAnsi="Times New Roman"/>
          <w:szCs w:val="24"/>
        </w:rPr>
        <w:t>864</w:t>
      </w:r>
    </w:p>
    <w:p w:rsidR="0030742F" w:rsidRDefault="0030742F" w:rsidP="0030742F">
      <w:pPr>
        <w:suppressAutoHyphens/>
        <w:ind w:left="700"/>
        <w:rPr>
          <w:rFonts w:ascii="Times New Roman" w:hAnsi="Times New Roman"/>
          <w:szCs w:val="24"/>
        </w:rPr>
      </w:pPr>
    </w:p>
    <w:p w:rsidR="0030742F" w:rsidRPr="00322A28" w:rsidRDefault="0030742F" w:rsidP="0030742F">
      <w:pPr>
        <w:suppressAutoHyphens/>
        <w:ind w:left="700"/>
        <w:rPr>
          <w:rFonts w:ascii="Times New Roman" w:hAnsi="Times New Roman"/>
          <w:szCs w:val="24"/>
        </w:rPr>
      </w:pPr>
      <w:r>
        <w:rPr>
          <w:rFonts w:ascii="Times New Roman" w:hAnsi="Times New Roman"/>
          <w:szCs w:val="24"/>
          <w:u w:val="single"/>
        </w:rPr>
        <w:t>Revised Numbers Requested</w:t>
      </w:r>
      <w:r w:rsidRPr="00322A28">
        <w:rPr>
          <w:rFonts w:ascii="Times New Roman" w:hAnsi="Times New Roman"/>
          <w:szCs w:val="24"/>
        </w:rPr>
        <w:t>:</w:t>
      </w:r>
    </w:p>
    <w:p w:rsidR="00303E96" w:rsidRDefault="0030742F" w:rsidP="0030742F">
      <w:pPr>
        <w:suppressAutoHyphens/>
        <w:ind w:left="700"/>
        <w:rPr>
          <w:rFonts w:ascii="Times New Roman" w:hAnsi="Times New Roman"/>
          <w:szCs w:val="24"/>
        </w:rPr>
      </w:pPr>
      <w:r w:rsidRPr="00322A28">
        <w:rPr>
          <w:rFonts w:ascii="Times New Roman" w:hAnsi="Times New Roman"/>
          <w:szCs w:val="24"/>
        </w:rPr>
        <w:tab/>
        <w:t xml:space="preserve">                   </w:t>
      </w:r>
      <w:r>
        <w:rPr>
          <w:rFonts w:ascii="Times New Roman" w:hAnsi="Times New Roman"/>
          <w:szCs w:val="24"/>
        </w:rPr>
        <w:t xml:space="preserve">11,616,710                11,616,710 </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6,247,152</w:t>
      </w:r>
    </w:p>
    <w:p w:rsidR="0021171B" w:rsidRDefault="0021171B" w:rsidP="0030742F">
      <w:pPr>
        <w:suppressAutoHyphens/>
        <w:ind w:left="700"/>
        <w:rPr>
          <w:rFonts w:ascii="Times New Roman" w:hAnsi="Times New Roman"/>
          <w:szCs w:val="24"/>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pPr>
        <w:numPr>
          <w:ilvl w:val="12"/>
          <w:numId w:val="0"/>
        </w:numPr>
        <w:tabs>
          <w:tab w:val="left" w:pos="-720"/>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w:t>
      </w:r>
      <w:r w:rsidRPr="00322A28">
        <w:rPr>
          <w:rFonts w:ascii="Times New Roman" w:hAnsi="Times New Roman"/>
          <w:szCs w:val="24"/>
        </w:rPr>
        <w:lastRenderedPageBreak/>
        <w:t>economic or regulatory impact analysis associated with the rulemaking containing the information collection, as appropriate.</w:t>
      </w:r>
    </w:p>
    <w:p w:rsidR="00386054" w:rsidRPr="00322A28" w:rsidRDefault="00386054" w:rsidP="003C29C2">
      <w:pPr>
        <w:tabs>
          <w:tab w:val="left" w:pos="-720"/>
          <w:tab w:val="left" w:pos="1247"/>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0"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0"/>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1"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2"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C97C49"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 xml:space="preserve">The cost to the federal government is minimal </w:t>
      </w:r>
      <w:r w:rsidR="0002588E">
        <w:t xml:space="preserve">to the </w:t>
      </w:r>
      <w:r w:rsidR="006972E6" w:rsidRPr="00322A28">
        <w:t xml:space="preserve">Department </w:t>
      </w:r>
      <w:r w:rsidR="0002588E">
        <w:t>since School Enrollment Status Reporting has been occurring for many years under the title “Student Status Confirmation Reporting”.  The addition of the Perkins reporting would be the newly added reporting.</w:t>
      </w:r>
      <w:r w:rsidR="00DD123C">
        <w:t xml:space="preserve">  There is little or no cost to the Department regarding the criteria used to determine whether a borrower in a graduate fellowship program is eligible for a Perkins Loan deferment since the information is provided to the institution where the Perkins Loan is held and the determination is made by the loan holder – the institution that originally provided the Perkins Loan to the borrower.</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5E69AC" w:rsidRDefault="0021171B" w:rsidP="00F60E9C">
      <w:pPr>
        <w:tabs>
          <w:tab w:val="left" w:pos="-720"/>
        </w:tabs>
        <w:suppressAutoHyphens/>
        <w:ind w:left="720"/>
        <w:rPr>
          <w:rFonts w:ascii="Times New Roman" w:hAnsi="Times New Roman"/>
          <w:szCs w:val="24"/>
        </w:rPr>
      </w:pPr>
      <w:r>
        <w:rPr>
          <w:rFonts w:ascii="Times New Roman" w:hAnsi="Times New Roman"/>
          <w:szCs w:val="24"/>
        </w:rPr>
        <w:t>This request is a revision of the current information collections.  The regulations would increase burden by 38,</w:t>
      </w:r>
      <w:r w:rsidR="00540397">
        <w:rPr>
          <w:rFonts w:ascii="Times New Roman" w:hAnsi="Times New Roman"/>
          <w:szCs w:val="24"/>
        </w:rPr>
        <w:t>864</w:t>
      </w:r>
      <w:r>
        <w:rPr>
          <w:rFonts w:ascii="Times New Roman" w:hAnsi="Times New Roman"/>
          <w:szCs w:val="24"/>
        </w:rPr>
        <w:t xml:space="preserve"> hours.  Under 674.19, institutions participating in the Title IV, </w:t>
      </w:r>
      <w:r>
        <w:rPr>
          <w:rFonts w:ascii="Times New Roman" w:hAnsi="Times New Roman"/>
          <w:szCs w:val="24"/>
        </w:rPr>
        <w:lastRenderedPageBreak/>
        <w:t xml:space="preserve">HEA programs already report student enrollment status information via NSLDS.  The Department sends student enrollment status information reports to participating institution approximately every 60 days.  The institution would be required to report data for a student for whom a Federal Perkins loan is their only Title IV loan (since students who also have either a FFEL or Direct Loan have been reported under the current FFEL and DL requirements).  Under </w:t>
      </w:r>
      <w:bookmarkStart w:id="3" w:name="_GoBack"/>
      <w:bookmarkEnd w:id="3"/>
      <w:r>
        <w:rPr>
          <w:rFonts w:ascii="Times New Roman" w:hAnsi="Times New Roman"/>
          <w:szCs w:val="24"/>
        </w:rPr>
        <w:t>674.34, the criteria used to make a determination of whether a borrower in a graduate fellowship program may be granted a Perkins Loan deferment and so the deferment is made under the same criteria used for the FFEL and Direct Loan programs.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5CF" w:rsidRDefault="003B75CF">
      <w:pPr>
        <w:spacing w:line="20" w:lineRule="exact"/>
      </w:pPr>
    </w:p>
  </w:endnote>
  <w:endnote w:type="continuationSeparator" w:id="0">
    <w:p w:rsidR="003B75CF" w:rsidRDefault="003B75CF">
      <w:r>
        <w:t xml:space="preserve"> </w:t>
      </w:r>
    </w:p>
  </w:endnote>
  <w:endnote w:type="continuationNotice" w:id="1">
    <w:p w:rsidR="003B75CF" w:rsidRDefault="003B75C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B5" w:rsidRDefault="007723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0" w:rsidRDefault="008D5ED0">
    <w:pPr>
      <w:spacing w:before="140" w:line="100" w:lineRule="exact"/>
      <w:rPr>
        <w:sz w:val="10"/>
      </w:rPr>
    </w:pPr>
  </w:p>
  <w:p w:rsidR="008D5ED0" w:rsidRPr="00F60E9C" w:rsidRDefault="008D5ED0">
    <w:pPr>
      <w:tabs>
        <w:tab w:val="left" w:pos="0"/>
      </w:tabs>
      <w:suppressAutoHyphens/>
      <w:rPr>
        <w:rFonts w:ascii="Times New Roman" w:hAnsi="Times New Roman"/>
        <w:sz w:val="16"/>
        <w:szCs w:val="16"/>
      </w:rPr>
    </w:pPr>
  </w:p>
  <w:p w:rsidR="008D5ED0" w:rsidRPr="00F60E9C" w:rsidRDefault="008D5ED0">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EC271D">
                            <w:rPr>
                              <w:rFonts w:ascii="Times New Roman" w:hAnsi="Times New Roman"/>
                              <w:noProof/>
                              <w:sz w:val="16"/>
                              <w:szCs w:val="16"/>
                            </w:rPr>
                            <w:t>9</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8D5ED0" w:rsidRPr="00F60E9C" w:rsidRDefault="008D5ED0">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EC271D">
                      <w:rPr>
                        <w:rFonts w:ascii="Times New Roman" w:hAnsi="Times New Roman"/>
                        <w:noProof/>
                        <w:sz w:val="16"/>
                        <w:szCs w:val="16"/>
                      </w:rPr>
                      <w:t>9</w:t>
                    </w:r>
                    <w:r w:rsidRPr="00F60E9C">
                      <w:rPr>
                        <w:rFonts w:ascii="Times New Roman" w:hAnsi="Times New Roman"/>
                        <w:noProof/>
                        <w:sz w:val="16"/>
                        <w:szCs w:val="16"/>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B5" w:rsidRDefault="00772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5CF" w:rsidRDefault="003B75CF">
      <w:r>
        <w:separator/>
      </w:r>
    </w:p>
  </w:footnote>
  <w:footnote w:type="continuationSeparator" w:id="0">
    <w:p w:rsidR="003B75CF" w:rsidRDefault="003B75CF">
      <w:r>
        <w:continuationSeparator/>
      </w:r>
    </w:p>
  </w:footnote>
  <w:footnote w:id="1">
    <w:p w:rsidR="008D5ED0" w:rsidRDefault="008D5ED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8D5ED0" w:rsidRDefault="008D5ED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B5" w:rsidRDefault="007723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ED0" w:rsidRPr="005E1A9B" w:rsidRDefault="00AA1C4A">
    <w:pPr>
      <w:pStyle w:val="Header"/>
      <w:rPr>
        <w:rFonts w:ascii="Times New Roman" w:hAnsi="Times New Roman"/>
        <w:sz w:val="20"/>
      </w:rPr>
    </w:pPr>
    <w:r>
      <w:rPr>
        <w:rFonts w:ascii="Times New Roman" w:hAnsi="Times New Roman"/>
        <w:sz w:val="20"/>
      </w:rPr>
      <w:t xml:space="preserve">ICRAS and </w:t>
    </w:r>
    <w:r w:rsidR="008D5ED0">
      <w:rPr>
        <w:rFonts w:ascii="Times New Roman" w:hAnsi="Times New Roman"/>
        <w:sz w:val="20"/>
      </w:rPr>
      <w:t>OMB Number</w:t>
    </w:r>
    <w:r w:rsidR="008D5ED0" w:rsidRPr="005E1A9B">
      <w:rPr>
        <w:rFonts w:ascii="Times New Roman" w:hAnsi="Times New Roman"/>
        <w:sz w:val="20"/>
      </w:rPr>
      <w:t>: (</w:t>
    </w:r>
    <w:r w:rsidR="0030742F">
      <w:rPr>
        <w:rFonts w:ascii="Times New Roman" w:hAnsi="Times New Roman"/>
        <w:sz w:val="20"/>
      </w:rPr>
      <w:t>1400.16</w:t>
    </w:r>
    <w:r w:rsidR="008D5ED0" w:rsidRPr="005E1A9B">
      <w:rPr>
        <w:rFonts w:ascii="Times New Roman" w:hAnsi="Times New Roman"/>
        <w:sz w:val="20"/>
      </w:rPr>
      <w:t>) 1845-00</w:t>
    </w:r>
    <w:r w:rsidR="008D5ED0">
      <w:rPr>
        <w:rFonts w:ascii="Times New Roman" w:hAnsi="Times New Roman"/>
        <w:sz w:val="20"/>
      </w:rPr>
      <w:t>19</w:t>
    </w:r>
    <w:r w:rsidR="008D5ED0" w:rsidRPr="005E1A9B">
      <w:rPr>
        <w:rFonts w:ascii="Times New Roman" w:hAnsi="Times New Roman"/>
        <w:sz w:val="20"/>
      </w:rPr>
      <w:t xml:space="preserve"> v</w:t>
    </w:r>
    <w:r w:rsidR="008D5ED0">
      <w:rPr>
        <w:rFonts w:ascii="Times New Roman" w:hAnsi="Times New Roman"/>
        <w:sz w:val="20"/>
      </w:rPr>
      <w:t>.7</w:t>
    </w:r>
    <w:r w:rsidR="008D5ED0" w:rsidRPr="005E1A9B">
      <w:rPr>
        <w:rFonts w:ascii="Times New Roman" w:hAnsi="Times New Roman"/>
        <w:sz w:val="20"/>
      </w:rPr>
      <w:t xml:space="preserve">                                         Revised: </w:t>
    </w:r>
    <w:r w:rsidR="007723B5">
      <w:rPr>
        <w:rFonts w:ascii="Times New Roman" w:hAnsi="Times New Roman"/>
        <w:sz w:val="20"/>
      </w:rPr>
      <w:t>9</w:t>
    </w:r>
    <w:r w:rsidR="007C7EAA">
      <w:rPr>
        <w:rFonts w:ascii="Times New Roman" w:hAnsi="Times New Roman"/>
        <w:sz w:val="20"/>
      </w:rPr>
      <w:t>/</w:t>
    </w:r>
    <w:r w:rsidR="007723B5">
      <w:rPr>
        <w:rFonts w:ascii="Times New Roman" w:hAnsi="Times New Roman"/>
        <w:sz w:val="20"/>
      </w:rPr>
      <w:t>13</w:t>
    </w:r>
    <w:r w:rsidR="008D5ED0">
      <w:rPr>
        <w:rFonts w:ascii="Times New Roman" w:hAnsi="Times New Roman"/>
        <w:sz w:val="20"/>
      </w:rPr>
      <w:t>/</w:t>
    </w:r>
    <w:r w:rsidR="008D5ED0" w:rsidRPr="005E1A9B">
      <w:rPr>
        <w:rFonts w:ascii="Times New Roman" w:hAnsi="Times New Roman"/>
        <w:sz w:val="20"/>
      </w:rPr>
      <w:t>201</w:t>
    </w:r>
    <w:r w:rsidR="007D6E05">
      <w:rPr>
        <w:rFonts w:ascii="Times New Roman" w:hAnsi="Times New Roman"/>
        <w:sz w:val="20"/>
      </w:rPr>
      <w:t>3</w:t>
    </w:r>
  </w:p>
  <w:p w:rsidR="008D5ED0" w:rsidRPr="00386054" w:rsidRDefault="008D5ED0">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sidR="0030742F">
      <w:rPr>
        <w:rFonts w:ascii="Times New Roman" w:hAnsi="Times New Roman"/>
        <w:szCs w:val="24"/>
      </w:rPr>
      <w:t>12</w:t>
    </w:r>
    <w:r w:rsidRPr="00DE5E39">
      <w:rPr>
        <w:rFonts w:ascii="Courier New" w:hAnsi="Courier New" w:cs="Courier New"/>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3B5" w:rsidRDefault="00772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588E"/>
    <w:rsid w:val="00050CBE"/>
    <w:rsid w:val="000909E0"/>
    <w:rsid w:val="0009794E"/>
    <w:rsid w:val="000B14D8"/>
    <w:rsid w:val="000E592D"/>
    <w:rsid w:val="000F175B"/>
    <w:rsid w:val="00111843"/>
    <w:rsid w:val="0014500F"/>
    <w:rsid w:val="00153F20"/>
    <w:rsid w:val="00161DB3"/>
    <w:rsid w:val="001743A5"/>
    <w:rsid w:val="0018279C"/>
    <w:rsid w:val="0020388B"/>
    <w:rsid w:val="0021171B"/>
    <w:rsid w:val="00240D8C"/>
    <w:rsid w:val="0024425E"/>
    <w:rsid w:val="002473CE"/>
    <w:rsid w:val="0025149D"/>
    <w:rsid w:val="002B0412"/>
    <w:rsid w:val="002B0A95"/>
    <w:rsid w:val="002C656F"/>
    <w:rsid w:val="002D6373"/>
    <w:rsid w:val="00303E96"/>
    <w:rsid w:val="0030742F"/>
    <w:rsid w:val="00322A28"/>
    <w:rsid w:val="003456B4"/>
    <w:rsid w:val="00386054"/>
    <w:rsid w:val="003B3D6C"/>
    <w:rsid w:val="003B75CF"/>
    <w:rsid w:val="003C29C2"/>
    <w:rsid w:val="003C7352"/>
    <w:rsid w:val="003C7F70"/>
    <w:rsid w:val="003D69E9"/>
    <w:rsid w:val="003E1014"/>
    <w:rsid w:val="003E285A"/>
    <w:rsid w:val="00480DDB"/>
    <w:rsid w:val="004A2DBB"/>
    <w:rsid w:val="004D2A65"/>
    <w:rsid w:val="004E23D9"/>
    <w:rsid w:val="004E5ABC"/>
    <w:rsid w:val="004F692A"/>
    <w:rsid w:val="00512598"/>
    <w:rsid w:val="00530805"/>
    <w:rsid w:val="00540397"/>
    <w:rsid w:val="005616B9"/>
    <w:rsid w:val="00563CCF"/>
    <w:rsid w:val="005958DC"/>
    <w:rsid w:val="005A1566"/>
    <w:rsid w:val="005A1DFC"/>
    <w:rsid w:val="005A4185"/>
    <w:rsid w:val="005D2E7B"/>
    <w:rsid w:val="005E1A9B"/>
    <w:rsid w:val="005E69AC"/>
    <w:rsid w:val="005F2002"/>
    <w:rsid w:val="00602307"/>
    <w:rsid w:val="0063484C"/>
    <w:rsid w:val="00654305"/>
    <w:rsid w:val="006737C0"/>
    <w:rsid w:val="00677BC2"/>
    <w:rsid w:val="006972E6"/>
    <w:rsid w:val="00697E95"/>
    <w:rsid w:val="006A3B5C"/>
    <w:rsid w:val="006C01D0"/>
    <w:rsid w:val="00752EB9"/>
    <w:rsid w:val="007661D9"/>
    <w:rsid w:val="007723B5"/>
    <w:rsid w:val="007901F3"/>
    <w:rsid w:val="007B0762"/>
    <w:rsid w:val="007B14E8"/>
    <w:rsid w:val="007C12B5"/>
    <w:rsid w:val="007C7EAA"/>
    <w:rsid w:val="007D6E05"/>
    <w:rsid w:val="007E77FA"/>
    <w:rsid w:val="008011B6"/>
    <w:rsid w:val="008173F9"/>
    <w:rsid w:val="008D2B8B"/>
    <w:rsid w:val="008D5ED0"/>
    <w:rsid w:val="008F3062"/>
    <w:rsid w:val="00921CB1"/>
    <w:rsid w:val="00924D2E"/>
    <w:rsid w:val="00942653"/>
    <w:rsid w:val="009450EB"/>
    <w:rsid w:val="009544A3"/>
    <w:rsid w:val="009949A8"/>
    <w:rsid w:val="009B3876"/>
    <w:rsid w:val="00A01331"/>
    <w:rsid w:val="00A41F2C"/>
    <w:rsid w:val="00A50A48"/>
    <w:rsid w:val="00A767D9"/>
    <w:rsid w:val="00A87940"/>
    <w:rsid w:val="00A94CCB"/>
    <w:rsid w:val="00AA1C4A"/>
    <w:rsid w:val="00AB0D7D"/>
    <w:rsid w:val="00AD016B"/>
    <w:rsid w:val="00B103CA"/>
    <w:rsid w:val="00B23EC0"/>
    <w:rsid w:val="00B532A4"/>
    <w:rsid w:val="00B7187F"/>
    <w:rsid w:val="00B73EC8"/>
    <w:rsid w:val="00BC244F"/>
    <w:rsid w:val="00BC5301"/>
    <w:rsid w:val="00BD1325"/>
    <w:rsid w:val="00BD3707"/>
    <w:rsid w:val="00C22642"/>
    <w:rsid w:val="00C319DE"/>
    <w:rsid w:val="00C445CD"/>
    <w:rsid w:val="00C46A6D"/>
    <w:rsid w:val="00C641E9"/>
    <w:rsid w:val="00C723C2"/>
    <w:rsid w:val="00C97C49"/>
    <w:rsid w:val="00C97FA3"/>
    <w:rsid w:val="00CE72AF"/>
    <w:rsid w:val="00D0513F"/>
    <w:rsid w:val="00D115BF"/>
    <w:rsid w:val="00D269C3"/>
    <w:rsid w:val="00D42944"/>
    <w:rsid w:val="00D91AC6"/>
    <w:rsid w:val="00DC66FA"/>
    <w:rsid w:val="00DD123C"/>
    <w:rsid w:val="00DD3DED"/>
    <w:rsid w:val="00DE0AA6"/>
    <w:rsid w:val="00DF5281"/>
    <w:rsid w:val="00E023B7"/>
    <w:rsid w:val="00E07290"/>
    <w:rsid w:val="00E46B5D"/>
    <w:rsid w:val="00EA3C1F"/>
    <w:rsid w:val="00EC271D"/>
    <w:rsid w:val="00EC2CC4"/>
    <w:rsid w:val="00EF7FF5"/>
    <w:rsid w:val="00F12358"/>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317C-8618-4D30-852C-67C239C43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3</cp:revision>
  <cp:lastPrinted>2012-11-08T16:37:00Z</cp:lastPrinted>
  <dcterms:created xsi:type="dcterms:W3CDTF">2013-09-13T14:11:00Z</dcterms:created>
  <dcterms:modified xsi:type="dcterms:W3CDTF">2013-09-13T15:13:00Z</dcterms:modified>
</cp:coreProperties>
</file>