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FD66F1" w:rsidP="00FD66F1">
      <w:pPr>
        <w:spacing w:after="0"/>
        <w:jc w:val="center"/>
        <w:rPr>
          <w:rFonts w:ascii="Times New Roman" w:hAnsi="Times New Roman" w:cs="Times New Roman"/>
          <w:b/>
          <w:sz w:val="24"/>
          <w:szCs w:val="24"/>
        </w:rPr>
      </w:pPr>
      <w:r w:rsidRPr="00035845">
        <w:rPr>
          <w:rFonts w:ascii="Times New Roman" w:hAnsi="Times New Roman" w:cs="Times New Roman"/>
          <w:b/>
          <w:sz w:val="24"/>
          <w:szCs w:val="24"/>
        </w:rPr>
        <w:t>FERC-</w:t>
      </w:r>
      <w:r w:rsidR="00CF35E3">
        <w:rPr>
          <w:rFonts w:ascii="Times New Roman" w:hAnsi="Times New Roman" w:cs="Times New Roman"/>
          <w:b/>
          <w:sz w:val="24"/>
          <w:szCs w:val="24"/>
        </w:rPr>
        <w:t>604, Cash Management Agreements</w:t>
      </w:r>
    </w:p>
    <w:p w:rsidR="00FD66F1" w:rsidRDefault="00FD66F1" w:rsidP="00FD66F1">
      <w:pPr>
        <w:spacing w:after="0"/>
        <w:jc w:val="center"/>
        <w:rPr>
          <w:rFonts w:ascii="Times New Roman" w:hAnsi="Times New Roman" w:cs="Times New Roman"/>
          <w:sz w:val="24"/>
          <w:szCs w:val="24"/>
        </w:rPr>
      </w:pPr>
    </w:p>
    <w:p w:rsidR="00A36CB2" w:rsidRDefault="00CF35E3" w:rsidP="00FD66F1">
      <w:pPr>
        <w:spacing w:after="0"/>
        <w:rPr>
          <w:rFonts w:ascii="Times New Roman" w:hAnsi="Times New Roman" w:cs="Times New Roman"/>
          <w:sz w:val="24"/>
          <w:szCs w:val="24"/>
        </w:rPr>
      </w:pPr>
      <w:r>
        <w:rPr>
          <w:rFonts w:ascii="Times New Roman" w:hAnsi="Times New Roman" w:cs="Times New Roman"/>
          <w:sz w:val="24"/>
          <w:szCs w:val="24"/>
        </w:rPr>
        <w:t>In 2003</w:t>
      </w:r>
      <w:r w:rsidR="005947DE">
        <w:rPr>
          <w:rFonts w:ascii="Times New Roman" w:hAnsi="Times New Roman" w:cs="Times New Roman"/>
          <w:sz w:val="24"/>
          <w:szCs w:val="24"/>
        </w:rPr>
        <w:t>,</w:t>
      </w:r>
      <w:r>
        <w:rPr>
          <w:rFonts w:ascii="Times New Roman" w:hAnsi="Times New Roman" w:cs="Times New Roman"/>
          <w:sz w:val="24"/>
          <w:szCs w:val="24"/>
        </w:rPr>
        <w:t xml:space="preserve"> the Commission issued a final rule, requiring FERC-regulated entities to file their cash management agreements with the Commission.  This reporting requirement was </w:t>
      </w:r>
      <w:r w:rsidR="0094101F">
        <w:rPr>
          <w:rFonts w:ascii="Times New Roman" w:hAnsi="Times New Roman" w:cs="Times New Roman"/>
          <w:sz w:val="24"/>
          <w:szCs w:val="24"/>
        </w:rPr>
        <w:t xml:space="preserve">first </w:t>
      </w:r>
      <w:r>
        <w:rPr>
          <w:rFonts w:ascii="Times New Roman" w:hAnsi="Times New Roman" w:cs="Times New Roman"/>
          <w:sz w:val="24"/>
          <w:szCs w:val="24"/>
        </w:rPr>
        <w:t xml:space="preserve">approved under </w:t>
      </w:r>
      <w:r w:rsidR="0094101F">
        <w:rPr>
          <w:rFonts w:ascii="Times New Roman" w:hAnsi="Times New Roman" w:cs="Times New Roman"/>
          <w:sz w:val="24"/>
          <w:szCs w:val="24"/>
        </w:rPr>
        <w:t xml:space="preserve">OMB Control Number </w:t>
      </w:r>
      <w:r>
        <w:rPr>
          <w:rFonts w:ascii="Times New Roman" w:hAnsi="Times New Roman" w:cs="Times New Roman"/>
          <w:sz w:val="24"/>
          <w:szCs w:val="24"/>
        </w:rPr>
        <w:t>1902-0</w:t>
      </w:r>
      <w:r w:rsidR="0094101F">
        <w:rPr>
          <w:rFonts w:ascii="Times New Roman" w:hAnsi="Times New Roman" w:cs="Times New Roman"/>
          <w:sz w:val="24"/>
          <w:szCs w:val="24"/>
        </w:rPr>
        <w:t>098 (FERC-555, Records Retention Requirements) because of a related record retention requirement.  In subsequent FERC-555</w:t>
      </w:r>
      <w:r w:rsidR="00A36CB2">
        <w:rPr>
          <w:rFonts w:ascii="Times New Roman" w:hAnsi="Times New Roman" w:cs="Times New Roman"/>
          <w:sz w:val="24"/>
          <w:szCs w:val="24"/>
        </w:rPr>
        <w:t xml:space="preserve"> extension requests, FERC did not include the cash management agreement reporting requirements with the current FERC-555 requirements, even though FERC continues to collect the information.  </w:t>
      </w:r>
    </w:p>
    <w:p w:rsidR="00A36CB2" w:rsidRDefault="00A36CB2" w:rsidP="00FD66F1">
      <w:pPr>
        <w:spacing w:after="0"/>
        <w:rPr>
          <w:rFonts w:ascii="Times New Roman" w:hAnsi="Times New Roman" w:cs="Times New Roman"/>
          <w:sz w:val="24"/>
          <w:szCs w:val="24"/>
        </w:rPr>
      </w:pPr>
    </w:p>
    <w:p w:rsidR="0002242D" w:rsidRDefault="00A36CB2" w:rsidP="00FD66F1">
      <w:pPr>
        <w:spacing w:after="0"/>
        <w:rPr>
          <w:rFonts w:ascii="Times New Roman" w:hAnsi="Times New Roman" w:cs="Times New Roman"/>
          <w:sz w:val="24"/>
          <w:szCs w:val="24"/>
        </w:rPr>
      </w:pPr>
      <w:r>
        <w:rPr>
          <w:rFonts w:ascii="Times New Roman" w:hAnsi="Times New Roman" w:cs="Times New Roman"/>
          <w:sz w:val="24"/>
          <w:szCs w:val="24"/>
        </w:rPr>
        <w:t>In this clearance package, the Commission requests OMB approval of the FERC-604 info</w:t>
      </w:r>
      <w:r w:rsidR="00DE2056">
        <w:rPr>
          <w:rFonts w:ascii="Times New Roman" w:hAnsi="Times New Roman" w:cs="Times New Roman"/>
          <w:sz w:val="24"/>
          <w:szCs w:val="24"/>
        </w:rPr>
        <w:t>rmation collection requirements.  This is an existing collection without an OMB control number.</w:t>
      </w:r>
      <w:r>
        <w:rPr>
          <w:rFonts w:ascii="Times New Roman" w:hAnsi="Times New Roman" w:cs="Times New Roman"/>
          <w:sz w:val="24"/>
          <w:szCs w:val="24"/>
        </w:rPr>
        <w:t xml:space="preserve"> </w:t>
      </w:r>
      <w:r w:rsidR="00367F9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40327" w:rsidRDefault="00F40327" w:rsidP="00FD66F1">
      <w:pPr>
        <w:spacing w:after="0"/>
        <w:rPr>
          <w:rFonts w:ascii="Times New Roman" w:hAnsi="Times New Roman" w:cs="Times New Roman"/>
          <w:sz w:val="24"/>
          <w:szCs w:val="24"/>
        </w:rPr>
      </w:pPr>
    </w:p>
    <w:p w:rsidR="00F40327" w:rsidRDefault="00F40327" w:rsidP="00FD66F1">
      <w:pPr>
        <w:spacing w:after="0"/>
        <w:rPr>
          <w:rFonts w:ascii="Times New Roman" w:hAnsi="Times New Roman" w:cs="Times New Roman"/>
          <w:sz w:val="24"/>
          <w:szCs w:val="24"/>
        </w:rPr>
      </w:pPr>
      <w:r w:rsidRPr="00F40327">
        <w:rPr>
          <w:rFonts w:ascii="Times New Roman" w:hAnsi="Times New Roman" w:cs="Times New Roman"/>
          <w:sz w:val="24"/>
          <w:szCs w:val="24"/>
        </w:rPr>
        <w:t>Cash management or “money pool” programs typically concentrate affiliates’ cash assets in joint accounts for the purpose of providing financial flexibility and lowering the cost of borrowing.</w:t>
      </w:r>
    </w:p>
    <w:p w:rsidR="0002242D" w:rsidRDefault="0002242D"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A36CB2" w:rsidRDefault="00A36CB2" w:rsidP="00EB3E6F">
      <w:pPr>
        <w:spacing w:after="0"/>
        <w:rPr>
          <w:rFonts w:ascii="Times New Roman" w:hAnsi="Times New Roman" w:cs="Times New Roman"/>
          <w:sz w:val="24"/>
          <w:szCs w:val="24"/>
        </w:rPr>
      </w:pPr>
      <w:r>
        <w:rPr>
          <w:rFonts w:ascii="Times New Roman" w:hAnsi="Times New Roman" w:cs="Times New Roman"/>
          <w:sz w:val="24"/>
          <w:szCs w:val="24"/>
        </w:rPr>
        <w:t>FERC issued rules regarding cash management programs in 2003 in order to protect customers of jurisdictional companies</w:t>
      </w:r>
      <w:r w:rsidR="00402F2A">
        <w:rPr>
          <w:rFonts w:ascii="Times New Roman" w:hAnsi="Times New Roman" w:cs="Times New Roman"/>
          <w:sz w:val="24"/>
          <w:szCs w:val="24"/>
        </w:rPr>
        <w:t>.  The underlying premise of reporting cash management agreements to the Commission</w:t>
      </w:r>
      <w:r w:rsidR="00402F2A" w:rsidRPr="00402F2A">
        <w:rPr>
          <w:rFonts w:ascii="Times New Roman" w:hAnsi="Times New Roman" w:cs="Times New Roman"/>
          <w:sz w:val="24"/>
          <w:szCs w:val="24"/>
        </w:rPr>
        <w:t xml:space="preserve"> is that additional transparency of cash management activities between FERC-regulated entities and</w:t>
      </w:r>
      <w:r w:rsidR="00402F2A">
        <w:rPr>
          <w:rFonts w:ascii="Times New Roman" w:hAnsi="Times New Roman" w:cs="Times New Roman"/>
          <w:sz w:val="24"/>
          <w:szCs w:val="24"/>
        </w:rPr>
        <w:t xml:space="preserve"> their affiliates </w:t>
      </w:r>
      <w:r w:rsidR="00402F2A" w:rsidRPr="00402F2A">
        <w:rPr>
          <w:rFonts w:ascii="Times New Roman" w:hAnsi="Times New Roman" w:cs="Times New Roman"/>
          <w:sz w:val="24"/>
          <w:szCs w:val="24"/>
        </w:rPr>
        <w:t>allow</w:t>
      </w:r>
      <w:r w:rsidR="00402F2A">
        <w:rPr>
          <w:rFonts w:ascii="Times New Roman" w:hAnsi="Times New Roman" w:cs="Times New Roman"/>
          <w:sz w:val="24"/>
          <w:szCs w:val="24"/>
        </w:rPr>
        <w:t>s</w:t>
      </w:r>
      <w:r w:rsidR="00402F2A" w:rsidRPr="00402F2A">
        <w:rPr>
          <w:rFonts w:ascii="Times New Roman" w:hAnsi="Times New Roman" w:cs="Times New Roman"/>
          <w:sz w:val="24"/>
          <w:szCs w:val="24"/>
        </w:rPr>
        <w:t xml:space="preserve"> the Commission and other users of financial information to </w:t>
      </w:r>
      <w:r w:rsidR="005947DE">
        <w:rPr>
          <w:rFonts w:ascii="Times New Roman" w:hAnsi="Times New Roman" w:cs="Times New Roman"/>
          <w:sz w:val="24"/>
          <w:szCs w:val="24"/>
        </w:rPr>
        <w:t>be aware of the agreements and review through audit the operations of the money pool</w:t>
      </w:r>
      <w:r w:rsidR="00402F2A" w:rsidRPr="00402F2A">
        <w:rPr>
          <w:rFonts w:ascii="Times New Roman" w:hAnsi="Times New Roman" w:cs="Times New Roman"/>
          <w:sz w:val="24"/>
          <w:szCs w:val="24"/>
        </w:rPr>
        <w:t xml:space="preserve">.  </w:t>
      </w:r>
      <w:r w:rsidR="00402F2A">
        <w:rPr>
          <w:rFonts w:ascii="Times New Roman" w:hAnsi="Times New Roman" w:cs="Times New Roman"/>
          <w:sz w:val="24"/>
          <w:szCs w:val="24"/>
        </w:rPr>
        <w:t>FERC achieves this transparency by requiring</w:t>
      </w:r>
      <w:r w:rsidR="00402F2A" w:rsidRPr="00402F2A">
        <w:rPr>
          <w:rFonts w:ascii="Times New Roman" w:hAnsi="Times New Roman" w:cs="Times New Roman"/>
          <w:sz w:val="24"/>
          <w:szCs w:val="24"/>
        </w:rPr>
        <w:t xml:space="preserve"> FERC-regulated entities to file their cash management documents </w:t>
      </w:r>
      <w:r w:rsidR="00402F2A">
        <w:rPr>
          <w:rFonts w:ascii="Times New Roman" w:hAnsi="Times New Roman" w:cs="Times New Roman"/>
          <w:sz w:val="24"/>
          <w:szCs w:val="24"/>
        </w:rPr>
        <w:t xml:space="preserve">with the Commission, which </w:t>
      </w:r>
      <w:r w:rsidR="00402F2A" w:rsidRPr="00402F2A">
        <w:rPr>
          <w:rFonts w:ascii="Times New Roman" w:hAnsi="Times New Roman" w:cs="Times New Roman"/>
          <w:sz w:val="24"/>
          <w:szCs w:val="24"/>
        </w:rPr>
        <w:t>consequently make</w:t>
      </w:r>
      <w:r w:rsidR="00402F2A">
        <w:rPr>
          <w:rFonts w:ascii="Times New Roman" w:hAnsi="Times New Roman" w:cs="Times New Roman"/>
          <w:sz w:val="24"/>
          <w:szCs w:val="24"/>
        </w:rPr>
        <w:t>s</w:t>
      </w:r>
      <w:r w:rsidR="00402F2A" w:rsidRPr="00402F2A">
        <w:rPr>
          <w:rFonts w:ascii="Times New Roman" w:hAnsi="Times New Roman" w:cs="Times New Roman"/>
          <w:sz w:val="24"/>
          <w:szCs w:val="24"/>
        </w:rPr>
        <w:t xml:space="preserve"> them available to the public.  In addition, the requirement that any subsequent changes to an existing agreement be filed within 10 days of the </w:t>
      </w:r>
      <w:r w:rsidR="00402F2A">
        <w:rPr>
          <w:rFonts w:ascii="Times New Roman" w:hAnsi="Times New Roman" w:cs="Times New Roman"/>
          <w:sz w:val="24"/>
          <w:szCs w:val="24"/>
        </w:rPr>
        <w:t xml:space="preserve">date of the change is </w:t>
      </w:r>
      <w:r w:rsidR="00402F2A" w:rsidRPr="00402F2A">
        <w:rPr>
          <w:rFonts w:ascii="Times New Roman" w:hAnsi="Times New Roman" w:cs="Times New Roman"/>
          <w:sz w:val="24"/>
          <w:szCs w:val="24"/>
        </w:rPr>
        <w:t xml:space="preserve">to provide users of financial information with knowledge of </w:t>
      </w:r>
      <w:r w:rsidR="005947DE">
        <w:rPr>
          <w:rFonts w:ascii="Times New Roman" w:hAnsi="Times New Roman" w:cs="Times New Roman"/>
          <w:sz w:val="24"/>
          <w:szCs w:val="24"/>
        </w:rPr>
        <w:t>changes to the agreements.</w:t>
      </w:r>
      <w:r w:rsidR="00402F2A" w:rsidRPr="00402F2A">
        <w:rPr>
          <w:rFonts w:ascii="Times New Roman" w:hAnsi="Times New Roman" w:cs="Times New Roman"/>
          <w:sz w:val="24"/>
          <w:szCs w:val="24"/>
        </w:rPr>
        <w:t xml:space="preserve">  </w:t>
      </w:r>
    </w:p>
    <w:p w:rsidR="00402F2A" w:rsidRDefault="00402F2A" w:rsidP="00EB3E6F">
      <w:pPr>
        <w:spacing w:after="0"/>
        <w:rPr>
          <w:rFonts w:ascii="Times New Roman" w:hAnsi="Times New Roman" w:cs="Times New Roman"/>
          <w:sz w:val="24"/>
          <w:szCs w:val="24"/>
        </w:rPr>
      </w:pPr>
    </w:p>
    <w:p w:rsidR="00402F2A" w:rsidRDefault="00402F2A" w:rsidP="00EB3E6F">
      <w:pPr>
        <w:spacing w:after="0"/>
        <w:rPr>
          <w:rFonts w:ascii="Times New Roman" w:hAnsi="Times New Roman" w:cs="Times New Roman"/>
          <w:sz w:val="24"/>
          <w:szCs w:val="24"/>
        </w:rPr>
      </w:pPr>
      <w:r w:rsidRPr="00402F2A">
        <w:rPr>
          <w:rFonts w:ascii="Times New Roman" w:hAnsi="Times New Roman" w:cs="Times New Roman"/>
          <w:sz w:val="24"/>
          <w:szCs w:val="24"/>
        </w:rPr>
        <w:t xml:space="preserve">The provisions in the Federal Power Act (FPA), Natural Gas Act (NGA), and Interstate Commerce Act (ICA) that authorize the Commission to require reports and documentation to administer these statutes provide ample authority for </w:t>
      </w:r>
      <w:r w:rsidR="005107B8">
        <w:rPr>
          <w:rFonts w:ascii="Times New Roman" w:hAnsi="Times New Roman" w:cs="Times New Roman"/>
          <w:sz w:val="24"/>
          <w:szCs w:val="24"/>
        </w:rPr>
        <w:t>this information collection</w:t>
      </w:r>
      <w:r w:rsidRPr="00402F2A">
        <w:rPr>
          <w:rFonts w:ascii="Times New Roman" w:hAnsi="Times New Roman" w:cs="Times New Roman"/>
          <w:sz w:val="24"/>
          <w:szCs w:val="24"/>
        </w:rPr>
        <w:t>.</w:t>
      </w:r>
      <w:r w:rsidRPr="00402F2A">
        <w:rPr>
          <w:rFonts w:ascii="Times New Roman" w:hAnsi="Times New Roman" w:cs="Times New Roman"/>
          <w:b/>
          <w:sz w:val="24"/>
          <w:szCs w:val="24"/>
          <w:vertAlign w:val="superscript"/>
        </w:rPr>
        <w:footnoteReference w:id="1"/>
      </w:r>
    </w:p>
    <w:p w:rsidR="00402F2A" w:rsidRDefault="00402F2A" w:rsidP="00EB3E6F">
      <w:pPr>
        <w:spacing w:after="0"/>
        <w:rPr>
          <w:rFonts w:ascii="Times New Roman" w:hAnsi="Times New Roman" w:cs="Times New Roman"/>
          <w:sz w:val="24"/>
          <w:szCs w:val="24"/>
        </w:rPr>
      </w:pPr>
    </w:p>
    <w:p w:rsidR="00402F2A" w:rsidRPr="00402F2A" w:rsidRDefault="00402F2A" w:rsidP="00402F2A">
      <w:pPr>
        <w:spacing w:after="0"/>
        <w:rPr>
          <w:rFonts w:ascii="Times New Roman" w:hAnsi="Times New Roman" w:cs="Times New Roman"/>
          <w:sz w:val="24"/>
          <w:szCs w:val="24"/>
        </w:rPr>
      </w:pPr>
      <w:r w:rsidRPr="00402F2A">
        <w:rPr>
          <w:rFonts w:ascii="Times New Roman" w:hAnsi="Times New Roman" w:cs="Times New Roman"/>
          <w:sz w:val="24"/>
          <w:szCs w:val="24"/>
        </w:rPr>
        <w:t xml:space="preserve">Specifically, NGA Section 8 provides that “[e]very natural-gas company shall make, keep, and preserve for such periods, such accounts, records of cost-accounting procedures,  correspondence, memoranda, papers, books, and other records as the Commission may by rules </w:t>
      </w:r>
      <w:r w:rsidRPr="00402F2A">
        <w:rPr>
          <w:rFonts w:ascii="Times New Roman" w:hAnsi="Times New Roman" w:cs="Times New Roman"/>
          <w:sz w:val="24"/>
          <w:szCs w:val="24"/>
        </w:rPr>
        <w:lastRenderedPageBreak/>
        <w:t>and regulations prescribe as necessary or appropriate for purposes of the administration of this Act . . . ,”</w:t>
      </w:r>
      <w:r w:rsidRPr="00402F2A">
        <w:rPr>
          <w:rFonts w:ascii="Times New Roman" w:hAnsi="Times New Roman" w:cs="Times New Roman"/>
          <w:b/>
          <w:sz w:val="24"/>
          <w:szCs w:val="24"/>
          <w:vertAlign w:val="superscript"/>
        </w:rPr>
        <w:footnoteReference w:id="2"/>
      </w:r>
      <w:r w:rsidRPr="00402F2A">
        <w:rPr>
          <w:rFonts w:ascii="Times New Roman" w:hAnsi="Times New Roman" w:cs="Times New Roman"/>
          <w:sz w:val="24"/>
          <w:szCs w:val="24"/>
        </w:rPr>
        <w:t xml:space="preserve"> and NGA Section 10 provides that</w:t>
      </w:r>
      <w:r>
        <w:rPr>
          <w:rFonts w:ascii="Times New Roman" w:hAnsi="Times New Roman" w:cs="Times New Roman"/>
          <w:sz w:val="24"/>
          <w:szCs w:val="24"/>
        </w:rPr>
        <w:t>,</w:t>
      </w:r>
      <w:r w:rsidRPr="00402F2A">
        <w:rPr>
          <w:rFonts w:ascii="Times New Roman" w:hAnsi="Times New Roman" w:cs="Times New Roman"/>
          <w:sz w:val="24"/>
          <w:szCs w:val="24"/>
        </w:rPr>
        <w:t xml:space="preserve"> “[e]very natural-gas company shall file with the Commission such annual and other periodic or special reports as the Commission may by rules and regulations or order prescribe as necessary or appropriate to assist the Commission in the proper administration of this act.”</w:t>
      </w:r>
      <w:r w:rsidRPr="00402F2A">
        <w:rPr>
          <w:rFonts w:ascii="Times New Roman" w:hAnsi="Times New Roman" w:cs="Times New Roman"/>
          <w:b/>
          <w:sz w:val="24"/>
          <w:szCs w:val="24"/>
          <w:vertAlign w:val="superscript"/>
        </w:rPr>
        <w:footnoteReference w:id="3"/>
      </w:r>
      <w:r w:rsidRPr="00402F2A">
        <w:rPr>
          <w:rFonts w:ascii="Times New Roman" w:hAnsi="Times New Roman" w:cs="Times New Roman"/>
          <w:sz w:val="24"/>
          <w:szCs w:val="24"/>
        </w:rPr>
        <w:t xml:space="preserve">  FPA Section 301 provides that</w:t>
      </w:r>
      <w:r>
        <w:rPr>
          <w:rFonts w:ascii="Times New Roman" w:hAnsi="Times New Roman" w:cs="Times New Roman"/>
          <w:sz w:val="24"/>
          <w:szCs w:val="24"/>
        </w:rPr>
        <w:t>,</w:t>
      </w:r>
      <w:r w:rsidRPr="00402F2A">
        <w:rPr>
          <w:rFonts w:ascii="Times New Roman" w:hAnsi="Times New Roman" w:cs="Times New Roman"/>
          <w:sz w:val="24"/>
          <w:szCs w:val="24"/>
        </w:rPr>
        <w:t xml:space="preserve"> “[e]very licensee and public utility shall make, keep and preserve for such periods, such accounts, records of cost-accounting procedures, correspondence, memoranda, papers, books, and other records as the Commission may by rules and regulations prescribe as necessary or appropriate for purposes of the administration of this Act . . .,”</w:t>
      </w:r>
      <w:r w:rsidRPr="00402F2A">
        <w:rPr>
          <w:rFonts w:ascii="Times New Roman" w:hAnsi="Times New Roman" w:cs="Times New Roman"/>
          <w:b/>
          <w:sz w:val="24"/>
          <w:szCs w:val="24"/>
          <w:vertAlign w:val="superscript"/>
        </w:rPr>
        <w:footnoteReference w:id="4"/>
      </w:r>
      <w:r w:rsidRPr="00402F2A">
        <w:rPr>
          <w:rFonts w:ascii="Times New Roman" w:hAnsi="Times New Roman" w:cs="Times New Roman"/>
          <w:sz w:val="24"/>
          <w:szCs w:val="24"/>
        </w:rPr>
        <w:t xml:space="preserve"> and FPA Section 304 provides that “[e]very licensee and every public utility shall file with the Commission such annual and other periodic or special reports as the Commission may by rules and regulations or order prescribe as necessary or appropriate to assist the Commission in the proper administration of this Act.”</w:t>
      </w:r>
      <w:r w:rsidRPr="00402F2A">
        <w:rPr>
          <w:rFonts w:ascii="Times New Roman" w:hAnsi="Times New Roman" w:cs="Times New Roman"/>
          <w:b/>
          <w:sz w:val="24"/>
          <w:szCs w:val="24"/>
          <w:vertAlign w:val="superscript"/>
        </w:rPr>
        <w:footnoteReference w:id="5"/>
      </w:r>
      <w:r w:rsidRPr="00402F2A">
        <w:rPr>
          <w:rFonts w:ascii="Times New Roman" w:hAnsi="Times New Roman" w:cs="Times New Roman"/>
          <w:sz w:val="24"/>
          <w:szCs w:val="24"/>
        </w:rPr>
        <w:t xml:space="preserve">  Section 20(1) of the ICA provides that</w:t>
      </w:r>
      <w:r>
        <w:rPr>
          <w:rFonts w:ascii="Times New Roman" w:hAnsi="Times New Roman" w:cs="Times New Roman"/>
          <w:sz w:val="24"/>
          <w:szCs w:val="24"/>
        </w:rPr>
        <w:t>,</w:t>
      </w:r>
      <w:r w:rsidRPr="00402F2A">
        <w:rPr>
          <w:rFonts w:ascii="Times New Roman" w:hAnsi="Times New Roman" w:cs="Times New Roman"/>
          <w:sz w:val="24"/>
          <w:szCs w:val="24"/>
        </w:rPr>
        <w:t xml:space="preserve"> “[t]he Commission is authorized to require annual, periodical, or special reports from  [oil pipeline] carriers . . . and full, true, and correct answers to all questions upon which the Commission may deem information to be necessary . . .,”</w:t>
      </w:r>
      <w:r w:rsidRPr="00402F2A">
        <w:rPr>
          <w:rFonts w:ascii="Times New Roman" w:hAnsi="Times New Roman" w:cs="Times New Roman"/>
          <w:b/>
          <w:sz w:val="24"/>
          <w:szCs w:val="24"/>
          <w:vertAlign w:val="superscript"/>
        </w:rPr>
        <w:footnoteReference w:id="6"/>
      </w:r>
      <w:r w:rsidRPr="00402F2A">
        <w:rPr>
          <w:rFonts w:ascii="Times New Roman" w:hAnsi="Times New Roman" w:cs="Times New Roman"/>
          <w:sz w:val="24"/>
          <w:szCs w:val="24"/>
        </w:rPr>
        <w:t xml:space="preserve"> and Section 20(5) of the ICA authorizes the Commission “in its discretion, [to] prescribe the forms of any and all accounts, records, and memoranda to be kept by carriers and their lessors, including the accounts, records, and memoranda of the movement of traffic, as well as of the receipts and expenditures of moneys . . . .”</w:t>
      </w:r>
      <w:r w:rsidRPr="00402F2A">
        <w:rPr>
          <w:rFonts w:ascii="Times New Roman" w:hAnsi="Times New Roman" w:cs="Times New Roman"/>
          <w:b/>
          <w:sz w:val="24"/>
          <w:szCs w:val="24"/>
          <w:vertAlign w:val="superscript"/>
        </w:rPr>
        <w:footnoteReference w:id="7"/>
      </w:r>
      <w:r w:rsidRPr="00402F2A">
        <w:rPr>
          <w:rFonts w:ascii="Times New Roman" w:hAnsi="Times New Roman" w:cs="Times New Roman"/>
          <w:sz w:val="24"/>
          <w:szCs w:val="24"/>
        </w:rPr>
        <w:t xml:space="preserve"> </w:t>
      </w:r>
    </w:p>
    <w:p w:rsidR="00402F2A" w:rsidRDefault="00402F2A" w:rsidP="00402F2A">
      <w:pPr>
        <w:spacing w:after="0"/>
        <w:rPr>
          <w:rFonts w:ascii="Times New Roman" w:hAnsi="Times New Roman" w:cs="Times New Roman"/>
          <w:sz w:val="24"/>
          <w:szCs w:val="24"/>
        </w:rPr>
      </w:pPr>
    </w:p>
    <w:p w:rsidR="00402F2A" w:rsidRDefault="00402F2A" w:rsidP="00402F2A">
      <w:pPr>
        <w:spacing w:after="0"/>
        <w:rPr>
          <w:rFonts w:ascii="Times New Roman" w:hAnsi="Times New Roman" w:cs="Times New Roman"/>
          <w:sz w:val="24"/>
          <w:szCs w:val="24"/>
        </w:rPr>
      </w:pPr>
      <w:r w:rsidRPr="00402F2A">
        <w:rPr>
          <w:rFonts w:ascii="Times New Roman" w:hAnsi="Times New Roman" w:cs="Times New Roman"/>
          <w:sz w:val="24"/>
          <w:szCs w:val="24"/>
        </w:rPr>
        <w:t>In sum, the Commission is entrusted with the responsibility to ensure that rates are just and reasonable and that FERC-regulated entities provide the services to which they have committed.</w:t>
      </w:r>
      <w:r w:rsidRPr="00402F2A">
        <w:rPr>
          <w:rFonts w:ascii="Times New Roman" w:hAnsi="Times New Roman" w:cs="Times New Roman"/>
          <w:b/>
          <w:sz w:val="24"/>
          <w:szCs w:val="24"/>
          <w:vertAlign w:val="superscript"/>
        </w:rPr>
        <w:footnoteReference w:id="8"/>
      </w:r>
      <w:r w:rsidRPr="00402F2A">
        <w:rPr>
          <w:rFonts w:ascii="Times New Roman" w:hAnsi="Times New Roman" w:cs="Times New Roman"/>
          <w:sz w:val="24"/>
          <w:szCs w:val="24"/>
        </w:rPr>
        <w:t xml:space="preserve">  </w:t>
      </w:r>
    </w:p>
    <w:p w:rsidR="00402F2A" w:rsidRDefault="00402F2A" w:rsidP="00402F2A">
      <w:pPr>
        <w:spacing w:after="0"/>
        <w:rPr>
          <w:rFonts w:ascii="Times New Roman" w:hAnsi="Times New Roman" w:cs="Times New Roman"/>
          <w:sz w:val="24"/>
          <w:szCs w:val="24"/>
        </w:rPr>
      </w:pPr>
      <w:r w:rsidRPr="00402F2A">
        <w:rPr>
          <w:rFonts w:ascii="Times New Roman" w:hAnsi="Times New Roman" w:cs="Times New Roman"/>
          <w:sz w:val="24"/>
          <w:szCs w:val="24"/>
        </w:rPr>
        <w:t xml:space="preserve">The transparency-enhancing reporting requirements </w:t>
      </w:r>
      <w:r>
        <w:rPr>
          <w:rFonts w:ascii="Times New Roman" w:hAnsi="Times New Roman" w:cs="Times New Roman"/>
          <w:sz w:val="24"/>
          <w:szCs w:val="24"/>
        </w:rPr>
        <w:t>imposed by the Commission</w:t>
      </w:r>
      <w:r w:rsidRPr="00402F2A">
        <w:rPr>
          <w:rFonts w:ascii="Times New Roman" w:hAnsi="Times New Roman" w:cs="Times New Roman"/>
          <w:sz w:val="24"/>
          <w:szCs w:val="24"/>
        </w:rPr>
        <w:t xml:space="preserve"> for cash management programs will help ensure that both goals are achieved.</w:t>
      </w:r>
    </w:p>
    <w:p w:rsidR="00367F9A" w:rsidRDefault="00367F9A" w:rsidP="00402F2A">
      <w:pPr>
        <w:spacing w:after="0"/>
        <w:rPr>
          <w:rFonts w:ascii="Times New Roman" w:hAnsi="Times New Roman" w:cs="Times New Roman"/>
          <w:sz w:val="24"/>
          <w:szCs w:val="24"/>
        </w:rPr>
      </w:pPr>
    </w:p>
    <w:p w:rsidR="00367F9A" w:rsidRDefault="00367F9A" w:rsidP="00402F2A">
      <w:pPr>
        <w:spacing w:after="0"/>
        <w:rPr>
          <w:rFonts w:ascii="Times New Roman" w:hAnsi="Times New Roman" w:cs="Times New Roman"/>
          <w:sz w:val="24"/>
          <w:szCs w:val="24"/>
        </w:rPr>
      </w:pPr>
      <w:r w:rsidRPr="00367F9A">
        <w:rPr>
          <w:rFonts w:ascii="Times New Roman" w:hAnsi="Times New Roman" w:cs="Times New Roman"/>
          <w:sz w:val="24"/>
          <w:szCs w:val="24"/>
        </w:rPr>
        <w:t>The Commission implemented these requirements in 18 CFR Parts 141.500, 260.400, and 357.5.</w:t>
      </w:r>
    </w:p>
    <w:p w:rsidR="00EB3E6F" w:rsidRPr="00EB3E6F" w:rsidRDefault="00EB3E6F" w:rsidP="00EB3E6F">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EB3E6F">
      <w:pPr>
        <w:spacing w:after="0"/>
        <w:rPr>
          <w:rFonts w:ascii="Times New Roman" w:hAnsi="Times New Roman" w:cs="Times New Roman"/>
          <w:sz w:val="24"/>
          <w:szCs w:val="24"/>
        </w:rPr>
      </w:pPr>
    </w:p>
    <w:p w:rsidR="002C22C6" w:rsidRDefault="002C22C6"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requires regulated entities to submit their cash management agreements to the Commission.  The Commission requires this cash management information in order to ensure that rates are just and reasonable and that FERC-regulated entities provide the services to which they have committed.  </w:t>
      </w:r>
    </w:p>
    <w:p w:rsidR="002C22C6" w:rsidRDefault="002C22C6" w:rsidP="00EB3E6F">
      <w:pPr>
        <w:spacing w:after="0"/>
        <w:rPr>
          <w:rFonts w:ascii="Times New Roman" w:hAnsi="Times New Roman" w:cs="Times New Roman"/>
          <w:sz w:val="24"/>
          <w:szCs w:val="24"/>
        </w:rPr>
      </w:pPr>
    </w:p>
    <w:p w:rsidR="00EB3E6F" w:rsidRDefault="002C22C6"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If FERC did not collect the information the Commission, </w:t>
      </w:r>
      <w:r w:rsidRPr="00402F2A">
        <w:rPr>
          <w:rFonts w:ascii="Times New Roman" w:hAnsi="Times New Roman" w:cs="Times New Roman"/>
          <w:sz w:val="24"/>
          <w:szCs w:val="24"/>
        </w:rPr>
        <w:t>users of financial information</w:t>
      </w:r>
      <w:r>
        <w:rPr>
          <w:rFonts w:ascii="Times New Roman" w:hAnsi="Times New Roman" w:cs="Times New Roman"/>
          <w:sz w:val="24"/>
          <w:szCs w:val="24"/>
        </w:rPr>
        <w:t>, and the public</w:t>
      </w:r>
      <w:r w:rsidRPr="00402F2A">
        <w:rPr>
          <w:rFonts w:ascii="Times New Roman" w:hAnsi="Times New Roman" w:cs="Times New Roman"/>
          <w:sz w:val="24"/>
          <w:szCs w:val="24"/>
        </w:rPr>
        <w:t xml:space="preserve"> </w:t>
      </w:r>
      <w:r>
        <w:rPr>
          <w:rFonts w:ascii="Times New Roman" w:hAnsi="Times New Roman" w:cs="Times New Roman"/>
          <w:sz w:val="24"/>
          <w:szCs w:val="24"/>
        </w:rPr>
        <w:t xml:space="preserve">would not be able to monitor </w:t>
      </w:r>
      <w:r w:rsidR="00300665">
        <w:rPr>
          <w:rFonts w:ascii="Times New Roman" w:hAnsi="Times New Roman" w:cs="Times New Roman"/>
          <w:sz w:val="24"/>
          <w:szCs w:val="24"/>
        </w:rPr>
        <w:t xml:space="preserve">the </w:t>
      </w:r>
      <w:r>
        <w:rPr>
          <w:rFonts w:ascii="Times New Roman" w:hAnsi="Times New Roman" w:cs="Times New Roman"/>
          <w:sz w:val="24"/>
          <w:szCs w:val="24"/>
        </w:rPr>
        <w:t>cash management agreements</w:t>
      </w:r>
      <w:r w:rsidRPr="00402F2A">
        <w:rPr>
          <w:rFonts w:ascii="Times New Roman" w:hAnsi="Times New Roman" w:cs="Times New Roman"/>
          <w:sz w:val="24"/>
          <w:szCs w:val="24"/>
        </w:rPr>
        <w:t>.</w:t>
      </w:r>
    </w:p>
    <w:p w:rsidR="00367F9A" w:rsidRPr="00EB3E6F" w:rsidRDefault="00367F9A"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315D0C" w:rsidRDefault="00315D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allows for respondents to file the cash management agreements electronically.  Based on the Commission’s eLibrary, the Commission estimates that all respondents are utilizing eFiling to submit their agreements. </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BC1C8D" w:rsidRDefault="00315D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initiated cash management program documentation and filing rules because the information was not available from other sources.  The Securities Exchange Commission sometimes requires holding companies (a small subset of the respondent universe) to file cash management agreements.  The Commission does not believe that any potential duplication </w:t>
      </w:r>
      <w:r w:rsidR="00BC1C8D">
        <w:rPr>
          <w:rFonts w:ascii="Times New Roman" w:hAnsi="Times New Roman" w:cs="Times New Roman"/>
          <w:sz w:val="24"/>
          <w:szCs w:val="24"/>
        </w:rPr>
        <w:t>is overly burdensome or unjustified.</w:t>
      </w:r>
    </w:p>
    <w:p w:rsidR="00BC1C8D" w:rsidRDefault="00BC1C8D" w:rsidP="00EB3E6F">
      <w:pPr>
        <w:spacing w:after="0"/>
        <w:rPr>
          <w:rFonts w:ascii="Times New Roman" w:hAnsi="Times New Roman" w:cs="Times New Roman"/>
          <w:sz w:val="24"/>
          <w:szCs w:val="24"/>
        </w:rPr>
      </w:pPr>
    </w:p>
    <w:p w:rsidR="00EB3E6F" w:rsidRDefault="00BC1C8D" w:rsidP="00EB3E6F">
      <w:pPr>
        <w:spacing w:after="0"/>
        <w:rPr>
          <w:rFonts w:ascii="Times New Roman" w:hAnsi="Times New Roman" w:cs="Times New Roman"/>
          <w:sz w:val="24"/>
          <w:szCs w:val="24"/>
        </w:rPr>
      </w:pPr>
      <w:r w:rsidRPr="00BC1C8D">
        <w:rPr>
          <w:rFonts w:ascii="Times New Roman" w:hAnsi="Times New Roman" w:cs="Times New Roman"/>
          <w:sz w:val="24"/>
          <w:szCs w:val="24"/>
        </w:rPr>
        <w:t xml:space="preserve">In response to </w:t>
      </w:r>
      <w:r>
        <w:rPr>
          <w:rFonts w:ascii="Times New Roman" w:hAnsi="Times New Roman" w:cs="Times New Roman"/>
          <w:sz w:val="24"/>
          <w:szCs w:val="24"/>
        </w:rPr>
        <w:t>questions regarding</w:t>
      </w:r>
      <w:r w:rsidRPr="00BC1C8D">
        <w:rPr>
          <w:rFonts w:ascii="Times New Roman" w:hAnsi="Times New Roman" w:cs="Times New Roman"/>
          <w:sz w:val="24"/>
          <w:szCs w:val="24"/>
        </w:rPr>
        <w:t xml:space="preserve"> duplication of effort, the Commission</w:t>
      </w:r>
      <w:r>
        <w:rPr>
          <w:rFonts w:ascii="Times New Roman" w:hAnsi="Times New Roman" w:cs="Times New Roman"/>
          <w:sz w:val="24"/>
          <w:szCs w:val="24"/>
        </w:rPr>
        <w:t xml:space="preserve"> stated in Order 634-A</w:t>
      </w:r>
      <w:r w:rsidRPr="00BC1C8D">
        <w:rPr>
          <w:rFonts w:ascii="Times New Roman" w:hAnsi="Times New Roman" w:cs="Times New Roman"/>
          <w:sz w:val="24"/>
          <w:szCs w:val="24"/>
        </w:rPr>
        <w:t xml:space="preserve"> </w:t>
      </w:r>
      <w:r>
        <w:rPr>
          <w:rFonts w:ascii="Times New Roman" w:hAnsi="Times New Roman" w:cs="Times New Roman"/>
          <w:sz w:val="24"/>
          <w:szCs w:val="24"/>
        </w:rPr>
        <w:t>that it</w:t>
      </w:r>
      <w:r w:rsidRPr="00BC1C8D">
        <w:rPr>
          <w:rFonts w:ascii="Times New Roman" w:hAnsi="Times New Roman" w:cs="Times New Roman"/>
          <w:sz w:val="24"/>
          <w:szCs w:val="24"/>
        </w:rPr>
        <w:t xml:space="preserve"> need</w:t>
      </w:r>
      <w:r>
        <w:rPr>
          <w:rFonts w:ascii="Times New Roman" w:hAnsi="Times New Roman" w:cs="Times New Roman"/>
          <w:sz w:val="24"/>
          <w:szCs w:val="24"/>
        </w:rPr>
        <w:t>s</w:t>
      </w:r>
      <w:r w:rsidRPr="00BC1C8D">
        <w:rPr>
          <w:rFonts w:ascii="Times New Roman" w:hAnsi="Times New Roman" w:cs="Times New Roman"/>
          <w:sz w:val="24"/>
          <w:szCs w:val="24"/>
        </w:rPr>
        <w:t xml:space="preserve"> this information </w:t>
      </w:r>
      <w:r>
        <w:rPr>
          <w:rFonts w:ascii="Times New Roman" w:hAnsi="Times New Roman" w:cs="Times New Roman"/>
          <w:sz w:val="24"/>
          <w:szCs w:val="24"/>
        </w:rPr>
        <w:t>to</w:t>
      </w:r>
      <w:r w:rsidRPr="00BC1C8D">
        <w:rPr>
          <w:rFonts w:ascii="Times New Roman" w:hAnsi="Times New Roman" w:cs="Times New Roman"/>
          <w:sz w:val="24"/>
          <w:szCs w:val="24"/>
        </w:rPr>
        <w:t xml:space="preserve"> carrying out its statutory obligations to customers.  The burden imposed on regulated entities by the </w:t>
      </w:r>
      <w:r>
        <w:rPr>
          <w:rFonts w:ascii="Times New Roman" w:hAnsi="Times New Roman" w:cs="Times New Roman"/>
          <w:sz w:val="24"/>
          <w:szCs w:val="24"/>
        </w:rPr>
        <w:t>Order 634-A</w:t>
      </w:r>
      <w:r w:rsidRPr="00BC1C8D">
        <w:rPr>
          <w:rFonts w:ascii="Times New Roman" w:hAnsi="Times New Roman" w:cs="Times New Roman"/>
          <w:sz w:val="24"/>
          <w:szCs w:val="24"/>
        </w:rPr>
        <w:t xml:space="preserve"> is extremely low while the benefits to the Commission and the public of documenting over $25 billion worth of regulated assets is high.  The Commission </w:t>
      </w:r>
      <w:r>
        <w:rPr>
          <w:rFonts w:ascii="Times New Roman" w:hAnsi="Times New Roman" w:cs="Times New Roman"/>
          <w:sz w:val="24"/>
          <w:szCs w:val="24"/>
        </w:rPr>
        <w:t xml:space="preserve">said it </w:t>
      </w:r>
      <w:r w:rsidRPr="00BC1C8D">
        <w:rPr>
          <w:rFonts w:ascii="Times New Roman" w:hAnsi="Times New Roman" w:cs="Times New Roman"/>
          <w:sz w:val="24"/>
          <w:szCs w:val="24"/>
        </w:rPr>
        <w:t>would be remiss in its obligation to ensure just and reasonable rates if it were to ignore the effects on its jurisdictional entities of having these large sums in cash management programs.</w:t>
      </w:r>
      <w:r w:rsidR="00315D0C">
        <w:rPr>
          <w:rFonts w:ascii="Times New Roman" w:hAnsi="Times New Roman" w:cs="Times New Roman"/>
          <w:sz w:val="24"/>
          <w:szCs w:val="24"/>
        </w:rPr>
        <w:t xml:space="preserve"> </w:t>
      </w:r>
    </w:p>
    <w:p w:rsidR="00315D0C" w:rsidRPr="00EB3E6F" w:rsidRDefault="00315D0C"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315D0C" w:rsidRDefault="00315D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that this collection requires only 1.5 hours of burden per year per respondent.  </w:t>
      </w:r>
      <w:r w:rsidR="00300665">
        <w:rPr>
          <w:rFonts w:ascii="Times New Roman" w:hAnsi="Times New Roman" w:cs="Times New Roman"/>
          <w:sz w:val="24"/>
          <w:szCs w:val="24"/>
        </w:rPr>
        <w:t xml:space="preserve">In fact, if a company </w:t>
      </w:r>
      <w:r w:rsidR="004D099E">
        <w:rPr>
          <w:rFonts w:ascii="Times New Roman" w:hAnsi="Times New Roman" w:cs="Times New Roman"/>
          <w:sz w:val="24"/>
          <w:szCs w:val="24"/>
        </w:rPr>
        <w:t xml:space="preserve">does not </w:t>
      </w:r>
      <w:r w:rsidR="00300665">
        <w:rPr>
          <w:rFonts w:ascii="Times New Roman" w:hAnsi="Times New Roman" w:cs="Times New Roman"/>
          <w:sz w:val="24"/>
          <w:szCs w:val="24"/>
        </w:rPr>
        <w:t>part</w:t>
      </w:r>
      <w:r w:rsidR="004D099E">
        <w:rPr>
          <w:rFonts w:ascii="Times New Roman" w:hAnsi="Times New Roman" w:cs="Times New Roman"/>
          <w:sz w:val="24"/>
          <w:szCs w:val="24"/>
        </w:rPr>
        <w:t xml:space="preserve">icipate in a </w:t>
      </w:r>
      <w:r w:rsidR="00300665">
        <w:rPr>
          <w:rFonts w:ascii="Times New Roman" w:hAnsi="Times New Roman" w:cs="Times New Roman"/>
          <w:sz w:val="24"/>
          <w:szCs w:val="24"/>
        </w:rPr>
        <w:t>cash management agreement or makes no changes to its existing agreement</w:t>
      </w:r>
      <w:r w:rsidR="004D099E">
        <w:rPr>
          <w:rFonts w:ascii="Times New Roman" w:hAnsi="Times New Roman" w:cs="Times New Roman"/>
          <w:sz w:val="24"/>
          <w:szCs w:val="24"/>
        </w:rPr>
        <w:t>,</w:t>
      </w:r>
      <w:r w:rsidR="00300665">
        <w:rPr>
          <w:rFonts w:ascii="Times New Roman" w:hAnsi="Times New Roman" w:cs="Times New Roman"/>
          <w:sz w:val="24"/>
          <w:szCs w:val="24"/>
        </w:rPr>
        <w:t xml:space="preserve"> there is no burden.  </w:t>
      </w:r>
      <w:r>
        <w:rPr>
          <w:rFonts w:ascii="Times New Roman" w:hAnsi="Times New Roman" w:cs="Times New Roman"/>
          <w:sz w:val="24"/>
          <w:szCs w:val="24"/>
        </w:rPr>
        <w:t>While the Commission does regulate small entities</w:t>
      </w:r>
      <w:r w:rsidR="003603CC">
        <w:rPr>
          <w:rFonts w:ascii="Times New Roman" w:hAnsi="Times New Roman" w:cs="Times New Roman"/>
          <w:sz w:val="24"/>
          <w:szCs w:val="24"/>
        </w:rPr>
        <w:t>,</w:t>
      </w:r>
      <w:r>
        <w:rPr>
          <w:rFonts w:ascii="Times New Roman" w:hAnsi="Times New Roman" w:cs="Times New Roman"/>
          <w:sz w:val="24"/>
          <w:szCs w:val="24"/>
        </w:rPr>
        <w:t xml:space="preserve"> </w:t>
      </w:r>
      <w:r w:rsidR="00BC1C8D">
        <w:rPr>
          <w:rFonts w:ascii="Times New Roman" w:hAnsi="Times New Roman" w:cs="Times New Roman"/>
          <w:sz w:val="24"/>
          <w:szCs w:val="24"/>
        </w:rPr>
        <w:t>it does not consider the minimal burden harmful to small entities.</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BC1C8D" w:rsidRDefault="00BC1C8D"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requires entities to file cash management agreements when such agreements are entered into or when there are changes to the agreements.  If the Commission delayed the filings neither Commission nor </w:t>
      </w:r>
      <w:r w:rsidR="00C75421">
        <w:rPr>
          <w:rFonts w:ascii="Times New Roman" w:hAnsi="Times New Roman" w:cs="Times New Roman"/>
          <w:sz w:val="24"/>
          <w:szCs w:val="24"/>
        </w:rPr>
        <w:t>would interested parties</w:t>
      </w:r>
      <w:r>
        <w:rPr>
          <w:rFonts w:ascii="Times New Roman" w:hAnsi="Times New Roman" w:cs="Times New Roman"/>
          <w:sz w:val="24"/>
          <w:szCs w:val="24"/>
        </w:rPr>
        <w:t xml:space="preserve"> have access to current information regarding cash management agreements.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C75421" w:rsidRDefault="00C75421" w:rsidP="00EB3E6F">
      <w:pPr>
        <w:spacing w:after="0"/>
        <w:rPr>
          <w:rFonts w:ascii="Times New Roman" w:hAnsi="Times New Roman" w:cs="Times New Roman"/>
          <w:sz w:val="24"/>
          <w:szCs w:val="24"/>
        </w:rPr>
      </w:pPr>
      <w:r>
        <w:rPr>
          <w:rFonts w:ascii="Times New Roman" w:hAnsi="Times New Roman" w:cs="Times New Roman"/>
          <w:sz w:val="24"/>
          <w:szCs w:val="24"/>
        </w:rPr>
        <w:t xml:space="preserve">There is one special circumstance pertaining to 5 CFR 1320.5(d).  Specifically, if there are multiple changes to a cash management agreement in a short period of time a respondent may have to file with the Commission more often than quarterly.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EB3E6F" w:rsidRDefault="00C75421" w:rsidP="00EB3E6F">
      <w:pPr>
        <w:spacing w:after="0"/>
        <w:rPr>
          <w:rFonts w:ascii="Times New Roman" w:hAnsi="Times New Roman"/>
          <w:sz w:val="24"/>
          <w:szCs w:val="24"/>
        </w:rPr>
      </w:pPr>
      <w:r>
        <w:rPr>
          <w:rFonts w:ascii="Times New Roman" w:hAnsi="Times New Roman"/>
          <w:sz w:val="24"/>
          <w:szCs w:val="24"/>
        </w:rPr>
        <w:t>T</w:t>
      </w:r>
      <w:r w:rsidRPr="00727B08">
        <w:rPr>
          <w:rFonts w:ascii="Times New Roman" w:hAnsi="Times New Roman"/>
          <w:sz w:val="24"/>
          <w:szCs w:val="24"/>
        </w:rPr>
        <w:t>he Commission published in the Federal Register a 60-day notice</w:t>
      </w:r>
      <w:bookmarkStart w:id="0" w:name="_Ref332712251"/>
      <w:r w:rsidRPr="00727B08">
        <w:rPr>
          <w:rStyle w:val="FootnoteReference"/>
          <w:rFonts w:ascii="Times New Roman" w:hAnsi="Times New Roman"/>
          <w:sz w:val="24"/>
          <w:szCs w:val="24"/>
          <w:vertAlign w:val="superscript"/>
        </w:rPr>
        <w:footnoteReference w:id="9"/>
      </w:r>
      <w:bookmarkEnd w:id="0"/>
      <w:r w:rsidRPr="00727B08">
        <w:rPr>
          <w:rFonts w:ascii="Times New Roman" w:hAnsi="Times New Roman"/>
          <w:sz w:val="24"/>
          <w:szCs w:val="24"/>
        </w:rPr>
        <w:t xml:space="preserve"> and a 30-day notice</w:t>
      </w:r>
      <w:r w:rsidRPr="00727B08">
        <w:rPr>
          <w:rStyle w:val="FootnoteReference"/>
          <w:rFonts w:ascii="Times New Roman" w:hAnsi="Times New Roman"/>
          <w:sz w:val="24"/>
          <w:szCs w:val="24"/>
          <w:vertAlign w:val="superscript"/>
        </w:rPr>
        <w:footnoteReference w:id="10"/>
      </w:r>
      <w:r w:rsidRPr="00727B08">
        <w:rPr>
          <w:rFonts w:ascii="Times New Roman" w:hAnsi="Times New Roman"/>
          <w:sz w:val="24"/>
          <w:szCs w:val="24"/>
        </w:rPr>
        <w:t xml:space="preserve"> to the public regarding the FERC-</w:t>
      </w:r>
      <w:r>
        <w:rPr>
          <w:rFonts w:ascii="Times New Roman" w:hAnsi="Times New Roman"/>
          <w:sz w:val="24"/>
          <w:szCs w:val="24"/>
        </w:rPr>
        <w:t>604 information collection on 5</w:t>
      </w:r>
      <w:r w:rsidRPr="00F02AF8">
        <w:rPr>
          <w:rFonts w:ascii="Times New Roman" w:hAnsi="Times New Roman"/>
          <w:sz w:val="24"/>
          <w:szCs w:val="24"/>
        </w:rPr>
        <w:t xml:space="preserve">/20/2013 and </w:t>
      </w:r>
      <w:r w:rsidR="00A4256D" w:rsidRPr="00F02AF8">
        <w:rPr>
          <w:rFonts w:ascii="Times New Roman" w:hAnsi="Times New Roman"/>
          <w:sz w:val="24"/>
          <w:szCs w:val="24"/>
        </w:rPr>
        <w:t>9/23</w:t>
      </w:r>
      <w:r w:rsidRPr="00F02AF8">
        <w:rPr>
          <w:rFonts w:ascii="Times New Roman" w:hAnsi="Times New Roman"/>
          <w:sz w:val="24"/>
          <w:szCs w:val="24"/>
        </w:rPr>
        <w:t>/2013 respectively</w:t>
      </w:r>
      <w:r w:rsidRPr="00727B08">
        <w:rPr>
          <w:rFonts w:ascii="Times New Roman" w:hAnsi="Times New Roman"/>
          <w:sz w:val="24"/>
          <w:szCs w:val="24"/>
        </w:rPr>
        <w:t>.  Within the public notices, the Commission noted that it would be requesting a three-year extension of the public reporting burden with no change to the existing requirements concerning the collection of data.  The Commission received no comments.</w:t>
      </w:r>
    </w:p>
    <w:p w:rsidR="00C75421" w:rsidRPr="00EB3E6F" w:rsidRDefault="00C75421"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303372" w:rsidRPr="00727B08" w:rsidRDefault="00303372" w:rsidP="00303372">
      <w:pPr>
        <w:spacing w:after="0"/>
        <w:rPr>
          <w:rFonts w:ascii="Times New Roman" w:hAnsi="Times New Roman" w:cs="Times New Roman"/>
          <w:sz w:val="24"/>
          <w:szCs w:val="24"/>
        </w:rPr>
      </w:pPr>
      <w:r w:rsidRPr="00727B08">
        <w:rPr>
          <w:rFonts w:ascii="Times New Roman" w:hAnsi="Times New Roman" w:cs="Times New Roman"/>
          <w:sz w:val="24"/>
          <w:szCs w:val="24"/>
        </w:rPr>
        <w:t>There are no payments or gifts to respondents as part of this collection.</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367F9A" w:rsidRPr="00367F9A" w:rsidRDefault="00367F9A" w:rsidP="00367F9A">
      <w:pPr>
        <w:spacing w:after="0"/>
        <w:rPr>
          <w:rFonts w:ascii="Times New Roman" w:hAnsi="Times New Roman" w:cs="Times New Roman"/>
          <w:sz w:val="24"/>
          <w:szCs w:val="24"/>
        </w:rPr>
      </w:pPr>
      <w:r>
        <w:rPr>
          <w:rFonts w:ascii="Times New Roman" w:hAnsi="Times New Roman" w:cs="Times New Roman"/>
          <w:sz w:val="24"/>
          <w:szCs w:val="24"/>
        </w:rPr>
        <w:t>T</w:t>
      </w:r>
      <w:r w:rsidRPr="00367F9A">
        <w:rPr>
          <w:rFonts w:ascii="Times New Roman" w:hAnsi="Times New Roman" w:cs="Times New Roman"/>
          <w:sz w:val="24"/>
          <w:szCs w:val="24"/>
        </w:rPr>
        <w:t xml:space="preserve">he Commission </w:t>
      </w:r>
      <w:r w:rsidR="005107B8">
        <w:rPr>
          <w:rFonts w:ascii="Times New Roman" w:hAnsi="Times New Roman" w:cs="Times New Roman"/>
          <w:sz w:val="24"/>
          <w:szCs w:val="24"/>
        </w:rPr>
        <w:t xml:space="preserve">considers the information </w:t>
      </w:r>
      <w:r w:rsidRPr="00367F9A">
        <w:rPr>
          <w:rFonts w:ascii="Times New Roman" w:hAnsi="Times New Roman" w:cs="Times New Roman"/>
          <w:sz w:val="24"/>
          <w:szCs w:val="24"/>
        </w:rPr>
        <w:t xml:space="preserve">collected to be non-confidential in nature </w:t>
      </w:r>
      <w:r w:rsidR="006A66A1" w:rsidRPr="00367F9A">
        <w:rPr>
          <w:rFonts w:ascii="Times New Roman" w:hAnsi="Times New Roman" w:cs="Times New Roman"/>
          <w:sz w:val="24"/>
          <w:szCs w:val="24"/>
        </w:rPr>
        <w:t>and</w:t>
      </w:r>
      <w:r w:rsidR="006A66A1">
        <w:rPr>
          <w:rFonts w:ascii="Times New Roman" w:hAnsi="Times New Roman" w:cs="Times New Roman"/>
          <w:sz w:val="24"/>
          <w:szCs w:val="24"/>
        </w:rPr>
        <w:t>, therefore</w:t>
      </w:r>
      <w:r w:rsidR="003603CC">
        <w:rPr>
          <w:rFonts w:ascii="Times New Roman" w:hAnsi="Times New Roman" w:cs="Times New Roman"/>
          <w:sz w:val="24"/>
          <w:szCs w:val="24"/>
        </w:rPr>
        <w:t>,</w:t>
      </w:r>
      <w:r w:rsidRPr="00367F9A">
        <w:rPr>
          <w:rFonts w:ascii="Times New Roman" w:hAnsi="Times New Roman" w:cs="Times New Roman"/>
          <w:sz w:val="24"/>
          <w:szCs w:val="24"/>
        </w:rPr>
        <w:t xml:space="preserve"> it </w:t>
      </w:r>
      <w:r>
        <w:rPr>
          <w:rFonts w:ascii="Times New Roman" w:hAnsi="Times New Roman" w:cs="Times New Roman"/>
          <w:sz w:val="24"/>
          <w:szCs w:val="24"/>
        </w:rPr>
        <w:t>is</w:t>
      </w:r>
      <w:r w:rsidRPr="00367F9A">
        <w:rPr>
          <w:rFonts w:ascii="Times New Roman" w:hAnsi="Times New Roman" w:cs="Times New Roman"/>
          <w:sz w:val="24"/>
          <w:szCs w:val="24"/>
        </w:rPr>
        <w:t xml:space="preserve"> made available to the public.  The Commission has determined that release of the information is “necessary to carry out its jurisdictional responsibilities.”</w:t>
      </w:r>
      <w:r w:rsidRPr="00367F9A">
        <w:rPr>
          <w:rStyle w:val="FootnoteReference"/>
          <w:rFonts w:ascii="Times New Roman" w:hAnsi="Times New Roman" w:cs="Times New Roman"/>
          <w:sz w:val="24"/>
          <w:szCs w:val="24"/>
          <w:vertAlign w:val="superscript"/>
        </w:rPr>
        <w:footnoteReference w:id="11"/>
      </w:r>
      <w:r w:rsidRPr="00367F9A">
        <w:rPr>
          <w:rFonts w:ascii="Times New Roman" w:hAnsi="Times New Roman" w:cs="Times New Roman"/>
          <w:sz w:val="24"/>
          <w:szCs w:val="24"/>
        </w:rPr>
        <w:t xml:space="preserve">  The information provide</w:t>
      </w:r>
      <w:r>
        <w:rPr>
          <w:rFonts w:ascii="Times New Roman" w:hAnsi="Times New Roman" w:cs="Times New Roman"/>
          <w:sz w:val="24"/>
          <w:szCs w:val="24"/>
        </w:rPr>
        <w:t>s</w:t>
      </w:r>
      <w:r w:rsidRPr="00367F9A">
        <w:rPr>
          <w:rFonts w:ascii="Times New Roman" w:hAnsi="Times New Roman" w:cs="Times New Roman"/>
          <w:sz w:val="24"/>
          <w:szCs w:val="24"/>
        </w:rPr>
        <w:t xml:space="preserve"> the Commission with relevant and accurate information on which to make decisions.</w:t>
      </w:r>
    </w:p>
    <w:p w:rsidR="00367F9A" w:rsidRDefault="00367F9A" w:rsidP="00367F9A">
      <w:pPr>
        <w:spacing w:after="0"/>
        <w:rPr>
          <w:rFonts w:ascii="Times New Roman" w:hAnsi="Times New Roman" w:cs="Times New Roman"/>
          <w:sz w:val="24"/>
          <w:szCs w:val="24"/>
        </w:rPr>
      </w:pPr>
    </w:p>
    <w:p w:rsidR="00367F9A" w:rsidRPr="00367F9A" w:rsidRDefault="00367F9A" w:rsidP="00367F9A">
      <w:pPr>
        <w:spacing w:after="0"/>
        <w:rPr>
          <w:rFonts w:ascii="Times New Roman" w:hAnsi="Times New Roman" w:cs="Times New Roman"/>
          <w:sz w:val="24"/>
          <w:szCs w:val="24"/>
        </w:rPr>
      </w:pPr>
      <w:r w:rsidRPr="00367F9A">
        <w:rPr>
          <w:rFonts w:ascii="Times New Roman" w:hAnsi="Times New Roman" w:cs="Times New Roman"/>
          <w:sz w:val="24"/>
          <w:szCs w:val="24"/>
        </w:rPr>
        <w:t>Allowing only the Com</w:t>
      </w:r>
      <w:bookmarkStart w:id="1" w:name="_GoBack"/>
      <w:bookmarkEnd w:id="1"/>
      <w:r w:rsidRPr="00367F9A">
        <w:rPr>
          <w:rFonts w:ascii="Times New Roman" w:hAnsi="Times New Roman" w:cs="Times New Roman"/>
          <w:sz w:val="24"/>
          <w:szCs w:val="24"/>
        </w:rPr>
        <w:t>mission and not the public to review the cash management agreements would not meet the goal of providing greater transparency for the protection of rate</w:t>
      </w:r>
      <w:r w:rsidR="003603CC">
        <w:rPr>
          <w:rFonts w:ascii="Times New Roman" w:hAnsi="Times New Roman" w:cs="Times New Roman"/>
          <w:sz w:val="24"/>
          <w:szCs w:val="24"/>
        </w:rPr>
        <w:t>-</w:t>
      </w:r>
      <w:r w:rsidRPr="00367F9A">
        <w:rPr>
          <w:rFonts w:ascii="Times New Roman" w:hAnsi="Times New Roman" w:cs="Times New Roman"/>
          <w:sz w:val="24"/>
          <w:szCs w:val="24"/>
        </w:rPr>
        <w:t xml:space="preserve">paying customers.  This transparency, in turn, will lessen the chance of an acute financial reversal that </w:t>
      </w:r>
      <w:r w:rsidRPr="00367F9A">
        <w:rPr>
          <w:rFonts w:ascii="Times New Roman" w:hAnsi="Times New Roman" w:cs="Times New Roman"/>
          <w:sz w:val="24"/>
          <w:szCs w:val="24"/>
        </w:rPr>
        <w:lastRenderedPageBreak/>
        <w:t xml:space="preserve">would harm utility </w:t>
      </w:r>
      <w:r w:rsidR="00733B06" w:rsidRPr="00367F9A">
        <w:rPr>
          <w:rFonts w:ascii="Times New Roman" w:hAnsi="Times New Roman" w:cs="Times New Roman"/>
          <w:sz w:val="24"/>
          <w:szCs w:val="24"/>
        </w:rPr>
        <w:t>rate paying</w:t>
      </w:r>
      <w:r w:rsidRPr="00367F9A">
        <w:rPr>
          <w:rFonts w:ascii="Times New Roman" w:hAnsi="Times New Roman" w:cs="Times New Roman"/>
          <w:sz w:val="24"/>
          <w:szCs w:val="24"/>
        </w:rPr>
        <w:t xml:space="preserve"> customers and energy markets.  </w:t>
      </w:r>
      <w:r>
        <w:rPr>
          <w:rFonts w:ascii="Times New Roman" w:hAnsi="Times New Roman" w:cs="Times New Roman"/>
          <w:sz w:val="24"/>
          <w:szCs w:val="24"/>
        </w:rPr>
        <w:t>Respondents</w:t>
      </w:r>
      <w:r w:rsidRPr="00367F9A">
        <w:rPr>
          <w:rFonts w:ascii="Times New Roman" w:hAnsi="Times New Roman" w:cs="Times New Roman"/>
          <w:sz w:val="24"/>
          <w:szCs w:val="24"/>
        </w:rPr>
        <w:t xml:space="preserve"> that believe the information they submit should be withheld from public view on account of unique circumstances may still request confidential treatment pursuant to § 388.112 of our regulations, stating the rationale for their requests.  However, </w:t>
      </w:r>
      <w:r w:rsidR="003603CC">
        <w:rPr>
          <w:rFonts w:ascii="Times New Roman" w:hAnsi="Times New Roman" w:cs="Times New Roman"/>
          <w:sz w:val="24"/>
          <w:szCs w:val="24"/>
        </w:rPr>
        <w:t xml:space="preserve">in </w:t>
      </w:r>
      <w:r w:rsidRPr="00367F9A">
        <w:rPr>
          <w:rFonts w:ascii="Times New Roman" w:hAnsi="Times New Roman" w:cs="Times New Roman"/>
          <w:sz w:val="24"/>
          <w:szCs w:val="24"/>
        </w:rPr>
        <w:t xml:space="preserve">general, unsubstantiated assertions that future harm will occur if information contained in cash management agreements is released </w:t>
      </w:r>
      <w:r>
        <w:rPr>
          <w:rFonts w:ascii="Times New Roman" w:hAnsi="Times New Roman" w:cs="Times New Roman"/>
          <w:sz w:val="24"/>
          <w:szCs w:val="24"/>
        </w:rPr>
        <w:t>are</w:t>
      </w:r>
      <w:r w:rsidRPr="00367F9A">
        <w:rPr>
          <w:rFonts w:ascii="Times New Roman" w:hAnsi="Times New Roman" w:cs="Times New Roman"/>
          <w:sz w:val="24"/>
          <w:szCs w:val="24"/>
        </w:rPr>
        <w:t xml:space="preserve"> insufficient for a specific company to acquire confidential status.</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303372" w:rsidRPr="00727B08" w:rsidRDefault="00303372" w:rsidP="00303372">
      <w:pPr>
        <w:spacing w:after="0"/>
        <w:rPr>
          <w:rFonts w:ascii="Times New Roman" w:hAnsi="Times New Roman" w:cs="Times New Roman"/>
          <w:sz w:val="24"/>
          <w:szCs w:val="24"/>
        </w:rPr>
      </w:pPr>
      <w:r w:rsidRPr="00727B08">
        <w:rPr>
          <w:rFonts w:ascii="Times New Roman" w:hAnsi="Times New Roman" w:cs="Times New Roman"/>
          <w:sz w:val="24"/>
          <w:szCs w:val="24"/>
        </w:rPr>
        <w:t>There are no questions of a sensitive nature that are considered private as part of this collection.</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RDefault="00D80FBD" w:rsidP="00D80FBD">
      <w:pPr>
        <w:spacing w:after="0"/>
        <w:rPr>
          <w:rFonts w:ascii="Times New Roman" w:hAnsi="Times New Roman" w:cs="Times New Roman"/>
          <w:sz w:val="24"/>
          <w:szCs w:val="24"/>
        </w:rPr>
      </w:pPr>
    </w:p>
    <w:p w:rsidR="00367F9A" w:rsidRPr="00367F9A" w:rsidRDefault="00367F9A" w:rsidP="00367F9A">
      <w:pPr>
        <w:spacing w:after="0"/>
        <w:rPr>
          <w:rFonts w:ascii="Times New Roman" w:hAnsi="Times New Roman" w:cs="Times New Roman"/>
          <w:sz w:val="24"/>
          <w:szCs w:val="24"/>
        </w:rPr>
      </w:pPr>
      <w:r w:rsidRPr="00367F9A">
        <w:rPr>
          <w:rFonts w:ascii="Times New Roman" w:hAnsi="Times New Roman" w:cs="Times New Roman"/>
          <w:sz w:val="24"/>
          <w:szCs w:val="24"/>
        </w:rPr>
        <w:t>The Commission estimates the total Public Reporting Burden for this information collection as:</w:t>
      </w:r>
    </w:p>
    <w:tbl>
      <w:tblPr>
        <w:tblpPr w:leftFromText="180" w:rightFromText="180" w:vertAnchor="text" w:horzAnchor="margin" w:tblpX="108" w:tblpY="229"/>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0"/>
        <w:gridCol w:w="1620"/>
        <w:gridCol w:w="1638"/>
        <w:gridCol w:w="1422"/>
        <w:gridCol w:w="1368"/>
      </w:tblGrid>
      <w:tr w:rsidR="00367F9A" w:rsidRPr="00367F9A" w:rsidTr="005107B8">
        <w:trPr>
          <w:trHeight w:val="347"/>
        </w:trPr>
        <w:tc>
          <w:tcPr>
            <w:tcW w:w="9576" w:type="dxa"/>
            <w:gridSpan w:val="6"/>
            <w:shd w:val="clear" w:color="auto" w:fill="D9D9D9"/>
            <w:vAlign w:val="center"/>
          </w:tcPr>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FERC-604, Cash Management Agreements</w:t>
            </w:r>
          </w:p>
        </w:tc>
      </w:tr>
      <w:tr w:rsidR="00367F9A" w:rsidRPr="00367F9A" w:rsidTr="00367F9A">
        <w:trPr>
          <w:trHeight w:val="1250"/>
        </w:trPr>
        <w:tc>
          <w:tcPr>
            <w:tcW w:w="1728" w:type="dxa"/>
            <w:shd w:val="clear" w:color="auto" w:fill="D9D9D9"/>
            <w:vAlign w:val="bottom"/>
          </w:tcPr>
          <w:p w:rsidR="00367F9A" w:rsidRPr="00367F9A" w:rsidRDefault="00367F9A" w:rsidP="006A66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Respondent Type</w:t>
            </w:r>
          </w:p>
        </w:tc>
        <w:tc>
          <w:tcPr>
            <w:tcW w:w="1800" w:type="dxa"/>
            <w:shd w:val="clear" w:color="auto" w:fill="D9D9D9"/>
            <w:vAlign w:val="bottom"/>
          </w:tcPr>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Number of Respondents Annually</w:t>
            </w:r>
          </w:p>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(A)</w:t>
            </w:r>
          </w:p>
        </w:tc>
        <w:tc>
          <w:tcPr>
            <w:tcW w:w="1620" w:type="dxa"/>
            <w:shd w:val="clear" w:color="auto" w:fill="D9D9D9"/>
            <w:vAlign w:val="bottom"/>
          </w:tcPr>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Number of Responses Per Respondent</w:t>
            </w:r>
          </w:p>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(B)</w:t>
            </w:r>
          </w:p>
        </w:tc>
        <w:tc>
          <w:tcPr>
            <w:tcW w:w="1638" w:type="dxa"/>
            <w:shd w:val="clear" w:color="auto" w:fill="D9D9D9"/>
            <w:vAlign w:val="bottom"/>
          </w:tcPr>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Total Number of Responses</w:t>
            </w:r>
          </w:p>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(A)x(B)=(C)</w:t>
            </w:r>
          </w:p>
        </w:tc>
        <w:tc>
          <w:tcPr>
            <w:tcW w:w="1422" w:type="dxa"/>
            <w:shd w:val="clear" w:color="auto" w:fill="D9D9D9"/>
            <w:vAlign w:val="bottom"/>
          </w:tcPr>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Average Burden Hours per Response</w:t>
            </w:r>
          </w:p>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(D)</w:t>
            </w:r>
          </w:p>
        </w:tc>
        <w:tc>
          <w:tcPr>
            <w:tcW w:w="1368" w:type="dxa"/>
            <w:shd w:val="clear" w:color="auto" w:fill="D9D9D9"/>
            <w:vAlign w:val="bottom"/>
          </w:tcPr>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Estimated Total Annual Burden</w:t>
            </w:r>
          </w:p>
          <w:p w:rsidR="00367F9A" w:rsidRPr="00367F9A" w:rsidRDefault="00367F9A" w:rsidP="006A66A1">
            <w:pPr>
              <w:spacing w:after="0" w:line="240" w:lineRule="auto"/>
              <w:jc w:val="center"/>
              <w:rPr>
                <w:rFonts w:ascii="Times New Roman" w:hAnsi="Times New Roman" w:cs="Times New Roman"/>
                <w:b/>
                <w:sz w:val="24"/>
                <w:szCs w:val="24"/>
              </w:rPr>
            </w:pPr>
            <w:r w:rsidRPr="00367F9A">
              <w:rPr>
                <w:rFonts w:ascii="Times New Roman" w:hAnsi="Times New Roman" w:cs="Times New Roman"/>
                <w:b/>
                <w:sz w:val="24"/>
                <w:szCs w:val="24"/>
              </w:rPr>
              <w:t>(C)x(D)</w:t>
            </w:r>
          </w:p>
        </w:tc>
      </w:tr>
      <w:tr w:rsidR="00367F9A" w:rsidRPr="00367F9A" w:rsidTr="00367F9A">
        <w:tc>
          <w:tcPr>
            <w:tcW w:w="1728" w:type="dxa"/>
          </w:tcPr>
          <w:p w:rsidR="00367F9A" w:rsidRPr="00367F9A" w:rsidRDefault="00367F9A" w:rsidP="006A66A1">
            <w:pPr>
              <w:spacing w:after="0" w:line="240" w:lineRule="auto"/>
              <w:rPr>
                <w:rFonts w:ascii="Times New Roman" w:hAnsi="Times New Roman" w:cs="Times New Roman"/>
                <w:sz w:val="24"/>
                <w:szCs w:val="24"/>
              </w:rPr>
            </w:pPr>
            <w:r w:rsidRPr="00367F9A">
              <w:rPr>
                <w:rFonts w:ascii="Times New Roman" w:hAnsi="Times New Roman" w:cs="Times New Roman"/>
                <w:sz w:val="24"/>
                <w:szCs w:val="24"/>
              </w:rPr>
              <w:t>Public utilities and licensees, natural gas companies, and oil pipeline companies</w:t>
            </w:r>
          </w:p>
        </w:tc>
        <w:tc>
          <w:tcPr>
            <w:tcW w:w="1800" w:type="dxa"/>
            <w:vAlign w:val="bottom"/>
          </w:tcPr>
          <w:p w:rsidR="00367F9A" w:rsidRPr="00367F9A" w:rsidRDefault="00367F9A" w:rsidP="006A66A1">
            <w:pPr>
              <w:spacing w:after="0" w:line="240" w:lineRule="auto"/>
              <w:jc w:val="right"/>
              <w:rPr>
                <w:rFonts w:ascii="Times New Roman" w:hAnsi="Times New Roman" w:cs="Times New Roman"/>
                <w:sz w:val="24"/>
                <w:szCs w:val="24"/>
              </w:rPr>
            </w:pPr>
            <w:r w:rsidRPr="00367F9A">
              <w:rPr>
                <w:rFonts w:ascii="Times New Roman" w:hAnsi="Times New Roman" w:cs="Times New Roman"/>
                <w:sz w:val="24"/>
                <w:szCs w:val="24"/>
              </w:rPr>
              <w:t>25</w:t>
            </w:r>
            <w:r w:rsidRPr="00367F9A">
              <w:rPr>
                <w:rFonts w:ascii="Times New Roman" w:hAnsi="Times New Roman" w:cs="Times New Roman"/>
                <w:b/>
                <w:sz w:val="24"/>
                <w:szCs w:val="24"/>
                <w:vertAlign w:val="superscript"/>
              </w:rPr>
              <w:footnoteReference w:id="12"/>
            </w:r>
          </w:p>
        </w:tc>
        <w:tc>
          <w:tcPr>
            <w:tcW w:w="1620" w:type="dxa"/>
            <w:vAlign w:val="bottom"/>
          </w:tcPr>
          <w:p w:rsidR="00367F9A" w:rsidRPr="00367F9A" w:rsidRDefault="00367F9A" w:rsidP="006A66A1">
            <w:pPr>
              <w:spacing w:after="0" w:line="240" w:lineRule="auto"/>
              <w:jc w:val="right"/>
              <w:rPr>
                <w:rFonts w:ascii="Times New Roman" w:hAnsi="Times New Roman" w:cs="Times New Roman"/>
                <w:sz w:val="24"/>
                <w:szCs w:val="24"/>
              </w:rPr>
            </w:pPr>
            <w:r w:rsidRPr="00367F9A">
              <w:rPr>
                <w:rFonts w:ascii="Times New Roman" w:hAnsi="Times New Roman" w:cs="Times New Roman"/>
                <w:sz w:val="24"/>
                <w:szCs w:val="24"/>
              </w:rPr>
              <w:t>1</w:t>
            </w:r>
          </w:p>
        </w:tc>
        <w:tc>
          <w:tcPr>
            <w:tcW w:w="1638" w:type="dxa"/>
            <w:vAlign w:val="bottom"/>
          </w:tcPr>
          <w:p w:rsidR="00367F9A" w:rsidRPr="00367F9A" w:rsidRDefault="00367F9A" w:rsidP="006A66A1">
            <w:pPr>
              <w:spacing w:after="0" w:line="240" w:lineRule="auto"/>
              <w:jc w:val="right"/>
              <w:rPr>
                <w:rFonts w:ascii="Times New Roman" w:hAnsi="Times New Roman" w:cs="Times New Roman"/>
                <w:sz w:val="24"/>
                <w:szCs w:val="24"/>
              </w:rPr>
            </w:pPr>
            <w:r w:rsidRPr="00367F9A">
              <w:rPr>
                <w:rFonts w:ascii="Times New Roman" w:hAnsi="Times New Roman" w:cs="Times New Roman"/>
                <w:sz w:val="24"/>
                <w:szCs w:val="24"/>
              </w:rPr>
              <w:t>25</w:t>
            </w:r>
          </w:p>
        </w:tc>
        <w:tc>
          <w:tcPr>
            <w:tcW w:w="1422" w:type="dxa"/>
            <w:vAlign w:val="bottom"/>
          </w:tcPr>
          <w:p w:rsidR="00367F9A" w:rsidRPr="00367F9A" w:rsidRDefault="00367F9A" w:rsidP="006A66A1">
            <w:pPr>
              <w:spacing w:after="0" w:line="240" w:lineRule="auto"/>
              <w:jc w:val="right"/>
              <w:rPr>
                <w:rFonts w:ascii="Times New Roman" w:hAnsi="Times New Roman" w:cs="Times New Roman"/>
                <w:sz w:val="24"/>
                <w:szCs w:val="24"/>
              </w:rPr>
            </w:pPr>
            <w:r w:rsidRPr="00367F9A">
              <w:rPr>
                <w:rFonts w:ascii="Times New Roman" w:hAnsi="Times New Roman" w:cs="Times New Roman"/>
                <w:sz w:val="24"/>
                <w:szCs w:val="24"/>
              </w:rPr>
              <w:t>1.5</w:t>
            </w:r>
          </w:p>
        </w:tc>
        <w:tc>
          <w:tcPr>
            <w:tcW w:w="1368" w:type="dxa"/>
            <w:vAlign w:val="bottom"/>
          </w:tcPr>
          <w:p w:rsidR="00367F9A" w:rsidRPr="00367F9A" w:rsidRDefault="00367F9A" w:rsidP="006A66A1">
            <w:pPr>
              <w:spacing w:after="0" w:line="240" w:lineRule="auto"/>
              <w:jc w:val="right"/>
              <w:rPr>
                <w:rFonts w:ascii="Times New Roman" w:hAnsi="Times New Roman" w:cs="Times New Roman"/>
                <w:sz w:val="24"/>
                <w:szCs w:val="24"/>
              </w:rPr>
            </w:pPr>
            <w:r w:rsidRPr="00367F9A">
              <w:rPr>
                <w:rFonts w:ascii="Times New Roman" w:hAnsi="Times New Roman" w:cs="Times New Roman"/>
                <w:sz w:val="24"/>
                <w:szCs w:val="24"/>
              </w:rPr>
              <w:t>37.5</w:t>
            </w:r>
          </w:p>
        </w:tc>
      </w:tr>
    </w:tbl>
    <w:p w:rsidR="00367F9A" w:rsidRPr="00367F9A" w:rsidRDefault="00367F9A" w:rsidP="00367F9A">
      <w:pPr>
        <w:spacing w:after="0"/>
        <w:rPr>
          <w:rFonts w:ascii="Times New Roman" w:hAnsi="Times New Roman" w:cs="Times New Roman"/>
          <w:sz w:val="24"/>
          <w:szCs w:val="24"/>
        </w:rPr>
      </w:pPr>
    </w:p>
    <w:p w:rsidR="00250AE2" w:rsidRDefault="00606D35" w:rsidP="00367F9A">
      <w:pPr>
        <w:spacing w:after="0"/>
        <w:rPr>
          <w:rFonts w:ascii="Times New Roman" w:hAnsi="Times New Roman" w:cs="Times New Roman"/>
          <w:sz w:val="24"/>
          <w:szCs w:val="24"/>
        </w:rPr>
      </w:pPr>
      <w:r>
        <w:rPr>
          <w:rFonts w:ascii="Times New Roman" w:hAnsi="Times New Roman" w:cs="Times New Roman"/>
          <w:sz w:val="24"/>
          <w:szCs w:val="24"/>
        </w:rPr>
        <w:t>The C</w:t>
      </w:r>
      <w:r w:rsidR="00250AE2">
        <w:rPr>
          <w:rFonts w:ascii="Times New Roman" w:hAnsi="Times New Roman" w:cs="Times New Roman"/>
          <w:sz w:val="24"/>
          <w:szCs w:val="24"/>
        </w:rPr>
        <w:t>ommission considers the burden</w:t>
      </w:r>
      <w:r>
        <w:rPr>
          <w:rFonts w:ascii="Times New Roman" w:hAnsi="Times New Roman" w:cs="Times New Roman"/>
          <w:sz w:val="24"/>
          <w:szCs w:val="24"/>
        </w:rPr>
        <w:t xml:space="preserve"> to </w:t>
      </w:r>
      <w:r w:rsidR="00250AE2">
        <w:rPr>
          <w:rFonts w:ascii="Times New Roman" w:hAnsi="Times New Roman" w:cs="Times New Roman"/>
          <w:sz w:val="24"/>
          <w:szCs w:val="24"/>
        </w:rPr>
        <w:t>submit new or revised cash management agreements to</w:t>
      </w:r>
      <w:r>
        <w:rPr>
          <w:rFonts w:ascii="Times New Roman" w:hAnsi="Times New Roman" w:cs="Times New Roman"/>
          <w:sz w:val="24"/>
          <w:szCs w:val="24"/>
        </w:rPr>
        <w:t xml:space="preserve"> the Commission to be minimal.  1.5 hours per </w:t>
      </w:r>
      <w:r w:rsidR="00250AE2">
        <w:rPr>
          <w:rFonts w:ascii="Times New Roman" w:hAnsi="Times New Roman" w:cs="Times New Roman"/>
          <w:sz w:val="24"/>
          <w:szCs w:val="24"/>
        </w:rPr>
        <w:t>response is the same figure we used</w:t>
      </w:r>
      <w:r>
        <w:rPr>
          <w:rFonts w:ascii="Times New Roman" w:hAnsi="Times New Roman" w:cs="Times New Roman"/>
          <w:sz w:val="24"/>
          <w:szCs w:val="24"/>
        </w:rPr>
        <w:t xml:space="preserve"> when this requirement was adop</w:t>
      </w:r>
      <w:r w:rsidR="00250AE2">
        <w:rPr>
          <w:rFonts w:ascii="Times New Roman" w:hAnsi="Times New Roman" w:cs="Times New Roman"/>
          <w:sz w:val="24"/>
          <w:szCs w:val="24"/>
        </w:rPr>
        <w:t>ted and we do not see a need to change it here.</w:t>
      </w:r>
    </w:p>
    <w:p w:rsidR="00606D35" w:rsidRDefault="00606D35" w:rsidP="00367F9A">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D80FBD" w:rsidRDefault="00367F9A" w:rsidP="00367F9A">
      <w:pPr>
        <w:spacing w:after="0"/>
        <w:rPr>
          <w:rFonts w:ascii="Times New Roman" w:hAnsi="Times New Roman" w:cs="Times New Roman"/>
          <w:sz w:val="24"/>
          <w:szCs w:val="24"/>
        </w:rPr>
      </w:pPr>
      <w:r w:rsidRPr="00367F9A">
        <w:rPr>
          <w:rFonts w:ascii="Times New Roman" w:hAnsi="Times New Roman" w:cs="Times New Roman"/>
          <w:sz w:val="24"/>
          <w:szCs w:val="24"/>
        </w:rPr>
        <w:t xml:space="preserve">The total estimated annual cost burden to respondents is </w:t>
      </w:r>
      <w:r w:rsidRPr="00367F9A">
        <w:rPr>
          <w:rFonts w:ascii="Times New Roman" w:hAnsi="Times New Roman" w:cs="Times New Roman"/>
          <w:b/>
          <w:sz w:val="24"/>
          <w:szCs w:val="24"/>
        </w:rPr>
        <w:t>$3,330</w:t>
      </w:r>
      <w:r w:rsidRPr="00367F9A">
        <w:rPr>
          <w:rFonts w:ascii="Times New Roman" w:hAnsi="Times New Roman" w:cs="Times New Roman"/>
          <w:sz w:val="24"/>
          <w:szCs w:val="24"/>
        </w:rPr>
        <w:t xml:space="preserve"> [37.5 hours * $70 per hour</w:t>
      </w:r>
      <w:r w:rsidRPr="00367F9A">
        <w:rPr>
          <w:rFonts w:ascii="Times New Roman" w:hAnsi="Times New Roman" w:cs="Times New Roman"/>
          <w:b/>
          <w:sz w:val="24"/>
          <w:szCs w:val="24"/>
          <w:vertAlign w:val="superscript"/>
        </w:rPr>
        <w:footnoteReference w:id="13"/>
      </w:r>
      <w:r w:rsidRPr="00367F9A">
        <w:rPr>
          <w:rFonts w:ascii="Times New Roman" w:hAnsi="Times New Roman" w:cs="Times New Roman"/>
          <w:sz w:val="24"/>
          <w:szCs w:val="24"/>
        </w:rPr>
        <w:t xml:space="preserve"> = $2,625]</w:t>
      </w:r>
    </w:p>
    <w:p w:rsidR="00367F9A" w:rsidRPr="00D80FBD" w:rsidRDefault="00367F9A" w:rsidP="00367F9A">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303372" w:rsidRDefault="00303372" w:rsidP="00E636D7">
      <w:pPr>
        <w:spacing w:after="0"/>
        <w:rPr>
          <w:rFonts w:ascii="Times New Roman" w:hAnsi="Times New Roman" w:cs="Times New Roman"/>
          <w:sz w:val="24"/>
          <w:szCs w:val="24"/>
        </w:rPr>
      </w:pPr>
      <w:r w:rsidRPr="00727B08">
        <w:rPr>
          <w:rFonts w:ascii="Times New Roman" w:hAnsi="Times New Roman" w:cs="Times New Roman"/>
          <w:sz w:val="24"/>
          <w:szCs w:val="24"/>
        </w:rPr>
        <w:lastRenderedPageBreak/>
        <w:t xml:space="preserve">There are no capital or start-up costs associated with this collection.  All </w:t>
      </w:r>
      <w:r>
        <w:rPr>
          <w:rFonts w:ascii="Times New Roman" w:hAnsi="Times New Roman" w:cs="Times New Roman"/>
          <w:sz w:val="24"/>
          <w:szCs w:val="24"/>
        </w:rPr>
        <w:t xml:space="preserve">of </w:t>
      </w:r>
      <w:r w:rsidRPr="00727B08">
        <w:rPr>
          <w:rFonts w:ascii="Times New Roman" w:hAnsi="Times New Roman" w:cs="Times New Roman"/>
          <w:sz w:val="24"/>
          <w:szCs w:val="24"/>
        </w:rPr>
        <w:t xml:space="preserve">the costs are associated with the burden hours and accounted for in </w:t>
      </w:r>
      <w:r>
        <w:rPr>
          <w:rFonts w:ascii="Times New Roman" w:hAnsi="Times New Roman" w:cs="Times New Roman"/>
          <w:sz w:val="24"/>
          <w:szCs w:val="24"/>
        </w:rPr>
        <w:t>Question</w:t>
      </w:r>
      <w:r w:rsidRPr="00727B08">
        <w:rPr>
          <w:rFonts w:ascii="Times New Roman" w:hAnsi="Times New Roman" w:cs="Times New Roman"/>
          <w:sz w:val="24"/>
          <w:szCs w:val="24"/>
        </w:rPr>
        <w:t xml:space="preserve"> #12.</w:t>
      </w:r>
    </w:p>
    <w:p w:rsidR="00E636D7" w:rsidRPr="00E636D7" w:rsidRDefault="00E636D7" w:rsidP="00E636D7">
      <w:pPr>
        <w:spacing w:after="0"/>
        <w:rPr>
          <w:rFonts w:ascii="Times New Roman" w:hAnsi="Times New Roman" w:cs="Times New Roman"/>
          <w:sz w:val="24"/>
          <w:szCs w:val="24"/>
        </w:rPr>
      </w:pPr>
    </w:p>
    <w:p w:rsidR="00A276F5" w:rsidRPr="00303372" w:rsidRDefault="00A276F5" w:rsidP="00A276F5">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303372" w:rsidRPr="00727B08" w:rsidRDefault="00303372" w:rsidP="00303372">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303372" w:rsidRPr="00727B08" w:rsidTr="005107B8">
        <w:tc>
          <w:tcPr>
            <w:tcW w:w="3182" w:type="dxa"/>
            <w:shd w:val="clear" w:color="auto" w:fill="CCCCCC"/>
          </w:tcPr>
          <w:p w:rsidR="00303372" w:rsidRPr="00727B08" w:rsidRDefault="00303372" w:rsidP="005107B8">
            <w:pPr>
              <w:spacing w:after="0" w:line="240" w:lineRule="auto"/>
              <w:rPr>
                <w:rFonts w:ascii="Times New Roman" w:hAnsi="Times New Roman"/>
                <w:sz w:val="24"/>
                <w:szCs w:val="24"/>
              </w:rPr>
            </w:pPr>
          </w:p>
        </w:tc>
        <w:tc>
          <w:tcPr>
            <w:tcW w:w="3201" w:type="dxa"/>
            <w:shd w:val="clear" w:color="auto" w:fill="CCCCCC"/>
          </w:tcPr>
          <w:p w:rsidR="00303372" w:rsidRPr="00727B08" w:rsidRDefault="00303372" w:rsidP="005107B8">
            <w:pPr>
              <w:spacing w:after="0" w:line="240" w:lineRule="auto"/>
              <w:rPr>
                <w:rFonts w:ascii="Times New Roman" w:hAnsi="Times New Roman"/>
                <w:b/>
                <w:sz w:val="24"/>
                <w:szCs w:val="24"/>
              </w:rPr>
            </w:pPr>
            <w:r w:rsidRPr="00727B08">
              <w:rPr>
                <w:rFonts w:ascii="Times New Roman" w:hAnsi="Times New Roman"/>
                <w:b/>
                <w:sz w:val="24"/>
                <w:szCs w:val="24"/>
              </w:rPr>
              <w:t>Number of Employees (FTE)</w:t>
            </w:r>
          </w:p>
        </w:tc>
        <w:tc>
          <w:tcPr>
            <w:tcW w:w="2995" w:type="dxa"/>
            <w:shd w:val="clear" w:color="auto" w:fill="CCCCCC"/>
          </w:tcPr>
          <w:p w:rsidR="00303372" w:rsidRPr="00727B08" w:rsidRDefault="00303372" w:rsidP="005107B8">
            <w:pPr>
              <w:spacing w:after="0" w:line="240" w:lineRule="auto"/>
              <w:rPr>
                <w:rFonts w:ascii="Times New Roman" w:hAnsi="Times New Roman"/>
                <w:b/>
                <w:sz w:val="24"/>
                <w:szCs w:val="24"/>
              </w:rPr>
            </w:pPr>
            <w:r w:rsidRPr="00727B08">
              <w:rPr>
                <w:rFonts w:ascii="Times New Roman" w:hAnsi="Times New Roman"/>
                <w:b/>
                <w:sz w:val="24"/>
                <w:szCs w:val="24"/>
              </w:rPr>
              <w:t>Estimated Annual Federal Cost</w:t>
            </w:r>
          </w:p>
        </w:tc>
      </w:tr>
      <w:tr w:rsidR="00303372" w:rsidRPr="00727B08" w:rsidTr="005107B8">
        <w:tc>
          <w:tcPr>
            <w:tcW w:w="3182" w:type="dxa"/>
          </w:tcPr>
          <w:p w:rsidR="00303372" w:rsidRPr="00727B08" w:rsidRDefault="00303372" w:rsidP="005107B8">
            <w:pPr>
              <w:spacing w:after="0" w:line="240" w:lineRule="auto"/>
              <w:rPr>
                <w:rFonts w:ascii="Times New Roman" w:hAnsi="Times New Roman"/>
                <w:sz w:val="24"/>
                <w:szCs w:val="24"/>
              </w:rPr>
            </w:pPr>
            <w:r w:rsidRPr="00727B08">
              <w:rPr>
                <w:rFonts w:ascii="Times New Roman" w:hAnsi="Times New Roman"/>
                <w:sz w:val="24"/>
                <w:szCs w:val="24"/>
              </w:rPr>
              <w:t>Analysis and Processing of filings</w:t>
            </w:r>
            <w:r w:rsidRPr="00727B08">
              <w:rPr>
                <w:rStyle w:val="FootnoteReference"/>
                <w:rFonts w:ascii="Times New Roman" w:hAnsi="Times New Roman"/>
                <w:sz w:val="24"/>
                <w:szCs w:val="24"/>
                <w:vertAlign w:val="superscript"/>
              </w:rPr>
              <w:footnoteReference w:id="14"/>
            </w:r>
          </w:p>
        </w:tc>
        <w:tc>
          <w:tcPr>
            <w:tcW w:w="3201" w:type="dxa"/>
            <w:vAlign w:val="bottom"/>
          </w:tcPr>
          <w:p w:rsidR="00303372" w:rsidRPr="00727B08" w:rsidRDefault="004D099E" w:rsidP="004D099E">
            <w:pPr>
              <w:spacing w:after="0" w:line="240" w:lineRule="auto"/>
              <w:jc w:val="right"/>
              <w:rPr>
                <w:rFonts w:ascii="Times New Roman" w:hAnsi="Times New Roman"/>
                <w:sz w:val="24"/>
                <w:szCs w:val="24"/>
              </w:rPr>
            </w:pPr>
            <w:r w:rsidRPr="000451DC">
              <w:rPr>
                <w:rFonts w:ascii="Times New Roman" w:hAnsi="Times New Roman"/>
                <w:sz w:val="24"/>
                <w:szCs w:val="24"/>
              </w:rPr>
              <w:t>.3</w:t>
            </w:r>
          </w:p>
        </w:tc>
        <w:tc>
          <w:tcPr>
            <w:tcW w:w="2995" w:type="dxa"/>
            <w:vAlign w:val="bottom"/>
          </w:tcPr>
          <w:p w:rsidR="00303372" w:rsidRPr="00727B08" w:rsidRDefault="00303372" w:rsidP="000451DC">
            <w:pPr>
              <w:spacing w:after="0" w:line="240" w:lineRule="auto"/>
              <w:jc w:val="right"/>
              <w:rPr>
                <w:rFonts w:ascii="Times New Roman" w:hAnsi="Times New Roman"/>
                <w:sz w:val="24"/>
                <w:szCs w:val="24"/>
              </w:rPr>
            </w:pPr>
            <w:r w:rsidRPr="00727B08">
              <w:rPr>
                <w:rFonts w:ascii="Times New Roman" w:hAnsi="Times New Roman"/>
                <w:sz w:val="24"/>
                <w:szCs w:val="24"/>
              </w:rPr>
              <w:t>$</w:t>
            </w:r>
            <w:r w:rsidR="000451DC">
              <w:rPr>
                <w:rFonts w:ascii="Times New Roman" w:hAnsi="Times New Roman"/>
                <w:sz w:val="24"/>
                <w:szCs w:val="24"/>
              </w:rPr>
              <w:t>43,745</w:t>
            </w:r>
          </w:p>
        </w:tc>
      </w:tr>
      <w:tr w:rsidR="00303372" w:rsidRPr="00727B08" w:rsidTr="005107B8">
        <w:tc>
          <w:tcPr>
            <w:tcW w:w="3182" w:type="dxa"/>
          </w:tcPr>
          <w:p w:rsidR="00303372" w:rsidRPr="00727B08" w:rsidRDefault="00303372" w:rsidP="005107B8">
            <w:pPr>
              <w:spacing w:after="0" w:line="240" w:lineRule="auto"/>
              <w:rPr>
                <w:rFonts w:ascii="Times New Roman" w:hAnsi="Times New Roman"/>
                <w:sz w:val="24"/>
                <w:szCs w:val="24"/>
              </w:rPr>
            </w:pPr>
            <w:r w:rsidRPr="00727B08">
              <w:rPr>
                <w:rFonts w:ascii="Times New Roman" w:hAnsi="Times New Roman"/>
                <w:sz w:val="24"/>
                <w:szCs w:val="24"/>
              </w:rPr>
              <w:t>PRA</w:t>
            </w:r>
            <w:r w:rsidRPr="00727B08">
              <w:rPr>
                <w:rStyle w:val="FootnoteReference"/>
                <w:rFonts w:ascii="Times New Roman" w:hAnsi="Times New Roman"/>
                <w:sz w:val="24"/>
                <w:szCs w:val="24"/>
                <w:vertAlign w:val="superscript"/>
              </w:rPr>
              <w:footnoteReference w:id="15"/>
            </w:r>
            <w:r w:rsidRPr="00727B08">
              <w:rPr>
                <w:rFonts w:ascii="Times New Roman" w:hAnsi="Times New Roman"/>
                <w:sz w:val="24"/>
                <w:szCs w:val="24"/>
              </w:rPr>
              <w:t xml:space="preserve"> Administrative Cost</w:t>
            </w:r>
            <w:r w:rsidRPr="00727B08">
              <w:rPr>
                <w:rStyle w:val="FootnoteReference"/>
                <w:rFonts w:ascii="Times New Roman" w:hAnsi="Times New Roman"/>
                <w:sz w:val="24"/>
                <w:szCs w:val="24"/>
                <w:vertAlign w:val="superscript"/>
              </w:rPr>
              <w:footnoteReference w:id="16"/>
            </w:r>
          </w:p>
        </w:tc>
        <w:tc>
          <w:tcPr>
            <w:tcW w:w="3201" w:type="dxa"/>
            <w:vMerge w:val="restart"/>
            <w:shd w:val="clear" w:color="auto" w:fill="D9D9D9"/>
            <w:vAlign w:val="center"/>
          </w:tcPr>
          <w:p w:rsidR="00303372" w:rsidRPr="00727B08" w:rsidRDefault="00303372" w:rsidP="005107B8">
            <w:pPr>
              <w:spacing w:after="0" w:line="240" w:lineRule="auto"/>
              <w:jc w:val="right"/>
              <w:rPr>
                <w:rFonts w:ascii="Times New Roman" w:hAnsi="Times New Roman"/>
                <w:sz w:val="24"/>
                <w:szCs w:val="24"/>
              </w:rPr>
            </w:pPr>
          </w:p>
        </w:tc>
        <w:tc>
          <w:tcPr>
            <w:tcW w:w="2995" w:type="dxa"/>
            <w:vAlign w:val="center"/>
          </w:tcPr>
          <w:p w:rsidR="00303372" w:rsidRPr="00727B08" w:rsidRDefault="00303372" w:rsidP="005107B8">
            <w:pPr>
              <w:spacing w:after="0" w:line="240" w:lineRule="auto"/>
              <w:jc w:val="right"/>
              <w:rPr>
                <w:rFonts w:ascii="Times New Roman" w:hAnsi="Times New Roman"/>
                <w:sz w:val="24"/>
                <w:szCs w:val="24"/>
              </w:rPr>
            </w:pPr>
            <w:r w:rsidRPr="00727B08">
              <w:rPr>
                <w:rFonts w:ascii="Times New Roman" w:hAnsi="Times New Roman"/>
                <w:sz w:val="24"/>
                <w:szCs w:val="24"/>
              </w:rPr>
              <w:t>$2,250</w:t>
            </w:r>
          </w:p>
        </w:tc>
      </w:tr>
      <w:tr w:rsidR="00303372" w:rsidRPr="00727B08" w:rsidTr="005107B8">
        <w:tc>
          <w:tcPr>
            <w:tcW w:w="3182" w:type="dxa"/>
          </w:tcPr>
          <w:p w:rsidR="00303372" w:rsidRPr="00727B08" w:rsidRDefault="00303372" w:rsidP="005107B8">
            <w:pPr>
              <w:spacing w:after="0" w:line="240" w:lineRule="auto"/>
              <w:rPr>
                <w:rFonts w:ascii="Times New Roman" w:hAnsi="Times New Roman"/>
                <w:b/>
                <w:sz w:val="24"/>
                <w:szCs w:val="24"/>
              </w:rPr>
            </w:pPr>
            <w:r w:rsidRPr="00727B08">
              <w:rPr>
                <w:rFonts w:ascii="Times New Roman" w:hAnsi="Times New Roman"/>
                <w:b/>
                <w:sz w:val="24"/>
                <w:szCs w:val="24"/>
              </w:rPr>
              <w:t>FERC Total</w:t>
            </w:r>
          </w:p>
        </w:tc>
        <w:tc>
          <w:tcPr>
            <w:tcW w:w="3201" w:type="dxa"/>
            <w:vMerge/>
            <w:shd w:val="clear" w:color="auto" w:fill="D9D9D9"/>
            <w:vAlign w:val="center"/>
          </w:tcPr>
          <w:p w:rsidR="00303372" w:rsidRPr="00727B08" w:rsidRDefault="00303372" w:rsidP="005107B8">
            <w:pPr>
              <w:spacing w:after="0" w:line="240" w:lineRule="auto"/>
              <w:jc w:val="right"/>
              <w:rPr>
                <w:rFonts w:ascii="Times New Roman" w:hAnsi="Times New Roman"/>
                <w:sz w:val="24"/>
                <w:szCs w:val="24"/>
              </w:rPr>
            </w:pPr>
          </w:p>
        </w:tc>
        <w:tc>
          <w:tcPr>
            <w:tcW w:w="2995" w:type="dxa"/>
            <w:vAlign w:val="center"/>
          </w:tcPr>
          <w:p w:rsidR="00303372" w:rsidRPr="00727B08" w:rsidRDefault="00303372" w:rsidP="000451DC">
            <w:pPr>
              <w:spacing w:after="0" w:line="240" w:lineRule="auto"/>
              <w:jc w:val="right"/>
              <w:rPr>
                <w:rFonts w:ascii="Times New Roman" w:hAnsi="Times New Roman"/>
                <w:sz w:val="24"/>
                <w:szCs w:val="24"/>
              </w:rPr>
            </w:pPr>
            <w:r w:rsidRPr="00727B08">
              <w:rPr>
                <w:rFonts w:ascii="Times New Roman" w:hAnsi="Times New Roman"/>
                <w:sz w:val="24"/>
                <w:szCs w:val="24"/>
              </w:rPr>
              <w:t>$</w:t>
            </w:r>
            <w:r w:rsidR="000451DC">
              <w:rPr>
                <w:rFonts w:ascii="Times New Roman" w:hAnsi="Times New Roman"/>
                <w:sz w:val="24"/>
                <w:szCs w:val="24"/>
              </w:rPr>
              <w:t>45,995</w:t>
            </w:r>
          </w:p>
        </w:tc>
      </w:tr>
    </w:tbl>
    <w:p w:rsidR="00303372" w:rsidRPr="00727B08" w:rsidRDefault="00303372" w:rsidP="00303372">
      <w:pPr>
        <w:spacing w:after="0" w:line="240" w:lineRule="auto"/>
        <w:rPr>
          <w:rFonts w:ascii="Times New Roman" w:hAnsi="Times New Roman"/>
          <w:sz w:val="24"/>
          <w:szCs w:val="24"/>
        </w:rPr>
      </w:pPr>
    </w:p>
    <w:p w:rsidR="00303372" w:rsidRPr="00727B08" w:rsidRDefault="00303372" w:rsidP="00303372">
      <w:pPr>
        <w:spacing w:after="0" w:line="240" w:lineRule="auto"/>
        <w:rPr>
          <w:rFonts w:ascii="Times New Roman" w:hAnsi="Times New Roman"/>
          <w:sz w:val="24"/>
          <w:szCs w:val="24"/>
        </w:rPr>
      </w:pPr>
      <w:r w:rsidRPr="00727B08">
        <w:rPr>
          <w:rFonts w:ascii="Times New Roman" w:hAnsi="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C01698" w:rsidRDefault="007D5E32" w:rsidP="00A276F5">
      <w:pPr>
        <w:spacing w:after="0"/>
        <w:rPr>
          <w:rFonts w:ascii="Times New Roman" w:hAnsi="Times New Roman" w:cs="Times New Roman"/>
          <w:sz w:val="24"/>
          <w:szCs w:val="24"/>
        </w:rPr>
      </w:pPr>
      <w:r>
        <w:rPr>
          <w:rFonts w:ascii="Times New Roman" w:hAnsi="Times New Roman" w:cs="Times New Roman"/>
          <w:sz w:val="24"/>
          <w:szCs w:val="24"/>
        </w:rPr>
        <w:t>In this package, the Commission uses the same burden hours per response as it used previously.  When the Commission implemented the reporting requirement, it estimated that over 600 regulated companies would submit their cash management agreements.  Because the requirements are that only new or changed agreements have to be submitted, there are fewer filings per year.</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303372" w:rsidRDefault="00303372" w:rsidP="00414F32">
      <w:pPr>
        <w:spacing w:after="0"/>
        <w:rPr>
          <w:rFonts w:ascii="Times New Roman" w:hAnsi="Times New Roman" w:cs="Times New Roman"/>
          <w:sz w:val="24"/>
          <w:szCs w:val="24"/>
        </w:rPr>
      </w:pPr>
      <w:r w:rsidRPr="00727B08">
        <w:rPr>
          <w:rFonts w:ascii="Times New Roman" w:hAnsi="Times New Roman"/>
          <w:sz w:val="24"/>
          <w:szCs w:val="24"/>
        </w:rPr>
        <w:t>There are no tabulating, statistical or tabulating analysis or publication plans for the collection of information.  The Commission uses the data for regulatory purposes only.</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367F9A" w:rsidRDefault="00367F9A" w:rsidP="00414F32">
      <w:pPr>
        <w:spacing w:after="0"/>
        <w:rPr>
          <w:rFonts w:ascii="Times New Roman" w:hAnsi="Times New Roman" w:cs="Times New Roman"/>
          <w:sz w:val="24"/>
          <w:szCs w:val="24"/>
        </w:rPr>
      </w:pPr>
      <w:r w:rsidRPr="00727B08">
        <w:rPr>
          <w:rFonts w:ascii="Times New Roman" w:hAnsi="Times New Roman" w:cs="Times New Roman"/>
          <w:sz w:val="24"/>
          <w:szCs w:val="24"/>
        </w:rPr>
        <w:t>The data requirements for FERC-</w:t>
      </w:r>
      <w:r>
        <w:rPr>
          <w:rFonts w:ascii="Times New Roman" w:hAnsi="Times New Roman" w:cs="Times New Roman"/>
          <w:sz w:val="24"/>
          <w:szCs w:val="24"/>
        </w:rPr>
        <w:t>604</w:t>
      </w:r>
      <w:r w:rsidRPr="00727B08">
        <w:rPr>
          <w:rFonts w:ascii="Times New Roman" w:hAnsi="Times New Roman" w:cs="Times New Roman"/>
          <w:sz w:val="24"/>
          <w:szCs w:val="24"/>
        </w:rPr>
        <w:t xml:space="preserve"> are based on regulations and not filed on formatted/printed forms.  Thus, the subject data requirements do not have an appropriate format to display an OMB expiration date.  </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970FE4" w:rsidRPr="00F12C83" w:rsidRDefault="00367F9A" w:rsidP="00F12C83">
      <w:pPr>
        <w:widowControl w:val="0"/>
        <w:autoSpaceDE w:val="0"/>
        <w:autoSpaceDN w:val="0"/>
        <w:adjustRightInd w:val="0"/>
        <w:spacing w:after="0" w:line="240" w:lineRule="auto"/>
        <w:rPr>
          <w:rFonts w:ascii="Times New Roman" w:eastAsia="Times New Roman" w:hAnsi="Times New Roman"/>
          <w:sz w:val="24"/>
          <w:szCs w:val="24"/>
        </w:rPr>
      </w:pPr>
      <w:r w:rsidRPr="00727B08">
        <w:rPr>
          <w:rFonts w:ascii="Times New Roman" w:eastAsia="Times New Roman" w:hAnsi="Times New Roman"/>
          <w:sz w:val="24"/>
          <w:szCs w:val="24"/>
        </w:rPr>
        <w:t>The Commission does not use the data collected for this reporting requirement for statistical purposes.  Therefore, the Commission does not use as stated in item (</w:t>
      </w:r>
      <w:proofErr w:type="spellStart"/>
      <w:r w:rsidRPr="00727B08">
        <w:rPr>
          <w:rFonts w:ascii="Times New Roman" w:eastAsia="Times New Roman" w:hAnsi="Times New Roman"/>
          <w:sz w:val="24"/>
          <w:szCs w:val="24"/>
        </w:rPr>
        <w:t>i</w:t>
      </w:r>
      <w:proofErr w:type="spellEnd"/>
      <w:r w:rsidRPr="00727B08">
        <w:rPr>
          <w:rFonts w:ascii="Times New Roman" w:eastAsia="Times New Roman" w:hAnsi="Times New Roman"/>
          <w:sz w:val="24"/>
          <w:szCs w:val="24"/>
        </w:rPr>
        <w:t>) of the certification to OMB "effective and efficient statistical survey methodology."  The information collected is case- specific to each information collection.</w:t>
      </w:r>
    </w:p>
    <w:p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06" w:rsidRDefault="00733B06" w:rsidP="00FD66F1">
      <w:pPr>
        <w:spacing w:after="0" w:line="240" w:lineRule="auto"/>
      </w:pPr>
      <w:r>
        <w:separator/>
      </w:r>
    </w:p>
  </w:endnote>
  <w:endnote w:type="continuationSeparator" w:id="0">
    <w:p w:rsidR="00733B06" w:rsidRDefault="00733B0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rsidR="00733B06" w:rsidRDefault="00733B06">
        <w:pPr>
          <w:pStyle w:val="Footer"/>
          <w:jc w:val="right"/>
        </w:pPr>
        <w:r>
          <w:fldChar w:fldCharType="begin"/>
        </w:r>
        <w:r>
          <w:instrText xml:space="preserve"> PAGE   \* MERGEFORMAT </w:instrText>
        </w:r>
        <w:r>
          <w:fldChar w:fldCharType="separate"/>
        </w:r>
        <w:r w:rsidR="00F02AF8">
          <w:rPr>
            <w:noProof/>
          </w:rPr>
          <w:t>1</w:t>
        </w:r>
        <w:r>
          <w:rPr>
            <w:noProof/>
          </w:rPr>
          <w:fldChar w:fldCharType="end"/>
        </w:r>
      </w:p>
    </w:sdtContent>
  </w:sdt>
  <w:p w:rsidR="00733B06" w:rsidRDefault="00733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06" w:rsidRDefault="00733B06" w:rsidP="00FD66F1">
      <w:pPr>
        <w:spacing w:after="0" w:line="240" w:lineRule="auto"/>
      </w:pPr>
      <w:r>
        <w:separator/>
      </w:r>
    </w:p>
  </w:footnote>
  <w:footnote w:type="continuationSeparator" w:id="0">
    <w:p w:rsidR="00733B06" w:rsidRDefault="00733B06" w:rsidP="00FD66F1">
      <w:pPr>
        <w:spacing w:after="0" w:line="240" w:lineRule="auto"/>
      </w:pPr>
      <w:r>
        <w:continuationSeparator/>
      </w:r>
    </w:p>
  </w:footnote>
  <w:footnote w:id="1">
    <w:p w:rsidR="00733B06" w:rsidRPr="000451DC" w:rsidRDefault="00733B06" w:rsidP="00402F2A">
      <w:pPr>
        <w:pStyle w:val="FootnoteText"/>
      </w:pPr>
      <w:r w:rsidRPr="000451DC">
        <w:rPr>
          <w:rStyle w:val="FootnoteReference"/>
          <w:b/>
          <w:vertAlign w:val="superscript"/>
        </w:rPr>
        <w:footnoteRef/>
      </w:r>
      <w:r w:rsidRPr="000451DC">
        <w:t xml:space="preserve"> </w:t>
      </w:r>
      <w:r w:rsidRPr="000451DC">
        <w:rPr>
          <w:u w:val="single"/>
        </w:rPr>
        <w:t>See</w:t>
      </w:r>
      <w:r w:rsidRPr="000451DC">
        <w:t xml:space="preserve"> 15 U.S.C. 717g (2000); 15 U.S.C. 717i (2000); 16 U.S.C. 825 (2000); 16 U.S.C. 825c (2000); 49 App. U.S.C. 20(1) (1988); 49 App. U.S.C. 20(5) (1988).</w:t>
      </w:r>
    </w:p>
  </w:footnote>
  <w:footnote w:id="2">
    <w:p w:rsidR="00733B06" w:rsidRPr="000451DC" w:rsidRDefault="00733B06" w:rsidP="00402F2A">
      <w:pPr>
        <w:pStyle w:val="FootnoteText"/>
      </w:pPr>
      <w:r w:rsidRPr="000451DC">
        <w:rPr>
          <w:rStyle w:val="FootnoteReference"/>
          <w:b/>
          <w:vertAlign w:val="superscript"/>
        </w:rPr>
        <w:footnoteRef/>
      </w:r>
      <w:r w:rsidRPr="000451DC">
        <w:t xml:space="preserve"> </w:t>
      </w:r>
      <w:proofErr w:type="gramStart"/>
      <w:r w:rsidRPr="000451DC">
        <w:t>15 U.S.C. 717g (2000).</w:t>
      </w:r>
      <w:proofErr w:type="gramEnd"/>
    </w:p>
  </w:footnote>
  <w:footnote w:id="3">
    <w:p w:rsidR="00733B06" w:rsidRPr="000451DC" w:rsidRDefault="00733B06" w:rsidP="00402F2A">
      <w:pPr>
        <w:pStyle w:val="FootnoteText"/>
      </w:pPr>
      <w:r w:rsidRPr="000451DC">
        <w:rPr>
          <w:rStyle w:val="FootnoteReference"/>
          <w:b/>
          <w:vertAlign w:val="superscript"/>
        </w:rPr>
        <w:footnoteRef/>
      </w:r>
      <w:r w:rsidRPr="000451DC">
        <w:t xml:space="preserve"> </w:t>
      </w:r>
      <w:proofErr w:type="gramStart"/>
      <w:r w:rsidRPr="000451DC">
        <w:t>15 U.S.C. 717i (2000).</w:t>
      </w:r>
      <w:proofErr w:type="gramEnd"/>
    </w:p>
  </w:footnote>
  <w:footnote w:id="4">
    <w:p w:rsidR="00733B06" w:rsidRPr="000451DC" w:rsidRDefault="00733B06" w:rsidP="00402F2A">
      <w:pPr>
        <w:pStyle w:val="FootnoteText"/>
      </w:pPr>
      <w:r w:rsidRPr="000451DC">
        <w:rPr>
          <w:rStyle w:val="FootnoteReference"/>
          <w:b/>
          <w:vertAlign w:val="superscript"/>
        </w:rPr>
        <w:footnoteRef/>
      </w:r>
      <w:r w:rsidRPr="000451DC">
        <w:t xml:space="preserve"> </w:t>
      </w:r>
      <w:proofErr w:type="gramStart"/>
      <w:r w:rsidRPr="000451DC">
        <w:t>16 U.S.C. 825 (2000).</w:t>
      </w:r>
      <w:proofErr w:type="gramEnd"/>
    </w:p>
  </w:footnote>
  <w:footnote w:id="5">
    <w:p w:rsidR="00733B06" w:rsidRPr="000451DC" w:rsidRDefault="00733B06" w:rsidP="00402F2A">
      <w:pPr>
        <w:pStyle w:val="FootnoteText"/>
      </w:pPr>
      <w:r w:rsidRPr="000451DC">
        <w:rPr>
          <w:rStyle w:val="FootnoteReference"/>
          <w:b/>
          <w:vertAlign w:val="superscript"/>
        </w:rPr>
        <w:footnoteRef/>
      </w:r>
      <w:r w:rsidRPr="000451DC">
        <w:t xml:space="preserve"> </w:t>
      </w:r>
      <w:proofErr w:type="gramStart"/>
      <w:r w:rsidRPr="000451DC">
        <w:t>16 U.S.C. 825c (2000).</w:t>
      </w:r>
      <w:proofErr w:type="gramEnd"/>
    </w:p>
  </w:footnote>
  <w:footnote w:id="6">
    <w:p w:rsidR="00733B06" w:rsidRPr="000451DC" w:rsidRDefault="00733B06" w:rsidP="00402F2A">
      <w:pPr>
        <w:pStyle w:val="FootnoteText"/>
      </w:pPr>
      <w:r w:rsidRPr="000451DC">
        <w:rPr>
          <w:rStyle w:val="FootnoteReference"/>
          <w:b/>
          <w:vertAlign w:val="superscript"/>
        </w:rPr>
        <w:footnoteRef/>
      </w:r>
      <w:r w:rsidRPr="000451DC">
        <w:t xml:space="preserve"> </w:t>
      </w:r>
      <w:proofErr w:type="gramStart"/>
      <w:r w:rsidRPr="000451DC">
        <w:t>49 App. U.S.C. 20(1) (1988).</w:t>
      </w:r>
      <w:proofErr w:type="gramEnd"/>
      <w:r w:rsidRPr="000451DC">
        <w:t xml:space="preserve">  </w:t>
      </w:r>
    </w:p>
  </w:footnote>
  <w:footnote w:id="7">
    <w:p w:rsidR="00733B06" w:rsidRPr="000451DC" w:rsidRDefault="00733B06" w:rsidP="00402F2A">
      <w:pPr>
        <w:pStyle w:val="FootnoteText"/>
      </w:pPr>
      <w:r w:rsidRPr="000451DC">
        <w:rPr>
          <w:rStyle w:val="FootnoteReference"/>
          <w:b/>
          <w:vertAlign w:val="superscript"/>
        </w:rPr>
        <w:footnoteRef/>
      </w:r>
      <w:r w:rsidRPr="000451DC">
        <w:t xml:space="preserve"> </w:t>
      </w:r>
      <w:proofErr w:type="gramStart"/>
      <w:r w:rsidRPr="000451DC">
        <w:t xml:space="preserve">49 </w:t>
      </w:r>
      <w:proofErr w:type="spellStart"/>
      <w:r w:rsidRPr="000451DC">
        <w:t>App.U.S.C</w:t>
      </w:r>
      <w:proofErr w:type="spellEnd"/>
      <w:r w:rsidRPr="000451DC">
        <w:t>.</w:t>
      </w:r>
      <w:proofErr w:type="gramEnd"/>
      <w:r w:rsidRPr="000451DC">
        <w:t xml:space="preserve"> </w:t>
      </w:r>
      <w:proofErr w:type="gramStart"/>
      <w:r w:rsidRPr="000451DC">
        <w:t>20(5) (1988).</w:t>
      </w:r>
      <w:proofErr w:type="gramEnd"/>
    </w:p>
  </w:footnote>
  <w:footnote w:id="8">
    <w:p w:rsidR="00733B06" w:rsidRPr="000451DC" w:rsidRDefault="00733B06" w:rsidP="00402F2A">
      <w:pPr>
        <w:pStyle w:val="FootnoteText"/>
      </w:pPr>
      <w:r w:rsidRPr="000451DC">
        <w:rPr>
          <w:rStyle w:val="FootnoteReference"/>
          <w:b/>
          <w:vertAlign w:val="superscript"/>
        </w:rPr>
        <w:footnoteRef/>
      </w:r>
      <w:r w:rsidRPr="000451DC">
        <w:rPr>
          <w:u w:val="single"/>
        </w:rPr>
        <w:t>See</w:t>
      </w:r>
      <w:r w:rsidRPr="000451DC">
        <w:t xml:space="preserve"> FPA Sections 205 and 206, NGA Sections 4 and 5, and ICA Title 49 App. Sections 1(5) and 15(1).  </w:t>
      </w:r>
    </w:p>
  </w:footnote>
  <w:footnote w:id="9">
    <w:p w:rsidR="00733B06" w:rsidRPr="00F02AF8" w:rsidRDefault="00733B06" w:rsidP="00C75421">
      <w:pPr>
        <w:pStyle w:val="FootnoteText"/>
      </w:pPr>
      <w:r w:rsidRPr="00F02AF8">
        <w:rPr>
          <w:rStyle w:val="FootnoteReference"/>
        </w:rPr>
        <w:footnoteRef/>
      </w:r>
      <w:r w:rsidR="000D6BB5" w:rsidRPr="00F02AF8">
        <w:t xml:space="preserve"> 78</w:t>
      </w:r>
      <w:r w:rsidRPr="00F02AF8">
        <w:t xml:space="preserve"> FR 29359</w:t>
      </w:r>
    </w:p>
  </w:footnote>
  <w:footnote w:id="10">
    <w:p w:rsidR="00733B06" w:rsidRPr="000451DC" w:rsidRDefault="00733B06" w:rsidP="00C75421">
      <w:pPr>
        <w:pStyle w:val="FootnoteText"/>
      </w:pPr>
      <w:r w:rsidRPr="00F02AF8">
        <w:rPr>
          <w:rStyle w:val="FootnoteReference"/>
        </w:rPr>
        <w:footnoteRef/>
      </w:r>
      <w:r w:rsidRPr="00F02AF8">
        <w:t xml:space="preserve"> </w:t>
      </w:r>
      <w:r w:rsidR="00F02AF8" w:rsidRPr="00F02AF8">
        <w:t>78 FR 58296</w:t>
      </w:r>
    </w:p>
  </w:footnote>
  <w:footnote w:id="11">
    <w:p w:rsidR="00733B06" w:rsidRPr="000451DC" w:rsidRDefault="00733B06">
      <w:pPr>
        <w:pStyle w:val="FootnoteText"/>
      </w:pPr>
      <w:r w:rsidRPr="000451DC">
        <w:rPr>
          <w:rStyle w:val="FootnoteReference"/>
        </w:rPr>
        <w:footnoteRef/>
      </w:r>
      <w:r w:rsidRPr="000451DC">
        <w:t xml:space="preserve"> </w:t>
      </w:r>
      <w:r w:rsidRPr="000451DC">
        <w:rPr>
          <w:u w:val="single"/>
        </w:rPr>
        <w:t>See</w:t>
      </w:r>
      <w:r w:rsidRPr="000451DC">
        <w:t xml:space="preserve"> 18 C.F.R. § 388.112(c)(2003)</w:t>
      </w:r>
    </w:p>
  </w:footnote>
  <w:footnote w:id="12">
    <w:p w:rsidR="00733B06" w:rsidRPr="000451DC" w:rsidRDefault="00733B06" w:rsidP="00367F9A">
      <w:pPr>
        <w:pStyle w:val="FootnoteText"/>
      </w:pPr>
      <w:r w:rsidRPr="000451DC">
        <w:rPr>
          <w:rStyle w:val="FootnoteReference"/>
        </w:rPr>
        <w:footnoteRef/>
      </w:r>
      <w:r w:rsidRPr="000451DC">
        <w:t xml:space="preserve"> This figure is based on the number of filings received by the Commission for cash management agreements over the last several years. </w:t>
      </w:r>
    </w:p>
  </w:footnote>
  <w:footnote w:id="13">
    <w:p w:rsidR="00733B06" w:rsidRPr="000451DC" w:rsidRDefault="00733B06" w:rsidP="00367F9A">
      <w:pPr>
        <w:pStyle w:val="FootnoteText"/>
        <w:rPr>
          <w:u w:val="single"/>
        </w:rPr>
      </w:pPr>
      <w:r w:rsidRPr="000451DC">
        <w:rPr>
          <w:rStyle w:val="FootnoteReference"/>
        </w:rPr>
        <w:footnoteRef/>
      </w:r>
      <w:r w:rsidRPr="000451DC">
        <w:t xml:space="preserve"> This is a loaded cost (wages plus benefits) for a full-time employee.</w:t>
      </w:r>
    </w:p>
  </w:footnote>
  <w:footnote w:id="14">
    <w:p w:rsidR="00733B06" w:rsidRPr="000451DC" w:rsidRDefault="00733B06" w:rsidP="00303372">
      <w:pPr>
        <w:pStyle w:val="FootnoteText"/>
      </w:pPr>
      <w:r w:rsidRPr="000451DC">
        <w:rPr>
          <w:rStyle w:val="FootnoteReference"/>
        </w:rPr>
        <w:footnoteRef/>
      </w:r>
      <w:r w:rsidRPr="000451DC">
        <w:t xml:space="preserve"> </w:t>
      </w:r>
      <w:proofErr w:type="gramStart"/>
      <w:r w:rsidRPr="000451DC">
        <w:t>Based upon 2013 FTE average salary plus benefits ($145,818).</w:t>
      </w:r>
      <w:proofErr w:type="gramEnd"/>
    </w:p>
  </w:footnote>
  <w:footnote w:id="15">
    <w:p w:rsidR="00733B06" w:rsidRPr="000451DC" w:rsidRDefault="00733B06" w:rsidP="00303372">
      <w:pPr>
        <w:pStyle w:val="FootnoteText"/>
      </w:pPr>
      <w:r w:rsidRPr="000451DC">
        <w:rPr>
          <w:rStyle w:val="FootnoteReference"/>
        </w:rPr>
        <w:footnoteRef/>
      </w:r>
      <w:r w:rsidRPr="000451DC">
        <w:t xml:space="preserve"> </w:t>
      </w:r>
      <w:proofErr w:type="gramStart"/>
      <w:r w:rsidRPr="000451DC">
        <w:t>Paperwork Reduction Act of 1995 (PRA).</w:t>
      </w:r>
      <w:proofErr w:type="gramEnd"/>
    </w:p>
  </w:footnote>
  <w:footnote w:id="16">
    <w:p w:rsidR="00733B06" w:rsidRPr="000451DC" w:rsidRDefault="00733B06" w:rsidP="00303372">
      <w:pPr>
        <w:pStyle w:val="FootnoteText"/>
      </w:pPr>
      <w:r w:rsidRPr="000451DC">
        <w:rPr>
          <w:rStyle w:val="FootnoteReference"/>
        </w:rPr>
        <w:footnoteRef/>
      </w:r>
      <w:r w:rsidRPr="000451DC">
        <w:t xml:space="preserve"> </w:t>
      </w:r>
      <w:proofErr w:type="gramStart"/>
      <w:r w:rsidRPr="000451DC">
        <w:t>Based on Commission staff time/effort for PRA compliance and for the cost to publish items in the Federal Register.</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06" w:rsidRPr="00FD66F1" w:rsidRDefault="00733B06" w:rsidP="00AD3DE5">
    <w:pPr>
      <w:pStyle w:val="Header"/>
      <w:rPr>
        <w:rFonts w:ascii="Times New Roman" w:hAnsi="Times New Roman" w:cs="Times New Roman"/>
        <w:sz w:val="24"/>
        <w:szCs w:val="24"/>
      </w:rPr>
    </w:pPr>
    <w:r>
      <w:rPr>
        <w:rFonts w:ascii="Times New Roman" w:hAnsi="Times New Roman" w:cs="Times New Roman"/>
        <w:sz w:val="24"/>
        <w:szCs w:val="24"/>
      </w:rPr>
      <w:t>FERC-604 (OMB Control Number: to be determined)</w:t>
    </w:r>
  </w:p>
  <w:p w:rsidR="00733B06" w:rsidRDefault="00733B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261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45"/>
    <w:rsid w:val="000451DC"/>
    <w:rsid w:val="00055864"/>
    <w:rsid w:val="00074DC8"/>
    <w:rsid w:val="000B0C37"/>
    <w:rsid w:val="000D6BB5"/>
    <w:rsid w:val="00143103"/>
    <w:rsid w:val="00181727"/>
    <w:rsid w:val="00185730"/>
    <w:rsid w:val="00250AE2"/>
    <w:rsid w:val="0026674D"/>
    <w:rsid w:val="002B13E2"/>
    <w:rsid w:val="002C22C6"/>
    <w:rsid w:val="002E16B8"/>
    <w:rsid w:val="00300665"/>
    <w:rsid w:val="00303372"/>
    <w:rsid w:val="00315D0C"/>
    <w:rsid w:val="003603CC"/>
    <w:rsid w:val="00367F9A"/>
    <w:rsid w:val="00402F2A"/>
    <w:rsid w:val="00414F32"/>
    <w:rsid w:val="004C4C89"/>
    <w:rsid w:val="004D099E"/>
    <w:rsid w:val="004F6977"/>
    <w:rsid w:val="005107B8"/>
    <w:rsid w:val="00522F69"/>
    <w:rsid w:val="0053287C"/>
    <w:rsid w:val="00571C5E"/>
    <w:rsid w:val="0057700F"/>
    <w:rsid w:val="005947DE"/>
    <w:rsid w:val="005A2792"/>
    <w:rsid w:val="005B77CE"/>
    <w:rsid w:val="005F1C3C"/>
    <w:rsid w:val="00606D35"/>
    <w:rsid w:val="006166FA"/>
    <w:rsid w:val="00664BC0"/>
    <w:rsid w:val="00674D90"/>
    <w:rsid w:val="00690136"/>
    <w:rsid w:val="006A66A1"/>
    <w:rsid w:val="00733B06"/>
    <w:rsid w:val="00773AEB"/>
    <w:rsid w:val="00784D8F"/>
    <w:rsid w:val="00787670"/>
    <w:rsid w:val="007A2F92"/>
    <w:rsid w:val="007D5E32"/>
    <w:rsid w:val="007E7C0F"/>
    <w:rsid w:val="008619E1"/>
    <w:rsid w:val="00876F75"/>
    <w:rsid w:val="008A21A4"/>
    <w:rsid w:val="008B703B"/>
    <w:rsid w:val="008C288D"/>
    <w:rsid w:val="008E70CD"/>
    <w:rsid w:val="00913A8B"/>
    <w:rsid w:val="0094101F"/>
    <w:rsid w:val="00961205"/>
    <w:rsid w:val="00970FE4"/>
    <w:rsid w:val="009E1190"/>
    <w:rsid w:val="00A276F5"/>
    <w:rsid w:val="00A36CB2"/>
    <w:rsid w:val="00A4256D"/>
    <w:rsid w:val="00A72E7B"/>
    <w:rsid w:val="00A96B65"/>
    <w:rsid w:val="00AD3DE5"/>
    <w:rsid w:val="00B0019B"/>
    <w:rsid w:val="00BA1C7D"/>
    <w:rsid w:val="00BA7C56"/>
    <w:rsid w:val="00BC1C8D"/>
    <w:rsid w:val="00BD413E"/>
    <w:rsid w:val="00C01698"/>
    <w:rsid w:val="00C510DD"/>
    <w:rsid w:val="00C75421"/>
    <w:rsid w:val="00CA495F"/>
    <w:rsid w:val="00CA59C3"/>
    <w:rsid w:val="00CF35E3"/>
    <w:rsid w:val="00D80FBD"/>
    <w:rsid w:val="00DA6159"/>
    <w:rsid w:val="00DC4E36"/>
    <w:rsid w:val="00DE2056"/>
    <w:rsid w:val="00E11CA6"/>
    <w:rsid w:val="00E14565"/>
    <w:rsid w:val="00E20612"/>
    <w:rsid w:val="00E636D7"/>
    <w:rsid w:val="00E87A4F"/>
    <w:rsid w:val="00EB3E6F"/>
    <w:rsid w:val="00ED5560"/>
    <w:rsid w:val="00F02AF8"/>
    <w:rsid w:val="00F12C83"/>
    <w:rsid w:val="00F12DC2"/>
    <w:rsid w:val="00F152DF"/>
    <w:rsid w:val="00F40327"/>
    <w:rsid w:val="00F63647"/>
    <w:rsid w:val="00F96AA7"/>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1517-8BCA-4267-902D-893064E4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4</cp:revision>
  <dcterms:created xsi:type="dcterms:W3CDTF">2013-09-20T17:55:00Z</dcterms:created>
  <dcterms:modified xsi:type="dcterms:W3CDTF">2013-09-23T13:00:00Z</dcterms:modified>
</cp:coreProperties>
</file>