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rsidR="00FD66F1" w:rsidRDefault="00FD66F1" w:rsidP="00FD66F1">
      <w:pPr>
        <w:spacing w:after="0"/>
        <w:jc w:val="center"/>
        <w:rPr>
          <w:rFonts w:ascii="Times New Roman" w:hAnsi="Times New Roman" w:cs="Times New Roman"/>
          <w:b/>
          <w:sz w:val="24"/>
          <w:szCs w:val="24"/>
        </w:rPr>
      </w:pPr>
      <w:r w:rsidRPr="00035845">
        <w:rPr>
          <w:rFonts w:ascii="Times New Roman" w:hAnsi="Times New Roman" w:cs="Times New Roman"/>
          <w:b/>
          <w:sz w:val="24"/>
          <w:szCs w:val="24"/>
        </w:rPr>
        <w:t>FERC-</w:t>
      </w:r>
      <w:r w:rsidR="00451584">
        <w:rPr>
          <w:rFonts w:ascii="Times New Roman" w:hAnsi="Times New Roman" w:cs="Times New Roman"/>
          <w:b/>
          <w:sz w:val="24"/>
          <w:szCs w:val="24"/>
        </w:rPr>
        <w:t>547, Gas Pipeline Rates: Refund Report Requirements</w:t>
      </w:r>
    </w:p>
    <w:p w:rsidR="00FD66F1" w:rsidRDefault="00FD66F1" w:rsidP="00B7664E">
      <w:pPr>
        <w:spacing w:after="0"/>
        <w:rPr>
          <w:rFonts w:ascii="Times New Roman" w:hAnsi="Times New Roman" w:cs="Times New Roman"/>
          <w:sz w:val="24"/>
          <w:szCs w:val="24"/>
        </w:rPr>
      </w:pPr>
    </w:p>
    <w:p w:rsidR="0002242D" w:rsidRDefault="00451584" w:rsidP="00FD66F1">
      <w:pPr>
        <w:spacing w:after="0"/>
        <w:rPr>
          <w:rFonts w:ascii="Times New Roman" w:hAnsi="Times New Roman" w:cs="Times New Roman"/>
          <w:sz w:val="24"/>
          <w:szCs w:val="24"/>
        </w:rPr>
      </w:pPr>
      <w:r w:rsidRPr="00451584">
        <w:rPr>
          <w:rFonts w:ascii="Times New Roman" w:hAnsi="Times New Roman" w:cs="Times New Roman"/>
          <w:sz w:val="24"/>
          <w:szCs w:val="24"/>
        </w:rPr>
        <w:t>The Federal Energy Regulatory Commission (Commission) requests a three-year extension of Office of Management and Budget (OMB) approval for FERC-547</w:t>
      </w:r>
      <w:r>
        <w:rPr>
          <w:rFonts w:ascii="Times New Roman" w:hAnsi="Times New Roman" w:cs="Times New Roman"/>
          <w:sz w:val="24"/>
          <w:szCs w:val="24"/>
        </w:rPr>
        <w:t>.</w:t>
      </w:r>
    </w:p>
    <w:p w:rsidR="0002242D" w:rsidRDefault="0002242D" w:rsidP="00FD66F1">
      <w:pPr>
        <w:spacing w:after="0"/>
        <w:rPr>
          <w:rFonts w:ascii="Times New Roman" w:hAnsi="Times New Roman" w:cs="Times New Roman"/>
          <w:sz w:val="24"/>
          <w:szCs w:val="24"/>
        </w:rPr>
      </w:pPr>
    </w:p>
    <w:p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A72E7B" w:rsidRDefault="00A72E7B" w:rsidP="00EB3E6F">
      <w:pPr>
        <w:spacing w:after="0"/>
        <w:rPr>
          <w:rFonts w:ascii="Times New Roman" w:hAnsi="Times New Roman" w:cs="Times New Roman"/>
          <w:sz w:val="24"/>
          <w:szCs w:val="24"/>
        </w:rPr>
      </w:pPr>
    </w:p>
    <w:p w:rsidR="00451584" w:rsidRDefault="00451584" w:rsidP="00EB3E6F">
      <w:pPr>
        <w:spacing w:after="0"/>
        <w:rPr>
          <w:rFonts w:ascii="Times New Roman" w:hAnsi="Times New Roman" w:cs="Times New Roman"/>
          <w:sz w:val="24"/>
          <w:szCs w:val="24"/>
        </w:rPr>
      </w:pPr>
      <w:r w:rsidRPr="00451584">
        <w:rPr>
          <w:rFonts w:ascii="Times New Roman" w:hAnsi="Times New Roman" w:cs="Times New Roman"/>
          <w:sz w:val="24"/>
          <w:szCs w:val="24"/>
        </w:rPr>
        <w:t>FERC-547 is required to implement the statutory refund provisions governed by sections 4, 5, and 16 of the Natural Gas Act</w:t>
      </w:r>
      <w:r>
        <w:rPr>
          <w:rFonts w:ascii="Times New Roman" w:hAnsi="Times New Roman" w:cs="Times New Roman"/>
          <w:sz w:val="24"/>
          <w:szCs w:val="24"/>
        </w:rPr>
        <w:t xml:space="preserve"> (NGA) </w:t>
      </w:r>
      <w:proofErr w:type="gramStart"/>
      <w:r>
        <w:rPr>
          <w:rFonts w:ascii="Times New Roman" w:hAnsi="Times New Roman" w:cs="Times New Roman"/>
          <w:sz w:val="24"/>
          <w:szCs w:val="24"/>
        </w:rPr>
        <w:t>(15 U</w:t>
      </w:r>
      <w:r w:rsidRPr="00451584">
        <w:rPr>
          <w:rFonts w:ascii="Times New Roman" w:hAnsi="Times New Roman" w:cs="Times New Roman"/>
          <w:sz w:val="24"/>
          <w:szCs w:val="24"/>
        </w:rPr>
        <w:t>SC 717-717w)</w:t>
      </w:r>
      <w:proofErr w:type="gramEnd"/>
      <w:r w:rsidRPr="00451584">
        <w:rPr>
          <w:rFonts w:ascii="Times New Roman" w:hAnsi="Times New Roman" w:cs="Times New Roman"/>
          <w:sz w:val="24"/>
          <w:szCs w:val="24"/>
        </w:rPr>
        <w:t>.  Sections 4 and 5 authorize the Commission to order a refund, with interest, for any portion of a natural gas company’s increased rate or charge found to be unjust or unreasonable.  Refunds may also be instituted by a natural gas company as a stipulation to a Commission-approved settlement agreement or a provision under the company’s tariff.  Section 16 authorizes the Commission to prescribe the rules and regulations necessary to administer its refund mandates.  The Commission’s refund reporting requirements are set forth in 18 CFR 154.501and 154.502</w:t>
      </w:r>
      <w:r>
        <w:rPr>
          <w:rFonts w:ascii="Times New Roman" w:hAnsi="Times New Roman" w:cs="Times New Roman"/>
          <w:sz w:val="24"/>
          <w:szCs w:val="24"/>
        </w:rPr>
        <w:t>.</w:t>
      </w:r>
    </w:p>
    <w:p w:rsidR="00EB3E6F" w:rsidRPr="00EB3E6F" w:rsidRDefault="00EB3E6F" w:rsidP="00EB3E6F">
      <w:pPr>
        <w:spacing w:after="0"/>
        <w:rPr>
          <w:rFonts w:ascii="Times New Roman" w:hAnsi="Times New Roman" w:cs="Times New Roman"/>
          <w:sz w:val="24"/>
          <w:szCs w:val="24"/>
        </w:rPr>
      </w:pPr>
    </w:p>
    <w:p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rsidR="00EB3E6F" w:rsidRDefault="00EB3E6F" w:rsidP="00EB3E6F">
      <w:pPr>
        <w:spacing w:after="0"/>
        <w:rPr>
          <w:rFonts w:ascii="Times New Roman" w:hAnsi="Times New Roman" w:cs="Times New Roman"/>
          <w:sz w:val="24"/>
          <w:szCs w:val="24"/>
        </w:rPr>
      </w:pPr>
    </w:p>
    <w:p w:rsidR="00451584" w:rsidRDefault="00451584" w:rsidP="00451584">
      <w:pPr>
        <w:spacing w:after="0"/>
        <w:rPr>
          <w:rFonts w:ascii="Times New Roman" w:hAnsi="Times New Roman" w:cs="Times New Roman"/>
          <w:sz w:val="24"/>
          <w:szCs w:val="24"/>
        </w:rPr>
      </w:pPr>
      <w:r w:rsidRPr="00451584">
        <w:rPr>
          <w:rFonts w:ascii="Times New Roman" w:hAnsi="Times New Roman" w:cs="Times New Roman"/>
          <w:sz w:val="24"/>
          <w:szCs w:val="24"/>
        </w:rPr>
        <w:t>The impetus for establishing refund reporting requirements came as a result of a judicial decision.</w:t>
      </w:r>
      <w:r w:rsidRPr="00451584">
        <w:rPr>
          <w:rStyle w:val="FootnoteReference"/>
          <w:rFonts w:ascii="Times New Roman" w:hAnsi="Times New Roman" w:cs="Times New Roman"/>
          <w:sz w:val="24"/>
          <w:szCs w:val="24"/>
          <w:vertAlign w:val="superscript"/>
        </w:rPr>
        <w:footnoteReference w:id="1"/>
      </w:r>
      <w:r w:rsidRPr="00451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1584">
        <w:rPr>
          <w:rFonts w:ascii="Times New Roman" w:hAnsi="Times New Roman" w:cs="Times New Roman"/>
          <w:sz w:val="24"/>
          <w:szCs w:val="24"/>
        </w:rPr>
        <w:t>The Commission, in response, established refund procedures for overcharges resulting from adjustments to the calculation of the energy content of natural gas sold in accordance with the Natural Gas Policy Act of 1978 (NGPA).  The NGPA was repealed by P. L. 101-</w:t>
      </w:r>
      <w:proofErr w:type="gramStart"/>
      <w:r w:rsidRPr="00451584">
        <w:rPr>
          <w:rFonts w:ascii="Times New Roman" w:hAnsi="Times New Roman" w:cs="Times New Roman"/>
          <w:sz w:val="24"/>
          <w:szCs w:val="24"/>
        </w:rPr>
        <w:t>60,</w:t>
      </w:r>
      <w:proofErr w:type="gramEnd"/>
      <w:r w:rsidRPr="00451584">
        <w:rPr>
          <w:rFonts w:ascii="Times New Roman" w:hAnsi="Times New Roman" w:cs="Times New Roman"/>
          <w:sz w:val="24"/>
          <w:szCs w:val="24"/>
        </w:rPr>
        <w:t xml:space="preserve"> however, provisions under the NGA remained.  These procedures and refund requirements were announced in Commission Order Nos. 399, 399-A and 399-B (1984).</w:t>
      </w:r>
    </w:p>
    <w:p w:rsidR="00B74705" w:rsidRDefault="00B74705" w:rsidP="00451584">
      <w:pPr>
        <w:spacing w:after="0"/>
        <w:rPr>
          <w:rFonts w:ascii="Times New Roman" w:hAnsi="Times New Roman" w:cs="Times New Roman"/>
          <w:sz w:val="24"/>
          <w:szCs w:val="24"/>
        </w:rPr>
      </w:pPr>
    </w:p>
    <w:p w:rsidR="00815F41" w:rsidRPr="00815F41" w:rsidRDefault="00815F41" w:rsidP="00451584">
      <w:pPr>
        <w:spacing w:after="0"/>
        <w:rPr>
          <w:rFonts w:ascii="Times New Roman" w:hAnsi="Times New Roman" w:cs="Times New Roman"/>
          <w:sz w:val="24"/>
          <w:szCs w:val="24"/>
        </w:rPr>
      </w:pPr>
      <w:r w:rsidRPr="00815F41">
        <w:rPr>
          <w:rFonts w:ascii="Times New Roman" w:hAnsi="Times New Roman" w:cs="Times New Roman"/>
          <w:sz w:val="24"/>
          <w:szCs w:val="24"/>
        </w:rPr>
        <w:t>A refund report generally includes the following:</w:t>
      </w:r>
    </w:p>
    <w:p w:rsidR="00815F41" w:rsidRDefault="00815F41" w:rsidP="00815F41">
      <w:pPr>
        <w:pStyle w:val="ListParagraph"/>
        <w:numPr>
          <w:ilvl w:val="0"/>
          <w:numId w:val="5"/>
        </w:numPr>
        <w:spacing w:after="0"/>
        <w:rPr>
          <w:rFonts w:ascii="Times New Roman" w:hAnsi="Times New Roman" w:cs="Times New Roman"/>
          <w:sz w:val="24"/>
          <w:szCs w:val="24"/>
        </w:rPr>
      </w:pPr>
      <w:proofErr w:type="spellStart"/>
      <w:r>
        <w:rPr>
          <w:rFonts w:ascii="Times New Roman" w:hAnsi="Times New Roman" w:cs="Times New Roman"/>
          <w:sz w:val="24"/>
          <w:szCs w:val="24"/>
        </w:rPr>
        <w:t>Workpapers</w:t>
      </w:r>
      <w:proofErr w:type="spellEnd"/>
      <w:r>
        <w:rPr>
          <w:rFonts w:ascii="Times New Roman" w:hAnsi="Times New Roman" w:cs="Times New Roman"/>
          <w:sz w:val="24"/>
          <w:szCs w:val="24"/>
        </w:rPr>
        <w:t xml:space="preserve"> and a narrative</w:t>
      </w:r>
      <w:r w:rsidR="00132768">
        <w:rPr>
          <w:rFonts w:ascii="Times New Roman" w:hAnsi="Times New Roman" w:cs="Times New Roman"/>
          <w:sz w:val="24"/>
          <w:szCs w:val="24"/>
        </w:rPr>
        <w:t xml:space="preserve"> that is sufficient in</w:t>
      </w:r>
      <w:r>
        <w:rPr>
          <w:rFonts w:ascii="Times New Roman" w:hAnsi="Times New Roman" w:cs="Times New Roman"/>
          <w:sz w:val="24"/>
          <w:szCs w:val="24"/>
        </w:rPr>
        <w:t>:</w:t>
      </w:r>
    </w:p>
    <w:p w:rsidR="00815F41" w:rsidRDefault="00132768" w:rsidP="00815F4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S</w:t>
      </w:r>
      <w:r w:rsidR="00815F41">
        <w:rPr>
          <w:rFonts w:ascii="Times New Roman" w:hAnsi="Times New Roman" w:cs="Times New Roman"/>
          <w:sz w:val="24"/>
          <w:szCs w:val="24"/>
        </w:rPr>
        <w:t>how</w:t>
      </w:r>
      <w:r>
        <w:rPr>
          <w:rFonts w:ascii="Times New Roman" w:hAnsi="Times New Roman" w:cs="Times New Roman"/>
          <w:sz w:val="24"/>
          <w:szCs w:val="24"/>
        </w:rPr>
        <w:t>ing</w:t>
      </w:r>
      <w:r w:rsidR="00815F41">
        <w:rPr>
          <w:rFonts w:ascii="Times New Roman" w:hAnsi="Times New Roman" w:cs="Times New Roman"/>
          <w:sz w:val="24"/>
          <w:szCs w:val="24"/>
        </w:rPr>
        <w:t xml:space="preserve"> how the refunds for jurisdictional services were calculated</w:t>
      </w:r>
      <w:r>
        <w:rPr>
          <w:rFonts w:ascii="Times New Roman" w:hAnsi="Times New Roman" w:cs="Times New Roman"/>
          <w:sz w:val="24"/>
          <w:szCs w:val="24"/>
        </w:rPr>
        <w:t>,</w:t>
      </w:r>
    </w:p>
    <w:p w:rsidR="00815F41" w:rsidRDefault="00132768" w:rsidP="00815F4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Details for d</w:t>
      </w:r>
      <w:r w:rsidR="00815F41">
        <w:rPr>
          <w:rFonts w:ascii="Times New Roman" w:hAnsi="Times New Roman" w:cs="Times New Roman"/>
          <w:sz w:val="24"/>
          <w:szCs w:val="24"/>
        </w:rPr>
        <w:t>etermin</w:t>
      </w:r>
      <w:r>
        <w:rPr>
          <w:rFonts w:ascii="Times New Roman" w:hAnsi="Times New Roman" w:cs="Times New Roman"/>
          <w:sz w:val="24"/>
          <w:szCs w:val="24"/>
        </w:rPr>
        <w:t>ing</w:t>
      </w:r>
      <w:r w:rsidR="00815F41">
        <w:rPr>
          <w:rFonts w:ascii="Times New Roman" w:hAnsi="Times New Roman" w:cs="Times New Roman"/>
          <w:sz w:val="24"/>
          <w:szCs w:val="24"/>
        </w:rPr>
        <w:t xml:space="preserve"> the origin of the refund</w:t>
      </w:r>
      <w:r>
        <w:rPr>
          <w:rFonts w:ascii="Times New Roman" w:hAnsi="Times New Roman" w:cs="Times New Roman"/>
          <w:sz w:val="24"/>
          <w:szCs w:val="24"/>
        </w:rPr>
        <w:t>, and</w:t>
      </w:r>
      <w:r w:rsidR="00815F41">
        <w:rPr>
          <w:rFonts w:ascii="Times New Roman" w:hAnsi="Times New Roman" w:cs="Times New Roman"/>
          <w:sz w:val="24"/>
          <w:szCs w:val="24"/>
        </w:rPr>
        <w:t>.</w:t>
      </w:r>
    </w:p>
    <w:p w:rsidR="00815F41" w:rsidRPr="00815F41" w:rsidRDefault="00815F41" w:rsidP="00815F4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Explaining how the refund was allocated to each jurisdictional customer.</w:t>
      </w:r>
    </w:p>
    <w:p w:rsidR="00815F41" w:rsidRDefault="00815F41" w:rsidP="00815F4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References to any publicly available sources which confirm the rates, quantities, or costs, which are used to calculate the refund balance or which confirm the refund amount itself. </w:t>
      </w:r>
    </w:p>
    <w:p w:rsidR="00815F41" w:rsidRDefault="00815F41" w:rsidP="00815F41">
      <w:pPr>
        <w:pStyle w:val="ListParagraph"/>
        <w:numPr>
          <w:ilvl w:val="0"/>
          <w:numId w:val="5"/>
        </w:numPr>
        <w:spacing w:after="0"/>
        <w:rPr>
          <w:rFonts w:ascii="Times New Roman" w:hAnsi="Times New Roman" w:cs="Times New Roman"/>
          <w:sz w:val="24"/>
          <w:szCs w:val="24"/>
        </w:rPr>
      </w:pPr>
      <w:proofErr w:type="spellStart"/>
      <w:r>
        <w:rPr>
          <w:rFonts w:ascii="Times New Roman" w:hAnsi="Times New Roman" w:cs="Times New Roman"/>
          <w:sz w:val="24"/>
          <w:szCs w:val="24"/>
        </w:rPr>
        <w:t>Workpapers</w:t>
      </w:r>
      <w:proofErr w:type="spellEnd"/>
      <w:r>
        <w:rPr>
          <w:rFonts w:ascii="Times New Roman" w:hAnsi="Times New Roman" w:cs="Times New Roman"/>
          <w:sz w:val="24"/>
          <w:szCs w:val="24"/>
        </w:rPr>
        <w:t xml:space="preserve"> showing the calculation of interest on a monthly basis.</w:t>
      </w:r>
    </w:p>
    <w:p w:rsidR="00815F41" w:rsidRDefault="00815F41" w:rsidP="00815F4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 letter of transmittal</w:t>
      </w:r>
      <w:r w:rsidR="00132768">
        <w:rPr>
          <w:rFonts w:ascii="Times New Roman" w:hAnsi="Times New Roman" w:cs="Times New Roman"/>
          <w:sz w:val="24"/>
          <w:szCs w:val="24"/>
        </w:rPr>
        <w:t>.</w:t>
      </w:r>
    </w:p>
    <w:p w:rsidR="00815F41" w:rsidRPr="00815F41" w:rsidRDefault="00815F41" w:rsidP="00815F4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 certification of service to all affected customers and interested state commissions</w:t>
      </w:r>
    </w:p>
    <w:p w:rsidR="00451584" w:rsidRDefault="00451584" w:rsidP="00451584">
      <w:pPr>
        <w:spacing w:after="0"/>
        <w:rPr>
          <w:rFonts w:ascii="Times New Roman" w:hAnsi="Times New Roman" w:cs="Times New Roman"/>
          <w:sz w:val="24"/>
          <w:szCs w:val="24"/>
        </w:rPr>
      </w:pPr>
    </w:p>
    <w:p w:rsidR="00815F41" w:rsidRDefault="00815F41" w:rsidP="00451584">
      <w:pPr>
        <w:spacing w:after="0"/>
        <w:rPr>
          <w:rFonts w:ascii="Times New Roman" w:hAnsi="Times New Roman" w:cs="Times New Roman"/>
          <w:sz w:val="24"/>
          <w:szCs w:val="24"/>
        </w:rPr>
      </w:pPr>
      <w:r>
        <w:rPr>
          <w:rFonts w:ascii="Times New Roman" w:hAnsi="Times New Roman" w:cs="Times New Roman"/>
          <w:sz w:val="24"/>
          <w:szCs w:val="24"/>
        </w:rPr>
        <w:t>For a more detailed list of the requirements</w:t>
      </w:r>
      <w:r w:rsidR="00CF1269">
        <w:rPr>
          <w:rFonts w:ascii="Times New Roman" w:hAnsi="Times New Roman" w:cs="Times New Roman"/>
          <w:sz w:val="24"/>
          <w:szCs w:val="24"/>
        </w:rPr>
        <w:t>,</w:t>
      </w:r>
      <w:r>
        <w:rPr>
          <w:rFonts w:ascii="Times New Roman" w:hAnsi="Times New Roman" w:cs="Times New Roman"/>
          <w:sz w:val="24"/>
          <w:szCs w:val="24"/>
        </w:rPr>
        <w:t xml:space="preserve"> please see 18 CFR 154.501(e).</w:t>
      </w:r>
    </w:p>
    <w:p w:rsidR="00815F41" w:rsidRDefault="00815F41" w:rsidP="00451584">
      <w:pPr>
        <w:spacing w:after="0"/>
        <w:rPr>
          <w:rFonts w:ascii="Times New Roman" w:hAnsi="Times New Roman" w:cs="Times New Roman"/>
          <w:sz w:val="24"/>
          <w:szCs w:val="24"/>
        </w:rPr>
      </w:pPr>
    </w:p>
    <w:p w:rsidR="00451584" w:rsidRPr="00451584" w:rsidRDefault="00451584" w:rsidP="00451584">
      <w:pPr>
        <w:spacing w:after="0"/>
        <w:rPr>
          <w:rFonts w:ascii="Times New Roman" w:hAnsi="Times New Roman" w:cs="Times New Roman"/>
          <w:sz w:val="24"/>
          <w:szCs w:val="24"/>
        </w:rPr>
      </w:pPr>
      <w:r w:rsidRPr="00451584">
        <w:rPr>
          <w:rFonts w:ascii="Times New Roman" w:hAnsi="Times New Roman" w:cs="Times New Roman"/>
          <w:sz w:val="24"/>
          <w:szCs w:val="24"/>
        </w:rPr>
        <w:t>The Commission uses the data to monitor refunds owed by natural gas companies</w:t>
      </w:r>
      <w:r w:rsidR="00CF1269">
        <w:rPr>
          <w:rFonts w:ascii="Times New Roman" w:hAnsi="Times New Roman" w:cs="Times New Roman"/>
          <w:sz w:val="24"/>
          <w:szCs w:val="24"/>
        </w:rPr>
        <w:t>,</w:t>
      </w:r>
      <w:r w:rsidRPr="00451584">
        <w:rPr>
          <w:rFonts w:ascii="Times New Roman" w:hAnsi="Times New Roman" w:cs="Times New Roman"/>
          <w:sz w:val="24"/>
          <w:szCs w:val="24"/>
        </w:rPr>
        <w:t xml:space="preserve">  to ensure the flow-through of refunds that are owed by pipelines are made as expeditiously as possible</w:t>
      </w:r>
      <w:r w:rsidR="00CF1269">
        <w:rPr>
          <w:rFonts w:ascii="Times New Roman" w:hAnsi="Times New Roman" w:cs="Times New Roman"/>
          <w:sz w:val="24"/>
          <w:szCs w:val="24"/>
        </w:rPr>
        <w:t xml:space="preserve">, </w:t>
      </w:r>
      <w:r w:rsidRPr="00451584">
        <w:rPr>
          <w:rFonts w:ascii="Times New Roman" w:hAnsi="Times New Roman" w:cs="Times New Roman"/>
          <w:sz w:val="24"/>
          <w:szCs w:val="24"/>
        </w:rPr>
        <w:t xml:space="preserve">  and to assure that refunds are made in compliance with the directive.  Failure to report this information may result in enforcement action.</w:t>
      </w:r>
    </w:p>
    <w:p w:rsidR="00451584" w:rsidRDefault="00451584" w:rsidP="00451584">
      <w:pPr>
        <w:spacing w:after="0"/>
        <w:rPr>
          <w:rFonts w:ascii="Times New Roman" w:hAnsi="Times New Roman" w:cs="Times New Roman"/>
          <w:sz w:val="24"/>
          <w:szCs w:val="24"/>
        </w:rPr>
      </w:pPr>
    </w:p>
    <w:p w:rsidR="00EB3E6F" w:rsidRDefault="00451584" w:rsidP="00451584">
      <w:pPr>
        <w:spacing w:after="0"/>
        <w:rPr>
          <w:rFonts w:ascii="Times New Roman" w:hAnsi="Times New Roman" w:cs="Times New Roman"/>
          <w:sz w:val="24"/>
          <w:szCs w:val="24"/>
        </w:rPr>
      </w:pPr>
      <w:r w:rsidRPr="00451584">
        <w:rPr>
          <w:rFonts w:ascii="Times New Roman" w:hAnsi="Times New Roman" w:cs="Times New Roman"/>
          <w:sz w:val="24"/>
          <w:szCs w:val="24"/>
        </w:rPr>
        <w:t>The Commission’s Office of Energy Market Regulation is responsible for evaluating and processing information related to refund report obligations.</w:t>
      </w:r>
    </w:p>
    <w:p w:rsidR="00451584" w:rsidRPr="00EB3E6F" w:rsidRDefault="00451584" w:rsidP="00451584">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RDefault="00EB3E6F" w:rsidP="00EB3E6F">
      <w:pPr>
        <w:spacing w:after="0"/>
        <w:rPr>
          <w:rFonts w:ascii="Times New Roman" w:hAnsi="Times New Roman" w:cs="Times New Roman"/>
          <w:sz w:val="24"/>
          <w:szCs w:val="24"/>
        </w:rPr>
      </w:pPr>
    </w:p>
    <w:p w:rsidR="00B74705" w:rsidRDefault="00B74705" w:rsidP="00EB3E6F">
      <w:pPr>
        <w:spacing w:after="0"/>
        <w:rPr>
          <w:rFonts w:ascii="Times New Roman" w:hAnsi="Times New Roman" w:cs="Times New Roman"/>
          <w:sz w:val="24"/>
          <w:szCs w:val="24"/>
        </w:rPr>
      </w:pPr>
      <w:r w:rsidRPr="00B74705">
        <w:rPr>
          <w:rFonts w:ascii="Times New Roman" w:hAnsi="Times New Roman" w:cs="Times New Roman"/>
          <w:sz w:val="24"/>
          <w:szCs w:val="24"/>
        </w:rPr>
        <w:t xml:space="preserve">The refund reports can be eFiled in any format accepted by the Commission through the Commission’s website:  </w:t>
      </w:r>
      <w:hyperlink r:id="rId9" w:history="1">
        <w:r w:rsidRPr="00B74705">
          <w:rPr>
            <w:rStyle w:val="Hyperlink"/>
            <w:rFonts w:ascii="Times New Roman" w:hAnsi="Times New Roman" w:cs="Times New Roman"/>
            <w:sz w:val="24"/>
            <w:szCs w:val="24"/>
          </w:rPr>
          <w:t>http://www.ferc.gov/docs-filing/efiling.asp</w:t>
        </w:r>
      </w:hyperlink>
      <w:r>
        <w:rPr>
          <w:rFonts w:ascii="Times New Roman" w:hAnsi="Times New Roman" w:cs="Times New Roman"/>
          <w:sz w:val="24"/>
          <w:szCs w:val="24"/>
        </w:rPr>
        <w:t>.</w:t>
      </w:r>
    </w:p>
    <w:p w:rsidR="00EB3E6F" w:rsidRPr="00EB3E6F" w:rsidRDefault="00EB3E6F"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EB3E6F" w:rsidRDefault="00EB3E6F" w:rsidP="00EB3E6F">
      <w:pPr>
        <w:spacing w:after="0"/>
        <w:rPr>
          <w:rFonts w:ascii="Times New Roman" w:hAnsi="Times New Roman" w:cs="Times New Roman"/>
          <w:sz w:val="24"/>
          <w:szCs w:val="24"/>
        </w:rPr>
      </w:pPr>
    </w:p>
    <w:p w:rsidR="00B74705" w:rsidRDefault="00B74705" w:rsidP="00EB3E6F">
      <w:pPr>
        <w:spacing w:after="0"/>
        <w:rPr>
          <w:rFonts w:ascii="Times New Roman" w:hAnsi="Times New Roman" w:cs="Times New Roman"/>
          <w:sz w:val="24"/>
          <w:szCs w:val="24"/>
        </w:rPr>
      </w:pPr>
      <w:r w:rsidRPr="00B74705">
        <w:rPr>
          <w:rFonts w:ascii="Times New Roman" w:hAnsi="Times New Roman" w:cs="Times New Roman"/>
          <w:sz w:val="24"/>
          <w:szCs w:val="24"/>
        </w:rPr>
        <w:t xml:space="preserve">Filing requirements are periodically reviewed as OMB review dates arise or as the Commission deems necessary in carrying out its responsibilities under the NGA in order to eliminate duplication and ensure that filing burden is minimized.  No other forms collect data similar to </w:t>
      </w:r>
      <w:r w:rsidR="00225564">
        <w:rPr>
          <w:rFonts w:ascii="Times New Roman" w:hAnsi="Times New Roman" w:cs="Times New Roman"/>
          <w:sz w:val="24"/>
          <w:szCs w:val="24"/>
        </w:rPr>
        <w:t>the</w:t>
      </w:r>
      <w:r w:rsidRPr="00B74705">
        <w:rPr>
          <w:rFonts w:ascii="Times New Roman" w:hAnsi="Times New Roman" w:cs="Times New Roman"/>
          <w:sz w:val="24"/>
          <w:szCs w:val="24"/>
        </w:rPr>
        <w:t xml:space="preserve"> FERC-547</w:t>
      </w:r>
      <w:r w:rsidR="00225564">
        <w:rPr>
          <w:rFonts w:ascii="Times New Roman" w:hAnsi="Times New Roman" w:cs="Times New Roman"/>
          <w:sz w:val="24"/>
          <w:szCs w:val="24"/>
        </w:rPr>
        <w:t xml:space="preserve"> data</w:t>
      </w:r>
      <w:r w:rsidRPr="00B74705">
        <w:rPr>
          <w:rFonts w:ascii="Times New Roman" w:hAnsi="Times New Roman" w:cs="Times New Roman"/>
          <w:sz w:val="24"/>
          <w:szCs w:val="24"/>
        </w:rPr>
        <w:t>.</w:t>
      </w:r>
    </w:p>
    <w:p w:rsidR="00EB3E6F" w:rsidRPr="00EB3E6F" w:rsidRDefault="00EB3E6F"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RDefault="00EB3E6F" w:rsidP="00EB3E6F">
      <w:pPr>
        <w:spacing w:after="0"/>
        <w:rPr>
          <w:rFonts w:ascii="Times New Roman" w:hAnsi="Times New Roman" w:cs="Times New Roman"/>
          <w:sz w:val="24"/>
          <w:szCs w:val="24"/>
        </w:rPr>
      </w:pPr>
    </w:p>
    <w:p w:rsidR="00225564" w:rsidRPr="00225564" w:rsidRDefault="00225564" w:rsidP="00225564">
      <w:pPr>
        <w:spacing w:after="0"/>
        <w:rPr>
          <w:rFonts w:ascii="Times New Roman" w:hAnsi="Times New Roman" w:cs="Times New Roman"/>
          <w:sz w:val="24"/>
          <w:szCs w:val="24"/>
        </w:rPr>
      </w:pPr>
      <w:r w:rsidRPr="00225564">
        <w:rPr>
          <w:rFonts w:ascii="Times New Roman" w:hAnsi="Times New Roman" w:cs="Times New Roman"/>
          <w:sz w:val="24"/>
          <w:szCs w:val="24"/>
        </w:rPr>
        <w:t>This filing collects data from both large and small respondent companies.  Specific efforts have been made to minimize the burden imposed on those small companies who file the report, i.e.</w:t>
      </w:r>
      <w:r w:rsidR="00132768">
        <w:rPr>
          <w:rFonts w:ascii="Times New Roman" w:hAnsi="Times New Roman" w:cs="Times New Roman"/>
          <w:sz w:val="24"/>
          <w:szCs w:val="24"/>
        </w:rPr>
        <w:t>,</w:t>
      </w:r>
      <w:r w:rsidRPr="00225564">
        <w:rPr>
          <w:rFonts w:ascii="Times New Roman" w:hAnsi="Times New Roman" w:cs="Times New Roman"/>
          <w:sz w:val="24"/>
          <w:szCs w:val="24"/>
        </w:rPr>
        <w:t xml:space="preserve"> there is no required format, allowing respondents to file the required information in a format readily available from their own computer systems.  </w:t>
      </w:r>
    </w:p>
    <w:p w:rsidR="00225564" w:rsidRDefault="00225564" w:rsidP="00225564">
      <w:pPr>
        <w:spacing w:after="0"/>
        <w:rPr>
          <w:rFonts w:ascii="Times New Roman" w:hAnsi="Times New Roman" w:cs="Times New Roman"/>
          <w:sz w:val="24"/>
          <w:szCs w:val="24"/>
        </w:rPr>
      </w:pPr>
    </w:p>
    <w:p w:rsidR="00225564" w:rsidRDefault="00225564" w:rsidP="00225564">
      <w:pPr>
        <w:spacing w:after="0"/>
        <w:rPr>
          <w:rFonts w:ascii="Times New Roman" w:hAnsi="Times New Roman" w:cs="Times New Roman"/>
          <w:sz w:val="24"/>
          <w:szCs w:val="24"/>
        </w:rPr>
      </w:pPr>
      <w:r w:rsidRPr="00225564">
        <w:rPr>
          <w:rFonts w:ascii="Times New Roman" w:hAnsi="Times New Roman" w:cs="Times New Roman"/>
          <w:sz w:val="24"/>
          <w:szCs w:val="24"/>
        </w:rPr>
        <w:t>The data required imposes the least possible burden for companies while collecting the information that is required to process refund reports.</w:t>
      </w:r>
    </w:p>
    <w:p w:rsidR="00EB3E6F" w:rsidRPr="00EB3E6F" w:rsidRDefault="00EB3E6F"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CONSEQUENCE TO FEDERAL PROGRAM IF COLLECTION WERE CONDUCTED LESS FREQUENTLY</w:t>
      </w:r>
    </w:p>
    <w:p w:rsidR="00EB3E6F" w:rsidRDefault="00EB3E6F" w:rsidP="00EB3E6F">
      <w:pPr>
        <w:spacing w:after="0"/>
        <w:rPr>
          <w:rFonts w:ascii="Times New Roman" w:hAnsi="Times New Roman" w:cs="Times New Roman"/>
          <w:sz w:val="24"/>
          <w:szCs w:val="24"/>
        </w:rPr>
      </w:pPr>
    </w:p>
    <w:p w:rsidR="00EB3E6F" w:rsidRDefault="00BD73E3" w:rsidP="00EB3E6F">
      <w:pPr>
        <w:spacing w:after="0"/>
        <w:rPr>
          <w:rFonts w:ascii="Times New Roman" w:hAnsi="Times New Roman" w:cs="Times New Roman"/>
          <w:sz w:val="24"/>
          <w:szCs w:val="24"/>
        </w:rPr>
      </w:pPr>
      <w:r w:rsidRPr="00BD73E3">
        <w:rPr>
          <w:rFonts w:ascii="Times New Roman" w:hAnsi="Times New Roman" w:cs="Times New Roman"/>
          <w:sz w:val="24"/>
          <w:szCs w:val="24"/>
        </w:rPr>
        <w:t xml:space="preserve">It is not possible to collect the data less frequently.  The information is only required upon the distribution of a refund by a pipeline company and does not have a set </w:t>
      </w:r>
      <w:r>
        <w:rPr>
          <w:rFonts w:ascii="Times New Roman" w:hAnsi="Times New Roman" w:cs="Times New Roman"/>
          <w:sz w:val="24"/>
          <w:szCs w:val="24"/>
        </w:rPr>
        <w:t xml:space="preserve">reporting </w:t>
      </w:r>
      <w:r w:rsidRPr="00BD73E3">
        <w:rPr>
          <w:rFonts w:ascii="Times New Roman" w:hAnsi="Times New Roman" w:cs="Times New Roman"/>
          <w:sz w:val="24"/>
          <w:szCs w:val="24"/>
        </w:rPr>
        <w:t>frequency.  If the collection were discontinued, the Commission would not have the necessary information for monitoring refund obligations.</w:t>
      </w:r>
    </w:p>
    <w:p w:rsidR="00BD73E3" w:rsidRPr="00EB3E6F" w:rsidRDefault="00BD73E3"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RDefault="00EB3E6F" w:rsidP="00EB3E6F">
      <w:pPr>
        <w:spacing w:after="0"/>
        <w:rPr>
          <w:rFonts w:ascii="Times New Roman" w:hAnsi="Times New Roman" w:cs="Times New Roman"/>
          <w:sz w:val="24"/>
          <w:szCs w:val="24"/>
        </w:rPr>
      </w:pPr>
    </w:p>
    <w:p w:rsidR="00EB3E6F" w:rsidRDefault="00BD73E3" w:rsidP="00EB3E6F">
      <w:pPr>
        <w:spacing w:after="0"/>
        <w:rPr>
          <w:rFonts w:ascii="Times New Roman" w:hAnsi="Times New Roman" w:cs="Times New Roman"/>
          <w:sz w:val="24"/>
          <w:szCs w:val="24"/>
        </w:rPr>
      </w:pPr>
      <w:r>
        <w:rPr>
          <w:rFonts w:ascii="Times New Roman" w:hAnsi="Times New Roman" w:cs="Times New Roman"/>
          <w:sz w:val="24"/>
          <w:szCs w:val="24"/>
        </w:rPr>
        <w:t>There are no special circumstances relating to this information collection.</w:t>
      </w:r>
    </w:p>
    <w:p w:rsidR="00BD73E3" w:rsidRPr="00EB3E6F" w:rsidRDefault="00BD73E3"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rsidR="00EB3E6F" w:rsidRDefault="00EB3E6F" w:rsidP="00EB3E6F">
      <w:pPr>
        <w:spacing w:after="0"/>
        <w:rPr>
          <w:rFonts w:ascii="Times New Roman" w:hAnsi="Times New Roman" w:cs="Times New Roman"/>
          <w:sz w:val="24"/>
          <w:szCs w:val="24"/>
        </w:rPr>
      </w:pPr>
    </w:p>
    <w:p w:rsidR="00EB3E6F" w:rsidRDefault="00BD73E3" w:rsidP="00EB3E6F">
      <w:pPr>
        <w:spacing w:after="0"/>
        <w:rPr>
          <w:rFonts w:ascii="Times New Roman" w:hAnsi="Times New Roman" w:cs="Times New Roman"/>
          <w:sz w:val="24"/>
          <w:szCs w:val="24"/>
        </w:rPr>
      </w:pPr>
      <w:r w:rsidRPr="00BD73E3">
        <w:rPr>
          <w:rFonts w:ascii="Times New Roman" w:hAnsi="Times New Roman" w:cs="Times New Roman"/>
          <w:sz w:val="24"/>
          <w:szCs w:val="24"/>
        </w:rPr>
        <w:t>In accordance with OMB requirements, the Commission published a 60-day notice</w:t>
      </w:r>
      <w:r w:rsidRPr="00BD73E3">
        <w:rPr>
          <w:rFonts w:ascii="Times New Roman" w:hAnsi="Times New Roman" w:cs="Times New Roman"/>
          <w:sz w:val="24"/>
          <w:szCs w:val="24"/>
          <w:vertAlign w:val="superscript"/>
        </w:rPr>
        <w:footnoteReference w:id="2"/>
      </w:r>
      <w:r w:rsidRPr="00BD73E3">
        <w:rPr>
          <w:rFonts w:ascii="Times New Roman" w:hAnsi="Times New Roman" w:cs="Times New Roman"/>
          <w:sz w:val="24"/>
          <w:szCs w:val="24"/>
        </w:rPr>
        <w:t xml:space="preserve"> </w:t>
      </w:r>
      <w:r>
        <w:rPr>
          <w:rFonts w:ascii="Times New Roman" w:hAnsi="Times New Roman" w:cs="Times New Roman"/>
          <w:sz w:val="24"/>
          <w:szCs w:val="24"/>
        </w:rPr>
        <w:t>in the Federal Register</w:t>
      </w:r>
      <w:r w:rsidRPr="00BD73E3">
        <w:rPr>
          <w:rFonts w:ascii="Times New Roman" w:hAnsi="Times New Roman" w:cs="Times New Roman"/>
          <w:sz w:val="24"/>
          <w:szCs w:val="24"/>
        </w:rPr>
        <w:t xml:space="preserve"> regarding this information collection on </w:t>
      </w:r>
      <w:r>
        <w:rPr>
          <w:rFonts w:ascii="Times New Roman" w:hAnsi="Times New Roman" w:cs="Times New Roman"/>
          <w:sz w:val="24"/>
          <w:szCs w:val="24"/>
        </w:rPr>
        <w:t>7/19/2013</w:t>
      </w:r>
      <w:r w:rsidRPr="00BD73E3">
        <w:rPr>
          <w:rFonts w:ascii="Times New Roman" w:hAnsi="Times New Roman" w:cs="Times New Roman"/>
          <w:sz w:val="24"/>
          <w:szCs w:val="24"/>
        </w:rPr>
        <w:t>.  Within the public notice, the Commission noted that it would be requesting a three-year extension of the public reporting burden with the changes described in those notices.  The Commission received no responses from the public regarding this information collection.</w:t>
      </w:r>
      <w:r w:rsidR="00CF1269">
        <w:rPr>
          <w:rFonts w:ascii="Times New Roman" w:hAnsi="Times New Roman" w:cs="Times New Roman"/>
          <w:sz w:val="24"/>
          <w:szCs w:val="24"/>
        </w:rPr>
        <w:t xml:space="preserve">  The 30-day notice was published in the Federal Register on 10/25/2013.</w:t>
      </w:r>
      <w:bookmarkStart w:id="0" w:name="_GoBack"/>
      <w:r w:rsidR="00CF1269" w:rsidRPr="009C23E4">
        <w:rPr>
          <w:rStyle w:val="FootnoteReference"/>
          <w:rFonts w:ascii="Times New Roman" w:hAnsi="Times New Roman" w:cs="Times New Roman"/>
          <w:sz w:val="24"/>
          <w:szCs w:val="24"/>
          <w:vertAlign w:val="superscript"/>
        </w:rPr>
        <w:footnoteReference w:id="3"/>
      </w:r>
      <w:bookmarkEnd w:id="0"/>
    </w:p>
    <w:p w:rsidR="00BD73E3" w:rsidRPr="00EB3E6F" w:rsidRDefault="00BD73E3" w:rsidP="00EB3E6F">
      <w:pPr>
        <w:spacing w:after="0"/>
        <w:rPr>
          <w:rFonts w:ascii="Times New Roman" w:hAnsi="Times New Roman" w:cs="Times New Roman"/>
          <w:sz w:val="24"/>
          <w:szCs w:val="24"/>
        </w:rPr>
      </w:pPr>
    </w:p>
    <w:p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RDefault="00D80FBD" w:rsidP="00D80FBD">
      <w:pPr>
        <w:spacing w:after="0"/>
        <w:rPr>
          <w:rFonts w:ascii="Times New Roman" w:hAnsi="Times New Roman" w:cs="Times New Roman"/>
          <w:sz w:val="24"/>
          <w:szCs w:val="24"/>
        </w:rPr>
      </w:pPr>
    </w:p>
    <w:p w:rsidR="00BD73E3" w:rsidRDefault="00BD73E3" w:rsidP="00D80FBD">
      <w:pPr>
        <w:spacing w:after="0"/>
        <w:rPr>
          <w:rFonts w:ascii="Times New Roman" w:hAnsi="Times New Roman" w:cs="Times New Roman"/>
          <w:sz w:val="24"/>
          <w:szCs w:val="24"/>
        </w:rPr>
      </w:pPr>
      <w:r>
        <w:rPr>
          <w:rFonts w:ascii="Times New Roman" w:hAnsi="Times New Roman" w:cs="Times New Roman"/>
          <w:sz w:val="24"/>
          <w:szCs w:val="24"/>
        </w:rPr>
        <w:t>There are no payments or gifts to respondents as part of this collection.</w:t>
      </w:r>
    </w:p>
    <w:p w:rsidR="00D80FBD" w:rsidRPr="00D80FBD" w:rsidRDefault="00D80FBD"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rsidR="00D80FBD" w:rsidRDefault="00D80FBD" w:rsidP="00D80FBD">
      <w:pPr>
        <w:spacing w:after="0"/>
        <w:rPr>
          <w:rFonts w:ascii="Times New Roman" w:hAnsi="Times New Roman" w:cs="Times New Roman"/>
          <w:sz w:val="24"/>
          <w:szCs w:val="24"/>
        </w:rPr>
      </w:pPr>
    </w:p>
    <w:p w:rsidR="00BD73E3" w:rsidRDefault="001B312B" w:rsidP="00D80FBD">
      <w:pPr>
        <w:spacing w:after="0"/>
        <w:rPr>
          <w:rFonts w:ascii="Times New Roman" w:hAnsi="Times New Roman" w:cs="Times New Roman"/>
          <w:sz w:val="24"/>
          <w:szCs w:val="24"/>
        </w:rPr>
      </w:pPr>
      <w:r w:rsidRPr="001B312B">
        <w:rPr>
          <w:rFonts w:ascii="Times New Roman" w:hAnsi="Times New Roman" w:cs="Times New Roman"/>
          <w:sz w:val="24"/>
          <w:szCs w:val="24"/>
        </w:rPr>
        <w:t>The Commission generally does not consider the data filed to be confidential.  However, a company may request confidential treatment of some or all parts of the FERC-547 requirements under the Commission regulations at 18 C.F.R. 388.112.  Each request for confidential treatment will be reviewed by the Commission on a case-by-case basis.</w:t>
      </w:r>
    </w:p>
    <w:p w:rsidR="00D80FBD" w:rsidRPr="00D80FBD" w:rsidRDefault="00D80FBD"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rsidR="00D80FBD" w:rsidRDefault="00D80FBD" w:rsidP="00D80FBD">
      <w:pPr>
        <w:spacing w:after="0"/>
        <w:rPr>
          <w:rFonts w:ascii="Times New Roman" w:hAnsi="Times New Roman" w:cs="Times New Roman"/>
          <w:sz w:val="24"/>
          <w:szCs w:val="24"/>
        </w:rPr>
      </w:pPr>
    </w:p>
    <w:p w:rsidR="001B312B" w:rsidRDefault="001B312B"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related to the information collection.</w:t>
      </w:r>
    </w:p>
    <w:p w:rsidR="00D80FBD" w:rsidRPr="00D80FBD" w:rsidRDefault="00D80FBD"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ESTIMATED BURDEN OF COLLECTION OF INFORMATION</w:t>
      </w:r>
    </w:p>
    <w:p w:rsidR="00D80FBD" w:rsidRDefault="00D80FBD" w:rsidP="00D80FBD">
      <w:pPr>
        <w:spacing w:after="0"/>
        <w:rPr>
          <w:rFonts w:ascii="Times New Roman" w:hAnsi="Times New Roman" w:cs="Times New Roman"/>
          <w:sz w:val="24"/>
          <w:szCs w:val="24"/>
        </w:rPr>
      </w:pPr>
    </w:p>
    <w:p w:rsidR="00F63AD4" w:rsidRPr="00F63AD4" w:rsidRDefault="00F63AD4" w:rsidP="00F63AD4">
      <w:pPr>
        <w:spacing w:after="0"/>
        <w:rPr>
          <w:rFonts w:ascii="Times New Roman" w:hAnsi="Times New Roman" w:cs="Times New Roman"/>
          <w:sz w:val="24"/>
          <w:szCs w:val="24"/>
        </w:rPr>
      </w:pPr>
      <w:r w:rsidRPr="00F63AD4">
        <w:rPr>
          <w:rFonts w:ascii="Times New Roman" w:hAnsi="Times New Roman" w:cs="Times New Roman"/>
          <w:sz w:val="24"/>
          <w:szCs w:val="24"/>
        </w:rPr>
        <w:t>The Commission re</w:t>
      </w:r>
      <w:r>
        <w:rPr>
          <w:rFonts w:ascii="Times New Roman" w:hAnsi="Times New Roman" w:cs="Times New Roman"/>
          <w:sz w:val="24"/>
          <w:szCs w:val="24"/>
        </w:rPr>
        <w:t xml:space="preserve">duces its estimate of the number of respondents </w:t>
      </w:r>
      <w:r w:rsidRPr="00F63AD4">
        <w:rPr>
          <w:rFonts w:ascii="Times New Roman" w:hAnsi="Times New Roman" w:cs="Times New Roman"/>
          <w:sz w:val="24"/>
          <w:szCs w:val="24"/>
        </w:rPr>
        <w:t>for this information collection from the estimate made three years ago based on the number of filings received over the previous three years (from an average of 30 respondents to an average of 11 respondents currently).</w:t>
      </w:r>
      <w:r w:rsidR="00132768">
        <w:rPr>
          <w:rFonts w:ascii="Times New Roman" w:hAnsi="Times New Roman" w:cs="Times New Roman"/>
          <w:sz w:val="24"/>
          <w:szCs w:val="24"/>
        </w:rPr>
        <w:t xml:space="preserve">  </w:t>
      </w:r>
    </w:p>
    <w:tbl>
      <w:tblPr>
        <w:tblpPr w:leftFromText="180" w:rightFromText="180" w:vertAnchor="text" w:horzAnchor="margin" w:tblpX="108" w:tblpY="22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620"/>
        <w:gridCol w:w="1638"/>
        <w:gridCol w:w="1422"/>
        <w:gridCol w:w="1368"/>
      </w:tblGrid>
      <w:tr w:rsidR="00F63AD4" w:rsidRPr="00F63AD4" w:rsidTr="00F77BE6">
        <w:trPr>
          <w:trHeight w:val="347"/>
        </w:trPr>
        <w:tc>
          <w:tcPr>
            <w:tcW w:w="9576" w:type="dxa"/>
            <w:gridSpan w:val="6"/>
            <w:shd w:val="clear" w:color="auto" w:fill="D9D9D9"/>
            <w:vAlign w:val="center"/>
          </w:tcPr>
          <w:p w:rsidR="00F63AD4" w:rsidRPr="00F63AD4" w:rsidRDefault="00F63AD4" w:rsidP="00F63AD4">
            <w:pPr>
              <w:spacing w:after="0"/>
              <w:jc w:val="center"/>
              <w:rPr>
                <w:rFonts w:ascii="Times New Roman" w:hAnsi="Times New Roman" w:cs="Times New Roman"/>
                <w:b/>
                <w:sz w:val="24"/>
                <w:szCs w:val="24"/>
              </w:rPr>
            </w:pPr>
            <w:r w:rsidRPr="00F63AD4">
              <w:rPr>
                <w:rFonts w:ascii="Times New Roman" w:hAnsi="Times New Roman" w:cs="Times New Roman"/>
                <w:b/>
                <w:sz w:val="24"/>
                <w:szCs w:val="24"/>
              </w:rPr>
              <w:t>FERC-547:  Gas Pipeline Rates:  Refund Report Requirements</w:t>
            </w:r>
          </w:p>
        </w:tc>
      </w:tr>
      <w:tr w:rsidR="00F63AD4" w:rsidRPr="00F63AD4" w:rsidTr="00F77BE6">
        <w:trPr>
          <w:trHeight w:val="1250"/>
        </w:trPr>
        <w:tc>
          <w:tcPr>
            <w:tcW w:w="1728" w:type="dxa"/>
            <w:shd w:val="clear" w:color="auto" w:fill="D9D9D9"/>
            <w:vAlign w:val="bottom"/>
          </w:tcPr>
          <w:p w:rsidR="00F63AD4" w:rsidRPr="00F63AD4" w:rsidRDefault="00F63AD4" w:rsidP="00F63AD4">
            <w:pPr>
              <w:spacing w:after="0"/>
              <w:rPr>
                <w:rFonts w:ascii="Times New Roman" w:hAnsi="Times New Roman" w:cs="Times New Roman"/>
                <w:b/>
                <w:sz w:val="24"/>
                <w:szCs w:val="24"/>
              </w:rPr>
            </w:pPr>
          </w:p>
        </w:tc>
        <w:tc>
          <w:tcPr>
            <w:tcW w:w="1800" w:type="dxa"/>
            <w:shd w:val="clear" w:color="auto" w:fill="D9D9D9"/>
            <w:vAlign w:val="bottom"/>
          </w:tcPr>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Number of Respondents</w:t>
            </w:r>
          </w:p>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(A)</w:t>
            </w:r>
          </w:p>
        </w:tc>
        <w:tc>
          <w:tcPr>
            <w:tcW w:w="1620" w:type="dxa"/>
            <w:shd w:val="clear" w:color="auto" w:fill="D9D9D9"/>
            <w:vAlign w:val="bottom"/>
          </w:tcPr>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Number of Responses Per Respondent</w:t>
            </w:r>
          </w:p>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(B)</w:t>
            </w:r>
          </w:p>
        </w:tc>
        <w:tc>
          <w:tcPr>
            <w:tcW w:w="1638" w:type="dxa"/>
            <w:shd w:val="clear" w:color="auto" w:fill="D9D9D9"/>
            <w:vAlign w:val="bottom"/>
          </w:tcPr>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Total Number of Responses</w:t>
            </w:r>
          </w:p>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(A)x(B)=(C)</w:t>
            </w:r>
          </w:p>
        </w:tc>
        <w:tc>
          <w:tcPr>
            <w:tcW w:w="1422" w:type="dxa"/>
            <w:shd w:val="clear" w:color="auto" w:fill="D9D9D9"/>
            <w:vAlign w:val="bottom"/>
          </w:tcPr>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Average Burden Hours per Response</w:t>
            </w:r>
          </w:p>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(D)</w:t>
            </w:r>
          </w:p>
        </w:tc>
        <w:tc>
          <w:tcPr>
            <w:tcW w:w="1368" w:type="dxa"/>
            <w:shd w:val="clear" w:color="auto" w:fill="D9D9D9"/>
            <w:vAlign w:val="bottom"/>
          </w:tcPr>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Estimated Total Annual Burden</w:t>
            </w:r>
          </w:p>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(C)x(D)</w:t>
            </w:r>
          </w:p>
        </w:tc>
      </w:tr>
      <w:tr w:rsidR="00F63AD4" w:rsidRPr="00F63AD4" w:rsidTr="00F77BE6">
        <w:tc>
          <w:tcPr>
            <w:tcW w:w="1728" w:type="dxa"/>
          </w:tcPr>
          <w:p w:rsidR="00F63AD4" w:rsidRPr="00F63AD4" w:rsidRDefault="00F63AD4" w:rsidP="00F63AD4">
            <w:pPr>
              <w:spacing w:after="0"/>
              <w:rPr>
                <w:rFonts w:ascii="Times New Roman" w:hAnsi="Times New Roman" w:cs="Times New Roman"/>
                <w:sz w:val="24"/>
                <w:szCs w:val="24"/>
              </w:rPr>
            </w:pPr>
            <w:r w:rsidRPr="00F63AD4">
              <w:rPr>
                <w:rFonts w:ascii="Times New Roman" w:hAnsi="Times New Roman" w:cs="Times New Roman"/>
                <w:sz w:val="24"/>
                <w:szCs w:val="24"/>
              </w:rPr>
              <w:t>Natural Gas Companies</w:t>
            </w:r>
          </w:p>
        </w:tc>
        <w:tc>
          <w:tcPr>
            <w:tcW w:w="1800" w:type="dxa"/>
            <w:vAlign w:val="bottom"/>
          </w:tcPr>
          <w:p w:rsidR="00F63AD4" w:rsidRPr="00F63AD4" w:rsidRDefault="00F63AD4" w:rsidP="00F63AD4">
            <w:pPr>
              <w:spacing w:after="0"/>
              <w:rPr>
                <w:rFonts w:ascii="Times New Roman" w:hAnsi="Times New Roman" w:cs="Times New Roman"/>
                <w:sz w:val="24"/>
                <w:szCs w:val="24"/>
              </w:rPr>
            </w:pPr>
            <w:r w:rsidRPr="00F63AD4">
              <w:rPr>
                <w:rFonts w:ascii="Times New Roman" w:hAnsi="Times New Roman" w:cs="Times New Roman"/>
                <w:sz w:val="24"/>
                <w:szCs w:val="24"/>
              </w:rPr>
              <w:t>11</w:t>
            </w:r>
          </w:p>
        </w:tc>
        <w:tc>
          <w:tcPr>
            <w:tcW w:w="1620" w:type="dxa"/>
            <w:vAlign w:val="bottom"/>
          </w:tcPr>
          <w:p w:rsidR="00F63AD4" w:rsidRPr="00F63AD4" w:rsidRDefault="00F63AD4" w:rsidP="00F63AD4">
            <w:pPr>
              <w:spacing w:after="0"/>
              <w:rPr>
                <w:rFonts w:ascii="Times New Roman" w:hAnsi="Times New Roman" w:cs="Times New Roman"/>
                <w:sz w:val="24"/>
                <w:szCs w:val="24"/>
              </w:rPr>
            </w:pPr>
            <w:r w:rsidRPr="00F63AD4">
              <w:rPr>
                <w:rFonts w:ascii="Times New Roman" w:hAnsi="Times New Roman" w:cs="Times New Roman"/>
                <w:sz w:val="24"/>
                <w:szCs w:val="24"/>
              </w:rPr>
              <w:t>1</w:t>
            </w:r>
          </w:p>
        </w:tc>
        <w:tc>
          <w:tcPr>
            <w:tcW w:w="1638" w:type="dxa"/>
            <w:vAlign w:val="bottom"/>
          </w:tcPr>
          <w:p w:rsidR="00F63AD4" w:rsidRPr="00F63AD4" w:rsidRDefault="00F63AD4" w:rsidP="00F63AD4">
            <w:pPr>
              <w:spacing w:after="0"/>
              <w:rPr>
                <w:rFonts w:ascii="Times New Roman" w:hAnsi="Times New Roman" w:cs="Times New Roman"/>
                <w:sz w:val="24"/>
                <w:szCs w:val="24"/>
              </w:rPr>
            </w:pPr>
            <w:r w:rsidRPr="00F63AD4">
              <w:rPr>
                <w:rFonts w:ascii="Times New Roman" w:hAnsi="Times New Roman" w:cs="Times New Roman"/>
                <w:sz w:val="24"/>
                <w:szCs w:val="24"/>
              </w:rPr>
              <w:t>11</w:t>
            </w:r>
          </w:p>
        </w:tc>
        <w:tc>
          <w:tcPr>
            <w:tcW w:w="1422" w:type="dxa"/>
            <w:vAlign w:val="bottom"/>
          </w:tcPr>
          <w:p w:rsidR="00F63AD4" w:rsidRPr="00F63AD4" w:rsidRDefault="00F63AD4" w:rsidP="00F63AD4">
            <w:pPr>
              <w:spacing w:after="0"/>
              <w:rPr>
                <w:rFonts w:ascii="Times New Roman" w:hAnsi="Times New Roman" w:cs="Times New Roman"/>
                <w:sz w:val="24"/>
                <w:szCs w:val="24"/>
              </w:rPr>
            </w:pPr>
            <w:r w:rsidRPr="00F63AD4">
              <w:rPr>
                <w:rFonts w:ascii="Times New Roman" w:hAnsi="Times New Roman" w:cs="Times New Roman"/>
                <w:sz w:val="24"/>
                <w:szCs w:val="24"/>
              </w:rPr>
              <w:t>75</w:t>
            </w:r>
          </w:p>
        </w:tc>
        <w:tc>
          <w:tcPr>
            <w:tcW w:w="1368" w:type="dxa"/>
            <w:vAlign w:val="bottom"/>
          </w:tcPr>
          <w:p w:rsidR="00F63AD4" w:rsidRPr="00F63AD4" w:rsidRDefault="00F63AD4" w:rsidP="00F63AD4">
            <w:pPr>
              <w:spacing w:after="0"/>
              <w:rPr>
                <w:rFonts w:ascii="Times New Roman" w:hAnsi="Times New Roman" w:cs="Times New Roman"/>
                <w:sz w:val="24"/>
                <w:szCs w:val="24"/>
              </w:rPr>
            </w:pPr>
            <w:r w:rsidRPr="00F63AD4">
              <w:rPr>
                <w:rFonts w:ascii="Times New Roman" w:hAnsi="Times New Roman" w:cs="Times New Roman"/>
                <w:sz w:val="24"/>
                <w:szCs w:val="24"/>
              </w:rPr>
              <w:t>825</w:t>
            </w:r>
          </w:p>
        </w:tc>
      </w:tr>
    </w:tbl>
    <w:p w:rsidR="00F63AD4" w:rsidRPr="00F63AD4" w:rsidRDefault="00F63AD4" w:rsidP="00F63AD4">
      <w:pPr>
        <w:spacing w:after="0"/>
        <w:rPr>
          <w:rFonts w:ascii="Times New Roman" w:hAnsi="Times New Roman" w:cs="Times New Roman"/>
          <w:sz w:val="24"/>
          <w:szCs w:val="24"/>
        </w:rPr>
      </w:pPr>
    </w:p>
    <w:p w:rsidR="001B312B" w:rsidRDefault="00F63AD4" w:rsidP="00F63AD4">
      <w:pPr>
        <w:spacing w:after="0"/>
        <w:rPr>
          <w:rFonts w:ascii="Times New Roman" w:hAnsi="Times New Roman" w:cs="Times New Roman"/>
          <w:sz w:val="24"/>
          <w:szCs w:val="24"/>
        </w:rPr>
      </w:pPr>
      <w:r w:rsidRPr="00F63AD4">
        <w:rPr>
          <w:rFonts w:ascii="Times New Roman" w:hAnsi="Times New Roman" w:cs="Times New Roman"/>
          <w:sz w:val="24"/>
          <w:szCs w:val="24"/>
        </w:rPr>
        <w:t>The total estimated annual cost burden to respondents is $57,750. [825 hours * $70/hour</w:t>
      </w:r>
      <w:r w:rsidRPr="00F63AD4">
        <w:rPr>
          <w:rFonts w:ascii="Times New Roman" w:hAnsi="Times New Roman" w:cs="Times New Roman"/>
          <w:b/>
          <w:sz w:val="24"/>
          <w:szCs w:val="24"/>
          <w:vertAlign w:val="superscript"/>
        </w:rPr>
        <w:footnoteReference w:id="4"/>
      </w:r>
      <w:r w:rsidRPr="00F63AD4">
        <w:rPr>
          <w:rFonts w:ascii="Times New Roman" w:hAnsi="Times New Roman" w:cs="Times New Roman"/>
          <w:sz w:val="24"/>
          <w:szCs w:val="24"/>
        </w:rPr>
        <w:t xml:space="preserve"> = $57,750].  The estimated annual impact per respondent is $5,250 ($75 * $70/hour = $5,250)</w:t>
      </w:r>
      <w:r>
        <w:rPr>
          <w:rFonts w:ascii="Times New Roman" w:hAnsi="Times New Roman" w:cs="Times New Roman"/>
          <w:sz w:val="24"/>
          <w:szCs w:val="24"/>
        </w:rPr>
        <w:t>.</w:t>
      </w:r>
    </w:p>
    <w:p w:rsidR="00D80FBD" w:rsidRPr="00D80FBD" w:rsidRDefault="00D80FBD" w:rsidP="00D80FBD">
      <w:pPr>
        <w:spacing w:after="0"/>
        <w:rPr>
          <w:rFonts w:ascii="Times New Roman" w:hAnsi="Times New Roman" w:cs="Times New Roman"/>
          <w:sz w:val="24"/>
          <w:szCs w:val="24"/>
        </w:rPr>
      </w:pPr>
    </w:p>
    <w:p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RDefault="00E636D7" w:rsidP="00E636D7">
      <w:pPr>
        <w:spacing w:after="0"/>
        <w:rPr>
          <w:rFonts w:ascii="Times New Roman" w:hAnsi="Times New Roman" w:cs="Times New Roman"/>
          <w:sz w:val="24"/>
          <w:szCs w:val="24"/>
        </w:rPr>
      </w:pPr>
    </w:p>
    <w:p w:rsidR="00F63AD4" w:rsidRDefault="00F63AD4" w:rsidP="00E636D7">
      <w:pPr>
        <w:spacing w:after="0"/>
        <w:rPr>
          <w:rFonts w:ascii="Times New Roman" w:hAnsi="Times New Roman" w:cs="Times New Roman"/>
          <w:sz w:val="24"/>
          <w:szCs w:val="24"/>
        </w:rPr>
      </w:pPr>
      <w:r>
        <w:rPr>
          <w:rFonts w:ascii="Times New Roman" w:hAnsi="Times New Roman" w:cs="Times New Roman"/>
          <w:sz w:val="24"/>
          <w:szCs w:val="24"/>
        </w:rPr>
        <w:t>There are no costs for this collection not already accounted for in #12 above.</w:t>
      </w:r>
    </w:p>
    <w:p w:rsidR="00E636D7" w:rsidRPr="00E636D7" w:rsidRDefault="00E636D7" w:rsidP="00E636D7">
      <w:pPr>
        <w:spacing w:after="0"/>
        <w:rPr>
          <w:rFonts w:ascii="Times New Roman" w:hAnsi="Times New Roman" w:cs="Times New Roman"/>
          <w:sz w:val="24"/>
          <w:szCs w:val="24"/>
        </w:rPr>
      </w:pPr>
    </w:p>
    <w:p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rsidR="00A276F5" w:rsidRDefault="00A276F5"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F63AD4" w:rsidRPr="00F63AD4" w:rsidTr="00F77BE6">
        <w:tc>
          <w:tcPr>
            <w:tcW w:w="3182" w:type="dxa"/>
            <w:tcBorders>
              <w:top w:val="single" w:sz="4" w:space="0" w:color="auto"/>
              <w:left w:val="single" w:sz="4" w:space="0" w:color="auto"/>
              <w:bottom w:val="single" w:sz="4" w:space="0" w:color="auto"/>
              <w:right w:val="single" w:sz="4" w:space="0" w:color="auto"/>
            </w:tcBorders>
            <w:shd w:val="clear" w:color="auto" w:fill="CCCCCC"/>
          </w:tcPr>
          <w:p w:rsidR="00F63AD4" w:rsidRPr="00F63AD4" w:rsidRDefault="00F63AD4" w:rsidP="00F63AD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Estimated Annual Federal Cost</w:t>
            </w:r>
          </w:p>
        </w:tc>
      </w:tr>
      <w:tr w:rsidR="00F63AD4" w:rsidRPr="00F63AD4" w:rsidTr="00F77BE6">
        <w:tc>
          <w:tcPr>
            <w:tcW w:w="3182" w:type="dxa"/>
            <w:tcBorders>
              <w:top w:val="single" w:sz="4" w:space="0" w:color="auto"/>
              <w:left w:val="single" w:sz="4" w:space="0" w:color="auto"/>
              <w:bottom w:val="single" w:sz="4" w:space="0" w:color="auto"/>
              <w:right w:val="single" w:sz="4" w:space="0" w:color="auto"/>
            </w:tcBorders>
            <w:hideMark/>
          </w:tcPr>
          <w:p w:rsidR="00F63AD4" w:rsidRPr="00F63AD4" w:rsidRDefault="00F63AD4" w:rsidP="00F63AD4">
            <w:pPr>
              <w:spacing w:after="0"/>
              <w:rPr>
                <w:rFonts w:ascii="Times New Roman" w:hAnsi="Times New Roman" w:cs="Times New Roman"/>
                <w:sz w:val="24"/>
                <w:szCs w:val="24"/>
              </w:rPr>
            </w:pPr>
            <w:r w:rsidRPr="00F63AD4">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rsidR="00F63AD4" w:rsidRPr="00F63AD4" w:rsidRDefault="00043F1A" w:rsidP="00F63AD4">
            <w:pPr>
              <w:spacing w:after="0"/>
              <w:jc w:val="right"/>
              <w:rPr>
                <w:rFonts w:ascii="Times New Roman" w:hAnsi="Times New Roman" w:cs="Times New Roman"/>
                <w:sz w:val="24"/>
                <w:szCs w:val="24"/>
                <w:highlight w:val="yellow"/>
              </w:rPr>
            </w:pPr>
            <w:r w:rsidRPr="00F750AC">
              <w:rPr>
                <w:rFonts w:ascii="Times New Roman" w:hAnsi="Times New Roman" w:cs="Times New Roman"/>
                <w:sz w:val="24"/>
                <w:szCs w:val="24"/>
              </w:rPr>
              <w:t>.5</w:t>
            </w:r>
          </w:p>
        </w:tc>
        <w:tc>
          <w:tcPr>
            <w:tcW w:w="2995" w:type="dxa"/>
            <w:tcBorders>
              <w:top w:val="single" w:sz="4" w:space="0" w:color="auto"/>
              <w:left w:val="single" w:sz="4" w:space="0" w:color="auto"/>
              <w:bottom w:val="single" w:sz="4" w:space="0" w:color="auto"/>
              <w:right w:val="single" w:sz="4" w:space="0" w:color="auto"/>
            </w:tcBorders>
            <w:vAlign w:val="bottom"/>
            <w:hideMark/>
          </w:tcPr>
          <w:p w:rsidR="00F63AD4" w:rsidRPr="00F63AD4" w:rsidRDefault="00F63AD4">
            <w:pPr>
              <w:spacing w:after="0"/>
              <w:jc w:val="right"/>
              <w:rPr>
                <w:rFonts w:ascii="Times New Roman" w:hAnsi="Times New Roman" w:cs="Times New Roman"/>
                <w:sz w:val="24"/>
                <w:szCs w:val="24"/>
                <w:highlight w:val="yellow"/>
              </w:rPr>
            </w:pPr>
            <w:r w:rsidRPr="00F750AC">
              <w:rPr>
                <w:rFonts w:ascii="Times New Roman" w:hAnsi="Times New Roman" w:cs="Times New Roman"/>
                <w:sz w:val="24"/>
                <w:szCs w:val="24"/>
              </w:rPr>
              <w:t>$</w:t>
            </w:r>
            <w:r w:rsidR="00A236C9" w:rsidRPr="00F750AC">
              <w:rPr>
                <w:rFonts w:ascii="Times New Roman" w:hAnsi="Times New Roman" w:cs="Times New Roman"/>
                <w:sz w:val="24"/>
                <w:szCs w:val="24"/>
              </w:rPr>
              <w:t>72,909</w:t>
            </w:r>
            <w:r w:rsidR="00A236C9" w:rsidRPr="00F750AC">
              <w:rPr>
                <w:rStyle w:val="FootnoteReference"/>
                <w:rFonts w:ascii="Times New Roman" w:hAnsi="Times New Roman" w:cs="Times New Roman"/>
                <w:sz w:val="24"/>
                <w:szCs w:val="24"/>
                <w:vertAlign w:val="superscript"/>
              </w:rPr>
              <w:footnoteReference w:id="5"/>
            </w:r>
          </w:p>
        </w:tc>
      </w:tr>
      <w:tr w:rsidR="00F63AD4" w:rsidRPr="00F63AD4" w:rsidTr="00F77BE6">
        <w:tc>
          <w:tcPr>
            <w:tcW w:w="3182" w:type="dxa"/>
            <w:tcBorders>
              <w:top w:val="single" w:sz="4" w:space="0" w:color="auto"/>
              <w:left w:val="single" w:sz="4" w:space="0" w:color="auto"/>
              <w:bottom w:val="single" w:sz="4" w:space="0" w:color="auto"/>
              <w:right w:val="single" w:sz="4" w:space="0" w:color="auto"/>
            </w:tcBorders>
            <w:hideMark/>
          </w:tcPr>
          <w:p w:rsidR="00F63AD4" w:rsidRPr="00F63AD4" w:rsidRDefault="00F63AD4" w:rsidP="00F63AD4">
            <w:pPr>
              <w:spacing w:after="0"/>
              <w:rPr>
                <w:rFonts w:ascii="Times New Roman" w:hAnsi="Times New Roman" w:cs="Times New Roman"/>
                <w:sz w:val="24"/>
                <w:szCs w:val="24"/>
              </w:rPr>
            </w:pPr>
            <w:r w:rsidRPr="00F63AD4">
              <w:rPr>
                <w:rFonts w:ascii="Times New Roman" w:hAnsi="Times New Roman" w:cs="Times New Roman"/>
                <w:sz w:val="24"/>
                <w:szCs w:val="24"/>
              </w:rPr>
              <w:t>PRA</w:t>
            </w:r>
            <w:r w:rsidRPr="00F63AD4">
              <w:rPr>
                <w:rFonts w:ascii="Times New Roman" w:hAnsi="Times New Roman" w:cs="Times New Roman"/>
                <w:sz w:val="24"/>
                <w:szCs w:val="24"/>
                <w:vertAlign w:val="superscript"/>
              </w:rPr>
              <w:footnoteReference w:id="6"/>
            </w:r>
            <w:r w:rsidRPr="00F63AD4">
              <w:rPr>
                <w:rFonts w:ascii="Times New Roman" w:hAnsi="Times New Roman" w:cs="Times New Roman"/>
                <w:sz w:val="24"/>
                <w:szCs w:val="24"/>
              </w:rPr>
              <w:t xml:space="preserve"> Administrative Cost</w:t>
            </w:r>
            <w:r w:rsidRPr="00F63AD4">
              <w:rPr>
                <w:rFonts w:ascii="Times New Roman" w:hAnsi="Times New Roman" w:cs="Times New Roman"/>
                <w:sz w:val="24"/>
                <w:szCs w:val="24"/>
                <w:vertAlign w:val="superscript"/>
              </w:rPr>
              <w:footnoteReference w:id="7"/>
            </w:r>
          </w:p>
        </w:tc>
        <w:tc>
          <w:tcPr>
            <w:tcW w:w="32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63AD4" w:rsidRPr="00F63AD4" w:rsidRDefault="00F63AD4" w:rsidP="00F63AD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F63AD4" w:rsidRPr="00F63AD4" w:rsidRDefault="00F63AD4" w:rsidP="00F63AD4">
            <w:pPr>
              <w:spacing w:after="0"/>
              <w:jc w:val="right"/>
              <w:rPr>
                <w:rFonts w:ascii="Times New Roman" w:hAnsi="Times New Roman" w:cs="Times New Roman"/>
                <w:sz w:val="24"/>
                <w:szCs w:val="24"/>
              </w:rPr>
            </w:pPr>
            <w:r w:rsidRPr="00F63AD4">
              <w:rPr>
                <w:rFonts w:ascii="Times New Roman" w:hAnsi="Times New Roman" w:cs="Times New Roman"/>
                <w:sz w:val="24"/>
                <w:szCs w:val="24"/>
              </w:rPr>
              <w:t>$2,250</w:t>
            </w:r>
          </w:p>
        </w:tc>
      </w:tr>
      <w:tr w:rsidR="00F63AD4" w:rsidRPr="00F63AD4" w:rsidTr="00F77BE6">
        <w:tc>
          <w:tcPr>
            <w:tcW w:w="3182" w:type="dxa"/>
            <w:tcBorders>
              <w:top w:val="single" w:sz="4" w:space="0" w:color="auto"/>
              <w:left w:val="single" w:sz="4" w:space="0" w:color="auto"/>
              <w:bottom w:val="single" w:sz="4" w:space="0" w:color="auto"/>
              <w:right w:val="single" w:sz="4" w:space="0" w:color="auto"/>
            </w:tcBorders>
            <w:hideMark/>
          </w:tcPr>
          <w:p w:rsidR="00F63AD4" w:rsidRPr="00F63AD4" w:rsidRDefault="00F63AD4" w:rsidP="00F63AD4">
            <w:pPr>
              <w:spacing w:after="0"/>
              <w:rPr>
                <w:rFonts w:ascii="Times New Roman" w:hAnsi="Times New Roman" w:cs="Times New Roman"/>
                <w:b/>
                <w:sz w:val="24"/>
                <w:szCs w:val="24"/>
              </w:rPr>
            </w:pPr>
            <w:r w:rsidRPr="00F63AD4">
              <w:rPr>
                <w:rFonts w:ascii="Times New Roman" w:hAnsi="Times New Roman" w:cs="Times New Roman"/>
                <w:b/>
                <w:sz w:val="24"/>
                <w:szCs w:val="24"/>
              </w:rPr>
              <w:t>FERC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AD4" w:rsidRPr="00F63AD4" w:rsidRDefault="00F63AD4" w:rsidP="00F63AD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F63AD4" w:rsidRPr="00F63AD4" w:rsidRDefault="00F63AD4">
            <w:pPr>
              <w:spacing w:after="0"/>
              <w:jc w:val="right"/>
              <w:rPr>
                <w:rFonts w:ascii="Times New Roman" w:hAnsi="Times New Roman" w:cs="Times New Roman"/>
                <w:sz w:val="24"/>
                <w:szCs w:val="24"/>
              </w:rPr>
            </w:pPr>
            <w:r w:rsidRPr="00F63AD4">
              <w:rPr>
                <w:rFonts w:ascii="Times New Roman" w:hAnsi="Times New Roman" w:cs="Times New Roman"/>
                <w:sz w:val="24"/>
                <w:szCs w:val="24"/>
              </w:rPr>
              <w:t>$</w:t>
            </w:r>
            <w:r w:rsidR="00C1112A">
              <w:rPr>
                <w:rFonts w:ascii="Times New Roman" w:hAnsi="Times New Roman" w:cs="Times New Roman"/>
                <w:sz w:val="24"/>
                <w:szCs w:val="24"/>
              </w:rPr>
              <w:t>75,159</w:t>
            </w:r>
          </w:p>
        </w:tc>
      </w:tr>
    </w:tbl>
    <w:p w:rsidR="00A276F5" w:rsidRPr="00A276F5" w:rsidRDefault="00A276F5" w:rsidP="00A276F5">
      <w:pPr>
        <w:spacing w:after="0"/>
        <w:rPr>
          <w:rFonts w:ascii="Times New Roman" w:hAnsi="Times New Roman" w:cs="Times New Roman"/>
          <w:sz w:val="24"/>
          <w:szCs w:val="24"/>
        </w:rPr>
      </w:pPr>
    </w:p>
    <w:p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A276F5" w:rsidRDefault="00A276F5" w:rsidP="00A276F5">
      <w:pPr>
        <w:spacing w:after="0"/>
        <w:rPr>
          <w:rFonts w:ascii="Times New Roman" w:hAnsi="Times New Roman" w:cs="Times New Roman"/>
          <w:sz w:val="24"/>
          <w:szCs w:val="24"/>
        </w:rPr>
      </w:pPr>
    </w:p>
    <w:p w:rsidR="00F63AD4" w:rsidRDefault="00F63AD4" w:rsidP="00A276F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FERC-547 reporting requirements and the estimated burden hours per response are unchanged.  There is a total decrease in the burden hours due to a decrease in the number of filers per year.  </w:t>
      </w:r>
      <w:r w:rsidR="00043F1A">
        <w:rPr>
          <w:rFonts w:ascii="Times New Roman" w:hAnsi="Times New Roman" w:cs="Times New Roman"/>
          <w:sz w:val="24"/>
          <w:szCs w:val="24"/>
        </w:rPr>
        <w:t xml:space="preserve">The decrease in the number of refund reports filed seems </w:t>
      </w:r>
      <w:r w:rsidR="0016254B">
        <w:rPr>
          <w:rFonts w:ascii="Times New Roman" w:hAnsi="Times New Roman" w:cs="Times New Roman"/>
          <w:sz w:val="24"/>
          <w:szCs w:val="24"/>
        </w:rPr>
        <w:t xml:space="preserve">most </w:t>
      </w:r>
      <w:r w:rsidR="00043F1A">
        <w:rPr>
          <w:rFonts w:ascii="Times New Roman" w:hAnsi="Times New Roman" w:cs="Times New Roman"/>
          <w:sz w:val="24"/>
          <w:szCs w:val="24"/>
        </w:rPr>
        <w:t>likely to be the result of more accurate pricing dynamics in national gas markets</w:t>
      </w:r>
      <w:r w:rsidR="0016254B">
        <w:rPr>
          <w:rFonts w:ascii="Times New Roman" w:hAnsi="Times New Roman" w:cs="Times New Roman"/>
          <w:sz w:val="24"/>
          <w:szCs w:val="24"/>
        </w:rPr>
        <w:t xml:space="preserve"> and a resulting decrease in the need to calculate and issue refunds to customers</w:t>
      </w:r>
      <w:r w:rsidR="00043F1A">
        <w:rPr>
          <w:rFonts w:ascii="Times New Roman" w:hAnsi="Times New Roman" w:cs="Times New Roman"/>
          <w:sz w:val="24"/>
          <w:szCs w:val="24"/>
        </w:rPr>
        <w:t>.</w:t>
      </w:r>
    </w:p>
    <w:p w:rsidR="00043F1A" w:rsidRDefault="00043F1A" w:rsidP="00A276F5">
      <w:pPr>
        <w:spacing w:after="0"/>
        <w:rPr>
          <w:rFonts w:ascii="Times New Roman" w:hAnsi="Times New Roman" w:cs="Times New Roman"/>
          <w:sz w:val="24"/>
          <w:szCs w:val="24"/>
        </w:rPr>
      </w:pPr>
    </w:p>
    <w:p w:rsidR="00D42A66" w:rsidRDefault="00D42A66" w:rsidP="00A276F5">
      <w:pPr>
        <w:spacing w:after="0"/>
        <w:rPr>
          <w:rFonts w:ascii="Times New Roman" w:hAnsi="Times New Roman" w:cs="Times New Roman"/>
          <w:sz w:val="24"/>
          <w:szCs w:val="24"/>
        </w:rPr>
      </w:pPr>
      <w:r>
        <w:rPr>
          <w:rFonts w:ascii="Times New Roman" w:hAnsi="Times New Roman" w:cs="Times New Roman"/>
          <w:sz w:val="24"/>
          <w:szCs w:val="24"/>
        </w:rPr>
        <w:t>The following table illustrates the burden change and the proposed burden inventory.</w:t>
      </w:r>
    </w:p>
    <w:p w:rsidR="00D42A66" w:rsidRDefault="00D42A66" w:rsidP="00A276F5">
      <w:pPr>
        <w:spacing w:after="0"/>
        <w:rPr>
          <w:rFonts w:ascii="Times New Roman" w:hAnsi="Times New Roman" w:cs="Times New Roman"/>
          <w:sz w:val="24"/>
          <w:szCs w:val="24"/>
        </w:rPr>
      </w:pP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958"/>
        <w:gridCol w:w="1960"/>
      </w:tblGrid>
      <w:tr w:rsidR="00D42A66" w:rsidRPr="00D42A66" w:rsidTr="00F77BE6">
        <w:trPr>
          <w:trHeight w:val="870"/>
        </w:trPr>
        <w:tc>
          <w:tcPr>
            <w:tcW w:w="2589" w:type="dxa"/>
            <w:shd w:val="clear" w:color="auto" w:fill="D9D9D9"/>
            <w:vAlign w:val="bottom"/>
          </w:tcPr>
          <w:p w:rsidR="00D42A66" w:rsidRPr="00D42A66" w:rsidRDefault="00D42A66" w:rsidP="00D42A66">
            <w:pPr>
              <w:spacing w:after="0"/>
              <w:rPr>
                <w:rFonts w:ascii="Times New Roman" w:hAnsi="Times New Roman" w:cs="Times New Roman"/>
                <w:b/>
                <w:sz w:val="24"/>
                <w:szCs w:val="24"/>
              </w:rPr>
            </w:pPr>
            <w:r w:rsidRPr="00D42A66">
              <w:rPr>
                <w:rFonts w:ascii="Times New Roman" w:hAnsi="Times New Roman" w:cs="Times New Roman"/>
                <w:b/>
                <w:sz w:val="24"/>
                <w:szCs w:val="24"/>
              </w:rPr>
              <w:t>FERC-</w:t>
            </w:r>
            <w:r>
              <w:rPr>
                <w:rFonts w:ascii="Times New Roman" w:hAnsi="Times New Roman" w:cs="Times New Roman"/>
                <w:b/>
                <w:sz w:val="24"/>
                <w:szCs w:val="24"/>
              </w:rPr>
              <w:t>547</w:t>
            </w:r>
          </w:p>
        </w:tc>
        <w:tc>
          <w:tcPr>
            <w:tcW w:w="1779" w:type="dxa"/>
            <w:shd w:val="clear" w:color="auto" w:fill="D9D9D9"/>
            <w:vAlign w:val="bottom"/>
          </w:tcPr>
          <w:p w:rsidR="00D42A66" w:rsidRPr="00D42A66" w:rsidRDefault="00D42A66" w:rsidP="00D42A66">
            <w:pPr>
              <w:spacing w:after="0"/>
              <w:rPr>
                <w:rFonts w:ascii="Times New Roman" w:hAnsi="Times New Roman" w:cs="Times New Roman"/>
                <w:b/>
                <w:sz w:val="24"/>
                <w:szCs w:val="24"/>
              </w:rPr>
            </w:pPr>
            <w:r w:rsidRPr="00D42A66">
              <w:rPr>
                <w:rFonts w:ascii="Times New Roman" w:hAnsi="Times New Roman" w:cs="Times New Roman"/>
                <w:b/>
                <w:sz w:val="24"/>
                <w:szCs w:val="24"/>
              </w:rPr>
              <w:t>Total Request</w:t>
            </w:r>
          </w:p>
        </w:tc>
        <w:tc>
          <w:tcPr>
            <w:tcW w:w="1959" w:type="dxa"/>
            <w:shd w:val="clear" w:color="auto" w:fill="D9D9D9"/>
            <w:vAlign w:val="bottom"/>
          </w:tcPr>
          <w:p w:rsidR="00D42A66" w:rsidRPr="00D42A66" w:rsidRDefault="00D42A66" w:rsidP="00D42A66">
            <w:pPr>
              <w:spacing w:after="0"/>
              <w:rPr>
                <w:rFonts w:ascii="Times New Roman" w:hAnsi="Times New Roman" w:cs="Times New Roman"/>
                <w:b/>
                <w:sz w:val="24"/>
                <w:szCs w:val="24"/>
              </w:rPr>
            </w:pPr>
            <w:r w:rsidRPr="00D42A66">
              <w:rPr>
                <w:rFonts w:ascii="Times New Roman" w:hAnsi="Times New Roman" w:cs="Times New Roman"/>
                <w:b/>
                <w:sz w:val="24"/>
                <w:szCs w:val="24"/>
              </w:rPr>
              <w:t>Previously Approved</w:t>
            </w:r>
          </w:p>
        </w:tc>
        <w:tc>
          <w:tcPr>
            <w:tcW w:w="1958" w:type="dxa"/>
            <w:shd w:val="clear" w:color="auto" w:fill="D9D9D9"/>
            <w:vAlign w:val="bottom"/>
          </w:tcPr>
          <w:p w:rsidR="00D42A66" w:rsidRPr="00D42A66" w:rsidRDefault="00D42A66" w:rsidP="00D42A66">
            <w:pPr>
              <w:spacing w:after="0"/>
              <w:rPr>
                <w:rFonts w:ascii="Times New Roman" w:hAnsi="Times New Roman" w:cs="Times New Roman"/>
                <w:b/>
                <w:sz w:val="24"/>
                <w:szCs w:val="24"/>
              </w:rPr>
            </w:pPr>
            <w:r w:rsidRPr="00D42A66">
              <w:rPr>
                <w:rFonts w:ascii="Times New Roman" w:hAnsi="Times New Roman" w:cs="Times New Roman"/>
                <w:b/>
                <w:sz w:val="24"/>
                <w:szCs w:val="24"/>
              </w:rPr>
              <w:t>Change due to Adjustment in Estimate</w:t>
            </w:r>
          </w:p>
        </w:tc>
        <w:tc>
          <w:tcPr>
            <w:tcW w:w="1960" w:type="dxa"/>
            <w:shd w:val="clear" w:color="auto" w:fill="D9D9D9"/>
            <w:vAlign w:val="bottom"/>
          </w:tcPr>
          <w:p w:rsidR="00D42A66" w:rsidRPr="00D42A66" w:rsidRDefault="00D42A66" w:rsidP="00D42A66">
            <w:pPr>
              <w:spacing w:after="0"/>
              <w:rPr>
                <w:rFonts w:ascii="Times New Roman" w:hAnsi="Times New Roman" w:cs="Times New Roman"/>
                <w:b/>
                <w:sz w:val="24"/>
                <w:szCs w:val="24"/>
              </w:rPr>
            </w:pPr>
            <w:r w:rsidRPr="00D42A66">
              <w:rPr>
                <w:rFonts w:ascii="Times New Roman" w:hAnsi="Times New Roman" w:cs="Times New Roman"/>
                <w:b/>
                <w:sz w:val="24"/>
                <w:szCs w:val="24"/>
              </w:rPr>
              <w:t>Change Due to Agency Discretion</w:t>
            </w:r>
          </w:p>
        </w:tc>
      </w:tr>
      <w:tr w:rsidR="00D42A66" w:rsidRPr="00D42A66" w:rsidTr="00F77BE6">
        <w:trPr>
          <w:trHeight w:val="591"/>
        </w:trPr>
        <w:tc>
          <w:tcPr>
            <w:tcW w:w="2589" w:type="dxa"/>
          </w:tcPr>
          <w:p w:rsidR="00D42A66" w:rsidRPr="00D42A66" w:rsidRDefault="00D42A66" w:rsidP="00D42A66">
            <w:pPr>
              <w:spacing w:after="0"/>
              <w:rPr>
                <w:rFonts w:ascii="Times New Roman" w:hAnsi="Times New Roman" w:cs="Times New Roman"/>
                <w:sz w:val="24"/>
                <w:szCs w:val="24"/>
              </w:rPr>
            </w:pPr>
            <w:r w:rsidRPr="00D42A66">
              <w:rPr>
                <w:rFonts w:ascii="Times New Roman" w:hAnsi="Times New Roman" w:cs="Times New Roman"/>
                <w:sz w:val="24"/>
                <w:szCs w:val="24"/>
              </w:rPr>
              <w:t>Annual Number of Responses</w:t>
            </w:r>
          </w:p>
        </w:tc>
        <w:tc>
          <w:tcPr>
            <w:tcW w:w="1779" w:type="dxa"/>
            <w:vAlign w:val="center"/>
          </w:tcPr>
          <w:p w:rsidR="00D42A66" w:rsidRPr="00D42A66" w:rsidRDefault="00E8748E" w:rsidP="00D42A66">
            <w:pPr>
              <w:spacing w:after="0"/>
              <w:rPr>
                <w:rFonts w:ascii="Times New Roman" w:hAnsi="Times New Roman" w:cs="Times New Roman"/>
                <w:sz w:val="24"/>
                <w:szCs w:val="24"/>
              </w:rPr>
            </w:pPr>
            <w:r>
              <w:rPr>
                <w:rFonts w:ascii="Times New Roman" w:hAnsi="Times New Roman" w:cs="Times New Roman"/>
                <w:sz w:val="24"/>
                <w:szCs w:val="24"/>
              </w:rPr>
              <w:t>11</w:t>
            </w:r>
          </w:p>
        </w:tc>
        <w:tc>
          <w:tcPr>
            <w:tcW w:w="1959" w:type="dxa"/>
            <w:vAlign w:val="center"/>
          </w:tcPr>
          <w:p w:rsidR="00D42A66" w:rsidRPr="00D42A66" w:rsidRDefault="00E8748E" w:rsidP="00D42A66">
            <w:pPr>
              <w:spacing w:after="0"/>
              <w:rPr>
                <w:rFonts w:ascii="Times New Roman" w:hAnsi="Times New Roman" w:cs="Times New Roman"/>
                <w:sz w:val="24"/>
                <w:szCs w:val="24"/>
              </w:rPr>
            </w:pPr>
            <w:r>
              <w:rPr>
                <w:rFonts w:ascii="Times New Roman" w:hAnsi="Times New Roman" w:cs="Times New Roman"/>
                <w:sz w:val="24"/>
                <w:szCs w:val="24"/>
              </w:rPr>
              <w:t>30</w:t>
            </w:r>
          </w:p>
        </w:tc>
        <w:tc>
          <w:tcPr>
            <w:tcW w:w="1958" w:type="dxa"/>
            <w:vAlign w:val="center"/>
          </w:tcPr>
          <w:p w:rsidR="00D42A66" w:rsidRPr="00D42A66" w:rsidRDefault="00E8748E" w:rsidP="00D42A66">
            <w:pPr>
              <w:spacing w:after="0"/>
              <w:rPr>
                <w:rFonts w:ascii="Times New Roman" w:hAnsi="Times New Roman" w:cs="Times New Roman"/>
                <w:sz w:val="24"/>
                <w:szCs w:val="24"/>
              </w:rPr>
            </w:pPr>
            <w:r>
              <w:rPr>
                <w:rFonts w:ascii="Times New Roman" w:hAnsi="Times New Roman" w:cs="Times New Roman"/>
                <w:sz w:val="24"/>
                <w:szCs w:val="24"/>
              </w:rPr>
              <w:t>-19</w:t>
            </w:r>
          </w:p>
        </w:tc>
        <w:tc>
          <w:tcPr>
            <w:tcW w:w="1960" w:type="dxa"/>
            <w:vAlign w:val="center"/>
          </w:tcPr>
          <w:p w:rsidR="00D42A66" w:rsidRPr="00D42A66" w:rsidRDefault="00D42A66" w:rsidP="00D42A66">
            <w:pPr>
              <w:spacing w:after="0"/>
              <w:rPr>
                <w:rFonts w:ascii="Times New Roman" w:hAnsi="Times New Roman" w:cs="Times New Roman"/>
                <w:sz w:val="24"/>
                <w:szCs w:val="24"/>
              </w:rPr>
            </w:pPr>
            <w:r w:rsidRPr="00D42A66">
              <w:rPr>
                <w:rFonts w:ascii="Times New Roman" w:hAnsi="Times New Roman" w:cs="Times New Roman"/>
                <w:sz w:val="24"/>
                <w:szCs w:val="24"/>
              </w:rPr>
              <w:t>0</w:t>
            </w:r>
          </w:p>
        </w:tc>
      </w:tr>
      <w:tr w:rsidR="00D42A66" w:rsidRPr="00D42A66" w:rsidTr="00F77BE6">
        <w:trPr>
          <w:trHeight w:val="575"/>
        </w:trPr>
        <w:tc>
          <w:tcPr>
            <w:tcW w:w="2589" w:type="dxa"/>
          </w:tcPr>
          <w:p w:rsidR="00D42A66" w:rsidRPr="00D42A66" w:rsidRDefault="00D42A66" w:rsidP="00D42A66">
            <w:pPr>
              <w:spacing w:after="0"/>
              <w:rPr>
                <w:rFonts w:ascii="Times New Roman" w:hAnsi="Times New Roman" w:cs="Times New Roman"/>
                <w:sz w:val="24"/>
                <w:szCs w:val="24"/>
              </w:rPr>
            </w:pPr>
            <w:r w:rsidRPr="00D42A66">
              <w:rPr>
                <w:rFonts w:ascii="Times New Roman" w:hAnsi="Times New Roman" w:cs="Times New Roman"/>
                <w:sz w:val="24"/>
                <w:szCs w:val="24"/>
              </w:rPr>
              <w:t>Annual Time Burden (</w:t>
            </w:r>
            <w:proofErr w:type="spellStart"/>
            <w:r w:rsidRPr="00D42A66">
              <w:rPr>
                <w:rFonts w:ascii="Times New Roman" w:hAnsi="Times New Roman" w:cs="Times New Roman"/>
                <w:sz w:val="24"/>
                <w:szCs w:val="24"/>
              </w:rPr>
              <w:t>Hr</w:t>
            </w:r>
            <w:proofErr w:type="spellEnd"/>
            <w:r w:rsidRPr="00D42A66">
              <w:rPr>
                <w:rFonts w:ascii="Times New Roman" w:hAnsi="Times New Roman" w:cs="Times New Roman"/>
                <w:sz w:val="24"/>
                <w:szCs w:val="24"/>
              </w:rPr>
              <w:t>)</w:t>
            </w:r>
          </w:p>
        </w:tc>
        <w:tc>
          <w:tcPr>
            <w:tcW w:w="1779" w:type="dxa"/>
            <w:vAlign w:val="center"/>
          </w:tcPr>
          <w:p w:rsidR="00D42A66" w:rsidRPr="00D42A66" w:rsidRDefault="00E8748E" w:rsidP="00D42A66">
            <w:pPr>
              <w:spacing w:after="0"/>
              <w:rPr>
                <w:rFonts w:ascii="Times New Roman" w:hAnsi="Times New Roman" w:cs="Times New Roman"/>
                <w:sz w:val="24"/>
                <w:szCs w:val="24"/>
              </w:rPr>
            </w:pPr>
            <w:r>
              <w:rPr>
                <w:rFonts w:ascii="Times New Roman" w:hAnsi="Times New Roman" w:cs="Times New Roman"/>
                <w:sz w:val="24"/>
                <w:szCs w:val="24"/>
              </w:rPr>
              <w:t>825</w:t>
            </w:r>
          </w:p>
        </w:tc>
        <w:tc>
          <w:tcPr>
            <w:tcW w:w="1959" w:type="dxa"/>
            <w:vAlign w:val="center"/>
          </w:tcPr>
          <w:p w:rsidR="00D42A66" w:rsidRPr="00D42A66" w:rsidRDefault="00E8748E" w:rsidP="00D42A66">
            <w:pPr>
              <w:spacing w:after="0"/>
              <w:rPr>
                <w:rFonts w:ascii="Times New Roman" w:hAnsi="Times New Roman" w:cs="Times New Roman"/>
                <w:sz w:val="24"/>
                <w:szCs w:val="24"/>
              </w:rPr>
            </w:pPr>
            <w:r>
              <w:rPr>
                <w:rFonts w:ascii="Times New Roman" w:hAnsi="Times New Roman" w:cs="Times New Roman"/>
                <w:sz w:val="24"/>
                <w:szCs w:val="24"/>
              </w:rPr>
              <w:t>2,250</w:t>
            </w:r>
          </w:p>
        </w:tc>
        <w:tc>
          <w:tcPr>
            <w:tcW w:w="1958" w:type="dxa"/>
            <w:vAlign w:val="center"/>
          </w:tcPr>
          <w:p w:rsidR="00D42A66" w:rsidRPr="00D42A66" w:rsidRDefault="00D42A66" w:rsidP="00E8748E">
            <w:pPr>
              <w:spacing w:after="0"/>
              <w:rPr>
                <w:rFonts w:ascii="Times New Roman" w:hAnsi="Times New Roman" w:cs="Times New Roman"/>
                <w:sz w:val="24"/>
                <w:szCs w:val="24"/>
              </w:rPr>
            </w:pPr>
            <w:r w:rsidRPr="00D42A66">
              <w:rPr>
                <w:rFonts w:ascii="Times New Roman" w:hAnsi="Times New Roman" w:cs="Times New Roman"/>
                <w:sz w:val="24"/>
                <w:szCs w:val="24"/>
              </w:rPr>
              <w:t>-</w:t>
            </w:r>
            <w:r w:rsidR="00E8748E">
              <w:rPr>
                <w:rFonts w:ascii="Times New Roman" w:hAnsi="Times New Roman" w:cs="Times New Roman"/>
                <w:sz w:val="24"/>
                <w:szCs w:val="24"/>
              </w:rPr>
              <w:t>1,425</w:t>
            </w:r>
          </w:p>
        </w:tc>
        <w:tc>
          <w:tcPr>
            <w:tcW w:w="1960" w:type="dxa"/>
            <w:vAlign w:val="center"/>
          </w:tcPr>
          <w:p w:rsidR="00D42A66" w:rsidRPr="00D42A66" w:rsidRDefault="00D42A66" w:rsidP="00D42A66">
            <w:pPr>
              <w:spacing w:after="0"/>
              <w:rPr>
                <w:rFonts w:ascii="Times New Roman" w:hAnsi="Times New Roman" w:cs="Times New Roman"/>
                <w:sz w:val="24"/>
                <w:szCs w:val="24"/>
              </w:rPr>
            </w:pPr>
            <w:r w:rsidRPr="00D42A66">
              <w:rPr>
                <w:rFonts w:ascii="Times New Roman" w:hAnsi="Times New Roman" w:cs="Times New Roman"/>
                <w:sz w:val="24"/>
                <w:szCs w:val="24"/>
              </w:rPr>
              <w:t>0</w:t>
            </w:r>
          </w:p>
        </w:tc>
      </w:tr>
      <w:tr w:rsidR="00D42A66" w:rsidRPr="00D42A66" w:rsidTr="00F77BE6">
        <w:trPr>
          <w:trHeight w:val="295"/>
        </w:trPr>
        <w:tc>
          <w:tcPr>
            <w:tcW w:w="2589" w:type="dxa"/>
          </w:tcPr>
          <w:p w:rsidR="00D42A66" w:rsidRPr="00D42A66" w:rsidRDefault="00D42A66" w:rsidP="00D42A66">
            <w:pPr>
              <w:spacing w:after="0"/>
              <w:rPr>
                <w:rFonts w:ascii="Times New Roman" w:hAnsi="Times New Roman" w:cs="Times New Roman"/>
                <w:sz w:val="24"/>
                <w:szCs w:val="24"/>
              </w:rPr>
            </w:pPr>
            <w:r w:rsidRPr="00D42A66">
              <w:rPr>
                <w:rFonts w:ascii="Times New Roman" w:hAnsi="Times New Roman" w:cs="Times New Roman"/>
                <w:sz w:val="24"/>
                <w:szCs w:val="24"/>
              </w:rPr>
              <w:t>Annual Cost Burden ($)</w:t>
            </w:r>
          </w:p>
        </w:tc>
        <w:tc>
          <w:tcPr>
            <w:tcW w:w="1779" w:type="dxa"/>
            <w:vAlign w:val="center"/>
          </w:tcPr>
          <w:p w:rsidR="00D42A66" w:rsidRPr="00D42A66" w:rsidRDefault="00D42A66" w:rsidP="00D42A66">
            <w:pPr>
              <w:spacing w:after="0"/>
              <w:rPr>
                <w:rFonts w:ascii="Times New Roman" w:hAnsi="Times New Roman" w:cs="Times New Roman"/>
                <w:sz w:val="24"/>
                <w:szCs w:val="24"/>
              </w:rPr>
            </w:pPr>
            <w:r w:rsidRPr="00D42A66">
              <w:rPr>
                <w:rFonts w:ascii="Times New Roman" w:hAnsi="Times New Roman" w:cs="Times New Roman"/>
                <w:sz w:val="24"/>
                <w:szCs w:val="24"/>
              </w:rPr>
              <w:t>0</w:t>
            </w:r>
          </w:p>
        </w:tc>
        <w:tc>
          <w:tcPr>
            <w:tcW w:w="1959" w:type="dxa"/>
            <w:vAlign w:val="center"/>
          </w:tcPr>
          <w:p w:rsidR="00D42A66" w:rsidRPr="00D42A66" w:rsidRDefault="00E8748E" w:rsidP="00D42A66">
            <w:pPr>
              <w:spacing w:after="0"/>
              <w:rPr>
                <w:rFonts w:ascii="Times New Roman" w:hAnsi="Times New Roman" w:cs="Times New Roman"/>
                <w:sz w:val="24"/>
                <w:szCs w:val="24"/>
              </w:rPr>
            </w:pPr>
            <w:r>
              <w:rPr>
                <w:rFonts w:ascii="Times New Roman" w:hAnsi="Times New Roman" w:cs="Times New Roman"/>
                <w:sz w:val="24"/>
                <w:szCs w:val="24"/>
              </w:rPr>
              <w:t>149,143</w:t>
            </w:r>
          </w:p>
        </w:tc>
        <w:tc>
          <w:tcPr>
            <w:tcW w:w="1958" w:type="dxa"/>
            <w:vAlign w:val="center"/>
          </w:tcPr>
          <w:p w:rsidR="00D42A66" w:rsidRPr="00D42A66" w:rsidRDefault="00E8748E" w:rsidP="00D42A66">
            <w:pPr>
              <w:spacing w:after="0"/>
              <w:rPr>
                <w:rFonts w:ascii="Times New Roman" w:hAnsi="Times New Roman" w:cs="Times New Roman"/>
                <w:sz w:val="24"/>
                <w:szCs w:val="24"/>
              </w:rPr>
            </w:pPr>
            <w:r>
              <w:rPr>
                <w:rFonts w:ascii="Times New Roman" w:hAnsi="Times New Roman" w:cs="Times New Roman"/>
                <w:sz w:val="24"/>
                <w:szCs w:val="24"/>
              </w:rPr>
              <w:t>-149,143</w:t>
            </w:r>
          </w:p>
        </w:tc>
        <w:tc>
          <w:tcPr>
            <w:tcW w:w="1960" w:type="dxa"/>
            <w:vAlign w:val="center"/>
          </w:tcPr>
          <w:p w:rsidR="00D42A66" w:rsidRPr="00D42A66" w:rsidRDefault="00D42A66" w:rsidP="00D42A66">
            <w:pPr>
              <w:spacing w:after="0"/>
              <w:rPr>
                <w:rFonts w:ascii="Times New Roman" w:hAnsi="Times New Roman" w:cs="Times New Roman"/>
                <w:sz w:val="24"/>
                <w:szCs w:val="24"/>
              </w:rPr>
            </w:pPr>
            <w:r w:rsidRPr="00D42A66">
              <w:rPr>
                <w:rFonts w:ascii="Times New Roman" w:hAnsi="Times New Roman" w:cs="Times New Roman"/>
                <w:sz w:val="24"/>
                <w:szCs w:val="24"/>
              </w:rPr>
              <w:t>0</w:t>
            </w:r>
          </w:p>
        </w:tc>
      </w:tr>
    </w:tbl>
    <w:p w:rsidR="00F63AD4" w:rsidRDefault="00F63AD4" w:rsidP="00A276F5">
      <w:pPr>
        <w:spacing w:after="0"/>
        <w:rPr>
          <w:rFonts w:ascii="Times New Roman" w:hAnsi="Times New Roman" w:cs="Times New Roman"/>
          <w:sz w:val="24"/>
          <w:szCs w:val="24"/>
        </w:rPr>
      </w:pPr>
    </w:p>
    <w:p w:rsidR="00A8540B" w:rsidRDefault="00A8540B" w:rsidP="00A276F5">
      <w:pPr>
        <w:spacing w:after="0"/>
        <w:rPr>
          <w:rFonts w:ascii="Times New Roman" w:hAnsi="Times New Roman" w:cs="Times New Roman"/>
          <w:sz w:val="24"/>
          <w:szCs w:val="24"/>
        </w:rPr>
      </w:pPr>
      <w:r w:rsidRPr="00A8540B">
        <w:rPr>
          <w:rFonts w:ascii="Times New Roman" w:hAnsi="Times New Roman" w:cs="Times New Roman"/>
          <w:bCs/>
          <w:sz w:val="24"/>
          <w:szCs w:val="24"/>
        </w:rPr>
        <w:t>The Commission is removing the annual cost burden figure that appears in ROCIS</w:t>
      </w:r>
      <w:r w:rsidRPr="00F750AC">
        <w:rPr>
          <w:rStyle w:val="FootnoteReference"/>
          <w:rFonts w:ascii="Times New Roman" w:hAnsi="Times New Roman" w:cs="Times New Roman"/>
          <w:bCs/>
          <w:sz w:val="24"/>
          <w:szCs w:val="24"/>
          <w:vertAlign w:val="superscript"/>
        </w:rPr>
        <w:footnoteReference w:id="8"/>
      </w:r>
      <w:r w:rsidRPr="00A8540B">
        <w:rPr>
          <w:rFonts w:ascii="Times New Roman" w:hAnsi="Times New Roman" w:cs="Times New Roman"/>
          <w:bCs/>
          <w:sz w:val="24"/>
          <w:szCs w:val="24"/>
        </w:rPr>
        <w:t xml:space="preserve"> because it is associated with labor hours.  The Commission only reports in ROCIS costs not associated with labor hours.</w:t>
      </w:r>
    </w:p>
    <w:p w:rsidR="00970FE4" w:rsidRPr="00A276F5" w:rsidRDefault="00970FE4" w:rsidP="00A276F5">
      <w:pPr>
        <w:spacing w:after="0"/>
        <w:rPr>
          <w:rFonts w:ascii="Times New Roman" w:hAnsi="Times New Roman" w:cs="Times New Roman"/>
          <w:sz w:val="24"/>
          <w:szCs w:val="24"/>
        </w:rPr>
      </w:pPr>
    </w:p>
    <w:p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rsidR="00414F32" w:rsidRDefault="00414F32" w:rsidP="00414F32">
      <w:pPr>
        <w:spacing w:after="0"/>
        <w:rPr>
          <w:rFonts w:ascii="Times New Roman" w:hAnsi="Times New Roman" w:cs="Times New Roman"/>
          <w:sz w:val="24"/>
          <w:szCs w:val="24"/>
        </w:rPr>
      </w:pPr>
    </w:p>
    <w:p w:rsidR="00577980" w:rsidRDefault="00577980" w:rsidP="00414F32">
      <w:pPr>
        <w:spacing w:after="0"/>
        <w:rPr>
          <w:rFonts w:ascii="Times New Roman" w:hAnsi="Times New Roman" w:cs="Times New Roman"/>
          <w:sz w:val="24"/>
          <w:szCs w:val="24"/>
        </w:rPr>
      </w:pPr>
      <w:r>
        <w:rPr>
          <w:rFonts w:ascii="Times New Roman" w:hAnsi="Times New Roman" w:cs="Times New Roman"/>
          <w:sz w:val="24"/>
          <w:szCs w:val="24"/>
        </w:rPr>
        <w:t>There are no data publications associated with this collection.</w:t>
      </w:r>
    </w:p>
    <w:p w:rsidR="00414F32" w:rsidRPr="00414F32" w:rsidRDefault="00414F32" w:rsidP="00414F32">
      <w:pPr>
        <w:spacing w:after="0"/>
        <w:rPr>
          <w:rFonts w:ascii="Times New Roman" w:hAnsi="Times New Roman" w:cs="Times New Roman"/>
          <w:sz w:val="24"/>
          <w:szCs w:val="24"/>
        </w:rPr>
      </w:pPr>
    </w:p>
    <w:p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RDefault="00414F32" w:rsidP="00414F32">
      <w:pPr>
        <w:spacing w:after="0"/>
        <w:rPr>
          <w:rFonts w:ascii="Times New Roman" w:hAnsi="Times New Roman" w:cs="Times New Roman"/>
          <w:sz w:val="24"/>
          <w:szCs w:val="24"/>
        </w:rPr>
      </w:pPr>
    </w:p>
    <w:p w:rsidR="00577980" w:rsidRPr="00577980" w:rsidRDefault="00577980" w:rsidP="00577980">
      <w:pPr>
        <w:spacing w:after="0"/>
        <w:rPr>
          <w:rFonts w:ascii="Times New Roman" w:hAnsi="Times New Roman" w:cs="Times New Roman"/>
          <w:sz w:val="24"/>
          <w:szCs w:val="24"/>
        </w:rPr>
      </w:pPr>
      <w:r w:rsidRPr="00577980">
        <w:rPr>
          <w:rFonts w:ascii="Times New Roman" w:hAnsi="Times New Roman" w:cs="Times New Roman"/>
          <w:sz w:val="24"/>
          <w:szCs w:val="24"/>
        </w:rPr>
        <w:t>It is not appropriate to display the expiration date for OMB approval of the</w:t>
      </w:r>
      <w:r>
        <w:rPr>
          <w:rFonts w:ascii="Times New Roman" w:hAnsi="Times New Roman" w:cs="Times New Roman"/>
          <w:sz w:val="24"/>
          <w:szCs w:val="24"/>
        </w:rPr>
        <w:t xml:space="preserve"> </w:t>
      </w:r>
      <w:r w:rsidRPr="00577980">
        <w:rPr>
          <w:rFonts w:ascii="Times New Roman" w:hAnsi="Times New Roman" w:cs="Times New Roman"/>
          <w:sz w:val="24"/>
          <w:szCs w:val="24"/>
        </w:rPr>
        <w:t>information c</w:t>
      </w:r>
      <w:r>
        <w:rPr>
          <w:rFonts w:ascii="Times New Roman" w:hAnsi="Times New Roman" w:cs="Times New Roman"/>
          <w:sz w:val="24"/>
          <w:szCs w:val="24"/>
        </w:rPr>
        <w:t>ollected</w:t>
      </w:r>
      <w:r w:rsidRPr="00577980">
        <w:rPr>
          <w:rFonts w:ascii="Times New Roman" w:hAnsi="Times New Roman" w:cs="Times New Roman"/>
          <w:sz w:val="24"/>
          <w:szCs w:val="24"/>
        </w:rPr>
        <w:t>.  The information is not collected on a standard, preprinted form which would allow display of this information.  Rather, natural gas pipeline companies prepare and submit filings that reflect unique or specific circumstances related to the transaction in the filing.  In addition, the information contains a mixture of narrative descriptions and empirical support that varies depending on the nature of the transaction.</w:t>
      </w:r>
    </w:p>
    <w:p w:rsidR="00414F32" w:rsidRPr="00414F32" w:rsidRDefault="00414F32" w:rsidP="00414F32">
      <w:pPr>
        <w:spacing w:after="0"/>
        <w:rPr>
          <w:rFonts w:ascii="Times New Roman" w:hAnsi="Times New Roman" w:cs="Times New Roman"/>
          <w:sz w:val="24"/>
          <w:szCs w:val="24"/>
        </w:rPr>
      </w:pPr>
    </w:p>
    <w:p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57700F" w:rsidRDefault="0057700F" w:rsidP="0057700F">
      <w:pPr>
        <w:spacing w:after="0"/>
        <w:rPr>
          <w:rFonts w:ascii="Times New Roman" w:hAnsi="Times New Roman" w:cs="Times New Roman"/>
          <w:b/>
          <w:sz w:val="24"/>
          <w:szCs w:val="24"/>
        </w:rPr>
      </w:pPr>
    </w:p>
    <w:p w:rsidR="00414F32" w:rsidRPr="007A2F92" w:rsidRDefault="00577980" w:rsidP="007A2F92">
      <w:pPr>
        <w:spacing w:after="0"/>
        <w:rPr>
          <w:rFonts w:ascii="Times New Roman" w:hAnsi="Times New Roman" w:cs="Times New Roman"/>
          <w:sz w:val="24"/>
          <w:szCs w:val="24"/>
        </w:rPr>
      </w:pPr>
      <w:r>
        <w:rPr>
          <w:rFonts w:ascii="Times New Roman" w:hAnsi="Times New Roman" w:cs="Times New Roman"/>
          <w:sz w:val="24"/>
          <w:szCs w:val="24"/>
        </w:rPr>
        <w:t>T</w:t>
      </w:r>
      <w:r w:rsidRPr="00577980">
        <w:rPr>
          <w:rFonts w:ascii="Times New Roman" w:hAnsi="Times New Roman" w:cs="Times New Roman"/>
          <w:sz w:val="24"/>
          <w:szCs w:val="24"/>
        </w:rPr>
        <w:t>he Commission will not be using statistical survey methodology for this information collection.</w:t>
      </w:r>
    </w:p>
    <w:sectPr w:rsidR="00414F32" w:rsidRPr="007A2F9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A6" w:rsidRDefault="00E11CA6" w:rsidP="00FD66F1">
      <w:pPr>
        <w:spacing w:after="0" w:line="240" w:lineRule="auto"/>
      </w:pPr>
      <w:r>
        <w:separator/>
      </w:r>
    </w:p>
  </w:endnote>
  <w:endnote w:type="continuationSeparator" w:id="0">
    <w:p w:rsidR="00E11CA6" w:rsidRDefault="00E11CA6"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noProof/>
      </w:rPr>
    </w:sdtEndPr>
    <w:sdtContent>
      <w:p w:rsidR="002B13E2" w:rsidRDefault="002B13E2">
        <w:pPr>
          <w:pStyle w:val="Footer"/>
          <w:jc w:val="right"/>
        </w:pPr>
        <w:r>
          <w:fldChar w:fldCharType="begin"/>
        </w:r>
        <w:r>
          <w:instrText xml:space="preserve"> PAGE   \* MERGEFORMAT </w:instrText>
        </w:r>
        <w:r>
          <w:fldChar w:fldCharType="separate"/>
        </w:r>
        <w:r w:rsidR="009C23E4">
          <w:rPr>
            <w:noProof/>
          </w:rPr>
          <w:t>5</w:t>
        </w:r>
        <w:r>
          <w:rPr>
            <w:noProof/>
          </w:rPr>
          <w:fldChar w:fldCharType="end"/>
        </w:r>
      </w:p>
    </w:sdtContent>
  </w:sdt>
  <w:p w:rsidR="002B13E2" w:rsidRDefault="002B1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A6" w:rsidRDefault="00E11CA6" w:rsidP="00FD66F1">
      <w:pPr>
        <w:spacing w:after="0" w:line="240" w:lineRule="auto"/>
      </w:pPr>
      <w:r>
        <w:separator/>
      </w:r>
    </w:p>
  </w:footnote>
  <w:footnote w:type="continuationSeparator" w:id="0">
    <w:p w:rsidR="00E11CA6" w:rsidRDefault="00E11CA6" w:rsidP="00FD66F1">
      <w:pPr>
        <w:spacing w:after="0" w:line="240" w:lineRule="auto"/>
      </w:pPr>
      <w:r>
        <w:continuationSeparator/>
      </w:r>
    </w:p>
  </w:footnote>
  <w:footnote w:id="1">
    <w:p w:rsidR="00451584" w:rsidRDefault="00451584">
      <w:pPr>
        <w:pStyle w:val="FootnoteText"/>
      </w:pPr>
      <w:r w:rsidRPr="00F750AC">
        <w:rPr>
          <w:rStyle w:val="FootnoteReference"/>
          <w:vertAlign w:val="superscript"/>
        </w:rPr>
        <w:footnoteRef/>
      </w:r>
      <w:r w:rsidRPr="00F750AC">
        <w:rPr>
          <w:vertAlign w:val="superscript"/>
        </w:rPr>
        <w:t xml:space="preserve"> </w:t>
      </w:r>
      <w:proofErr w:type="gramStart"/>
      <w:r w:rsidRPr="00451584">
        <w:rPr>
          <w:sz w:val="24"/>
          <w:szCs w:val="24"/>
        </w:rPr>
        <w:t>See Interstate Natural Gas Association v.</w:t>
      </w:r>
      <w:proofErr w:type="gramEnd"/>
      <w:r w:rsidRPr="00451584">
        <w:rPr>
          <w:sz w:val="24"/>
          <w:szCs w:val="24"/>
        </w:rPr>
        <w:t xml:space="preserve">  </w:t>
      </w:r>
      <w:proofErr w:type="gramStart"/>
      <w:r w:rsidRPr="00451584">
        <w:rPr>
          <w:sz w:val="24"/>
          <w:szCs w:val="24"/>
        </w:rPr>
        <w:t>Federal Energy Regulatory Commission, 716 F.2d 1 (D.C. Cir. 1983</w:t>
      </w:r>
      <w:r>
        <w:rPr>
          <w:sz w:val="24"/>
          <w:szCs w:val="24"/>
        </w:rPr>
        <w:t>).</w:t>
      </w:r>
      <w:proofErr w:type="gramEnd"/>
    </w:p>
  </w:footnote>
  <w:footnote w:id="2">
    <w:p w:rsidR="00BD73E3" w:rsidRPr="005D7A1B" w:rsidRDefault="00BD73E3" w:rsidP="00BD73E3">
      <w:pPr>
        <w:pStyle w:val="FootnoteText"/>
      </w:pPr>
      <w:r w:rsidRPr="00F750AC">
        <w:rPr>
          <w:rStyle w:val="FootnoteReference"/>
          <w:vertAlign w:val="superscript"/>
        </w:rPr>
        <w:footnoteRef/>
      </w:r>
      <w:r w:rsidRPr="00AD4FC4">
        <w:t xml:space="preserve"> </w:t>
      </w:r>
      <w:r w:rsidRPr="005D7A1B">
        <w:t>78 FR 36176</w:t>
      </w:r>
    </w:p>
  </w:footnote>
  <w:footnote w:id="3">
    <w:p w:rsidR="00CF1269" w:rsidRDefault="00CF1269">
      <w:pPr>
        <w:pStyle w:val="FootnoteText"/>
      </w:pPr>
      <w:r w:rsidRPr="00F750AC">
        <w:rPr>
          <w:rStyle w:val="FootnoteReference"/>
          <w:vertAlign w:val="superscript"/>
        </w:rPr>
        <w:footnoteRef/>
      </w:r>
      <w:r w:rsidRPr="00F750AC">
        <w:rPr>
          <w:vertAlign w:val="superscript"/>
        </w:rPr>
        <w:t xml:space="preserve"> </w:t>
      </w:r>
      <w:r>
        <w:t>78 FR 63974</w:t>
      </w:r>
    </w:p>
  </w:footnote>
  <w:footnote w:id="4">
    <w:p w:rsidR="00F63AD4" w:rsidRPr="006B5298" w:rsidRDefault="00F63AD4" w:rsidP="00F63AD4">
      <w:pPr>
        <w:pStyle w:val="FootnoteText"/>
      </w:pPr>
      <w:r w:rsidRPr="00F750AC">
        <w:rPr>
          <w:rStyle w:val="FootnoteReference"/>
          <w:vertAlign w:val="superscript"/>
        </w:rPr>
        <w:footnoteRef/>
      </w:r>
      <w:r w:rsidRPr="00F750AC">
        <w:rPr>
          <w:vertAlign w:val="superscript"/>
        </w:rPr>
        <w:t xml:space="preserve"> </w:t>
      </w:r>
      <w:r w:rsidRPr="006B5298">
        <w:t>FY2013 Estima</w:t>
      </w:r>
      <w:r>
        <w:t>ted Average Hourly Cost per</w:t>
      </w:r>
      <w:r w:rsidRPr="006B5298">
        <w:t xml:space="preserve"> FTE, including salary + benefits</w:t>
      </w:r>
    </w:p>
  </w:footnote>
  <w:footnote w:id="5">
    <w:p w:rsidR="00A236C9" w:rsidRPr="00A236C9" w:rsidRDefault="00A236C9">
      <w:pPr>
        <w:pStyle w:val="FootnoteText"/>
      </w:pPr>
      <w:r w:rsidRPr="00F750AC">
        <w:rPr>
          <w:rStyle w:val="FootnoteReference"/>
          <w:vertAlign w:val="superscript"/>
        </w:rPr>
        <w:footnoteRef/>
      </w:r>
      <w:r w:rsidRPr="00F750AC">
        <w:rPr>
          <w:vertAlign w:val="superscript"/>
        </w:rPr>
        <w:t xml:space="preserve"> </w:t>
      </w:r>
      <w:r>
        <w:t>Based on FY2013 estimated annual salary plus benefits per FTE of $145,818.</w:t>
      </w:r>
    </w:p>
  </w:footnote>
  <w:footnote w:id="6">
    <w:p w:rsidR="00F63AD4" w:rsidRPr="005D7A1B" w:rsidRDefault="00F63AD4" w:rsidP="00F63AD4">
      <w:pPr>
        <w:pStyle w:val="FootnoteText"/>
      </w:pPr>
      <w:r w:rsidRPr="00F750AC">
        <w:rPr>
          <w:rStyle w:val="FootnoteReference"/>
          <w:vertAlign w:val="superscript"/>
        </w:rPr>
        <w:footnoteRef/>
      </w:r>
      <w:r w:rsidRPr="005D7A1B">
        <w:t xml:space="preserve"> Paperwork Reduction Act of 1995 (PRA)</w:t>
      </w:r>
    </w:p>
  </w:footnote>
  <w:footnote w:id="7">
    <w:p w:rsidR="00F63AD4" w:rsidRPr="005D7A1B" w:rsidRDefault="00F63AD4" w:rsidP="00F63AD4">
      <w:pPr>
        <w:pStyle w:val="FootnoteText"/>
      </w:pPr>
      <w:r w:rsidRPr="00F750AC">
        <w:rPr>
          <w:rStyle w:val="FootnoteReference"/>
          <w:vertAlign w:val="superscript"/>
        </w:rPr>
        <w:footnoteRef/>
      </w:r>
      <w:r w:rsidRPr="00AD4FC4">
        <w:t xml:space="preserve"> </w:t>
      </w:r>
      <w:r w:rsidRPr="005D7A1B">
        <w:t>The Commission bases the cost of Paperwork Reduction Act administration on staff time, and other costs related to compliance with the Paperwork Reduction Act of 1995.</w:t>
      </w:r>
    </w:p>
  </w:footnote>
  <w:footnote w:id="8">
    <w:p w:rsidR="00A8540B" w:rsidRDefault="00A8540B">
      <w:pPr>
        <w:pStyle w:val="FootnoteText"/>
      </w:pPr>
      <w:r w:rsidRPr="00F750AC">
        <w:rPr>
          <w:rStyle w:val="FootnoteReference"/>
          <w:vertAlign w:val="superscript"/>
        </w:rPr>
        <w:footnoteRef/>
      </w:r>
      <w:r w:rsidRPr="00F750AC">
        <w:rPr>
          <w:vertAlign w:val="superscript"/>
        </w:rPr>
        <w:t xml:space="preserve"> </w:t>
      </w:r>
      <w:r>
        <w:t>ROCIS is the online tool for Federal agencies to submit information collections to OMB for review.</w:t>
      </w:r>
      <w:r w:rsidR="003278A4">
        <w:t xml:space="preserve">  Information is available for the public at reginfo.gov.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CA6" w:rsidRPr="00FD66F1" w:rsidRDefault="00451584" w:rsidP="00AD3DE5">
    <w:pPr>
      <w:pStyle w:val="Header"/>
      <w:rPr>
        <w:rFonts w:ascii="Times New Roman" w:hAnsi="Times New Roman" w:cs="Times New Roman"/>
        <w:sz w:val="24"/>
        <w:szCs w:val="24"/>
      </w:rPr>
    </w:pPr>
    <w:r>
      <w:rPr>
        <w:rFonts w:ascii="Times New Roman" w:hAnsi="Times New Roman" w:cs="Times New Roman"/>
        <w:sz w:val="24"/>
        <w:szCs w:val="24"/>
      </w:rPr>
      <w:t>FERC-547 (OMB Control No. 1902-0084)</w:t>
    </w:r>
  </w:p>
  <w:p w:rsidR="00E11CA6" w:rsidRDefault="00E11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293499"/>
    <w:multiLevelType w:val="hybridMultilevel"/>
    <w:tmpl w:val="FD0E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2242D"/>
    <w:rsid w:val="00035845"/>
    <w:rsid w:val="00043F1A"/>
    <w:rsid w:val="00074DC8"/>
    <w:rsid w:val="000B0C37"/>
    <w:rsid w:val="00132768"/>
    <w:rsid w:val="00143103"/>
    <w:rsid w:val="0016254B"/>
    <w:rsid w:val="00181727"/>
    <w:rsid w:val="00185730"/>
    <w:rsid w:val="001B312B"/>
    <w:rsid w:val="00225564"/>
    <w:rsid w:val="0026674D"/>
    <w:rsid w:val="002B13E2"/>
    <w:rsid w:val="003278A4"/>
    <w:rsid w:val="00414F32"/>
    <w:rsid w:val="00451584"/>
    <w:rsid w:val="004C4C89"/>
    <w:rsid w:val="004F6977"/>
    <w:rsid w:val="00522F69"/>
    <w:rsid w:val="0053287C"/>
    <w:rsid w:val="00571C5E"/>
    <w:rsid w:val="0057700F"/>
    <w:rsid w:val="00577980"/>
    <w:rsid w:val="005A2792"/>
    <w:rsid w:val="005B77CE"/>
    <w:rsid w:val="005F1C3C"/>
    <w:rsid w:val="006166FA"/>
    <w:rsid w:val="00664BC0"/>
    <w:rsid w:val="00690136"/>
    <w:rsid w:val="00773AEB"/>
    <w:rsid w:val="00787670"/>
    <w:rsid w:val="007A2F92"/>
    <w:rsid w:val="007E7C0F"/>
    <w:rsid w:val="008138AC"/>
    <w:rsid w:val="00815F41"/>
    <w:rsid w:val="008619E1"/>
    <w:rsid w:val="00876F75"/>
    <w:rsid w:val="008A21A4"/>
    <w:rsid w:val="008B703B"/>
    <w:rsid w:val="008C288D"/>
    <w:rsid w:val="008E70CD"/>
    <w:rsid w:val="00913A8B"/>
    <w:rsid w:val="00970FE4"/>
    <w:rsid w:val="009C23E4"/>
    <w:rsid w:val="009E1190"/>
    <w:rsid w:val="00A236C9"/>
    <w:rsid w:val="00A276F5"/>
    <w:rsid w:val="00A72E7B"/>
    <w:rsid w:val="00A8540B"/>
    <w:rsid w:val="00A96B65"/>
    <w:rsid w:val="00AC5A44"/>
    <w:rsid w:val="00AD3DE5"/>
    <w:rsid w:val="00AD4FC4"/>
    <w:rsid w:val="00B2380A"/>
    <w:rsid w:val="00B74705"/>
    <w:rsid w:val="00B7664E"/>
    <w:rsid w:val="00BA1C7D"/>
    <w:rsid w:val="00BA7C56"/>
    <w:rsid w:val="00BD73E3"/>
    <w:rsid w:val="00C01698"/>
    <w:rsid w:val="00C1112A"/>
    <w:rsid w:val="00C510DD"/>
    <w:rsid w:val="00CA495F"/>
    <w:rsid w:val="00CA59C3"/>
    <w:rsid w:val="00CD2153"/>
    <w:rsid w:val="00CF1269"/>
    <w:rsid w:val="00D42A66"/>
    <w:rsid w:val="00D80FBD"/>
    <w:rsid w:val="00DC4E36"/>
    <w:rsid w:val="00E11CA6"/>
    <w:rsid w:val="00E14565"/>
    <w:rsid w:val="00E20612"/>
    <w:rsid w:val="00E636D7"/>
    <w:rsid w:val="00E8748E"/>
    <w:rsid w:val="00E87A4F"/>
    <w:rsid w:val="00EB3E6F"/>
    <w:rsid w:val="00ED5560"/>
    <w:rsid w:val="00F12DC2"/>
    <w:rsid w:val="00F152DF"/>
    <w:rsid w:val="00F63AD4"/>
    <w:rsid w:val="00F750AC"/>
    <w:rsid w:val="00FD66F1"/>
    <w:rsid w:val="00FE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B74705"/>
    <w:rPr>
      <w:color w:val="0000FF" w:themeColor="hyperlink"/>
      <w:u w:val="single"/>
    </w:rPr>
  </w:style>
  <w:style w:type="character" w:styleId="FollowedHyperlink">
    <w:name w:val="FollowedHyperlink"/>
    <w:basedOn w:val="DefaultParagraphFont"/>
    <w:uiPriority w:val="99"/>
    <w:semiHidden/>
    <w:unhideWhenUsed/>
    <w:rsid w:val="00B747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B74705"/>
    <w:rPr>
      <w:color w:val="0000FF" w:themeColor="hyperlink"/>
      <w:u w:val="single"/>
    </w:rPr>
  </w:style>
  <w:style w:type="character" w:styleId="FollowedHyperlink">
    <w:name w:val="FollowedHyperlink"/>
    <w:basedOn w:val="DefaultParagraphFont"/>
    <w:uiPriority w:val="99"/>
    <w:semiHidden/>
    <w:unhideWhenUsed/>
    <w:rsid w:val="00B747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erc.gov/docs-filing/efil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3355E-F1EF-47A6-9F74-16D8444B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13</cp:revision>
  <cp:lastPrinted>2013-10-18T11:55:00Z</cp:lastPrinted>
  <dcterms:created xsi:type="dcterms:W3CDTF">2013-10-18T11:48:00Z</dcterms:created>
  <dcterms:modified xsi:type="dcterms:W3CDTF">2013-10-25T14:06:00Z</dcterms:modified>
</cp:coreProperties>
</file>